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7F0" w:rsidRPr="008F17F0" w:rsidRDefault="00C94622" w:rsidP="008F17F0">
      <w:pPr>
        <w:pStyle w:val="Title"/>
      </w:pPr>
      <w:bookmarkStart w:id="0" w:name="_Toc409517481"/>
      <w:r w:rsidRPr="008F17F0">
        <w:t>5.11</w:t>
      </w:r>
      <w:r w:rsidR="00B60939" w:rsidRPr="008F17F0">
        <w:tab/>
      </w:r>
      <w:r w:rsidR="00EC2A0D" w:rsidRPr="008F17F0">
        <w:t>I</w:t>
      </w:r>
      <w:r w:rsidRPr="008F17F0">
        <w:t>DELALISIB</w:t>
      </w:r>
      <w:r w:rsidR="00B60939" w:rsidRPr="008F17F0">
        <w:t xml:space="preserve"> </w:t>
      </w:r>
    </w:p>
    <w:p w:rsidR="008F17F0" w:rsidRDefault="00EC2A0D" w:rsidP="008F17F0">
      <w:pPr>
        <w:ind w:firstLine="720"/>
        <w:rPr>
          <w:b/>
          <w:sz w:val="28"/>
          <w:szCs w:val="28"/>
        </w:rPr>
      </w:pPr>
      <w:r w:rsidRPr="008F17F0">
        <w:rPr>
          <w:b/>
          <w:sz w:val="28"/>
          <w:szCs w:val="28"/>
        </w:rPr>
        <w:t>oral tablet</w:t>
      </w:r>
      <w:r w:rsidR="00B60939" w:rsidRPr="008F17F0">
        <w:rPr>
          <w:b/>
          <w:sz w:val="28"/>
          <w:szCs w:val="28"/>
        </w:rPr>
        <w:t xml:space="preserve">, </w:t>
      </w:r>
      <w:r w:rsidR="00601152" w:rsidRPr="008F17F0">
        <w:rPr>
          <w:b/>
          <w:sz w:val="28"/>
          <w:szCs w:val="28"/>
        </w:rPr>
        <w:t>100 m</w:t>
      </w:r>
      <w:r w:rsidR="008F17F0" w:rsidRPr="008F17F0">
        <w:rPr>
          <w:b/>
          <w:sz w:val="28"/>
          <w:szCs w:val="28"/>
        </w:rPr>
        <w:t>g tablet, 60; 150 mg tablet, 60;</w:t>
      </w:r>
      <w:r w:rsidR="00601152" w:rsidRPr="008F17F0">
        <w:rPr>
          <w:b/>
          <w:sz w:val="28"/>
          <w:szCs w:val="28"/>
        </w:rPr>
        <w:t xml:space="preserve"> </w:t>
      </w:r>
    </w:p>
    <w:p w:rsidR="00B60939" w:rsidRPr="008F17F0" w:rsidRDefault="00EC2A0D" w:rsidP="008F17F0">
      <w:pPr>
        <w:ind w:firstLine="720"/>
        <w:rPr>
          <w:b/>
          <w:sz w:val="28"/>
          <w:szCs w:val="28"/>
        </w:rPr>
      </w:pPr>
      <w:r w:rsidRPr="008F17F0">
        <w:rPr>
          <w:b/>
          <w:sz w:val="28"/>
          <w:szCs w:val="28"/>
        </w:rPr>
        <w:t>Zydelig</w:t>
      </w:r>
      <w:r w:rsidR="00B60939" w:rsidRPr="008F17F0">
        <w:rPr>
          <w:b/>
          <w:sz w:val="28"/>
          <w:szCs w:val="28"/>
        </w:rPr>
        <w:t>®</w:t>
      </w:r>
      <w:r w:rsidR="008F17F0" w:rsidRPr="008F17F0">
        <w:rPr>
          <w:b/>
          <w:sz w:val="28"/>
          <w:szCs w:val="28"/>
        </w:rPr>
        <w:t>;</w:t>
      </w:r>
      <w:r w:rsidR="00B60939" w:rsidRPr="008F17F0">
        <w:rPr>
          <w:b/>
          <w:sz w:val="28"/>
          <w:szCs w:val="28"/>
        </w:rPr>
        <w:t xml:space="preserve"> </w:t>
      </w:r>
      <w:r w:rsidRPr="008F17F0">
        <w:rPr>
          <w:b/>
          <w:sz w:val="28"/>
          <w:szCs w:val="28"/>
        </w:rPr>
        <w:t>Gilead Sciences Pty Ltd</w:t>
      </w:r>
      <w:r w:rsidR="00B60939" w:rsidRPr="008F17F0">
        <w:rPr>
          <w:b/>
          <w:sz w:val="28"/>
          <w:szCs w:val="28"/>
        </w:rPr>
        <w:t>.</w:t>
      </w:r>
      <w:bookmarkEnd w:id="0"/>
    </w:p>
    <w:p w:rsidR="00B60939" w:rsidRPr="00C974DD" w:rsidRDefault="00B60939" w:rsidP="00207D00"/>
    <w:p w:rsidR="00433044" w:rsidRPr="00C974DD" w:rsidRDefault="00433044" w:rsidP="00433044">
      <w:pPr>
        <w:pStyle w:val="Heading2"/>
      </w:pPr>
    </w:p>
    <w:p w:rsidR="00B50DB8" w:rsidRPr="00C974DD" w:rsidRDefault="00B50DB8" w:rsidP="00BD6CF3">
      <w:pPr>
        <w:pStyle w:val="PBACHeading1"/>
      </w:pPr>
      <w:bookmarkStart w:id="1" w:name="_Toc409517483"/>
      <w:r w:rsidRPr="00C974DD">
        <w:t>Purpose of Application</w:t>
      </w:r>
      <w:bookmarkEnd w:id="1"/>
    </w:p>
    <w:p w:rsidR="00B60939" w:rsidRPr="00C974DD" w:rsidRDefault="00B60939" w:rsidP="00B60939">
      <w:pPr>
        <w:rPr>
          <w:szCs w:val="22"/>
        </w:rPr>
      </w:pPr>
    </w:p>
    <w:p w:rsidR="002C2775" w:rsidRPr="00C974DD" w:rsidRDefault="005646C4" w:rsidP="00101A9A">
      <w:pPr>
        <w:pStyle w:val="ListParagraph"/>
        <w:numPr>
          <w:ilvl w:val="1"/>
          <w:numId w:val="15"/>
        </w:numPr>
        <w:rPr>
          <w:szCs w:val="22"/>
        </w:rPr>
      </w:pPr>
      <w:r w:rsidRPr="00C974DD">
        <w:t xml:space="preserve">The submission requested </w:t>
      </w:r>
      <w:r w:rsidR="001E238E" w:rsidRPr="00C974DD">
        <w:t xml:space="preserve">Section </w:t>
      </w:r>
      <w:r w:rsidR="0094320E" w:rsidRPr="00C974DD">
        <w:t>85</w:t>
      </w:r>
      <w:r w:rsidR="001E238E" w:rsidRPr="00C974DD">
        <w:t>, Authority Required</w:t>
      </w:r>
      <w:r w:rsidR="0094320E" w:rsidRPr="00C974DD">
        <w:t xml:space="preserve"> (STREAMLINED)</w:t>
      </w:r>
      <w:r w:rsidR="001E238E" w:rsidRPr="00C974DD">
        <w:t xml:space="preserve"> listing for</w:t>
      </w:r>
      <w:r w:rsidR="00101A9A" w:rsidRPr="00C974DD">
        <w:t xml:space="preserve"> the treatment of indolent subtypes of B-cell non-Hodgkin's lymphoma </w:t>
      </w:r>
      <w:r w:rsidR="00A5669A" w:rsidRPr="00C974DD">
        <w:t xml:space="preserve">(NHL) </w:t>
      </w:r>
      <w:r w:rsidR="00101A9A" w:rsidRPr="00C974DD">
        <w:t>in patients with progressive disease despite previous treatment</w:t>
      </w:r>
      <w:r w:rsidR="001E238E" w:rsidRPr="00C974DD">
        <w:t>.</w:t>
      </w:r>
    </w:p>
    <w:p w:rsidR="00B60939" w:rsidRPr="00C974DD" w:rsidRDefault="00B60939" w:rsidP="004B1CB4"/>
    <w:p w:rsidR="004E43B2" w:rsidRPr="00C974DD" w:rsidRDefault="004E43B2" w:rsidP="004B1CB4"/>
    <w:p w:rsidR="00B50DB8" w:rsidRPr="00C974DD" w:rsidRDefault="00B50DB8" w:rsidP="00BD6CF3">
      <w:pPr>
        <w:pStyle w:val="PBACHeading1"/>
      </w:pPr>
      <w:bookmarkStart w:id="2" w:name="_Toc409517484"/>
      <w:r w:rsidRPr="00C974DD">
        <w:t>Requested listing</w:t>
      </w:r>
      <w:bookmarkEnd w:id="2"/>
    </w:p>
    <w:p w:rsidR="00626E68" w:rsidRPr="00C974DD" w:rsidRDefault="00626E68" w:rsidP="004C3837">
      <w:pPr>
        <w:ind w:left="720"/>
      </w:pPr>
    </w:p>
    <w:p w:rsidR="00617E12" w:rsidRPr="00C974DD" w:rsidRDefault="00A355BF" w:rsidP="00A355BF">
      <w:pPr>
        <w:pStyle w:val="ListParagraph"/>
        <w:numPr>
          <w:ilvl w:val="1"/>
          <w:numId w:val="15"/>
        </w:numPr>
      </w:pPr>
      <w:r w:rsidRPr="00C974DD">
        <w:t>The submission’s requested restriction was</w:t>
      </w:r>
      <w:r w:rsidR="00626E68" w:rsidRPr="00C974DD">
        <w:t xml:space="preserve"> for the treatment o</w:t>
      </w:r>
      <w:r w:rsidR="00040E8B" w:rsidRPr="00C974DD">
        <w:t>f</w:t>
      </w:r>
      <w:r w:rsidR="00626E68" w:rsidRPr="00C974DD">
        <w:t xml:space="preserve"> adult patients with </w:t>
      </w:r>
      <w:r w:rsidR="005B4C02" w:rsidRPr="00C974DD">
        <w:t>relapsed or r</w:t>
      </w:r>
      <w:r w:rsidR="00626E68" w:rsidRPr="00C974DD">
        <w:t>efractory indolent NHL</w:t>
      </w:r>
      <w:r w:rsidR="00A5669A" w:rsidRPr="00C974DD">
        <w:t xml:space="preserve"> (iNHL)</w:t>
      </w:r>
      <w:r w:rsidR="00626E68" w:rsidRPr="00C974DD">
        <w:t xml:space="preserve"> who had received at least two prior therapies</w:t>
      </w:r>
      <w:r w:rsidR="00C91EDD" w:rsidRPr="00C974DD">
        <w:t xml:space="preserve"> as shown below</w:t>
      </w:r>
      <w:r w:rsidR="00626E68" w:rsidRPr="00C974DD">
        <w:t>.</w:t>
      </w:r>
    </w:p>
    <w:p w:rsidR="00626E68" w:rsidRPr="00C974DD" w:rsidRDefault="00626E68" w:rsidP="00626E68">
      <w:pPr>
        <w:pStyle w:val="ListParagraph"/>
      </w:pPr>
    </w:p>
    <w:tbl>
      <w:tblPr>
        <w:tblW w:w="4533" w:type="pct"/>
        <w:tblInd w:w="737" w:type="dxa"/>
        <w:tblCellMar>
          <w:left w:w="28" w:type="dxa"/>
          <w:right w:w="28" w:type="dxa"/>
        </w:tblCellMar>
        <w:tblLook w:val="0620" w:firstRow="1" w:lastRow="0" w:firstColumn="0" w:lastColumn="0" w:noHBand="1" w:noVBand="1"/>
      </w:tblPr>
      <w:tblGrid>
        <w:gridCol w:w="1704"/>
        <w:gridCol w:w="1415"/>
        <w:gridCol w:w="598"/>
        <w:gridCol w:w="110"/>
        <w:gridCol w:w="451"/>
        <w:gridCol w:w="287"/>
        <w:gridCol w:w="1525"/>
        <w:gridCol w:w="270"/>
        <w:gridCol w:w="720"/>
        <w:gridCol w:w="1143"/>
        <w:gridCol w:w="12"/>
      </w:tblGrid>
      <w:tr w:rsidR="00C974DD" w:rsidRPr="00C974DD" w:rsidTr="008F17F0">
        <w:trPr>
          <w:cantSplit/>
          <w:trHeight w:val="463"/>
        </w:trPr>
        <w:tc>
          <w:tcPr>
            <w:tcW w:w="1894" w:type="pct"/>
            <w:gridSpan w:val="2"/>
            <w:tcBorders>
              <w:bottom w:val="single" w:sz="4" w:space="0" w:color="auto"/>
            </w:tcBorders>
            <w:vAlign w:val="center"/>
          </w:tcPr>
          <w:p w:rsidR="005646C4" w:rsidRPr="00C974DD" w:rsidRDefault="005646C4" w:rsidP="005646C4">
            <w:pPr>
              <w:keepNext/>
              <w:rPr>
                <w:sz w:val="20"/>
              </w:rPr>
            </w:pPr>
            <w:r w:rsidRPr="00C974DD">
              <w:rPr>
                <w:sz w:val="20"/>
              </w:rPr>
              <w:t>Name, Restriction,</w:t>
            </w:r>
          </w:p>
          <w:p w:rsidR="005646C4" w:rsidRPr="00C974DD" w:rsidRDefault="005646C4" w:rsidP="005646C4">
            <w:pPr>
              <w:keepNext/>
              <w:rPr>
                <w:sz w:val="20"/>
              </w:rPr>
            </w:pPr>
            <w:r w:rsidRPr="00C974DD">
              <w:rPr>
                <w:sz w:val="20"/>
              </w:rPr>
              <w:t>Manner of administration and form</w:t>
            </w:r>
          </w:p>
        </w:tc>
        <w:tc>
          <w:tcPr>
            <w:tcW w:w="363" w:type="pct"/>
            <w:tcBorders>
              <w:bottom w:val="single" w:sz="4" w:space="0" w:color="auto"/>
            </w:tcBorders>
            <w:vAlign w:val="center"/>
          </w:tcPr>
          <w:p w:rsidR="005646C4" w:rsidRPr="00C974DD" w:rsidRDefault="005646C4" w:rsidP="002A01E0">
            <w:pPr>
              <w:keepNext/>
              <w:jc w:val="center"/>
              <w:rPr>
                <w:sz w:val="20"/>
              </w:rPr>
            </w:pPr>
            <w:r w:rsidRPr="00C974DD">
              <w:rPr>
                <w:sz w:val="20"/>
              </w:rPr>
              <w:t>Max.</w:t>
            </w:r>
          </w:p>
          <w:p w:rsidR="005646C4" w:rsidRPr="00C974DD" w:rsidRDefault="005646C4" w:rsidP="002A01E0">
            <w:pPr>
              <w:keepNext/>
              <w:jc w:val="center"/>
              <w:rPr>
                <w:sz w:val="20"/>
              </w:rPr>
            </w:pPr>
            <w:r w:rsidRPr="00C974DD">
              <w:rPr>
                <w:sz w:val="20"/>
              </w:rPr>
              <w:t>Qty</w:t>
            </w:r>
          </w:p>
        </w:tc>
        <w:tc>
          <w:tcPr>
            <w:tcW w:w="515" w:type="pct"/>
            <w:gridSpan w:val="3"/>
            <w:tcBorders>
              <w:bottom w:val="single" w:sz="4" w:space="0" w:color="auto"/>
            </w:tcBorders>
            <w:vAlign w:val="center"/>
          </w:tcPr>
          <w:p w:rsidR="005646C4" w:rsidRPr="00C974DD" w:rsidRDefault="005646C4" w:rsidP="002A01E0">
            <w:pPr>
              <w:keepNext/>
              <w:jc w:val="center"/>
              <w:rPr>
                <w:sz w:val="20"/>
              </w:rPr>
            </w:pPr>
            <w:r w:rsidRPr="00C974DD">
              <w:rPr>
                <w:sz w:val="20"/>
              </w:rPr>
              <w:t>№.of</w:t>
            </w:r>
          </w:p>
          <w:p w:rsidR="005646C4" w:rsidRPr="00C974DD" w:rsidRDefault="005646C4" w:rsidP="002A01E0">
            <w:pPr>
              <w:keepNext/>
              <w:jc w:val="center"/>
              <w:rPr>
                <w:sz w:val="20"/>
              </w:rPr>
            </w:pPr>
            <w:r w:rsidRPr="00C974DD">
              <w:rPr>
                <w:sz w:val="20"/>
              </w:rPr>
              <w:t>Rpts</w:t>
            </w:r>
          </w:p>
        </w:tc>
        <w:tc>
          <w:tcPr>
            <w:tcW w:w="926" w:type="pct"/>
            <w:tcBorders>
              <w:bottom w:val="single" w:sz="4" w:space="0" w:color="auto"/>
            </w:tcBorders>
            <w:vAlign w:val="center"/>
          </w:tcPr>
          <w:p w:rsidR="005646C4" w:rsidRPr="00C974DD" w:rsidRDefault="005646C4" w:rsidP="002A01E0">
            <w:pPr>
              <w:keepNext/>
              <w:jc w:val="center"/>
              <w:rPr>
                <w:sz w:val="20"/>
              </w:rPr>
            </w:pPr>
            <w:r w:rsidRPr="00C974DD">
              <w:rPr>
                <w:sz w:val="20"/>
              </w:rPr>
              <w:t>Dispensed Price for Max. Qty</w:t>
            </w:r>
          </w:p>
        </w:tc>
        <w:tc>
          <w:tcPr>
            <w:tcW w:w="1302" w:type="pct"/>
            <w:gridSpan w:val="4"/>
            <w:tcBorders>
              <w:bottom w:val="single" w:sz="4" w:space="0" w:color="auto"/>
            </w:tcBorders>
            <w:vAlign w:val="center"/>
          </w:tcPr>
          <w:p w:rsidR="005646C4" w:rsidRPr="00C974DD" w:rsidRDefault="005646C4" w:rsidP="002A01E0">
            <w:pPr>
              <w:keepNext/>
              <w:jc w:val="center"/>
              <w:rPr>
                <w:sz w:val="20"/>
              </w:rPr>
            </w:pPr>
            <w:r w:rsidRPr="00C974DD">
              <w:rPr>
                <w:sz w:val="20"/>
              </w:rPr>
              <w:t>Proprietary Name and Manufacturer</w:t>
            </w:r>
          </w:p>
        </w:tc>
      </w:tr>
      <w:tr w:rsidR="00C974DD" w:rsidRPr="00C974DD" w:rsidTr="008F17F0">
        <w:trPr>
          <w:gridAfter w:val="1"/>
          <w:wAfter w:w="8" w:type="pct"/>
          <w:cantSplit/>
          <w:trHeight w:val="577"/>
        </w:trPr>
        <w:tc>
          <w:tcPr>
            <w:tcW w:w="1894" w:type="pct"/>
            <w:gridSpan w:val="2"/>
          </w:tcPr>
          <w:p w:rsidR="005646C4" w:rsidRPr="00C974DD" w:rsidRDefault="005646C4" w:rsidP="00175B00">
            <w:pPr>
              <w:keepNext/>
              <w:jc w:val="left"/>
              <w:rPr>
                <w:rFonts w:ascii="Arial Narrow" w:hAnsi="Arial Narrow"/>
                <w:sz w:val="20"/>
              </w:rPr>
            </w:pPr>
            <w:r w:rsidRPr="00C974DD">
              <w:rPr>
                <w:rFonts w:ascii="Arial Narrow" w:hAnsi="Arial Narrow"/>
                <w:smallCaps/>
                <w:sz w:val="20"/>
              </w:rPr>
              <w:t>idelalisib</w:t>
            </w:r>
          </w:p>
          <w:p w:rsidR="005646C4" w:rsidRPr="00C974DD" w:rsidRDefault="005646C4" w:rsidP="00175B00">
            <w:pPr>
              <w:keepNext/>
              <w:jc w:val="left"/>
              <w:rPr>
                <w:rFonts w:ascii="Arial Narrow" w:hAnsi="Arial Narrow"/>
                <w:sz w:val="20"/>
              </w:rPr>
            </w:pPr>
            <w:r w:rsidRPr="00C974DD">
              <w:rPr>
                <w:rFonts w:ascii="Arial Narrow" w:hAnsi="Arial Narrow"/>
                <w:sz w:val="20"/>
              </w:rPr>
              <w:t>Oral tablet 150 mg</w:t>
            </w:r>
          </w:p>
        </w:tc>
        <w:tc>
          <w:tcPr>
            <w:tcW w:w="430" w:type="pct"/>
            <w:gridSpan w:val="2"/>
          </w:tcPr>
          <w:p w:rsidR="005646C4" w:rsidRPr="00C974DD" w:rsidRDefault="005646C4" w:rsidP="002A01E0">
            <w:pPr>
              <w:keepNext/>
              <w:jc w:val="center"/>
              <w:rPr>
                <w:rFonts w:ascii="Arial Narrow" w:hAnsi="Arial Narrow"/>
                <w:sz w:val="20"/>
              </w:rPr>
            </w:pPr>
          </w:p>
          <w:p w:rsidR="005646C4" w:rsidRPr="00C974DD" w:rsidRDefault="005646C4" w:rsidP="002A01E0">
            <w:pPr>
              <w:keepNext/>
              <w:jc w:val="center"/>
              <w:rPr>
                <w:rFonts w:ascii="Arial Narrow" w:hAnsi="Arial Narrow"/>
                <w:sz w:val="20"/>
              </w:rPr>
            </w:pPr>
            <w:r w:rsidRPr="00C974DD">
              <w:rPr>
                <w:rFonts w:ascii="Arial Narrow" w:hAnsi="Arial Narrow"/>
                <w:sz w:val="20"/>
              </w:rPr>
              <w:t>60</w:t>
            </w:r>
          </w:p>
        </w:tc>
        <w:tc>
          <w:tcPr>
            <w:tcW w:w="274" w:type="pct"/>
          </w:tcPr>
          <w:p w:rsidR="005646C4" w:rsidRPr="00C974DD" w:rsidRDefault="005646C4" w:rsidP="002A01E0">
            <w:pPr>
              <w:keepNext/>
              <w:jc w:val="center"/>
              <w:rPr>
                <w:rFonts w:ascii="Arial Narrow" w:hAnsi="Arial Narrow"/>
                <w:sz w:val="20"/>
              </w:rPr>
            </w:pPr>
          </w:p>
          <w:p w:rsidR="005646C4" w:rsidRPr="00C974DD" w:rsidRDefault="005646C4" w:rsidP="002A01E0">
            <w:pPr>
              <w:keepNext/>
              <w:jc w:val="center"/>
              <w:rPr>
                <w:rFonts w:ascii="Arial Narrow" w:hAnsi="Arial Narrow"/>
                <w:sz w:val="20"/>
              </w:rPr>
            </w:pPr>
            <w:r w:rsidRPr="00C974DD">
              <w:rPr>
                <w:rFonts w:ascii="Arial Narrow" w:hAnsi="Arial Narrow"/>
                <w:sz w:val="20"/>
              </w:rPr>
              <w:t>5</w:t>
            </w:r>
          </w:p>
        </w:tc>
        <w:tc>
          <w:tcPr>
            <w:tcW w:w="1264" w:type="pct"/>
            <w:gridSpan w:val="3"/>
          </w:tcPr>
          <w:p w:rsidR="005646C4" w:rsidRPr="007A6E7B" w:rsidRDefault="005646C4" w:rsidP="002A01E0">
            <w:pPr>
              <w:keepNext/>
              <w:jc w:val="center"/>
              <w:rPr>
                <w:rFonts w:ascii="Arial Narrow" w:hAnsi="Arial Narrow"/>
                <w:sz w:val="20"/>
              </w:rPr>
            </w:pPr>
          </w:p>
          <w:p w:rsidR="005646C4" w:rsidRPr="007A6E7B" w:rsidRDefault="005646C4" w:rsidP="002A01E0">
            <w:pPr>
              <w:keepNext/>
              <w:jc w:val="center"/>
              <w:rPr>
                <w:rFonts w:ascii="Arial Narrow" w:hAnsi="Arial Narrow"/>
                <w:sz w:val="20"/>
              </w:rPr>
            </w:pPr>
            <w:r w:rsidRPr="007A6E7B">
              <w:rPr>
                <w:rFonts w:ascii="Arial Narrow" w:hAnsi="Arial Narrow"/>
                <w:sz w:val="20"/>
              </w:rPr>
              <w:t>DPMQ: $</w:t>
            </w:r>
            <w:r w:rsidR="00B05398">
              <w:rPr>
                <w:rFonts w:ascii="Arial Narrow" w:hAnsi="Arial Narrow"/>
                <w:noProof/>
                <w:color w:val="000000"/>
                <w:sz w:val="20"/>
                <w:highlight w:val="black"/>
              </w:rPr>
              <w:t>''''''''''''''''''''</w:t>
            </w:r>
            <w:r w:rsidRPr="007A6E7B">
              <w:rPr>
                <w:rFonts w:ascii="Arial Narrow" w:hAnsi="Arial Narrow"/>
                <w:sz w:val="20"/>
              </w:rPr>
              <w:t xml:space="preserve"> </w:t>
            </w:r>
          </w:p>
          <w:p w:rsidR="005646C4" w:rsidRPr="007A6E7B" w:rsidRDefault="005646C4" w:rsidP="002A01E0">
            <w:pPr>
              <w:keepNext/>
              <w:jc w:val="center"/>
              <w:rPr>
                <w:rFonts w:ascii="Arial Narrow" w:hAnsi="Arial Narrow"/>
                <w:sz w:val="20"/>
              </w:rPr>
            </w:pPr>
            <w:r w:rsidRPr="007A6E7B">
              <w:rPr>
                <w:rFonts w:ascii="Arial Narrow" w:hAnsi="Arial Narrow"/>
                <w:sz w:val="20"/>
              </w:rPr>
              <w:t>Effective: $</w:t>
            </w:r>
            <w:r w:rsidR="00B05398">
              <w:rPr>
                <w:rFonts w:ascii="Arial Narrow" w:hAnsi="Arial Narrow"/>
                <w:noProof/>
                <w:color w:val="000000"/>
                <w:sz w:val="20"/>
                <w:highlight w:val="black"/>
              </w:rPr>
              <w:t>''''''''''''''''''''''</w:t>
            </w:r>
          </w:p>
        </w:tc>
        <w:tc>
          <w:tcPr>
            <w:tcW w:w="437" w:type="pct"/>
            <w:vMerge w:val="restart"/>
          </w:tcPr>
          <w:p w:rsidR="00175B00" w:rsidRPr="00C974DD" w:rsidRDefault="00175B00" w:rsidP="002A01E0">
            <w:pPr>
              <w:keepNext/>
              <w:jc w:val="center"/>
              <w:rPr>
                <w:rFonts w:ascii="Arial Narrow" w:hAnsi="Arial Narrow"/>
                <w:sz w:val="20"/>
              </w:rPr>
            </w:pPr>
          </w:p>
          <w:p w:rsidR="005646C4" w:rsidRPr="00C974DD" w:rsidRDefault="005646C4" w:rsidP="002A01E0">
            <w:pPr>
              <w:keepNext/>
              <w:jc w:val="center"/>
              <w:rPr>
                <w:rFonts w:ascii="Arial Narrow" w:hAnsi="Arial Narrow"/>
                <w:sz w:val="20"/>
              </w:rPr>
            </w:pPr>
            <w:r w:rsidRPr="00C974DD">
              <w:rPr>
                <w:rFonts w:ascii="Arial Narrow" w:hAnsi="Arial Narrow"/>
                <w:sz w:val="20"/>
              </w:rPr>
              <w:t>Zydelig</w:t>
            </w:r>
          </w:p>
        </w:tc>
        <w:tc>
          <w:tcPr>
            <w:tcW w:w="694" w:type="pct"/>
            <w:vMerge w:val="restart"/>
          </w:tcPr>
          <w:p w:rsidR="00175B00" w:rsidRPr="00C974DD" w:rsidRDefault="00175B00" w:rsidP="002A01E0">
            <w:pPr>
              <w:keepNext/>
              <w:jc w:val="center"/>
              <w:rPr>
                <w:rFonts w:ascii="Arial Narrow" w:hAnsi="Arial Narrow"/>
                <w:sz w:val="20"/>
              </w:rPr>
            </w:pPr>
          </w:p>
          <w:p w:rsidR="005646C4" w:rsidRPr="00C974DD" w:rsidRDefault="005646C4" w:rsidP="002A01E0">
            <w:pPr>
              <w:keepNext/>
              <w:jc w:val="center"/>
              <w:rPr>
                <w:rFonts w:ascii="Arial Narrow" w:hAnsi="Arial Narrow"/>
                <w:sz w:val="20"/>
              </w:rPr>
            </w:pPr>
            <w:r w:rsidRPr="00C974DD">
              <w:rPr>
                <w:rFonts w:ascii="Arial Narrow" w:hAnsi="Arial Narrow"/>
                <w:sz w:val="20"/>
              </w:rPr>
              <w:t>Gilead Sciences Pty Ltd</w:t>
            </w:r>
          </w:p>
        </w:tc>
      </w:tr>
      <w:tr w:rsidR="00C974DD" w:rsidRPr="00C974DD" w:rsidTr="008F17F0">
        <w:trPr>
          <w:gridAfter w:val="1"/>
          <w:wAfter w:w="8" w:type="pct"/>
          <w:cantSplit/>
          <w:trHeight w:val="427"/>
        </w:trPr>
        <w:tc>
          <w:tcPr>
            <w:tcW w:w="1894" w:type="pct"/>
            <w:gridSpan w:val="2"/>
          </w:tcPr>
          <w:p w:rsidR="005646C4" w:rsidRPr="00C974DD" w:rsidRDefault="005646C4" w:rsidP="00175B00">
            <w:pPr>
              <w:keepNext/>
              <w:rPr>
                <w:rFonts w:ascii="Arial Narrow" w:hAnsi="Arial Narrow"/>
                <w:smallCaps/>
                <w:sz w:val="20"/>
              </w:rPr>
            </w:pPr>
            <w:r w:rsidRPr="00C974DD">
              <w:rPr>
                <w:rFonts w:ascii="Arial Narrow" w:hAnsi="Arial Narrow"/>
                <w:sz w:val="20"/>
              </w:rPr>
              <w:t>Oral tablet 100 mg</w:t>
            </w:r>
          </w:p>
        </w:tc>
        <w:tc>
          <w:tcPr>
            <w:tcW w:w="430" w:type="pct"/>
            <w:gridSpan w:val="2"/>
          </w:tcPr>
          <w:p w:rsidR="005646C4" w:rsidRPr="00C974DD" w:rsidRDefault="005646C4" w:rsidP="002A01E0">
            <w:pPr>
              <w:keepNext/>
              <w:jc w:val="center"/>
              <w:rPr>
                <w:rFonts w:ascii="Arial Narrow" w:hAnsi="Arial Narrow"/>
                <w:sz w:val="20"/>
              </w:rPr>
            </w:pPr>
            <w:r w:rsidRPr="00C974DD">
              <w:rPr>
                <w:rFonts w:ascii="Arial Narrow" w:hAnsi="Arial Narrow"/>
                <w:sz w:val="20"/>
              </w:rPr>
              <w:t>60</w:t>
            </w:r>
          </w:p>
        </w:tc>
        <w:tc>
          <w:tcPr>
            <w:tcW w:w="274" w:type="pct"/>
          </w:tcPr>
          <w:p w:rsidR="005646C4" w:rsidRPr="00C974DD" w:rsidDel="00807979" w:rsidRDefault="005646C4" w:rsidP="002A01E0">
            <w:pPr>
              <w:keepNext/>
              <w:jc w:val="center"/>
              <w:rPr>
                <w:rFonts w:ascii="Arial Narrow" w:hAnsi="Arial Narrow"/>
                <w:sz w:val="20"/>
              </w:rPr>
            </w:pPr>
            <w:r w:rsidRPr="00C974DD">
              <w:rPr>
                <w:rFonts w:ascii="Arial Narrow" w:hAnsi="Arial Narrow"/>
                <w:sz w:val="20"/>
              </w:rPr>
              <w:t>5</w:t>
            </w:r>
          </w:p>
        </w:tc>
        <w:tc>
          <w:tcPr>
            <w:tcW w:w="1264" w:type="pct"/>
            <w:gridSpan w:val="3"/>
          </w:tcPr>
          <w:p w:rsidR="005646C4" w:rsidRPr="007A6E7B" w:rsidRDefault="005646C4" w:rsidP="002A01E0">
            <w:pPr>
              <w:keepNext/>
              <w:jc w:val="center"/>
              <w:rPr>
                <w:rFonts w:ascii="Arial Narrow" w:hAnsi="Arial Narrow"/>
                <w:sz w:val="20"/>
              </w:rPr>
            </w:pPr>
            <w:r w:rsidRPr="007A6E7B">
              <w:rPr>
                <w:rFonts w:ascii="Arial Narrow" w:hAnsi="Arial Narrow"/>
                <w:sz w:val="20"/>
              </w:rPr>
              <w:t>DPMQ: $</w:t>
            </w:r>
            <w:r w:rsidR="00B05398">
              <w:rPr>
                <w:rFonts w:ascii="Arial Narrow" w:hAnsi="Arial Narrow"/>
                <w:noProof/>
                <w:color w:val="000000"/>
                <w:sz w:val="20"/>
                <w:highlight w:val="black"/>
              </w:rPr>
              <w:t>''''''''''''''''''''</w:t>
            </w:r>
            <w:r w:rsidRPr="007A6E7B">
              <w:rPr>
                <w:rFonts w:ascii="Arial Narrow" w:hAnsi="Arial Narrow"/>
                <w:sz w:val="20"/>
              </w:rPr>
              <w:t xml:space="preserve"> </w:t>
            </w:r>
          </w:p>
          <w:p w:rsidR="005646C4" w:rsidRPr="007A6E7B" w:rsidRDefault="005646C4" w:rsidP="002A01E0">
            <w:pPr>
              <w:keepNext/>
              <w:jc w:val="center"/>
              <w:rPr>
                <w:rFonts w:ascii="Arial Narrow" w:hAnsi="Arial Narrow"/>
                <w:sz w:val="20"/>
              </w:rPr>
            </w:pPr>
            <w:r w:rsidRPr="007A6E7B">
              <w:rPr>
                <w:rFonts w:ascii="Arial Narrow" w:hAnsi="Arial Narrow"/>
                <w:sz w:val="20"/>
              </w:rPr>
              <w:t>Effective: $</w:t>
            </w:r>
            <w:r w:rsidR="00B05398">
              <w:rPr>
                <w:rFonts w:ascii="Arial Narrow" w:hAnsi="Arial Narrow"/>
                <w:noProof/>
                <w:color w:val="000000"/>
                <w:sz w:val="20"/>
                <w:highlight w:val="black"/>
              </w:rPr>
              <w:t>''''''''''''''''''''''</w:t>
            </w:r>
          </w:p>
        </w:tc>
        <w:tc>
          <w:tcPr>
            <w:tcW w:w="437" w:type="pct"/>
            <w:vMerge/>
          </w:tcPr>
          <w:p w:rsidR="005646C4" w:rsidRPr="00C974DD" w:rsidRDefault="005646C4" w:rsidP="002A01E0">
            <w:pPr>
              <w:keepNext/>
              <w:jc w:val="center"/>
              <w:rPr>
                <w:sz w:val="20"/>
              </w:rPr>
            </w:pPr>
          </w:p>
        </w:tc>
        <w:tc>
          <w:tcPr>
            <w:tcW w:w="694" w:type="pct"/>
            <w:vMerge/>
          </w:tcPr>
          <w:p w:rsidR="005646C4" w:rsidRPr="00C974DD" w:rsidRDefault="005646C4" w:rsidP="002A01E0">
            <w:pPr>
              <w:keepNext/>
              <w:jc w:val="center"/>
              <w:rPr>
                <w:sz w:val="20"/>
              </w:rPr>
            </w:pPr>
          </w:p>
        </w:tc>
      </w:tr>
      <w:tr w:rsidR="00C974DD" w:rsidRPr="00C974DD" w:rsidTr="008F17F0">
        <w:trPr>
          <w:gridAfter w:val="1"/>
          <w:wAfter w:w="8" w:type="pct"/>
          <w:cantSplit/>
          <w:trHeight w:val="93"/>
        </w:trPr>
        <w:tc>
          <w:tcPr>
            <w:tcW w:w="1035" w:type="pct"/>
          </w:tcPr>
          <w:p w:rsidR="005646C4" w:rsidRPr="00C974DD" w:rsidRDefault="005646C4" w:rsidP="00874A24">
            <w:pPr>
              <w:pStyle w:val="Tabletext"/>
              <w:ind w:firstLine="114"/>
            </w:pPr>
            <w:r w:rsidRPr="00C974DD">
              <w:rPr>
                <w:rStyle w:val="SmallBold"/>
                <w:rFonts w:ascii="Arial Narrow" w:hAnsi="Arial Narrow"/>
                <w:b w:val="0"/>
              </w:rPr>
              <w:t>Severity</w:t>
            </w:r>
          </w:p>
        </w:tc>
        <w:tc>
          <w:tcPr>
            <w:tcW w:w="3957" w:type="pct"/>
            <w:gridSpan w:val="9"/>
          </w:tcPr>
          <w:p w:rsidR="005646C4" w:rsidRPr="00C974DD" w:rsidRDefault="005646C4" w:rsidP="002A01E0">
            <w:pPr>
              <w:pStyle w:val="Tabletext"/>
            </w:pPr>
            <w:r w:rsidRPr="00C974DD">
              <w:t>Relapsed disease</w:t>
            </w:r>
          </w:p>
        </w:tc>
      </w:tr>
      <w:tr w:rsidR="00C974DD" w:rsidRPr="00C974DD" w:rsidTr="008F17F0">
        <w:trPr>
          <w:gridAfter w:val="1"/>
          <w:wAfter w:w="8" w:type="pct"/>
          <w:cantSplit/>
          <w:trHeight w:val="93"/>
        </w:trPr>
        <w:tc>
          <w:tcPr>
            <w:tcW w:w="1035" w:type="pct"/>
          </w:tcPr>
          <w:p w:rsidR="005646C4" w:rsidRPr="00C974DD" w:rsidRDefault="005646C4" w:rsidP="00874A24">
            <w:pPr>
              <w:pStyle w:val="Tabletext"/>
              <w:ind w:firstLine="114"/>
            </w:pPr>
            <w:r w:rsidRPr="00C974DD">
              <w:rPr>
                <w:rStyle w:val="SmallBold"/>
                <w:rFonts w:ascii="Arial Narrow" w:hAnsi="Arial Narrow"/>
                <w:b w:val="0"/>
              </w:rPr>
              <w:t>Condition</w:t>
            </w:r>
          </w:p>
        </w:tc>
        <w:tc>
          <w:tcPr>
            <w:tcW w:w="3957" w:type="pct"/>
            <w:gridSpan w:val="9"/>
          </w:tcPr>
          <w:p w:rsidR="005646C4" w:rsidRPr="00C974DD" w:rsidRDefault="005646C4" w:rsidP="005646C4">
            <w:pPr>
              <w:pStyle w:val="Tabletext"/>
            </w:pPr>
            <w:r w:rsidRPr="00C974DD">
              <w:t>Indolent subtypes of B-cell non-Hodgkin lymphoma</w:t>
            </w:r>
          </w:p>
        </w:tc>
      </w:tr>
      <w:tr w:rsidR="00C974DD" w:rsidRPr="00C974DD" w:rsidTr="008F17F0">
        <w:trPr>
          <w:gridAfter w:val="1"/>
          <w:wAfter w:w="8" w:type="pct"/>
          <w:cantSplit/>
          <w:trHeight w:val="93"/>
        </w:trPr>
        <w:tc>
          <w:tcPr>
            <w:tcW w:w="1035" w:type="pct"/>
          </w:tcPr>
          <w:p w:rsidR="005646C4" w:rsidRPr="00C974DD" w:rsidRDefault="005646C4" w:rsidP="00874A24">
            <w:pPr>
              <w:pStyle w:val="Tabletext"/>
              <w:ind w:firstLine="114"/>
            </w:pPr>
            <w:r w:rsidRPr="00C974DD">
              <w:rPr>
                <w:rStyle w:val="SmallBold"/>
                <w:rFonts w:ascii="Arial Narrow" w:hAnsi="Arial Narrow"/>
                <w:b w:val="0"/>
              </w:rPr>
              <w:t>Treatment phase</w:t>
            </w:r>
          </w:p>
        </w:tc>
        <w:tc>
          <w:tcPr>
            <w:tcW w:w="3957" w:type="pct"/>
            <w:gridSpan w:val="9"/>
          </w:tcPr>
          <w:p w:rsidR="005646C4" w:rsidRPr="00C974DD" w:rsidRDefault="005646C4" w:rsidP="002A01E0">
            <w:pPr>
              <w:pStyle w:val="Tabletext"/>
            </w:pPr>
            <w:r w:rsidRPr="00C974DD">
              <w:t>Initial and continuing treatment</w:t>
            </w:r>
          </w:p>
        </w:tc>
      </w:tr>
      <w:tr w:rsidR="00C974DD" w:rsidRPr="00C974DD" w:rsidTr="008F17F0">
        <w:trPr>
          <w:gridAfter w:val="1"/>
          <w:wAfter w:w="8" w:type="pct"/>
          <w:cantSplit/>
          <w:trHeight w:val="93"/>
        </w:trPr>
        <w:tc>
          <w:tcPr>
            <w:tcW w:w="1035" w:type="pct"/>
          </w:tcPr>
          <w:p w:rsidR="005646C4" w:rsidRPr="00C974DD" w:rsidRDefault="005646C4" w:rsidP="00874A24">
            <w:pPr>
              <w:pStyle w:val="Tabletext"/>
              <w:ind w:firstLine="114"/>
            </w:pPr>
            <w:r w:rsidRPr="00C974DD">
              <w:rPr>
                <w:rStyle w:val="SmallBold"/>
                <w:rFonts w:ascii="Arial Narrow" w:hAnsi="Arial Narrow"/>
                <w:b w:val="0"/>
              </w:rPr>
              <w:t>Restriction</w:t>
            </w:r>
          </w:p>
        </w:tc>
        <w:tc>
          <w:tcPr>
            <w:tcW w:w="3957" w:type="pct"/>
            <w:gridSpan w:val="9"/>
          </w:tcPr>
          <w:p w:rsidR="005646C4" w:rsidRPr="00C974DD" w:rsidRDefault="005646C4" w:rsidP="002A01E0">
            <w:pPr>
              <w:pStyle w:val="Tabletext"/>
            </w:pPr>
            <w:r w:rsidRPr="00C974DD">
              <w:t>Section 85 Authority required (STREAMLINED)</w:t>
            </w:r>
          </w:p>
        </w:tc>
      </w:tr>
      <w:tr w:rsidR="005646C4" w:rsidRPr="00C974DD" w:rsidTr="008F17F0">
        <w:trPr>
          <w:gridAfter w:val="1"/>
          <w:wAfter w:w="8" w:type="pct"/>
          <w:cantSplit/>
          <w:trHeight w:val="93"/>
        </w:trPr>
        <w:tc>
          <w:tcPr>
            <w:tcW w:w="1035" w:type="pct"/>
          </w:tcPr>
          <w:p w:rsidR="005646C4" w:rsidRPr="00C974DD" w:rsidRDefault="005646C4" w:rsidP="00874A24">
            <w:pPr>
              <w:pStyle w:val="Tabletext"/>
              <w:ind w:firstLine="114"/>
            </w:pPr>
            <w:r w:rsidRPr="00C974DD">
              <w:rPr>
                <w:rStyle w:val="SmallBold"/>
                <w:rFonts w:ascii="Arial Narrow" w:hAnsi="Arial Narrow"/>
                <w:b w:val="0"/>
              </w:rPr>
              <w:t>Treatment criteria</w:t>
            </w:r>
          </w:p>
        </w:tc>
        <w:tc>
          <w:tcPr>
            <w:tcW w:w="3957" w:type="pct"/>
            <w:gridSpan w:val="9"/>
          </w:tcPr>
          <w:p w:rsidR="005646C4" w:rsidRPr="00C974DD" w:rsidRDefault="005646C4" w:rsidP="002A01E0">
            <w:pPr>
              <w:pStyle w:val="Tabletext"/>
            </w:pPr>
            <w:r w:rsidRPr="00C974DD">
              <w:t>Patients must have progressive disease despite previous treatment for this condition; previous treatment must include at least two prior therapies.</w:t>
            </w:r>
          </w:p>
        </w:tc>
      </w:tr>
    </w:tbl>
    <w:p w:rsidR="00B60939" w:rsidRPr="00C974DD" w:rsidRDefault="00B60939" w:rsidP="004B1CB4"/>
    <w:p w:rsidR="00DF1018" w:rsidRPr="00C974DD" w:rsidRDefault="00DF1018" w:rsidP="00DF1018">
      <w:pPr>
        <w:pStyle w:val="ListParagraph"/>
        <w:numPr>
          <w:ilvl w:val="1"/>
          <w:numId w:val="15"/>
        </w:numPr>
        <w:rPr>
          <w:szCs w:val="22"/>
        </w:rPr>
      </w:pPr>
      <w:r w:rsidRPr="00C974DD">
        <w:rPr>
          <w:szCs w:val="22"/>
        </w:rPr>
        <w:t xml:space="preserve">The commentary had identified a number of issues with the submission’s requested restriction including that: </w:t>
      </w:r>
    </w:p>
    <w:p w:rsidR="00D31F7B" w:rsidRPr="00C974DD" w:rsidRDefault="00DF1018" w:rsidP="0055786F">
      <w:pPr>
        <w:pStyle w:val="ListParagraph"/>
        <w:numPr>
          <w:ilvl w:val="0"/>
          <w:numId w:val="97"/>
        </w:numPr>
        <w:rPr>
          <w:szCs w:val="22"/>
        </w:rPr>
      </w:pPr>
      <w:r w:rsidRPr="00C974DD">
        <w:rPr>
          <w:szCs w:val="22"/>
        </w:rPr>
        <w:t>it</w:t>
      </w:r>
      <w:r w:rsidR="00A355BF" w:rsidRPr="00C974DD">
        <w:rPr>
          <w:szCs w:val="22"/>
        </w:rPr>
        <w:t xml:space="preserve"> was</w:t>
      </w:r>
      <w:r w:rsidR="0077656E" w:rsidRPr="00C974DD">
        <w:rPr>
          <w:szCs w:val="22"/>
        </w:rPr>
        <w:t xml:space="preserve"> not</w:t>
      </w:r>
      <w:r w:rsidR="00A355BF" w:rsidRPr="00C974DD">
        <w:rPr>
          <w:szCs w:val="22"/>
        </w:rPr>
        <w:t xml:space="preserve"> consistent with the pivotal study because patients </w:t>
      </w:r>
      <w:r w:rsidR="00D31F7B" w:rsidRPr="00C974DD">
        <w:rPr>
          <w:szCs w:val="22"/>
        </w:rPr>
        <w:t>in the study were</w:t>
      </w:r>
      <w:r w:rsidR="00A355BF" w:rsidRPr="00C974DD">
        <w:rPr>
          <w:szCs w:val="22"/>
        </w:rPr>
        <w:t xml:space="preserve"> refractory (not relapsed) to both rituximab and an alkylating agent</w:t>
      </w:r>
      <w:r w:rsidR="00D31F7B" w:rsidRPr="00C974DD">
        <w:rPr>
          <w:szCs w:val="22"/>
        </w:rPr>
        <w:t>; and</w:t>
      </w:r>
    </w:p>
    <w:p w:rsidR="005252EA" w:rsidRPr="00C974DD" w:rsidRDefault="005252EA" w:rsidP="0055786F">
      <w:pPr>
        <w:pStyle w:val="ListParagraph"/>
        <w:numPr>
          <w:ilvl w:val="0"/>
          <w:numId w:val="97"/>
        </w:numPr>
        <w:rPr>
          <w:szCs w:val="22"/>
        </w:rPr>
      </w:pPr>
      <w:r w:rsidRPr="00C974DD">
        <w:rPr>
          <w:szCs w:val="22"/>
        </w:rPr>
        <w:t>“t</w:t>
      </w:r>
      <w:r w:rsidR="00A355BF" w:rsidRPr="00C974DD">
        <w:rPr>
          <w:szCs w:val="22"/>
        </w:rPr>
        <w:t>wo prior therapies</w:t>
      </w:r>
      <w:r w:rsidRPr="00C974DD">
        <w:rPr>
          <w:szCs w:val="22"/>
        </w:rPr>
        <w:t>”</w:t>
      </w:r>
      <w:r w:rsidR="00A355BF" w:rsidRPr="00C974DD">
        <w:rPr>
          <w:szCs w:val="22"/>
        </w:rPr>
        <w:t xml:space="preserve"> is ambiguous</w:t>
      </w:r>
      <w:r w:rsidR="00D31F7B" w:rsidRPr="00C974DD">
        <w:rPr>
          <w:szCs w:val="22"/>
        </w:rPr>
        <w:t>, f</w:t>
      </w:r>
      <w:r w:rsidRPr="00C974DD">
        <w:rPr>
          <w:szCs w:val="22"/>
        </w:rPr>
        <w:t>or example, it could b</w:t>
      </w:r>
      <w:r w:rsidR="006F2895" w:rsidRPr="00C974DD">
        <w:rPr>
          <w:szCs w:val="22"/>
        </w:rPr>
        <w:t>e</w:t>
      </w:r>
      <w:r w:rsidRPr="00C974DD">
        <w:rPr>
          <w:szCs w:val="22"/>
        </w:rPr>
        <w:t xml:space="preserve"> interpreted to </w:t>
      </w:r>
      <w:r w:rsidR="00A355BF" w:rsidRPr="00C974DD">
        <w:rPr>
          <w:szCs w:val="22"/>
        </w:rPr>
        <w:t>include R-CHOP and ritux</w:t>
      </w:r>
      <w:r w:rsidR="00DF1018" w:rsidRPr="00C974DD">
        <w:rPr>
          <w:szCs w:val="22"/>
        </w:rPr>
        <w:t>imab</w:t>
      </w:r>
      <w:r w:rsidR="00A355BF" w:rsidRPr="00C974DD">
        <w:rPr>
          <w:szCs w:val="22"/>
        </w:rPr>
        <w:t xml:space="preserve"> maintenance. </w:t>
      </w:r>
    </w:p>
    <w:p w:rsidR="0055786F" w:rsidRPr="00C974DD" w:rsidRDefault="0055786F" w:rsidP="0055786F">
      <w:pPr>
        <w:ind w:left="720"/>
        <w:rPr>
          <w:szCs w:val="22"/>
        </w:rPr>
      </w:pPr>
      <w:r w:rsidRPr="00C974DD">
        <w:rPr>
          <w:szCs w:val="22"/>
        </w:rPr>
        <w:t>These two issues were addressed in a revised restriction that was proposed in the Pre</w:t>
      </w:r>
      <w:r w:rsidRPr="00C974DD">
        <w:rPr>
          <w:szCs w:val="22"/>
        </w:rPr>
        <w:noBreakHyphen/>
        <w:t>Sub-Committee Response (PSCR):</w:t>
      </w:r>
    </w:p>
    <w:p w:rsidR="005F67C0" w:rsidRDefault="005F67C0">
      <w:pPr>
        <w:jc w:val="left"/>
        <w:rPr>
          <w:rFonts w:ascii="Arial Narrow" w:hAnsi="Arial Narrow" w:cs="Times New Roman"/>
          <w:i/>
          <w:sz w:val="19"/>
          <w:szCs w:val="19"/>
        </w:rPr>
      </w:pPr>
    </w:p>
    <w:p w:rsidR="0055786F" w:rsidRPr="00C974DD" w:rsidRDefault="0055786F" w:rsidP="0055786F">
      <w:pPr>
        <w:jc w:val="left"/>
        <w:rPr>
          <w:rFonts w:ascii="Arial Narrow" w:hAnsi="Arial Narrow" w:cs="Times New Roman"/>
          <w:i/>
          <w:sz w:val="19"/>
          <w:szCs w:val="19"/>
        </w:rPr>
      </w:pPr>
    </w:p>
    <w:tbl>
      <w:tblPr>
        <w:tblW w:w="4533" w:type="pct"/>
        <w:tblInd w:w="737" w:type="dxa"/>
        <w:tblCellMar>
          <w:left w:w="28" w:type="dxa"/>
          <w:right w:w="28" w:type="dxa"/>
        </w:tblCellMar>
        <w:tblLook w:val="0000" w:firstRow="0" w:lastRow="0" w:firstColumn="0" w:lastColumn="0" w:noHBand="0" w:noVBand="0"/>
      </w:tblPr>
      <w:tblGrid>
        <w:gridCol w:w="1708"/>
        <w:gridCol w:w="6527"/>
      </w:tblGrid>
      <w:tr w:rsidR="00C974DD" w:rsidRPr="00C974DD" w:rsidTr="0055786F">
        <w:trPr>
          <w:cantSplit/>
          <w:trHeight w:val="93"/>
        </w:trPr>
        <w:tc>
          <w:tcPr>
            <w:tcW w:w="1037" w:type="pct"/>
          </w:tcPr>
          <w:p w:rsidR="0055786F" w:rsidRPr="00C974DD" w:rsidRDefault="0055786F" w:rsidP="0055786F">
            <w:pPr>
              <w:pStyle w:val="Tabletext"/>
              <w:ind w:firstLine="114"/>
            </w:pPr>
            <w:r w:rsidRPr="00C974DD">
              <w:rPr>
                <w:rStyle w:val="SmallBold"/>
                <w:rFonts w:ascii="Arial Narrow" w:hAnsi="Arial Narrow"/>
                <w:b w:val="0"/>
              </w:rPr>
              <w:t>Severity</w:t>
            </w:r>
          </w:p>
        </w:tc>
        <w:tc>
          <w:tcPr>
            <w:tcW w:w="3963" w:type="pct"/>
          </w:tcPr>
          <w:p w:rsidR="0055786F" w:rsidRPr="00C974DD" w:rsidRDefault="0055786F" w:rsidP="0055786F">
            <w:pPr>
              <w:pStyle w:val="Tabletext"/>
            </w:pPr>
            <w:r w:rsidRPr="00C974DD">
              <w:t>Refractory</w:t>
            </w:r>
          </w:p>
        </w:tc>
      </w:tr>
      <w:tr w:rsidR="00C974DD" w:rsidRPr="00C974DD" w:rsidTr="0055786F">
        <w:trPr>
          <w:cantSplit/>
          <w:trHeight w:val="93"/>
        </w:trPr>
        <w:tc>
          <w:tcPr>
            <w:tcW w:w="1037" w:type="pct"/>
          </w:tcPr>
          <w:p w:rsidR="0055786F" w:rsidRPr="00C974DD" w:rsidRDefault="0055786F" w:rsidP="0055786F">
            <w:pPr>
              <w:pStyle w:val="Tabletext"/>
              <w:ind w:firstLine="114"/>
            </w:pPr>
            <w:r w:rsidRPr="00C974DD">
              <w:rPr>
                <w:rStyle w:val="SmallBold"/>
                <w:rFonts w:ascii="Arial Narrow" w:hAnsi="Arial Narrow"/>
                <w:b w:val="0"/>
              </w:rPr>
              <w:t>Condition</w:t>
            </w:r>
          </w:p>
        </w:tc>
        <w:tc>
          <w:tcPr>
            <w:tcW w:w="3963" w:type="pct"/>
          </w:tcPr>
          <w:p w:rsidR="0055786F" w:rsidRPr="00C974DD" w:rsidRDefault="0055786F" w:rsidP="0055786F">
            <w:pPr>
              <w:pStyle w:val="Tabletext"/>
            </w:pPr>
            <w:r w:rsidRPr="00C974DD">
              <w:t>Indolent B-cell non-Hodgkin lymphoma</w:t>
            </w:r>
          </w:p>
        </w:tc>
      </w:tr>
      <w:tr w:rsidR="00C974DD" w:rsidRPr="00C974DD" w:rsidTr="0055786F">
        <w:trPr>
          <w:cantSplit/>
          <w:trHeight w:val="93"/>
        </w:trPr>
        <w:tc>
          <w:tcPr>
            <w:tcW w:w="1037" w:type="pct"/>
          </w:tcPr>
          <w:p w:rsidR="0055786F" w:rsidRPr="00C974DD" w:rsidRDefault="0055786F" w:rsidP="0055786F">
            <w:pPr>
              <w:pStyle w:val="Tabletext"/>
              <w:ind w:firstLine="114"/>
            </w:pPr>
            <w:r w:rsidRPr="00C974DD">
              <w:rPr>
                <w:rStyle w:val="SmallBold"/>
                <w:rFonts w:ascii="Arial Narrow" w:hAnsi="Arial Narrow"/>
                <w:b w:val="0"/>
              </w:rPr>
              <w:t>Treatment criteria</w:t>
            </w:r>
          </w:p>
        </w:tc>
        <w:tc>
          <w:tcPr>
            <w:tcW w:w="3963" w:type="pct"/>
          </w:tcPr>
          <w:p w:rsidR="0055786F" w:rsidRPr="00C974DD" w:rsidRDefault="0055786F" w:rsidP="0055786F">
            <w:pPr>
              <w:pStyle w:val="Tabletext"/>
            </w:pPr>
            <w:r w:rsidRPr="00C974DD">
              <w:t>The condition must be refractory to both rituximab and an alkylating agent.</w:t>
            </w:r>
          </w:p>
        </w:tc>
      </w:tr>
      <w:tr w:rsidR="0055786F" w:rsidRPr="00C974DD" w:rsidTr="0055786F">
        <w:trPr>
          <w:cantSplit/>
          <w:trHeight w:val="93"/>
        </w:trPr>
        <w:tc>
          <w:tcPr>
            <w:tcW w:w="1037" w:type="pct"/>
          </w:tcPr>
          <w:p w:rsidR="0055786F" w:rsidRPr="00C974DD" w:rsidRDefault="0055786F" w:rsidP="0055786F">
            <w:pPr>
              <w:pStyle w:val="Tabletext"/>
              <w:ind w:firstLine="114"/>
              <w:rPr>
                <w:rStyle w:val="SmallBold"/>
                <w:rFonts w:ascii="Arial Narrow" w:hAnsi="Arial Narrow"/>
                <w:b w:val="0"/>
              </w:rPr>
            </w:pPr>
            <w:r w:rsidRPr="00C974DD">
              <w:rPr>
                <w:rStyle w:val="SmallBold"/>
                <w:rFonts w:ascii="Arial Narrow" w:hAnsi="Arial Narrow"/>
                <w:b w:val="0"/>
              </w:rPr>
              <w:t>Definitions</w:t>
            </w:r>
          </w:p>
        </w:tc>
        <w:tc>
          <w:tcPr>
            <w:tcW w:w="3963" w:type="pct"/>
          </w:tcPr>
          <w:p w:rsidR="0055786F" w:rsidRPr="00C974DD" w:rsidRDefault="0055786F" w:rsidP="0055786F">
            <w:pPr>
              <w:pStyle w:val="Tabletext"/>
            </w:pPr>
            <w:r w:rsidRPr="00C974DD">
              <w:t>The condition is considered refractory if the patient experiences less than a partial response or progression of disease within 6 months after completion of a prior therapy.  The condition is considered refractory to both rituximab and an alkylating agent if the agents were either administered together or in successive treatment regimens.</w:t>
            </w:r>
          </w:p>
        </w:tc>
      </w:tr>
    </w:tbl>
    <w:p w:rsidR="0055786F" w:rsidRPr="00C974DD" w:rsidRDefault="0055786F" w:rsidP="0055786F">
      <w:pPr>
        <w:rPr>
          <w:szCs w:val="22"/>
        </w:rPr>
      </w:pPr>
    </w:p>
    <w:p w:rsidR="00BF070C" w:rsidRPr="00C974DD" w:rsidRDefault="00807DE3" w:rsidP="00807DE3">
      <w:pPr>
        <w:pStyle w:val="ListParagraph"/>
        <w:numPr>
          <w:ilvl w:val="1"/>
          <w:numId w:val="15"/>
        </w:numPr>
        <w:rPr>
          <w:szCs w:val="22"/>
        </w:rPr>
      </w:pPr>
      <w:r w:rsidRPr="00C974DD">
        <w:rPr>
          <w:szCs w:val="22"/>
        </w:rPr>
        <w:t xml:space="preserve">However the revised restriction did not align with the indication proposed in the Advisory Committee on Prescription Medicines (ACPM) resolution, which was </w:t>
      </w:r>
      <w:r w:rsidRPr="00C974DD">
        <w:rPr>
          <w:szCs w:val="22"/>
        </w:rPr>
        <w:lastRenderedPageBreak/>
        <w:t>provided during the evaluation.</w:t>
      </w:r>
      <w:r w:rsidR="00C94F89" w:rsidRPr="00C974DD">
        <w:rPr>
          <w:szCs w:val="22"/>
        </w:rPr>
        <w:t xml:space="preserve"> </w:t>
      </w:r>
      <w:r w:rsidRPr="00C974DD">
        <w:rPr>
          <w:szCs w:val="22"/>
        </w:rPr>
        <w:t>I</w:t>
      </w:r>
      <w:r w:rsidR="00C94F89" w:rsidRPr="00C974DD">
        <w:rPr>
          <w:szCs w:val="22"/>
        </w:rPr>
        <w:t xml:space="preserve">delalisib was TGA registered </w:t>
      </w:r>
      <w:r w:rsidRPr="00C974DD">
        <w:rPr>
          <w:szCs w:val="22"/>
        </w:rPr>
        <w:t xml:space="preserve">on 9 February 2015 </w:t>
      </w:r>
      <w:r w:rsidR="00C94F89" w:rsidRPr="00C974DD">
        <w:rPr>
          <w:szCs w:val="22"/>
        </w:rPr>
        <w:t xml:space="preserve">for the same indication as recommended by the ACPM. </w:t>
      </w:r>
      <w:r w:rsidR="00BF070C" w:rsidRPr="00C974DD">
        <w:rPr>
          <w:szCs w:val="22"/>
        </w:rPr>
        <w:t>The TGA approved indication is:</w:t>
      </w:r>
      <w:r w:rsidR="00C94F89" w:rsidRPr="00C974DD">
        <w:rPr>
          <w:szCs w:val="22"/>
        </w:rPr>
        <w:t xml:space="preserve"> </w:t>
      </w:r>
      <w:r w:rsidR="003C1ED1" w:rsidRPr="00C974DD">
        <w:rPr>
          <w:szCs w:val="22"/>
        </w:rPr>
        <w:t xml:space="preserve"> </w:t>
      </w:r>
    </w:p>
    <w:p w:rsidR="009C5883" w:rsidRPr="00C974DD" w:rsidRDefault="00DF1018" w:rsidP="000D2B3E">
      <w:pPr>
        <w:pStyle w:val="ListParagraph"/>
        <w:ind w:left="1276"/>
        <w:rPr>
          <w:szCs w:val="22"/>
        </w:rPr>
      </w:pPr>
      <w:r w:rsidRPr="00C974DD">
        <w:rPr>
          <w:szCs w:val="22"/>
        </w:rPr>
        <w:t xml:space="preserve">as </w:t>
      </w:r>
      <w:r w:rsidRPr="00C974DD">
        <w:rPr>
          <w:szCs w:val="22"/>
          <w:u w:val="single"/>
        </w:rPr>
        <w:t>monotherapy</w:t>
      </w:r>
      <w:r w:rsidRPr="00C974DD">
        <w:rPr>
          <w:szCs w:val="22"/>
        </w:rPr>
        <w:t xml:space="preserve"> for the treatment of patients with refractory </w:t>
      </w:r>
      <w:r w:rsidRPr="00C974DD">
        <w:rPr>
          <w:szCs w:val="22"/>
          <w:u w:val="single"/>
        </w:rPr>
        <w:t>follicular</w:t>
      </w:r>
      <w:r w:rsidRPr="00C974DD">
        <w:rPr>
          <w:szCs w:val="22"/>
        </w:rPr>
        <w:t xml:space="preserve"> lymphoma, who have received at least 2 prior </w:t>
      </w:r>
      <w:r w:rsidRPr="00C974DD">
        <w:rPr>
          <w:szCs w:val="22"/>
          <w:u w:val="single"/>
        </w:rPr>
        <w:t>systemic</w:t>
      </w:r>
      <w:r w:rsidRPr="00C974DD">
        <w:rPr>
          <w:szCs w:val="22"/>
        </w:rPr>
        <w:t xml:space="preserve"> therapies</w:t>
      </w:r>
      <w:r w:rsidR="006B1AE3" w:rsidRPr="00C974DD">
        <w:rPr>
          <w:szCs w:val="22"/>
        </w:rPr>
        <w:t>.</w:t>
      </w:r>
      <w:r w:rsidRPr="00C974DD">
        <w:rPr>
          <w:szCs w:val="22"/>
        </w:rPr>
        <w:t xml:space="preserve"> </w:t>
      </w:r>
      <w:r w:rsidR="006B1AE3" w:rsidRPr="00C974DD">
        <w:rPr>
          <w:szCs w:val="22"/>
        </w:rPr>
        <w:t>(Underlining indicates the proposed changes compared to the requested indication.)</w:t>
      </w:r>
    </w:p>
    <w:p w:rsidR="009C5883" w:rsidRPr="00C974DD" w:rsidRDefault="009C5883" w:rsidP="000B261C">
      <w:pPr>
        <w:pStyle w:val="ListParagraph"/>
        <w:ind w:left="1276"/>
      </w:pPr>
    </w:p>
    <w:p w:rsidR="009C5883" w:rsidRPr="00C974DD" w:rsidRDefault="005252EA" w:rsidP="00BF070C">
      <w:pPr>
        <w:pStyle w:val="ListParagraph"/>
        <w:ind w:left="709"/>
        <w:rPr>
          <w:szCs w:val="22"/>
        </w:rPr>
      </w:pPr>
      <w:r w:rsidRPr="00C974DD">
        <w:t>T</w:t>
      </w:r>
      <w:r w:rsidRPr="00C974DD">
        <w:rPr>
          <w:szCs w:val="22"/>
        </w:rPr>
        <w:t>he ACPM recommended approval in follicular NHL but n</w:t>
      </w:r>
      <w:r w:rsidR="006B1AE3" w:rsidRPr="00C974DD">
        <w:rPr>
          <w:szCs w:val="22"/>
        </w:rPr>
        <w:t xml:space="preserve">ot other types of indolent NHL </w:t>
      </w:r>
      <w:r w:rsidR="009C5883" w:rsidRPr="00C974DD">
        <w:rPr>
          <w:szCs w:val="22"/>
        </w:rPr>
        <w:t xml:space="preserve">because </w:t>
      </w:r>
      <w:r w:rsidR="00B90DF6" w:rsidRPr="00C974DD">
        <w:rPr>
          <w:szCs w:val="22"/>
        </w:rPr>
        <w:t>it</w:t>
      </w:r>
      <w:r w:rsidR="009C5883" w:rsidRPr="00C974DD">
        <w:rPr>
          <w:szCs w:val="22"/>
        </w:rPr>
        <w:t xml:space="preserve"> considered that there was insufficient evidence for indolent NHL, as the data were immature with only a surrogate endpoint, overall response rate, supporting the efficacy.  </w:t>
      </w:r>
    </w:p>
    <w:p w:rsidR="006B1AE3" w:rsidRPr="00C974DD" w:rsidRDefault="006B1AE3" w:rsidP="00A355BF">
      <w:pPr>
        <w:jc w:val="left"/>
        <w:rPr>
          <w:rFonts w:ascii="Arial Narrow" w:hAnsi="Arial Narrow" w:cs="Times New Roman"/>
          <w:sz w:val="19"/>
          <w:szCs w:val="19"/>
        </w:rPr>
      </w:pPr>
    </w:p>
    <w:p w:rsidR="003C1ED1" w:rsidRPr="00C974DD" w:rsidRDefault="00807DE3" w:rsidP="000D2B3E">
      <w:pPr>
        <w:pStyle w:val="ListParagraph"/>
        <w:numPr>
          <w:ilvl w:val="1"/>
          <w:numId w:val="15"/>
        </w:numPr>
        <w:rPr>
          <w:szCs w:val="22"/>
        </w:rPr>
      </w:pPr>
      <w:r w:rsidRPr="00C974DD">
        <w:rPr>
          <w:szCs w:val="22"/>
        </w:rPr>
        <w:t>T</w:t>
      </w:r>
      <w:r w:rsidR="00BF070C" w:rsidRPr="00C974DD">
        <w:rPr>
          <w:szCs w:val="22"/>
        </w:rPr>
        <w:t xml:space="preserve">he PSCR’s revised restriction </w:t>
      </w:r>
      <w:r w:rsidR="003C1ED1" w:rsidRPr="00C974DD">
        <w:rPr>
          <w:szCs w:val="22"/>
        </w:rPr>
        <w:t>does not align with the indication</w:t>
      </w:r>
      <w:r w:rsidRPr="00C974DD">
        <w:rPr>
          <w:szCs w:val="22"/>
        </w:rPr>
        <w:t xml:space="preserve"> that was approved by the TGA</w:t>
      </w:r>
      <w:r w:rsidR="003C1ED1" w:rsidRPr="00C974DD">
        <w:rPr>
          <w:szCs w:val="22"/>
        </w:rPr>
        <w:t xml:space="preserve"> because the proposed restriction would allow subsidised access in</w:t>
      </w:r>
      <w:r w:rsidR="00F51F34" w:rsidRPr="00C974DD">
        <w:rPr>
          <w:szCs w:val="22"/>
        </w:rPr>
        <w:t xml:space="preserve"> </w:t>
      </w:r>
      <w:r w:rsidR="00A355BF" w:rsidRPr="00C974DD">
        <w:rPr>
          <w:szCs w:val="22"/>
        </w:rPr>
        <w:t xml:space="preserve">all indolent sub-types of </w:t>
      </w:r>
      <w:r w:rsidR="003C1ED1" w:rsidRPr="00C974DD">
        <w:rPr>
          <w:szCs w:val="22"/>
        </w:rPr>
        <w:t>B-cell NHL, while the TGA indication restricts use to follicular lymphoma</w:t>
      </w:r>
      <w:r w:rsidR="00BF070C" w:rsidRPr="00C974DD">
        <w:rPr>
          <w:szCs w:val="22"/>
        </w:rPr>
        <w:t>.</w:t>
      </w:r>
    </w:p>
    <w:p w:rsidR="00A355BF" w:rsidRPr="00C974DD" w:rsidRDefault="00A355BF" w:rsidP="000D2B3E">
      <w:pPr>
        <w:pStyle w:val="ListParagraph"/>
        <w:ind w:left="1276"/>
        <w:jc w:val="left"/>
        <w:rPr>
          <w:szCs w:val="22"/>
        </w:rPr>
      </w:pPr>
    </w:p>
    <w:p w:rsidR="00F97A78" w:rsidRPr="00C974DD" w:rsidRDefault="00B90DF6" w:rsidP="00B90DF6">
      <w:pPr>
        <w:pStyle w:val="ListParagraph"/>
        <w:numPr>
          <w:ilvl w:val="1"/>
          <w:numId w:val="15"/>
        </w:numPr>
        <w:rPr>
          <w:szCs w:val="22"/>
        </w:rPr>
      </w:pPr>
      <w:r w:rsidRPr="00C974DD">
        <w:rPr>
          <w:szCs w:val="22"/>
        </w:rPr>
        <w:t xml:space="preserve">The basis for the requested PBS listing was a cost-utility analysis using </w:t>
      </w:r>
      <w:r w:rsidR="00CE5A19" w:rsidRPr="00C974DD">
        <w:rPr>
          <w:szCs w:val="22"/>
        </w:rPr>
        <w:t>best supportive care</w:t>
      </w:r>
      <w:r w:rsidRPr="00C974DD">
        <w:rPr>
          <w:szCs w:val="22"/>
        </w:rPr>
        <w:t xml:space="preserve"> as the comparator</w:t>
      </w:r>
      <w:r w:rsidR="00CE5A19" w:rsidRPr="00C974DD">
        <w:rPr>
          <w:szCs w:val="22"/>
        </w:rPr>
        <w:t>.</w:t>
      </w:r>
    </w:p>
    <w:p w:rsidR="004E43B2" w:rsidRPr="00C974DD" w:rsidRDefault="004E43B2" w:rsidP="004B1CB4"/>
    <w:p w:rsidR="00F17EF3" w:rsidRPr="00C974DD" w:rsidRDefault="00F17EF3" w:rsidP="00F17EF3">
      <w:pPr>
        <w:pStyle w:val="ListParagraph"/>
        <w:rPr>
          <w:szCs w:val="22"/>
        </w:rPr>
      </w:pPr>
      <w:r w:rsidRPr="00C974DD">
        <w:rPr>
          <w:i/>
          <w:szCs w:val="22"/>
        </w:rPr>
        <w:t>For more detail on PBAC’s view, see section 7 “PBAC outcome</w:t>
      </w:r>
      <w:r w:rsidRPr="00C974DD">
        <w:rPr>
          <w:szCs w:val="22"/>
        </w:rPr>
        <w:t>”</w:t>
      </w:r>
    </w:p>
    <w:p w:rsidR="00A04549" w:rsidRDefault="00A04549" w:rsidP="004B1CB4"/>
    <w:p w:rsidR="005F67C0" w:rsidRPr="00C974DD" w:rsidRDefault="005F67C0" w:rsidP="004B1CB4"/>
    <w:p w:rsidR="00B50DB8" w:rsidRPr="00C974DD" w:rsidRDefault="00B50DB8" w:rsidP="00BD6CF3">
      <w:pPr>
        <w:pStyle w:val="PBACHeading1"/>
      </w:pPr>
      <w:bookmarkStart w:id="3" w:name="_Toc409517485"/>
      <w:r w:rsidRPr="00C974DD">
        <w:t>Background</w:t>
      </w:r>
      <w:bookmarkEnd w:id="3"/>
    </w:p>
    <w:p w:rsidR="00B60939" w:rsidRPr="00C974DD" w:rsidRDefault="00B60939" w:rsidP="00B60939">
      <w:pPr>
        <w:rPr>
          <w:szCs w:val="22"/>
        </w:rPr>
      </w:pPr>
    </w:p>
    <w:p w:rsidR="009C5883" w:rsidRPr="00C974DD" w:rsidRDefault="00B60939" w:rsidP="00E52A22">
      <w:pPr>
        <w:pStyle w:val="ListParagraph"/>
        <w:numPr>
          <w:ilvl w:val="1"/>
          <w:numId w:val="15"/>
        </w:numPr>
      </w:pPr>
      <w:r w:rsidRPr="00C974DD">
        <w:t>TGA status:  The submission was made under</w:t>
      </w:r>
      <w:r w:rsidR="00932E26" w:rsidRPr="00C974DD">
        <w:t xml:space="preserve"> the</w:t>
      </w:r>
      <w:r w:rsidRPr="00C974DD">
        <w:t xml:space="preserve"> TGA/PBAC Parallel Process. At the time of </w:t>
      </w:r>
      <w:r w:rsidR="00E52A22" w:rsidRPr="00C974DD">
        <w:t>ESC</w:t>
      </w:r>
      <w:r w:rsidRPr="00C974DD">
        <w:t xml:space="preserve"> consideration, </w:t>
      </w:r>
      <w:r w:rsidR="005646C4" w:rsidRPr="00C974DD">
        <w:t xml:space="preserve">the </w:t>
      </w:r>
      <w:r w:rsidR="003C1ED1" w:rsidRPr="00C974DD">
        <w:t xml:space="preserve">ACPM </w:t>
      </w:r>
      <w:r w:rsidR="009857C6" w:rsidRPr="00C974DD">
        <w:t>resolution was available</w:t>
      </w:r>
      <w:r w:rsidRPr="00C974DD">
        <w:t>.</w:t>
      </w:r>
      <w:r w:rsidR="009857C6" w:rsidRPr="00C974DD">
        <w:t xml:space="preserve"> </w:t>
      </w:r>
      <w:r w:rsidR="00BF070C" w:rsidRPr="00C974DD">
        <w:rPr>
          <w:szCs w:val="22"/>
        </w:rPr>
        <w:t>As outlined above, i</w:t>
      </w:r>
      <w:r w:rsidR="003C1ED1" w:rsidRPr="00C974DD">
        <w:rPr>
          <w:szCs w:val="22"/>
        </w:rPr>
        <w:t xml:space="preserve">delalisib was TGA registered on </w:t>
      </w:r>
      <w:r w:rsidR="001C271F" w:rsidRPr="00C974DD">
        <w:rPr>
          <w:szCs w:val="22"/>
        </w:rPr>
        <w:t>9</w:t>
      </w:r>
      <w:r w:rsidR="003C1ED1" w:rsidRPr="00C974DD">
        <w:rPr>
          <w:szCs w:val="22"/>
        </w:rPr>
        <w:t xml:space="preserve"> February 2015</w:t>
      </w:r>
      <w:r w:rsidR="003C1ED1" w:rsidRPr="00C974DD">
        <w:t>.</w:t>
      </w:r>
    </w:p>
    <w:p w:rsidR="00E52A22" w:rsidRPr="00C974DD" w:rsidRDefault="00E52A22" w:rsidP="00E52A22">
      <w:pPr>
        <w:pStyle w:val="ListParagraph"/>
      </w:pPr>
    </w:p>
    <w:p w:rsidR="002C2775" w:rsidRPr="00C974DD" w:rsidRDefault="000567C8" w:rsidP="000567C8">
      <w:pPr>
        <w:pStyle w:val="ListParagraph"/>
        <w:numPr>
          <w:ilvl w:val="1"/>
          <w:numId w:val="15"/>
        </w:numPr>
      </w:pPr>
      <w:r w:rsidRPr="00C974DD">
        <w:t>The PBAC ha</w:t>
      </w:r>
      <w:r w:rsidR="00BF070C" w:rsidRPr="00C974DD">
        <w:t>d</w:t>
      </w:r>
      <w:r w:rsidRPr="00C974DD">
        <w:t xml:space="preserve"> not previously considered a submission for i</w:t>
      </w:r>
      <w:r w:rsidR="00F06B8F" w:rsidRPr="00C974DD">
        <w:t>delalisib.</w:t>
      </w:r>
      <w:r w:rsidR="00A04549" w:rsidRPr="00C974DD">
        <w:t xml:space="preserve"> </w:t>
      </w:r>
      <w:r w:rsidRPr="00C974DD">
        <w:t>I</w:t>
      </w:r>
      <w:r w:rsidR="00A04549" w:rsidRPr="00C974DD">
        <w:t>delalisib w</w:t>
      </w:r>
      <w:r w:rsidR="00BF070C" w:rsidRPr="00C974DD">
        <w:t>as</w:t>
      </w:r>
      <w:r w:rsidR="00A04549" w:rsidRPr="00C974DD">
        <w:t xml:space="preserve"> also considered </w:t>
      </w:r>
      <w:r w:rsidRPr="00C974DD">
        <w:t xml:space="preserve">at the March 2015 PBAC meeting for use </w:t>
      </w:r>
      <w:r w:rsidR="00A04549" w:rsidRPr="00C974DD">
        <w:t>in patients with chronic lymphocytic leukaemia in combination with rituximab.</w:t>
      </w:r>
    </w:p>
    <w:p w:rsidR="0012176D" w:rsidRPr="00C974DD" w:rsidRDefault="0012176D" w:rsidP="0012176D"/>
    <w:p w:rsidR="00B50DB8" w:rsidRPr="00C974DD" w:rsidRDefault="00B50DB8" w:rsidP="004C3837">
      <w:pPr>
        <w:pStyle w:val="PBACHeading1"/>
        <w:keepNext/>
      </w:pPr>
      <w:bookmarkStart w:id="4" w:name="_Toc409517486"/>
      <w:r w:rsidRPr="00C974DD">
        <w:t>Clinical place for the proposed therapy</w:t>
      </w:r>
      <w:bookmarkEnd w:id="4"/>
    </w:p>
    <w:p w:rsidR="00B60939" w:rsidRPr="00C974DD" w:rsidRDefault="00B60939" w:rsidP="004C3837">
      <w:pPr>
        <w:keepNext/>
        <w:rPr>
          <w:szCs w:val="22"/>
        </w:rPr>
      </w:pPr>
    </w:p>
    <w:p w:rsidR="0094340E" w:rsidRPr="00C974DD" w:rsidRDefault="0094340E" w:rsidP="004C3837">
      <w:pPr>
        <w:pStyle w:val="ListParagraph"/>
        <w:keepNext/>
        <w:numPr>
          <w:ilvl w:val="1"/>
          <w:numId w:val="15"/>
        </w:numPr>
      </w:pPr>
      <w:r w:rsidRPr="00C974DD">
        <w:t xml:space="preserve">Indolent NHL refers to a broad group of slow-growing NHLs. In approximately 50% of cases, the disease is asymptomatic. Indolent NHL can be B-cell or T-cell lymphomas. B-cell indolent subtypes of NHL include follicular lymphoma, small lymphocytic lymphoma, marginal-zone lymphoma, and lympoplasmacytic lymphoma with or without Waldenström’s macroglobulinaemia. They are not generally considered curable. </w:t>
      </w:r>
    </w:p>
    <w:p w:rsidR="00E71AD0" w:rsidRPr="00C974DD" w:rsidRDefault="00E71AD0" w:rsidP="008053E8">
      <w:pPr>
        <w:pStyle w:val="ListParagraph"/>
        <w:keepNext/>
      </w:pPr>
    </w:p>
    <w:p w:rsidR="00E71AD0" w:rsidRPr="00C974DD" w:rsidRDefault="00E71AD0" w:rsidP="004C3837">
      <w:pPr>
        <w:pStyle w:val="ListParagraph"/>
        <w:keepNext/>
        <w:numPr>
          <w:ilvl w:val="1"/>
          <w:numId w:val="15"/>
        </w:numPr>
      </w:pPr>
      <w:r w:rsidRPr="00C974DD">
        <w:t xml:space="preserve">The ESC noted that NHL represents a </w:t>
      </w:r>
      <w:r w:rsidR="000310EE" w:rsidRPr="00C974DD">
        <w:t>heterogeneous</w:t>
      </w:r>
      <w:r w:rsidRPr="00C974DD">
        <w:t xml:space="preserve"> condition that has a variable natural history, including spontaneous regression.</w:t>
      </w:r>
      <w:r w:rsidR="00C86101" w:rsidRPr="00C974DD">
        <w:rPr>
          <w:rStyle w:val="FootnoteReference"/>
        </w:rPr>
        <w:footnoteReference w:id="1"/>
      </w:r>
      <w:r w:rsidRPr="00C974DD">
        <w:t xml:space="preserve"> </w:t>
      </w:r>
    </w:p>
    <w:p w:rsidR="002D12BB" w:rsidRPr="00C974DD" w:rsidRDefault="002D12BB" w:rsidP="004C3837">
      <w:pPr>
        <w:pStyle w:val="ListParagraph"/>
      </w:pPr>
    </w:p>
    <w:p w:rsidR="002D12BB" w:rsidRPr="00C974DD" w:rsidRDefault="00040E8B" w:rsidP="007F51A3">
      <w:pPr>
        <w:pStyle w:val="ListParagraph"/>
        <w:keepNext/>
        <w:numPr>
          <w:ilvl w:val="1"/>
          <w:numId w:val="15"/>
        </w:numPr>
      </w:pPr>
      <w:r w:rsidRPr="00C974DD">
        <w:t xml:space="preserve">The submission described the current treatment algorithm as follows: </w:t>
      </w:r>
      <w:r w:rsidR="00225568" w:rsidRPr="00C974DD">
        <w:t>Under current arrangements, p</w:t>
      </w:r>
      <w:r w:rsidR="002D12BB" w:rsidRPr="00C974DD">
        <w:t xml:space="preserve">atients with symptomatic indolent NHL </w:t>
      </w:r>
      <w:r w:rsidR="005646C4" w:rsidRPr="00C974DD">
        <w:t xml:space="preserve">would </w:t>
      </w:r>
      <w:r w:rsidR="002D12BB" w:rsidRPr="00C974DD">
        <w:t xml:space="preserve">be treated with rituximab plus chemotherapy. A proportion </w:t>
      </w:r>
      <w:r w:rsidR="005646C4" w:rsidRPr="00C974DD">
        <w:t xml:space="preserve">would </w:t>
      </w:r>
      <w:r w:rsidR="002D12BB" w:rsidRPr="00C974DD">
        <w:t xml:space="preserve">receive rituximab maintenance therapy </w:t>
      </w:r>
      <w:r w:rsidR="00CA2209" w:rsidRPr="00C974DD">
        <w:t xml:space="preserve">(almost all </w:t>
      </w:r>
      <w:r w:rsidR="002D12BB" w:rsidRPr="00C974DD">
        <w:t xml:space="preserve">patients with follicular lymphoma and 30% of the patients without </w:t>
      </w:r>
      <w:r w:rsidR="002D12BB" w:rsidRPr="00C974DD">
        <w:lastRenderedPageBreak/>
        <w:t>follicular lymphoma</w:t>
      </w:r>
      <w:r w:rsidR="00CA2209" w:rsidRPr="00C974DD">
        <w:t>)</w:t>
      </w:r>
      <w:r w:rsidR="002D12BB" w:rsidRPr="00C974DD">
        <w:t xml:space="preserve">. Patients who </w:t>
      </w:r>
      <w:r w:rsidR="00BC027B" w:rsidRPr="00C974DD">
        <w:t xml:space="preserve">relapsed while </w:t>
      </w:r>
      <w:r w:rsidR="002D12BB" w:rsidRPr="00C974DD">
        <w:t>receiv</w:t>
      </w:r>
      <w:r w:rsidR="00BC027B" w:rsidRPr="00C974DD">
        <w:t>ing</w:t>
      </w:r>
      <w:r w:rsidR="002D12BB" w:rsidRPr="00C974DD">
        <w:t xml:space="preserve"> rituximab maintenance therapy</w:t>
      </w:r>
      <w:r w:rsidR="00BC027B" w:rsidRPr="00C974DD">
        <w:t xml:space="preserve">, or who relapsed within 6 months of receiving rituximab therapy </w:t>
      </w:r>
      <w:r w:rsidR="00D83444" w:rsidRPr="00C974DD">
        <w:t xml:space="preserve">(‘refractory’ patients) </w:t>
      </w:r>
      <w:r w:rsidR="005646C4" w:rsidRPr="00C974DD">
        <w:t xml:space="preserve">would </w:t>
      </w:r>
      <w:r w:rsidR="002D12BB" w:rsidRPr="00C974DD">
        <w:t>not be eligible for further rituximab treatment</w:t>
      </w:r>
      <w:r w:rsidR="007174EF" w:rsidRPr="00C974DD">
        <w:t>.</w:t>
      </w:r>
      <w:r w:rsidR="002D12BB" w:rsidRPr="00C974DD">
        <w:t xml:space="preserve"> </w:t>
      </w:r>
      <w:r w:rsidR="007174EF" w:rsidRPr="00C974DD">
        <w:t>R</w:t>
      </w:r>
      <w:r w:rsidR="002D12BB" w:rsidRPr="00C974DD">
        <w:t xml:space="preserve">ather they could receive a stem cell transplant </w:t>
      </w:r>
      <w:r w:rsidR="007174EF" w:rsidRPr="00C974DD">
        <w:t xml:space="preserve">if </w:t>
      </w:r>
      <w:r w:rsidR="002D12BB" w:rsidRPr="00C974DD">
        <w:t>physically fit</w:t>
      </w:r>
      <w:r w:rsidR="007174EF" w:rsidRPr="00C974DD">
        <w:t xml:space="preserve">, </w:t>
      </w:r>
      <w:r w:rsidR="002D12BB" w:rsidRPr="00C974DD">
        <w:t>localised radiotherapy, experimental treatments in a clinical trial</w:t>
      </w:r>
      <w:r w:rsidR="008B50A5" w:rsidRPr="00C974DD">
        <w:t>,</w:t>
      </w:r>
      <w:r w:rsidR="002D12BB" w:rsidRPr="00C974DD">
        <w:t xml:space="preserve"> or palliative care. Patients who relapse</w:t>
      </w:r>
      <w:r w:rsidR="005646C4" w:rsidRPr="00C974DD">
        <w:t>d</w:t>
      </w:r>
      <w:r w:rsidR="002D12BB" w:rsidRPr="00C974DD">
        <w:t xml:space="preserve"> </w:t>
      </w:r>
      <w:r w:rsidR="00BC027B" w:rsidRPr="00C974DD">
        <w:t xml:space="preserve">more than 6 months </w:t>
      </w:r>
      <w:r w:rsidR="002D12BB" w:rsidRPr="00C974DD">
        <w:t xml:space="preserve">after finishing rituximab </w:t>
      </w:r>
      <w:r w:rsidR="00386FEE" w:rsidRPr="00C974DD">
        <w:t>(</w:t>
      </w:r>
      <w:r w:rsidR="002D12BB" w:rsidRPr="00C974DD">
        <w:t xml:space="preserve">maintenance therapy </w:t>
      </w:r>
      <w:r w:rsidR="00386FEE" w:rsidRPr="00C974DD">
        <w:t xml:space="preserve">and/or first-line rituximab + chemotherapy) </w:t>
      </w:r>
      <w:r w:rsidR="005646C4" w:rsidRPr="00C974DD">
        <w:t xml:space="preserve">would </w:t>
      </w:r>
      <w:r w:rsidR="002D12BB" w:rsidRPr="00C974DD">
        <w:t xml:space="preserve">receive a second line of rituximab plus chemotherapy. </w:t>
      </w:r>
      <w:r w:rsidR="005B4C02" w:rsidRPr="00C974DD">
        <w:t>The submission proposed that i</w:t>
      </w:r>
      <w:r w:rsidR="002D12BB" w:rsidRPr="00C974DD">
        <w:t xml:space="preserve">f these patients </w:t>
      </w:r>
      <w:r w:rsidR="005646C4" w:rsidRPr="00C974DD">
        <w:t xml:space="preserve">had </w:t>
      </w:r>
      <w:r w:rsidR="002D12BB" w:rsidRPr="00C974DD">
        <w:t xml:space="preserve">a further relapse they </w:t>
      </w:r>
      <w:r w:rsidR="005646C4" w:rsidRPr="00C974DD">
        <w:t xml:space="preserve">would </w:t>
      </w:r>
      <w:r w:rsidR="002D12BB" w:rsidRPr="00C974DD">
        <w:t xml:space="preserve">not </w:t>
      </w:r>
      <w:r w:rsidR="005646C4" w:rsidRPr="00C974DD">
        <w:t xml:space="preserve">be </w:t>
      </w:r>
      <w:r w:rsidR="002D12BB" w:rsidRPr="00C974DD">
        <w:t>eligible for further rituximab treatment.</w:t>
      </w:r>
      <w:r w:rsidRPr="00C974DD">
        <w:t xml:space="preserve"> Th</w:t>
      </w:r>
      <w:r w:rsidR="00BF070C" w:rsidRPr="00C974DD">
        <w:t>e evaluation considered that th</w:t>
      </w:r>
      <w:r w:rsidRPr="00C974DD">
        <w:t xml:space="preserve">is does not appear to reflect current clinical practice where patients </w:t>
      </w:r>
      <w:r w:rsidR="000954CA" w:rsidRPr="00C974DD">
        <w:t xml:space="preserve">who relapse </w:t>
      </w:r>
      <w:r w:rsidRPr="00C974DD">
        <w:t>may receive more than two lines of rituximab treatment.</w:t>
      </w:r>
    </w:p>
    <w:p w:rsidR="00894489" w:rsidRPr="00C974DD" w:rsidRDefault="00894489" w:rsidP="004C3837">
      <w:pPr>
        <w:rPr>
          <w:i/>
          <w:szCs w:val="22"/>
        </w:rPr>
      </w:pPr>
    </w:p>
    <w:p w:rsidR="0094340E" w:rsidRPr="00C974DD" w:rsidRDefault="0094340E" w:rsidP="004C3837">
      <w:pPr>
        <w:pStyle w:val="ListParagraph"/>
        <w:numPr>
          <w:ilvl w:val="1"/>
          <w:numId w:val="15"/>
        </w:numPr>
      </w:pPr>
      <w:r w:rsidRPr="00C974DD">
        <w:t xml:space="preserve">The </w:t>
      </w:r>
      <w:r w:rsidR="00D31F7B" w:rsidRPr="00C974DD">
        <w:t xml:space="preserve">submission proposed that the </w:t>
      </w:r>
      <w:r w:rsidRPr="00C974DD">
        <w:t xml:space="preserve">only difference between the current </w:t>
      </w:r>
      <w:r w:rsidR="00D31F7B" w:rsidRPr="00C974DD">
        <w:t xml:space="preserve">treatment </w:t>
      </w:r>
      <w:r w:rsidRPr="00C974DD">
        <w:t>algorithm</w:t>
      </w:r>
      <w:r w:rsidR="001F3661" w:rsidRPr="00C974DD">
        <w:t xml:space="preserve"> </w:t>
      </w:r>
      <w:r w:rsidR="00D31F7B" w:rsidRPr="00C974DD">
        <w:t xml:space="preserve">and that </w:t>
      </w:r>
      <w:r w:rsidR="001F3661" w:rsidRPr="00C974DD">
        <w:t xml:space="preserve">proposed </w:t>
      </w:r>
      <w:r w:rsidR="005646C4" w:rsidRPr="00C974DD">
        <w:t xml:space="preserve">would be </w:t>
      </w:r>
      <w:r w:rsidRPr="00C974DD">
        <w:t xml:space="preserve">the insertion of idelalisib as </w:t>
      </w:r>
      <w:r w:rsidR="00B90DF6" w:rsidRPr="00C974DD">
        <w:t xml:space="preserve">a </w:t>
      </w:r>
      <w:r w:rsidRPr="00C974DD">
        <w:t>third line treatment after failing two cycles of rituximab treatments (either one induction cycle and one maintenance cycle or two induction cycles), before localised radiotherapy, experimental treatments in a clinical trial</w:t>
      </w:r>
      <w:r w:rsidR="00CA2209" w:rsidRPr="00C974DD">
        <w:t>,</w:t>
      </w:r>
      <w:r w:rsidRPr="00C974DD">
        <w:t xml:space="preserve"> or palliative care. </w:t>
      </w:r>
    </w:p>
    <w:p w:rsidR="009E57F5" w:rsidRPr="00C974DD" w:rsidRDefault="009E57F5" w:rsidP="000B261C">
      <w:pPr>
        <w:pStyle w:val="ListParagraph"/>
      </w:pPr>
    </w:p>
    <w:p w:rsidR="00576BB5" w:rsidRPr="00C974DD" w:rsidRDefault="000146EE" w:rsidP="009E57F5">
      <w:pPr>
        <w:pStyle w:val="ListParagraph"/>
        <w:numPr>
          <w:ilvl w:val="1"/>
          <w:numId w:val="15"/>
        </w:numPr>
      </w:pPr>
      <w:r w:rsidRPr="00C974DD">
        <w:t>T</w:t>
      </w:r>
      <w:r w:rsidR="00FB3E9C" w:rsidRPr="00C974DD">
        <w:t xml:space="preserve">he PSCR’s </w:t>
      </w:r>
      <w:r w:rsidR="00576BB5" w:rsidRPr="00C974DD">
        <w:t xml:space="preserve">revised restriction </w:t>
      </w:r>
      <w:r w:rsidR="00FB3E9C" w:rsidRPr="00C974DD">
        <w:t xml:space="preserve">would limit use to patients who have disease that is </w:t>
      </w:r>
      <w:r w:rsidR="009E57F5" w:rsidRPr="00C974DD">
        <w:t>refractory to both rituximab and an alkylating agent</w:t>
      </w:r>
      <w:r w:rsidR="00FB3E9C" w:rsidRPr="00C974DD">
        <w:t>, rather than relapsed disease as proposed in the submission.</w:t>
      </w:r>
      <w:r w:rsidR="009E57F5" w:rsidRPr="00C974DD">
        <w:t xml:space="preserve"> </w:t>
      </w:r>
      <w:r w:rsidRPr="00C974DD">
        <w:t>R</w:t>
      </w:r>
      <w:r w:rsidR="009E57F5" w:rsidRPr="00C974DD">
        <w:t xml:space="preserve">efractory </w:t>
      </w:r>
      <w:r w:rsidRPr="00C974DD">
        <w:t xml:space="preserve">was defined as </w:t>
      </w:r>
      <w:r w:rsidR="009E57F5" w:rsidRPr="00C974DD">
        <w:t xml:space="preserve">less than a partial response or disease </w:t>
      </w:r>
      <w:r w:rsidRPr="00C974DD">
        <w:t xml:space="preserve">progression </w:t>
      </w:r>
      <w:r w:rsidR="009E57F5" w:rsidRPr="00C974DD">
        <w:t>within 6 months after completion of a prior therapy</w:t>
      </w:r>
      <w:r w:rsidR="00FB3E9C" w:rsidRPr="00C974DD">
        <w:t>.</w:t>
      </w:r>
      <w:r w:rsidR="009E57F5" w:rsidRPr="00C974DD">
        <w:t xml:space="preserve"> </w:t>
      </w:r>
    </w:p>
    <w:p w:rsidR="002C2775" w:rsidRPr="00C974DD" w:rsidRDefault="002C2775" w:rsidP="002C2775">
      <w:pPr>
        <w:rPr>
          <w:szCs w:val="22"/>
        </w:rPr>
      </w:pPr>
    </w:p>
    <w:p w:rsidR="009C5883" w:rsidRPr="00C974DD" w:rsidRDefault="009C5883" w:rsidP="00FB3E9C">
      <w:pPr>
        <w:widowControl w:val="0"/>
        <w:numPr>
          <w:ilvl w:val="1"/>
          <w:numId w:val="15"/>
        </w:numPr>
        <w:contextualSpacing/>
        <w:rPr>
          <w:szCs w:val="22"/>
        </w:rPr>
      </w:pPr>
      <w:r w:rsidRPr="00C974DD">
        <w:rPr>
          <w:szCs w:val="22"/>
        </w:rPr>
        <w:t xml:space="preserve">The ESC considered that the treatment algorithm for </w:t>
      </w:r>
      <w:r w:rsidR="00576BB5" w:rsidRPr="00C974DD">
        <w:rPr>
          <w:szCs w:val="22"/>
        </w:rPr>
        <w:t>iNHL</w:t>
      </w:r>
      <w:r w:rsidRPr="00C974DD">
        <w:rPr>
          <w:szCs w:val="22"/>
        </w:rPr>
        <w:t xml:space="preserve"> is evolving.</w:t>
      </w:r>
      <w:r w:rsidR="00FB3E9C" w:rsidRPr="00C974DD">
        <w:rPr>
          <w:szCs w:val="22"/>
        </w:rPr>
        <w:t xml:space="preserve"> On 1 </w:t>
      </w:r>
      <w:r w:rsidRPr="00C974DD">
        <w:rPr>
          <w:szCs w:val="22"/>
        </w:rPr>
        <w:t xml:space="preserve">December 2014, rituximab was listed </w:t>
      </w:r>
      <w:r w:rsidR="00A5669A" w:rsidRPr="00C974DD">
        <w:rPr>
          <w:szCs w:val="22"/>
        </w:rPr>
        <w:t>as</w:t>
      </w:r>
      <w:r w:rsidR="00FB3E9C" w:rsidRPr="00C974DD">
        <w:rPr>
          <w:szCs w:val="22"/>
        </w:rPr>
        <w:t xml:space="preserve"> maintenance therapy in follicular NHL following a</w:t>
      </w:r>
      <w:r w:rsidR="00FB3E9C" w:rsidRPr="00C974DD">
        <w:t xml:space="preserve"> </w:t>
      </w:r>
      <w:r w:rsidR="00FB3E9C" w:rsidRPr="00C974DD">
        <w:rPr>
          <w:szCs w:val="22"/>
        </w:rPr>
        <w:t>partial or complete response to the induction phase of treatment</w:t>
      </w:r>
      <w:r w:rsidR="00FB3E9C" w:rsidRPr="00C974DD">
        <w:t>. Further, bendamustine (an alkylating agent) w</w:t>
      </w:r>
      <w:r w:rsidR="00BF070C" w:rsidRPr="00C974DD">
        <w:t>as also</w:t>
      </w:r>
      <w:r w:rsidR="00FB3E9C" w:rsidRPr="00C974DD">
        <w:t xml:space="preserve"> considered by the PBAC in March 2015 for</w:t>
      </w:r>
      <w:r w:rsidR="00A5669A" w:rsidRPr="00C974DD">
        <w:t xml:space="preserve"> the</w:t>
      </w:r>
      <w:r w:rsidR="00FB3E9C" w:rsidRPr="00C974DD">
        <w:t xml:space="preserve"> treatment of patients with iNHL</w:t>
      </w:r>
      <w:r w:rsidRPr="00C974DD">
        <w:t>.</w:t>
      </w:r>
    </w:p>
    <w:p w:rsidR="00E55BB5" w:rsidRPr="00C974DD" w:rsidRDefault="00E55BB5" w:rsidP="00B60939">
      <w:pPr>
        <w:pStyle w:val="Header"/>
        <w:rPr>
          <w:szCs w:val="22"/>
        </w:rPr>
      </w:pPr>
    </w:p>
    <w:p w:rsidR="00F17EF3" w:rsidRPr="00C974DD" w:rsidRDefault="00F17EF3" w:rsidP="00F17EF3">
      <w:pPr>
        <w:pStyle w:val="ListParagraph"/>
        <w:rPr>
          <w:i/>
          <w:szCs w:val="22"/>
        </w:rPr>
      </w:pPr>
      <w:r w:rsidRPr="00C974DD">
        <w:rPr>
          <w:i/>
          <w:szCs w:val="22"/>
        </w:rPr>
        <w:t>For more detail on PBAC’s view, see section 7 “PBAC outcome”</w:t>
      </w:r>
    </w:p>
    <w:p w:rsidR="00F17EF3" w:rsidRPr="00C974DD" w:rsidRDefault="00F17EF3" w:rsidP="00B60939">
      <w:pPr>
        <w:pStyle w:val="Header"/>
        <w:rPr>
          <w:szCs w:val="22"/>
        </w:rPr>
      </w:pPr>
    </w:p>
    <w:p w:rsidR="00B50DB8" w:rsidRPr="00C974DD" w:rsidRDefault="00B50DB8" w:rsidP="008F17F0">
      <w:pPr>
        <w:pStyle w:val="PBACHeading1"/>
      </w:pPr>
      <w:r w:rsidRPr="00C974DD">
        <w:t>Comparator</w:t>
      </w:r>
    </w:p>
    <w:p w:rsidR="00B60939" w:rsidRPr="00C974DD" w:rsidRDefault="00B60939" w:rsidP="004B1CB4"/>
    <w:p w:rsidR="00DA6422" w:rsidRPr="00C974DD" w:rsidRDefault="00626E68" w:rsidP="000A0E1D">
      <w:pPr>
        <w:pStyle w:val="ListParagraph"/>
        <w:numPr>
          <w:ilvl w:val="1"/>
          <w:numId w:val="15"/>
        </w:numPr>
        <w:rPr>
          <w:szCs w:val="22"/>
        </w:rPr>
      </w:pPr>
      <w:r w:rsidRPr="00C974DD">
        <w:t>The submission nominated b</w:t>
      </w:r>
      <w:r w:rsidR="00954D0C" w:rsidRPr="00C974DD">
        <w:t>est supportive</w:t>
      </w:r>
      <w:r w:rsidRPr="00C974DD">
        <w:t xml:space="preserve"> care as the comparator.</w:t>
      </w:r>
      <w:r w:rsidR="00DA6422" w:rsidRPr="00C974DD">
        <w:t xml:space="preserve"> Best supportive care represented a mix of ill-defined therapies, for which no comprehensive clinical data was available. This was not considered to be the appropriate comparator by the evaluator</w:t>
      </w:r>
      <w:r w:rsidR="000A0E1D" w:rsidRPr="00C974DD">
        <w:t xml:space="preserve"> for the population requested</w:t>
      </w:r>
      <w:r w:rsidR="007174EF" w:rsidRPr="00C974DD">
        <w:t xml:space="preserve"> in</w:t>
      </w:r>
      <w:r w:rsidR="000A0E1D" w:rsidRPr="00C974DD">
        <w:t xml:space="preserve"> the </w:t>
      </w:r>
      <w:r w:rsidR="00D31F7B" w:rsidRPr="00C974DD">
        <w:t>submission</w:t>
      </w:r>
      <w:r w:rsidR="00DA6422" w:rsidRPr="00C974DD">
        <w:t>.</w:t>
      </w:r>
    </w:p>
    <w:p w:rsidR="00626E68" w:rsidRPr="00C974DD" w:rsidRDefault="00626E68" w:rsidP="00A355BF">
      <w:pPr>
        <w:pStyle w:val="ListParagraph"/>
        <w:rPr>
          <w:i/>
        </w:rPr>
      </w:pPr>
    </w:p>
    <w:p w:rsidR="0012176D" w:rsidRPr="00C974DD" w:rsidRDefault="00FC1AE5" w:rsidP="0062598A">
      <w:pPr>
        <w:pStyle w:val="ListParagraph"/>
        <w:numPr>
          <w:ilvl w:val="1"/>
          <w:numId w:val="15"/>
        </w:numPr>
        <w:rPr>
          <w:i/>
        </w:rPr>
      </w:pPr>
      <w:r w:rsidRPr="00C974DD">
        <w:t xml:space="preserve">For the population requested </w:t>
      </w:r>
      <w:r w:rsidR="00E52A22" w:rsidRPr="00C974DD">
        <w:t xml:space="preserve">in </w:t>
      </w:r>
      <w:r w:rsidRPr="00C974DD">
        <w:t>the submission</w:t>
      </w:r>
      <w:r w:rsidR="007174EF" w:rsidRPr="00C974DD">
        <w:t xml:space="preserve">, </w:t>
      </w:r>
      <w:r w:rsidRPr="00C974DD">
        <w:t xml:space="preserve">i.e. </w:t>
      </w:r>
      <w:r w:rsidR="000A0E1D" w:rsidRPr="00C974DD">
        <w:t>progressive disease despite previous treatment with at least two prior therapies</w:t>
      </w:r>
      <w:r w:rsidR="007174EF" w:rsidRPr="00C974DD">
        <w:t xml:space="preserve">, </w:t>
      </w:r>
      <w:r w:rsidR="00BF070C" w:rsidRPr="00C974DD">
        <w:t xml:space="preserve">the evaluator considered that </w:t>
      </w:r>
      <w:r w:rsidR="007174EF" w:rsidRPr="00C974DD">
        <w:t>r</w:t>
      </w:r>
      <w:r w:rsidRPr="00C974DD">
        <w:t xml:space="preserve">ituximab could be used as a comparator, as some patients </w:t>
      </w:r>
      <w:r w:rsidR="000A0E1D" w:rsidRPr="00C974DD">
        <w:t xml:space="preserve">may </w:t>
      </w:r>
      <w:r w:rsidRPr="00C974DD">
        <w:t>receive more than two lines of rituximab treatment.</w:t>
      </w:r>
      <w:r w:rsidR="0012176D" w:rsidRPr="00C974DD">
        <w:t xml:space="preserve"> </w:t>
      </w:r>
    </w:p>
    <w:p w:rsidR="00FC1AE5" w:rsidRPr="00C974DD" w:rsidRDefault="00FC1AE5" w:rsidP="008F50EF">
      <w:pPr>
        <w:pStyle w:val="ListParagraph"/>
      </w:pPr>
    </w:p>
    <w:p w:rsidR="00240269" w:rsidRPr="00C974DD" w:rsidRDefault="00794603" w:rsidP="0012176D">
      <w:pPr>
        <w:pStyle w:val="ListParagraph"/>
        <w:keepNext/>
        <w:numPr>
          <w:ilvl w:val="1"/>
          <w:numId w:val="15"/>
        </w:numPr>
        <w:rPr>
          <w:i/>
          <w:szCs w:val="22"/>
        </w:rPr>
      </w:pPr>
      <w:r w:rsidRPr="00C974DD">
        <w:t xml:space="preserve">Bendamustine </w:t>
      </w:r>
      <w:r w:rsidR="000A0E1D" w:rsidRPr="00C974DD">
        <w:t xml:space="preserve">(an alkylating agent) </w:t>
      </w:r>
      <w:r w:rsidRPr="00C974DD">
        <w:t>w</w:t>
      </w:r>
      <w:r w:rsidR="00953B7F" w:rsidRPr="00C974DD">
        <w:t>as also</w:t>
      </w:r>
      <w:r w:rsidRPr="00C974DD">
        <w:t xml:space="preserve"> considered by the PBAC in March 2015 for </w:t>
      </w:r>
      <w:r w:rsidR="001F3661" w:rsidRPr="00C974DD">
        <w:t xml:space="preserve">the </w:t>
      </w:r>
      <w:r w:rsidRPr="00C974DD">
        <w:t>treatment of patients with indolent NHL. Th</w:t>
      </w:r>
      <w:r w:rsidR="001F3661" w:rsidRPr="00C974DD">
        <w:t>e evalu</w:t>
      </w:r>
      <w:r w:rsidR="00953B7F" w:rsidRPr="00C974DD">
        <w:t>ator had considered that th</w:t>
      </w:r>
      <w:r w:rsidRPr="00C974DD">
        <w:t xml:space="preserve">is could </w:t>
      </w:r>
      <w:r w:rsidR="005B4C02" w:rsidRPr="00C974DD">
        <w:t xml:space="preserve">also </w:t>
      </w:r>
      <w:r w:rsidRPr="00C974DD">
        <w:t>be a</w:t>
      </w:r>
      <w:r w:rsidRPr="00C974DD">
        <w:rPr>
          <w:i/>
        </w:rPr>
        <w:t xml:space="preserve"> </w:t>
      </w:r>
      <w:r w:rsidRPr="00C974DD">
        <w:t xml:space="preserve">comparator, and efficacy between the two treatments could be compared using a naïve indirect comparison. </w:t>
      </w:r>
      <w:r w:rsidR="0012176D" w:rsidRPr="00C974DD">
        <w:rPr>
          <w:i/>
        </w:rPr>
        <w:t xml:space="preserve"> </w:t>
      </w:r>
    </w:p>
    <w:p w:rsidR="00541721" w:rsidRPr="00C974DD" w:rsidRDefault="00541721" w:rsidP="000B261C">
      <w:pPr>
        <w:pStyle w:val="ListParagraph"/>
        <w:rPr>
          <w:szCs w:val="22"/>
        </w:rPr>
      </w:pPr>
    </w:p>
    <w:p w:rsidR="004E1612" w:rsidRPr="00C974DD" w:rsidRDefault="00541721" w:rsidP="000B261C">
      <w:pPr>
        <w:pStyle w:val="ListParagraph"/>
        <w:keepNext/>
        <w:numPr>
          <w:ilvl w:val="1"/>
          <w:numId w:val="15"/>
        </w:numPr>
        <w:rPr>
          <w:szCs w:val="22"/>
        </w:rPr>
      </w:pPr>
      <w:r w:rsidRPr="00C974DD">
        <w:rPr>
          <w:szCs w:val="22"/>
        </w:rPr>
        <w:lastRenderedPageBreak/>
        <w:t>The PSCR’s revised restriction would limit use to</w:t>
      </w:r>
      <w:r w:rsidRPr="00C974DD">
        <w:t xml:space="preserve"> </w:t>
      </w:r>
      <w:r w:rsidRPr="00C974DD">
        <w:rPr>
          <w:szCs w:val="22"/>
        </w:rPr>
        <w:t xml:space="preserve">patients who are refractory to both rituximab and an alkylating agent, and therefore the ESC considered that best supportive care </w:t>
      </w:r>
      <w:r w:rsidR="000146EE" w:rsidRPr="00C974DD">
        <w:rPr>
          <w:szCs w:val="22"/>
        </w:rPr>
        <w:t>was the</w:t>
      </w:r>
      <w:r w:rsidRPr="00C974DD">
        <w:rPr>
          <w:szCs w:val="22"/>
        </w:rPr>
        <w:t xml:space="preserve"> appropriate comparator. </w:t>
      </w:r>
    </w:p>
    <w:p w:rsidR="004E1612" w:rsidRPr="00C974DD" w:rsidRDefault="004E1612" w:rsidP="008053E8">
      <w:pPr>
        <w:pStyle w:val="ListParagraph"/>
        <w:rPr>
          <w:szCs w:val="22"/>
        </w:rPr>
      </w:pPr>
    </w:p>
    <w:p w:rsidR="00FB3E9C" w:rsidRPr="00C974DD" w:rsidRDefault="00541721" w:rsidP="004E1612">
      <w:pPr>
        <w:pStyle w:val="ListParagraph"/>
        <w:keepNext/>
        <w:numPr>
          <w:ilvl w:val="1"/>
          <w:numId w:val="15"/>
        </w:numPr>
        <w:rPr>
          <w:szCs w:val="22"/>
        </w:rPr>
      </w:pPr>
      <w:r w:rsidRPr="00C974DD">
        <w:rPr>
          <w:szCs w:val="22"/>
        </w:rPr>
        <w:t>The ESC noted that the submission considered “b</w:t>
      </w:r>
      <w:r w:rsidR="00FB3E9C" w:rsidRPr="00C974DD">
        <w:rPr>
          <w:szCs w:val="22"/>
        </w:rPr>
        <w:t xml:space="preserve">est supportive care” </w:t>
      </w:r>
      <w:r w:rsidRPr="00C974DD">
        <w:rPr>
          <w:szCs w:val="22"/>
        </w:rPr>
        <w:t xml:space="preserve">to </w:t>
      </w:r>
      <w:r w:rsidR="00FB3E9C" w:rsidRPr="00C974DD">
        <w:rPr>
          <w:szCs w:val="22"/>
        </w:rPr>
        <w:t>include</w:t>
      </w:r>
      <w:r w:rsidRPr="00C974DD">
        <w:rPr>
          <w:szCs w:val="22"/>
        </w:rPr>
        <w:t xml:space="preserve"> a mix of therapies (anti</w:t>
      </w:r>
      <w:r w:rsidRPr="00C974DD">
        <w:rPr>
          <w:szCs w:val="22"/>
        </w:rPr>
        <w:noBreakHyphen/>
      </w:r>
      <w:r w:rsidR="00FB3E9C" w:rsidRPr="00C974DD">
        <w:rPr>
          <w:szCs w:val="22"/>
        </w:rPr>
        <w:t>cancer, investigational, unfunded)</w:t>
      </w:r>
      <w:r w:rsidRPr="00C974DD">
        <w:rPr>
          <w:szCs w:val="22"/>
        </w:rPr>
        <w:t xml:space="preserve">. </w:t>
      </w:r>
      <w:r w:rsidR="004E1612" w:rsidRPr="00C974DD">
        <w:rPr>
          <w:szCs w:val="22"/>
        </w:rPr>
        <w:t>The economic evaluation estimated that 20% of patients who received best supportive care would be given anti-cancer drugs such as low dose FCR and rituximab monotherapy. The cost (but not benefit) of these treatments was included in the model’s base case.</w:t>
      </w:r>
    </w:p>
    <w:p w:rsidR="00265E86" w:rsidRPr="00C974DD" w:rsidRDefault="00265E86" w:rsidP="000B261C">
      <w:pPr>
        <w:pStyle w:val="ListParagraph"/>
        <w:rPr>
          <w:i/>
          <w:szCs w:val="22"/>
        </w:rPr>
      </w:pPr>
    </w:p>
    <w:p w:rsidR="00F17EF3" w:rsidRPr="00C974DD" w:rsidRDefault="00F17EF3" w:rsidP="00F17EF3">
      <w:pPr>
        <w:pStyle w:val="ListParagraph"/>
        <w:rPr>
          <w:i/>
          <w:szCs w:val="22"/>
        </w:rPr>
      </w:pPr>
      <w:r w:rsidRPr="00C974DD">
        <w:rPr>
          <w:i/>
          <w:szCs w:val="22"/>
        </w:rPr>
        <w:t>For more detail on PBAC’s view, see section 7 “PBAC outcome”</w:t>
      </w:r>
    </w:p>
    <w:p w:rsidR="00F17EF3" w:rsidRDefault="00F17EF3" w:rsidP="000B261C">
      <w:pPr>
        <w:pStyle w:val="ListParagraph"/>
        <w:rPr>
          <w:i/>
          <w:szCs w:val="22"/>
        </w:rPr>
      </w:pPr>
    </w:p>
    <w:p w:rsidR="005F67C0" w:rsidRPr="00C974DD" w:rsidRDefault="005F67C0" w:rsidP="000B261C">
      <w:pPr>
        <w:pStyle w:val="ListParagraph"/>
        <w:rPr>
          <w:i/>
          <w:szCs w:val="22"/>
        </w:rPr>
      </w:pPr>
    </w:p>
    <w:p w:rsidR="00B50DB8" w:rsidRPr="00C974DD" w:rsidRDefault="00BD6CF3" w:rsidP="00BD6CF3">
      <w:pPr>
        <w:pStyle w:val="PBACHeading1"/>
      </w:pPr>
      <w:bookmarkStart w:id="5" w:name="_Toc409517487"/>
      <w:r w:rsidRPr="00C974DD">
        <w:t>C</w:t>
      </w:r>
      <w:r w:rsidR="00B50DB8" w:rsidRPr="00C974DD">
        <w:t>onsideration of the evidence</w:t>
      </w:r>
      <w:bookmarkEnd w:id="5"/>
    </w:p>
    <w:p w:rsidR="00B60939" w:rsidRPr="00C974DD" w:rsidRDefault="00B60939" w:rsidP="004B1CB4"/>
    <w:p w:rsidR="00F17EF3" w:rsidRDefault="00F17EF3" w:rsidP="008F17F0">
      <w:pPr>
        <w:pStyle w:val="Heading2"/>
      </w:pPr>
      <w:r w:rsidRPr="00C974DD">
        <w:t>Sponsor hearing</w:t>
      </w:r>
    </w:p>
    <w:p w:rsidR="00CA6401" w:rsidRPr="00CA6401" w:rsidRDefault="00CA6401" w:rsidP="00CA6401"/>
    <w:p w:rsidR="00F17EF3" w:rsidRPr="00C974DD" w:rsidRDefault="00F17EF3" w:rsidP="000A05AC">
      <w:pPr>
        <w:widowControl w:val="0"/>
        <w:numPr>
          <w:ilvl w:val="1"/>
          <w:numId w:val="15"/>
        </w:numPr>
        <w:contextualSpacing/>
        <w:rPr>
          <w:bCs/>
          <w:szCs w:val="22"/>
        </w:rPr>
      </w:pPr>
      <w:r w:rsidRPr="00C974DD">
        <w:rPr>
          <w:bCs/>
          <w:szCs w:val="22"/>
        </w:rPr>
        <w:t>There was no hearing for this item.</w:t>
      </w:r>
    </w:p>
    <w:p w:rsidR="00F17EF3" w:rsidRPr="00C974DD" w:rsidRDefault="00F17EF3" w:rsidP="00F17EF3">
      <w:pPr>
        <w:rPr>
          <w:bCs/>
          <w:szCs w:val="22"/>
        </w:rPr>
      </w:pPr>
    </w:p>
    <w:p w:rsidR="00F17EF3" w:rsidRDefault="00F17EF3" w:rsidP="008F17F0">
      <w:pPr>
        <w:pStyle w:val="Heading2"/>
      </w:pPr>
      <w:r w:rsidRPr="00C974DD">
        <w:t>Consumer comments</w:t>
      </w:r>
    </w:p>
    <w:p w:rsidR="00CA6401" w:rsidRPr="00CA6401" w:rsidRDefault="00CA6401" w:rsidP="00CA6401"/>
    <w:p w:rsidR="00F17EF3" w:rsidRPr="00C974DD" w:rsidRDefault="00F17EF3" w:rsidP="00F17EF3">
      <w:pPr>
        <w:widowControl w:val="0"/>
        <w:numPr>
          <w:ilvl w:val="1"/>
          <w:numId w:val="15"/>
        </w:numPr>
        <w:contextualSpacing/>
        <w:rPr>
          <w:bCs/>
          <w:szCs w:val="22"/>
        </w:rPr>
      </w:pPr>
      <w:r w:rsidRPr="00C974DD">
        <w:rPr>
          <w:bCs/>
          <w:szCs w:val="22"/>
        </w:rPr>
        <w:t>The PBAC noted that no consumer comments were received for this item</w:t>
      </w:r>
      <w:r w:rsidR="0055786F" w:rsidRPr="00C974DD">
        <w:rPr>
          <w:bCs/>
          <w:szCs w:val="22"/>
        </w:rPr>
        <w:t xml:space="preserve"> through the consumer comments facility of the PBS website</w:t>
      </w:r>
      <w:r w:rsidRPr="00C974DD">
        <w:rPr>
          <w:bCs/>
          <w:szCs w:val="22"/>
        </w:rPr>
        <w:t>.</w:t>
      </w:r>
    </w:p>
    <w:p w:rsidR="0055786F" w:rsidRPr="00C974DD" w:rsidRDefault="0055786F" w:rsidP="0055786F">
      <w:pPr>
        <w:widowControl w:val="0"/>
        <w:ind w:left="720"/>
        <w:contextualSpacing/>
        <w:rPr>
          <w:bCs/>
          <w:szCs w:val="22"/>
        </w:rPr>
      </w:pPr>
    </w:p>
    <w:p w:rsidR="0055786F" w:rsidRPr="00C974DD" w:rsidRDefault="0055786F" w:rsidP="0055786F">
      <w:pPr>
        <w:widowControl w:val="0"/>
        <w:numPr>
          <w:ilvl w:val="1"/>
          <w:numId w:val="15"/>
        </w:numPr>
        <w:contextualSpacing/>
        <w:rPr>
          <w:bCs/>
          <w:szCs w:val="22"/>
        </w:rPr>
      </w:pPr>
      <w:r w:rsidRPr="00C974DD">
        <w:rPr>
          <w:bCs/>
          <w:szCs w:val="22"/>
        </w:rPr>
        <w:t xml:space="preserve">Representatives of the PBAC met with Lymphoma Australia prior to the PBAC meeting, and reported the following key points to the PBAC in relation to the agenda items for CLL and indolent NHL:  </w:t>
      </w:r>
    </w:p>
    <w:p w:rsidR="0055786F" w:rsidRPr="00C974DD" w:rsidRDefault="0055786F" w:rsidP="0055786F">
      <w:pPr>
        <w:widowControl w:val="0"/>
        <w:ind w:left="720"/>
        <w:contextualSpacing/>
        <w:rPr>
          <w:bCs/>
          <w:szCs w:val="22"/>
        </w:rPr>
      </w:pPr>
    </w:p>
    <w:p w:rsidR="0055786F" w:rsidRPr="00C974DD" w:rsidRDefault="0055786F" w:rsidP="0055786F">
      <w:pPr>
        <w:pStyle w:val="ListParagraph"/>
        <w:widowControl w:val="0"/>
        <w:numPr>
          <w:ilvl w:val="0"/>
          <w:numId w:val="96"/>
        </w:numPr>
        <w:rPr>
          <w:bCs/>
          <w:szCs w:val="22"/>
        </w:rPr>
      </w:pPr>
      <w:r w:rsidRPr="00C974DD">
        <w:rPr>
          <w:bCs/>
          <w:szCs w:val="22"/>
        </w:rPr>
        <w:t>Consumers place high importance on having access to the best available treatments. Where cure is not possible, the eventual goal would be to enable indolent lymphomas and CLL to be treated as chronic diseases. Ultimately patients may die of conditions unrelated to their lymphoma.</w:t>
      </w:r>
    </w:p>
    <w:p w:rsidR="0055786F" w:rsidRPr="00C974DD" w:rsidRDefault="0055786F" w:rsidP="0055786F">
      <w:pPr>
        <w:widowControl w:val="0"/>
        <w:ind w:left="720"/>
        <w:contextualSpacing/>
        <w:rPr>
          <w:bCs/>
          <w:szCs w:val="22"/>
        </w:rPr>
      </w:pPr>
    </w:p>
    <w:p w:rsidR="0055786F" w:rsidRPr="00C974DD" w:rsidRDefault="0055786F" w:rsidP="0055786F">
      <w:pPr>
        <w:pStyle w:val="ListParagraph"/>
        <w:widowControl w:val="0"/>
        <w:numPr>
          <w:ilvl w:val="0"/>
          <w:numId w:val="96"/>
        </w:numPr>
        <w:rPr>
          <w:bCs/>
          <w:szCs w:val="22"/>
        </w:rPr>
      </w:pPr>
      <w:r w:rsidRPr="00C974DD">
        <w:rPr>
          <w:bCs/>
          <w:szCs w:val="22"/>
        </w:rPr>
        <w:t xml:space="preserve">Patients may relapse multiple times in the course of the disease, and will be treated on relapse. As PBS subsidy may influence the choice of treatment, subsidising the most clinically effective treatments is critical to ensure the best value for the taxpayer. </w:t>
      </w:r>
    </w:p>
    <w:p w:rsidR="0055786F" w:rsidRPr="00C974DD" w:rsidRDefault="0055786F" w:rsidP="0055786F">
      <w:pPr>
        <w:widowControl w:val="0"/>
        <w:ind w:left="720"/>
        <w:contextualSpacing/>
        <w:rPr>
          <w:bCs/>
          <w:szCs w:val="22"/>
        </w:rPr>
      </w:pPr>
    </w:p>
    <w:p w:rsidR="0055786F" w:rsidRPr="00C974DD" w:rsidRDefault="0055786F" w:rsidP="0055786F">
      <w:pPr>
        <w:pStyle w:val="ListParagraph"/>
        <w:widowControl w:val="0"/>
        <w:numPr>
          <w:ilvl w:val="0"/>
          <w:numId w:val="96"/>
        </w:numPr>
        <w:rPr>
          <w:bCs/>
          <w:szCs w:val="22"/>
        </w:rPr>
      </w:pPr>
      <w:r w:rsidRPr="00C974DD">
        <w:rPr>
          <w:bCs/>
          <w:szCs w:val="22"/>
        </w:rPr>
        <w:t>Patients may be diagnosed at a young age and live for years after diagnosis, and therefore place a high value on PFS. Patients who are well during the progression</w:t>
      </w:r>
      <w:r w:rsidR="00C974DD" w:rsidRPr="00C974DD">
        <w:rPr>
          <w:bCs/>
          <w:szCs w:val="22"/>
        </w:rPr>
        <w:t>-</w:t>
      </w:r>
      <w:r w:rsidRPr="00C974DD">
        <w:rPr>
          <w:bCs/>
          <w:szCs w:val="22"/>
        </w:rPr>
        <w:t>free period can resume day-to day functions including participating in the workforce and family life. In this context, the decision for the patient rests on a balance of the PFS gained against the quality of life impacts of drug toxicity. The psychological impact of patients’ fear of relapse can have a highly detrimental effect on their quality of life.</w:t>
      </w:r>
    </w:p>
    <w:p w:rsidR="0055786F" w:rsidRPr="00C974DD" w:rsidRDefault="0055786F" w:rsidP="0055786F">
      <w:pPr>
        <w:widowControl w:val="0"/>
        <w:ind w:left="720"/>
        <w:contextualSpacing/>
        <w:rPr>
          <w:bCs/>
          <w:szCs w:val="22"/>
        </w:rPr>
      </w:pPr>
    </w:p>
    <w:p w:rsidR="0055786F" w:rsidRPr="00C974DD" w:rsidRDefault="0055786F" w:rsidP="0055786F">
      <w:pPr>
        <w:widowControl w:val="0"/>
        <w:ind w:left="720"/>
        <w:contextualSpacing/>
        <w:rPr>
          <w:bCs/>
          <w:szCs w:val="22"/>
        </w:rPr>
      </w:pPr>
      <w:r w:rsidRPr="00C974DD">
        <w:rPr>
          <w:bCs/>
          <w:szCs w:val="22"/>
        </w:rPr>
        <w:t xml:space="preserve">The PBAC noted and welcomed this input. The PBAC recognises that a drug may be useful even when it does not provide a survival advantage, but does provide quality of life benefits. In terms of using PFS to value the benefits of a drug, the PBAC recalled that some of the most informative submissions seen to date have presented economic models that incorporate the impacts on quality of life when patients are in a </w:t>
      </w:r>
      <w:r w:rsidRPr="00C974DD">
        <w:rPr>
          <w:bCs/>
          <w:szCs w:val="22"/>
        </w:rPr>
        <w:lastRenderedPageBreak/>
        <w:t>PFS state, capturing the fact that PFS is not an homogenous state. It was noted that exploring how patients could provide more input to rigorous measurement of Quality of Life would be valuable in future consumer submissions.</w:t>
      </w:r>
    </w:p>
    <w:p w:rsidR="00F17EF3" w:rsidRPr="00C974DD" w:rsidRDefault="00F17EF3" w:rsidP="004B1CB4"/>
    <w:p w:rsidR="00B60939" w:rsidRPr="005F67C0" w:rsidRDefault="00B60939" w:rsidP="002C2775">
      <w:pPr>
        <w:pStyle w:val="Heading2"/>
      </w:pPr>
      <w:bookmarkStart w:id="6" w:name="_Toc409517488"/>
      <w:r w:rsidRPr="005F67C0">
        <w:t>Clinical trials</w:t>
      </w:r>
      <w:bookmarkEnd w:id="6"/>
    </w:p>
    <w:p w:rsidR="00B60939" w:rsidRPr="00C974DD" w:rsidRDefault="00B60939" w:rsidP="00B60939">
      <w:pPr>
        <w:rPr>
          <w:szCs w:val="22"/>
        </w:rPr>
      </w:pPr>
    </w:p>
    <w:p w:rsidR="00B9294F" w:rsidRPr="00C974DD" w:rsidRDefault="00862502" w:rsidP="001C2448">
      <w:pPr>
        <w:pStyle w:val="ListParagraph"/>
        <w:numPr>
          <w:ilvl w:val="1"/>
          <w:numId w:val="15"/>
        </w:numPr>
        <w:rPr>
          <w:i/>
        </w:rPr>
      </w:pPr>
      <w:r w:rsidRPr="00C974DD">
        <w:t xml:space="preserve">The submission </w:t>
      </w:r>
      <w:r w:rsidR="00932E26" w:rsidRPr="00C974DD">
        <w:t>wa</w:t>
      </w:r>
      <w:r w:rsidRPr="00C974DD">
        <w:t xml:space="preserve">s based on one </w:t>
      </w:r>
      <w:r w:rsidR="001C1198" w:rsidRPr="00C974DD">
        <w:t>open-label</w:t>
      </w:r>
      <w:r w:rsidR="0092492D" w:rsidRPr="00C974DD">
        <w:t xml:space="preserve"> </w:t>
      </w:r>
      <w:r w:rsidR="00043C43" w:rsidRPr="00C974DD">
        <w:t>P</w:t>
      </w:r>
      <w:r w:rsidR="0092492D" w:rsidRPr="00C974DD">
        <w:t xml:space="preserve">hase </w:t>
      </w:r>
      <w:r w:rsidR="00043C43" w:rsidRPr="00C974DD">
        <w:t>II</w:t>
      </w:r>
      <w:r w:rsidR="001C1198" w:rsidRPr="00C974DD">
        <w:t xml:space="preserve"> study of patients </w:t>
      </w:r>
      <w:r w:rsidR="00DA6422" w:rsidRPr="00C974DD">
        <w:t>treated with</w:t>
      </w:r>
      <w:r w:rsidR="001C1198" w:rsidRPr="00C974DD">
        <w:t xml:space="preserve"> </w:t>
      </w:r>
      <w:r w:rsidR="00133476" w:rsidRPr="00C974DD">
        <w:t>idelalisib</w:t>
      </w:r>
      <w:r w:rsidR="001C1198" w:rsidRPr="00C974DD">
        <w:t>,</w:t>
      </w:r>
      <w:r w:rsidR="003C01FF" w:rsidRPr="00C974DD">
        <w:t xml:space="preserve"> and</w:t>
      </w:r>
      <w:r w:rsidR="001C1198" w:rsidRPr="00C974DD">
        <w:t xml:space="preserve"> two </w:t>
      </w:r>
      <w:r w:rsidR="00043C43" w:rsidRPr="00C974DD">
        <w:t>supportive P</w:t>
      </w:r>
      <w:r w:rsidR="0092492D" w:rsidRPr="00C974DD">
        <w:t xml:space="preserve">hase </w:t>
      </w:r>
      <w:r w:rsidR="00043C43" w:rsidRPr="00C974DD">
        <w:t>I</w:t>
      </w:r>
      <w:r w:rsidR="0092492D" w:rsidRPr="00C974DD">
        <w:t xml:space="preserve"> safety studies of </w:t>
      </w:r>
      <w:r w:rsidR="00133476" w:rsidRPr="00C974DD">
        <w:t>idelalisib</w:t>
      </w:r>
      <w:r w:rsidR="003C01FF" w:rsidRPr="00C974DD">
        <w:t>.</w:t>
      </w:r>
      <w:r w:rsidR="0092492D" w:rsidRPr="00C974DD">
        <w:t xml:space="preserve"> </w:t>
      </w:r>
      <w:r w:rsidR="003C01FF" w:rsidRPr="00C974DD">
        <w:t>T</w:t>
      </w:r>
      <w:r w:rsidR="0092492D" w:rsidRPr="00C974DD">
        <w:t xml:space="preserve">wo open label studies of patients </w:t>
      </w:r>
      <w:r w:rsidR="00D31F7B" w:rsidRPr="00C974DD">
        <w:t>on</w:t>
      </w:r>
      <w:r w:rsidR="0092492D" w:rsidRPr="00C974DD">
        <w:t xml:space="preserve"> other therapies</w:t>
      </w:r>
      <w:r w:rsidR="003C01FF" w:rsidRPr="00C974DD">
        <w:t xml:space="preserve"> were reviewed</w:t>
      </w:r>
      <w:r w:rsidR="0092492D" w:rsidRPr="00C974DD">
        <w:t xml:space="preserve"> to provide </w:t>
      </w:r>
      <w:r w:rsidR="008156CD" w:rsidRPr="00C974DD">
        <w:t>what the submission called “</w:t>
      </w:r>
      <w:r w:rsidR="001B774B" w:rsidRPr="00C974DD">
        <w:t>c</w:t>
      </w:r>
      <w:r w:rsidR="007D031F" w:rsidRPr="00C974DD">
        <w:t>ontextual</w:t>
      </w:r>
      <w:r w:rsidR="001B774B" w:rsidRPr="00C974DD">
        <w:t xml:space="preserve"> </w:t>
      </w:r>
      <w:r w:rsidR="0092492D" w:rsidRPr="00C974DD">
        <w:t>efficacy</w:t>
      </w:r>
      <w:r w:rsidR="002204CD" w:rsidRPr="00C974DD">
        <w:t>.</w:t>
      </w:r>
      <w:r w:rsidR="008156CD" w:rsidRPr="00C974DD">
        <w:t>”</w:t>
      </w:r>
      <w:r w:rsidR="002204CD" w:rsidRPr="00C974DD">
        <w:t xml:space="preserve"> T</w:t>
      </w:r>
      <w:r w:rsidR="001B774B" w:rsidRPr="00C974DD">
        <w:t>he submission considered</w:t>
      </w:r>
      <w:r w:rsidR="002204CD" w:rsidRPr="00C974DD">
        <w:t xml:space="preserve"> the latter</w:t>
      </w:r>
      <w:r w:rsidR="001B774B" w:rsidRPr="00C974DD">
        <w:t xml:space="preserve"> to overestimate the efficacy of the </w:t>
      </w:r>
      <w:r w:rsidR="002204CD" w:rsidRPr="00C974DD">
        <w:t xml:space="preserve">nominated </w:t>
      </w:r>
      <w:r w:rsidR="001B774B" w:rsidRPr="00C974DD">
        <w:t>comparator</w:t>
      </w:r>
      <w:r w:rsidR="00B50E11" w:rsidRPr="00C974DD">
        <w:t>,</w:t>
      </w:r>
      <w:r w:rsidR="001B774B" w:rsidRPr="00C974DD">
        <w:t xml:space="preserve"> best supportive care</w:t>
      </w:r>
      <w:r w:rsidRPr="00C974DD">
        <w:t>.</w:t>
      </w:r>
      <w:r w:rsidR="00702F8F" w:rsidRPr="00C974DD">
        <w:t xml:space="preserve"> </w:t>
      </w:r>
      <w:r w:rsidR="001E5823" w:rsidRPr="00C974DD">
        <w:t xml:space="preserve">This evidence was provided in lieu of a formal comparison. </w:t>
      </w:r>
      <w:r w:rsidR="00092BDF" w:rsidRPr="00C974DD">
        <w:t xml:space="preserve">The evaluation performed a comparison of idelalisib and bendamustine, as the evaluation considered that bendamustine could have been a comparator. </w:t>
      </w:r>
    </w:p>
    <w:p w:rsidR="00660F35" w:rsidRPr="00C974DD" w:rsidRDefault="00660F35" w:rsidP="00660F35">
      <w:pPr>
        <w:pStyle w:val="ListParagraph"/>
        <w:rPr>
          <w:i/>
        </w:rPr>
      </w:pPr>
    </w:p>
    <w:p w:rsidR="00E52A22" w:rsidRPr="00C974DD" w:rsidRDefault="00E52A22" w:rsidP="00E52A22">
      <w:pPr>
        <w:pStyle w:val="ListParagraph"/>
        <w:numPr>
          <w:ilvl w:val="1"/>
          <w:numId w:val="15"/>
        </w:numPr>
      </w:pPr>
      <w:r w:rsidRPr="00C974DD">
        <w:t xml:space="preserve">Studies 101-09 and 101-02 </w:t>
      </w:r>
      <w:r w:rsidR="00436AEE" w:rsidRPr="00C974DD">
        <w:t xml:space="preserve">were part of the </w:t>
      </w:r>
      <w:r w:rsidRPr="00C974DD">
        <w:t xml:space="preserve">TGA’s consideration of idelalisib in NHL. These studies were also the basis for the Food and Drug Administration’s (FDA) approval of idelalisib under the agency’s accelerated approval program for use in relapsed follicular B-cell NHL or small lymphocytic lymphoma in patients who have received at least two prior systemic therapies. The FDA’s approved indication for these conditions states: </w:t>
      </w:r>
    </w:p>
    <w:p w:rsidR="00E52A22" w:rsidRPr="00C974DD" w:rsidRDefault="00E52A22" w:rsidP="00601152">
      <w:pPr>
        <w:pStyle w:val="ListParagraph"/>
        <w:ind w:left="1440"/>
      </w:pPr>
      <w:r w:rsidRPr="00C974DD">
        <w:t>“Accelerated approval was granted for follicular lymphoma and small lymphocytic lymphoma based on overall response rate. Improvement in patient survival or disease related symptoms has not been established. Continued approval for these indications may be contingent upon verification of clinical benefit in confirmatory trials”.</w:t>
      </w:r>
    </w:p>
    <w:p w:rsidR="00E52A22" w:rsidRPr="00C974DD" w:rsidRDefault="00E52A22" w:rsidP="000B261C">
      <w:pPr>
        <w:pStyle w:val="ListParagraph"/>
        <w:rPr>
          <w:i/>
        </w:rPr>
      </w:pPr>
    </w:p>
    <w:p w:rsidR="00862502" w:rsidRPr="00C974DD" w:rsidRDefault="00862502" w:rsidP="001C6B6F">
      <w:pPr>
        <w:pStyle w:val="ListParagraph"/>
        <w:numPr>
          <w:ilvl w:val="1"/>
          <w:numId w:val="15"/>
        </w:numPr>
        <w:rPr>
          <w:szCs w:val="22"/>
        </w:rPr>
      </w:pPr>
      <w:r w:rsidRPr="00C974DD">
        <w:rPr>
          <w:szCs w:val="22"/>
        </w:rPr>
        <w:t>Details of the trials presented in the submission</w:t>
      </w:r>
      <w:r w:rsidR="00BD2537" w:rsidRPr="00C974DD">
        <w:rPr>
          <w:szCs w:val="22"/>
        </w:rPr>
        <w:t xml:space="preserve"> are</w:t>
      </w:r>
      <w:r w:rsidRPr="00C974DD">
        <w:rPr>
          <w:szCs w:val="22"/>
        </w:rPr>
        <w:t xml:space="preserve"> provided in the table below.  </w:t>
      </w:r>
    </w:p>
    <w:p w:rsidR="00481281" w:rsidRPr="00C974DD" w:rsidRDefault="00481281">
      <w:pPr>
        <w:jc w:val="left"/>
        <w:rPr>
          <w:rStyle w:val="CommentReference"/>
        </w:rPr>
      </w:pPr>
    </w:p>
    <w:p w:rsidR="008F120A" w:rsidRPr="00C974DD" w:rsidRDefault="009B2431" w:rsidP="004B62CD">
      <w:pPr>
        <w:keepNext/>
        <w:ind w:firstLine="720"/>
        <w:rPr>
          <w:rStyle w:val="CommentReference"/>
        </w:rPr>
      </w:pPr>
      <w:r w:rsidRPr="00C974DD">
        <w:rPr>
          <w:rStyle w:val="CommentReference"/>
        </w:rPr>
        <w:t>Studies</w:t>
      </w:r>
      <w:r w:rsidR="008F120A" w:rsidRPr="00C974DD">
        <w:rPr>
          <w:rStyle w:val="CommentReference"/>
        </w:rPr>
        <w:t xml:space="preserve"> and associated reports presented in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Clinical trials and associated reports presented in the submission"/>
      </w:tblPr>
      <w:tblGrid>
        <w:gridCol w:w="1701"/>
        <w:gridCol w:w="4680"/>
        <w:gridCol w:w="1964"/>
      </w:tblGrid>
      <w:tr w:rsidR="00C974DD" w:rsidRPr="00C974DD" w:rsidTr="00E22A0D">
        <w:tc>
          <w:tcPr>
            <w:tcW w:w="1019" w:type="pct"/>
          </w:tcPr>
          <w:p w:rsidR="008F120A" w:rsidRPr="00C974DD" w:rsidRDefault="008F120A" w:rsidP="004B62CD">
            <w:pPr>
              <w:keepNext/>
              <w:rPr>
                <w:rFonts w:ascii="Arial Narrow" w:hAnsi="Arial Narrow"/>
                <w:b/>
                <w:sz w:val="20"/>
              </w:rPr>
            </w:pPr>
            <w:r w:rsidRPr="00C974DD">
              <w:rPr>
                <w:rFonts w:ascii="Arial Narrow" w:hAnsi="Arial Narrow"/>
                <w:b/>
                <w:sz w:val="20"/>
              </w:rPr>
              <w:t>Trial ID</w:t>
            </w:r>
            <w:r w:rsidR="00E22A0D" w:rsidRPr="00C974DD">
              <w:rPr>
                <w:rFonts w:ascii="Arial Narrow" w:hAnsi="Arial Narrow"/>
                <w:b/>
                <w:sz w:val="20"/>
              </w:rPr>
              <w:t>/First Author</w:t>
            </w:r>
          </w:p>
        </w:tc>
        <w:tc>
          <w:tcPr>
            <w:tcW w:w="2804" w:type="pct"/>
          </w:tcPr>
          <w:p w:rsidR="008F120A" w:rsidRPr="00C974DD" w:rsidRDefault="008F120A" w:rsidP="004B62CD">
            <w:pPr>
              <w:keepNext/>
              <w:jc w:val="center"/>
              <w:rPr>
                <w:rFonts w:ascii="Arial Narrow" w:hAnsi="Arial Narrow"/>
                <w:b/>
                <w:sz w:val="20"/>
              </w:rPr>
            </w:pPr>
            <w:r w:rsidRPr="00C974DD">
              <w:rPr>
                <w:rFonts w:ascii="Arial Narrow" w:hAnsi="Arial Narrow"/>
                <w:b/>
                <w:sz w:val="20"/>
              </w:rPr>
              <w:t>Protocol title/ Publication title</w:t>
            </w:r>
          </w:p>
        </w:tc>
        <w:tc>
          <w:tcPr>
            <w:tcW w:w="1177" w:type="pct"/>
          </w:tcPr>
          <w:p w:rsidR="008F120A" w:rsidRPr="00C974DD" w:rsidRDefault="008F120A" w:rsidP="004B62CD">
            <w:pPr>
              <w:keepNext/>
              <w:jc w:val="center"/>
              <w:rPr>
                <w:rFonts w:ascii="Arial Narrow" w:hAnsi="Arial Narrow"/>
                <w:b/>
                <w:sz w:val="20"/>
              </w:rPr>
            </w:pPr>
            <w:r w:rsidRPr="00C974DD">
              <w:rPr>
                <w:rFonts w:ascii="Arial Narrow" w:hAnsi="Arial Narrow"/>
                <w:b/>
                <w:sz w:val="20"/>
              </w:rPr>
              <w:t>Publication citation</w:t>
            </w:r>
          </w:p>
        </w:tc>
      </w:tr>
      <w:tr w:rsidR="00C974DD" w:rsidRPr="00C974DD" w:rsidTr="00E22A0D">
        <w:tc>
          <w:tcPr>
            <w:tcW w:w="5000" w:type="pct"/>
            <w:gridSpan w:val="3"/>
          </w:tcPr>
          <w:p w:rsidR="008F120A" w:rsidRPr="00C974DD" w:rsidRDefault="0051126B" w:rsidP="00AD4372">
            <w:pPr>
              <w:keepNext/>
              <w:rPr>
                <w:rFonts w:ascii="Arial Narrow" w:hAnsi="Arial Narrow"/>
                <w:b/>
                <w:sz w:val="20"/>
              </w:rPr>
            </w:pPr>
            <w:r w:rsidRPr="00C974DD">
              <w:rPr>
                <w:rFonts w:ascii="Arial Narrow" w:hAnsi="Arial Narrow"/>
                <w:b/>
                <w:sz w:val="20"/>
              </w:rPr>
              <w:t>I</w:t>
            </w:r>
            <w:r w:rsidR="00133476" w:rsidRPr="00C974DD">
              <w:rPr>
                <w:rFonts w:ascii="Arial Narrow" w:hAnsi="Arial Narrow"/>
                <w:b/>
                <w:sz w:val="20"/>
              </w:rPr>
              <w:t>delalisib</w:t>
            </w:r>
            <w:r w:rsidR="00725188" w:rsidRPr="00C974DD">
              <w:rPr>
                <w:rFonts w:ascii="Arial Narrow" w:hAnsi="Arial Narrow"/>
                <w:b/>
                <w:sz w:val="20"/>
              </w:rPr>
              <w:t xml:space="preserve"> studies</w:t>
            </w:r>
          </w:p>
        </w:tc>
      </w:tr>
      <w:tr w:rsidR="00C974DD" w:rsidRPr="00C974DD" w:rsidTr="00E22A0D">
        <w:tc>
          <w:tcPr>
            <w:tcW w:w="1019" w:type="pct"/>
          </w:tcPr>
          <w:p w:rsidR="00040C38" w:rsidRPr="00C974DD" w:rsidRDefault="00040C38" w:rsidP="004B62CD">
            <w:pPr>
              <w:keepNext/>
              <w:rPr>
                <w:rFonts w:ascii="Arial Narrow" w:hAnsi="Arial Narrow"/>
                <w:sz w:val="20"/>
              </w:rPr>
            </w:pPr>
            <w:r w:rsidRPr="00C974DD">
              <w:rPr>
                <w:rFonts w:ascii="Arial Narrow" w:hAnsi="Arial Narrow"/>
                <w:sz w:val="20"/>
              </w:rPr>
              <w:t>101-09</w:t>
            </w:r>
          </w:p>
          <w:p w:rsidR="00040C38" w:rsidRPr="00C974DD" w:rsidRDefault="00040C38" w:rsidP="004B62CD">
            <w:pPr>
              <w:keepNext/>
              <w:rPr>
                <w:rFonts w:ascii="Arial Narrow" w:hAnsi="Arial Narrow"/>
                <w:sz w:val="20"/>
              </w:rPr>
            </w:pPr>
          </w:p>
          <w:p w:rsidR="00040C38" w:rsidRPr="00C974DD" w:rsidRDefault="00040C38" w:rsidP="004B62CD">
            <w:pPr>
              <w:keepNext/>
              <w:rPr>
                <w:rFonts w:ascii="Arial Narrow" w:hAnsi="Arial Narrow"/>
                <w:sz w:val="20"/>
              </w:rPr>
            </w:pPr>
          </w:p>
          <w:p w:rsidR="00040C38" w:rsidRPr="00C974DD" w:rsidRDefault="00040C38" w:rsidP="004B62CD">
            <w:pPr>
              <w:keepNext/>
              <w:rPr>
                <w:rFonts w:ascii="Arial Narrow" w:hAnsi="Arial Narrow"/>
                <w:sz w:val="20"/>
              </w:rPr>
            </w:pPr>
          </w:p>
          <w:p w:rsidR="008F120A" w:rsidRPr="00C974DD" w:rsidRDefault="00725188">
            <w:pPr>
              <w:keepNext/>
              <w:rPr>
                <w:rFonts w:ascii="Arial Narrow" w:hAnsi="Arial Narrow"/>
                <w:sz w:val="20"/>
              </w:rPr>
            </w:pPr>
            <w:r w:rsidRPr="00C974DD">
              <w:rPr>
                <w:rFonts w:ascii="Arial Narrow" w:hAnsi="Arial Narrow"/>
                <w:sz w:val="20"/>
              </w:rPr>
              <w:t xml:space="preserve">Gopal </w:t>
            </w:r>
          </w:p>
        </w:tc>
        <w:tc>
          <w:tcPr>
            <w:tcW w:w="2804" w:type="pct"/>
          </w:tcPr>
          <w:p w:rsidR="00C9382C" w:rsidRPr="00C974DD" w:rsidRDefault="00C9382C" w:rsidP="004B62CD">
            <w:pPr>
              <w:keepNext/>
              <w:snapToGrid w:val="0"/>
              <w:rPr>
                <w:rFonts w:ascii="Arial Narrow" w:hAnsi="Arial Narrow"/>
                <w:b/>
                <w:sz w:val="20"/>
              </w:rPr>
            </w:pPr>
            <w:r w:rsidRPr="00C974DD">
              <w:rPr>
                <w:rFonts w:ascii="Arial Narrow" w:hAnsi="Arial Narrow"/>
                <w:sz w:val="20"/>
              </w:rPr>
              <w:t xml:space="preserve">A Phase 2 Study to Assess the Efficacy and Safety of Idelalisib in Subjects with Indolent B-Cell Non-Hodgkin Lymphomas Refractory to Rituximab and Alkylating Agents. </w:t>
            </w:r>
          </w:p>
          <w:p w:rsidR="00C9382C" w:rsidRPr="00C974DD" w:rsidRDefault="00C9382C" w:rsidP="004B62CD">
            <w:pPr>
              <w:keepNext/>
              <w:rPr>
                <w:rFonts w:ascii="Arial Narrow" w:hAnsi="Arial Narrow"/>
                <w:b/>
                <w:sz w:val="20"/>
              </w:rPr>
            </w:pPr>
          </w:p>
          <w:p w:rsidR="00EE521A" w:rsidRPr="00C974DD" w:rsidRDefault="00725188" w:rsidP="004B62CD">
            <w:pPr>
              <w:keepNext/>
              <w:rPr>
                <w:rFonts w:ascii="Arial Narrow" w:hAnsi="Arial Narrow"/>
                <w:b/>
                <w:sz w:val="20"/>
              </w:rPr>
            </w:pPr>
            <w:r w:rsidRPr="00C974DD">
              <w:rPr>
                <w:rFonts w:ascii="Arial Narrow" w:hAnsi="Arial Narrow"/>
                <w:sz w:val="20"/>
              </w:rPr>
              <w:t xml:space="preserve">PI3Kδ Inhibition by </w:t>
            </w:r>
            <w:r w:rsidR="00133476" w:rsidRPr="00C974DD">
              <w:rPr>
                <w:rFonts w:ascii="Arial Narrow" w:hAnsi="Arial Narrow"/>
                <w:sz w:val="20"/>
              </w:rPr>
              <w:t>idelalisib</w:t>
            </w:r>
            <w:r w:rsidRPr="00C974DD">
              <w:rPr>
                <w:rFonts w:ascii="Arial Narrow" w:hAnsi="Arial Narrow"/>
                <w:sz w:val="20"/>
              </w:rPr>
              <w:t xml:space="preserve"> in Patients with Relapsed Indolent Lymphoma</w:t>
            </w:r>
            <w:r w:rsidR="00C9382C" w:rsidRPr="00C974DD">
              <w:rPr>
                <w:rFonts w:ascii="Arial Narrow" w:hAnsi="Arial Narrow"/>
                <w:sz w:val="20"/>
              </w:rPr>
              <w:t>.</w:t>
            </w:r>
          </w:p>
        </w:tc>
        <w:tc>
          <w:tcPr>
            <w:tcW w:w="1177" w:type="pct"/>
          </w:tcPr>
          <w:p w:rsidR="00C9382C" w:rsidRPr="00C974DD" w:rsidRDefault="00040C38" w:rsidP="004B62CD">
            <w:pPr>
              <w:keepNext/>
              <w:rPr>
                <w:rFonts w:ascii="Arial Narrow" w:hAnsi="Arial Narrow"/>
                <w:sz w:val="20"/>
              </w:rPr>
            </w:pPr>
            <w:r w:rsidRPr="00C974DD">
              <w:rPr>
                <w:rFonts w:ascii="Arial Narrow" w:hAnsi="Arial Narrow"/>
                <w:sz w:val="20"/>
              </w:rPr>
              <w:t>Clinical study report 101-09, 12 August 2013</w:t>
            </w:r>
          </w:p>
          <w:p w:rsidR="00C9382C" w:rsidRPr="00C974DD" w:rsidRDefault="00C9382C" w:rsidP="004B62CD">
            <w:pPr>
              <w:keepNext/>
              <w:rPr>
                <w:rFonts w:ascii="Arial Narrow" w:hAnsi="Arial Narrow"/>
                <w:sz w:val="20"/>
              </w:rPr>
            </w:pPr>
          </w:p>
          <w:p w:rsidR="00C9382C" w:rsidRPr="00C974DD" w:rsidRDefault="00C9382C" w:rsidP="004B62CD">
            <w:pPr>
              <w:keepNext/>
              <w:rPr>
                <w:rFonts w:ascii="Arial Narrow" w:hAnsi="Arial Narrow"/>
                <w:sz w:val="20"/>
              </w:rPr>
            </w:pPr>
          </w:p>
          <w:p w:rsidR="008F120A" w:rsidRPr="00C974DD" w:rsidRDefault="00C9382C" w:rsidP="004B62CD">
            <w:pPr>
              <w:keepNext/>
              <w:rPr>
                <w:rFonts w:ascii="Arial Narrow" w:hAnsi="Arial Narrow"/>
                <w:sz w:val="20"/>
              </w:rPr>
            </w:pPr>
            <w:r w:rsidRPr="00C974DD">
              <w:rPr>
                <w:rFonts w:ascii="Arial Narrow" w:hAnsi="Arial Narrow"/>
                <w:i/>
                <w:sz w:val="20"/>
              </w:rPr>
              <w:t>N Engl J Med</w:t>
            </w:r>
            <w:r w:rsidRPr="00C974DD">
              <w:rPr>
                <w:rFonts w:ascii="Arial Narrow" w:hAnsi="Arial Narrow"/>
                <w:sz w:val="20"/>
              </w:rPr>
              <w:t xml:space="preserve"> </w:t>
            </w:r>
            <w:r w:rsidR="00725188" w:rsidRPr="00C974DD">
              <w:rPr>
                <w:rFonts w:ascii="Arial Narrow" w:hAnsi="Arial Narrow"/>
                <w:sz w:val="20"/>
              </w:rPr>
              <w:t>2014</w:t>
            </w:r>
          </w:p>
          <w:p w:rsidR="008F120A" w:rsidRPr="00C974DD" w:rsidRDefault="008F120A" w:rsidP="004B62CD">
            <w:pPr>
              <w:keepNext/>
              <w:rPr>
                <w:rFonts w:ascii="Arial Narrow" w:hAnsi="Arial Narrow"/>
                <w:b/>
                <w:sz w:val="20"/>
              </w:rPr>
            </w:pPr>
            <w:r w:rsidRPr="00C974DD">
              <w:rPr>
                <w:rFonts w:ascii="Arial Narrow" w:hAnsi="Arial Narrow"/>
                <w:sz w:val="20"/>
              </w:rPr>
              <w:t xml:space="preserve"> </w:t>
            </w:r>
            <w:r w:rsidR="00725188" w:rsidRPr="00C974DD">
              <w:rPr>
                <w:rFonts w:ascii="Arial Narrow" w:hAnsi="Arial Narrow"/>
                <w:sz w:val="20"/>
              </w:rPr>
              <w:t>370</w:t>
            </w:r>
            <w:r w:rsidR="00AF27C9" w:rsidRPr="00C974DD">
              <w:rPr>
                <w:rFonts w:ascii="Arial Narrow" w:hAnsi="Arial Narrow"/>
                <w:sz w:val="20"/>
              </w:rPr>
              <w:t>(11):</w:t>
            </w:r>
            <w:r w:rsidR="00725188" w:rsidRPr="00C974DD">
              <w:rPr>
                <w:rFonts w:ascii="Arial Narrow" w:hAnsi="Arial Narrow"/>
                <w:sz w:val="20"/>
              </w:rPr>
              <w:t xml:space="preserve"> 1008-1018</w:t>
            </w:r>
          </w:p>
        </w:tc>
      </w:tr>
      <w:tr w:rsidR="00C974DD" w:rsidRPr="00C974DD" w:rsidTr="00E22A0D">
        <w:tc>
          <w:tcPr>
            <w:tcW w:w="1019" w:type="pct"/>
          </w:tcPr>
          <w:p w:rsidR="008F120A" w:rsidRPr="00C974DD" w:rsidRDefault="00D3228A" w:rsidP="0018752F">
            <w:pPr>
              <w:rPr>
                <w:rFonts w:ascii="Arial Narrow" w:hAnsi="Arial Narrow"/>
                <w:sz w:val="20"/>
              </w:rPr>
            </w:pPr>
            <w:r w:rsidRPr="00C974DD">
              <w:rPr>
                <w:rFonts w:ascii="Arial Narrow" w:hAnsi="Arial Narrow"/>
                <w:sz w:val="20"/>
              </w:rPr>
              <w:t>101-02/99</w:t>
            </w:r>
          </w:p>
        </w:tc>
        <w:tc>
          <w:tcPr>
            <w:tcW w:w="2804" w:type="pct"/>
          </w:tcPr>
          <w:p w:rsidR="008F120A" w:rsidRPr="00C974DD" w:rsidRDefault="005407BC" w:rsidP="00040C38">
            <w:pPr>
              <w:rPr>
                <w:rFonts w:ascii="Arial Narrow" w:hAnsi="Arial Narrow"/>
                <w:b/>
                <w:sz w:val="20"/>
              </w:rPr>
            </w:pPr>
            <w:r w:rsidRPr="00C974DD">
              <w:rPr>
                <w:rFonts w:ascii="Arial Narrow" w:hAnsi="Arial Narrow"/>
                <w:sz w:val="20"/>
              </w:rPr>
              <w:t>A Phase 1 Sequential Dose Escalation Study to Investigate the Safety, Pharmacokinetics, Pharmacodynamics, and Clinical Activity of CAL-101 (GS-1101 [</w:t>
            </w:r>
            <w:r w:rsidR="00133476" w:rsidRPr="00C974DD">
              <w:rPr>
                <w:rFonts w:ascii="Arial Narrow" w:hAnsi="Arial Narrow"/>
                <w:sz w:val="20"/>
              </w:rPr>
              <w:t>idelalisib</w:t>
            </w:r>
            <w:r w:rsidRPr="00C974DD">
              <w:rPr>
                <w:rFonts w:ascii="Arial Narrow" w:hAnsi="Arial Narrow"/>
                <w:sz w:val="20"/>
              </w:rPr>
              <w:t>]) in Patients with Selected, Relapsed or Refractory Hematologic Malignancies</w:t>
            </w:r>
            <w:r w:rsidR="00040C38" w:rsidRPr="00C974DD">
              <w:rPr>
                <w:rFonts w:ascii="Arial Narrow" w:hAnsi="Arial Narrow"/>
                <w:sz w:val="20"/>
              </w:rPr>
              <w:t xml:space="preserve">. </w:t>
            </w:r>
          </w:p>
        </w:tc>
        <w:tc>
          <w:tcPr>
            <w:tcW w:w="1177" w:type="pct"/>
          </w:tcPr>
          <w:p w:rsidR="008F120A" w:rsidRPr="00C974DD" w:rsidRDefault="00040C38" w:rsidP="00040C38">
            <w:pPr>
              <w:rPr>
                <w:rFonts w:ascii="Arial Narrow" w:hAnsi="Arial Narrow"/>
                <w:b/>
                <w:sz w:val="20"/>
              </w:rPr>
            </w:pPr>
            <w:r w:rsidRPr="00C974DD">
              <w:rPr>
                <w:rFonts w:ascii="Arial Narrow" w:hAnsi="Arial Narrow"/>
                <w:sz w:val="20"/>
              </w:rPr>
              <w:t xml:space="preserve">Clinical Study Report 101-02/99, 24 July </w:t>
            </w:r>
            <w:r w:rsidR="005407BC" w:rsidRPr="00C974DD">
              <w:rPr>
                <w:rFonts w:ascii="Arial Narrow" w:hAnsi="Arial Narrow"/>
                <w:sz w:val="20"/>
              </w:rPr>
              <w:t xml:space="preserve">2013 </w:t>
            </w:r>
          </w:p>
        </w:tc>
      </w:tr>
      <w:tr w:rsidR="00C974DD" w:rsidRPr="00C974DD" w:rsidTr="00E22A0D">
        <w:tc>
          <w:tcPr>
            <w:tcW w:w="1019" w:type="pct"/>
          </w:tcPr>
          <w:p w:rsidR="00725188" w:rsidRPr="00C974DD" w:rsidRDefault="00D3228A" w:rsidP="0018752F">
            <w:pPr>
              <w:rPr>
                <w:rFonts w:ascii="Arial Narrow" w:hAnsi="Arial Narrow"/>
                <w:sz w:val="20"/>
              </w:rPr>
            </w:pPr>
            <w:r w:rsidRPr="00C974DD">
              <w:rPr>
                <w:rFonts w:ascii="Arial Narrow" w:hAnsi="Arial Narrow"/>
                <w:sz w:val="20"/>
              </w:rPr>
              <w:t>101-07/99</w:t>
            </w:r>
          </w:p>
        </w:tc>
        <w:tc>
          <w:tcPr>
            <w:tcW w:w="2804" w:type="pct"/>
          </w:tcPr>
          <w:p w:rsidR="005407BC" w:rsidRPr="00C974DD" w:rsidRDefault="005407BC" w:rsidP="005407BC">
            <w:pPr>
              <w:rPr>
                <w:rFonts w:ascii="Arial Narrow" w:hAnsi="Arial Narrow"/>
                <w:sz w:val="20"/>
              </w:rPr>
            </w:pPr>
            <w:r w:rsidRPr="00C974DD">
              <w:rPr>
                <w:rFonts w:ascii="Arial Narrow" w:hAnsi="Arial Narrow"/>
                <w:sz w:val="20"/>
              </w:rPr>
              <w:t>A Phase I Study to Investigate the Safety and Clinical</w:t>
            </w:r>
          </w:p>
          <w:p w:rsidR="005407BC" w:rsidRPr="00C974DD" w:rsidRDefault="005407BC" w:rsidP="005407BC">
            <w:pPr>
              <w:rPr>
                <w:rFonts w:ascii="Arial Narrow" w:hAnsi="Arial Narrow"/>
                <w:sz w:val="20"/>
              </w:rPr>
            </w:pPr>
            <w:r w:rsidRPr="00C974DD">
              <w:rPr>
                <w:rFonts w:ascii="Arial Narrow" w:hAnsi="Arial Narrow"/>
                <w:sz w:val="20"/>
              </w:rPr>
              <w:t>Activity of CAL-101 in Combination with Chemotherapeutic</w:t>
            </w:r>
          </w:p>
          <w:p w:rsidR="005407BC" w:rsidRPr="00C974DD" w:rsidRDefault="005407BC" w:rsidP="005407BC">
            <w:pPr>
              <w:rPr>
                <w:rFonts w:ascii="Arial Narrow" w:hAnsi="Arial Narrow"/>
                <w:sz w:val="20"/>
              </w:rPr>
            </w:pPr>
            <w:r w:rsidRPr="00C974DD">
              <w:rPr>
                <w:rFonts w:ascii="Arial Narrow" w:hAnsi="Arial Narrow"/>
                <w:sz w:val="20"/>
              </w:rPr>
              <w:t>Agents and Anti-CD20 mAb in Patients with Relapsed or</w:t>
            </w:r>
          </w:p>
          <w:p w:rsidR="005407BC" w:rsidRPr="00C974DD" w:rsidRDefault="005407BC" w:rsidP="005407BC">
            <w:pPr>
              <w:rPr>
                <w:rFonts w:ascii="Arial Narrow" w:hAnsi="Arial Narrow"/>
                <w:sz w:val="20"/>
              </w:rPr>
            </w:pPr>
            <w:r w:rsidRPr="00C974DD">
              <w:rPr>
                <w:rFonts w:ascii="Arial Narrow" w:hAnsi="Arial Narrow"/>
                <w:sz w:val="20"/>
              </w:rPr>
              <w:t>Refractory Indolent B-cell Non-Hodgkin Lymphoma, Mantle</w:t>
            </w:r>
          </w:p>
          <w:p w:rsidR="005407BC" w:rsidRPr="00C974DD" w:rsidRDefault="005407BC" w:rsidP="005407BC">
            <w:pPr>
              <w:rPr>
                <w:rFonts w:ascii="Arial Narrow" w:hAnsi="Arial Narrow"/>
                <w:sz w:val="20"/>
              </w:rPr>
            </w:pPr>
            <w:r w:rsidRPr="00C974DD">
              <w:rPr>
                <w:rFonts w:ascii="Arial Narrow" w:hAnsi="Arial Narrow"/>
                <w:sz w:val="20"/>
              </w:rPr>
              <w:t xml:space="preserve">Cell Lymphoma or Chronic Lymphocytic </w:t>
            </w:r>
            <w:r w:rsidR="008B50A5" w:rsidRPr="00C974DD">
              <w:rPr>
                <w:rFonts w:ascii="Arial Narrow" w:hAnsi="Arial Narrow"/>
                <w:sz w:val="20"/>
              </w:rPr>
              <w:t>Leukaemia</w:t>
            </w:r>
            <w:r w:rsidR="00AF27C9" w:rsidRPr="00C974DD">
              <w:rPr>
                <w:rFonts w:ascii="Arial Narrow" w:hAnsi="Arial Narrow"/>
                <w:sz w:val="20"/>
              </w:rPr>
              <w:t>.</w:t>
            </w:r>
          </w:p>
        </w:tc>
        <w:tc>
          <w:tcPr>
            <w:tcW w:w="1177" w:type="pct"/>
          </w:tcPr>
          <w:p w:rsidR="00725188" w:rsidRPr="00C974DD" w:rsidRDefault="00040C38" w:rsidP="00AF27C9">
            <w:pPr>
              <w:rPr>
                <w:rFonts w:ascii="Arial Narrow" w:hAnsi="Arial Narrow"/>
                <w:sz w:val="20"/>
              </w:rPr>
            </w:pPr>
            <w:r w:rsidRPr="00C974DD">
              <w:rPr>
                <w:rFonts w:ascii="Arial Narrow" w:hAnsi="Arial Narrow"/>
                <w:sz w:val="20"/>
              </w:rPr>
              <w:t xml:space="preserve">Clinical Study Report 101-07/99, </w:t>
            </w:r>
            <w:r w:rsidR="00AF27C9" w:rsidRPr="00C974DD">
              <w:rPr>
                <w:rFonts w:ascii="Arial Narrow" w:hAnsi="Arial Narrow"/>
                <w:sz w:val="20"/>
              </w:rPr>
              <w:t xml:space="preserve">18 June </w:t>
            </w:r>
            <w:r w:rsidR="005407BC" w:rsidRPr="00C974DD">
              <w:rPr>
                <w:rFonts w:ascii="Arial Narrow" w:hAnsi="Arial Narrow"/>
                <w:sz w:val="20"/>
              </w:rPr>
              <w:t xml:space="preserve">2013 </w:t>
            </w:r>
          </w:p>
        </w:tc>
      </w:tr>
      <w:tr w:rsidR="00C974DD" w:rsidRPr="00C974DD" w:rsidTr="00E22A0D">
        <w:tc>
          <w:tcPr>
            <w:tcW w:w="5000" w:type="pct"/>
            <w:gridSpan w:val="3"/>
          </w:tcPr>
          <w:p w:rsidR="008F120A" w:rsidRPr="00C974DD" w:rsidRDefault="001B774B" w:rsidP="001B774B">
            <w:pPr>
              <w:rPr>
                <w:rFonts w:ascii="Arial Narrow" w:hAnsi="Arial Narrow"/>
                <w:b/>
                <w:sz w:val="20"/>
              </w:rPr>
            </w:pPr>
            <w:r w:rsidRPr="00C974DD">
              <w:rPr>
                <w:rFonts w:ascii="Arial Narrow" w:hAnsi="Arial Narrow"/>
                <w:b/>
                <w:sz w:val="20"/>
              </w:rPr>
              <w:t xml:space="preserve">Comparator </w:t>
            </w:r>
            <w:r w:rsidR="00725188" w:rsidRPr="00C974DD">
              <w:rPr>
                <w:rFonts w:ascii="Arial Narrow" w:hAnsi="Arial Narrow"/>
                <w:b/>
                <w:sz w:val="20"/>
              </w:rPr>
              <w:t>efficacy studies</w:t>
            </w:r>
            <w:r w:rsidRPr="00C974DD">
              <w:rPr>
                <w:rFonts w:ascii="Arial Narrow" w:hAnsi="Arial Narrow"/>
                <w:b/>
                <w:sz w:val="20"/>
              </w:rPr>
              <w:t xml:space="preserve"> – according to the submission less pretreated</w:t>
            </w:r>
          </w:p>
        </w:tc>
      </w:tr>
      <w:tr w:rsidR="00C974DD" w:rsidRPr="00C974DD" w:rsidTr="00E22A0D">
        <w:tc>
          <w:tcPr>
            <w:tcW w:w="1019" w:type="pct"/>
          </w:tcPr>
          <w:p w:rsidR="008F120A" w:rsidRPr="00C974DD" w:rsidRDefault="00725188">
            <w:pPr>
              <w:rPr>
                <w:rFonts w:ascii="Arial Narrow" w:hAnsi="Arial Narrow"/>
                <w:sz w:val="20"/>
              </w:rPr>
            </w:pPr>
            <w:r w:rsidRPr="00C974DD">
              <w:rPr>
                <w:rFonts w:ascii="Arial Narrow" w:hAnsi="Arial Narrow"/>
                <w:sz w:val="20"/>
              </w:rPr>
              <w:t xml:space="preserve">Witzig </w:t>
            </w:r>
          </w:p>
        </w:tc>
        <w:tc>
          <w:tcPr>
            <w:tcW w:w="2804" w:type="pct"/>
          </w:tcPr>
          <w:p w:rsidR="008F120A" w:rsidRPr="00C974DD" w:rsidRDefault="00725188" w:rsidP="00AF27C9">
            <w:pPr>
              <w:rPr>
                <w:rFonts w:ascii="Arial Narrow" w:hAnsi="Arial Narrow"/>
                <w:b/>
                <w:sz w:val="20"/>
              </w:rPr>
            </w:pPr>
            <w:r w:rsidRPr="00C974DD">
              <w:rPr>
                <w:rFonts w:ascii="Arial Narrow" w:hAnsi="Arial Narrow"/>
                <w:sz w:val="20"/>
              </w:rPr>
              <w:t>Treatment With Ibritumomab Tiuxetan</w:t>
            </w:r>
            <w:r w:rsidR="00AF27C9" w:rsidRPr="00C974DD">
              <w:rPr>
                <w:rFonts w:ascii="Arial Narrow" w:hAnsi="Arial Narrow"/>
                <w:sz w:val="20"/>
              </w:rPr>
              <w:t xml:space="preserve"> </w:t>
            </w:r>
            <w:r w:rsidRPr="00C974DD">
              <w:rPr>
                <w:rFonts w:ascii="Arial Narrow" w:hAnsi="Arial Narrow"/>
                <w:sz w:val="20"/>
              </w:rPr>
              <w:t>Radioimmunotherapy in Patients With Rituximab-Refractory Follicular Non-Hodgkin’s Lymphoma</w:t>
            </w:r>
            <w:r w:rsidR="00AF27C9" w:rsidRPr="00C974DD">
              <w:rPr>
                <w:rFonts w:ascii="Arial Narrow" w:hAnsi="Arial Narrow"/>
                <w:sz w:val="20"/>
              </w:rPr>
              <w:t>.</w:t>
            </w:r>
          </w:p>
        </w:tc>
        <w:tc>
          <w:tcPr>
            <w:tcW w:w="1177" w:type="pct"/>
          </w:tcPr>
          <w:p w:rsidR="00EE521A" w:rsidRPr="00C974DD" w:rsidRDefault="00AF27C9" w:rsidP="00EE521A">
            <w:pPr>
              <w:rPr>
                <w:rFonts w:ascii="Arial Narrow" w:hAnsi="Arial Narrow"/>
                <w:b/>
                <w:sz w:val="20"/>
              </w:rPr>
            </w:pPr>
            <w:r w:rsidRPr="00C974DD">
              <w:rPr>
                <w:rFonts w:ascii="Arial Narrow" w:hAnsi="Arial Narrow"/>
                <w:i/>
                <w:sz w:val="20"/>
              </w:rPr>
              <w:t>J Clin Onc</w:t>
            </w:r>
            <w:r w:rsidRPr="00C974DD">
              <w:rPr>
                <w:rFonts w:ascii="Arial Narrow" w:hAnsi="Arial Narrow"/>
                <w:sz w:val="20"/>
              </w:rPr>
              <w:t xml:space="preserve"> </w:t>
            </w:r>
            <w:r w:rsidR="00EE521A" w:rsidRPr="00C974DD">
              <w:rPr>
                <w:rFonts w:ascii="Arial Narrow" w:hAnsi="Arial Narrow"/>
                <w:sz w:val="20"/>
              </w:rPr>
              <w:t>2002</w:t>
            </w:r>
            <w:r w:rsidRPr="00C974DD">
              <w:rPr>
                <w:rFonts w:ascii="Arial Narrow" w:hAnsi="Arial Narrow"/>
                <w:sz w:val="20"/>
              </w:rPr>
              <w:t xml:space="preserve">. 20(15): </w:t>
            </w:r>
            <w:r w:rsidR="00EE521A" w:rsidRPr="00C974DD">
              <w:rPr>
                <w:rFonts w:ascii="Arial Narrow" w:hAnsi="Arial Narrow"/>
                <w:sz w:val="20"/>
              </w:rPr>
              <w:t>3262-3269</w:t>
            </w:r>
          </w:p>
          <w:p w:rsidR="008F120A" w:rsidRPr="00C974DD" w:rsidRDefault="008F120A" w:rsidP="0018752F">
            <w:pPr>
              <w:rPr>
                <w:rFonts w:ascii="Arial Narrow" w:hAnsi="Arial Narrow"/>
                <w:b/>
                <w:sz w:val="20"/>
              </w:rPr>
            </w:pPr>
          </w:p>
        </w:tc>
      </w:tr>
      <w:tr w:rsidR="00C974DD" w:rsidRPr="00C974DD" w:rsidTr="00E22A0D">
        <w:tc>
          <w:tcPr>
            <w:tcW w:w="1019" w:type="pct"/>
          </w:tcPr>
          <w:p w:rsidR="008F120A" w:rsidRPr="00C974DD" w:rsidRDefault="00167F1F">
            <w:pPr>
              <w:rPr>
                <w:rFonts w:ascii="Arial Narrow" w:hAnsi="Arial Narrow"/>
                <w:sz w:val="20"/>
              </w:rPr>
            </w:pPr>
            <w:r w:rsidRPr="00C974DD">
              <w:rPr>
                <w:rFonts w:ascii="Arial Narrow" w:hAnsi="Arial Narrow"/>
                <w:sz w:val="20"/>
              </w:rPr>
              <w:t xml:space="preserve">Kahl </w:t>
            </w:r>
          </w:p>
        </w:tc>
        <w:tc>
          <w:tcPr>
            <w:tcW w:w="2804" w:type="pct"/>
          </w:tcPr>
          <w:p w:rsidR="00167F1F" w:rsidRPr="00C974DD" w:rsidRDefault="00167F1F" w:rsidP="00167F1F">
            <w:pPr>
              <w:rPr>
                <w:rFonts w:ascii="Arial Narrow" w:hAnsi="Arial Narrow"/>
                <w:sz w:val="20"/>
              </w:rPr>
            </w:pPr>
            <w:r w:rsidRPr="00C974DD">
              <w:rPr>
                <w:rFonts w:ascii="Arial Narrow" w:hAnsi="Arial Narrow"/>
                <w:sz w:val="20"/>
              </w:rPr>
              <w:t>Bendamustine Is Effective Therapy in Patients With Rituximab-</w:t>
            </w:r>
          </w:p>
          <w:p w:rsidR="00167F1F" w:rsidRPr="00C974DD" w:rsidRDefault="00167F1F" w:rsidP="00AF27C9">
            <w:pPr>
              <w:rPr>
                <w:rFonts w:ascii="Arial Narrow" w:hAnsi="Arial Narrow"/>
                <w:b/>
                <w:sz w:val="20"/>
              </w:rPr>
            </w:pPr>
            <w:r w:rsidRPr="00C974DD">
              <w:rPr>
                <w:rFonts w:ascii="Arial Narrow" w:hAnsi="Arial Narrow"/>
                <w:sz w:val="20"/>
              </w:rPr>
              <w:t>Refractory, Indolent B-cell Non-Hodgkin Lymphoma</w:t>
            </w:r>
            <w:r w:rsidR="00AF27C9" w:rsidRPr="00C974DD">
              <w:rPr>
                <w:rFonts w:ascii="Arial Narrow" w:hAnsi="Arial Narrow"/>
                <w:sz w:val="20"/>
              </w:rPr>
              <w:t>.</w:t>
            </w:r>
          </w:p>
        </w:tc>
        <w:tc>
          <w:tcPr>
            <w:tcW w:w="1177" w:type="pct"/>
          </w:tcPr>
          <w:p w:rsidR="008F120A" w:rsidRPr="00C974DD" w:rsidRDefault="00AF27C9" w:rsidP="00AF27C9">
            <w:pPr>
              <w:rPr>
                <w:rFonts w:ascii="Arial Narrow" w:hAnsi="Arial Narrow"/>
                <w:b/>
                <w:sz w:val="20"/>
              </w:rPr>
            </w:pPr>
            <w:r w:rsidRPr="00C974DD">
              <w:rPr>
                <w:rFonts w:ascii="Arial Narrow" w:hAnsi="Arial Narrow"/>
                <w:i/>
                <w:sz w:val="20"/>
              </w:rPr>
              <w:t>Cancer</w:t>
            </w:r>
            <w:r w:rsidRPr="00C974DD">
              <w:rPr>
                <w:rFonts w:ascii="Arial Narrow" w:hAnsi="Arial Narrow"/>
                <w:sz w:val="20"/>
              </w:rPr>
              <w:t xml:space="preserve"> </w:t>
            </w:r>
            <w:r w:rsidR="005407BC" w:rsidRPr="00C974DD">
              <w:rPr>
                <w:rFonts w:ascii="Arial Narrow" w:hAnsi="Arial Narrow"/>
                <w:sz w:val="20"/>
              </w:rPr>
              <w:t>2010</w:t>
            </w:r>
            <w:r w:rsidR="008F120A" w:rsidRPr="00C974DD">
              <w:rPr>
                <w:rFonts w:ascii="Arial Narrow" w:hAnsi="Arial Narrow"/>
                <w:sz w:val="20"/>
              </w:rPr>
              <w:t xml:space="preserve"> </w:t>
            </w:r>
            <w:r w:rsidR="005407BC" w:rsidRPr="00C974DD">
              <w:rPr>
                <w:rFonts w:ascii="Arial Narrow" w:hAnsi="Arial Narrow"/>
                <w:sz w:val="20"/>
              </w:rPr>
              <w:t>116</w:t>
            </w:r>
            <w:r w:rsidRPr="00C974DD">
              <w:rPr>
                <w:rFonts w:ascii="Arial Narrow" w:hAnsi="Arial Narrow"/>
                <w:sz w:val="20"/>
              </w:rPr>
              <w:t>(1</w:t>
            </w:r>
            <w:r w:rsidR="008F120A" w:rsidRPr="00C974DD">
              <w:rPr>
                <w:rFonts w:ascii="Arial Narrow" w:hAnsi="Arial Narrow"/>
                <w:sz w:val="20"/>
              </w:rPr>
              <w:t>):</w:t>
            </w:r>
            <w:r w:rsidR="005407BC" w:rsidRPr="00C974DD">
              <w:rPr>
                <w:rFonts w:ascii="Arial Narrow" w:hAnsi="Arial Narrow"/>
                <w:sz w:val="20"/>
              </w:rPr>
              <w:t xml:space="preserve"> 106-114</w:t>
            </w:r>
          </w:p>
        </w:tc>
      </w:tr>
    </w:tbl>
    <w:p w:rsidR="00862502" w:rsidRPr="00C974DD" w:rsidRDefault="008F120A" w:rsidP="00E22A0D">
      <w:pPr>
        <w:pStyle w:val="TableFooter"/>
        <w:ind w:firstLine="720"/>
        <w:rPr>
          <w:szCs w:val="22"/>
        </w:rPr>
      </w:pPr>
      <w:r w:rsidRPr="00C974DD">
        <w:lastRenderedPageBreak/>
        <w:t xml:space="preserve">Source: </w:t>
      </w:r>
      <w:r w:rsidR="00AF27C9" w:rsidRPr="00C974DD">
        <w:t>Table B-7, pp55-56 of the submission</w:t>
      </w:r>
    </w:p>
    <w:p w:rsidR="00862502" w:rsidRPr="00C974DD" w:rsidRDefault="00862502" w:rsidP="008F120A">
      <w:pPr>
        <w:rPr>
          <w:szCs w:val="22"/>
        </w:rPr>
      </w:pPr>
    </w:p>
    <w:p w:rsidR="00862502" w:rsidRPr="00C974DD" w:rsidRDefault="008F120A" w:rsidP="000D2B3E">
      <w:pPr>
        <w:pStyle w:val="ListParagraph"/>
        <w:numPr>
          <w:ilvl w:val="1"/>
          <w:numId w:val="15"/>
        </w:numPr>
        <w:rPr>
          <w:szCs w:val="22"/>
        </w:rPr>
      </w:pPr>
      <w:r w:rsidRPr="00C974DD">
        <w:rPr>
          <w:szCs w:val="22"/>
        </w:rPr>
        <w:t xml:space="preserve">The key features of the </w:t>
      </w:r>
      <w:r w:rsidR="00932E26" w:rsidRPr="00C974DD">
        <w:rPr>
          <w:szCs w:val="22"/>
        </w:rPr>
        <w:t>non-randomised studies</w:t>
      </w:r>
      <w:r w:rsidRPr="00C974DD">
        <w:rPr>
          <w:szCs w:val="22"/>
        </w:rPr>
        <w:t xml:space="preserve"> </w:t>
      </w:r>
      <w:r w:rsidR="00BD2537" w:rsidRPr="00C974DD">
        <w:rPr>
          <w:szCs w:val="22"/>
        </w:rPr>
        <w:t>a</w:t>
      </w:r>
      <w:r w:rsidR="00932E26" w:rsidRPr="00C974DD">
        <w:rPr>
          <w:szCs w:val="22"/>
        </w:rPr>
        <w:t>re</w:t>
      </w:r>
      <w:r w:rsidRPr="00C974DD">
        <w:rPr>
          <w:szCs w:val="22"/>
        </w:rPr>
        <w:t xml:space="preserve"> summarised in the table below.  </w:t>
      </w:r>
    </w:p>
    <w:p w:rsidR="007F1017" w:rsidRPr="00C974DD" w:rsidRDefault="007F1017" w:rsidP="007F1017">
      <w:pPr>
        <w:rPr>
          <w:szCs w:val="22"/>
        </w:rPr>
      </w:pPr>
    </w:p>
    <w:p w:rsidR="007F1017" w:rsidRPr="00C974DD" w:rsidRDefault="007F1017" w:rsidP="004B62CD">
      <w:pPr>
        <w:keepNext/>
        <w:ind w:firstLine="720"/>
        <w:rPr>
          <w:rStyle w:val="CommentReference"/>
        </w:rPr>
      </w:pPr>
      <w:r w:rsidRPr="00C974DD">
        <w:rPr>
          <w:rStyle w:val="CommentReference"/>
        </w:rPr>
        <w:t>Key features of the included evidence</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Key features of the included evidence from the non-randomised studies"/>
      </w:tblPr>
      <w:tblGrid>
        <w:gridCol w:w="588"/>
        <w:gridCol w:w="330"/>
        <w:gridCol w:w="1917"/>
        <w:gridCol w:w="851"/>
        <w:gridCol w:w="2409"/>
        <w:gridCol w:w="1041"/>
        <w:gridCol w:w="1210"/>
      </w:tblGrid>
      <w:tr w:rsidR="00C974DD" w:rsidRPr="00C974DD" w:rsidTr="00874A24">
        <w:trPr>
          <w:cantSplit/>
          <w:tblHeader/>
        </w:trPr>
        <w:tc>
          <w:tcPr>
            <w:tcW w:w="588" w:type="dxa"/>
            <w:shd w:val="clear" w:color="auto" w:fill="auto"/>
            <w:vAlign w:val="center"/>
          </w:tcPr>
          <w:p w:rsidR="007F1017" w:rsidRPr="00C974DD" w:rsidRDefault="007F1017" w:rsidP="004B62CD">
            <w:pPr>
              <w:keepNext/>
              <w:rPr>
                <w:rFonts w:ascii="Arial Narrow" w:hAnsi="Arial Narrow"/>
                <w:b/>
                <w:sz w:val="20"/>
                <w:lang w:val="en-US"/>
              </w:rPr>
            </w:pPr>
            <w:r w:rsidRPr="00C974DD">
              <w:rPr>
                <w:rFonts w:ascii="Arial Narrow" w:hAnsi="Arial Narrow"/>
                <w:b/>
                <w:sz w:val="20"/>
                <w:lang w:val="en-US"/>
              </w:rPr>
              <w:t>Trial</w:t>
            </w:r>
          </w:p>
        </w:tc>
        <w:tc>
          <w:tcPr>
            <w:tcW w:w="330" w:type="dxa"/>
            <w:shd w:val="clear" w:color="auto" w:fill="auto"/>
            <w:vAlign w:val="center"/>
          </w:tcPr>
          <w:p w:rsidR="007F1017" w:rsidRPr="00C974DD" w:rsidRDefault="007F1017" w:rsidP="004B62CD">
            <w:pPr>
              <w:keepNext/>
              <w:jc w:val="center"/>
              <w:rPr>
                <w:rFonts w:ascii="Arial Narrow" w:hAnsi="Arial Narrow"/>
                <w:b/>
                <w:sz w:val="20"/>
                <w:lang w:val="en-US"/>
              </w:rPr>
            </w:pPr>
            <w:r w:rsidRPr="00C974DD">
              <w:rPr>
                <w:rFonts w:ascii="Arial Narrow" w:hAnsi="Arial Narrow"/>
                <w:b/>
                <w:sz w:val="20"/>
                <w:lang w:val="en-US"/>
              </w:rPr>
              <w:t>N</w:t>
            </w:r>
          </w:p>
        </w:tc>
        <w:tc>
          <w:tcPr>
            <w:tcW w:w="1917" w:type="dxa"/>
            <w:shd w:val="clear" w:color="auto" w:fill="auto"/>
            <w:vAlign w:val="center"/>
          </w:tcPr>
          <w:p w:rsidR="007F1017" w:rsidRPr="00C974DD" w:rsidRDefault="007F1017" w:rsidP="004B62CD">
            <w:pPr>
              <w:keepNext/>
              <w:jc w:val="center"/>
              <w:rPr>
                <w:rFonts w:ascii="Arial Narrow" w:hAnsi="Arial Narrow"/>
                <w:b/>
                <w:sz w:val="20"/>
                <w:lang w:val="en-US"/>
              </w:rPr>
            </w:pPr>
            <w:r w:rsidRPr="00C974DD">
              <w:rPr>
                <w:rFonts w:ascii="Arial Narrow" w:hAnsi="Arial Narrow"/>
                <w:b/>
                <w:sz w:val="20"/>
                <w:lang w:val="en-US"/>
              </w:rPr>
              <w:t>Design/ duration</w:t>
            </w:r>
          </w:p>
        </w:tc>
        <w:tc>
          <w:tcPr>
            <w:tcW w:w="851" w:type="dxa"/>
            <w:shd w:val="clear" w:color="auto" w:fill="auto"/>
            <w:vAlign w:val="center"/>
          </w:tcPr>
          <w:p w:rsidR="007F1017" w:rsidRPr="00C974DD" w:rsidRDefault="007F1017" w:rsidP="004B62CD">
            <w:pPr>
              <w:keepNext/>
              <w:jc w:val="center"/>
              <w:rPr>
                <w:rFonts w:ascii="Arial Narrow" w:hAnsi="Arial Narrow"/>
                <w:b/>
                <w:sz w:val="20"/>
                <w:lang w:val="en-US"/>
              </w:rPr>
            </w:pPr>
            <w:r w:rsidRPr="00C974DD">
              <w:rPr>
                <w:rFonts w:ascii="Arial Narrow" w:hAnsi="Arial Narrow"/>
                <w:b/>
                <w:sz w:val="20"/>
                <w:lang w:val="en-US"/>
              </w:rPr>
              <w:t>Risk of bias</w:t>
            </w:r>
          </w:p>
        </w:tc>
        <w:tc>
          <w:tcPr>
            <w:tcW w:w="2409" w:type="dxa"/>
            <w:shd w:val="clear" w:color="auto" w:fill="auto"/>
            <w:vAlign w:val="center"/>
          </w:tcPr>
          <w:p w:rsidR="007F1017" w:rsidRPr="00C974DD" w:rsidRDefault="007F1017" w:rsidP="004B62CD">
            <w:pPr>
              <w:keepNext/>
              <w:jc w:val="center"/>
              <w:rPr>
                <w:rFonts w:ascii="Arial Narrow" w:hAnsi="Arial Narrow"/>
                <w:b/>
                <w:sz w:val="20"/>
                <w:lang w:val="en-US"/>
              </w:rPr>
            </w:pPr>
            <w:r w:rsidRPr="00C974DD">
              <w:rPr>
                <w:rFonts w:ascii="Arial Narrow" w:hAnsi="Arial Narrow"/>
                <w:b/>
                <w:sz w:val="20"/>
                <w:lang w:val="en-US"/>
              </w:rPr>
              <w:t>Patient population</w:t>
            </w:r>
          </w:p>
        </w:tc>
        <w:tc>
          <w:tcPr>
            <w:tcW w:w="1041" w:type="dxa"/>
            <w:shd w:val="clear" w:color="auto" w:fill="auto"/>
            <w:vAlign w:val="center"/>
          </w:tcPr>
          <w:p w:rsidR="007F1017" w:rsidRPr="00C974DD" w:rsidRDefault="007F1017" w:rsidP="004B62CD">
            <w:pPr>
              <w:keepNext/>
              <w:jc w:val="center"/>
              <w:rPr>
                <w:rFonts w:ascii="Arial Narrow" w:hAnsi="Arial Narrow"/>
                <w:b/>
                <w:sz w:val="20"/>
                <w:lang w:val="en-US"/>
              </w:rPr>
            </w:pPr>
            <w:r w:rsidRPr="00C974DD">
              <w:rPr>
                <w:rFonts w:ascii="Arial Narrow" w:hAnsi="Arial Narrow"/>
                <w:b/>
                <w:sz w:val="20"/>
                <w:lang w:val="en-US"/>
              </w:rPr>
              <w:t>Outcome(s)</w:t>
            </w:r>
          </w:p>
        </w:tc>
        <w:tc>
          <w:tcPr>
            <w:tcW w:w="1210" w:type="dxa"/>
            <w:shd w:val="clear" w:color="auto" w:fill="auto"/>
            <w:vAlign w:val="center"/>
          </w:tcPr>
          <w:p w:rsidR="007F1017" w:rsidRPr="00C974DD" w:rsidRDefault="007F1017" w:rsidP="004B62CD">
            <w:pPr>
              <w:keepNext/>
              <w:jc w:val="center"/>
              <w:rPr>
                <w:rFonts w:ascii="Arial Narrow" w:hAnsi="Arial Narrow"/>
                <w:b/>
                <w:sz w:val="20"/>
                <w:lang w:val="en-US"/>
              </w:rPr>
            </w:pPr>
            <w:r w:rsidRPr="00C974DD">
              <w:rPr>
                <w:rFonts w:ascii="Arial Narrow" w:hAnsi="Arial Narrow"/>
                <w:b/>
                <w:sz w:val="20"/>
                <w:lang w:val="en-US"/>
              </w:rPr>
              <w:t>Use in modelled evaluation</w:t>
            </w:r>
          </w:p>
        </w:tc>
      </w:tr>
      <w:tr w:rsidR="00C974DD" w:rsidRPr="00C974DD" w:rsidTr="00874A24">
        <w:trPr>
          <w:cantSplit/>
        </w:trPr>
        <w:tc>
          <w:tcPr>
            <w:tcW w:w="8346" w:type="dxa"/>
            <w:gridSpan w:val="7"/>
            <w:shd w:val="clear" w:color="auto" w:fill="auto"/>
            <w:vAlign w:val="center"/>
          </w:tcPr>
          <w:p w:rsidR="007F1017" w:rsidRPr="00C974DD" w:rsidRDefault="00FC1AE5" w:rsidP="004B62CD">
            <w:pPr>
              <w:keepNext/>
              <w:rPr>
                <w:rFonts w:ascii="Arial Narrow" w:hAnsi="Arial Narrow"/>
                <w:b/>
                <w:sz w:val="20"/>
                <w:lang w:val="en-US"/>
              </w:rPr>
            </w:pPr>
            <w:r w:rsidRPr="00C974DD">
              <w:rPr>
                <w:rFonts w:ascii="Arial Narrow" w:hAnsi="Arial Narrow"/>
                <w:b/>
                <w:sz w:val="20"/>
                <w:lang w:val="en-US"/>
              </w:rPr>
              <w:t>I</w:t>
            </w:r>
            <w:r w:rsidR="00133476" w:rsidRPr="00C974DD">
              <w:rPr>
                <w:rFonts w:ascii="Arial Narrow" w:hAnsi="Arial Narrow"/>
                <w:b/>
                <w:sz w:val="20"/>
                <w:lang w:val="en-US"/>
              </w:rPr>
              <w:t>delalisib</w:t>
            </w:r>
          </w:p>
        </w:tc>
      </w:tr>
      <w:tr w:rsidR="00C974DD" w:rsidRPr="00C974DD" w:rsidTr="00874A24">
        <w:trPr>
          <w:cantSplit/>
        </w:trPr>
        <w:tc>
          <w:tcPr>
            <w:tcW w:w="588" w:type="dxa"/>
            <w:shd w:val="clear" w:color="auto" w:fill="auto"/>
            <w:vAlign w:val="center"/>
          </w:tcPr>
          <w:p w:rsidR="007F1017" w:rsidRPr="00C974DD" w:rsidRDefault="009B2431" w:rsidP="0012176D">
            <w:pPr>
              <w:keepNext/>
              <w:rPr>
                <w:rFonts w:ascii="Arial Narrow" w:hAnsi="Arial Narrow"/>
                <w:sz w:val="20"/>
                <w:lang w:val="en-US"/>
              </w:rPr>
            </w:pPr>
            <w:r w:rsidRPr="00C974DD">
              <w:rPr>
                <w:rFonts w:ascii="Arial Narrow" w:hAnsi="Arial Narrow"/>
                <w:sz w:val="20"/>
                <w:lang w:val="en-US"/>
              </w:rPr>
              <w:t>10</w:t>
            </w:r>
            <w:r w:rsidR="0012176D" w:rsidRPr="00C974DD">
              <w:rPr>
                <w:rFonts w:ascii="Arial Narrow" w:hAnsi="Arial Narrow"/>
                <w:sz w:val="20"/>
                <w:lang w:val="en-US"/>
              </w:rPr>
              <w:t>1</w:t>
            </w:r>
            <w:r w:rsidRPr="00C974DD">
              <w:rPr>
                <w:rFonts w:ascii="Arial Narrow" w:hAnsi="Arial Narrow"/>
                <w:sz w:val="20"/>
                <w:lang w:val="en-US"/>
              </w:rPr>
              <w:t>-09</w:t>
            </w:r>
          </w:p>
        </w:tc>
        <w:tc>
          <w:tcPr>
            <w:tcW w:w="330" w:type="dxa"/>
            <w:shd w:val="clear" w:color="auto" w:fill="auto"/>
            <w:vAlign w:val="center"/>
          </w:tcPr>
          <w:p w:rsidR="007F1017" w:rsidRPr="00C974DD" w:rsidRDefault="009B2431" w:rsidP="004B62CD">
            <w:pPr>
              <w:keepNext/>
              <w:jc w:val="center"/>
              <w:rPr>
                <w:rFonts w:ascii="Arial Narrow" w:hAnsi="Arial Narrow"/>
                <w:sz w:val="20"/>
                <w:lang w:val="en-US"/>
              </w:rPr>
            </w:pPr>
            <w:r w:rsidRPr="00C974DD">
              <w:rPr>
                <w:rFonts w:ascii="Arial Narrow" w:hAnsi="Arial Narrow"/>
                <w:sz w:val="20"/>
                <w:lang w:val="en-US"/>
              </w:rPr>
              <w:t>1</w:t>
            </w:r>
            <w:r w:rsidR="007F1017" w:rsidRPr="00C974DD">
              <w:rPr>
                <w:rFonts w:ascii="Arial Narrow" w:hAnsi="Arial Narrow"/>
                <w:sz w:val="20"/>
                <w:lang w:val="en-US"/>
              </w:rPr>
              <w:t>25</w:t>
            </w:r>
          </w:p>
        </w:tc>
        <w:tc>
          <w:tcPr>
            <w:tcW w:w="1917" w:type="dxa"/>
            <w:shd w:val="clear" w:color="auto" w:fill="auto"/>
            <w:vAlign w:val="center"/>
          </w:tcPr>
          <w:p w:rsidR="007F1017" w:rsidRPr="00C974DD" w:rsidRDefault="00B60A65" w:rsidP="004B62CD">
            <w:pPr>
              <w:keepNext/>
              <w:jc w:val="center"/>
              <w:rPr>
                <w:rFonts w:ascii="Arial Narrow" w:hAnsi="Arial Narrow"/>
                <w:sz w:val="20"/>
                <w:lang w:val="en-US"/>
              </w:rPr>
            </w:pPr>
            <w:r w:rsidRPr="00C974DD">
              <w:rPr>
                <w:rFonts w:ascii="Arial Narrow" w:hAnsi="Arial Narrow"/>
                <w:sz w:val="20"/>
                <w:lang w:val="en-US"/>
              </w:rPr>
              <w:t>OL</w:t>
            </w:r>
            <w:r w:rsidR="00043C43" w:rsidRPr="00C974DD">
              <w:rPr>
                <w:rFonts w:ascii="Arial Narrow" w:hAnsi="Arial Narrow"/>
                <w:sz w:val="20"/>
                <w:lang w:val="en-US"/>
              </w:rPr>
              <w:t>, single arm</w:t>
            </w:r>
          </w:p>
          <w:p w:rsidR="00DD564B" w:rsidRPr="00C974DD" w:rsidRDefault="00DD564B" w:rsidP="004B62CD">
            <w:pPr>
              <w:keepNext/>
              <w:jc w:val="center"/>
              <w:rPr>
                <w:rFonts w:ascii="Arial Narrow" w:hAnsi="Arial Narrow"/>
                <w:sz w:val="20"/>
                <w:lang w:val="en-US"/>
              </w:rPr>
            </w:pPr>
            <w:r w:rsidRPr="00C974DD">
              <w:rPr>
                <w:rFonts w:ascii="Arial Narrow" w:hAnsi="Arial Narrow"/>
                <w:sz w:val="20"/>
                <w:lang w:val="en-US"/>
              </w:rPr>
              <w:t>idelalisib</w:t>
            </w:r>
          </w:p>
          <w:p w:rsidR="007F1017" w:rsidRPr="00C974DD" w:rsidRDefault="00B60A65" w:rsidP="004B62CD">
            <w:pPr>
              <w:keepNext/>
              <w:jc w:val="center"/>
              <w:rPr>
                <w:rFonts w:ascii="Arial Narrow" w:hAnsi="Arial Narrow"/>
                <w:sz w:val="20"/>
                <w:lang w:val="en-US"/>
              </w:rPr>
            </w:pPr>
            <w:r w:rsidRPr="00C974DD">
              <w:rPr>
                <w:rFonts w:ascii="Arial Narrow" w:hAnsi="Arial Narrow"/>
                <w:sz w:val="20"/>
                <w:lang w:val="en-US"/>
              </w:rPr>
              <w:t xml:space="preserve">Median </w:t>
            </w:r>
            <w:r w:rsidR="00DD564B" w:rsidRPr="00C974DD">
              <w:rPr>
                <w:rFonts w:ascii="Arial Narrow" w:hAnsi="Arial Narrow"/>
                <w:sz w:val="20"/>
                <w:lang w:val="en-US"/>
              </w:rPr>
              <w:t>follow-up: 9.7 months</w:t>
            </w:r>
          </w:p>
        </w:tc>
        <w:tc>
          <w:tcPr>
            <w:tcW w:w="851" w:type="dxa"/>
            <w:shd w:val="clear" w:color="auto" w:fill="auto"/>
            <w:vAlign w:val="center"/>
          </w:tcPr>
          <w:p w:rsidR="007F1017" w:rsidRPr="00C974DD" w:rsidRDefault="00B60A65" w:rsidP="004B62CD">
            <w:pPr>
              <w:keepNext/>
              <w:jc w:val="center"/>
              <w:rPr>
                <w:rFonts w:ascii="Arial Narrow" w:hAnsi="Arial Narrow"/>
                <w:sz w:val="20"/>
                <w:lang w:val="en-US"/>
              </w:rPr>
            </w:pPr>
            <w:r w:rsidRPr="00C974DD">
              <w:rPr>
                <w:rFonts w:ascii="Arial Narrow" w:hAnsi="Arial Narrow"/>
                <w:sz w:val="20"/>
                <w:lang w:val="en-US"/>
              </w:rPr>
              <w:t>High</w:t>
            </w:r>
          </w:p>
        </w:tc>
        <w:tc>
          <w:tcPr>
            <w:tcW w:w="2409" w:type="dxa"/>
            <w:shd w:val="clear" w:color="auto" w:fill="auto"/>
            <w:vAlign w:val="center"/>
          </w:tcPr>
          <w:p w:rsidR="007F1017" w:rsidRPr="00C974DD" w:rsidRDefault="00043C43" w:rsidP="004B62CD">
            <w:pPr>
              <w:keepNext/>
              <w:jc w:val="center"/>
              <w:rPr>
                <w:rFonts w:ascii="Arial Narrow" w:hAnsi="Arial Narrow"/>
                <w:sz w:val="20"/>
                <w:lang w:val="en-US"/>
              </w:rPr>
            </w:pPr>
            <w:r w:rsidRPr="00C974DD">
              <w:rPr>
                <w:rFonts w:ascii="Arial Narrow" w:hAnsi="Arial Narrow"/>
                <w:sz w:val="20"/>
                <w:lang w:val="en-US"/>
              </w:rPr>
              <w:t>iNHL, r</w:t>
            </w:r>
            <w:r w:rsidR="004D1DF2" w:rsidRPr="00C974DD">
              <w:rPr>
                <w:rFonts w:ascii="Arial Narrow" w:hAnsi="Arial Narrow"/>
                <w:sz w:val="20"/>
                <w:lang w:val="en-US"/>
              </w:rPr>
              <w:t xml:space="preserve">efractory to both </w:t>
            </w:r>
            <w:r w:rsidRPr="00C974DD">
              <w:rPr>
                <w:rFonts w:ascii="Arial Narrow" w:hAnsi="Arial Narrow"/>
                <w:sz w:val="20"/>
                <w:lang w:val="en-US"/>
              </w:rPr>
              <w:t xml:space="preserve">RIT </w:t>
            </w:r>
            <w:r w:rsidR="004D1DF2" w:rsidRPr="00C974DD">
              <w:rPr>
                <w:rFonts w:ascii="Arial Narrow" w:hAnsi="Arial Narrow"/>
                <w:sz w:val="20"/>
                <w:lang w:val="en-US"/>
              </w:rPr>
              <w:t>and alkylating agent</w:t>
            </w:r>
          </w:p>
          <w:p w:rsidR="00DD564B" w:rsidRPr="00C974DD" w:rsidRDefault="00DD564B" w:rsidP="004B62CD">
            <w:pPr>
              <w:keepNext/>
              <w:jc w:val="center"/>
              <w:rPr>
                <w:rFonts w:ascii="Arial Narrow" w:hAnsi="Arial Narrow"/>
                <w:sz w:val="20"/>
                <w:lang w:val="en-US"/>
              </w:rPr>
            </w:pPr>
            <w:r w:rsidRPr="00C974DD">
              <w:rPr>
                <w:rFonts w:ascii="Arial Narrow" w:hAnsi="Arial Narrow"/>
                <w:sz w:val="20"/>
                <w:lang w:val="en-US"/>
              </w:rPr>
              <w:t>median prior tx: 4</w:t>
            </w:r>
          </w:p>
        </w:tc>
        <w:tc>
          <w:tcPr>
            <w:tcW w:w="1041" w:type="dxa"/>
            <w:shd w:val="clear" w:color="auto" w:fill="auto"/>
            <w:vAlign w:val="center"/>
          </w:tcPr>
          <w:p w:rsidR="001B774B" w:rsidRPr="00C974DD" w:rsidRDefault="007F1017" w:rsidP="004B62CD">
            <w:pPr>
              <w:keepNext/>
              <w:jc w:val="center"/>
              <w:rPr>
                <w:rFonts w:ascii="Arial Narrow" w:hAnsi="Arial Narrow"/>
                <w:sz w:val="20"/>
                <w:lang w:val="en-US"/>
              </w:rPr>
            </w:pPr>
            <w:r w:rsidRPr="00C974DD">
              <w:rPr>
                <w:rFonts w:ascii="Arial Narrow" w:hAnsi="Arial Narrow"/>
                <w:sz w:val="20"/>
                <w:lang w:val="en-US"/>
              </w:rPr>
              <w:t>OS</w:t>
            </w:r>
            <w:r w:rsidR="0075439D" w:rsidRPr="00C974DD">
              <w:rPr>
                <w:rFonts w:ascii="Arial Narrow" w:hAnsi="Arial Narrow"/>
                <w:sz w:val="20"/>
                <w:lang w:val="en-US"/>
              </w:rPr>
              <w:t>,PFS,</w:t>
            </w:r>
          </w:p>
          <w:p w:rsidR="0075439D" w:rsidRPr="00C974DD" w:rsidRDefault="0075439D" w:rsidP="004B62CD">
            <w:pPr>
              <w:keepNext/>
              <w:jc w:val="center"/>
              <w:rPr>
                <w:rFonts w:ascii="Arial Narrow" w:hAnsi="Arial Narrow"/>
                <w:sz w:val="20"/>
                <w:lang w:val="en-US"/>
              </w:rPr>
            </w:pPr>
            <w:r w:rsidRPr="00C974DD">
              <w:rPr>
                <w:rFonts w:ascii="Arial Narrow" w:hAnsi="Arial Narrow"/>
                <w:sz w:val="20"/>
                <w:lang w:val="en-US"/>
              </w:rPr>
              <w:t>ORR</w:t>
            </w:r>
          </w:p>
        </w:tc>
        <w:tc>
          <w:tcPr>
            <w:tcW w:w="1210" w:type="dxa"/>
            <w:shd w:val="clear" w:color="auto" w:fill="auto"/>
            <w:vAlign w:val="center"/>
          </w:tcPr>
          <w:p w:rsidR="001B774B" w:rsidRPr="00C974DD" w:rsidRDefault="001B774B" w:rsidP="004B62CD">
            <w:pPr>
              <w:keepNext/>
              <w:jc w:val="center"/>
              <w:rPr>
                <w:rFonts w:ascii="Arial Narrow" w:hAnsi="Arial Narrow"/>
                <w:sz w:val="20"/>
                <w:lang w:val="en-US"/>
              </w:rPr>
            </w:pPr>
            <w:r w:rsidRPr="00C974DD">
              <w:rPr>
                <w:rFonts w:ascii="Arial Narrow" w:hAnsi="Arial Narrow"/>
                <w:sz w:val="20"/>
                <w:lang w:val="en-US"/>
              </w:rPr>
              <w:t>ITT: idelalisib</w:t>
            </w:r>
          </w:p>
          <w:p w:rsidR="007F1017" w:rsidRPr="00C974DD" w:rsidRDefault="001B774B" w:rsidP="004B62CD">
            <w:pPr>
              <w:keepNext/>
              <w:jc w:val="center"/>
              <w:rPr>
                <w:rFonts w:ascii="Arial Narrow" w:hAnsi="Arial Narrow"/>
                <w:sz w:val="20"/>
                <w:lang w:val="en-US"/>
              </w:rPr>
            </w:pPr>
            <w:r w:rsidRPr="00C974DD">
              <w:rPr>
                <w:rFonts w:ascii="Arial Narrow" w:hAnsi="Arial Narrow"/>
                <w:sz w:val="20"/>
                <w:lang w:val="en-US"/>
              </w:rPr>
              <w:t>NR: BSC</w:t>
            </w:r>
          </w:p>
        </w:tc>
      </w:tr>
      <w:tr w:rsidR="00C974DD" w:rsidRPr="00C974DD" w:rsidTr="00874A24">
        <w:trPr>
          <w:cantSplit/>
        </w:trPr>
        <w:tc>
          <w:tcPr>
            <w:tcW w:w="588" w:type="dxa"/>
            <w:shd w:val="clear" w:color="auto" w:fill="auto"/>
            <w:vAlign w:val="center"/>
          </w:tcPr>
          <w:p w:rsidR="007F1017" w:rsidRPr="00C974DD" w:rsidRDefault="00D3228A" w:rsidP="007F1017">
            <w:pPr>
              <w:rPr>
                <w:rFonts w:ascii="Arial Narrow" w:hAnsi="Arial Narrow"/>
                <w:sz w:val="20"/>
                <w:lang w:val="en-US"/>
              </w:rPr>
            </w:pPr>
            <w:r w:rsidRPr="00C974DD">
              <w:rPr>
                <w:rFonts w:ascii="Arial Narrow" w:hAnsi="Arial Narrow"/>
                <w:sz w:val="20"/>
                <w:lang w:val="en-US"/>
              </w:rPr>
              <w:t>101-02/99</w:t>
            </w:r>
          </w:p>
        </w:tc>
        <w:tc>
          <w:tcPr>
            <w:tcW w:w="330" w:type="dxa"/>
            <w:shd w:val="clear" w:color="auto" w:fill="auto"/>
            <w:vAlign w:val="center"/>
          </w:tcPr>
          <w:p w:rsidR="007F1017" w:rsidRPr="00C974DD" w:rsidRDefault="0075439D" w:rsidP="007F1017">
            <w:pPr>
              <w:jc w:val="center"/>
              <w:rPr>
                <w:rFonts w:ascii="Arial Narrow" w:hAnsi="Arial Narrow"/>
                <w:sz w:val="20"/>
                <w:lang w:val="en-US"/>
              </w:rPr>
            </w:pPr>
            <w:r w:rsidRPr="00C974DD">
              <w:rPr>
                <w:rFonts w:ascii="Arial Narrow" w:hAnsi="Arial Narrow"/>
                <w:sz w:val="20"/>
                <w:lang w:val="en-US"/>
              </w:rPr>
              <w:t>64</w:t>
            </w:r>
          </w:p>
        </w:tc>
        <w:tc>
          <w:tcPr>
            <w:tcW w:w="1917" w:type="dxa"/>
            <w:shd w:val="clear" w:color="auto" w:fill="auto"/>
            <w:vAlign w:val="center"/>
          </w:tcPr>
          <w:p w:rsidR="007F1017" w:rsidRPr="00C974DD" w:rsidRDefault="007F1017" w:rsidP="007F1017">
            <w:pPr>
              <w:jc w:val="center"/>
              <w:rPr>
                <w:rFonts w:ascii="Arial Narrow" w:hAnsi="Arial Narrow"/>
                <w:sz w:val="20"/>
                <w:lang w:val="en-US"/>
              </w:rPr>
            </w:pPr>
            <w:r w:rsidRPr="00C974DD">
              <w:rPr>
                <w:rFonts w:ascii="Arial Narrow" w:hAnsi="Arial Narrow"/>
                <w:sz w:val="20"/>
                <w:lang w:val="en-US"/>
              </w:rPr>
              <w:t>OL</w:t>
            </w:r>
            <w:r w:rsidR="00043C43" w:rsidRPr="00C974DD">
              <w:rPr>
                <w:rFonts w:ascii="Arial Narrow" w:hAnsi="Arial Narrow"/>
                <w:sz w:val="20"/>
                <w:lang w:val="en-US"/>
              </w:rPr>
              <w:t xml:space="preserve">, dose ranging, subgroup of patients with iNHL </w:t>
            </w:r>
          </w:p>
          <w:p w:rsidR="007F1017" w:rsidRPr="00C974DD" w:rsidRDefault="00B60A65" w:rsidP="00B60A65">
            <w:pPr>
              <w:jc w:val="center"/>
              <w:rPr>
                <w:rFonts w:ascii="Arial Narrow" w:hAnsi="Arial Narrow"/>
                <w:sz w:val="20"/>
                <w:lang w:val="en-US"/>
              </w:rPr>
            </w:pPr>
            <w:r w:rsidRPr="00C974DD">
              <w:rPr>
                <w:rFonts w:ascii="Arial Narrow" w:hAnsi="Arial Narrow"/>
                <w:sz w:val="20"/>
                <w:lang w:val="en-US"/>
              </w:rPr>
              <w:t>48 weeks, or disease progression</w:t>
            </w:r>
          </w:p>
        </w:tc>
        <w:tc>
          <w:tcPr>
            <w:tcW w:w="851" w:type="dxa"/>
            <w:shd w:val="clear" w:color="auto" w:fill="auto"/>
            <w:vAlign w:val="center"/>
          </w:tcPr>
          <w:p w:rsidR="007F1017" w:rsidRPr="00C974DD" w:rsidRDefault="007F1017" w:rsidP="007F1017">
            <w:pPr>
              <w:jc w:val="center"/>
              <w:rPr>
                <w:rFonts w:ascii="Arial Narrow" w:hAnsi="Arial Narrow"/>
                <w:sz w:val="20"/>
                <w:lang w:val="en-US"/>
              </w:rPr>
            </w:pPr>
            <w:r w:rsidRPr="00C974DD">
              <w:rPr>
                <w:rFonts w:ascii="Arial Narrow" w:hAnsi="Arial Narrow"/>
                <w:sz w:val="20"/>
                <w:lang w:val="en-US"/>
              </w:rPr>
              <w:t>High</w:t>
            </w:r>
          </w:p>
        </w:tc>
        <w:tc>
          <w:tcPr>
            <w:tcW w:w="2409" w:type="dxa"/>
            <w:shd w:val="clear" w:color="auto" w:fill="auto"/>
            <w:vAlign w:val="center"/>
          </w:tcPr>
          <w:p w:rsidR="007F1017" w:rsidRPr="00C974DD" w:rsidRDefault="00043C43" w:rsidP="001B774B">
            <w:pPr>
              <w:jc w:val="center"/>
              <w:rPr>
                <w:rFonts w:ascii="Arial Narrow" w:hAnsi="Arial Narrow"/>
                <w:sz w:val="20"/>
                <w:lang w:val="en-US"/>
              </w:rPr>
            </w:pPr>
            <w:r w:rsidRPr="00C974DD">
              <w:rPr>
                <w:rFonts w:ascii="Arial Narrow" w:hAnsi="Arial Narrow"/>
                <w:sz w:val="20"/>
                <w:lang w:val="en-US"/>
              </w:rPr>
              <w:t>iNHL, r</w:t>
            </w:r>
            <w:r w:rsidR="004D1DF2" w:rsidRPr="00C974DD">
              <w:rPr>
                <w:rFonts w:ascii="Arial Narrow" w:hAnsi="Arial Narrow"/>
                <w:sz w:val="20"/>
                <w:lang w:val="en-US"/>
              </w:rPr>
              <w:t xml:space="preserve">efractory to or relapsed after </w:t>
            </w:r>
            <w:r w:rsidRPr="00C974DD">
              <w:rPr>
                <w:rFonts w:ascii="Arial Narrow" w:hAnsi="Arial Narrow"/>
                <w:sz w:val="20"/>
                <w:lang w:val="en-US"/>
              </w:rPr>
              <w:t>≥</w:t>
            </w:r>
            <w:r w:rsidR="004D1DF2" w:rsidRPr="00C974DD">
              <w:rPr>
                <w:rFonts w:ascii="Arial Narrow" w:hAnsi="Arial Narrow"/>
                <w:sz w:val="20"/>
                <w:lang w:val="en-US"/>
              </w:rPr>
              <w:t xml:space="preserve">1 prior chemotherapy regimen and having received </w:t>
            </w:r>
            <w:r w:rsidR="001B774B" w:rsidRPr="00C974DD">
              <w:rPr>
                <w:rFonts w:ascii="Arial Narrow" w:hAnsi="Arial Narrow"/>
                <w:sz w:val="20"/>
                <w:lang w:val="en-US"/>
              </w:rPr>
              <w:t>RIT</w:t>
            </w:r>
            <w:r w:rsidR="004D1DF2" w:rsidRPr="00C974DD">
              <w:rPr>
                <w:rFonts w:ascii="Arial Narrow" w:hAnsi="Arial Narrow"/>
                <w:sz w:val="20"/>
                <w:lang w:val="en-US"/>
              </w:rPr>
              <w:t>, and not eligible for transplantation</w:t>
            </w:r>
          </w:p>
        </w:tc>
        <w:tc>
          <w:tcPr>
            <w:tcW w:w="1041" w:type="dxa"/>
            <w:shd w:val="clear" w:color="auto" w:fill="auto"/>
            <w:vAlign w:val="center"/>
          </w:tcPr>
          <w:p w:rsidR="0075439D" w:rsidRPr="00C974DD" w:rsidRDefault="0075439D" w:rsidP="00043C43">
            <w:pPr>
              <w:jc w:val="center"/>
              <w:rPr>
                <w:rFonts w:ascii="Arial Narrow" w:hAnsi="Arial Narrow"/>
                <w:sz w:val="20"/>
                <w:lang w:val="en-US"/>
              </w:rPr>
            </w:pPr>
            <w:r w:rsidRPr="00C974DD">
              <w:rPr>
                <w:rFonts w:ascii="Arial Narrow" w:hAnsi="Arial Narrow"/>
                <w:sz w:val="20"/>
                <w:lang w:val="en-US"/>
              </w:rPr>
              <w:t>ORR,PFS,</w:t>
            </w:r>
            <w:r w:rsidR="001B774B" w:rsidRPr="00C974DD">
              <w:rPr>
                <w:rFonts w:ascii="Arial Narrow" w:hAnsi="Arial Narrow"/>
                <w:sz w:val="20"/>
                <w:lang w:val="en-US"/>
              </w:rPr>
              <w:t xml:space="preserve"> </w:t>
            </w:r>
            <w:r w:rsidRPr="00C974DD">
              <w:rPr>
                <w:rFonts w:ascii="Arial Narrow" w:hAnsi="Arial Narrow"/>
                <w:sz w:val="20"/>
                <w:lang w:val="en-US"/>
              </w:rPr>
              <w:t>OS</w:t>
            </w:r>
          </w:p>
        </w:tc>
        <w:tc>
          <w:tcPr>
            <w:tcW w:w="1210" w:type="dxa"/>
            <w:shd w:val="clear" w:color="auto" w:fill="auto"/>
            <w:vAlign w:val="center"/>
          </w:tcPr>
          <w:p w:rsidR="007F1017" w:rsidRPr="00C974DD" w:rsidRDefault="007F1017" w:rsidP="007F1017">
            <w:pPr>
              <w:jc w:val="center"/>
              <w:rPr>
                <w:rFonts w:ascii="Arial Narrow" w:hAnsi="Arial Narrow"/>
                <w:sz w:val="20"/>
                <w:lang w:val="en-US"/>
              </w:rPr>
            </w:pPr>
            <w:r w:rsidRPr="00C974DD">
              <w:rPr>
                <w:rFonts w:ascii="Arial Narrow" w:hAnsi="Arial Narrow"/>
                <w:sz w:val="20"/>
                <w:lang w:val="en-US"/>
              </w:rPr>
              <w:t>Not used</w:t>
            </w:r>
          </w:p>
        </w:tc>
      </w:tr>
      <w:tr w:rsidR="00C974DD" w:rsidRPr="00C974DD" w:rsidTr="00874A24">
        <w:trPr>
          <w:cantSplit/>
        </w:trPr>
        <w:tc>
          <w:tcPr>
            <w:tcW w:w="588" w:type="dxa"/>
            <w:shd w:val="clear" w:color="auto" w:fill="auto"/>
            <w:vAlign w:val="center"/>
          </w:tcPr>
          <w:p w:rsidR="007F1017" w:rsidRPr="00C974DD" w:rsidRDefault="00D3228A" w:rsidP="007F1017">
            <w:pPr>
              <w:rPr>
                <w:rFonts w:ascii="Arial Narrow" w:hAnsi="Arial Narrow"/>
                <w:sz w:val="20"/>
                <w:lang w:val="en-US"/>
              </w:rPr>
            </w:pPr>
            <w:r w:rsidRPr="00C974DD">
              <w:rPr>
                <w:rFonts w:ascii="Arial Narrow" w:hAnsi="Arial Narrow"/>
                <w:sz w:val="20"/>
                <w:lang w:val="en-US"/>
              </w:rPr>
              <w:t>101-07/99</w:t>
            </w:r>
          </w:p>
        </w:tc>
        <w:tc>
          <w:tcPr>
            <w:tcW w:w="330" w:type="dxa"/>
            <w:shd w:val="clear" w:color="auto" w:fill="auto"/>
            <w:vAlign w:val="center"/>
          </w:tcPr>
          <w:p w:rsidR="007F1017" w:rsidRPr="00C974DD" w:rsidRDefault="0075439D" w:rsidP="007F1017">
            <w:pPr>
              <w:jc w:val="center"/>
              <w:rPr>
                <w:rFonts w:ascii="Arial Narrow" w:hAnsi="Arial Narrow"/>
                <w:sz w:val="20"/>
                <w:lang w:val="en-US"/>
              </w:rPr>
            </w:pPr>
            <w:r w:rsidRPr="00C974DD">
              <w:rPr>
                <w:rFonts w:ascii="Arial Narrow" w:hAnsi="Arial Narrow"/>
                <w:sz w:val="20"/>
                <w:lang w:val="en-US"/>
              </w:rPr>
              <w:t>79</w:t>
            </w:r>
          </w:p>
        </w:tc>
        <w:tc>
          <w:tcPr>
            <w:tcW w:w="1917" w:type="dxa"/>
            <w:shd w:val="clear" w:color="auto" w:fill="auto"/>
            <w:vAlign w:val="center"/>
          </w:tcPr>
          <w:p w:rsidR="007F1017" w:rsidRPr="00C974DD" w:rsidRDefault="00B60A65" w:rsidP="007F1017">
            <w:pPr>
              <w:jc w:val="center"/>
              <w:rPr>
                <w:rFonts w:ascii="Arial Narrow" w:hAnsi="Arial Narrow"/>
                <w:sz w:val="20"/>
                <w:lang w:val="en-US"/>
              </w:rPr>
            </w:pPr>
            <w:r w:rsidRPr="00C974DD">
              <w:rPr>
                <w:rFonts w:ascii="Arial Narrow" w:hAnsi="Arial Narrow"/>
                <w:sz w:val="20"/>
                <w:lang w:val="en-US"/>
              </w:rPr>
              <w:t>OL</w:t>
            </w:r>
            <w:r w:rsidR="00043C43" w:rsidRPr="00C974DD">
              <w:rPr>
                <w:rFonts w:ascii="Arial Narrow" w:hAnsi="Arial Narrow"/>
                <w:sz w:val="20"/>
                <w:lang w:val="en-US"/>
              </w:rPr>
              <w:t>, dose ranging, idelalisib in combination with other treatments</w:t>
            </w:r>
          </w:p>
          <w:p w:rsidR="007F1017" w:rsidRPr="00C974DD" w:rsidRDefault="00B60A65" w:rsidP="007F1017">
            <w:pPr>
              <w:jc w:val="center"/>
              <w:rPr>
                <w:rFonts w:ascii="Arial Narrow" w:hAnsi="Arial Narrow"/>
                <w:sz w:val="20"/>
                <w:lang w:val="en-US"/>
              </w:rPr>
            </w:pPr>
            <w:r w:rsidRPr="00C974DD">
              <w:rPr>
                <w:rFonts w:ascii="Arial Narrow" w:hAnsi="Arial Narrow"/>
                <w:sz w:val="20"/>
                <w:lang w:val="en-US"/>
              </w:rPr>
              <w:t>48 weeks, or disease progression</w:t>
            </w:r>
          </w:p>
        </w:tc>
        <w:tc>
          <w:tcPr>
            <w:tcW w:w="851" w:type="dxa"/>
            <w:shd w:val="clear" w:color="auto" w:fill="auto"/>
            <w:vAlign w:val="center"/>
          </w:tcPr>
          <w:p w:rsidR="007F1017" w:rsidRPr="00C974DD" w:rsidRDefault="00B60A65" w:rsidP="007F1017">
            <w:pPr>
              <w:jc w:val="center"/>
              <w:rPr>
                <w:rFonts w:ascii="Arial Narrow" w:hAnsi="Arial Narrow"/>
                <w:sz w:val="20"/>
                <w:lang w:val="en-US"/>
              </w:rPr>
            </w:pPr>
            <w:r w:rsidRPr="00C974DD">
              <w:rPr>
                <w:rFonts w:ascii="Arial Narrow" w:hAnsi="Arial Narrow"/>
                <w:sz w:val="20"/>
                <w:lang w:val="en-US"/>
              </w:rPr>
              <w:t>High</w:t>
            </w:r>
          </w:p>
        </w:tc>
        <w:tc>
          <w:tcPr>
            <w:tcW w:w="2409" w:type="dxa"/>
            <w:shd w:val="clear" w:color="auto" w:fill="auto"/>
            <w:vAlign w:val="center"/>
          </w:tcPr>
          <w:p w:rsidR="007F1017" w:rsidRPr="00C974DD" w:rsidRDefault="00043C43" w:rsidP="007F1017">
            <w:pPr>
              <w:jc w:val="center"/>
              <w:rPr>
                <w:rFonts w:ascii="Arial Narrow" w:hAnsi="Arial Narrow"/>
                <w:sz w:val="20"/>
                <w:lang w:val="en-US"/>
              </w:rPr>
            </w:pPr>
            <w:r w:rsidRPr="00C974DD">
              <w:rPr>
                <w:rFonts w:ascii="Arial Narrow" w:hAnsi="Arial Narrow"/>
                <w:sz w:val="20"/>
                <w:lang w:val="en-US"/>
              </w:rPr>
              <w:t xml:space="preserve">iNHL </w:t>
            </w:r>
            <w:r w:rsidR="004D1DF2" w:rsidRPr="00C974DD">
              <w:rPr>
                <w:rFonts w:ascii="Arial Narrow" w:hAnsi="Arial Narrow"/>
                <w:sz w:val="20"/>
                <w:lang w:val="en-US"/>
              </w:rPr>
              <w:t>Previously treated with relapsed or refractory disease</w:t>
            </w:r>
          </w:p>
        </w:tc>
        <w:tc>
          <w:tcPr>
            <w:tcW w:w="1041" w:type="dxa"/>
            <w:shd w:val="clear" w:color="auto" w:fill="auto"/>
            <w:vAlign w:val="center"/>
          </w:tcPr>
          <w:p w:rsidR="007F1017" w:rsidRPr="00C974DD" w:rsidRDefault="004D1DF2" w:rsidP="00043C43">
            <w:pPr>
              <w:jc w:val="center"/>
              <w:rPr>
                <w:rFonts w:ascii="Arial Narrow" w:hAnsi="Arial Narrow"/>
                <w:sz w:val="20"/>
                <w:lang w:val="en-US"/>
              </w:rPr>
            </w:pPr>
            <w:r w:rsidRPr="00C974DD">
              <w:rPr>
                <w:rFonts w:ascii="Arial Narrow" w:hAnsi="Arial Narrow"/>
                <w:sz w:val="20"/>
                <w:lang w:val="en-US"/>
              </w:rPr>
              <w:t>ORR,PFS,</w:t>
            </w:r>
            <w:r w:rsidR="001B774B" w:rsidRPr="00C974DD">
              <w:rPr>
                <w:rFonts w:ascii="Arial Narrow" w:hAnsi="Arial Narrow"/>
                <w:sz w:val="20"/>
                <w:lang w:val="en-US"/>
              </w:rPr>
              <w:t xml:space="preserve"> </w:t>
            </w:r>
            <w:r w:rsidRPr="00C974DD">
              <w:rPr>
                <w:rFonts w:ascii="Arial Narrow" w:hAnsi="Arial Narrow"/>
                <w:sz w:val="20"/>
                <w:lang w:val="en-US"/>
              </w:rPr>
              <w:t>OS</w:t>
            </w:r>
          </w:p>
        </w:tc>
        <w:tc>
          <w:tcPr>
            <w:tcW w:w="1210" w:type="dxa"/>
            <w:shd w:val="clear" w:color="auto" w:fill="auto"/>
            <w:vAlign w:val="center"/>
          </w:tcPr>
          <w:p w:rsidR="007F1017" w:rsidRPr="00C974DD" w:rsidRDefault="007F1017" w:rsidP="007F1017">
            <w:pPr>
              <w:jc w:val="center"/>
              <w:rPr>
                <w:rFonts w:ascii="Arial Narrow" w:hAnsi="Arial Narrow"/>
                <w:sz w:val="20"/>
                <w:lang w:val="en-US"/>
              </w:rPr>
            </w:pPr>
            <w:r w:rsidRPr="00C974DD">
              <w:rPr>
                <w:rFonts w:ascii="Arial Narrow" w:hAnsi="Arial Narrow"/>
                <w:sz w:val="20"/>
                <w:lang w:val="en-US"/>
              </w:rPr>
              <w:t>Not used</w:t>
            </w:r>
          </w:p>
        </w:tc>
      </w:tr>
      <w:tr w:rsidR="00C974DD" w:rsidRPr="00C974DD" w:rsidTr="00874A24">
        <w:trPr>
          <w:cantSplit/>
        </w:trPr>
        <w:tc>
          <w:tcPr>
            <w:tcW w:w="8346" w:type="dxa"/>
            <w:gridSpan w:val="7"/>
            <w:shd w:val="clear" w:color="auto" w:fill="auto"/>
            <w:vAlign w:val="center"/>
          </w:tcPr>
          <w:p w:rsidR="0075439D" w:rsidRPr="00C974DD" w:rsidRDefault="001B774B" w:rsidP="0075439D">
            <w:pPr>
              <w:rPr>
                <w:rFonts w:ascii="Arial Narrow" w:hAnsi="Arial Narrow"/>
                <w:sz w:val="20"/>
                <w:lang w:val="en-US"/>
              </w:rPr>
            </w:pPr>
            <w:r w:rsidRPr="00C974DD">
              <w:rPr>
                <w:rFonts w:ascii="Arial Narrow" w:hAnsi="Arial Narrow"/>
                <w:b/>
                <w:sz w:val="20"/>
              </w:rPr>
              <w:t>Comparator efficacy studies – according to the submission less pretreated</w:t>
            </w:r>
          </w:p>
        </w:tc>
      </w:tr>
      <w:tr w:rsidR="00C974DD" w:rsidRPr="00C974DD" w:rsidTr="00874A24">
        <w:trPr>
          <w:cantSplit/>
        </w:trPr>
        <w:tc>
          <w:tcPr>
            <w:tcW w:w="588" w:type="dxa"/>
            <w:shd w:val="clear" w:color="auto" w:fill="auto"/>
            <w:vAlign w:val="center"/>
          </w:tcPr>
          <w:p w:rsidR="007F1017" w:rsidRPr="00C974DD" w:rsidRDefault="0075439D" w:rsidP="007F1017">
            <w:pPr>
              <w:rPr>
                <w:rFonts w:ascii="Arial Narrow" w:hAnsi="Arial Narrow"/>
                <w:sz w:val="20"/>
                <w:lang w:val="en-US"/>
              </w:rPr>
            </w:pPr>
            <w:r w:rsidRPr="00C974DD">
              <w:rPr>
                <w:rFonts w:ascii="Arial Narrow" w:hAnsi="Arial Narrow"/>
                <w:sz w:val="20"/>
                <w:lang w:val="en-US"/>
              </w:rPr>
              <w:t>Witzig (2002)</w:t>
            </w:r>
          </w:p>
        </w:tc>
        <w:tc>
          <w:tcPr>
            <w:tcW w:w="330" w:type="dxa"/>
            <w:shd w:val="clear" w:color="auto" w:fill="auto"/>
            <w:vAlign w:val="center"/>
          </w:tcPr>
          <w:p w:rsidR="007F1017" w:rsidRPr="00C974DD" w:rsidRDefault="0075439D" w:rsidP="007F1017">
            <w:pPr>
              <w:jc w:val="center"/>
              <w:rPr>
                <w:rFonts w:ascii="Arial Narrow" w:hAnsi="Arial Narrow"/>
                <w:sz w:val="20"/>
                <w:lang w:val="en-US"/>
              </w:rPr>
            </w:pPr>
            <w:r w:rsidRPr="00C974DD">
              <w:rPr>
                <w:rFonts w:ascii="Arial Narrow" w:hAnsi="Arial Narrow"/>
                <w:sz w:val="20"/>
                <w:lang w:val="en-US"/>
              </w:rPr>
              <w:t>54</w:t>
            </w:r>
          </w:p>
        </w:tc>
        <w:tc>
          <w:tcPr>
            <w:tcW w:w="1917" w:type="dxa"/>
            <w:shd w:val="clear" w:color="auto" w:fill="auto"/>
            <w:vAlign w:val="center"/>
          </w:tcPr>
          <w:p w:rsidR="007F1017" w:rsidRPr="00C974DD" w:rsidRDefault="002B6657" w:rsidP="007F1017">
            <w:pPr>
              <w:jc w:val="center"/>
              <w:rPr>
                <w:rFonts w:ascii="Arial Narrow" w:hAnsi="Arial Narrow"/>
                <w:sz w:val="20"/>
                <w:lang w:val="en-US"/>
              </w:rPr>
            </w:pPr>
            <w:r w:rsidRPr="00C974DD">
              <w:rPr>
                <w:rFonts w:ascii="Arial Narrow" w:hAnsi="Arial Narrow"/>
                <w:sz w:val="20"/>
                <w:lang w:val="en-US"/>
              </w:rPr>
              <w:t>P</w:t>
            </w:r>
            <w:r w:rsidR="001B774B" w:rsidRPr="00C974DD">
              <w:rPr>
                <w:rFonts w:ascii="Arial Narrow" w:hAnsi="Arial Narrow"/>
                <w:sz w:val="20"/>
                <w:lang w:val="en-US"/>
              </w:rPr>
              <w:t>,</w:t>
            </w:r>
            <w:r w:rsidRPr="00C974DD">
              <w:rPr>
                <w:rFonts w:ascii="Arial Narrow" w:hAnsi="Arial Narrow"/>
                <w:sz w:val="20"/>
                <w:lang w:val="en-US"/>
              </w:rPr>
              <w:t xml:space="preserve"> </w:t>
            </w:r>
            <w:r w:rsidR="004D1DF2" w:rsidRPr="00C974DD">
              <w:rPr>
                <w:rFonts w:ascii="Arial Narrow" w:hAnsi="Arial Narrow"/>
                <w:sz w:val="20"/>
                <w:lang w:val="en-US"/>
              </w:rPr>
              <w:t>OL</w:t>
            </w:r>
            <w:r w:rsidR="00043C43" w:rsidRPr="00C974DD">
              <w:rPr>
                <w:rFonts w:ascii="Arial Narrow" w:hAnsi="Arial Narrow"/>
                <w:sz w:val="20"/>
                <w:lang w:val="en-US"/>
              </w:rPr>
              <w:t>, single arm</w:t>
            </w:r>
          </w:p>
          <w:p w:rsidR="004D1DF2" w:rsidRPr="00C974DD" w:rsidRDefault="00786A7C" w:rsidP="007F1017">
            <w:pPr>
              <w:jc w:val="center"/>
              <w:rPr>
                <w:rFonts w:ascii="Arial Narrow" w:hAnsi="Arial Narrow"/>
                <w:sz w:val="20"/>
                <w:lang w:val="en-US"/>
              </w:rPr>
            </w:pPr>
            <w:r w:rsidRPr="00C974DD">
              <w:rPr>
                <w:rFonts w:ascii="Arial Narrow" w:hAnsi="Arial Narrow"/>
                <w:sz w:val="20"/>
                <w:lang w:val="en-US"/>
              </w:rPr>
              <w:t>Y-ibritumomab tiuxetan + rituximab</w:t>
            </w:r>
          </w:p>
          <w:p w:rsidR="00786A7C" w:rsidRPr="00C974DD" w:rsidRDefault="00786A7C" w:rsidP="007F1017">
            <w:pPr>
              <w:jc w:val="center"/>
              <w:rPr>
                <w:rFonts w:ascii="Arial Narrow" w:hAnsi="Arial Narrow"/>
                <w:sz w:val="20"/>
                <w:lang w:val="en-US"/>
              </w:rPr>
            </w:pPr>
            <w:r w:rsidRPr="00C974DD">
              <w:rPr>
                <w:rFonts w:ascii="Arial Narrow" w:hAnsi="Arial Narrow"/>
                <w:sz w:val="20"/>
                <w:lang w:val="en-US"/>
              </w:rPr>
              <w:t>Median follow-up</w:t>
            </w:r>
            <w:r w:rsidR="00DD564B" w:rsidRPr="00C974DD">
              <w:rPr>
                <w:rFonts w:ascii="Arial Narrow" w:hAnsi="Arial Narrow"/>
                <w:sz w:val="20"/>
                <w:lang w:val="en-US"/>
              </w:rPr>
              <w:t>:</w:t>
            </w:r>
            <w:r w:rsidRPr="00C974DD">
              <w:rPr>
                <w:rFonts w:ascii="Arial Narrow" w:hAnsi="Arial Narrow"/>
                <w:sz w:val="20"/>
                <w:lang w:val="en-US"/>
              </w:rPr>
              <w:t xml:space="preserve"> NR</w:t>
            </w:r>
          </w:p>
        </w:tc>
        <w:tc>
          <w:tcPr>
            <w:tcW w:w="851" w:type="dxa"/>
            <w:shd w:val="clear" w:color="auto" w:fill="auto"/>
            <w:vAlign w:val="center"/>
          </w:tcPr>
          <w:p w:rsidR="007F1017" w:rsidRPr="00C974DD" w:rsidRDefault="004D1DF2" w:rsidP="007F1017">
            <w:pPr>
              <w:jc w:val="center"/>
              <w:rPr>
                <w:rFonts w:ascii="Arial Narrow" w:hAnsi="Arial Narrow"/>
                <w:sz w:val="20"/>
                <w:lang w:val="en-US"/>
              </w:rPr>
            </w:pPr>
            <w:r w:rsidRPr="00C974DD">
              <w:rPr>
                <w:rFonts w:ascii="Arial Narrow" w:hAnsi="Arial Narrow"/>
                <w:sz w:val="20"/>
                <w:lang w:val="en-US"/>
              </w:rPr>
              <w:t>High</w:t>
            </w:r>
          </w:p>
        </w:tc>
        <w:tc>
          <w:tcPr>
            <w:tcW w:w="2409" w:type="dxa"/>
            <w:shd w:val="clear" w:color="auto" w:fill="auto"/>
            <w:vAlign w:val="center"/>
          </w:tcPr>
          <w:p w:rsidR="007F1017" w:rsidRPr="00C974DD" w:rsidRDefault="00786A7C" w:rsidP="00786A7C">
            <w:pPr>
              <w:jc w:val="center"/>
              <w:rPr>
                <w:rFonts w:ascii="Arial Narrow" w:hAnsi="Arial Narrow"/>
                <w:sz w:val="20"/>
                <w:lang w:val="en-US"/>
              </w:rPr>
            </w:pPr>
            <w:r w:rsidRPr="00C974DD">
              <w:rPr>
                <w:rFonts w:ascii="Arial Narrow" w:hAnsi="Arial Narrow"/>
                <w:sz w:val="20"/>
                <w:lang w:val="en-US"/>
              </w:rPr>
              <w:t>FL, p</w:t>
            </w:r>
            <w:r w:rsidR="004D1DF2" w:rsidRPr="00C974DD">
              <w:rPr>
                <w:rFonts w:ascii="Arial Narrow" w:hAnsi="Arial Narrow"/>
                <w:sz w:val="20"/>
                <w:lang w:val="en-US"/>
              </w:rPr>
              <w:t xml:space="preserve">rior treatment with </w:t>
            </w:r>
            <w:r w:rsidR="001B774B" w:rsidRPr="00C974DD">
              <w:rPr>
                <w:rFonts w:ascii="Arial Narrow" w:hAnsi="Arial Narrow"/>
                <w:sz w:val="20"/>
                <w:lang w:val="en-US"/>
              </w:rPr>
              <w:t>RIT</w:t>
            </w:r>
            <w:r w:rsidR="004D1DF2" w:rsidRPr="00C974DD">
              <w:rPr>
                <w:rFonts w:ascii="Arial Narrow" w:hAnsi="Arial Narrow"/>
                <w:sz w:val="20"/>
                <w:lang w:val="en-US"/>
              </w:rPr>
              <w:t xml:space="preserve">, and either did not respond or had a TTP of </w:t>
            </w:r>
            <w:r w:rsidR="001B774B" w:rsidRPr="00C974DD">
              <w:rPr>
                <w:rFonts w:ascii="Arial Narrow" w:hAnsi="Arial Narrow"/>
                <w:sz w:val="20"/>
                <w:lang w:val="en-US"/>
              </w:rPr>
              <w:t>&lt;</w:t>
            </w:r>
            <w:r w:rsidR="004D1DF2" w:rsidRPr="00C974DD">
              <w:rPr>
                <w:rFonts w:ascii="Arial Narrow" w:hAnsi="Arial Narrow"/>
                <w:sz w:val="20"/>
                <w:lang w:val="en-US"/>
              </w:rPr>
              <w:t>6 months</w:t>
            </w:r>
          </w:p>
          <w:p w:rsidR="00DD564B" w:rsidRPr="00C974DD" w:rsidRDefault="00DD564B" w:rsidP="00786A7C">
            <w:pPr>
              <w:jc w:val="center"/>
              <w:rPr>
                <w:rFonts w:ascii="Arial Narrow" w:hAnsi="Arial Narrow"/>
                <w:sz w:val="20"/>
                <w:lang w:val="en-US"/>
              </w:rPr>
            </w:pPr>
            <w:r w:rsidRPr="00C974DD">
              <w:rPr>
                <w:rFonts w:ascii="Arial Narrow" w:hAnsi="Arial Narrow"/>
                <w:sz w:val="20"/>
                <w:lang w:val="en-US"/>
              </w:rPr>
              <w:t>median prior tx: 4</w:t>
            </w:r>
          </w:p>
        </w:tc>
        <w:tc>
          <w:tcPr>
            <w:tcW w:w="1041" w:type="dxa"/>
            <w:shd w:val="clear" w:color="auto" w:fill="auto"/>
            <w:vAlign w:val="center"/>
          </w:tcPr>
          <w:p w:rsidR="007F1017" w:rsidRPr="00C974DD" w:rsidRDefault="004D1DF2" w:rsidP="00786A7C">
            <w:pPr>
              <w:jc w:val="center"/>
              <w:rPr>
                <w:rFonts w:ascii="Arial Narrow" w:hAnsi="Arial Narrow"/>
                <w:sz w:val="20"/>
                <w:lang w:val="en-US"/>
              </w:rPr>
            </w:pPr>
            <w:r w:rsidRPr="00C974DD">
              <w:rPr>
                <w:rFonts w:ascii="Arial Narrow" w:hAnsi="Arial Narrow"/>
                <w:sz w:val="20"/>
                <w:lang w:val="en-US"/>
              </w:rPr>
              <w:t xml:space="preserve">ORR, TTP, DOR, </w:t>
            </w:r>
          </w:p>
        </w:tc>
        <w:tc>
          <w:tcPr>
            <w:tcW w:w="1210" w:type="dxa"/>
            <w:shd w:val="clear" w:color="auto" w:fill="auto"/>
            <w:vAlign w:val="center"/>
          </w:tcPr>
          <w:p w:rsidR="007F1017" w:rsidRPr="00C974DD" w:rsidRDefault="0075439D" w:rsidP="007F1017">
            <w:pPr>
              <w:jc w:val="center"/>
              <w:rPr>
                <w:rFonts w:ascii="Arial Narrow" w:hAnsi="Arial Narrow"/>
                <w:sz w:val="20"/>
                <w:lang w:val="en-US"/>
              </w:rPr>
            </w:pPr>
            <w:r w:rsidRPr="00C974DD">
              <w:rPr>
                <w:rFonts w:ascii="Arial Narrow" w:hAnsi="Arial Narrow"/>
                <w:sz w:val="20"/>
                <w:lang w:val="en-US"/>
              </w:rPr>
              <w:t>Not used</w:t>
            </w:r>
          </w:p>
        </w:tc>
      </w:tr>
      <w:tr w:rsidR="00C974DD" w:rsidRPr="00C974DD" w:rsidTr="00874A24">
        <w:trPr>
          <w:cantSplit/>
        </w:trPr>
        <w:tc>
          <w:tcPr>
            <w:tcW w:w="588" w:type="dxa"/>
            <w:shd w:val="clear" w:color="auto" w:fill="auto"/>
            <w:vAlign w:val="center"/>
          </w:tcPr>
          <w:p w:rsidR="007F1017" w:rsidRPr="00C974DD" w:rsidRDefault="0075439D" w:rsidP="007F1017">
            <w:pPr>
              <w:rPr>
                <w:rFonts w:ascii="Arial Narrow" w:hAnsi="Arial Narrow"/>
                <w:sz w:val="20"/>
                <w:lang w:val="en-US"/>
              </w:rPr>
            </w:pPr>
            <w:r w:rsidRPr="00C974DD">
              <w:rPr>
                <w:rFonts w:ascii="Arial Narrow" w:hAnsi="Arial Narrow"/>
                <w:sz w:val="20"/>
                <w:lang w:val="en-US"/>
              </w:rPr>
              <w:t>Kahl (2010)</w:t>
            </w:r>
          </w:p>
        </w:tc>
        <w:tc>
          <w:tcPr>
            <w:tcW w:w="330" w:type="dxa"/>
            <w:shd w:val="clear" w:color="auto" w:fill="auto"/>
            <w:vAlign w:val="center"/>
          </w:tcPr>
          <w:p w:rsidR="007F1017" w:rsidRPr="00C974DD" w:rsidRDefault="0075439D" w:rsidP="007F1017">
            <w:pPr>
              <w:jc w:val="center"/>
              <w:rPr>
                <w:rFonts w:ascii="Arial Narrow" w:hAnsi="Arial Narrow"/>
                <w:sz w:val="20"/>
                <w:lang w:val="en-US"/>
              </w:rPr>
            </w:pPr>
            <w:r w:rsidRPr="00C974DD">
              <w:rPr>
                <w:rFonts w:ascii="Arial Narrow" w:hAnsi="Arial Narrow"/>
                <w:sz w:val="20"/>
                <w:lang w:val="en-US"/>
              </w:rPr>
              <w:t>100</w:t>
            </w:r>
          </w:p>
        </w:tc>
        <w:tc>
          <w:tcPr>
            <w:tcW w:w="1917" w:type="dxa"/>
            <w:shd w:val="clear" w:color="auto" w:fill="auto"/>
            <w:vAlign w:val="center"/>
          </w:tcPr>
          <w:p w:rsidR="007F1017" w:rsidRPr="00C974DD" w:rsidRDefault="002B6657" w:rsidP="007F1017">
            <w:pPr>
              <w:jc w:val="center"/>
              <w:rPr>
                <w:rFonts w:ascii="Arial Narrow" w:hAnsi="Arial Narrow"/>
                <w:sz w:val="20"/>
                <w:lang w:val="en-US"/>
              </w:rPr>
            </w:pPr>
            <w:r w:rsidRPr="00C974DD">
              <w:rPr>
                <w:rFonts w:ascii="Arial Narrow" w:hAnsi="Arial Narrow"/>
                <w:sz w:val="20"/>
                <w:lang w:val="en-US"/>
              </w:rPr>
              <w:t>P</w:t>
            </w:r>
            <w:r w:rsidR="001B774B" w:rsidRPr="00C974DD">
              <w:rPr>
                <w:rFonts w:ascii="Arial Narrow" w:hAnsi="Arial Narrow"/>
                <w:sz w:val="20"/>
                <w:lang w:val="en-US"/>
              </w:rPr>
              <w:t>,</w:t>
            </w:r>
            <w:r w:rsidRPr="00C974DD">
              <w:rPr>
                <w:rFonts w:ascii="Arial Narrow" w:hAnsi="Arial Narrow"/>
                <w:sz w:val="20"/>
                <w:lang w:val="en-US"/>
              </w:rPr>
              <w:t xml:space="preserve"> </w:t>
            </w:r>
            <w:r w:rsidR="004D1DF2" w:rsidRPr="00C974DD">
              <w:rPr>
                <w:rFonts w:ascii="Arial Narrow" w:hAnsi="Arial Narrow"/>
                <w:sz w:val="20"/>
                <w:lang w:val="en-US"/>
              </w:rPr>
              <w:t>OL</w:t>
            </w:r>
            <w:r w:rsidR="00043C43" w:rsidRPr="00C974DD">
              <w:rPr>
                <w:rFonts w:ascii="Arial Narrow" w:hAnsi="Arial Narrow"/>
                <w:sz w:val="20"/>
                <w:lang w:val="en-US"/>
              </w:rPr>
              <w:t>, single arm</w:t>
            </w:r>
          </w:p>
          <w:p w:rsidR="000D1AF7" w:rsidRPr="00C974DD" w:rsidRDefault="00DD564B" w:rsidP="007F1017">
            <w:pPr>
              <w:jc w:val="center"/>
              <w:rPr>
                <w:rFonts w:ascii="Arial Narrow" w:hAnsi="Arial Narrow"/>
                <w:sz w:val="20"/>
                <w:lang w:val="en-US"/>
              </w:rPr>
            </w:pPr>
            <w:r w:rsidRPr="00C974DD">
              <w:rPr>
                <w:rFonts w:ascii="Arial Narrow" w:hAnsi="Arial Narrow"/>
                <w:sz w:val="20"/>
                <w:lang w:val="en-US"/>
              </w:rPr>
              <w:t xml:space="preserve">Bendamustine </w:t>
            </w:r>
          </w:p>
          <w:p w:rsidR="000D1AF7" w:rsidRPr="00C974DD" w:rsidRDefault="000D1AF7" w:rsidP="00786A7C">
            <w:pPr>
              <w:jc w:val="center"/>
              <w:rPr>
                <w:rFonts w:ascii="Arial Narrow" w:hAnsi="Arial Narrow"/>
                <w:sz w:val="20"/>
                <w:lang w:val="en-US"/>
              </w:rPr>
            </w:pPr>
            <w:r w:rsidRPr="00C974DD">
              <w:rPr>
                <w:rFonts w:ascii="Arial Narrow" w:hAnsi="Arial Narrow"/>
                <w:sz w:val="20"/>
                <w:lang w:val="en-US"/>
              </w:rPr>
              <w:t xml:space="preserve">Median follow-up </w:t>
            </w:r>
            <w:r w:rsidR="00786A7C" w:rsidRPr="00C974DD">
              <w:rPr>
                <w:rFonts w:ascii="Arial Narrow" w:hAnsi="Arial Narrow"/>
                <w:sz w:val="20"/>
                <w:lang w:val="en-US"/>
              </w:rPr>
              <w:t>11.8 months</w:t>
            </w:r>
          </w:p>
        </w:tc>
        <w:tc>
          <w:tcPr>
            <w:tcW w:w="851" w:type="dxa"/>
            <w:shd w:val="clear" w:color="auto" w:fill="auto"/>
            <w:vAlign w:val="center"/>
          </w:tcPr>
          <w:p w:rsidR="007F1017" w:rsidRPr="00C974DD" w:rsidRDefault="004D1DF2" w:rsidP="007F1017">
            <w:pPr>
              <w:jc w:val="center"/>
              <w:rPr>
                <w:rFonts w:ascii="Arial Narrow" w:hAnsi="Arial Narrow"/>
                <w:sz w:val="20"/>
                <w:lang w:val="en-US"/>
              </w:rPr>
            </w:pPr>
            <w:r w:rsidRPr="00C974DD">
              <w:rPr>
                <w:rFonts w:ascii="Arial Narrow" w:hAnsi="Arial Narrow"/>
                <w:sz w:val="20"/>
                <w:lang w:val="en-US"/>
              </w:rPr>
              <w:t>High</w:t>
            </w:r>
          </w:p>
        </w:tc>
        <w:tc>
          <w:tcPr>
            <w:tcW w:w="2409" w:type="dxa"/>
            <w:shd w:val="clear" w:color="auto" w:fill="auto"/>
            <w:vAlign w:val="center"/>
          </w:tcPr>
          <w:p w:rsidR="00DD564B" w:rsidRPr="00C974DD" w:rsidRDefault="00DD564B" w:rsidP="00DD564B">
            <w:pPr>
              <w:jc w:val="center"/>
              <w:rPr>
                <w:rFonts w:ascii="Arial Narrow" w:hAnsi="Arial Narrow"/>
                <w:sz w:val="20"/>
                <w:lang w:val="en-US"/>
              </w:rPr>
            </w:pPr>
            <w:r w:rsidRPr="00C974DD">
              <w:rPr>
                <w:rFonts w:ascii="Arial Narrow" w:hAnsi="Arial Narrow"/>
                <w:sz w:val="20"/>
                <w:lang w:val="en-US"/>
              </w:rPr>
              <w:t xml:space="preserve">indolent B-cell lymphoma and </w:t>
            </w:r>
            <w:r w:rsidR="001B774B" w:rsidRPr="00C974DD">
              <w:rPr>
                <w:rFonts w:ascii="Arial Narrow" w:hAnsi="Arial Narrow"/>
                <w:sz w:val="20"/>
                <w:lang w:val="en-US"/>
              </w:rPr>
              <w:t>RIT</w:t>
            </w:r>
            <w:r w:rsidR="004D1DF2" w:rsidRPr="00C974DD">
              <w:rPr>
                <w:rFonts w:ascii="Arial Narrow" w:hAnsi="Arial Narrow"/>
                <w:sz w:val="20"/>
                <w:lang w:val="en-US"/>
              </w:rPr>
              <w:t>-refractory</w:t>
            </w:r>
          </w:p>
          <w:p w:rsidR="007F1017" w:rsidRPr="00C974DD" w:rsidRDefault="00DD564B" w:rsidP="00DD564B">
            <w:pPr>
              <w:jc w:val="center"/>
              <w:rPr>
                <w:rFonts w:ascii="Arial Narrow" w:hAnsi="Arial Narrow"/>
                <w:sz w:val="20"/>
                <w:lang w:val="en-US"/>
              </w:rPr>
            </w:pPr>
            <w:r w:rsidRPr="00C974DD">
              <w:rPr>
                <w:rFonts w:ascii="Arial Narrow" w:hAnsi="Arial Narrow"/>
                <w:sz w:val="20"/>
                <w:lang w:val="en-US"/>
              </w:rPr>
              <w:t>median prior tx: 3</w:t>
            </w:r>
            <w:r w:rsidR="004D1DF2" w:rsidRPr="00C974DD">
              <w:rPr>
                <w:rFonts w:ascii="Arial Narrow" w:hAnsi="Arial Narrow"/>
                <w:sz w:val="20"/>
                <w:lang w:val="en-US"/>
              </w:rPr>
              <w:t xml:space="preserve"> </w:t>
            </w:r>
          </w:p>
        </w:tc>
        <w:tc>
          <w:tcPr>
            <w:tcW w:w="1041" w:type="dxa"/>
            <w:shd w:val="clear" w:color="auto" w:fill="auto"/>
            <w:vAlign w:val="center"/>
          </w:tcPr>
          <w:p w:rsidR="007F1017" w:rsidRPr="00C974DD" w:rsidRDefault="004D1DF2" w:rsidP="007F1017">
            <w:pPr>
              <w:jc w:val="center"/>
              <w:rPr>
                <w:rFonts w:ascii="Arial Narrow" w:hAnsi="Arial Narrow"/>
                <w:sz w:val="20"/>
                <w:lang w:val="en-US"/>
              </w:rPr>
            </w:pPr>
            <w:r w:rsidRPr="00C974DD">
              <w:rPr>
                <w:rFonts w:ascii="Arial Narrow" w:hAnsi="Arial Narrow"/>
                <w:sz w:val="20"/>
                <w:lang w:val="en-US"/>
              </w:rPr>
              <w:t xml:space="preserve">ORR, PFS, </w:t>
            </w:r>
          </w:p>
          <w:p w:rsidR="004D1DF2" w:rsidRPr="00C974DD" w:rsidRDefault="004D1DF2" w:rsidP="007F1017">
            <w:pPr>
              <w:jc w:val="center"/>
              <w:rPr>
                <w:rFonts w:ascii="Arial Narrow" w:hAnsi="Arial Narrow"/>
                <w:sz w:val="20"/>
                <w:lang w:val="en-US"/>
              </w:rPr>
            </w:pPr>
            <w:r w:rsidRPr="00C974DD">
              <w:rPr>
                <w:rFonts w:ascii="Arial Narrow" w:hAnsi="Arial Narrow"/>
                <w:sz w:val="20"/>
                <w:lang w:val="en-US"/>
              </w:rPr>
              <w:t>DOR, safety</w:t>
            </w:r>
          </w:p>
        </w:tc>
        <w:tc>
          <w:tcPr>
            <w:tcW w:w="1210" w:type="dxa"/>
            <w:shd w:val="clear" w:color="auto" w:fill="auto"/>
            <w:vAlign w:val="center"/>
          </w:tcPr>
          <w:p w:rsidR="007F1017" w:rsidRPr="00C974DD" w:rsidRDefault="0075439D" w:rsidP="007F1017">
            <w:pPr>
              <w:jc w:val="center"/>
              <w:rPr>
                <w:rFonts w:ascii="Arial Narrow" w:hAnsi="Arial Narrow"/>
                <w:sz w:val="20"/>
                <w:lang w:val="en-US"/>
              </w:rPr>
            </w:pPr>
            <w:r w:rsidRPr="00C974DD">
              <w:rPr>
                <w:rFonts w:ascii="Arial Narrow" w:hAnsi="Arial Narrow"/>
                <w:sz w:val="20"/>
                <w:lang w:val="en-US"/>
              </w:rPr>
              <w:t>Not used</w:t>
            </w:r>
          </w:p>
        </w:tc>
      </w:tr>
    </w:tbl>
    <w:p w:rsidR="00954D0C" w:rsidRPr="00C974DD" w:rsidRDefault="00954D0C" w:rsidP="00954D0C">
      <w:pPr>
        <w:pStyle w:val="TableFooter"/>
        <w:ind w:firstLine="720"/>
      </w:pPr>
      <w:r w:rsidRPr="00C974DD">
        <w:t>Source: compiled during the evaluation</w:t>
      </w:r>
    </w:p>
    <w:p w:rsidR="007F1017" w:rsidRPr="00C974DD" w:rsidRDefault="00AB3D0C" w:rsidP="00693D8E">
      <w:pPr>
        <w:pStyle w:val="TableFooter"/>
        <w:ind w:left="720"/>
      </w:pPr>
      <w:r w:rsidRPr="00C974DD">
        <w:t xml:space="preserve">DOR = duration of response; FL = follicular non-Hodgkin’s lymphoma; iNHL = indolent non-Hodgkin’s lymphoma; ITT = intention to treat; NR = not reached; </w:t>
      </w:r>
      <w:r w:rsidR="007F1017" w:rsidRPr="00C974DD">
        <w:t>OL=open label;</w:t>
      </w:r>
      <w:r w:rsidRPr="00C974DD">
        <w:t xml:space="preserve"> ORR=overall response rate; </w:t>
      </w:r>
      <w:r w:rsidR="007F1017" w:rsidRPr="00C974DD">
        <w:t xml:space="preserve"> OS=overall survival;</w:t>
      </w:r>
      <w:r w:rsidRPr="00C974DD">
        <w:t xml:space="preserve"> P = prospective; </w:t>
      </w:r>
      <w:r w:rsidR="007F1017" w:rsidRPr="00C974DD">
        <w:t>PFS=progression-free survival;</w:t>
      </w:r>
      <w:r w:rsidR="00693D8E" w:rsidRPr="00C974DD">
        <w:t xml:space="preserve"> </w:t>
      </w:r>
      <w:r w:rsidRPr="00C974DD">
        <w:t>RIT = rituximab;</w:t>
      </w:r>
      <w:r w:rsidR="0029226C" w:rsidRPr="00C974DD">
        <w:t xml:space="preserve"> </w:t>
      </w:r>
      <w:r w:rsidR="00786A7C" w:rsidRPr="00C974DD">
        <w:t xml:space="preserve">TTP = time to progression; </w:t>
      </w:r>
    </w:p>
    <w:p w:rsidR="007F1017" w:rsidRPr="00C974DD" w:rsidRDefault="007F1017" w:rsidP="00AD4372"/>
    <w:p w:rsidR="000F1355" w:rsidRPr="00C974DD" w:rsidRDefault="00D83294" w:rsidP="000B261C">
      <w:pPr>
        <w:pStyle w:val="ListParagraph"/>
        <w:numPr>
          <w:ilvl w:val="1"/>
          <w:numId w:val="15"/>
        </w:numPr>
      </w:pPr>
      <w:r w:rsidRPr="00C974DD">
        <w:rPr>
          <w:szCs w:val="22"/>
        </w:rPr>
        <w:t xml:space="preserve">The two supportive phase 1 idelalisib studies (101-02, 101-07) differed from Study 101-09 and each other with regard to </w:t>
      </w:r>
      <w:r w:rsidR="006F7464" w:rsidRPr="00C974DD">
        <w:rPr>
          <w:szCs w:val="22"/>
        </w:rPr>
        <w:t>inclusion criteria, distribution of iNHL sub</w:t>
      </w:r>
      <w:r w:rsidR="006F7464" w:rsidRPr="00C974DD">
        <w:rPr>
          <w:szCs w:val="22"/>
        </w:rPr>
        <w:noBreakHyphen/>
      </w:r>
      <w:r w:rsidRPr="00C974DD">
        <w:rPr>
          <w:szCs w:val="22"/>
        </w:rPr>
        <w:t xml:space="preserve">types and disease status. </w:t>
      </w:r>
      <w:r w:rsidR="004C3837" w:rsidRPr="00C974DD">
        <w:rPr>
          <w:szCs w:val="22"/>
        </w:rPr>
        <w:t xml:space="preserve">Patients in the Phase I studies </w:t>
      </w:r>
      <w:r w:rsidR="0051126B" w:rsidRPr="00C974DD">
        <w:rPr>
          <w:szCs w:val="22"/>
        </w:rPr>
        <w:t xml:space="preserve">(101-02/99 and 101-07/99) </w:t>
      </w:r>
      <w:r w:rsidR="004C3837" w:rsidRPr="00C974DD">
        <w:rPr>
          <w:szCs w:val="22"/>
        </w:rPr>
        <w:t xml:space="preserve">were </w:t>
      </w:r>
      <w:r w:rsidR="006F7464" w:rsidRPr="00C974DD">
        <w:rPr>
          <w:szCs w:val="22"/>
        </w:rPr>
        <w:t xml:space="preserve">not </w:t>
      </w:r>
      <w:r w:rsidR="00E14AD9" w:rsidRPr="00C974DD">
        <w:rPr>
          <w:szCs w:val="22"/>
        </w:rPr>
        <w:t>similar</w:t>
      </w:r>
      <w:r w:rsidR="006F7464" w:rsidRPr="00C974DD">
        <w:rPr>
          <w:szCs w:val="22"/>
        </w:rPr>
        <w:t xml:space="preserve"> to those included in Study 101-09</w:t>
      </w:r>
      <w:r w:rsidR="004C3837" w:rsidRPr="00C974DD">
        <w:rPr>
          <w:szCs w:val="22"/>
        </w:rPr>
        <w:t xml:space="preserve">, and </w:t>
      </w:r>
      <w:r w:rsidR="006F7464" w:rsidRPr="00C974DD">
        <w:rPr>
          <w:szCs w:val="22"/>
        </w:rPr>
        <w:t xml:space="preserve">are </w:t>
      </w:r>
      <w:r w:rsidR="004C3837" w:rsidRPr="00C974DD">
        <w:rPr>
          <w:szCs w:val="22"/>
        </w:rPr>
        <w:t xml:space="preserve">therefore not further </w:t>
      </w:r>
      <w:r w:rsidR="00CD0571" w:rsidRPr="00C974DD">
        <w:rPr>
          <w:szCs w:val="22"/>
        </w:rPr>
        <w:t>discussed</w:t>
      </w:r>
      <w:r w:rsidR="00CD0571" w:rsidRPr="00C974DD">
        <w:t xml:space="preserve"> </w:t>
      </w:r>
      <w:r w:rsidRPr="00C974DD">
        <w:t>below.</w:t>
      </w:r>
    </w:p>
    <w:p w:rsidR="006F7464" w:rsidRPr="00C974DD" w:rsidRDefault="006F7464" w:rsidP="00895F94">
      <w:pPr>
        <w:pStyle w:val="ListParagraph"/>
      </w:pPr>
    </w:p>
    <w:p w:rsidR="000F1355" w:rsidRPr="00C974DD" w:rsidRDefault="000F1355" w:rsidP="008053E8">
      <w:pPr>
        <w:rPr>
          <w:u w:val="single"/>
        </w:rPr>
      </w:pPr>
      <w:r w:rsidRPr="00C974DD">
        <w:rPr>
          <w:u w:val="single"/>
        </w:rPr>
        <w:t>Exchangeability of studies</w:t>
      </w:r>
    </w:p>
    <w:p w:rsidR="0051126B" w:rsidRPr="00C974DD" w:rsidRDefault="004C3837" w:rsidP="000B261C">
      <w:pPr>
        <w:pStyle w:val="ListParagraph"/>
        <w:numPr>
          <w:ilvl w:val="1"/>
          <w:numId w:val="15"/>
        </w:numPr>
        <w:rPr>
          <w:szCs w:val="22"/>
        </w:rPr>
      </w:pPr>
      <w:r w:rsidRPr="00C974DD">
        <w:t>The inclusion criteria in Study 101-09 were more stringent than those in the comparator studies, however heavily pretreated patients</w:t>
      </w:r>
      <w:r w:rsidR="002827D3" w:rsidRPr="00C974DD">
        <w:t xml:space="preserve"> were not excluded from</w:t>
      </w:r>
      <w:r w:rsidRPr="00C974DD">
        <w:t xml:space="preserve"> the comparator studies. </w:t>
      </w:r>
      <w:r w:rsidR="002827D3" w:rsidRPr="00C974DD">
        <w:t>T</w:t>
      </w:r>
      <w:r w:rsidR="0051126B" w:rsidRPr="00C974DD">
        <w:t>he PSCR’s revised restriction may result in use in a more heavily pretreated population.</w:t>
      </w:r>
    </w:p>
    <w:p w:rsidR="0051126B" w:rsidRPr="00C974DD" w:rsidRDefault="0051126B" w:rsidP="00AD4372">
      <w:pPr>
        <w:pStyle w:val="ListParagraph"/>
        <w:rPr>
          <w:szCs w:val="22"/>
        </w:rPr>
      </w:pPr>
    </w:p>
    <w:p w:rsidR="0051126B" w:rsidRPr="00C974DD" w:rsidRDefault="0051126B" w:rsidP="009F7C8E">
      <w:pPr>
        <w:pStyle w:val="ListParagraph"/>
        <w:numPr>
          <w:ilvl w:val="1"/>
          <w:numId w:val="15"/>
        </w:numPr>
        <w:rPr>
          <w:szCs w:val="22"/>
        </w:rPr>
      </w:pPr>
      <w:r w:rsidRPr="00C974DD">
        <w:t>T</w:t>
      </w:r>
      <w:r w:rsidR="004C3837" w:rsidRPr="00C974DD">
        <w:t xml:space="preserve">he patients in Kahl (2010) were reasonably similar to those in Study 109-09, </w:t>
      </w:r>
      <w:r w:rsidR="0012176D" w:rsidRPr="00C974DD">
        <w:t>although there were differences between the two study populations with regard to age, sex</w:t>
      </w:r>
      <w:r w:rsidR="009F7C8E" w:rsidRPr="00C974DD">
        <w:t>, number of prior treatments</w:t>
      </w:r>
      <w:r w:rsidR="0012176D" w:rsidRPr="00C974DD">
        <w:t xml:space="preserve"> and lymphoma histology.</w:t>
      </w:r>
      <w:r w:rsidR="004C3837" w:rsidRPr="00C974DD">
        <w:t xml:space="preserve"> </w:t>
      </w:r>
      <w:r w:rsidR="009F7C8E" w:rsidRPr="00C974DD">
        <w:t>Furthermore, as outlined in the PSCR</w:t>
      </w:r>
      <w:r w:rsidR="001B1DD8" w:rsidRPr="00C974DD">
        <w:t>,</w:t>
      </w:r>
      <w:r w:rsidR="009F7C8E" w:rsidRPr="00C974DD">
        <w:t xml:space="preserve"> patients in the Kahl study were not required to be refractory to </w:t>
      </w:r>
      <w:r w:rsidR="009F7C8E" w:rsidRPr="00C974DD">
        <w:lastRenderedPageBreak/>
        <w:t xml:space="preserve">an alkylating agent. </w:t>
      </w:r>
      <w:r w:rsidR="004C3837" w:rsidRPr="00C974DD">
        <w:t>It is unclear whether these differences would impact on the efficacy and safety outcomes</w:t>
      </w:r>
      <w:r w:rsidR="004C3837" w:rsidRPr="00C974DD">
        <w:rPr>
          <w:szCs w:val="22"/>
        </w:rPr>
        <w:t>.</w:t>
      </w:r>
      <w:r w:rsidRPr="00C974DD">
        <w:t xml:space="preserve"> </w:t>
      </w:r>
    </w:p>
    <w:p w:rsidR="004C3837" w:rsidRPr="00C974DD" w:rsidRDefault="004C3837" w:rsidP="004C3837">
      <w:pPr>
        <w:pStyle w:val="ListParagraph"/>
        <w:rPr>
          <w:szCs w:val="22"/>
        </w:rPr>
      </w:pPr>
    </w:p>
    <w:p w:rsidR="0051126B" w:rsidRPr="00C974DD" w:rsidRDefault="0051126B" w:rsidP="000B261C">
      <w:pPr>
        <w:pStyle w:val="ListParagraph"/>
        <w:numPr>
          <w:ilvl w:val="1"/>
          <w:numId w:val="15"/>
        </w:numPr>
        <w:rPr>
          <w:szCs w:val="22"/>
        </w:rPr>
      </w:pPr>
      <w:r w:rsidRPr="00C974DD">
        <w:rPr>
          <w:szCs w:val="22"/>
        </w:rPr>
        <w:t xml:space="preserve">The Witzig study differed from both </w:t>
      </w:r>
      <w:r w:rsidR="006A1D02" w:rsidRPr="00C974DD">
        <w:rPr>
          <w:szCs w:val="22"/>
        </w:rPr>
        <w:t xml:space="preserve">of </w:t>
      </w:r>
      <w:r w:rsidRPr="00C974DD">
        <w:rPr>
          <w:szCs w:val="22"/>
        </w:rPr>
        <w:t xml:space="preserve">the single-arm </w:t>
      </w:r>
      <w:r w:rsidR="00CD0571" w:rsidRPr="00C974DD">
        <w:rPr>
          <w:szCs w:val="22"/>
        </w:rPr>
        <w:t xml:space="preserve">studies, </w:t>
      </w:r>
      <w:r w:rsidRPr="00C974DD">
        <w:rPr>
          <w:szCs w:val="22"/>
        </w:rPr>
        <w:t xml:space="preserve">Study 101-09 and </w:t>
      </w:r>
      <w:r w:rsidR="00CD0571" w:rsidRPr="00C974DD">
        <w:rPr>
          <w:szCs w:val="22"/>
        </w:rPr>
        <w:t xml:space="preserve">the </w:t>
      </w:r>
      <w:r w:rsidRPr="00C974DD">
        <w:rPr>
          <w:szCs w:val="22"/>
        </w:rPr>
        <w:t xml:space="preserve">Kahl study in terms of age, sex and lymphoma histology, limiting its use as </w:t>
      </w:r>
      <w:r w:rsidR="000B551E" w:rsidRPr="00C974DD">
        <w:rPr>
          <w:szCs w:val="22"/>
        </w:rPr>
        <w:t>‘</w:t>
      </w:r>
      <w:r w:rsidRPr="00C974DD">
        <w:rPr>
          <w:szCs w:val="22"/>
        </w:rPr>
        <w:t>supportive context</w:t>
      </w:r>
      <w:r w:rsidR="000B551E" w:rsidRPr="00C974DD">
        <w:rPr>
          <w:szCs w:val="22"/>
        </w:rPr>
        <w:t>’</w:t>
      </w:r>
      <w:r w:rsidRPr="00C974DD">
        <w:rPr>
          <w:szCs w:val="22"/>
        </w:rPr>
        <w:t xml:space="preserve"> or corroboration for idelalisib efficacy.</w:t>
      </w:r>
    </w:p>
    <w:p w:rsidR="00D83294" w:rsidRPr="00C974DD" w:rsidRDefault="00D83294" w:rsidP="00AD4372">
      <w:pPr>
        <w:pStyle w:val="ListParagraph"/>
        <w:rPr>
          <w:szCs w:val="22"/>
          <w:u w:val="single"/>
        </w:rPr>
      </w:pPr>
    </w:p>
    <w:p w:rsidR="0051126B" w:rsidRPr="00C974DD" w:rsidRDefault="00D83294" w:rsidP="008053E8">
      <w:pPr>
        <w:rPr>
          <w:szCs w:val="22"/>
          <w:u w:val="single"/>
        </w:rPr>
      </w:pPr>
      <w:r w:rsidRPr="00C974DD">
        <w:rPr>
          <w:szCs w:val="22"/>
          <w:u w:val="single"/>
        </w:rPr>
        <w:t>On-going Phase</w:t>
      </w:r>
      <w:r w:rsidR="004754CF" w:rsidRPr="00C974DD">
        <w:rPr>
          <w:szCs w:val="22"/>
          <w:u w:val="single"/>
        </w:rPr>
        <w:t xml:space="preserve"> III trials of idelalisib in NHL</w:t>
      </w:r>
    </w:p>
    <w:p w:rsidR="00D95B33" w:rsidRPr="00C974DD" w:rsidRDefault="007523EB" w:rsidP="000B261C">
      <w:pPr>
        <w:pStyle w:val="ListParagraph"/>
        <w:numPr>
          <w:ilvl w:val="1"/>
          <w:numId w:val="15"/>
        </w:numPr>
      </w:pPr>
      <w:r w:rsidRPr="00C974DD">
        <w:t>There are t</w:t>
      </w:r>
      <w:r w:rsidR="00D95B33" w:rsidRPr="00C974DD">
        <w:t xml:space="preserve">wo </w:t>
      </w:r>
      <w:r w:rsidRPr="00C974DD">
        <w:t xml:space="preserve">on-going </w:t>
      </w:r>
      <w:r w:rsidR="00D95B33" w:rsidRPr="00C974DD">
        <w:t xml:space="preserve">phase III randomised controlled trials of idelalisib in patients with previously treated </w:t>
      </w:r>
      <w:r w:rsidR="006C0496" w:rsidRPr="00C974DD">
        <w:t>i</w:t>
      </w:r>
      <w:r w:rsidR="00D95B33" w:rsidRPr="00C974DD">
        <w:t>NHL</w:t>
      </w:r>
      <w:r w:rsidR="004754CF" w:rsidRPr="00C974DD">
        <w:t xml:space="preserve"> listed on clinicaltrial.gov</w:t>
      </w:r>
      <w:r w:rsidR="00D95B33" w:rsidRPr="00C974DD">
        <w:t xml:space="preserve">. </w:t>
      </w:r>
    </w:p>
    <w:p w:rsidR="00D95B33" w:rsidRPr="00C974DD" w:rsidRDefault="00D95B33" w:rsidP="000B261C">
      <w:pPr>
        <w:pStyle w:val="ListParagraph"/>
        <w:numPr>
          <w:ilvl w:val="0"/>
          <w:numId w:val="88"/>
        </w:numPr>
        <w:ind w:left="1134" w:hanging="283"/>
      </w:pPr>
      <w:r w:rsidRPr="00C974DD">
        <w:t>Trial GS-US-313-0125 will assess the efficacy and safety of idelalisib in combination with bendamustine and rituximab in previously treated patients with iNHL.</w:t>
      </w:r>
    </w:p>
    <w:p w:rsidR="00D95B33" w:rsidRPr="00C974DD" w:rsidRDefault="00D95B33" w:rsidP="000B261C">
      <w:pPr>
        <w:pStyle w:val="ListParagraph"/>
        <w:numPr>
          <w:ilvl w:val="0"/>
          <w:numId w:val="88"/>
        </w:numPr>
        <w:ind w:left="1134" w:hanging="283"/>
      </w:pPr>
      <w:r w:rsidRPr="00C974DD">
        <w:t xml:space="preserve">Trial GS-US-313-0124 (NCT01732913) will assess the efficacy and safety of idelalisib in combination with rituximab in patients with previously treated iNHL who are not refractory to rituximab.    </w:t>
      </w:r>
    </w:p>
    <w:p w:rsidR="007523EB" w:rsidRPr="00C974DD" w:rsidRDefault="007523EB" w:rsidP="000B261C">
      <w:pPr>
        <w:ind w:left="720"/>
      </w:pPr>
    </w:p>
    <w:p w:rsidR="00CD6F3E" w:rsidRPr="00C974DD" w:rsidRDefault="00D95B33" w:rsidP="000D2B3E">
      <w:pPr>
        <w:pStyle w:val="ListParagraph"/>
        <w:numPr>
          <w:ilvl w:val="1"/>
          <w:numId w:val="15"/>
        </w:numPr>
      </w:pPr>
      <w:r w:rsidRPr="00C974DD">
        <w:t xml:space="preserve">The </w:t>
      </w:r>
      <w:r w:rsidR="00436AEE" w:rsidRPr="00C974DD">
        <w:t xml:space="preserve">Pre-PBAC response outlined that these trials are investigating the use of idelalisib in combination with rituximab or bendamustine-rituximab </w:t>
      </w:r>
      <w:r w:rsidR="002827D3" w:rsidRPr="00C974DD">
        <w:t>in</w:t>
      </w:r>
      <w:r w:rsidR="00436AEE" w:rsidRPr="00C974DD">
        <w:t xml:space="preserve"> patients at earlier stages of treatment. The PBAC agreed with the Pre-PBAC response that these trials will inform the future place of idelalisib in combination therapy for patients with </w:t>
      </w:r>
      <w:r w:rsidR="00660F35" w:rsidRPr="00C974DD">
        <w:t>NHL</w:t>
      </w:r>
      <w:r w:rsidR="00436AEE" w:rsidRPr="00C974DD">
        <w:t>, but that these trials will not inform the role of idelalisib monotherapy in the patien</w:t>
      </w:r>
      <w:r w:rsidR="00CD6F3E" w:rsidRPr="00C974DD">
        <w:t>t group requested in this submission</w:t>
      </w:r>
      <w:r w:rsidR="00436AEE" w:rsidRPr="00C974DD">
        <w:t>.</w:t>
      </w:r>
    </w:p>
    <w:p w:rsidR="00CD6F3E" w:rsidRPr="00C974DD" w:rsidRDefault="00CD6F3E" w:rsidP="00CD6F3E">
      <w:pPr>
        <w:pStyle w:val="ListParagraph"/>
      </w:pPr>
    </w:p>
    <w:p w:rsidR="00B04B8D" w:rsidRPr="00C974DD" w:rsidRDefault="00CD6F3E" w:rsidP="000D2B3E">
      <w:pPr>
        <w:pStyle w:val="ListParagraph"/>
        <w:numPr>
          <w:ilvl w:val="1"/>
          <w:numId w:val="15"/>
        </w:numPr>
      </w:pPr>
      <w:r w:rsidRPr="00C974DD">
        <w:t xml:space="preserve">The Pre-PBAC response </w:t>
      </w:r>
      <w:r w:rsidR="001F3661" w:rsidRPr="00C974DD">
        <w:t xml:space="preserve">incorrectly </w:t>
      </w:r>
      <w:r w:rsidRPr="00C974DD">
        <w:t>stated that “the decision question (is): efficacy and safety of idelalisib” in the requested patient population.</w:t>
      </w:r>
      <w:r w:rsidR="001F3661" w:rsidRPr="00C974DD">
        <w:t xml:space="preserve"> </w:t>
      </w:r>
      <w:r w:rsidR="002827D3" w:rsidRPr="00C974DD">
        <w:t>T</w:t>
      </w:r>
      <w:r w:rsidR="001F3661" w:rsidRPr="00C974DD">
        <w:t>he PBAC noted that t</w:t>
      </w:r>
      <w:r w:rsidRPr="00C974DD">
        <w:t xml:space="preserve">he decision question for </w:t>
      </w:r>
      <w:r w:rsidR="001F3661" w:rsidRPr="00C974DD">
        <w:t xml:space="preserve">the </w:t>
      </w:r>
      <w:r w:rsidRPr="00C974DD">
        <w:t xml:space="preserve">PBAC is </w:t>
      </w:r>
      <w:r w:rsidRPr="00C974DD">
        <w:rPr>
          <w:u w:val="single"/>
        </w:rPr>
        <w:t>comparative</w:t>
      </w:r>
      <w:r w:rsidRPr="00C974DD">
        <w:t xml:space="preserve"> </w:t>
      </w:r>
      <w:r w:rsidR="0070047F" w:rsidRPr="00C974DD">
        <w:t>effectiveness and cost</w:t>
      </w:r>
      <w:r w:rsidR="0070047F" w:rsidRPr="00C974DD">
        <w:noBreakHyphen/>
        <w:t>effectiveness</w:t>
      </w:r>
      <w:r w:rsidRPr="00C974DD">
        <w:t xml:space="preserve">. </w:t>
      </w:r>
      <w:r w:rsidR="00436AEE" w:rsidRPr="00C974DD">
        <w:t xml:space="preserve"> </w:t>
      </w:r>
    </w:p>
    <w:p w:rsidR="00103C05" w:rsidRPr="00C974DD" w:rsidRDefault="00103C05" w:rsidP="00601152">
      <w:pPr>
        <w:pStyle w:val="ListParagraph"/>
        <w:ind w:left="1440"/>
        <w:rPr>
          <w:rFonts w:ascii="Arial Narrow" w:hAnsi="Arial Narrow"/>
          <w:i/>
          <w:sz w:val="20"/>
        </w:rPr>
      </w:pPr>
    </w:p>
    <w:p w:rsidR="00F17EF3" w:rsidRPr="00C974DD" w:rsidRDefault="00F17EF3" w:rsidP="00F17EF3">
      <w:pPr>
        <w:pStyle w:val="ListParagraph"/>
        <w:rPr>
          <w:i/>
          <w:szCs w:val="22"/>
        </w:rPr>
      </w:pPr>
      <w:r w:rsidRPr="00C974DD">
        <w:rPr>
          <w:i/>
          <w:szCs w:val="22"/>
        </w:rPr>
        <w:t>For more detail on PBAC’s view, see section 7 “PBAC outcome”</w:t>
      </w:r>
    </w:p>
    <w:p w:rsidR="00103C05" w:rsidRPr="00C974DD" w:rsidRDefault="00103C05" w:rsidP="00103C05"/>
    <w:p w:rsidR="00B60939" w:rsidRPr="005F67C0" w:rsidRDefault="00B60939" w:rsidP="002C2775">
      <w:pPr>
        <w:pStyle w:val="Heading2"/>
      </w:pPr>
      <w:bookmarkStart w:id="7" w:name="_Toc409517489"/>
      <w:r w:rsidRPr="005F67C0">
        <w:t>Comparative effectiveness</w:t>
      </w:r>
      <w:bookmarkEnd w:id="7"/>
    </w:p>
    <w:p w:rsidR="00B60939" w:rsidRPr="00C974DD" w:rsidRDefault="00B60939" w:rsidP="00B60939">
      <w:pPr>
        <w:rPr>
          <w:szCs w:val="22"/>
        </w:rPr>
      </w:pPr>
    </w:p>
    <w:p w:rsidR="007523EB" w:rsidRPr="00C974DD" w:rsidRDefault="007523EB" w:rsidP="007523EB">
      <w:pPr>
        <w:pStyle w:val="ListParagraph"/>
        <w:numPr>
          <w:ilvl w:val="1"/>
          <w:numId w:val="15"/>
        </w:numPr>
        <w:rPr>
          <w:szCs w:val="22"/>
        </w:rPr>
      </w:pPr>
      <w:r w:rsidRPr="00C974DD">
        <w:rPr>
          <w:szCs w:val="22"/>
        </w:rPr>
        <w:t>T</w:t>
      </w:r>
      <w:r w:rsidR="00BF2039" w:rsidRPr="00C974DD">
        <w:rPr>
          <w:szCs w:val="22"/>
        </w:rPr>
        <w:t>he table below</w:t>
      </w:r>
      <w:r w:rsidRPr="00C974DD">
        <w:rPr>
          <w:szCs w:val="22"/>
        </w:rPr>
        <w:t xml:space="preserve"> presents evidence from the idelalisib study alongside two other single arm studies of alternative treatments: radioimmunotherapy (Witzig 2002), and bendamustine (Kahl 2010). The submission described th</w:t>
      </w:r>
      <w:r w:rsidR="006C58D8" w:rsidRPr="00C974DD">
        <w:rPr>
          <w:szCs w:val="22"/>
        </w:rPr>
        <w:t>e comparison to radiotherapy and bendamustine</w:t>
      </w:r>
      <w:r w:rsidRPr="00C974DD">
        <w:rPr>
          <w:szCs w:val="22"/>
        </w:rPr>
        <w:t xml:space="preserve"> as providing “contextual efficacy”.</w:t>
      </w:r>
    </w:p>
    <w:p w:rsidR="007523EB" w:rsidRPr="00C974DD" w:rsidRDefault="007523EB" w:rsidP="008053E8">
      <w:pPr>
        <w:pStyle w:val="ListParagraph"/>
        <w:rPr>
          <w:szCs w:val="22"/>
        </w:rPr>
      </w:pPr>
    </w:p>
    <w:p w:rsidR="002C2775" w:rsidRPr="00C974DD" w:rsidRDefault="00712DE1" w:rsidP="004C3837">
      <w:pPr>
        <w:pStyle w:val="ListParagraph"/>
        <w:numPr>
          <w:ilvl w:val="1"/>
          <w:numId w:val="15"/>
        </w:numPr>
        <w:rPr>
          <w:szCs w:val="22"/>
        </w:rPr>
      </w:pPr>
      <w:r w:rsidRPr="00C974DD">
        <w:rPr>
          <w:szCs w:val="22"/>
        </w:rPr>
        <w:t xml:space="preserve">For Study 101-09, the sub-group of patients with follicular lymphoma is </w:t>
      </w:r>
      <w:r w:rsidR="007523EB" w:rsidRPr="00C974DD">
        <w:rPr>
          <w:szCs w:val="22"/>
        </w:rPr>
        <w:t>present</w:t>
      </w:r>
      <w:r w:rsidRPr="00C974DD">
        <w:rPr>
          <w:szCs w:val="22"/>
        </w:rPr>
        <w:t xml:space="preserve">ed in addition to the ITT results given the </w:t>
      </w:r>
      <w:r w:rsidR="00BF2039" w:rsidRPr="00C974DD">
        <w:rPr>
          <w:szCs w:val="22"/>
        </w:rPr>
        <w:t xml:space="preserve">TGA registration for </w:t>
      </w:r>
      <w:r w:rsidRPr="00C974DD">
        <w:rPr>
          <w:szCs w:val="22"/>
        </w:rPr>
        <w:t xml:space="preserve">idelalisib </w:t>
      </w:r>
      <w:r w:rsidR="00BF2039" w:rsidRPr="00C974DD">
        <w:rPr>
          <w:szCs w:val="22"/>
        </w:rPr>
        <w:t xml:space="preserve">is </w:t>
      </w:r>
      <w:r w:rsidRPr="00C974DD">
        <w:rPr>
          <w:szCs w:val="22"/>
        </w:rPr>
        <w:t xml:space="preserve">in follicular lymphoma only. </w:t>
      </w:r>
    </w:p>
    <w:p w:rsidR="005B71E2" w:rsidRPr="00C974DD" w:rsidRDefault="005B71E2" w:rsidP="000B261C">
      <w:pPr>
        <w:pStyle w:val="ListParagraph"/>
        <w:rPr>
          <w:szCs w:val="22"/>
        </w:rPr>
      </w:pPr>
    </w:p>
    <w:p w:rsidR="003D201A" w:rsidRPr="00C974DD" w:rsidRDefault="003D201A" w:rsidP="008F50EF">
      <w:pPr>
        <w:keepNext/>
        <w:keepLines/>
        <w:ind w:left="720"/>
        <w:rPr>
          <w:rStyle w:val="CommentReference"/>
        </w:rPr>
      </w:pPr>
      <w:r w:rsidRPr="00C974DD">
        <w:rPr>
          <w:rStyle w:val="CommentReference"/>
        </w:rPr>
        <w:lastRenderedPageBreak/>
        <w:t xml:space="preserve">Results of clinically relevant indicators across the non-randomised studies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Comparative effectiveness"/>
      </w:tblPr>
      <w:tblGrid>
        <w:gridCol w:w="2746"/>
        <w:gridCol w:w="1178"/>
        <w:gridCol w:w="1078"/>
        <w:gridCol w:w="1888"/>
        <w:gridCol w:w="1186"/>
      </w:tblGrid>
      <w:tr w:rsidR="00C974DD" w:rsidRPr="00C974DD" w:rsidTr="00A173FE">
        <w:trPr>
          <w:trHeight w:val="20"/>
        </w:trPr>
        <w:tc>
          <w:tcPr>
            <w:tcW w:w="0" w:type="auto"/>
            <w:vMerge w:val="restart"/>
            <w:vAlign w:val="center"/>
          </w:tcPr>
          <w:p w:rsidR="003D201A" w:rsidRPr="00C974DD" w:rsidRDefault="003D201A" w:rsidP="008F50EF">
            <w:pPr>
              <w:keepNext/>
              <w:keepLines/>
              <w:rPr>
                <w:rFonts w:ascii="Arial Narrow" w:hAnsi="Arial Narrow"/>
                <w:b/>
                <w:sz w:val="20"/>
              </w:rPr>
            </w:pPr>
          </w:p>
        </w:tc>
        <w:tc>
          <w:tcPr>
            <w:tcW w:w="0" w:type="auto"/>
            <w:gridSpan w:val="2"/>
            <w:vMerge w:val="restart"/>
            <w:vAlign w:val="center"/>
          </w:tcPr>
          <w:p w:rsidR="003D201A" w:rsidRPr="00C974DD" w:rsidRDefault="003D201A" w:rsidP="008F50EF">
            <w:pPr>
              <w:keepNext/>
              <w:keepLines/>
              <w:jc w:val="center"/>
              <w:rPr>
                <w:rFonts w:ascii="Arial Narrow" w:hAnsi="Arial Narrow"/>
                <w:b/>
                <w:sz w:val="20"/>
              </w:rPr>
            </w:pPr>
            <w:r w:rsidRPr="00C974DD">
              <w:rPr>
                <w:rFonts w:ascii="Arial Narrow" w:hAnsi="Arial Narrow"/>
                <w:b/>
                <w:sz w:val="20"/>
              </w:rPr>
              <w:t>Idelalisib</w:t>
            </w:r>
          </w:p>
        </w:tc>
        <w:tc>
          <w:tcPr>
            <w:tcW w:w="0" w:type="auto"/>
            <w:gridSpan w:val="2"/>
            <w:vAlign w:val="center"/>
          </w:tcPr>
          <w:p w:rsidR="003D201A" w:rsidRPr="00C974DD" w:rsidRDefault="003D201A" w:rsidP="008F50EF">
            <w:pPr>
              <w:keepNext/>
              <w:keepLines/>
              <w:jc w:val="center"/>
              <w:rPr>
                <w:rFonts w:ascii="Arial Narrow" w:hAnsi="Arial Narrow"/>
                <w:b/>
                <w:sz w:val="20"/>
              </w:rPr>
            </w:pPr>
            <w:r w:rsidRPr="00C974DD">
              <w:rPr>
                <w:rFonts w:ascii="Arial Narrow" w:hAnsi="Arial Narrow"/>
                <w:b/>
                <w:sz w:val="20"/>
              </w:rPr>
              <w:t>Comparator studies</w:t>
            </w:r>
          </w:p>
        </w:tc>
      </w:tr>
      <w:tr w:rsidR="00C974DD" w:rsidRPr="00C974DD" w:rsidTr="00A173FE">
        <w:trPr>
          <w:trHeight w:val="20"/>
        </w:trPr>
        <w:tc>
          <w:tcPr>
            <w:tcW w:w="0" w:type="auto"/>
            <w:vMerge/>
            <w:vAlign w:val="center"/>
          </w:tcPr>
          <w:p w:rsidR="003D201A" w:rsidRPr="00C974DD" w:rsidRDefault="003D201A" w:rsidP="008F50EF">
            <w:pPr>
              <w:keepNext/>
              <w:keepLines/>
              <w:rPr>
                <w:rFonts w:ascii="Arial Narrow" w:hAnsi="Arial Narrow"/>
                <w:b/>
                <w:sz w:val="20"/>
              </w:rPr>
            </w:pPr>
          </w:p>
        </w:tc>
        <w:tc>
          <w:tcPr>
            <w:tcW w:w="0" w:type="auto"/>
            <w:gridSpan w:val="2"/>
            <w:vMerge/>
            <w:vAlign w:val="center"/>
          </w:tcPr>
          <w:p w:rsidR="003D201A" w:rsidRPr="00C974DD" w:rsidRDefault="003D201A" w:rsidP="008F50EF">
            <w:pPr>
              <w:keepNext/>
              <w:keepLines/>
              <w:jc w:val="center"/>
              <w:rPr>
                <w:rFonts w:ascii="Arial Narrow" w:hAnsi="Arial Narrow"/>
                <w:b/>
                <w:sz w:val="20"/>
              </w:rPr>
            </w:pPr>
          </w:p>
        </w:tc>
        <w:tc>
          <w:tcPr>
            <w:tcW w:w="0" w:type="auto"/>
            <w:vAlign w:val="center"/>
          </w:tcPr>
          <w:p w:rsidR="003D201A" w:rsidRPr="00C974DD" w:rsidRDefault="003D201A" w:rsidP="008F50EF">
            <w:pPr>
              <w:keepNext/>
              <w:keepLines/>
              <w:jc w:val="center"/>
              <w:rPr>
                <w:rFonts w:ascii="Arial Narrow" w:hAnsi="Arial Narrow"/>
                <w:b/>
                <w:sz w:val="20"/>
              </w:rPr>
            </w:pPr>
            <w:r w:rsidRPr="00C974DD">
              <w:rPr>
                <w:rFonts w:ascii="Arial Narrow" w:hAnsi="Arial Narrow"/>
                <w:b/>
                <w:sz w:val="20"/>
              </w:rPr>
              <w:t>Y-ibritumomab tiuxetan</w:t>
            </w:r>
          </w:p>
        </w:tc>
        <w:tc>
          <w:tcPr>
            <w:tcW w:w="0" w:type="auto"/>
            <w:vAlign w:val="center"/>
          </w:tcPr>
          <w:p w:rsidR="003D201A" w:rsidRPr="00C974DD" w:rsidRDefault="003D201A" w:rsidP="008F50EF">
            <w:pPr>
              <w:keepNext/>
              <w:keepLines/>
              <w:jc w:val="center"/>
              <w:rPr>
                <w:rFonts w:ascii="Arial Narrow" w:hAnsi="Arial Narrow"/>
                <w:b/>
                <w:sz w:val="20"/>
              </w:rPr>
            </w:pPr>
            <w:r w:rsidRPr="00C974DD">
              <w:rPr>
                <w:rFonts w:ascii="Arial Narrow" w:hAnsi="Arial Narrow"/>
                <w:b/>
                <w:sz w:val="20"/>
              </w:rPr>
              <w:t>Bendamustine</w:t>
            </w:r>
          </w:p>
        </w:tc>
      </w:tr>
      <w:tr w:rsidR="00C974DD" w:rsidRPr="00C974DD" w:rsidTr="00A173FE">
        <w:trPr>
          <w:trHeight w:val="20"/>
        </w:trPr>
        <w:tc>
          <w:tcPr>
            <w:tcW w:w="0" w:type="auto"/>
            <w:vAlign w:val="center"/>
          </w:tcPr>
          <w:p w:rsidR="003D201A" w:rsidRPr="00C974DD" w:rsidRDefault="003D201A" w:rsidP="008F50EF">
            <w:pPr>
              <w:keepNext/>
              <w:keepLines/>
              <w:rPr>
                <w:rFonts w:ascii="Arial Narrow" w:hAnsi="Arial Narrow"/>
                <w:sz w:val="20"/>
              </w:rPr>
            </w:pPr>
            <w:r w:rsidRPr="00C974DD">
              <w:rPr>
                <w:rFonts w:ascii="Arial Narrow" w:hAnsi="Arial Narrow"/>
                <w:b/>
                <w:sz w:val="20"/>
              </w:rPr>
              <w:t>Study ID</w:t>
            </w:r>
          </w:p>
        </w:tc>
        <w:tc>
          <w:tcPr>
            <w:tcW w:w="0" w:type="auto"/>
            <w:gridSpan w:val="2"/>
            <w:vAlign w:val="center"/>
          </w:tcPr>
          <w:p w:rsidR="003D201A" w:rsidRPr="00C974DD" w:rsidRDefault="003D201A" w:rsidP="008F50EF">
            <w:pPr>
              <w:keepNext/>
              <w:keepLines/>
              <w:jc w:val="center"/>
              <w:rPr>
                <w:rFonts w:ascii="Arial Narrow" w:hAnsi="Arial Narrow"/>
                <w:b/>
                <w:sz w:val="20"/>
              </w:rPr>
            </w:pPr>
            <w:r w:rsidRPr="00C974DD">
              <w:rPr>
                <w:rFonts w:ascii="Arial Narrow" w:hAnsi="Arial Narrow"/>
                <w:b/>
                <w:sz w:val="20"/>
              </w:rPr>
              <w:t>101-09</w:t>
            </w:r>
          </w:p>
        </w:tc>
        <w:tc>
          <w:tcPr>
            <w:tcW w:w="0" w:type="auto"/>
            <w:vAlign w:val="center"/>
          </w:tcPr>
          <w:p w:rsidR="003D201A" w:rsidRPr="00C974DD" w:rsidRDefault="003D201A" w:rsidP="008F50EF">
            <w:pPr>
              <w:keepNext/>
              <w:keepLines/>
              <w:jc w:val="center"/>
              <w:rPr>
                <w:rFonts w:ascii="Arial Narrow" w:hAnsi="Arial Narrow"/>
                <w:b/>
                <w:sz w:val="20"/>
              </w:rPr>
            </w:pPr>
            <w:r w:rsidRPr="00C974DD">
              <w:rPr>
                <w:rFonts w:ascii="Arial Narrow" w:hAnsi="Arial Narrow"/>
                <w:b/>
                <w:sz w:val="20"/>
              </w:rPr>
              <w:t>Witzig (2002)</w:t>
            </w:r>
          </w:p>
        </w:tc>
        <w:tc>
          <w:tcPr>
            <w:tcW w:w="0" w:type="auto"/>
            <w:vAlign w:val="center"/>
          </w:tcPr>
          <w:p w:rsidR="003D201A" w:rsidRPr="00C974DD" w:rsidRDefault="003D201A" w:rsidP="008F50EF">
            <w:pPr>
              <w:keepNext/>
              <w:keepLines/>
              <w:jc w:val="center"/>
              <w:rPr>
                <w:rFonts w:ascii="Arial Narrow" w:hAnsi="Arial Narrow"/>
                <w:b/>
                <w:sz w:val="20"/>
              </w:rPr>
            </w:pPr>
            <w:r w:rsidRPr="00C974DD">
              <w:rPr>
                <w:rFonts w:ascii="Arial Narrow" w:hAnsi="Arial Narrow"/>
                <w:b/>
                <w:sz w:val="20"/>
              </w:rPr>
              <w:t>Kahl (2010)</w:t>
            </w:r>
          </w:p>
        </w:tc>
      </w:tr>
      <w:tr w:rsidR="00C974DD" w:rsidRPr="00C974DD" w:rsidTr="00A173FE">
        <w:trPr>
          <w:trHeight w:val="20"/>
        </w:trPr>
        <w:tc>
          <w:tcPr>
            <w:tcW w:w="0" w:type="auto"/>
            <w:vAlign w:val="center"/>
          </w:tcPr>
          <w:p w:rsidR="00A55B1F" w:rsidRPr="00C974DD" w:rsidRDefault="00A55B1F" w:rsidP="008F50EF">
            <w:pPr>
              <w:keepNext/>
              <w:keepLines/>
              <w:rPr>
                <w:rFonts w:ascii="Arial Narrow" w:hAnsi="Arial Narrow"/>
                <w:sz w:val="20"/>
              </w:rPr>
            </w:pPr>
            <w:r w:rsidRPr="00C974DD">
              <w:rPr>
                <w:rFonts w:ascii="Arial Narrow" w:hAnsi="Arial Narrow"/>
                <w:sz w:val="20"/>
              </w:rPr>
              <w:t>N</w:t>
            </w:r>
          </w:p>
        </w:tc>
        <w:tc>
          <w:tcPr>
            <w:tcW w:w="0" w:type="auto"/>
            <w:vAlign w:val="center"/>
          </w:tcPr>
          <w:p w:rsidR="00A55B1F" w:rsidRPr="00C974DD" w:rsidRDefault="00A55B1F" w:rsidP="008F50EF">
            <w:pPr>
              <w:keepNext/>
              <w:keepLines/>
              <w:jc w:val="center"/>
              <w:rPr>
                <w:rFonts w:ascii="Arial Narrow" w:hAnsi="Arial Narrow"/>
                <w:sz w:val="20"/>
              </w:rPr>
            </w:pPr>
            <w:r w:rsidRPr="00C974DD">
              <w:rPr>
                <w:rFonts w:ascii="Arial Narrow" w:hAnsi="Arial Narrow"/>
                <w:sz w:val="20"/>
              </w:rPr>
              <w:t>125</w:t>
            </w:r>
            <w:r w:rsidR="00E32AAE" w:rsidRPr="00C974DD">
              <w:rPr>
                <w:rFonts w:ascii="Arial Narrow" w:hAnsi="Arial Narrow"/>
                <w:sz w:val="20"/>
              </w:rPr>
              <w:t xml:space="preserve"> (ITT)</w:t>
            </w:r>
          </w:p>
        </w:tc>
        <w:tc>
          <w:tcPr>
            <w:tcW w:w="0" w:type="auto"/>
            <w:vAlign w:val="center"/>
          </w:tcPr>
          <w:p w:rsidR="00A55B1F" w:rsidRPr="00C974DD" w:rsidRDefault="00A55B1F" w:rsidP="008F50EF">
            <w:pPr>
              <w:keepNext/>
              <w:keepLines/>
              <w:jc w:val="center"/>
              <w:rPr>
                <w:rFonts w:ascii="Arial Narrow" w:hAnsi="Arial Narrow"/>
                <w:sz w:val="20"/>
              </w:rPr>
            </w:pPr>
            <w:r w:rsidRPr="00C974DD">
              <w:rPr>
                <w:rFonts w:ascii="Arial Narrow" w:hAnsi="Arial Narrow"/>
                <w:sz w:val="20"/>
              </w:rPr>
              <w:t>72 (FL)</w:t>
            </w:r>
          </w:p>
        </w:tc>
        <w:tc>
          <w:tcPr>
            <w:tcW w:w="0" w:type="auto"/>
            <w:vAlign w:val="center"/>
          </w:tcPr>
          <w:p w:rsidR="00A55B1F" w:rsidRPr="00C974DD" w:rsidRDefault="00A55B1F" w:rsidP="008F50EF">
            <w:pPr>
              <w:keepNext/>
              <w:keepLines/>
              <w:jc w:val="center"/>
              <w:rPr>
                <w:rFonts w:ascii="Arial Narrow" w:hAnsi="Arial Narrow"/>
                <w:sz w:val="20"/>
              </w:rPr>
            </w:pPr>
            <w:r w:rsidRPr="00C974DD">
              <w:rPr>
                <w:rFonts w:ascii="Arial Narrow" w:hAnsi="Arial Narrow"/>
                <w:sz w:val="20"/>
              </w:rPr>
              <w:t xml:space="preserve">54 </w:t>
            </w:r>
            <w:r w:rsidRPr="00C974DD">
              <w:rPr>
                <w:rFonts w:ascii="Arial Narrow" w:hAnsi="Arial Narrow"/>
                <w:sz w:val="20"/>
                <w:vertAlign w:val="superscript"/>
              </w:rPr>
              <w:t>a</w:t>
            </w:r>
          </w:p>
        </w:tc>
        <w:tc>
          <w:tcPr>
            <w:tcW w:w="0" w:type="auto"/>
            <w:vAlign w:val="center"/>
          </w:tcPr>
          <w:p w:rsidR="00A55B1F" w:rsidRPr="00C974DD" w:rsidRDefault="00A55B1F" w:rsidP="008F50EF">
            <w:pPr>
              <w:keepNext/>
              <w:keepLines/>
              <w:jc w:val="center"/>
              <w:rPr>
                <w:rFonts w:ascii="Arial Narrow" w:hAnsi="Arial Narrow"/>
                <w:sz w:val="20"/>
              </w:rPr>
            </w:pPr>
            <w:r w:rsidRPr="00C974DD">
              <w:rPr>
                <w:rFonts w:ascii="Arial Narrow" w:hAnsi="Arial Narrow"/>
                <w:sz w:val="20"/>
              </w:rPr>
              <w:t>100</w:t>
            </w:r>
          </w:p>
        </w:tc>
      </w:tr>
      <w:tr w:rsidR="00C974DD" w:rsidRPr="00C974DD" w:rsidTr="00A173FE">
        <w:trPr>
          <w:trHeight w:val="20"/>
        </w:trPr>
        <w:tc>
          <w:tcPr>
            <w:tcW w:w="0" w:type="auto"/>
            <w:vAlign w:val="center"/>
          </w:tcPr>
          <w:p w:rsidR="00A55B1F" w:rsidRPr="00C974DD" w:rsidRDefault="00A55B1F" w:rsidP="008F50EF">
            <w:pPr>
              <w:keepNext/>
              <w:keepLines/>
              <w:rPr>
                <w:rFonts w:ascii="Arial Narrow" w:hAnsi="Arial Narrow"/>
                <w:sz w:val="20"/>
              </w:rPr>
            </w:pPr>
            <w:r w:rsidRPr="00C974DD">
              <w:rPr>
                <w:rFonts w:ascii="Arial Narrow" w:hAnsi="Arial Narrow"/>
                <w:sz w:val="20"/>
              </w:rPr>
              <w:t>Median duration of follow-up, months</w:t>
            </w:r>
          </w:p>
        </w:tc>
        <w:tc>
          <w:tcPr>
            <w:tcW w:w="0" w:type="auto"/>
            <w:vAlign w:val="center"/>
          </w:tcPr>
          <w:p w:rsidR="00A55B1F" w:rsidRPr="00C974DD" w:rsidRDefault="00A55B1F" w:rsidP="008F50EF">
            <w:pPr>
              <w:keepNext/>
              <w:keepLines/>
              <w:jc w:val="center"/>
              <w:rPr>
                <w:rFonts w:ascii="Arial Narrow" w:hAnsi="Arial Narrow"/>
                <w:sz w:val="20"/>
              </w:rPr>
            </w:pPr>
            <w:r w:rsidRPr="00C974DD">
              <w:rPr>
                <w:rFonts w:ascii="Arial Narrow" w:hAnsi="Arial Narrow"/>
                <w:sz w:val="20"/>
              </w:rPr>
              <w:t>9.7</w:t>
            </w:r>
          </w:p>
        </w:tc>
        <w:tc>
          <w:tcPr>
            <w:tcW w:w="0" w:type="auto"/>
            <w:vAlign w:val="center"/>
          </w:tcPr>
          <w:p w:rsidR="00A55B1F" w:rsidRPr="00C974DD" w:rsidRDefault="00A55B1F" w:rsidP="008F50EF">
            <w:pPr>
              <w:keepNext/>
              <w:keepLines/>
              <w:jc w:val="center"/>
              <w:rPr>
                <w:rFonts w:ascii="Arial Narrow" w:hAnsi="Arial Narrow"/>
                <w:sz w:val="20"/>
              </w:rPr>
            </w:pPr>
            <w:r w:rsidRPr="00C974DD">
              <w:rPr>
                <w:rFonts w:ascii="Arial Narrow" w:hAnsi="Arial Narrow"/>
                <w:sz w:val="20"/>
              </w:rPr>
              <w:t>NA</w:t>
            </w:r>
          </w:p>
        </w:tc>
        <w:tc>
          <w:tcPr>
            <w:tcW w:w="0" w:type="auto"/>
            <w:vAlign w:val="center"/>
          </w:tcPr>
          <w:p w:rsidR="00A55B1F" w:rsidRPr="00C974DD" w:rsidRDefault="00A55B1F" w:rsidP="008F50EF">
            <w:pPr>
              <w:keepNext/>
              <w:keepLines/>
              <w:jc w:val="center"/>
              <w:rPr>
                <w:rFonts w:ascii="Arial Narrow" w:hAnsi="Arial Narrow"/>
                <w:sz w:val="20"/>
              </w:rPr>
            </w:pPr>
            <w:r w:rsidRPr="00C974DD">
              <w:rPr>
                <w:rFonts w:ascii="Arial Narrow" w:hAnsi="Arial Narrow"/>
                <w:sz w:val="20"/>
              </w:rPr>
              <w:t>N</w:t>
            </w:r>
            <w:r w:rsidR="00E32AAE" w:rsidRPr="00C974DD">
              <w:rPr>
                <w:rFonts w:ascii="Arial Narrow" w:hAnsi="Arial Narrow"/>
                <w:sz w:val="20"/>
              </w:rPr>
              <w:t>A</w:t>
            </w:r>
          </w:p>
        </w:tc>
        <w:tc>
          <w:tcPr>
            <w:tcW w:w="0" w:type="auto"/>
            <w:vAlign w:val="center"/>
          </w:tcPr>
          <w:p w:rsidR="00A55B1F" w:rsidRPr="00C974DD" w:rsidRDefault="00A55B1F" w:rsidP="008F50EF">
            <w:pPr>
              <w:keepNext/>
              <w:keepLines/>
              <w:jc w:val="center"/>
              <w:rPr>
                <w:rFonts w:ascii="Arial Narrow" w:hAnsi="Arial Narrow"/>
                <w:sz w:val="20"/>
              </w:rPr>
            </w:pPr>
            <w:r w:rsidRPr="00C974DD">
              <w:rPr>
                <w:rFonts w:ascii="Arial Narrow" w:hAnsi="Arial Narrow"/>
                <w:sz w:val="20"/>
              </w:rPr>
              <w:t>11.8</w:t>
            </w:r>
          </w:p>
        </w:tc>
      </w:tr>
      <w:tr w:rsidR="00C974DD" w:rsidRPr="00C974DD" w:rsidTr="00A173FE">
        <w:trPr>
          <w:trHeight w:val="20"/>
        </w:trPr>
        <w:tc>
          <w:tcPr>
            <w:tcW w:w="0" w:type="auto"/>
            <w:gridSpan w:val="5"/>
            <w:vAlign w:val="center"/>
          </w:tcPr>
          <w:p w:rsidR="003D201A" w:rsidRPr="00C974DD" w:rsidRDefault="003D201A" w:rsidP="00C974DD">
            <w:pPr>
              <w:keepNext/>
              <w:keepLines/>
              <w:rPr>
                <w:rFonts w:ascii="Arial Narrow" w:hAnsi="Arial Narrow"/>
                <w:b/>
                <w:sz w:val="20"/>
              </w:rPr>
            </w:pPr>
            <w:r w:rsidRPr="00C974DD">
              <w:rPr>
                <w:rFonts w:ascii="Arial Narrow" w:hAnsi="Arial Narrow"/>
                <w:b/>
                <w:sz w:val="20"/>
              </w:rPr>
              <w:t>Progression</w:t>
            </w:r>
            <w:r w:rsidR="00C974DD" w:rsidRPr="00C974DD">
              <w:rPr>
                <w:rFonts w:ascii="Arial Narrow" w:hAnsi="Arial Narrow"/>
                <w:b/>
                <w:sz w:val="20"/>
              </w:rPr>
              <w:t>-</w:t>
            </w:r>
            <w:r w:rsidRPr="00C974DD">
              <w:rPr>
                <w:rFonts w:ascii="Arial Narrow" w:hAnsi="Arial Narrow"/>
                <w:b/>
                <w:sz w:val="20"/>
              </w:rPr>
              <w:t>Free Survival</w:t>
            </w:r>
          </w:p>
        </w:tc>
      </w:tr>
      <w:tr w:rsidR="00C974DD" w:rsidRPr="00C974DD" w:rsidTr="00A173FE">
        <w:trPr>
          <w:trHeight w:val="20"/>
        </w:trPr>
        <w:tc>
          <w:tcPr>
            <w:tcW w:w="0" w:type="auto"/>
            <w:vAlign w:val="center"/>
          </w:tcPr>
          <w:p w:rsidR="00A55B1F" w:rsidRPr="00C974DD" w:rsidRDefault="00A55B1F" w:rsidP="008F50EF">
            <w:pPr>
              <w:keepNext/>
              <w:keepLines/>
              <w:ind w:firstLine="142"/>
              <w:rPr>
                <w:rFonts w:ascii="Arial Narrow" w:hAnsi="Arial Narrow"/>
                <w:sz w:val="20"/>
              </w:rPr>
            </w:pPr>
            <w:r w:rsidRPr="00C974DD">
              <w:rPr>
                <w:rFonts w:ascii="Arial Narrow" w:hAnsi="Arial Narrow"/>
                <w:sz w:val="20"/>
              </w:rPr>
              <w:t>Patients with event, n (%)</w:t>
            </w:r>
          </w:p>
        </w:tc>
        <w:tc>
          <w:tcPr>
            <w:tcW w:w="0" w:type="auto"/>
            <w:vAlign w:val="center"/>
          </w:tcPr>
          <w:p w:rsidR="00A55B1F" w:rsidRPr="00C974DD" w:rsidRDefault="00A55B1F" w:rsidP="008F50EF">
            <w:pPr>
              <w:keepNext/>
              <w:keepLines/>
              <w:jc w:val="center"/>
              <w:rPr>
                <w:rFonts w:ascii="Arial Narrow" w:hAnsi="Arial Narrow"/>
                <w:sz w:val="20"/>
              </w:rPr>
            </w:pPr>
            <w:r w:rsidRPr="00C974DD">
              <w:rPr>
                <w:rFonts w:ascii="Arial Narrow" w:hAnsi="Arial Narrow"/>
                <w:sz w:val="20"/>
              </w:rPr>
              <w:t>57 (46%)</w:t>
            </w:r>
          </w:p>
        </w:tc>
        <w:tc>
          <w:tcPr>
            <w:tcW w:w="0" w:type="auto"/>
            <w:vAlign w:val="center"/>
          </w:tcPr>
          <w:p w:rsidR="00A55B1F" w:rsidRPr="00C974DD" w:rsidRDefault="00A55B1F" w:rsidP="008F50EF">
            <w:pPr>
              <w:keepNext/>
              <w:keepLines/>
              <w:jc w:val="center"/>
              <w:rPr>
                <w:rFonts w:ascii="Arial Narrow" w:hAnsi="Arial Narrow"/>
                <w:sz w:val="20"/>
              </w:rPr>
            </w:pPr>
            <w:r w:rsidRPr="00C974DD">
              <w:rPr>
                <w:rFonts w:ascii="Arial Narrow" w:hAnsi="Arial Narrow"/>
                <w:sz w:val="20"/>
              </w:rPr>
              <w:t>35 (49%)</w:t>
            </w:r>
          </w:p>
        </w:tc>
        <w:tc>
          <w:tcPr>
            <w:tcW w:w="0" w:type="auto"/>
            <w:vAlign w:val="center"/>
          </w:tcPr>
          <w:p w:rsidR="00A55B1F" w:rsidRPr="00C974DD" w:rsidRDefault="00A55B1F" w:rsidP="008F50EF">
            <w:pPr>
              <w:keepNext/>
              <w:keepLines/>
              <w:jc w:val="center"/>
              <w:rPr>
                <w:rFonts w:ascii="Arial Narrow" w:hAnsi="Arial Narrow"/>
                <w:sz w:val="20"/>
              </w:rPr>
            </w:pPr>
            <w:r w:rsidRPr="00C974DD">
              <w:rPr>
                <w:rFonts w:ascii="Arial Narrow" w:hAnsi="Arial Narrow"/>
                <w:sz w:val="20"/>
              </w:rPr>
              <w:t>N</w:t>
            </w:r>
            <w:r w:rsidR="00E32AAE" w:rsidRPr="00C974DD">
              <w:rPr>
                <w:rFonts w:ascii="Arial Narrow" w:hAnsi="Arial Narrow"/>
                <w:sz w:val="20"/>
              </w:rPr>
              <w:t>A</w:t>
            </w:r>
          </w:p>
        </w:tc>
        <w:tc>
          <w:tcPr>
            <w:tcW w:w="0" w:type="auto"/>
            <w:vAlign w:val="center"/>
          </w:tcPr>
          <w:p w:rsidR="00A55B1F" w:rsidRPr="00C974DD" w:rsidRDefault="00A55B1F" w:rsidP="008F50EF">
            <w:pPr>
              <w:keepNext/>
              <w:keepLines/>
              <w:jc w:val="center"/>
              <w:rPr>
                <w:rFonts w:ascii="Arial Narrow" w:hAnsi="Arial Narrow"/>
                <w:sz w:val="20"/>
              </w:rPr>
            </w:pPr>
            <w:r w:rsidRPr="00C974DD">
              <w:rPr>
                <w:rFonts w:ascii="Arial Narrow" w:hAnsi="Arial Narrow"/>
                <w:sz w:val="20"/>
              </w:rPr>
              <w:t>57 (57%)</w:t>
            </w:r>
          </w:p>
        </w:tc>
      </w:tr>
      <w:tr w:rsidR="00C974DD" w:rsidRPr="00C974DD" w:rsidTr="00A173FE">
        <w:trPr>
          <w:trHeight w:val="20"/>
        </w:trPr>
        <w:tc>
          <w:tcPr>
            <w:tcW w:w="0" w:type="auto"/>
            <w:vAlign w:val="center"/>
          </w:tcPr>
          <w:p w:rsidR="00E32AAE" w:rsidRPr="00C974DD" w:rsidRDefault="00E32AAE" w:rsidP="008F50EF">
            <w:pPr>
              <w:keepNext/>
              <w:keepLines/>
              <w:ind w:firstLine="142"/>
              <w:rPr>
                <w:rFonts w:ascii="Arial Narrow" w:hAnsi="Arial Narrow"/>
                <w:sz w:val="20"/>
              </w:rPr>
            </w:pPr>
            <w:r w:rsidRPr="00C974DD">
              <w:rPr>
                <w:rFonts w:ascii="Arial Narrow" w:hAnsi="Arial Narrow"/>
                <w:sz w:val="20"/>
              </w:rPr>
              <w:t>Censored, n (%)</w:t>
            </w:r>
          </w:p>
        </w:tc>
        <w:tc>
          <w:tcPr>
            <w:tcW w:w="0" w:type="auto"/>
            <w:vAlign w:val="center"/>
          </w:tcPr>
          <w:p w:rsidR="00E32AAE" w:rsidRPr="00C974DD" w:rsidRDefault="00E32AAE" w:rsidP="008F50EF">
            <w:pPr>
              <w:keepNext/>
              <w:keepLines/>
              <w:jc w:val="center"/>
              <w:rPr>
                <w:rFonts w:ascii="Arial Narrow" w:hAnsi="Arial Narrow"/>
                <w:sz w:val="20"/>
              </w:rPr>
            </w:pPr>
            <w:r w:rsidRPr="00C974DD">
              <w:rPr>
                <w:rFonts w:ascii="Arial Narrow" w:hAnsi="Arial Narrow"/>
                <w:sz w:val="20"/>
              </w:rPr>
              <w:t>68 (54%)</w:t>
            </w:r>
          </w:p>
        </w:tc>
        <w:tc>
          <w:tcPr>
            <w:tcW w:w="0" w:type="auto"/>
            <w:vAlign w:val="center"/>
          </w:tcPr>
          <w:p w:rsidR="00E32AAE" w:rsidRPr="00C974DD" w:rsidRDefault="00E32AAE" w:rsidP="008F50EF">
            <w:pPr>
              <w:keepNext/>
              <w:keepLines/>
              <w:jc w:val="center"/>
              <w:rPr>
                <w:rFonts w:ascii="Arial Narrow" w:hAnsi="Arial Narrow"/>
                <w:sz w:val="20"/>
              </w:rPr>
            </w:pPr>
            <w:r w:rsidRPr="00C974DD">
              <w:rPr>
                <w:rFonts w:ascii="Arial Narrow" w:hAnsi="Arial Narrow"/>
                <w:sz w:val="20"/>
              </w:rPr>
              <w:t>37 (51%)</w:t>
            </w:r>
          </w:p>
        </w:tc>
        <w:tc>
          <w:tcPr>
            <w:tcW w:w="0" w:type="auto"/>
            <w:vAlign w:val="center"/>
          </w:tcPr>
          <w:p w:rsidR="00E32AAE" w:rsidRPr="00C974DD" w:rsidRDefault="00E32AAE" w:rsidP="008F50EF">
            <w:pPr>
              <w:keepNext/>
              <w:keepLines/>
              <w:jc w:val="center"/>
              <w:rPr>
                <w:rFonts w:ascii="Arial Narrow" w:hAnsi="Arial Narrow"/>
                <w:sz w:val="20"/>
              </w:rPr>
            </w:pPr>
            <w:r w:rsidRPr="00C974DD">
              <w:rPr>
                <w:rFonts w:ascii="Arial Narrow" w:hAnsi="Arial Narrow"/>
                <w:sz w:val="20"/>
              </w:rPr>
              <w:t>-</w:t>
            </w:r>
          </w:p>
        </w:tc>
        <w:tc>
          <w:tcPr>
            <w:tcW w:w="0" w:type="auto"/>
            <w:vAlign w:val="center"/>
          </w:tcPr>
          <w:p w:rsidR="00E32AAE" w:rsidRPr="00C974DD" w:rsidRDefault="00E32AAE" w:rsidP="008F50EF">
            <w:pPr>
              <w:keepNext/>
              <w:keepLines/>
              <w:jc w:val="center"/>
              <w:rPr>
                <w:rFonts w:ascii="Arial Narrow" w:hAnsi="Arial Narrow"/>
                <w:sz w:val="20"/>
              </w:rPr>
            </w:pPr>
            <w:r w:rsidRPr="00C974DD">
              <w:rPr>
                <w:rFonts w:ascii="Arial Narrow" w:hAnsi="Arial Narrow"/>
                <w:sz w:val="20"/>
              </w:rPr>
              <w:t>43 (43%)</w:t>
            </w:r>
          </w:p>
        </w:tc>
      </w:tr>
      <w:tr w:rsidR="00C974DD" w:rsidRPr="00C974DD" w:rsidTr="00A173FE">
        <w:trPr>
          <w:trHeight w:val="20"/>
        </w:trPr>
        <w:tc>
          <w:tcPr>
            <w:tcW w:w="0" w:type="auto"/>
            <w:vAlign w:val="center"/>
          </w:tcPr>
          <w:p w:rsidR="00E32AAE" w:rsidRPr="00C974DD" w:rsidRDefault="00E32AAE" w:rsidP="008F50EF">
            <w:pPr>
              <w:keepNext/>
              <w:keepLines/>
              <w:ind w:firstLine="284"/>
              <w:rPr>
                <w:rFonts w:ascii="Arial Narrow" w:hAnsi="Arial Narrow"/>
                <w:sz w:val="20"/>
              </w:rPr>
            </w:pPr>
            <w:r w:rsidRPr="00C974DD">
              <w:rPr>
                <w:rFonts w:ascii="Arial Narrow" w:hAnsi="Arial Narrow"/>
                <w:sz w:val="20"/>
              </w:rPr>
              <w:t>Discontinued study</w:t>
            </w:r>
          </w:p>
        </w:tc>
        <w:tc>
          <w:tcPr>
            <w:tcW w:w="0" w:type="auto"/>
            <w:vAlign w:val="center"/>
          </w:tcPr>
          <w:p w:rsidR="00E32AAE" w:rsidRPr="00C974DD" w:rsidRDefault="00E32AAE" w:rsidP="008F50EF">
            <w:pPr>
              <w:keepNext/>
              <w:keepLines/>
              <w:jc w:val="center"/>
              <w:rPr>
                <w:rFonts w:ascii="Arial Narrow" w:hAnsi="Arial Narrow"/>
                <w:sz w:val="20"/>
              </w:rPr>
            </w:pPr>
            <w:r w:rsidRPr="00C974DD">
              <w:rPr>
                <w:rFonts w:ascii="Arial Narrow" w:hAnsi="Arial Narrow"/>
                <w:sz w:val="20"/>
              </w:rPr>
              <w:t>36 (29%)</w:t>
            </w:r>
            <w:r w:rsidRPr="00C974DD">
              <w:rPr>
                <w:rFonts w:ascii="Arial Narrow" w:hAnsi="Arial Narrow"/>
                <w:sz w:val="20"/>
                <w:vertAlign w:val="superscript"/>
              </w:rPr>
              <w:t xml:space="preserve"> d</w:t>
            </w:r>
          </w:p>
        </w:tc>
        <w:tc>
          <w:tcPr>
            <w:tcW w:w="0" w:type="auto"/>
            <w:vAlign w:val="center"/>
          </w:tcPr>
          <w:p w:rsidR="00E32AAE" w:rsidRPr="00C974DD" w:rsidRDefault="00E32AAE" w:rsidP="008F50EF">
            <w:pPr>
              <w:keepNext/>
              <w:keepLines/>
              <w:jc w:val="center"/>
              <w:rPr>
                <w:rFonts w:ascii="Arial Narrow" w:hAnsi="Arial Narrow"/>
                <w:sz w:val="20"/>
              </w:rPr>
            </w:pPr>
            <w:r w:rsidRPr="00C974DD">
              <w:rPr>
                <w:rFonts w:ascii="Arial Narrow" w:hAnsi="Arial Narrow"/>
                <w:sz w:val="20"/>
              </w:rPr>
              <w:t>20 (28%)</w:t>
            </w:r>
          </w:p>
        </w:tc>
        <w:tc>
          <w:tcPr>
            <w:tcW w:w="0" w:type="auto"/>
            <w:vAlign w:val="center"/>
          </w:tcPr>
          <w:p w:rsidR="00E32AAE" w:rsidRPr="00C974DD" w:rsidRDefault="00E32AAE" w:rsidP="008F50EF">
            <w:pPr>
              <w:keepNext/>
              <w:keepLines/>
              <w:jc w:val="center"/>
              <w:rPr>
                <w:rFonts w:ascii="Arial Narrow" w:hAnsi="Arial Narrow"/>
                <w:sz w:val="20"/>
              </w:rPr>
            </w:pPr>
            <w:r w:rsidRPr="00C974DD">
              <w:rPr>
                <w:rFonts w:ascii="Arial Narrow" w:hAnsi="Arial Narrow"/>
                <w:sz w:val="20"/>
              </w:rPr>
              <w:t>-</w:t>
            </w:r>
          </w:p>
        </w:tc>
        <w:tc>
          <w:tcPr>
            <w:tcW w:w="0" w:type="auto"/>
            <w:vAlign w:val="center"/>
          </w:tcPr>
          <w:p w:rsidR="00E32AAE" w:rsidRPr="00C974DD" w:rsidRDefault="00E32AAE" w:rsidP="008F50EF">
            <w:pPr>
              <w:keepNext/>
              <w:keepLines/>
              <w:jc w:val="center"/>
              <w:rPr>
                <w:rFonts w:ascii="Arial Narrow" w:hAnsi="Arial Narrow"/>
                <w:sz w:val="20"/>
              </w:rPr>
            </w:pPr>
            <w:r w:rsidRPr="00C974DD">
              <w:rPr>
                <w:rFonts w:ascii="Arial Narrow" w:hAnsi="Arial Narrow"/>
                <w:sz w:val="20"/>
              </w:rPr>
              <w:t>-</w:t>
            </w:r>
          </w:p>
        </w:tc>
      </w:tr>
      <w:tr w:rsidR="00C974DD" w:rsidRPr="00C974DD" w:rsidTr="00A173FE">
        <w:trPr>
          <w:trHeight w:val="20"/>
        </w:trPr>
        <w:tc>
          <w:tcPr>
            <w:tcW w:w="0" w:type="auto"/>
            <w:vAlign w:val="center"/>
          </w:tcPr>
          <w:p w:rsidR="00E32AAE" w:rsidRPr="00C974DD" w:rsidRDefault="00E32AAE" w:rsidP="008F50EF">
            <w:pPr>
              <w:keepNext/>
              <w:keepLines/>
              <w:ind w:firstLine="284"/>
              <w:rPr>
                <w:rFonts w:ascii="Arial Narrow" w:hAnsi="Arial Narrow"/>
                <w:sz w:val="20"/>
              </w:rPr>
            </w:pPr>
            <w:r w:rsidRPr="00C974DD">
              <w:rPr>
                <w:rFonts w:ascii="Arial Narrow" w:hAnsi="Arial Narrow"/>
                <w:sz w:val="20"/>
              </w:rPr>
              <w:t>Data cut-off</w:t>
            </w:r>
          </w:p>
        </w:tc>
        <w:tc>
          <w:tcPr>
            <w:tcW w:w="0" w:type="auto"/>
            <w:vAlign w:val="center"/>
          </w:tcPr>
          <w:p w:rsidR="00E32AAE" w:rsidRPr="00C974DD" w:rsidRDefault="00E32AAE" w:rsidP="008F50EF">
            <w:pPr>
              <w:keepNext/>
              <w:keepLines/>
              <w:jc w:val="center"/>
              <w:rPr>
                <w:rFonts w:ascii="Arial Narrow" w:hAnsi="Arial Narrow"/>
                <w:sz w:val="20"/>
              </w:rPr>
            </w:pPr>
            <w:r w:rsidRPr="00C974DD">
              <w:rPr>
                <w:rFonts w:ascii="Arial Narrow" w:hAnsi="Arial Narrow"/>
                <w:sz w:val="20"/>
              </w:rPr>
              <w:t>32 (26%)</w:t>
            </w:r>
          </w:p>
        </w:tc>
        <w:tc>
          <w:tcPr>
            <w:tcW w:w="0" w:type="auto"/>
            <w:vAlign w:val="center"/>
          </w:tcPr>
          <w:p w:rsidR="00E32AAE" w:rsidRPr="00C974DD" w:rsidRDefault="00E32AAE" w:rsidP="008F50EF">
            <w:pPr>
              <w:keepNext/>
              <w:keepLines/>
              <w:jc w:val="center"/>
              <w:rPr>
                <w:rFonts w:ascii="Arial Narrow" w:hAnsi="Arial Narrow"/>
                <w:sz w:val="20"/>
              </w:rPr>
            </w:pPr>
            <w:r w:rsidRPr="00C974DD">
              <w:rPr>
                <w:rFonts w:ascii="Arial Narrow" w:hAnsi="Arial Narrow"/>
                <w:sz w:val="20"/>
              </w:rPr>
              <w:t>17 (24%)</w:t>
            </w:r>
          </w:p>
        </w:tc>
        <w:tc>
          <w:tcPr>
            <w:tcW w:w="0" w:type="auto"/>
            <w:vAlign w:val="center"/>
          </w:tcPr>
          <w:p w:rsidR="00E32AAE" w:rsidRPr="00C974DD" w:rsidRDefault="00E32AAE" w:rsidP="008F50EF">
            <w:pPr>
              <w:keepNext/>
              <w:keepLines/>
              <w:jc w:val="center"/>
              <w:rPr>
                <w:rFonts w:ascii="Arial Narrow" w:hAnsi="Arial Narrow"/>
                <w:sz w:val="20"/>
              </w:rPr>
            </w:pPr>
            <w:r w:rsidRPr="00C974DD">
              <w:rPr>
                <w:rFonts w:ascii="Arial Narrow" w:hAnsi="Arial Narrow"/>
                <w:sz w:val="20"/>
              </w:rPr>
              <w:t>-</w:t>
            </w:r>
          </w:p>
        </w:tc>
        <w:tc>
          <w:tcPr>
            <w:tcW w:w="0" w:type="auto"/>
            <w:vAlign w:val="center"/>
          </w:tcPr>
          <w:p w:rsidR="00E32AAE" w:rsidRPr="00C974DD" w:rsidRDefault="00E32AAE" w:rsidP="008F50EF">
            <w:pPr>
              <w:keepNext/>
              <w:keepLines/>
              <w:jc w:val="center"/>
              <w:rPr>
                <w:rFonts w:ascii="Arial Narrow" w:hAnsi="Arial Narrow"/>
                <w:sz w:val="20"/>
              </w:rPr>
            </w:pPr>
            <w:r w:rsidRPr="00C974DD">
              <w:rPr>
                <w:rFonts w:ascii="Arial Narrow" w:hAnsi="Arial Narrow"/>
                <w:sz w:val="20"/>
              </w:rPr>
              <w:t>-</w:t>
            </w:r>
          </w:p>
        </w:tc>
      </w:tr>
      <w:tr w:rsidR="00C974DD" w:rsidRPr="00C974DD" w:rsidTr="00A173FE">
        <w:trPr>
          <w:trHeight w:val="20"/>
        </w:trPr>
        <w:tc>
          <w:tcPr>
            <w:tcW w:w="0" w:type="auto"/>
            <w:vAlign w:val="center"/>
          </w:tcPr>
          <w:p w:rsidR="00E32AAE" w:rsidRPr="00C974DD" w:rsidRDefault="00E32AAE" w:rsidP="008F50EF">
            <w:pPr>
              <w:keepNext/>
              <w:keepLines/>
              <w:rPr>
                <w:rFonts w:ascii="Arial Narrow" w:hAnsi="Arial Narrow"/>
                <w:sz w:val="20"/>
              </w:rPr>
            </w:pPr>
            <w:r w:rsidRPr="00C974DD">
              <w:rPr>
                <w:rFonts w:ascii="Arial Narrow" w:hAnsi="Arial Narrow"/>
                <w:sz w:val="20"/>
              </w:rPr>
              <w:t>Median PFS, months (95% CI)</w:t>
            </w:r>
          </w:p>
        </w:tc>
        <w:tc>
          <w:tcPr>
            <w:tcW w:w="0" w:type="auto"/>
            <w:vAlign w:val="center"/>
          </w:tcPr>
          <w:p w:rsidR="00E32AAE" w:rsidRPr="00C974DD" w:rsidRDefault="00E32AAE" w:rsidP="008F50EF">
            <w:pPr>
              <w:keepNext/>
              <w:keepLines/>
              <w:jc w:val="center"/>
              <w:rPr>
                <w:rFonts w:ascii="Arial Narrow" w:hAnsi="Arial Narrow"/>
                <w:sz w:val="20"/>
              </w:rPr>
            </w:pPr>
            <w:r w:rsidRPr="00C974DD">
              <w:rPr>
                <w:rFonts w:ascii="Arial Narrow" w:hAnsi="Arial Narrow"/>
                <w:sz w:val="20"/>
              </w:rPr>
              <w:t>11.0 (8.1, 13.8)</w:t>
            </w:r>
          </w:p>
        </w:tc>
        <w:tc>
          <w:tcPr>
            <w:tcW w:w="0" w:type="auto"/>
            <w:vAlign w:val="center"/>
          </w:tcPr>
          <w:p w:rsidR="00E32AAE" w:rsidRPr="00C974DD" w:rsidRDefault="00E32AAE" w:rsidP="008F50EF">
            <w:pPr>
              <w:keepNext/>
              <w:keepLines/>
              <w:jc w:val="center"/>
              <w:rPr>
                <w:rFonts w:ascii="Arial Narrow" w:hAnsi="Arial Narrow"/>
                <w:sz w:val="20"/>
              </w:rPr>
            </w:pPr>
            <w:r w:rsidRPr="00C974DD">
              <w:rPr>
                <w:rFonts w:ascii="Arial Narrow" w:hAnsi="Arial Narrow"/>
                <w:sz w:val="20"/>
              </w:rPr>
              <w:t>8.5 (5.7, 13.1)</w:t>
            </w:r>
          </w:p>
        </w:tc>
        <w:tc>
          <w:tcPr>
            <w:tcW w:w="0" w:type="auto"/>
            <w:vAlign w:val="center"/>
          </w:tcPr>
          <w:p w:rsidR="00E32AAE" w:rsidRPr="00C974DD" w:rsidRDefault="00E32AAE" w:rsidP="008F50EF">
            <w:pPr>
              <w:keepNext/>
              <w:keepLines/>
              <w:jc w:val="center"/>
              <w:rPr>
                <w:rFonts w:ascii="Arial Narrow" w:hAnsi="Arial Narrow"/>
                <w:sz w:val="20"/>
              </w:rPr>
            </w:pPr>
            <w:r w:rsidRPr="00C974DD">
              <w:rPr>
                <w:rFonts w:ascii="Arial Narrow" w:hAnsi="Arial Narrow"/>
                <w:sz w:val="20"/>
              </w:rPr>
              <w:t xml:space="preserve">6.8 (range 1.7, &gt;25.9) </w:t>
            </w:r>
            <w:r w:rsidRPr="00C974DD">
              <w:rPr>
                <w:rFonts w:ascii="Arial Narrow" w:hAnsi="Arial Narrow"/>
                <w:sz w:val="20"/>
                <w:vertAlign w:val="superscript"/>
              </w:rPr>
              <w:t>b</w:t>
            </w:r>
            <w:r w:rsidRPr="00C974DD">
              <w:rPr>
                <w:rFonts w:ascii="Arial Narrow" w:hAnsi="Arial Narrow"/>
                <w:sz w:val="20"/>
              </w:rPr>
              <w:t xml:space="preserve"> </w:t>
            </w:r>
          </w:p>
        </w:tc>
        <w:tc>
          <w:tcPr>
            <w:tcW w:w="0" w:type="auto"/>
            <w:vAlign w:val="center"/>
          </w:tcPr>
          <w:p w:rsidR="00E32AAE" w:rsidRPr="00C974DD" w:rsidRDefault="00E32AAE" w:rsidP="008F50EF">
            <w:pPr>
              <w:keepNext/>
              <w:keepLines/>
              <w:jc w:val="center"/>
              <w:rPr>
                <w:rFonts w:ascii="Arial Narrow" w:hAnsi="Arial Narrow"/>
                <w:sz w:val="20"/>
              </w:rPr>
            </w:pPr>
            <w:r w:rsidRPr="00C974DD">
              <w:rPr>
                <w:rFonts w:ascii="Arial Narrow" w:hAnsi="Arial Narrow"/>
                <w:sz w:val="20"/>
              </w:rPr>
              <w:t>9.3 (8.1, 11.9)</w:t>
            </w:r>
          </w:p>
        </w:tc>
      </w:tr>
      <w:tr w:rsidR="00C974DD" w:rsidRPr="00C974DD" w:rsidTr="00A173FE">
        <w:trPr>
          <w:trHeight w:val="20"/>
        </w:trPr>
        <w:tc>
          <w:tcPr>
            <w:tcW w:w="0" w:type="auto"/>
            <w:vAlign w:val="center"/>
          </w:tcPr>
          <w:p w:rsidR="00A55B1F" w:rsidRPr="00C974DD" w:rsidRDefault="00A55B1F" w:rsidP="008F50EF">
            <w:pPr>
              <w:keepNext/>
              <w:keepLines/>
              <w:rPr>
                <w:rFonts w:ascii="Arial Narrow" w:hAnsi="Arial Narrow"/>
                <w:b/>
                <w:sz w:val="20"/>
              </w:rPr>
            </w:pPr>
            <w:r w:rsidRPr="00C974DD">
              <w:rPr>
                <w:rFonts w:ascii="Arial Narrow" w:hAnsi="Arial Narrow"/>
                <w:b/>
                <w:sz w:val="20"/>
              </w:rPr>
              <w:t>Overall survival</w:t>
            </w:r>
          </w:p>
        </w:tc>
        <w:tc>
          <w:tcPr>
            <w:tcW w:w="0" w:type="auto"/>
            <w:vAlign w:val="center"/>
          </w:tcPr>
          <w:p w:rsidR="00A55B1F" w:rsidRPr="00C974DD" w:rsidRDefault="00A55B1F" w:rsidP="008F50EF">
            <w:pPr>
              <w:keepNext/>
              <w:keepLines/>
              <w:jc w:val="center"/>
              <w:rPr>
                <w:rFonts w:ascii="Arial Narrow" w:hAnsi="Arial Narrow"/>
                <w:sz w:val="20"/>
              </w:rPr>
            </w:pPr>
          </w:p>
        </w:tc>
        <w:tc>
          <w:tcPr>
            <w:tcW w:w="0" w:type="auto"/>
            <w:vAlign w:val="center"/>
          </w:tcPr>
          <w:p w:rsidR="00A55B1F" w:rsidRPr="00C974DD" w:rsidRDefault="00A55B1F" w:rsidP="008F50EF">
            <w:pPr>
              <w:keepNext/>
              <w:keepLines/>
              <w:jc w:val="center"/>
              <w:rPr>
                <w:rFonts w:ascii="Arial Narrow" w:hAnsi="Arial Narrow"/>
                <w:sz w:val="20"/>
              </w:rPr>
            </w:pPr>
          </w:p>
        </w:tc>
        <w:tc>
          <w:tcPr>
            <w:tcW w:w="0" w:type="auto"/>
            <w:vAlign w:val="center"/>
          </w:tcPr>
          <w:p w:rsidR="00A55B1F" w:rsidRPr="00C974DD" w:rsidRDefault="00A55B1F" w:rsidP="008F50EF">
            <w:pPr>
              <w:keepNext/>
              <w:keepLines/>
              <w:jc w:val="center"/>
              <w:rPr>
                <w:rFonts w:ascii="Arial Narrow" w:hAnsi="Arial Narrow"/>
                <w:sz w:val="20"/>
              </w:rPr>
            </w:pPr>
          </w:p>
        </w:tc>
        <w:tc>
          <w:tcPr>
            <w:tcW w:w="0" w:type="auto"/>
            <w:vAlign w:val="center"/>
          </w:tcPr>
          <w:p w:rsidR="00A55B1F" w:rsidRPr="00C974DD" w:rsidRDefault="00A55B1F" w:rsidP="008F50EF">
            <w:pPr>
              <w:keepNext/>
              <w:keepLines/>
              <w:jc w:val="center"/>
              <w:rPr>
                <w:rFonts w:ascii="Arial Narrow" w:hAnsi="Arial Narrow"/>
                <w:sz w:val="20"/>
              </w:rPr>
            </w:pPr>
          </w:p>
        </w:tc>
      </w:tr>
      <w:tr w:rsidR="00C974DD" w:rsidRPr="00C974DD" w:rsidTr="00A173FE">
        <w:trPr>
          <w:trHeight w:val="20"/>
        </w:trPr>
        <w:tc>
          <w:tcPr>
            <w:tcW w:w="0" w:type="auto"/>
            <w:vAlign w:val="center"/>
          </w:tcPr>
          <w:p w:rsidR="00A55B1F" w:rsidRPr="00C974DD" w:rsidRDefault="00A55B1F" w:rsidP="008F50EF">
            <w:pPr>
              <w:keepNext/>
              <w:keepLines/>
              <w:ind w:firstLine="142"/>
              <w:rPr>
                <w:rFonts w:ascii="Arial Narrow" w:hAnsi="Arial Narrow"/>
                <w:sz w:val="20"/>
              </w:rPr>
            </w:pPr>
            <w:r w:rsidRPr="00C974DD">
              <w:rPr>
                <w:rFonts w:ascii="Arial Narrow" w:hAnsi="Arial Narrow"/>
                <w:sz w:val="20"/>
              </w:rPr>
              <w:t>Died n (%)</w:t>
            </w:r>
          </w:p>
        </w:tc>
        <w:tc>
          <w:tcPr>
            <w:tcW w:w="0" w:type="auto"/>
            <w:vAlign w:val="center"/>
          </w:tcPr>
          <w:p w:rsidR="00A55B1F" w:rsidRPr="00C974DD" w:rsidRDefault="00A55B1F" w:rsidP="008F50EF">
            <w:pPr>
              <w:keepNext/>
              <w:keepLines/>
              <w:jc w:val="center"/>
              <w:rPr>
                <w:rFonts w:ascii="Arial Narrow" w:hAnsi="Arial Narrow"/>
                <w:sz w:val="20"/>
              </w:rPr>
            </w:pPr>
            <w:r w:rsidRPr="00C974DD">
              <w:rPr>
                <w:rFonts w:ascii="Arial Narrow" w:hAnsi="Arial Narrow"/>
                <w:sz w:val="20"/>
              </w:rPr>
              <w:t>28 (22%)</w:t>
            </w:r>
            <w:r w:rsidRPr="00C974DD">
              <w:rPr>
                <w:rFonts w:ascii="Arial Narrow" w:hAnsi="Arial Narrow"/>
                <w:sz w:val="20"/>
                <w:vertAlign w:val="superscript"/>
              </w:rPr>
              <w:t xml:space="preserve"> c</w:t>
            </w:r>
          </w:p>
        </w:tc>
        <w:tc>
          <w:tcPr>
            <w:tcW w:w="0" w:type="auto"/>
            <w:vAlign w:val="center"/>
          </w:tcPr>
          <w:p w:rsidR="00A55B1F" w:rsidRPr="00C974DD" w:rsidRDefault="00E32AAE" w:rsidP="008F50EF">
            <w:pPr>
              <w:keepNext/>
              <w:keepLines/>
              <w:jc w:val="center"/>
              <w:rPr>
                <w:rFonts w:ascii="Arial Narrow" w:hAnsi="Arial Narrow"/>
                <w:sz w:val="20"/>
              </w:rPr>
            </w:pPr>
            <w:r w:rsidRPr="00C974DD">
              <w:rPr>
                <w:rFonts w:ascii="Arial Narrow" w:hAnsi="Arial Narrow"/>
                <w:sz w:val="20"/>
              </w:rPr>
              <w:t>NA</w:t>
            </w:r>
          </w:p>
        </w:tc>
        <w:tc>
          <w:tcPr>
            <w:tcW w:w="0" w:type="auto"/>
            <w:vAlign w:val="center"/>
          </w:tcPr>
          <w:p w:rsidR="00A55B1F" w:rsidRPr="00C974DD" w:rsidRDefault="00A55B1F" w:rsidP="008F50EF">
            <w:pPr>
              <w:keepNext/>
              <w:keepLines/>
              <w:jc w:val="center"/>
              <w:rPr>
                <w:rFonts w:ascii="Arial Narrow" w:hAnsi="Arial Narrow"/>
                <w:sz w:val="20"/>
              </w:rPr>
            </w:pPr>
            <w:r w:rsidRPr="00C974DD">
              <w:rPr>
                <w:rFonts w:ascii="Arial Narrow" w:hAnsi="Arial Narrow"/>
                <w:sz w:val="20"/>
              </w:rPr>
              <w:t>2 (4%)</w:t>
            </w:r>
          </w:p>
        </w:tc>
        <w:tc>
          <w:tcPr>
            <w:tcW w:w="0" w:type="auto"/>
            <w:vAlign w:val="center"/>
          </w:tcPr>
          <w:p w:rsidR="00A55B1F" w:rsidRPr="00C974DD" w:rsidRDefault="00A55B1F" w:rsidP="008F50EF">
            <w:pPr>
              <w:keepNext/>
              <w:keepLines/>
              <w:jc w:val="center"/>
              <w:rPr>
                <w:rFonts w:ascii="Arial Narrow" w:hAnsi="Arial Narrow"/>
                <w:sz w:val="20"/>
              </w:rPr>
            </w:pPr>
            <w:r w:rsidRPr="00C974DD">
              <w:rPr>
                <w:rFonts w:ascii="Arial Narrow" w:hAnsi="Arial Narrow"/>
                <w:sz w:val="20"/>
              </w:rPr>
              <w:t>11 (11%)</w:t>
            </w:r>
          </w:p>
        </w:tc>
      </w:tr>
      <w:tr w:rsidR="00C974DD" w:rsidRPr="00C974DD" w:rsidTr="00A173FE">
        <w:trPr>
          <w:trHeight w:val="20"/>
        </w:trPr>
        <w:tc>
          <w:tcPr>
            <w:tcW w:w="0" w:type="auto"/>
            <w:vAlign w:val="center"/>
          </w:tcPr>
          <w:p w:rsidR="00A55B1F" w:rsidRPr="00C974DD" w:rsidRDefault="00A55B1F" w:rsidP="008F50EF">
            <w:pPr>
              <w:keepNext/>
              <w:keepLines/>
              <w:ind w:firstLine="142"/>
              <w:rPr>
                <w:rFonts w:ascii="Arial Narrow" w:hAnsi="Arial Narrow"/>
                <w:sz w:val="20"/>
              </w:rPr>
            </w:pPr>
            <w:r w:rsidRPr="00C974DD">
              <w:rPr>
                <w:rFonts w:ascii="Arial Narrow" w:hAnsi="Arial Narrow"/>
                <w:sz w:val="20"/>
              </w:rPr>
              <w:t>Median OS, months (95% CI)</w:t>
            </w:r>
          </w:p>
        </w:tc>
        <w:tc>
          <w:tcPr>
            <w:tcW w:w="0" w:type="auto"/>
            <w:vAlign w:val="center"/>
          </w:tcPr>
          <w:p w:rsidR="00A55B1F" w:rsidRPr="00C974DD" w:rsidRDefault="00A55B1F" w:rsidP="008F50EF">
            <w:pPr>
              <w:keepNext/>
              <w:keepLines/>
              <w:jc w:val="center"/>
              <w:rPr>
                <w:rFonts w:ascii="Arial Narrow" w:hAnsi="Arial Narrow"/>
                <w:sz w:val="20"/>
              </w:rPr>
            </w:pPr>
            <w:r w:rsidRPr="00C974DD">
              <w:rPr>
                <w:rFonts w:ascii="Arial Narrow" w:hAnsi="Arial Narrow"/>
                <w:sz w:val="20"/>
              </w:rPr>
              <w:t>20.3 (16.4, NR)</w:t>
            </w:r>
          </w:p>
        </w:tc>
        <w:tc>
          <w:tcPr>
            <w:tcW w:w="0" w:type="auto"/>
            <w:vAlign w:val="center"/>
          </w:tcPr>
          <w:p w:rsidR="00A55B1F" w:rsidRPr="00C974DD" w:rsidRDefault="00E32AAE" w:rsidP="008F50EF">
            <w:pPr>
              <w:keepNext/>
              <w:keepLines/>
              <w:jc w:val="center"/>
              <w:rPr>
                <w:rFonts w:ascii="Arial Narrow" w:hAnsi="Arial Narrow"/>
                <w:sz w:val="20"/>
              </w:rPr>
            </w:pPr>
            <w:r w:rsidRPr="00C974DD">
              <w:rPr>
                <w:rFonts w:ascii="Arial Narrow" w:hAnsi="Arial Narrow"/>
                <w:sz w:val="20"/>
              </w:rPr>
              <w:t>NA</w:t>
            </w:r>
          </w:p>
        </w:tc>
        <w:tc>
          <w:tcPr>
            <w:tcW w:w="0" w:type="auto"/>
            <w:vAlign w:val="center"/>
          </w:tcPr>
          <w:p w:rsidR="00A55B1F" w:rsidRPr="00C974DD" w:rsidRDefault="00A55B1F" w:rsidP="008F50EF">
            <w:pPr>
              <w:keepNext/>
              <w:keepLines/>
              <w:jc w:val="center"/>
              <w:rPr>
                <w:rFonts w:ascii="Arial Narrow" w:hAnsi="Arial Narrow"/>
                <w:sz w:val="20"/>
              </w:rPr>
            </w:pPr>
            <w:r w:rsidRPr="00C974DD">
              <w:rPr>
                <w:rFonts w:ascii="Arial Narrow" w:hAnsi="Arial Narrow"/>
                <w:sz w:val="20"/>
              </w:rPr>
              <w:t>N</w:t>
            </w:r>
            <w:r w:rsidR="00E32AAE" w:rsidRPr="00C974DD">
              <w:rPr>
                <w:rFonts w:ascii="Arial Narrow" w:hAnsi="Arial Narrow"/>
                <w:sz w:val="20"/>
              </w:rPr>
              <w:t>A</w:t>
            </w:r>
          </w:p>
        </w:tc>
        <w:tc>
          <w:tcPr>
            <w:tcW w:w="0" w:type="auto"/>
            <w:vAlign w:val="center"/>
          </w:tcPr>
          <w:p w:rsidR="00A55B1F" w:rsidRPr="00C974DD" w:rsidRDefault="00A55B1F" w:rsidP="008F50EF">
            <w:pPr>
              <w:keepNext/>
              <w:keepLines/>
              <w:jc w:val="center"/>
              <w:rPr>
                <w:rFonts w:ascii="Arial Narrow" w:hAnsi="Arial Narrow"/>
                <w:sz w:val="20"/>
              </w:rPr>
            </w:pPr>
            <w:r w:rsidRPr="00C974DD">
              <w:rPr>
                <w:rFonts w:ascii="Arial Narrow" w:hAnsi="Arial Narrow"/>
                <w:sz w:val="20"/>
              </w:rPr>
              <w:t>N</w:t>
            </w:r>
            <w:r w:rsidR="00E32AAE" w:rsidRPr="00C974DD">
              <w:rPr>
                <w:rFonts w:ascii="Arial Narrow" w:hAnsi="Arial Narrow"/>
                <w:sz w:val="20"/>
              </w:rPr>
              <w:t>A</w:t>
            </w:r>
          </w:p>
        </w:tc>
      </w:tr>
    </w:tbl>
    <w:p w:rsidR="003D201A" w:rsidRPr="00C974DD" w:rsidRDefault="003D201A" w:rsidP="008F50EF">
      <w:pPr>
        <w:pStyle w:val="TableFooter"/>
        <w:keepNext/>
        <w:keepLines/>
        <w:ind w:left="720"/>
      </w:pPr>
      <w:r w:rsidRPr="00C974DD">
        <w:t xml:space="preserve">Source: Table B-28, p79, Table B-29, p80, Table 30, p83, text p84,Table B-31, p85, Table B-39, p95, text, pp95-98, Table B-40, p97, and </w:t>
      </w:r>
      <w:r w:rsidRPr="00C974DD">
        <w:rPr>
          <w:i/>
        </w:rPr>
        <w:t xml:space="preserve">extracted from </w:t>
      </w:r>
      <w:r w:rsidR="00A55B1F" w:rsidRPr="00C974DD">
        <w:rPr>
          <w:i/>
        </w:rPr>
        <w:t xml:space="preserve">Table 2.5.1.4, p1110 of the CSR and </w:t>
      </w:r>
      <w:r w:rsidRPr="00C974DD">
        <w:rPr>
          <w:i/>
        </w:rPr>
        <w:t>the publications of Witzig (2002) and Kahl (2010).</w:t>
      </w:r>
    </w:p>
    <w:p w:rsidR="003D201A" w:rsidRPr="00C974DD" w:rsidRDefault="002204CD" w:rsidP="008F50EF">
      <w:pPr>
        <w:pStyle w:val="TableFooter"/>
        <w:keepNext/>
        <w:keepLines/>
        <w:ind w:left="720"/>
      </w:pPr>
      <w:r w:rsidRPr="00C974DD">
        <w:t xml:space="preserve">CI = confidence interval; </w:t>
      </w:r>
      <w:r w:rsidR="00A55B1F" w:rsidRPr="00C974DD">
        <w:t xml:space="preserve">FL = follicular lymphoma; ITT = intention to treat; </w:t>
      </w:r>
      <w:r w:rsidR="00E32AAE" w:rsidRPr="00C974DD">
        <w:t xml:space="preserve">NA = not available; </w:t>
      </w:r>
      <w:r w:rsidR="003D201A" w:rsidRPr="00C974DD">
        <w:t>NR = not reached; OS = overall survival; PFS = progression-free survival;</w:t>
      </w:r>
    </w:p>
    <w:p w:rsidR="003D201A" w:rsidRPr="00C974DD" w:rsidRDefault="003D201A" w:rsidP="008F50EF">
      <w:pPr>
        <w:pStyle w:val="TableFooter"/>
        <w:keepNext/>
        <w:keepLines/>
        <w:ind w:left="720"/>
      </w:pPr>
      <w:r w:rsidRPr="00C974DD">
        <w:rPr>
          <w:vertAlign w:val="superscript"/>
        </w:rPr>
        <w:t>a</w:t>
      </w:r>
      <w:r w:rsidRPr="00C974DD">
        <w:t xml:space="preserve"> Efficacy data was presented for patients with follicular lymphoma only</w:t>
      </w:r>
    </w:p>
    <w:p w:rsidR="003D201A" w:rsidRPr="00C974DD" w:rsidRDefault="003D201A" w:rsidP="008F50EF">
      <w:pPr>
        <w:pStyle w:val="TableFooter"/>
        <w:keepNext/>
        <w:keepLines/>
        <w:ind w:left="720"/>
      </w:pPr>
      <w:r w:rsidRPr="00C974DD">
        <w:rPr>
          <w:vertAlign w:val="superscript"/>
        </w:rPr>
        <w:t>b</w:t>
      </w:r>
      <w:r w:rsidRPr="00C974DD">
        <w:t xml:space="preserve"> Time to progression, the publication noted that 30% of the patients were censored.</w:t>
      </w:r>
    </w:p>
    <w:p w:rsidR="003D201A" w:rsidRPr="00C974DD" w:rsidRDefault="003D201A" w:rsidP="008F50EF">
      <w:pPr>
        <w:pStyle w:val="TableFooter"/>
        <w:keepNext/>
        <w:keepLines/>
        <w:ind w:left="720"/>
      </w:pPr>
      <w:r w:rsidRPr="00C974DD">
        <w:rPr>
          <w:sz w:val="20"/>
          <w:vertAlign w:val="superscript"/>
        </w:rPr>
        <w:t xml:space="preserve">c </w:t>
      </w:r>
      <w:r w:rsidRPr="00C974DD">
        <w:t>This value was for the median duration of follow-up</w:t>
      </w:r>
    </w:p>
    <w:p w:rsidR="003D201A" w:rsidRPr="00C974DD" w:rsidRDefault="003D201A" w:rsidP="008F50EF">
      <w:pPr>
        <w:pStyle w:val="TableFooter"/>
        <w:keepNext/>
        <w:keepLines/>
        <w:ind w:left="720"/>
      </w:pPr>
      <w:r w:rsidRPr="00C974DD">
        <w:rPr>
          <w:sz w:val="20"/>
          <w:vertAlign w:val="superscript"/>
        </w:rPr>
        <w:t>d</w:t>
      </w:r>
      <w:r w:rsidRPr="00C974DD">
        <w:t xml:space="preserve"> 20% due to adverse events, 6% at the investigator’s request, 3.2% withdrew consent.</w:t>
      </w:r>
    </w:p>
    <w:p w:rsidR="00B60939" w:rsidRPr="00C974DD" w:rsidRDefault="00B60939" w:rsidP="00CE4B32">
      <w:pPr>
        <w:rPr>
          <w:szCs w:val="22"/>
        </w:rPr>
      </w:pPr>
    </w:p>
    <w:p w:rsidR="007A2166" w:rsidRPr="00C974DD" w:rsidRDefault="007A2166" w:rsidP="008053E8">
      <w:pPr>
        <w:pStyle w:val="ListParagraph"/>
        <w:numPr>
          <w:ilvl w:val="1"/>
          <w:numId w:val="15"/>
        </w:numPr>
        <w:rPr>
          <w:lang w:val="en-US"/>
        </w:rPr>
      </w:pPr>
      <w:r w:rsidRPr="00C974DD">
        <w:rPr>
          <w:lang w:val="en-US"/>
        </w:rPr>
        <w:t>The submission did not provide any comparative data to inform the comparison with best supportive care. Instead, the submission use</w:t>
      </w:r>
      <w:r w:rsidR="007523EB" w:rsidRPr="00C974DD">
        <w:rPr>
          <w:lang w:val="en-US"/>
        </w:rPr>
        <w:t>d</w:t>
      </w:r>
      <w:r w:rsidRPr="00C974DD">
        <w:rPr>
          <w:lang w:val="en-US"/>
        </w:rPr>
        <w:t xml:space="preserve"> non-responders in the single arm study (101-09) to approximate outcomes for best supportive care. </w:t>
      </w:r>
      <w:r w:rsidR="006C58D8" w:rsidRPr="00C974DD">
        <w:rPr>
          <w:lang w:val="en-US"/>
        </w:rPr>
        <w:t>The ESC considered that this approach was inappropriate because it</w:t>
      </w:r>
      <w:r w:rsidRPr="00C974DD">
        <w:rPr>
          <w:lang w:val="en-US"/>
        </w:rPr>
        <w:t xml:space="preserve"> is inherently bi</w:t>
      </w:r>
      <w:r w:rsidR="001B1DD8" w:rsidRPr="00C974DD">
        <w:rPr>
          <w:lang w:val="en-US"/>
        </w:rPr>
        <w:t>a</w:t>
      </w:r>
      <w:r w:rsidRPr="00C974DD">
        <w:rPr>
          <w:lang w:val="en-US"/>
        </w:rPr>
        <w:t xml:space="preserve">sed and confounded. This is further discussed in </w:t>
      </w:r>
      <w:r w:rsidR="007523EB" w:rsidRPr="00C974DD">
        <w:rPr>
          <w:lang w:val="en-US"/>
        </w:rPr>
        <w:t>the ‘Economic Analysis’ section.</w:t>
      </w:r>
    </w:p>
    <w:p w:rsidR="007A2166" w:rsidRPr="00C974DD" w:rsidRDefault="007A2166" w:rsidP="008053E8">
      <w:pPr>
        <w:pStyle w:val="ListParagraph"/>
        <w:rPr>
          <w:lang w:val="en-US"/>
        </w:rPr>
      </w:pPr>
    </w:p>
    <w:p w:rsidR="007A2166" w:rsidRPr="00C974DD" w:rsidRDefault="00A5669A" w:rsidP="008053E8">
      <w:pPr>
        <w:pStyle w:val="ListParagraph"/>
        <w:numPr>
          <w:ilvl w:val="1"/>
          <w:numId w:val="15"/>
        </w:numPr>
        <w:rPr>
          <w:i/>
          <w:szCs w:val="22"/>
        </w:rPr>
      </w:pPr>
      <w:r w:rsidRPr="00C974DD">
        <w:rPr>
          <w:szCs w:val="22"/>
        </w:rPr>
        <w:t xml:space="preserve">The PSCR provided information from the most recent data cut-off of </w:t>
      </w:r>
      <w:r w:rsidR="007523EB" w:rsidRPr="00C974DD">
        <w:rPr>
          <w:szCs w:val="22"/>
        </w:rPr>
        <w:t>S</w:t>
      </w:r>
      <w:r w:rsidRPr="00C974DD">
        <w:rPr>
          <w:szCs w:val="22"/>
        </w:rPr>
        <w:t xml:space="preserve">tudy 101-09 </w:t>
      </w:r>
      <w:r w:rsidR="007523EB" w:rsidRPr="00C974DD">
        <w:rPr>
          <w:szCs w:val="22"/>
        </w:rPr>
        <w:t>(</w:t>
      </w:r>
      <w:r w:rsidRPr="00C974DD">
        <w:rPr>
          <w:szCs w:val="22"/>
        </w:rPr>
        <w:t>June 2014</w:t>
      </w:r>
      <w:r w:rsidR="007523EB" w:rsidRPr="00C974DD">
        <w:rPr>
          <w:szCs w:val="22"/>
        </w:rPr>
        <w:t>)</w:t>
      </w:r>
      <w:r w:rsidRPr="00C974DD">
        <w:rPr>
          <w:szCs w:val="22"/>
        </w:rPr>
        <w:t>.</w:t>
      </w:r>
      <w:r w:rsidR="00BF2039" w:rsidRPr="00C974DD">
        <w:rPr>
          <w:rStyle w:val="FootnoteReference"/>
          <w:szCs w:val="22"/>
        </w:rPr>
        <w:footnoteReference w:id="2"/>
      </w:r>
      <w:r w:rsidRPr="00C974DD">
        <w:rPr>
          <w:szCs w:val="22"/>
        </w:rPr>
        <w:t xml:space="preserve"> This represented an additional 12 months of data.</w:t>
      </w:r>
    </w:p>
    <w:p w:rsidR="007A2166" w:rsidRPr="00C974DD" w:rsidRDefault="007A2166" w:rsidP="008053E8">
      <w:pPr>
        <w:pStyle w:val="PBACHeading1"/>
        <w:numPr>
          <w:ilvl w:val="0"/>
          <w:numId w:val="0"/>
        </w:numPr>
        <w:rPr>
          <w:noProof/>
          <w:snapToGrid/>
          <w:lang w:eastAsia="en-AU"/>
        </w:rPr>
      </w:pPr>
    </w:p>
    <w:p w:rsidR="00F17EF3" w:rsidRPr="00C974DD" w:rsidRDefault="00F17EF3" w:rsidP="00F17EF3">
      <w:pPr>
        <w:pStyle w:val="ListParagraph"/>
        <w:rPr>
          <w:i/>
          <w:szCs w:val="22"/>
        </w:rPr>
      </w:pPr>
      <w:r w:rsidRPr="00C974DD">
        <w:rPr>
          <w:i/>
          <w:szCs w:val="22"/>
        </w:rPr>
        <w:t>For more detail on PBAC’s view, see section 7 “PBAC outcome”</w:t>
      </w:r>
    </w:p>
    <w:p w:rsidR="00F17EF3" w:rsidRPr="00C974DD" w:rsidRDefault="00F17EF3" w:rsidP="008053E8">
      <w:pPr>
        <w:pStyle w:val="PBACHeading1"/>
        <w:numPr>
          <w:ilvl w:val="0"/>
          <w:numId w:val="0"/>
        </w:numPr>
        <w:rPr>
          <w:i/>
          <w:noProof/>
          <w:snapToGrid/>
          <w:lang w:eastAsia="en-AU"/>
        </w:rPr>
      </w:pPr>
    </w:p>
    <w:p w:rsidR="00B60939" w:rsidRPr="005F67C0" w:rsidRDefault="00B60939" w:rsidP="002C2775">
      <w:pPr>
        <w:pStyle w:val="Heading2"/>
      </w:pPr>
      <w:bookmarkStart w:id="8" w:name="_Toc409517490"/>
      <w:r w:rsidRPr="005F67C0">
        <w:t>Comparative harms</w:t>
      </w:r>
      <w:bookmarkEnd w:id="8"/>
    </w:p>
    <w:p w:rsidR="0085208D" w:rsidRPr="00C974DD" w:rsidRDefault="0085208D" w:rsidP="00D140F5">
      <w:pPr>
        <w:pStyle w:val="ListParagraph"/>
        <w:rPr>
          <w:i/>
          <w:szCs w:val="22"/>
        </w:rPr>
      </w:pPr>
    </w:p>
    <w:p w:rsidR="001F7D1B" w:rsidRPr="00C974DD" w:rsidRDefault="0085208D" w:rsidP="004C3837">
      <w:pPr>
        <w:pStyle w:val="ListParagraph"/>
        <w:numPr>
          <w:ilvl w:val="1"/>
          <w:numId w:val="15"/>
        </w:numPr>
        <w:rPr>
          <w:szCs w:val="22"/>
        </w:rPr>
      </w:pPr>
      <w:r w:rsidRPr="00C974DD">
        <w:rPr>
          <w:szCs w:val="22"/>
        </w:rPr>
        <w:t>Most patients treated wit</w:t>
      </w:r>
      <w:r w:rsidR="00D140F5" w:rsidRPr="00C974DD">
        <w:rPr>
          <w:szCs w:val="22"/>
        </w:rPr>
        <w:t>h</w:t>
      </w:r>
      <w:r w:rsidRPr="00C974DD">
        <w:rPr>
          <w:szCs w:val="22"/>
        </w:rPr>
        <w:t xml:space="preserve"> idelalisib reported at least one adverse event that was grade 3 or higher (70%). The most frequent grade 3 or higher adverse events were neutropenia (21%), diarrhoea (13%), increased </w:t>
      </w:r>
      <w:r w:rsidR="00705FD4" w:rsidRPr="00C974DD">
        <w:rPr>
          <w:szCs w:val="22"/>
        </w:rPr>
        <w:t>alanine</w:t>
      </w:r>
      <w:r w:rsidRPr="00C974DD">
        <w:rPr>
          <w:szCs w:val="22"/>
        </w:rPr>
        <w:t xml:space="preserve"> aminotransferase (9%), pneumonia (7%), and increased aspartate aminotransferase (6%). </w:t>
      </w:r>
      <w:r w:rsidR="00A04549" w:rsidRPr="00C974DD">
        <w:rPr>
          <w:szCs w:val="22"/>
        </w:rPr>
        <w:t xml:space="preserve">Ten </w:t>
      </w:r>
      <w:r w:rsidR="00257E2B" w:rsidRPr="00C974DD">
        <w:rPr>
          <w:szCs w:val="22"/>
        </w:rPr>
        <w:t xml:space="preserve">(8%) </w:t>
      </w:r>
      <w:r w:rsidR="00A04549" w:rsidRPr="00C974DD">
        <w:rPr>
          <w:szCs w:val="22"/>
        </w:rPr>
        <w:t xml:space="preserve">patients died due to adverse events. </w:t>
      </w:r>
      <w:r w:rsidR="001F7D1B" w:rsidRPr="00C974DD">
        <w:rPr>
          <w:szCs w:val="22"/>
        </w:rPr>
        <w:t xml:space="preserve">No formal statistical comparison was presented by the submission. No attempt was made to establish that idelalisib </w:t>
      </w:r>
      <w:r w:rsidR="002204CD" w:rsidRPr="00C974DD">
        <w:rPr>
          <w:szCs w:val="22"/>
        </w:rPr>
        <w:t>wa</w:t>
      </w:r>
      <w:r w:rsidR="001F7D1B" w:rsidRPr="00C974DD">
        <w:rPr>
          <w:szCs w:val="22"/>
        </w:rPr>
        <w:t>s superior in safety to best supportive care.</w:t>
      </w:r>
      <w:r w:rsidR="00257E2B" w:rsidRPr="00C974DD">
        <w:rPr>
          <w:szCs w:val="22"/>
        </w:rPr>
        <w:t xml:space="preserve"> The FDA</w:t>
      </w:r>
      <w:r w:rsidR="00257E2B" w:rsidRPr="00C974DD">
        <w:t xml:space="preserve"> ha</w:t>
      </w:r>
      <w:r w:rsidR="001C271F" w:rsidRPr="00C974DD">
        <w:t>d</w:t>
      </w:r>
      <w:r w:rsidR="00257E2B" w:rsidRPr="00C974DD">
        <w:t xml:space="preserve"> the following black box warning on </w:t>
      </w:r>
      <w:r w:rsidR="001C271F" w:rsidRPr="00C974DD">
        <w:t>its</w:t>
      </w:r>
      <w:r w:rsidR="00257E2B" w:rsidRPr="00C974DD">
        <w:t xml:space="preserve"> prescribing information for idelalisib; “warning: fatal and serious toxicities: hep</w:t>
      </w:r>
      <w:r w:rsidR="00A41F88" w:rsidRPr="00C974DD">
        <w:t>a</w:t>
      </w:r>
      <w:r w:rsidR="00257E2B" w:rsidRPr="00C974DD">
        <w:t>tic, severe diarrh</w:t>
      </w:r>
      <w:r w:rsidR="00175B00" w:rsidRPr="00C974DD">
        <w:t>o</w:t>
      </w:r>
      <w:r w:rsidR="00257E2B" w:rsidRPr="00C974DD">
        <w:t xml:space="preserve">ea, colitis, pneumonitis and intestinal perforation”. </w:t>
      </w:r>
    </w:p>
    <w:p w:rsidR="007523EB" w:rsidRPr="00C974DD" w:rsidRDefault="007523EB" w:rsidP="008053E8">
      <w:pPr>
        <w:pStyle w:val="ListParagraph"/>
        <w:rPr>
          <w:szCs w:val="22"/>
        </w:rPr>
      </w:pPr>
    </w:p>
    <w:p w:rsidR="007523EB" w:rsidRPr="00C974DD" w:rsidRDefault="007523EB" w:rsidP="007523EB">
      <w:pPr>
        <w:pStyle w:val="ListParagraph"/>
        <w:numPr>
          <w:ilvl w:val="1"/>
          <w:numId w:val="15"/>
        </w:numPr>
        <w:rPr>
          <w:szCs w:val="22"/>
        </w:rPr>
      </w:pPr>
      <w:r w:rsidRPr="00C974DD">
        <w:t>The ESC noted that idelalisib was the probable cause of adverse event</w:t>
      </w:r>
      <w:r w:rsidR="000B551E" w:rsidRPr="00C974DD">
        <w:t>s</w:t>
      </w:r>
      <w:r w:rsidRPr="00C974DD">
        <w:t xml:space="preserve"> leading to death in four patients in Study 101-09.</w:t>
      </w:r>
    </w:p>
    <w:p w:rsidR="00F17EF3" w:rsidRPr="00C974DD" w:rsidRDefault="00F17EF3" w:rsidP="000D2B3E">
      <w:pPr>
        <w:pStyle w:val="ListParagraph"/>
        <w:rPr>
          <w:szCs w:val="22"/>
        </w:rPr>
      </w:pPr>
    </w:p>
    <w:p w:rsidR="00F17EF3" w:rsidRPr="00C974DD" w:rsidRDefault="00F17EF3" w:rsidP="00F17EF3">
      <w:pPr>
        <w:pStyle w:val="ListParagraph"/>
        <w:rPr>
          <w:i/>
          <w:szCs w:val="22"/>
        </w:rPr>
      </w:pPr>
      <w:r w:rsidRPr="00C974DD">
        <w:rPr>
          <w:i/>
          <w:szCs w:val="22"/>
        </w:rPr>
        <w:lastRenderedPageBreak/>
        <w:t>For more detail on PBAC’s view, see section 7 “PBAC outcome”</w:t>
      </w:r>
    </w:p>
    <w:p w:rsidR="000310EE" w:rsidRPr="00C974DD" w:rsidRDefault="000310EE" w:rsidP="002C2775">
      <w:pPr>
        <w:pStyle w:val="Heading2"/>
        <w:rPr>
          <w:i/>
        </w:rPr>
      </w:pPr>
      <w:bookmarkStart w:id="9" w:name="_Toc409517491"/>
    </w:p>
    <w:p w:rsidR="007F1017" w:rsidRPr="005F67C0" w:rsidRDefault="007F1017" w:rsidP="002C2775">
      <w:pPr>
        <w:pStyle w:val="Heading2"/>
        <w:rPr>
          <w:szCs w:val="22"/>
        </w:rPr>
      </w:pPr>
      <w:r w:rsidRPr="005F67C0">
        <w:t>Benefits/harms</w:t>
      </w:r>
      <w:bookmarkEnd w:id="9"/>
    </w:p>
    <w:p w:rsidR="00885704" w:rsidRPr="00C974DD" w:rsidRDefault="00885704" w:rsidP="008053E8">
      <w:pPr>
        <w:pStyle w:val="ListParagraph"/>
        <w:rPr>
          <w:i/>
        </w:rPr>
      </w:pPr>
    </w:p>
    <w:p w:rsidR="007F1017" w:rsidRPr="00C974DD" w:rsidRDefault="00885704" w:rsidP="008053E8">
      <w:pPr>
        <w:pStyle w:val="ListParagraph"/>
        <w:numPr>
          <w:ilvl w:val="1"/>
          <w:numId w:val="15"/>
        </w:numPr>
        <w:rPr>
          <w:szCs w:val="22"/>
        </w:rPr>
      </w:pPr>
      <w:r w:rsidRPr="00C974DD">
        <w:t xml:space="preserve">A summary of the comparative benefits and harms for idelalisib </w:t>
      </w:r>
      <w:r w:rsidRPr="00C974DD">
        <w:rPr>
          <w:u w:val="single"/>
        </w:rPr>
        <w:t>versus best supportive care</w:t>
      </w:r>
      <w:r w:rsidRPr="00C974DD">
        <w:t xml:space="preserve"> is presented in the table below. </w:t>
      </w:r>
    </w:p>
    <w:p w:rsidR="00885704" w:rsidRPr="00C974DD" w:rsidRDefault="00885704" w:rsidP="008053E8">
      <w:pPr>
        <w:pStyle w:val="ListParagraph"/>
        <w:rPr>
          <w:szCs w:val="22"/>
        </w:rPr>
      </w:pPr>
    </w:p>
    <w:p w:rsidR="00885704" w:rsidRPr="00C974DD" w:rsidRDefault="00885704" w:rsidP="00885704">
      <w:pPr>
        <w:keepNext/>
        <w:keepLines/>
        <w:ind w:left="720"/>
        <w:jc w:val="left"/>
        <w:rPr>
          <w:rFonts w:ascii="Arial Narrow" w:eastAsiaTheme="minorHAnsi" w:hAnsi="Arial Narrow" w:cs="Times New Roman"/>
          <w:b/>
          <w:snapToGrid/>
          <w:sz w:val="20"/>
          <w:lang w:val="en-GB" w:eastAsia="en-GB"/>
        </w:rPr>
      </w:pPr>
      <w:r w:rsidRPr="00C974DD">
        <w:rPr>
          <w:rFonts w:ascii="Arial Narrow" w:eastAsiaTheme="minorHAnsi" w:hAnsi="Arial Narrow" w:cs="Times New Roman"/>
          <w:b/>
          <w:snapToGrid/>
          <w:sz w:val="20"/>
          <w:lang w:val="en-GB" w:eastAsia="en-GB"/>
        </w:rPr>
        <w:t>Summary of comparative benefits and harms for idelalisib and best supportive care</w:t>
      </w:r>
    </w:p>
    <w:tbl>
      <w:tblPr>
        <w:tblStyle w:val="Summarybox3"/>
        <w:tblW w:w="8395" w:type="dxa"/>
        <w:tblInd w:w="705" w:type="dxa"/>
        <w:tblLayout w:type="fixed"/>
        <w:tblCellMar>
          <w:left w:w="28" w:type="dxa"/>
          <w:right w:w="28" w:type="dxa"/>
        </w:tblCellMar>
        <w:tblLook w:val="04A0" w:firstRow="1" w:lastRow="0" w:firstColumn="1" w:lastColumn="0" w:noHBand="0" w:noVBand="1"/>
        <w:tblCaption w:val="Benefits/harms"/>
      </w:tblPr>
      <w:tblGrid>
        <w:gridCol w:w="1833"/>
        <w:gridCol w:w="1318"/>
        <w:gridCol w:w="870"/>
        <w:gridCol w:w="736"/>
        <w:gridCol w:w="1325"/>
        <w:gridCol w:w="1061"/>
        <w:gridCol w:w="1252"/>
      </w:tblGrid>
      <w:tr w:rsidR="00C974DD" w:rsidRPr="00C974DD" w:rsidTr="00791C8E">
        <w:tc>
          <w:tcPr>
            <w:tcW w:w="8395" w:type="dxa"/>
            <w:gridSpan w:val="7"/>
            <w:shd w:val="clear" w:color="auto" w:fill="auto"/>
            <w:vAlign w:val="center"/>
          </w:tcPr>
          <w:p w:rsidR="00885704" w:rsidRPr="00C974DD" w:rsidRDefault="00885704" w:rsidP="00791C8E">
            <w:pPr>
              <w:keepNext/>
              <w:keepLines/>
              <w:jc w:val="left"/>
              <w:rPr>
                <w:rFonts w:ascii="Arial Narrow" w:hAnsi="Arial Narrow" w:cs="Times New Roman"/>
                <w:b/>
                <w:snapToGrid/>
                <w:sz w:val="20"/>
                <w:szCs w:val="18"/>
                <w:lang w:eastAsia="en-AU"/>
              </w:rPr>
            </w:pPr>
            <w:r w:rsidRPr="00C974DD">
              <w:rPr>
                <w:rFonts w:ascii="Arial Narrow" w:hAnsi="Arial Narrow" w:cs="Times New Roman"/>
                <w:b/>
                <w:snapToGrid/>
                <w:sz w:val="20"/>
                <w:szCs w:val="18"/>
                <w:lang w:eastAsia="en-AU"/>
              </w:rPr>
              <w:t>Benefits</w:t>
            </w:r>
          </w:p>
        </w:tc>
      </w:tr>
      <w:tr w:rsidR="00C974DD" w:rsidRPr="00C974DD" w:rsidTr="00791C8E">
        <w:trPr>
          <w:trHeight w:val="288"/>
        </w:trPr>
        <w:tc>
          <w:tcPr>
            <w:tcW w:w="1833" w:type="dxa"/>
            <w:shd w:val="clear" w:color="auto" w:fill="auto"/>
            <w:vAlign w:val="center"/>
          </w:tcPr>
          <w:p w:rsidR="00885704" w:rsidRPr="00C974DD" w:rsidRDefault="00885704" w:rsidP="00791C8E">
            <w:pPr>
              <w:keepNext/>
              <w:keepLines/>
              <w:jc w:val="center"/>
              <w:rPr>
                <w:rFonts w:ascii="Arial Narrow" w:hAnsi="Arial Narrow" w:cs="Times New Roman"/>
                <w:snapToGrid/>
                <w:sz w:val="20"/>
                <w:szCs w:val="18"/>
                <w:lang w:eastAsia="en-AU"/>
              </w:rPr>
            </w:pPr>
          </w:p>
        </w:tc>
        <w:tc>
          <w:tcPr>
            <w:tcW w:w="2188" w:type="dxa"/>
            <w:gridSpan w:val="2"/>
            <w:vAlign w:val="center"/>
          </w:tcPr>
          <w:p w:rsidR="00885704" w:rsidRPr="00C974DD" w:rsidRDefault="00885704" w:rsidP="00791C8E">
            <w:pPr>
              <w:keepNext/>
              <w:keepLines/>
              <w:jc w:val="center"/>
              <w:rPr>
                <w:rFonts w:ascii="Arial Narrow" w:hAnsi="Arial Narrow" w:cs="Times New Roman"/>
                <w:b/>
                <w:snapToGrid/>
                <w:sz w:val="20"/>
                <w:szCs w:val="18"/>
                <w:lang w:eastAsia="en-AU"/>
              </w:rPr>
            </w:pPr>
            <w:r w:rsidRPr="00C974DD">
              <w:rPr>
                <w:rFonts w:ascii="Arial Narrow" w:hAnsi="Arial Narrow" w:cs="Times New Roman"/>
                <w:b/>
                <w:snapToGrid/>
                <w:sz w:val="20"/>
                <w:szCs w:val="18"/>
                <w:lang w:eastAsia="en-AU"/>
              </w:rPr>
              <w:t>Idelalisib</w:t>
            </w:r>
          </w:p>
        </w:tc>
        <w:tc>
          <w:tcPr>
            <w:tcW w:w="2061" w:type="dxa"/>
            <w:gridSpan w:val="2"/>
            <w:vAlign w:val="center"/>
          </w:tcPr>
          <w:p w:rsidR="00885704" w:rsidRPr="00C974DD" w:rsidRDefault="00885704" w:rsidP="00791C8E">
            <w:pPr>
              <w:keepNext/>
              <w:keepLines/>
              <w:jc w:val="center"/>
              <w:rPr>
                <w:rFonts w:ascii="Arial Narrow" w:hAnsi="Arial Narrow" w:cs="Times New Roman"/>
                <w:b/>
                <w:snapToGrid/>
                <w:sz w:val="20"/>
                <w:szCs w:val="18"/>
                <w:lang w:eastAsia="en-AU"/>
              </w:rPr>
            </w:pPr>
            <w:r w:rsidRPr="00C974DD">
              <w:rPr>
                <w:rFonts w:ascii="Arial Narrow" w:hAnsi="Arial Narrow" w:cs="Times New Roman"/>
                <w:b/>
                <w:snapToGrid/>
                <w:sz w:val="20"/>
                <w:szCs w:val="18"/>
                <w:lang w:eastAsia="en-AU"/>
              </w:rPr>
              <w:t>BSC</w:t>
            </w:r>
          </w:p>
        </w:tc>
        <w:tc>
          <w:tcPr>
            <w:tcW w:w="1061" w:type="dxa"/>
            <w:vAlign w:val="center"/>
          </w:tcPr>
          <w:p w:rsidR="00885704" w:rsidRPr="00C974DD" w:rsidRDefault="00885704" w:rsidP="00791C8E">
            <w:pPr>
              <w:keepNext/>
              <w:keepLines/>
              <w:jc w:val="center"/>
              <w:rPr>
                <w:rFonts w:ascii="Arial Narrow" w:hAnsi="Arial Narrow" w:cs="Times New Roman"/>
                <w:b/>
                <w:snapToGrid/>
                <w:sz w:val="20"/>
                <w:szCs w:val="18"/>
                <w:lang w:eastAsia="en-AU"/>
              </w:rPr>
            </w:pPr>
            <w:r w:rsidRPr="00C974DD">
              <w:rPr>
                <w:rFonts w:ascii="Arial Narrow" w:hAnsi="Arial Narrow" w:cs="Times New Roman"/>
                <w:b/>
                <w:snapToGrid/>
                <w:sz w:val="20"/>
                <w:szCs w:val="18"/>
                <w:lang w:eastAsia="en-AU"/>
              </w:rPr>
              <w:t>Absolute Difference</w:t>
            </w:r>
          </w:p>
        </w:tc>
        <w:tc>
          <w:tcPr>
            <w:tcW w:w="1252" w:type="dxa"/>
            <w:vAlign w:val="center"/>
          </w:tcPr>
          <w:p w:rsidR="00885704" w:rsidRPr="00C974DD" w:rsidRDefault="00885704" w:rsidP="00791C8E">
            <w:pPr>
              <w:keepNext/>
              <w:keepLines/>
              <w:jc w:val="center"/>
              <w:rPr>
                <w:rFonts w:ascii="Arial Narrow" w:hAnsi="Arial Narrow" w:cs="Times New Roman"/>
                <w:b/>
                <w:snapToGrid/>
                <w:sz w:val="20"/>
                <w:szCs w:val="18"/>
                <w:lang w:eastAsia="en-AU"/>
              </w:rPr>
            </w:pPr>
            <w:r w:rsidRPr="00C974DD">
              <w:rPr>
                <w:rFonts w:ascii="Arial Narrow" w:hAnsi="Arial Narrow" w:cs="Times New Roman"/>
                <w:b/>
                <w:snapToGrid/>
                <w:sz w:val="20"/>
                <w:szCs w:val="18"/>
                <w:lang w:eastAsia="en-AU"/>
              </w:rPr>
              <w:t>HR (95% CI)</w:t>
            </w:r>
          </w:p>
        </w:tc>
      </w:tr>
      <w:tr w:rsidR="00C974DD" w:rsidRPr="00C974DD" w:rsidTr="00791C8E">
        <w:tc>
          <w:tcPr>
            <w:tcW w:w="1833" w:type="dxa"/>
            <w:shd w:val="clear" w:color="auto" w:fill="auto"/>
            <w:vAlign w:val="center"/>
          </w:tcPr>
          <w:p w:rsidR="00885704" w:rsidRPr="00C974DD" w:rsidRDefault="00885704" w:rsidP="00791C8E">
            <w:pPr>
              <w:keepNext/>
              <w:keepLines/>
              <w:jc w:val="left"/>
              <w:rPr>
                <w:rFonts w:ascii="Arial Narrow" w:hAnsi="Arial Narrow" w:cs="Times New Roman"/>
                <w:snapToGrid/>
                <w:sz w:val="20"/>
                <w:szCs w:val="18"/>
                <w:lang w:eastAsia="en-AU"/>
              </w:rPr>
            </w:pPr>
            <w:r w:rsidRPr="00C974DD">
              <w:rPr>
                <w:rFonts w:ascii="Arial Narrow" w:hAnsi="Arial Narrow" w:cs="Times New Roman"/>
                <w:b/>
                <w:snapToGrid/>
                <w:sz w:val="20"/>
                <w:szCs w:val="18"/>
                <w:lang w:eastAsia="en-AU"/>
              </w:rPr>
              <w:t>PFS</w:t>
            </w:r>
          </w:p>
        </w:tc>
        <w:tc>
          <w:tcPr>
            <w:tcW w:w="2188" w:type="dxa"/>
            <w:gridSpan w:val="2"/>
          </w:tcPr>
          <w:p w:rsidR="00885704" w:rsidRPr="00C974DD" w:rsidRDefault="00885704" w:rsidP="00791C8E">
            <w:pPr>
              <w:keepNext/>
              <w:keepLines/>
              <w:jc w:val="center"/>
              <w:rPr>
                <w:rFonts w:ascii="Arial Narrow" w:hAnsi="Arial Narrow" w:cs="Times New Roman"/>
                <w:snapToGrid/>
                <w:sz w:val="20"/>
                <w:lang w:eastAsia="en-AU"/>
              </w:rPr>
            </w:pPr>
            <w:r w:rsidRPr="00C974DD">
              <w:rPr>
                <w:rFonts w:ascii="Arial Narrow" w:hAnsi="Arial Narrow" w:cs="Times New Roman"/>
                <w:snapToGrid/>
                <w:sz w:val="20"/>
                <w:lang w:eastAsia="en-AU"/>
              </w:rPr>
              <w:t>Study 101-09</w:t>
            </w:r>
          </w:p>
        </w:tc>
        <w:tc>
          <w:tcPr>
            <w:tcW w:w="2061" w:type="dxa"/>
            <w:gridSpan w:val="2"/>
          </w:tcPr>
          <w:p w:rsidR="00885704" w:rsidRPr="00C974DD" w:rsidRDefault="00885704" w:rsidP="00791C8E">
            <w:pPr>
              <w:keepNext/>
              <w:keepLines/>
              <w:jc w:val="center"/>
              <w:rPr>
                <w:rFonts w:ascii="Arial Narrow" w:hAnsi="Arial Narrow" w:cs="Times New Roman"/>
                <w:snapToGrid/>
                <w:sz w:val="20"/>
                <w:lang w:eastAsia="en-AU"/>
              </w:rPr>
            </w:pPr>
          </w:p>
        </w:tc>
        <w:tc>
          <w:tcPr>
            <w:tcW w:w="1061" w:type="dxa"/>
            <w:vAlign w:val="center"/>
          </w:tcPr>
          <w:p w:rsidR="00885704" w:rsidRPr="00C974DD" w:rsidRDefault="00885704" w:rsidP="00791C8E">
            <w:pPr>
              <w:keepNext/>
              <w:keepLines/>
              <w:jc w:val="center"/>
              <w:rPr>
                <w:rFonts w:ascii="Arial Narrow" w:hAnsi="Arial Narrow" w:cs="Times New Roman"/>
                <w:snapToGrid/>
                <w:sz w:val="20"/>
                <w:szCs w:val="18"/>
                <w:lang w:eastAsia="en-AU"/>
              </w:rPr>
            </w:pPr>
          </w:p>
        </w:tc>
        <w:tc>
          <w:tcPr>
            <w:tcW w:w="1252" w:type="dxa"/>
            <w:vAlign w:val="center"/>
          </w:tcPr>
          <w:p w:rsidR="00885704" w:rsidRPr="00C974DD" w:rsidRDefault="00885704" w:rsidP="00791C8E">
            <w:pPr>
              <w:keepNext/>
              <w:keepLines/>
              <w:jc w:val="center"/>
              <w:rPr>
                <w:rFonts w:ascii="Arial Narrow" w:hAnsi="Arial Narrow" w:cs="Times New Roman"/>
                <w:snapToGrid/>
                <w:sz w:val="20"/>
                <w:szCs w:val="18"/>
                <w:lang w:eastAsia="en-AU"/>
              </w:rPr>
            </w:pPr>
          </w:p>
        </w:tc>
      </w:tr>
      <w:tr w:rsidR="00C974DD" w:rsidRPr="00C974DD" w:rsidTr="00791C8E">
        <w:tc>
          <w:tcPr>
            <w:tcW w:w="1833" w:type="dxa"/>
            <w:shd w:val="clear" w:color="auto" w:fill="auto"/>
            <w:vAlign w:val="center"/>
          </w:tcPr>
          <w:p w:rsidR="00885704" w:rsidRPr="00C974DD" w:rsidRDefault="00885704" w:rsidP="00791C8E">
            <w:pPr>
              <w:keepNext/>
              <w:keepLines/>
              <w:jc w:val="left"/>
              <w:rPr>
                <w:rFonts w:ascii="Arial Narrow" w:hAnsi="Arial Narrow" w:cs="Times New Roman"/>
                <w:snapToGrid/>
                <w:sz w:val="20"/>
                <w:szCs w:val="18"/>
                <w:lang w:eastAsia="en-AU"/>
              </w:rPr>
            </w:pPr>
            <w:r w:rsidRPr="00C974DD">
              <w:rPr>
                <w:rFonts w:ascii="Arial Narrow" w:hAnsi="Arial Narrow" w:cs="Times New Roman"/>
                <w:snapToGrid/>
                <w:sz w:val="20"/>
                <w:szCs w:val="18"/>
                <w:lang w:eastAsia="en-AU"/>
              </w:rPr>
              <w:t>Median follow-up, months</w:t>
            </w:r>
          </w:p>
        </w:tc>
        <w:tc>
          <w:tcPr>
            <w:tcW w:w="2188" w:type="dxa"/>
            <w:gridSpan w:val="2"/>
            <w:vAlign w:val="center"/>
          </w:tcPr>
          <w:p w:rsidR="00885704" w:rsidRPr="00C974DD" w:rsidRDefault="00885704" w:rsidP="00791C8E">
            <w:pPr>
              <w:keepNext/>
              <w:keepLines/>
              <w:jc w:val="center"/>
              <w:rPr>
                <w:rFonts w:ascii="Arial Narrow" w:hAnsi="Arial Narrow" w:cs="Times New Roman"/>
                <w:snapToGrid/>
                <w:sz w:val="20"/>
                <w:lang w:eastAsia="en-AU"/>
              </w:rPr>
            </w:pPr>
            <w:r w:rsidRPr="00C974DD">
              <w:rPr>
                <w:rFonts w:ascii="Arial Narrow" w:hAnsi="Arial Narrow" w:cs="Times New Roman"/>
                <w:snapToGrid/>
                <w:sz w:val="20"/>
                <w:lang w:eastAsia="en-AU"/>
              </w:rPr>
              <w:t>9.7</w:t>
            </w:r>
          </w:p>
        </w:tc>
        <w:tc>
          <w:tcPr>
            <w:tcW w:w="2061" w:type="dxa"/>
            <w:gridSpan w:val="2"/>
            <w:vAlign w:val="center"/>
          </w:tcPr>
          <w:p w:rsidR="00885704" w:rsidRPr="00C974DD" w:rsidRDefault="00885704" w:rsidP="00791C8E">
            <w:pPr>
              <w:keepNext/>
              <w:keepLines/>
              <w:jc w:val="center"/>
              <w:rPr>
                <w:rFonts w:ascii="Arial Narrow" w:hAnsi="Arial Narrow" w:cs="Times New Roman"/>
                <w:i/>
                <w:snapToGrid/>
                <w:sz w:val="20"/>
                <w:lang w:eastAsia="en-AU"/>
              </w:rPr>
            </w:pPr>
            <w:r w:rsidRPr="00C974DD">
              <w:rPr>
                <w:rFonts w:ascii="Arial Narrow" w:hAnsi="Arial Narrow" w:cs="Times New Roman"/>
                <w:i/>
                <w:snapToGrid/>
                <w:sz w:val="20"/>
                <w:lang w:eastAsia="en-AU"/>
              </w:rPr>
              <w:t>No data</w:t>
            </w:r>
          </w:p>
        </w:tc>
        <w:tc>
          <w:tcPr>
            <w:tcW w:w="1061" w:type="dxa"/>
            <w:vAlign w:val="center"/>
          </w:tcPr>
          <w:p w:rsidR="00885704" w:rsidRPr="00C974DD" w:rsidRDefault="00885704" w:rsidP="00791C8E">
            <w:pPr>
              <w:keepNext/>
              <w:keepLines/>
              <w:jc w:val="center"/>
              <w:rPr>
                <w:rFonts w:ascii="Arial Narrow" w:hAnsi="Arial Narrow" w:cs="Times New Roman"/>
                <w:snapToGrid/>
                <w:sz w:val="20"/>
                <w:szCs w:val="18"/>
                <w:lang w:eastAsia="en-AU"/>
              </w:rPr>
            </w:pPr>
            <w:r w:rsidRPr="00C974DD">
              <w:rPr>
                <w:rFonts w:ascii="Arial Narrow" w:hAnsi="Arial Narrow" w:cs="Times New Roman"/>
                <w:snapToGrid/>
                <w:sz w:val="20"/>
                <w:szCs w:val="18"/>
                <w:lang w:eastAsia="en-AU"/>
              </w:rPr>
              <w:t>-</w:t>
            </w:r>
          </w:p>
        </w:tc>
        <w:tc>
          <w:tcPr>
            <w:tcW w:w="1252" w:type="dxa"/>
            <w:vAlign w:val="center"/>
          </w:tcPr>
          <w:p w:rsidR="00885704" w:rsidRPr="00C974DD" w:rsidRDefault="00885704" w:rsidP="00791C8E">
            <w:pPr>
              <w:keepNext/>
              <w:keepLines/>
              <w:jc w:val="center"/>
              <w:rPr>
                <w:rFonts w:ascii="Arial Narrow" w:hAnsi="Arial Narrow" w:cs="Times New Roman"/>
                <w:snapToGrid/>
                <w:sz w:val="20"/>
                <w:szCs w:val="18"/>
                <w:lang w:eastAsia="en-AU"/>
              </w:rPr>
            </w:pPr>
            <w:r w:rsidRPr="00C974DD">
              <w:rPr>
                <w:rFonts w:ascii="Arial Narrow" w:hAnsi="Arial Narrow" w:cs="Times New Roman"/>
                <w:snapToGrid/>
                <w:sz w:val="20"/>
                <w:szCs w:val="18"/>
                <w:lang w:eastAsia="en-AU"/>
              </w:rPr>
              <w:t>-</w:t>
            </w:r>
          </w:p>
        </w:tc>
      </w:tr>
      <w:tr w:rsidR="00C974DD" w:rsidRPr="00C974DD" w:rsidTr="00791C8E">
        <w:tc>
          <w:tcPr>
            <w:tcW w:w="1833" w:type="dxa"/>
            <w:shd w:val="clear" w:color="auto" w:fill="auto"/>
            <w:vAlign w:val="center"/>
          </w:tcPr>
          <w:p w:rsidR="00885704" w:rsidRPr="00C974DD" w:rsidRDefault="00885704" w:rsidP="00791C8E">
            <w:pPr>
              <w:keepNext/>
              <w:keepLines/>
              <w:jc w:val="left"/>
              <w:rPr>
                <w:rFonts w:ascii="Arial Narrow" w:hAnsi="Arial Narrow" w:cs="Times New Roman"/>
                <w:snapToGrid/>
                <w:sz w:val="20"/>
                <w:szCs w:val="18"/>
                <w:lang w:eastAsia="en-AU"/>
              </w:rPr>
            </w:pPr>
            <w:r w:rsidRPr="00C974DD">
              <w:rPr>
                <w:rFonts w:ascii="Arial Narrow" w:hAnsi="Arial Narrow" w:cs="Times New Roman"/>
                <w:snapToGrid/>
                <w:sz w:val="20"/>
                <w:szCs w:val="18"/>
                <w:lang w:eastAsia="en-AU"/>
              </w:rPr>
              <w:t>Progressed</w:t>
            </w:r>
          </w:p>
        </w:tc>
        <w:tc>
          <w:tcPr>
            <w:tcW w:w="2188" w:type="dxa"/>
            <w:gridSpan w:val="2"/>
            <w:vAlign w:val="center"/>
          </w:tcPr>
          <w:p w:rsidR="00885704" w:rsidRPr="00C974DD" w:rsidRDefault="00885704" w:rsidP="00791C8E">
            <w:pPr>
              <w:keepNext/>
              <w:keepLines/>
              <w:jc w:val="center"/>
              <w:rPr>
                <w:rFonts w:ascii="Arial Narrow" w:hAnsi="Arial Narrow" w:cs="Times New Roman"/>
                <w:snapToGrid/>
                <w:sz w:val="20"/>
                <w:lang w:eastAsia="en-AU"/>
              </w:rPr>
            </w:pPr>
            <w:r w:rsidRPr="00C974DD">
              <w:rPr>
                <w:rFonts w:ascii="Arial Narrow" w:hAnsi="Arial Narrow" w:cs="Times New Roman"/>
                <w:snapToGrid/>
                <w:sz w:val="20"/>
                <w:lang w:eastAsia="en-AU"/>
              </w:rPr>
              <w:t>57/125 (46%)</w:t>
            </w:r>
          </w:p>
        </w:tc>
        <w:tc>
          <w:tcPr>
            <w:tcW w:w="2061" w:type="dxa"/>
            <w:gridSpan w:val="2"/>
            <w:vAlign w:val="center"/>
          </w:tcPr>
          <w:p w:rsidR="00885704" w:rsidRPr="00C974DD" w:rsidRDefault="00885704" w:rsidP="00791C8E">
            <w:pPr>
              <w:keepNext/>
              <w:keepLines/>
              <w:jc w:val="center"/>
              <w:rPr>
                <w:rFonts w:ascii="Arial Narrow" w:hAnsi="Arial Narrow" w:cs="Times New Roman"/>
                <w:i/>
                <w:snapToGrid/>
                <w:sz w:val="20"/>
                <w:lang w:eastAsia="en-AU"/>
              </w:rPr>
            </w:pPr>
            <w:r w:rsidRPr="00C974DD">
              <w:rPr>
                <w:rFonts w:ascii="Arial Narrow" w:hAnsi="Arial Narrow" w:cs="Times New Roman"/>
                <w:i/>
                <w:snapToGrid/>
                <w:sz w:val="20"/>
                <w:lang w:eastAsia="en-AU"/>
              </w:rPr>
              <w:t>No data</w:t>
            </w:r>
          </w:p>
        </w:tc>
        <w:tc>
          <w:tcPr>
            <w:tcW w:w="1061" w:type="dxa"/>
            <w:vAlign w:val="center"/>
          </w:tcPr>
          <w:p w:rsidR="00885704" w:rsidRPr="00C974DD" w:rsidRDefault="00885704" w:rsidP="00791C8E">
            <w:pPr>
              <w:keepNext/>
              <w:keepLines/>
              <w:jc w:val="center"/>
              <w:rPr>
                <w:rFonts w:ascii="Arial Narrow" w:hAnsi="Arial Narrow" w:cs="Times New Roman"/>
                <w:snapToGrid/>
                <w:sz w:val="20"/>
                <w:szCs w:val="18"/>
                <w:lang w:eastAsia="en-AU"/>
              </w:rPr>
            </w:pPr>
            <w:r w:rsidRPr="00C974DD">
              <w:rPr>
                <w:rFonts w:ascii="Arial Narrow" w:hAnsi="Arial Narrow" w:cs="Times New Roman"/>
                <w:snapToGrid/>
                <w:sz w:val="20"/>
                <w:szCs w:val="18"/>
                <w:lang w:eastAsia="en-AU"/>
              </w:rPr>
              <w:t>-</w:t>
            </w:r>
          </w:p>
        </w:tc>
        <w:tc>
          <w:tcPr>
            <w:tcW w:w="1252" w:type="dxa"/>
            <w:vAlign w:val="center"/>
          </w:tcPr>
          <w:p w:rsidR="00885704" w:rsidRPr="00C974DD" w:rsidRDefault="00885704" w:rsidP="00791C8E">
            <w:pPr>
              <w:keepNext/>
              <w:keepLines/>
              <w:jc w:val="center"/>
              <w:rPr>
                <w:rFonts w:ascii="Arial Narrow" w:hAnsi="Arial Narrow" w:cs="Times New Roman"/>
                <w:snapToGrid/>
                <w:sz w:val="20"/>
                <w:szCs w:val="18"/>
                <w:lang w:eastAsia="en-AU"/>
              </w:rPr>
            </w:pPr>
            <w:r w:rsidRPr="00C974DD">
              <w:rPr>
                <w:rFonts w:ascii="Arial Narrow" w:hAnsi="Arial Narrow" w:cs="Times New Roman"/>
                <w:snapToGrid/>
                <w:sz w:val="20"/>
                <w:szCs w:val="18"/>
                <w:lang w:eastAsia="en-AU"/>
              </w:rPr>
              <w:t>-</w:t>
            </w:r>
          </w:p>
        </w:tc>
      </w:tr>
      <w:tr w:rsidR="00C974DD" w:rsidRPr="00C974DD" w:rsidTr="00791C8E">
        <w:tc>
          <w:tcPr>
            <w:tcW w:w="1833" w:type="dxa"/>
            <w:shd w:val="clear" w:color="auto" w:fill="auto"/>
            <w:vAlign w:val="center"/>
          </w:tcPr>
          <w:p w:rsidR="00885704" w:rsidRPr="00C974DD" w:rsidRDefault="00885704" w:rsidP="00791C8E">
            <w:pPr>
              <w:keepNext/>
              <w:keepLines/>
              <w:jc w:val="left"/>
              <w:rPr>
                <w:rFonts w:ascii="Arial Narrow" w:hAnsi="Arial Narrow" w:cs="Times New Roman"/>
                <w:snapToGrid/>
                <w:sz w:val="20"/>
                <w:szCs w:val="18"/>
                <w:lang w:eastAsia="en-AU"/>
              </w:rPr>
            </w:pPr>
            <w:r w:rsidRPr="00C974DD">
              <w:rPr>
                <w:rFonts w:ascii="Arial Narrow" w:hAnsi="Arial Narrow" w:cs="Times New Roman"/>
                <w:snapToGrid/>
                <w:sz w:val="20"/>
                <w:szCs w:val="18"/>
                <w:lang w:eastAsia="en-AU"/>
              </w:rPr>
              <w:t>Median (months)</w:t>
            </w:r>
          </w:p>
        </w:tc>
        <w:tc>
          <w:tcPr>
            <w:tcW w:w="2188" w:type="dxa"/>
            <w:gridSpan w:val="2"/>
            <w:vAlign w:val="center"/>
          </w:tcPr>
          <w:p w:rsidR="00885704" w:rsidRPr="00C974DD" w:rsidRDefault="00885704" w:rsidP="00791C8E">
            <w:pPr>
              <w:keepNext/>
              <w:keepLines/>
              <w:jc w:val="center"/>
              <w:rPr>
                <w:rFonts w:ascii="Arial Narrow" w:hAnsi="Arial Narrow" w:cs="Times New Roman"/>
                <w:snapToGrid/>
                <w:sz w:val="20"/>
                <w:lang w:eastAsia="en-AU"/>
              </w:rPr>
            </w:pPr>
            <w:r w:rsidRPr="00C974DD">
              <w:rPr>
                <w:rFonts w:ascii="Arial Narrow" w:hAnsi="Arial Narrow" w:cs="Times New Roman"/>
                <w:snapToGrid/>
                <w:sz w:val="20"/>
                <w:lang w:eastAsia="en-AU"/>
              </w:rPr>
              <w:t xml:space="preserve">11.0 </w:t>
            </w:r>
          </w:p>
          <w:p w:rsidR="00885704" w:rsidRPr="00C974DD" w:rsidRDefault="00885704" w:rsidP="00791C8E">
            <w:pPr>
              <w:keepNext/>
              <w:keepLines/>
              <w:jc w:val="center"/>
              <w:rPr>
                <w:rFonts w:ascii="Arial Narrow" w:hAnsi="Arial Narrow" w:cs="Times New Roman"/>
                <w:snapToGrid/>
                <w:sz w:val="20"/>
                <w:lang w:eastAsia="en-AU"/>
              </w:rPr>
            </w:pPr>
            <w:r w:rsidRPr="00C974DD">
              <w:rPr>
                <w:rFonts w:ascii="Arial Narrow" w:hAnsi="Arial Narrow" w:cs="Times New Roman"/>
                <w:snapToGrid/>
                <w:sz w:val="20"/>
                <w:lang w:eastAsia="en-AU"/>
              </w:rPr>
              <w:t>(8.1, 13.8)</w:t>
            </w:r>
          </w:p>
        </w:tc>
        <w:tc>
          <w:tcPr>
            <w:tcW w:w="2061" w:type="dxa"/>
            <w:gridSpan w:val="2"/>
            <w:vAlign w:val="center"/>
          </w:tcPr>
          <w:p w:rsidR="00885704" w:rsidRPr="00C974DD" w:rsidRDefault="00885704" w:rsidP="00791C8E">
            <w:pPr>
              <w:keepNext/>
              <w:keepLines/>
              <w:jc w:val="center"/>
              <w:rPr>
                <w:rFonts w:ascii="Arial Narrow" w:hAnsi="Arial Narrow" w:cs="Times New Roman"/>
                <w:i/>
                <w:snapToGrid/>
                <w:sz w:val="20"/>
                <w:lang w:eastAsia="en-AU"/>
              </w:rPr>
            </w:pPr>
            <w:r w:rsidRPr="00C974DD">
              <w:rPr>
                <w:rFonts w:ascii="Arial Narrow" w:hAnsi="Arial Narrow" w:cs="Times New Roman"/>
                <w:i/>
                <w:snapToGrid/>
                <w:sz w:val="20"/>
                <w:lang w:eastAsia="en-AU"/>
              </w:rPr>
              <w:t>No data</w:t>
            </w:r>
          </w:p>
        </w:tc>
        <w:tc>
          <w:tcPr>
            <w:tcW w:w="1061" w:type="dxa"/>
            <w:vAlign w:val="center"/>
          </w:tcPr>
          <w:p w:rsidR="00885704" w:rsidRPr="00C974DD" w:rsidRDefault="00885704" w:rsidP="00791C8E">
            <w:pPr>
              <w:keepNext/>
              <w:keepLines/>
              <w:jc w:val="center"/>
              <w:rPr>
                <w:rFonts w:ascii="Arial Narrow" w:hAnsi="Arial Narrow" w:cs="Times New Roman"/>
                <w:i/>
                <w:snapToGrid/>
                <w:sz w:val="20"/>
                <w:szCs w:val="18"/>
                <w:lang w:eastAsia="en-AU"/>
              </w:rPr>
            </w:pPr>
            <w:r w:rsidRPr="00C974DD">
              <w:rPr>
                <w:rFonts w:ascii="Arial Narrow" w:hAnsi="Arial Narrow" w:cs="Times New Roman"/>
                <w:i/>
                <w:snapToGrid/>
                <w:sz w:val="20"/>
                <w:szCs w:val="18"/>
                <w:lang w:eastAsia="en-AU"/>
              </w:rPr>
              <w:t>-</w:t>
            </w:r>
          </w:p>
        </w:tc>
        <w:tc>
          <w:tcPr>
            <w:tcW w:w="1252" w:type="dxa"/>
            <w:vAlign w:val="center"/>
          </w:tcPr>
          <w:p w:rsidR="00885704" w:rsidRPr="00C974DD" w:rsidRDefault="00885704" w:rsidP="00791C8E">
            <w:pPr>
              <w:keepNext/>
              <w:keepLines/>
              <w:jc w:val="center"/>
              <w:rPr>
                <w:rFonts w:ascii="Arial Narrow" w:hAnsi="Arial Narrow" w:cs="Times New Roman"/>
                <w:snapToGrid/>
                <w:sz w:val="20"/>
                <w:szCs w:val="18"/>
                <w:lang w:eastAsia="en-AU"/>
              </w:rPr>
            </w:pPr>
            <w:r w:rsidRPr="00C974DD">
              <w:rPr>
                <w:rFonts w:ascii="Arial Narrow" w:hAnsi="Arial Narrow" w:cs="Times New Roman"/>
                <w:snapToGrid/>
                <w:sz w:val="20"/>
                <w:szCs w:val="18"/>
                <w:lang w:eastAsia="en-AU"/>
              </w:rPr>
              <w:t>-</w:t>
            </w:r>
          </w:p>
        </w:tc>
      </w:tr>
      <w:tr w:rsidR="00C974DD" w:rsidRPr="00C974DD" w:rsidTr="00791C8E">
        <w:tc>
          <w:tcPr>
            <w:tcW w:w="1833" w:type="dxa"/>
            <w:shd w:val="clear" w:color="auto" w:fill="auto"/>
            <w:vAlign w:val="center"/>
          </w:tcPr>
          <w:p w:rsidR="00885704" w:rsidRPr="00C974DD" w:rsidRDefault="00885704" w:rsidP="00791C8E">
            <w:pPr>
              <w:keepNext/>
              <w:keepLines/>
              <w:jc w:val="left"/>
              <w:rPr>
                <w:rFonts w:ascii="Arial Narrow" w:hAnsi="Arial Narrow" w:cs="Times New Roman"/>
                <w:b/>
                <w:snapToGrid/>
                <w:sz w:val="20"/>
                <w:szCs w:val="18"/>
                <w:lang w:eastAsia="en-AU"/>
              </w:rPr>
            </w:pPr>
            <w:r w:rsidRPr="00C974DD">
              <w:rPr>
                <w:rFonts w:ascii="Arial Narrow" w:hAnsi="Arial Narrow" w:cs="Times New Roman"/>
                <w:b/>
                <w:snapToGrid/>
                <w:sz w:val="20"/>
                <w:szCs w:val="18"/>
                <w:lang w:eastAsia="en-AU"/>
              </w:rPr>
              <w:t>Overall survival</w:t>
            </w:r>
          </w:p>
        </w:tc>
        <w:tc>
          <w:tcPr>
            <w:tcW w:w="2188" w:type="dxa"/>
            <w:gridSpan w:val="2"/>
            <w:vAlign w:val="center"/>
          </w:tcPr>
          <w:p w:rsidR="00885704" w:rsidRPr="00C974DD" w:rsidRDefault="00885704" w:rsidP="00791C8E">
            <w:pPr>
              <w:keepNext/>
              <w:keepLines/>
              <w:jc w:val="center"/>
              <w:rPr>
                <w:rFonts w:ascii="Arial Narrow" w:hAnsi="Arial Narrow" w:cs="Times New Roman"/>
                <w:snapToGrid/>
                <w:sz w:val="20"/>
                <w:lang w:eastAsia="en-AU"/>
              </w:rPr>
            </w:pPr>
          </w:p>
        </w:tc>
        <w:tc>
          <w:tcPr>
            <w:tcW w:w="2061" w:type="dxa"/>
            <w:gridSpan w:val="2"/>
            <w:vAlign w:val="center"/>
          </w:tcPr>
          <w:p w:rsidR="00885704" w:rsidRPr="00C974DD" w:rsidRDefault="00885704" w:rsidP="00791C8E">
            <w:pPr>
              <w:keepNext/>
              <w:keepLines/>
              <w:jc w:val="center"/>
              <w:rPr>
                <w:rFonts w:ascii="Arial Narrow" w:hAnsi="Arial Narrow" w:cs="Times New Roman"/>
                <w:i/>
                <w:snapToGrid/>
                <w:sz w:val="20"/>
                <w:lang w:eastAsia="en-AU"/>
              </w:rPr>
            </w:pPr>
          </w:p>
        </w:tc>
        <w:tc>
          <w:tcPr>
            <w:tcW w:w="1061" w:type="dxa"/>
            <w:vAlign w:val="center"/>
          </w:tcPr>
          <w:p w:rsidR="00885704" w:rsidRPr="00C974DD" w:rsidRDefault="00885704" w:rsidP="00791C8E">
            <w:pPr>
              <w:keepNext/>
              <w:keepLines/>
              <w:jc w:val="center"/>
              <w:rPr>
                <w:rFonts w:ascii="Arial Narrow" w:hAnsi="Arial Narrow" w:cs="Times New Roman"/>
                <w:i/>
                <w:snapToGrid/>
                <w:sz w:val="20"/>
                <w:szCs w:val="18"/>
                <w:lang w:eastAsia="en-AU"/>
              </w:rPr>
            </w:pPr>
          </w:p>
        </w:tc>
        <w:tc>
          <w:tcPr>
            <w:tcW w:w="1252" w:type="dxa"/>
            <w:vAlign w:val="center"/>
          </w:tcPr>
          <w:p w:rsidR="00885704" w:rsidRPr="00C974DD" w:rsidRDefault="00885704" w:rsidP="00791C8E">
            <w:pPr>
              <w:keepNext/>
              <w:keepLines/>
              <w:jc w:val="center"/>
              <w:rPr>
                <w:rFonts w:ascii="Arial Narrow" w:hAnsi="Arial Narrow" w:cs="Times New Roman"/>
                <w:snapToGrid/>
                <w:sz w:val="20"/>
                <w:szCs w:val="18"/>
                <w:lang w:eastAsia="en-AU"/>
              </w:rPr>
            </w:pPr>
          </w:p>
        </w:tc>
      </w:tr>
      <w:tr w:rsidR="00C974DD" w:rsidRPr="00C974DD" w:rsidTr="00791C8E">
        <w:tc>
          <w:tcPr>
            <w:tcW w:w="1833" w:type="dxa"/>
            <w:shd w:val="clear" w:color="auto" w:fill="auto"/>
            <w:vAlign w:val="center"/>
          </w:tcPr>
          <w:p w:rsidR="00885704" w:rsidRPr="00C974DD" w:rsidRDefault="00885704" w:rsidP="00791C8E">
            <w:pPr>
              <w:keepNext/>
              <w:keepLines/>
              <w:jc w:val="left"/>
              <w:rPr>
                <w:rFonts w:ascii="Arial Narrow" w:hAnsi="Arial Narrow" w:cs="Times New Roman"/>
                <w:snapToGrid/>
                <w:sz w:val="20"/>
                <w:szCs w:val="18"/>
                <w:lang w:eastAsia="en-AU"/>
              </w:rPr>
            </w:pPr>
            <w:r w:rsidRPr="00C974DD">
              <w:rPr>
                <w:rFonts w:ascii="Arial Narrow" w:hAnsi="Arial Narrow" w:cs="Times New Roman"/>
                <w:snapToGrid/>
                <w:sz w:val="20"/>
                <w:szCs w:val="18"/>
                <w:lang w:eastAsia="en-AU"/>
              </w:rPr>
              <w:t>Died</w:t>
            </w:r>
          </w:p>
        </w:tc>
        <w:tc>
          <w:tcPr>
            <w:tcW w:w="2188" w:type="dxa"/>
            <w:gridSpan w:val="2"/>
            <w:vAlign w:val="center"/>
          </w:tcPr>
          <w:p w:rsidR="00885704" w:rsidRPr="00C974DD" w:rsidRDefault="00885704" w:rsidP="00791C8E">
            <w:pPr>
              <w:keepNext/>
              <w:keepLines/>
              <w:jc w:val="center"/>
              <w:rPr>
                <w:rFonts w:ascii="Arial Narrow" w:hAnsi="Arial Narrow" w:cs="Times New Roman"/>
                <w:snapToGrid/>
                <w:sz w:val="20"/>
                <w:lang w:eastAsia="en-AU"/>
              </w:rPr>
            </w:pPr>
            <w:r w:rsidRPr="00C974DD">
              <w:rPr>
                <w:rFonts w:ascii="Arial Narrow" w:hAnsi="Arial Narrow" w:cs="Times New Roman"/>
                <w:snapToGrid/>
                <w:sz w:val="20"/>
                <w:lang w:eastAsia="en-AU"/>
              </w:rPr>
              <w:t>28/125 (22%)</w:t>
            </w:r>
            <w:r w:rsidRPr="00C974DD">
              <w:rPr>
                <w:rFonts w:ascii="Arial Narrow" w:hAnsi="Arial Narrow" w:cs="Times New Roman"/>
                <w:snapToGrid/>
                <w:sz w:val="20"/>
                <w:vertAlign w:val="superscript"/>
                <w:lang w:eastAsia="en-AU"/>
              </w:rPr>
              <w:t xml:space="preserve"> </w:t>
            </w:r>
          </w:p>
        </w:tc>
        <w:tc>
          <w:tcPr>
            <w:tcW w:w="2061" w:type="dxa"/>
            <w:gridSpan w:val="2"/>
            <w:vAlign w:val="center"/>
          </w:tcPr>
          <w:p w:rsidR="00885704" w:rsidRPr="00C974DD" w:rsidRDefault="00885704" w:rsidP="00791C8E">
            <w:pPr>
              <w:keepNext/>
              <w:keepLines/>
              <w:jc w:val="center"/>
              <w:rPr>
                <w:rFonts w:ascii="Arial Narrow" w:hAnsi="Arial Narrow" w:cs="Times New Roman"/>
                <w:i/>
                <w:snapToGrid/>
                <w:sz w:val="20"/>
                <w:lang w:eastAsia="en-AU"/>
              </w:rPr>
            </w:pPr>
            <w:r w:rsidRPr="00C974DD">
              <w:rPr>
                <w:rFonts w:ascii="Arial Narrow" w:hAnsi="Arial Narrow" w:cs="Times New Roman"/>
                <w:i/>
                <w:snapToGrid/>
                <w:sz w:val="20"/>
                <w:lang w:eastAsia="en-AU"/>
              </w:rPr>
              <w:t>No data</w:t>
            </w:r>
          </w:p>
        </w:tc>
        <w:tc>
          <w:tcPr>
            <w:tcW w:w="1061" w:type="dxa"/>
            <w:vAlign w:val="center"/>
          </w:tcPr>
          <w:p w:rsidR="00885704" w:rsidRPr="00C974DD" w:rsidRDefault="00885704" w:rsidP="00791C8E">
            <w:pPr>
              <w:keepNext/>
              <w:keepLines/>
              <w:jc w:val="center"/>
              <w:rPr>
                <w:rFonts w:ascii="Arial Narrow" w:hAnsi="Arial Narrow" w:cs="Times New Roman"/>
                <w:i/>
                <w:snapToGrid/>
                <w:sz w:val="20"/>
                <w:szCs w:val="18"/>
                <w:lang w:eastAsia="en-AU"/>
              </w:rPr>
            </w:pPr>
            <w:r w:rsidRPr="00C974DD">
              <w:rPr>
                <w:rFonts w:ascii="Arial Narrow" w:hAnsi="Arial Narrow" w:cs="Times New Roman"/>
                <w:i/>
                <w:snapToGrid/>
                <w:sz w:val="20"/>
                <w:szCs w:val="18"/>
                <w:lang w:eastAsia="en-AU"/>
              </w:rPr>
              <w:t>-</w:t>
            </w:r>
          </w:p>
        </w:tc>
        <w:tc>
          <w:tcPr>
            <w:tcW w:w="1252" w:type="dxa"/>
            <w:vAlign w:val="center"/>
          </w:tcPr>
          <w:p w:rsidR="00885704" w:rsidRPr="00C974DD" w:rsidRDefault="00885704" w:rsidP="00791C8E">
            <w:pPr>
              <w:keepNext/>
              <w:keepLines/>
              <w:jc w:val="center"/>
              <w:rPr>
                <w:rFonts w:ascii="Arial Narrow" w:hAnsi="Arial Narrow" w:cs="Times New Roman"/>
                <w:snapToGrid/>
                <w:sz w:val="20"/>
                <w:szCs w:val="18"/>
                <w:lang w:eastAsia="en-AU"/>
              </w:rPr>
            </w:pPr>
            <w:r w:rsidRPr="00C974DD">
              <w:rPr>
                <w:rFonts w:ascii="Arial Narrow" w:hAnsi="Arial Narrow" w:cs="Times New Roman"/>
                <w:snapToGrid/>
                <w:sz w:val="20"/>
                <w:szCs w:val="18"/>
                <w:lang w:eastAsia="en-AU"/>
              </w:rPr>
              <w:t>-</w:t>
            </w:r>
          </w:p>
        </w:tc>
      </w:tr>
      <w:tr w:rsidR="00C974DD" w:rsidRPr="00C974DD" w:rsidTr="00791C8E">
        <w:tc>
          <w:tcPr>
            <w:tcW w:w="1833" w:type="dxa"/>
            <w:shd w:val="clear" w:color="auto" w:fill="auto"/>
            <w:vAlign w:val="center"/>
          </w:tcPr>
          <w:p w:rsidR="00885704" w:rsidRPr="00C974DD" w:rsidRDefault="00885704" w:rsidP="00791C8E">
            <w:pPr>
              <w:keepNext/>
              <w:keepLines/>
              <w:jc w:val="left"/>
              <w:rPr>
                <w:rFonts w:ascii="Arial Narrow" w:hAnsi="Arial Narrow" w:cs="Times New Roman"/>
                <w:snapToGrid/>
                <w:sz w:val="20"/>
                <w:szCs w:val="18"/>
                <w:lang w:eastAsia="en-AU"/>
              </w:rPr>
            </w:pPr>
            <w:r w:rsidRPr="00C974DD">
              <w:rPr>
                <w:rFonts w:ascii="Arial Narrow" w:hAnsi="Arial Narrow" w:cs="Times New Roman"/>
                <w:snapToGrid/>
                <w:sz w:val="20"/>
                <w:szCs w:val="18"/>
                <w:lang w:eastAsia="en-AU"/>
              </w:rPr>
              <w:t>Median (months)</w:t>
            </w:r>
          </w:p>
        </w:tc>
        <w:tc>
          <w:tcPr>
            <w:tcW w:w="2188" w:type="dxa"/>
            <w:gridSpan w:val="2"/>
            <w:vAlign w:val="center"/>
          </w:tcPr>
          <w:p w:rsidR="00885704" w:rsidRPr="00C974DD" w:rsidRDefault="00885704" w:rsidP="00791C8E">
            <w:pPr>
              <w:keepNext/>
              <w:keepLines/>
              <w:jc w:val="center"/>
              <w:rPr>
                <w:rFonts w:ascii="Arial Narrow" w:hAnsi="Arial Narrow" w:cs="Times New Roman"/>
                <w:snapToGrid/>
                <w:sz w:val="20"/>
                <w:lang w:eastAsia="en-AU"/>
              </w:rPr>
            </w:pPr>
            <w:r w:rsidRPr="00C974DD">
              <w:rPr>
                <w:rFonts w:ascii="Arial Narrow" w:hAnsi="Arial Narrow" w:cs="Times New Roman"/>
                <w:snapToGrid/>
                <w:sz w:val="20"/>
                <w:lang w:eastAsia="en-AU"/>
              </w:rPr>
              <w:t xml:space="preserve">20.3 </w:t>
            </w:r>
          </w:p>
          <w:p w:rsidR="00885704" w:rsidRPr="00C974DD" w:rsidRDefault="00885704" w:rsidP="00791C8E">
            <w:pPr>
              <w:keepNext/>
              <w:keepLines/>
              <w:jc w:val="center"/>
              <w:rPr>
                <w:rFonts w:ascii="Arial Narrow" w:hAnsi="Arial Narrow" w:cs="Times New Roman"/>
                <w:snapToGrid/>
                <w:sz w:val="20"/>
                <w:lang w:eastAsia="en-AU"/>
              </w:rPr>
            </w:pPr>
            <w:r w:rsidRPr="00C974DD">
              <w:rPr>
                <w:rFonts w:ascii="Arial Narrow" w:hAnsi="Arial Narrow" w:cs="Times New Roman"/>
                <w:snapToGrid/>
                <w:sz w:val="20"/>
                <w:lang w:eastAsia="en-AU"/>
              </w:rPr>
              <w:t>(16.4, NR)</w:t>
            </w:r>
          </w:p>
        </w:tc>
        <w:tc>
          <w:tcPr>
            <w:tcW w:w="2061" w:type="dxa"/>
            <w:gridSpan w:val="2"/>
            <w:vAlign w:val="center"/>
          </w:tcPr>
          <w:p w:rsidR="00885704" w:rsidRPr="00C974DD" w:rsidRDefault="00885704" w:rsidP="00791C8E">
            <w:pPr>
              <w:keepNext/>
              <w:keepLines/>
              <w:jc w:val="center"/>
              <w:rPr>
                <w:rFonts w:ascii="Arial Narrow" w:hAnsi="Arial Narrow" w:cs="Times New Roman"/>
                <w:i/>
                <w:snapToGrid/>
                <w:sz w:val="20"/>
                <w:lang w:eastAsia="en-AU"/>
              </w:rPr>
            </w:pPr>
            <w:r w:rsidRPr="00C974DD">
              <w:rPr>
                <w:rFonts w:ascii="Arial Narrow" w:hAnsi="Arial Narrow" w:cs="Times New Roman"/>
                <w:i/>
                <w:snapToGrid/>
                <w:sz w:val="20"/>
                <w:lang w:eastAsia="en-AU"/>
              </w:rPr>
              <w:t>No data</w:t>
            </w:r>
          </w:p>
        </w:tc>
        <w:tc>
          <w:tcPr>
            <w:tcW w:w="1061" w:type="dxa"/>
            <w:vAlign w:val="center"/>
          </w:tcPr>
          <w:p w:rsidR="00885704" w:rsidRPr="00C974DD" w:rsidRDefault="00885704" w:rsidP="00791C8E">
            <w:pPr>
              <w:keepNext/>
              <w:keepLines/>
              <w:jc w:val="center"/>
              <w:rPr>
                <w:rFonts w:ascii="Arial Narrow" w:hAnsi="Arial Narrow" w:cs="Times New Roman"/>
                <w:i/>
                <w:snapToGrid/>
                <w:sz w:val="20"/>
                <w:szCs w:val="18"/>
                <w:lang w:eastAsia="en-AU"/>
              </w:rPr>
            </w:pPr>
            <w:r w:rsidRPr="00C974DD">
              <w:rPr>
                <w:rFonts w:ascii="Arial Narrow" w:hAnsi="Arial Narrow" w:cs="Times New Roman"/>
                <w:i/>
                <w:snapToGrid/>
                <w:sz w:val="20"/>
                <w:szCs w:val="18"/>
                <w:lang w:eastAsia="en-AU"/>
              </w:rPr>
              <w:t>-</w:t>
            </w:r>
          </w:p>
        </w:tc>
        <w:tc>
          <w:tcPr>
            <w:tcW w:w="1252" w:type="dxa"/>
            <w:vAlign w:val="center"/>
          </w:tcPr>
          <w:p w:rsidR="00885704" w:rsidRPr="00C974DD" w:rsidRDefault="00885704" w:rsidP="00791C8E">
            <w:pPr>
              <w:keepNext/>
              <w:keepLines/>
              <w:jc w:val="center"/>
              <w:rPr>
                <w:rFonts w:ascii="Arial Narrow" w:hAnsi="Arial Narrow" w:cs="Times New Roman"/>
                <w:snapToGrid/>
                <w:sz w:val="20"/>
                <w:szCs w:val="18"/>
                <w:lang w:eastAsia="en-AU"/>
              </w:rPr>
            </w:pPr>
            <w:r w:rsidRPr="00C974DD">
              <w:rPr>
                <w:rFonts w:ascii="Arial Narrow" w:hAnsi="Arial Narrow" w:cs="Times New Roman"/>
                <w:snapToGrid/>
                <w:sz w:val="20"/>
                <w:szCs w:val="18"/>
                <w:lang w:eastAsia="en-AU"/>
              </w:rPr>
              <w:t>-</w:t>
            </w:r>
          </w:p>
        </w:tc>
      </w:tr>
      <w:tr w:rsidR="00C974DD" w:rsidRPr="00C974DD" w:rsidTr="00791C8E">
        <w:tc>
          <w:tcPr>
            <w:tcW w:w="8395" w:type="dxa"/>
            <w:gridSpan w:val="7"/>
            <w:tcBorders>
              <w:top w:val="double" w:sz="4" w:space="0" w:color="auto"/>
            </w:tcBorders>
            <w:shd w:val="clear" w:color="auto" w:fill="auto"/>
            <w:vAlign w:val="center"/>
          </w:tcPr>
          <w:p w:rsidR="00885704" w:rsidRPr="00C974DD" w:rsidRDefault="00885704" w:rsidP="00791C8E">
            <w:pPr>
              <w:keepNext/>
              <w:keepLines/>
              <w:jc w:val="left"/>
              <w:rPr>
                <w:rFonts w:ascii="Arial Narrow" w:hAnsi="Arial Narrow" w:cs="Times New Roman"/>
                <w:b/>
                <w:snapToGrid/>
                <w:sz w:val="20"/>
                <w:szCs w:val="18"/>
                <w:lang w:eastAsia="en-AU"/>
              </w:rPr>
            </w:pPr>
            <w:r w:rsidRPr="00C974DD">
              <w:rPr>
                <w:rFonts w:ascii="Arial Narrow" w:hAnsi="Arial Narrow" w:cs="Times New Roman"/>
                <w:b/>
                <w:snapToGrid/>
                <w:sz w:val="20"/>
                <w:szCs w:val="18"/>
                <w:lang w:eastAsia="en-AU"/>
              </w:rPr>
              <w:t xml:space="preserve">Harms </w:t>
            </w:r>
          </w:p>
        </w:tc>
      </w:tr>
      <w:tr w:rsidR="00C974DD" w:rsidRPr="00C974DD" w:rsidTr="00791C8E">
        <w:trPr>
          <w:trHeight w:val="20"/>
        </w:trPr>
        <w:tc>
          <w:tcPr>
            <w:tcW w:w="1833" w:type="dxa"/>
            <w:vMerge w:val="restart"/>
            <w:shd w:val="clear" w:color="auto" w:fill="auto"/>
            <w:vAlign w:val="center"/>
          </w:tcPr>
          <w:p w:rsidR="00885704" w:rsidRPr="00C974DD" w:rsidRDefault="00885704" w:rsidP="00791C8E">
            <w:pPr>
              <w:keepNext/>
              <w:keepLines/>
              <w:jc w:val="left"/>
              <w:rPr>
                <w:rFonts w:ascii="Arial Narrow" w:hAnsi="Arial Narrow" w:cs="Times New Roman"/>
                <w:b/>
                <w:snapToGrid/>
                <w:sz w:val="20"/>
                <w:szCs w:val="18"/>
                <w:lang w:eastAsia="en-AU"/>
              </w:rPr>
            </w:pPr>
          </w:p>
        </w:tc>
        <w:tc>
          <w:tcPr>
            <w:tcW w:w="1318" w:type="dxa"/>
            <w:vMerge w:val="restart"/>
            <w:vAlign w:val="center"/>
          </w:tcPr>
          <w:p w:rsidR="00885704" w:rsidRPr="00C974DD" w:rsidRDefault="00885704" w:rsidP="00791C8E">
            <w:pPr>
              <w:keepNext/>
              <w:keepLines/>
              <w:jc w:val="center"/>
              <w:rPr>
                <w:rFonts w:ascii="Arial Narrow" w:hAnsi="Arial Narrow" w:cs="Times New Roman"/>
                <w:b/>
                <w:snapToGrid/>
                <w:sz w:val="20"/>
                <w:szCs w:val="18"/>
                <w:lang w:eastAsia="en-AU"/>
              </w:rPr>
            </w:pPr>
            <w:r w:rsidRPr="00C974DD">
              <w:rPr>
                <w:rFonts w:ascii="Arial Narrow" w:hAnsi="Arial Narrow" w:cs="Times New Roman"/>
                <w:b/>
                <w:snapToGrid/>
                <w:sz w:val="20"/>
                <w:szCs w:val="18"/>
                <w:lang w:eastAsia="en-AU"/>
              </w:rPr>
              <w:t>Idelalisib</w:t>
            </w:r>
          </w:p>
        </w:tc>
        <w:tc>
          <w:tcPr>
            <w:tcW w:w="870" w:type="dxa"/>
            <w:vMerge w:val="restart"/>
            <w:vAlign w:val="center"/>
          </w:tcPr>
          <w:p w:rsidR="00885704" w:rsidRPr="00C974DD" w:rsidRDefault="00885704" w:rsidP="00791C8E">
            <w:pPr>
              <w:keepNext/>
              <w:keepLines/>
              <w:jc w:val="center"/>
              <w:rPr>
                <w:rFonts w:ascii="Arial Narrow" w:hAnsi="Arial Narrow" w:cs="Times New Roman"/>
                <w:b/>
                <w:snapToGrid/>
                <w:sz w:val="20"/>
                <w:szCs w:val="18"/>
                <w:lang w:eastAsia="en-AU"/>
              </w:rPr>
            </w:pPr>
            <w:r w:rsidRPr="00C974DD">
              <w:rPr>
                <w:rFonts w:ascii="Arial Narrow" w:hAnsi="Arial Narrow" w:cs="Times New Roman"/>
                <w:b/>
                <w:snapToGrid/>
                <w:sz w:val="20"/>
                <w:szCs w:val="18"/>
                <w:lang w:eastAsia="en-AU"/>
              </w:rPr>
              <w:t>BSC</w:t>
            </w:r>
          </w:p>
        </w:tc>
        <w:tc>
          <w:tcPr>
            <w:tcW w:w="736" w:type="dxa"/>
            <w:vMerge w:val="restart"/>
            <w:vAlign w:val="center"/>
          </w:tcPr>
          <w:p w:rsidR="00885704" w:rsidRPr="00C974DD" w:rsidRDefault="00885704" w:rsidP="00791C8E">
            <w:pPr>
              <w:keepNext/>
              <w:keepLines/>
              <w:jc w:val="center"/>
              <w:rPr>
                <w:rFonts w:ascii="Arial Narrow" w:hAnsi="Arial Narrow" w:cs="Times New Roman"/>
                <w:b/>
                <w:snapToGrid/>
                <w:sz w:val="20"/>
                <w:szCs w:val="18"/>
                <w:lang w:eastAsia="en-AU"/>
              </w:rPr>
            </w:pPr>
            <w:r w:rsidRPr="00C974DD">
              <w:rPr>
                <w:rFonts w:ascii="Arial Narrow" w:hAnsi="Arial Narrow" w:cs="Times New Roman"/>
                <w:b/>
                <w:snapToGrid/>
                <w:sz w:val="20"/>
                <w:szCs w:val="18"/>
                <w:lang w:eastAsia="en-AU"/>
              </w:rPr>
              <w:t>RR</w:t>
            </w:r>
          </w:p>
          <w:p w:rsidR="00885704" w:rsidRPr="00C974DD" w:rsidRDefault="00885704" w:rsidP="00791C8E">
            <w:pPr>
              <w:keepNext/>
              <w:keepLines/>
              <w:jc w:val="center"/>
              <w:rPr>
                <w:rFonts w:ascii="Arial Narrow" w:hAnsi="Arial Narrow" w:cs="Times New Roman"/>
                <w:b/>
                <w:snapToGrid/>
                <w:sz w:val="20"/>
                <w:szCs w:val="18"/>
                <w:lang w:eastAsia="en-AU"/>
              </w:rPr>
            </w:pPr>
            <w:r w:rsidRPr="00C974DD">
              <w:rPr>
                <w:rFonts w:ascii="Arial Narrow" w:hAnsi="Arial Narrow" w:cs="Times New Roman"/>
                <w:b/>
                <w:snapToGrid/>
                <w:sz w:val="20"/>
                <w:szCs w:val="18"/>
                <w:lang w:eastAsia="en-AU"/>
              </w:rPr>
              <w:t>(95% CI)</w:t>
            </w:r>
          </w:p>
        </w:tc>
        <w:tc>
          <w:tcPr>
            <w:tcW w:w="2386" w:type="dxa"/>
            <w:gridSpan w:val="2"/>
            <w:vAlign w:val="center"/>
          </w:tcPr>
          <w:p w:rsidR="00885704" w:rsidRPr="00C974DD" w:rsidRDefault="00885704" w:rsidP="00791C8E">
            <w:pPr>
              <w:keepNext/>
              <w:keepLines/>
              <w:jc w:val="center"/>
              <w:rPr>
                <w:rFonts w:ascii="Arial Narrow" w:hAnsi="Arial Narrow" w:cs="Times New Roman"/>
                <w:b/>
                <w:snapToGrid/>
                <w:sz w:val="20"/>
                <w:szCs w:val="18"/>
                <w:lang w:eastAsia="en-AU"/>
              </w:rPr>
            </w:pPr>
            <w:r w:rsidRPr="00C974DD">
              <w:rPr>
                <w:rFonts w:ascii="Arial Narrow" w:hAnsi="Arial Narrow" w:cs="Times New Roman"/>
                <w:b/>
                <w:snapToGrid/>
                <w:sz w:val="20"/>
                <w:szCs w:val="18"/>
                <w:lang w:eastAsia="en-AU"/>
              </w:rPr>
              <w:t xml:space="preserve">Event rate/100 patients* </w:t>
            </w:r>
          </w:p>
        </w:tc>
        <w:tc>
          <w:tcPr>
            <w:tcW w:w="1252" w:type="dxa"/>
            <w:vMerge w:val="restart"/>
            <w:vAlign w:val="center"/>
          </w:tcPr>
          <w:p w:rsidR="00885704" w:rsidRPr="00C974DD" w:rsidRDefault="00885704" w:rsidP="00791C8E">
            <w:pPr>
              <w:keepNext/>
              <w:keepLines/>
              <w:jc w:val="center"/>
              <w:rPr>
                <w:rFonts w:ascii="Arial Narrow" w:hAnsi="Arial Narrow" w:cs="Times New Roman"/>
                <w:b/>
                <w:snapToGrid/>
                <w:sz w:val="20"/>
                <w:szCs w:val="18"/>
                <w:lang w:eastAsia="en-AU"/>
              </w:rPr>
            </w:pPr>
            <w:r w:rsidRPr="00C974DD">
              <w:rPr>
                <w:rFonts w:ascii="Arial Narrow" w:hAnsi="Arial Narrow" w:cs="Times New Roman"/>
                <w:b/>
                <w:snapToGrid/>
                <w:sz w:val="20"/>
                <w:szCs w:val="18"/>
                <w:lang w:eastAsia="en-AU"/>
              </w:rPr>
              <w:t>RD</w:t>
            </w:r>
          </w:p>
          <w:p w:rsidR="00885704" w:rsidRPr="00C974DD" w:rsidRDefault="00885704" w:rsidP="00791C8E">
            <w:pPr>
              <w:keepNext/>
              <w:keepLines/>
              <w:jc w:val="center"/>
              <w:rPr>
                <w:rFonts w:ascii="Arial Narrow" w:hAnsi="Arial Narrow" w:cs="Times New Roman"/>
                <w:b/>
                <w:snapToGrid/>
                <w:sz w:val="20"/>
                <w:szCs w:val="18"/>
                <w:lang w:eastAsia="en-AU"/>
              </w:rPr>
            </w:pPr>
            <w:r w:rsidRPr="00C974DD">
              <w:rPr>
                <w:rFonts w:ascii="Arial Narrow" w:hAnsi="Arial Narrow" w:cs="Times New Roman"/>
                <w:b/>
                <w:snapToGrid/>
                <w:sz w:val="20"/>
                <w:szCs w:val="18"/>
                <w:lang w:eastAsia="en-AU"/>
              </w:rPr>
              <w:t>(95% CI)</w:t>
            </w:r>
          </w:p>
        </w:tc>
      </w:tr>
      <w:tr w:rsidR="00C974DD" w:rsidRPr="00C974DD" w:rsidTr="00791C8E">
        <w:trPr>
          <w:trHeight w:val="20"/>
        </w:trPr>
        <w:tc>
          <w:tcPr>
            <w:tcW w:w="1833" w:type="dxa"/>
            <w:vMerge/>
            <w:shd w:val="clear" w:color="auto" w:fill="auto"/>
            <w:vAlign w:val="center"/>
          </w:tcPr>
          <w:p w:rsidR="00885704" w:rsidRPr="00C974DD" w:rsidRDefault="00885704" w:rsidP="00791C8E">
            <w:pPr>
              <w:keepNext/>
              <w:keepLines/>
              <w:jc w:val="left"/>
              <w:rPr>
                <w:rFonts w:ascii="Arial Narrow" w:hAnsi="Arial Narrow" w:cs="Times New Roman"/>
                <w:b/>
                <w:snapToGrid/>
                <w:sz w:val="20"/>
                <w:szCs w:val="18"/>
                <w:lang w:eastAsia="en-AU"/>
              </w:rPr>
            </w:pPr>
          </w:p>
        </w:tc>
        <w:tc>
          <w:tcPr>
            <w:tcW w:w="1318" w:type="dxa"/>
            <w:vMerge/>
            <w:vAlign w:val="center"/>
          </w:tcPr>
          <w:p w:rsidR="00885704" w:rsidRPr="00C974DD" w:rsidRDefault="00885704" w:rsidP="00791C8E">
            <w:pPr>
              <w:keepNext/>
              <w:keepLines/>
              <w:jc w:val="center"/>
              <w:rPr>
                <w:rFonts w:ascii="Arial Narrow" w:hAnsi="Arial Narrow" w:cs="Times New Roman"/>
                <w:b/>
                <w:snapToGrid/>
                <w:sz w:val="20"/>
                <w:szCs w:val="18"/>
                <w:lang w:eastAsia="en-AU"/>
              </w:rPr>
            </w:pPr>
          </w:p>
        </w:tc>
        <w:tc>
          <w:tcPr>
            <w:tcW w:w="870" w:type="dxa"/>
            <w:vMerge/>
            <w:vAlign w:val="center"/>
          </w:tcPr>
          <w:p w:rsidR="00885704" w:rsidRPr="00C974DD" w:rsidRDefault="00885704" w:rsidP="00791C8E">
            <w:pPr>
              <w:keepNext/>
              <w:keepLines/>
              <w:jc w:val="center"/>
              <w:rPr>
                <w:rFonts w:ascii="Arial Narrow" w:hAnsi="Arial Narrow" w:cs="Times New Roman"/>
                <w:b/>
                <w:snapToGrid/>
                <w:sz w:val="20"/>
                <w:szCs w:val="18"/>
                <w:lang w:eastAsia="en-AU"/>
              </w:rPr>
            </w:pPr>
          </w:p>
        </w:tc>
        <w:tc>
          <w:tcPr>
            <w:tcW w:w="736" w:type="dxa"/>
            <w:vMerge/>
            <w:vAlign w:val="center"/>
          </w:tcPr>
          <w:p w:rsidR="00885704" w:rsidRPr="00C974DD" w:rsidRDefault="00885704" w:rsidP="00791C8E">
            <w:pPr>
              <w:keepNext/>
              <w:keepLines/>
              <w:jc w:val="center"/>
              <w:rPr>
                <w:rFonts w:ascii="Arial Narrow" w:hAnsi="Arial Narrow" w:cs="Times New Roman"/>
                <w:b/>
                <w:snapToGrid/>
                <w:sz w:val="20"/>
                <w:szCs w:val="18"/>
                <w:lang w:eastAsia="en-AU"/>
              </w:rPr>
            </w:pPr>
          </w:p>
        </w:tc>
        <w:tc>
          <w:tcPr>
            <w:tcW w:w="1325" w:type="dxa"/>
            <w:vAlign w:val="center"/>
          </w:tcPr>
          <w:p w:rsidR="00885704" w:rsidRPr="00C974DD" w:rsidRDefault="00885704" w:rsidP="00791C8E">
            <w:pPr>
              <w:keepNext/>
              <w:keepLines/>
              <w:jc w:val="center"/>
              <w:rPr>
                <w:rFonts w:ascii="Arial Narrow" w:hAnsi="Arial Narrow" w:cs="Times New Roman"/>
                <w:b/>
                <w:snapToGrid/>
                <w:sz w:val="20"/>
                <w:szCs w:val="18"/>
                <w:lang w:eastAsia="en-AU"/>
              </w:rPr>
            </w:pPr>
            <w:r w:rsidRPr="00C974DD">
              <w:rPr>
                <w:rFonts w:ascii="Arial Narrow" w:hAnsi="Arial Narrow" w:cs="Times New Roman"/>
                <w:b/>
                <w:snapToGrid/>
                <w:sz w:val="20"/>
                <w:szCs w:val="18"/>
                <w:lang w:eastAsia="en-AU"/>
              </w:rPr>
              <w:t>Idelalisib</w:t>
            </w:r>
          </w:p>
        </w:tc>
        <w:tc>
          <w:tcPr>
            <w:tcW w:w="1061" w:type="dxa"/>
            <w:vAlign w:val="center"/>
          </w:tcPr>
          <w:p w:rsidR="00885704" w:rsidRPr="00C974DD" w:rsidRDefault="00885704" w:rsidP="00791C8E">
            <w:pPr>
              <w:keepNext/>
              <w:keepLines/>
              <w:jc w:val="center"/>
              <w:rPr>
                <w:rFonts w:ascii="Arial Narrow" w:hAnsi="Arial Narrow" w:cs="Times New Roman"/>
                <w:b/>
                <w:snapToGrid/>
                <w:sz w:val="20"/>
                <w:szCs w:val="18"/>
                <w:lang w:eastAsia="en-AU"/>
              </w:rPr>
            </w:pPr>
            <w:r w:rsidRPr="00C974DD">
              <w:rPr>
                <w:rFonts w:ascii="Arial Narrow" w:hAnsi="Arial Narrow" w:cs="Times New Roman"/>
                <w:b/>
                <w:snapToGrid/>
                <w:sz w:val="20"/>
                <w:szCs w:val="18"/>
                <w:lang w:eastAsia="en-AU"/>
              </w:rPr>
              <w:t>BSC</w:t>
            </w:r>
          </w:p>
        </w:tc>
        <w:tc>
          <w:tcPr>
            <w:tcW w:w="1252" w:type="dxa"/>
            <w:vMerge/>
            <w:vAlign w:val="center"/>
          </w:tcPr>
          <w:p w:rsidR="00885704" w:rsidRPr="00C974DD" w:rsidRDefault="00885704" w:rsidP="00791C8E">
            <w:pPr>
              <w:keepNext/>
              <w:keepLines/>
              <w:jc w:val="center"/>
              <w:rPr>
                <w:rFonts w:ascii="Arial Narrow" w:hAnsi="Arial Narrow" w:cs="Times New Roman"/>
                <w:b/>
                <w:snapToGrid/>
                <w:sz w:val="20"/>
                <w:szCs w:val="18"/>
                <w:lang w:eastAsia="en-AU"/>
              </w:rPr>
            </w:pPr>
          </w:p>
        </w:tc>
      </w:tr>
      <w:tr w:rsidR="00C974DD" w:rsidRPr="00C974DD" w:rsidTr="00791C8E">
        <w:tc>
          <w:tcPr>
            <w:tcW w:w="8395" w:type="dxa"/>
            <w:gridSpan w:val="7"/>
            <w:shd w:val="clear" w:color="auto" w:fill="auto"/>
            <w:vAlign w:val="center"/>
          </w:tcPr>
          <w:p w:rsidR="00885704" w:rsidRPr="00C974DD" w:rsidRDefault="00885704" w:rsidP="00791C8E">
            <w:pPr>
              <w:keepNext/>
              <w:keepLines/>
              <w:jc w:val="left"/>
              <w:rPr>
                <w:rFonts w:ascii="Arial Narrow" w:hAnsi="Arial Narrow" w:cs="Times New Roman"/>
                <w:snapToGrid/>
                <w:sz w:val="20"/>
                <w:szCs w:val="18"/>
                <w:lang w:eastAsia="en-AU"/>
              </w:rPr>
            </w:pPr>
            <w:r w:rsidRPr="00C974DD">
              <w:rPr>
                <w:rFonts w:ascii="Arial Narrow" w:hAnsi="Arial Narrow" w:cs="Times New Roman"/>
                <w:b/>
                <w:snapToGrid/>
                <w:sz w:val="20"/>
                <w:szCs w:val="18"/>
                <w:lang w:eastAsia="en-AU"/>
              </w:rPr>
              <w:t xml:space="preserve">Adverse event </w:t>
            </w:r>
          </w:p>
        </w:tc>
      </w:tr>
      <w:tr w:rsidR="00C974DD" w:rsidRPr="00C974DD" w:rsidTr="00791C8E">
        <w:tc>
          <w:tcPr>
            <w:tcW w:w="1833" w:type="dxa"/>
            <w:shd w:val="clear" w:color="auto" w:fill="auto"/>
            <w:vAlign w:val="center"/>
          </w:tcPr>
          <w:p w:rsidR="00885704" w:rsidRPr="00C974DD" w:rsidRDefault="00885704" w:rsidP="00791C8E">
            <w:pPr>
              <w:keepNext/>
              <w:keepLines/>
              <w:jc w:val="left"/>
              <w:rPr>
                <w:rFonts w:ascii="Arial Narrow" w:hAnsi="Arial Narrow" w:cs="Times New Roman"/>
                <w:snapToGrid/>
                <w:sz w:val="20"/>
                <w:szCs w:val="18"/>
                <w:lang w:eastAsia="en-AU"/>
              </w:rPr>
            </w:pPr>
            <w:r w:rsidRPr="00C974DD">
              <w:rPr>
                <w:rFonts w:ascii="Arial Narrow" w:hAnsi="Arial Narrow" w:cs="Times New Roman"/>
                <w:snapToGrid/>
                <w:sz w:val="20"/>
                <w:szCs w:val="18"/>
                <w:lang w:eastAsia="en-AU"/>
              </w:rPr>
              <w:t>Death due to AE</w:t>
            </w:r>
          </w:p>
        </w:tc>
        <w:tc>
          <w:tcPr>
            <w:tcW w:w="1318" w:type="dxa"/>
            <w:vAlign w:val="center"/>
          </w:tcPr>
          <w:p w:rsidR="00885704" w:rsidRPr="00C974DD" w:rsidRDefault="00885704" w:rsidP="00791C8E">
            <w:pPr>
              <w:keepNext/>
              <w:keepLines/>
              <w:jc w:val="center"/>
              <w:rPr>
                <w:rFonts w:ascii="Arial Narrow" w:hAnsi="Arial Narrow" w:cs="Times New Roman"/>
                <w:snapToGrid/>
                <w:sz w:val="20"/>
                <w:szCs w:val="18"/>
                <w:lang w:eastAsia="en-AU"/>
              </w:rPr>
            </w:pPr>
            <w:r w:rsidRPr="00C974DD">
              <w:rPr>
                <w:rFonts w:ascii="Arial Narrow" w:hAnsi="Arial Narrow" w:cs="Times New Roman"/>
                <w:snapToGrid/>
                <w:sz w:val="20"/>
                <w:szCs w:val="18"/>
                <w:lang w:eastAsia="en-AU"/>
              </w:rPr>
              <w:t>10/125</w:t>
            </w:r>
          </w:p>
        </w:tc>
        <w:tc>
          <w:tcPr>
            <w:tcW w:w="870" w:type="dxa"/>
            <w:vAlign w:val="center"/>
          </w:tcPr>
          <w:p w:rsidR="00885704" w:rsidRPr="00C974DD" w:rsidRDefault="00885704" w:rsidP="00791C8E">
            <w:pPr>
              <w:keepNext/>
              <w:keepLines/>
              <w:jc w:val="center"/>
              <w:rPr>
                <w:rFonts w:ascii="Arial Narrow" w:hAnsi="Arial Narrow" w:cs="Times New Roman"/>
                <w:snapToGrid/>
                <w:sz w:val="20"/>
                <w:szCs w:val="18"/>
                <w:lang w:eastAsia="en-AU"/>
              </w:rPr>
            </w:pPr>
            <w:r w:rsidRPr="00C974DD">
              <w:rPr>
                <w:rFonts w:ascii="Arial Narrow" w:hAnsi="Arial Narrow" w:cs="Times New Roman"/>
                <w:i/>
                <w:snapToGrid/>
                <w:sz w:val="20"/>
                <w:lang w:eastAsia="en-AU"/>
              </w:rPr>
              <w:t>No data</w:t>
            </w:r>
          </w:p>
        </w:tc>
        <w:tc>
          <w:tcPr>
            <w:tcW w:w="736" w:type="dxa"/>
            <w:vAlign w:val="center"/>
          </w:tcPr>
          <w:p w:rsidR="00885704" w:rsidRPr="00C974DD" w:rsidRDefault="00885704" w:rsidP="00791C8E">
            <w:pPr>
              <w:keepNext/>
              <w:keepLines/>
              <w:jc w:val="center"/>
              <w:rPr>
                <w:rFonts w:ascii="Arial Narrow" w:hAnsi="Arial Narrow" w:cs="Times New Roman"/>
                <w:i/>
                <w:snapToGrid/>
                <w:sz w:val="20"/>
                <w:szCs w:val="18"/>
                <w:lang w:eastAsia="en-AU"/>
              </w:rPr>
            </w:pPr>
            <w:r w:rsidRPr="00C974DD">
              <w:rPr>
                <w:rFonts w:ascii="Arial Narrow" w:hAnsi="Arial Narrow" w:cs="Times New Roman"/>
                <w:i/>
                <w:snapToGrid/>
                <w:sz w:val="20"/>
                <w:szCs w:val="18"/>
                <w:lang w:eastAsia="en-AU"/>
              </w:rPr>
              <w:t>-</w:t>
            </w:r>
          </w:p>
        </w:tc>
        <w:tc>
          <w:tcPr>
            <w:tcW w:w="1325" w:type="dxa"/>
            <w:vAlign w:val="center"/>
          </w:tcPr>
          <w:p w:rsidR="00885704" w:rsidRPr="00C974DD" w:rsidRDefault="00885704" w:rsidP="00791C8E">
            <w:pPr>
              <w:keepNext/>
              <w:keepLines/>
              <w:jc w:val="center"/>
              <w:rPr>
                <w:rFonts w:ascii="Arial Narrow" w:hAnsi="Arial Narrow" w:cs="Times New Roman"/>
                <w:snapToGrid/>
                <w:sz w:val="20"/>
                <w:szCs w:val="18"/>
                <w:lang w:eastAsia="en-AU"/>
              </w:rPr>
            </w:pPr>
            <w:r w:rsidRPr="00C974DD">
              <w:rPr>
                <w:rFonts w:ascii="Arial Narrow" w:hAnsi="Arial Narrow" w:cs="Times New Roman"/>
                <w:snapToGrid/>
                <w:sz w:val="20"/>
                <w:szCs w:val="18"/>
                <w:lang w:eastAsia="en-AU"/>
              </w:rPr>
              <w:t>8</w:t>
            </w:r>
          </w:p>
        </w:tc>
        <w:tc>
          <w:tcPr>
            <w:tcW w:w="1061" w:type="dxa"/>
            <w:vAlign w:val="center"/>
          </w:tcPr>
          <w:p w:rsidR="00885704" w:rsidRPr="00C974DD" w:rsidRDefault="00885704" w:rsidP="00791C8E">
            <w:pPr>
              <w:keepNext/>
              <w:keepLines/>
              <w:jc w:val="center"/>
              <w:rPr>
                <w:rFonts w:ascii="Arial Narrow" w:hAnsi="Arial Narrow" w:cs="Times New Roman"/>
                <w:snapToGrid/>
                <w:sz w:val="20"/>
                <w:szCs w:val="18"/>
                <w:lang w:eastAsia="en-AU"/>
              </w:rPr>
            </w:pPr>
            <w:r w:rsidRPr="00C974DD">
              <w:rPr>
                <w:rFonts w:ascii="Arial Narrow" w:hAnsi="Arial Narrow" w:cs="Times New Roman"/>
                <w:snapToGrid/>
                <w:sz w:val="20"/>
                <w:szCs w:val="18"/>
                <w:lang w:eastAsia="en-AU"/>
              </w:rPr>
              <w:t>-</w:t>
            </w:r>
          </w:p>
        </w:tc>
        <w:tc>
          <w:tcPr>
            <w:tcW w:w="1252" w:type="dxa"/>
            <w:vAlign w:val="center"/>
          </w:tcPr>
          <w:p w:rsidR="00885704" w:rsidRPr="00C974DD" w:rsidRDefault="00885704" w:rsidP="00791C8E">
            <w:pPr>
              <w:keepNext/>
              <w:keepLines/>
              <w:jc w:val="center"/>
              <w:rPr>
                <w:rFonts w:ascii="Arial Narrow" w:hAnsi="Arial Narrow" w:cs="Times New Roman"/>
                <w:i/>
                <w:snapToGrid/>
                <w:sz w:val="20"/>
                <w:szCs w:val="18"/>
                <w:lang w:eastAsia="en-AU"/>
              </w:rPr>
            </w:pPr>
            <w:r w:rsidRPr="00C974DD">
              <w:rPr>
                <w:rFonts w:ascii="Arial Narrow" w:hAnsi="Arial Narrow" w:cs="Times New Roman"/>
                <w:i/>
                <w:snapToGrid/>
                <w:sz w:val="20"/>
                <w:szCs w:val="18"/>
                <w:lang w:eastAsia="en-AU"/>
              </w:rPr>
              <w:t>-</w:t>
            </w:r>
          </w:p>
        </w:tc>
      </w:tr>
      <w:tr w:rsidR="00C974DD" w:rsidRPr="00C974DD" w:rsidTr="00791C8E">
        <w:tc>
          <w:tcPr>
            <w:tcW w:w="1833" w:type="dxa"/>
            <w:shd w:val="clear" w:color="auto" w:fill="auto"/>
            <w:vAlign w:val="center"/>
          </w:tcPr>
          <w:p w:rsidR="00885704" w:rsidRPr="00C974DD" w:rsidRDefault="00885704" w:rsidP="00791C8E">
            <w:pPr>
              <w:keepNext/>
              <w:keepLines/>
              <w:jc w:val="left"/>
              <w:rPr>
                <w:rFonts w:ascii="Arial Narrow" w:hAnsi="Arial Narrow" w:cs="Times New Roman"/>
                <w:i/>
                <w:snapToGrid/>
                <w:sz w:val="20"/>
                <w:szCs w:val="18"/>
                <w:lang w:eastAsia="en-AU"/>
              </w:rPr>
            </w:pPr>
            <w:r w:rsidRPr="00C974DD">
              <w:rPr>
                <w:rFonts w:ascii="Arial Narrow" w:hAnsi="Arial Narrow" w:cs="Times New Roman"/>
                <w:i/>
                <w:snapToGrid/>
                <w:sz w:val="20"/>
                <w:szCs w:val="18"/>
                <w:lang w:eastAsia="en-AU"/>
              </w:rPr>
              <w:t>Death probably due to idelalisib</w:t>
            </w:r>
          </w:p>
        </w:tc>
        <w:tc>
          <w:tcPr>
            <w:tcW w:w="1318" w:type="dxa"/>
            <w:vAlign w:val="center"/>
          </w:tcPr>
          <w:p w:rsidR="00885704" w:rsidRPr="00C974DD" w:rsidRDefault="00885704" w:rsidP="00791C8E">
            <w:pPr>
              <w:keepNext/>
              <w:keepLines/>
              <w:jc w:val="center"/>
              <w:rPr>
                <w:rFonts w:ascii="Arial Narrow" w:hAnsi="Arial Narrow" w:cs="Times New Roman"/>
                <w:i/>
                <w:snapToGrid/>
                <w:sz w:val="20"/>
                <w:szCs w:val="18"/>
                <w:lang w:eastAsia="en-AU"/>
              </w:rPr>
            </w:pPr>
            <w:r w:rsidRPr="00C974DD">
              <w:rPr>
                <w:rFonts w:ascii="Arial Narrow" w:hAnsi="Arial Narrow" w:cs="Times New Roman"/>
                <w:i/>
                <w:snapToGrid/>
                <w:sz w:val="20"/>
                <w:szCs w:val="18"/>
                <w:lang w:eastAsia="en-AU"/>
              </w:rPr>
              <w:t>4/125</w:t>
            </w:r>
          </w:p>
        </w:tc>
        <w:tc>
          <w:tcPr>
            <w:tcW w:w="870" w:type="dxa"/>
            <w:vAlign w:val="center"/>
          </w:tcPr>
          <w:p w:rsidR="00885704" w:rsidRPr="00C974DD" w:rsidRDefault="00885704" w:rsidP="00791C8E">
            <w:pPr>
              <w:keepNext/>
              <w:keepLines/>
              <w:jc w:val="center"/>
              <w:rPr>
                <w:rFonts w:ascii="Arial Narrow" w:hAnsi="Arial Narrow" w:cs="Times New Roman"/>
                <w:i/>
                <w:snapToGrid/>
                <w:sz w:val="20"/>
                <w:szCs w:val="18"/>
                <w:lang w:eastAsia="en-AU"/>
              </w:rPr>
            </w:pPr>
            <w:r w:rsidRPr="00C974DD">
              <w:rPr>
                <w:rFonts w:ascii="Arial Narrow" w:hAnsi="Arial Narrow" w:cs="Times New Roman"/>
                <w:i/>
                <w:snapToGrid/>
                <w:sz w:val="20"/>
                <w:lang w:eastAsia="en-AU"/>
              </w:rPr>
              <w:t>No data</w:t>
            </w:r>
          </w:p>
        </w:tc>
        <w:tc>
          <w:tcPr>
            <w:tcW w:w="736" w:type="dxa"/>
            <w:vAlign w:val="center"/>
          </w:tcPr>
          <w:p w:rsidR="00885704" w:rsidRPr="00C974DD" w:rsidRDefault="00885704" w:rsidP="00791C8E">
            <w:pPr>
              <w:keepNext/>
              <w:keepLines/>
              <w:jc w:val="center"/>
              <w:rPr>
                <w:rFonts w:ascii="Arial Narrow" w:hAnsi="Arial Narrow" w:cs="Times New Roman"/>
                <w:b/>
                <w:i/>
                <w:snapToGrid/>
                <w:sz w:val="20"/>
                <w:szCs w:val="18"/>
                <w:lang w:eastAsia="en-AU"/>
              </w:rPr>
            </w:pPr>
            <w:r w:rsidRPr="00C974DD">
              <w:rPr>
                <w:rFonts w:ascii="Arial Narrow" w:hAnsi="Arial Narrow" w:cs="Times New Roman"/>
                <w:b/>
                <w:i/>
                <w:snapToGrid/>
                <w:sz w:val="20"/>
                <w:szCs w:val="18"/>
                <w:lang w:eastAsia="en-AU"/>
              </w:rPr>
              <w:t>-</w:t>
            </w:r>
          </w:p>
        </w:tc>
        <w:tc>
          <w:tcPr>
            <w:tcW w:w="1325" w:type="dxa"/>
            <w:vAlign w:val="center"/>
          </w:tcPr>
          <w:p w:rsidR="00885704" w:rsidRPr="00C974DD" w:rsidRDefault="00885704" w:rsidP="00791C8E">
            <w:pPr>
              <w:keepNext/>
              <w:keepLines/>
              <w:jc w:val="center"/>
              <w:rPr>
                <w:rFonts w:ascii="Arial Narrow" w:hAnsi="Arial Narrow" w:cs="Times New Roman"/>
                <w:i/>
                <w:snapToGrid/>
                <w:sz w:val="20"/>
                <w:szCs w:val="18"/>
                <w:lang w:eastAsia="en-AU"/>
              </w:rPr>
            </w:pPr>
            <w:r w:rsidRPr="00C974DD">
              <w:rPr>
                <w:rFonts w:ascii="Arial Narrow" w:hAnsi="Arial Narrow" w:cs="Times New Roman"/>
                <w:i/>
                <w:snapToGrid/>
                <w:sz w:val="20"/>
                <w:szCs w:val="18"/>
                <w:lang w:eastAsia="en-AU"/>
              </w:rPr>
              <w:t>3</w:t>
            </w:r>
          </w:p>
        </w:tc>
        <w:tc>
          <w:tcPr>
            <w:tcW w:w="1061" w:type="dxa"/>
            <w:vAlign w:val="center"/>
          </w:tcPr>
          <w:p w:rsidR="00885704" w:rsidRPr="00C974DD" w:rsidRDefault="00885704" w:rsidP="00791C8E">
            <w:pPr>
              <w:keepNext/>
              <w:keepLines/>
              <w:jc w:val="center"/>
              <w:rPr>
                <w:rFonts w:ascii="Arial Narrow" w:hAnsi="Arial Narrow" w:cs="Times New Roman"/>
                <w:snapToGrid/>
                <w:sz w:val="20"/>
                <w:szCs w:val="18"/>
                <w:lang w:eastAsia="en-AU"/>
              </w:rPr>
            </w:pPr>
            <w:r w:rsidRPr="00C974DD">
              <w:rPr>
                <w:rFonts w:ascii="Arial Narrow" w:hAnsi="Arial Narrow" w:cs="Times New Roman"/>
                <w:snapToGrid/>
                <w:sz w:val="20"/>
                <w:szCs w:val="18"/>
                <w:lang w:eastAsia="en-AU"/>
              </w:rPr>
              <w:t>-</w:t>
            </w:r>
          </w:p>
        </w:tc>
        <w:tc>
          <w:tcPr>
            <w:tcW w:w="1252" w:type="dxa"/>
            <w:vAlign w:val="center"/>
          </w:tcPr>
          <w:p w:rsidR="00885704" w:rsidRPr="00C974DD" w:rsidRDefault="00885704" w:rsidP="00791C8E">
            <w:pPr>
              <w:keepNext/>
              <w:keepLines/>
              <w:jc w:val="center"/>
              <w:rPr>
                <w:rFonts w:ascii="Arial Narrow" w:hAnsi="Arial Narrow" w:cs="Times New Roman"/>
                <w:b/>
                <w:i/>
                <w:snapToGrid/>
                <w:sz w:val="20"/>
                <w:szCs w:val="18"/>
                <w:lang w:eastAsia="en-AU"/>
              </w:rPr>
            </w:pPr>
            <w:r w:rsidRPr="00C974DD">
              <w:rPr>
                <w:rFonts w:ascii="Arial Narrow" w:hAnsi="Arial Narrow" w:cs="Times New Roman"/>
                <w:b/>
                <w:i/>
                <w:snapToGrid/>
                <w:sz w:val="20"/>
                <w:szCs w:val="18"/>
                <w:lang w:eastAsia="en-AU"/>
              </w:rPr>
              <w:t>-</w:t>
            </w:r>
          </w:p>
        </w:tc>
      </w:tr>
      <w:tr w:rsidR="00C974DD" w:rsidRPr="00C974DD" w:rsidTr="00791C8E">
        <w:tc>
          <w:tcPr>
            <w:tcW w:w="1833" w:type="dxa"/>
            <w:shd w:val="clear" w:color="auto" w:fill="auto"/>
            <w:vAlign w:val="center"/>
          </w:tcPr>
          <w:p w:rsidR="00885704" w:rsidRPr="00C974DD" w:rsidRDefault="00885704" w:rsidP="00791C8E">
            <w:pPr>
              <w:keepNext/>
              <w:keepLines/>
              <w:jc w:val="left"/>
              <w:rPr>
                <w:rFonts w:ascii="Arial Narrow" w:hAnsi="Arial Narrow" w:cs="Times New Roman"/>
                <w:snapToGrid/>
                <w:sz w:val="20"/>
                <w:szCs w:val="18"/>
                <w:lang w:eastAsia="en-AU"/>
              </w:rPr>
            </w:pPr>
            <w:r w:rsidRPr="00C974DD">
              <w:rPr>
                <w:rFonts w:ascii="Arial Narrow" w:hAnsi="Arial Narrow" w:cs="Times New Roman"/>
                <w:snapToGrid/>
                <w:sz w:val="20"/>
                <w:szCs w:val="18"/>
                <w:lang w:eastAsia="en-AU"/>
              </w:rPr>
              <w:t>Any grade ¾</w:t>
            </w:r>
          </w:p>
        </w:tc>
        <w:tc>
          <w:tcPr>
            <w:tcW w:w="1318" w:type="dxa"/>
            <w:vAlign w:val="center"/>
          </w:tcPr>
          <w:p w:rsidR="00885704" w:rsidRPr="00C974DD" w:rsidRDefault="00885704" w:rsidP="00791C8E">
            <w:pPr>
              <w:keepNext/>
              <w:keepLines/>
              <w:jc w:val="center"/>
              <w:rPr>
                <w:rFonts w:ascii="Arial Narrow" w:hAnsi="Arial Narrow" w:cs="Times New Roman"/>
                <w:snapToGrid/>
                <w:sz w:val="20"/>
                <w:szCs w:val="18"/>
                <w:lang w:eastAsia="en-AU"/>
              </w:rPr>
            </w:pPr>
            <w:r w:rsidRPr="00C974DD">
              <w:rPr>
                <w:rFonts w:ascii="Arial Narrow" w:hAnsi="Arial Narrow" w:cs="Times New Roman"/>
                <w:snapToGrid/>
                <w:sz w:val="20"/>
                <w:szCs w:val="18"/>
                <w:lang w:eastAsia="en-AU"/>
              </w:rPr>
              <w:t xml:space="preserve">68/125 </w:t>
            </w:r>
          </w:p>
        </w:tc>
        <w:tc>
          <w:tcPr>
            <w:tcW w:w="870" w:type="dxa"/>
            <w:vAlign w:val="center"/>
          </w:tcPr>
          <w:p w:rsidR="00885704" w:rsidRPr="00C974DD" w:rsidRDefault="00885704" w:rsidP="00791C8E">
            <w:pPr>
              <w:keepNext/>
              <w:keepLines/>
              <w:jc w:val="center"/>
              <w:rPr>
                <w:rFonts w:ascii="Arial Narrow" w:hAnsi="Arial Narrow" w:cs="Times New Roman"/>
                <w:snapToGrid/>
                <w:sz w:val="20"/>
                <w:szCs w:val="18"/>
                <w:lang w:eastAsia="en-AU"/>
              </w:rPr>
            </w:pPr>
            <w:r w:rsidRPr="00C974DD">
              <w:rPr>
                <w:rFonts w:ascii="Arial Narrow" w:hAnsi="Arial Narrow" w:cs="Times New Roman"/>
                <w:i/>
                <w:snapToGrid/>
                <w:sz w:val="20"/>
                <w:lang w:eastAsia="en-AU"/>
              </w:rPr>
              <w:t>No data</w:t>
            </w:r>
          </w:p>
        </w:tc>
        <w:tc>
          <w:tcPr>
            <w:tcW w:w="736" w:type="dxa"/>
            <w:vAlign w:val="center"/>
          </w:tcPr>
          <w:p w:rsidR="00885704" w:rsidRPr="00C974DD" w:rsidRDefault="00885704" w:rsidP="00791C8E">
            <w:pPr>
              <w:keepNext/>
              <w:keepLines/>
              <w:jc w:val="center"/>
              <w:rPr>
                <w:rFonts w:ascii="Arial Narrow" w:hAnsi="Arial Narrow" w:cs="Times New Roman"/>
                <w:b/>
                <w:i/>
                <w:snapToGrid/>
                <w:sz w:val="20"/>
                <w:szCs w:val="18"/>
                <w:lang w:eastAsia="en-AU"/>
              </w:rPr>
            </w:pPr>
            <w:r w:rsidRPr="00C974DD">
              <w:rPr>
                <w:rFonts w:ascii="Arial Narrow" w:hAnsi="Arial Narrow" w:cs="Times New Roman"/>
                <w:b/>
                <w:i/>
                <w:snapToGrid/>
                <w:sz w:val="20"/>
                <w:szCs w:val="18"/>
                <w:lang w:eastAsia="en-AU"/>
              </w:rPr>
              <w:t>-</w:t>
            </w:r>
          </w:p>
        </w:tc>
        <w:tc>
          <w:tcPr>
            <w:tcW w:w="1325" w:type="dxa"/>
            <w:vAlign w:val="center"/>
          </w:tcPr>
          <w:p w:rsidR="00885704" w:rsidRPr="00C974DD" w:rsidRDefault="00885704" w:rsidP="00791C8E">
            <w:pPr>
              <w:keepNext/>
              <w:keepLines/>
              <w:jc w:val="center"/>
              <w:rPr>
                <w:rFonts w:ascii="Arial Narrow" w:hAnsi="Arial Narrow" w:cs="Times New Roman"/>
                <w:snapToGrid/>
                <w:sz w:val="20"/>
                <w:szCs w:val="18"/>
                <w:lang w:eastAsia="en-AU"/>
              </w:rPr>
            </w:pPr>
            <w:r w:rsidRPr="00C974DD">
              <w:rPr>
                <w:rFonts w:ascii="Arial Narrow" w:hAnsi="Arial Narrow" w:cs="Times New Roman"/>
                <w:snapToGrid/>
                <w:sz w:val="20"/>
                <w:szCs w:val="18"/>
                <w:lang w:eastAsia="en-AU"/>
              </w:rPr>
              <w:t>54</w:t>
            </w:r>
          </w:p>
        </w:tc>
        <w:tc>
          <w:tcPr>
            <w:tcW w:w="1061" w:type="dxa"/>
            <w:vAlign w:val="center"/>
          </w:tcPr>
          <w:p w:rsidR="00885704" w:rsidRPr="00C974DD" w:rsidRDefault="00885704" w:rsidP="00791C8E">
            <w:pPr>
              <w:keepNext/>
              <w:keepLines/>
              <w:jc w:val="center"/>
              <w:rPr>
                <w:rFonts w:ascii="Arial Narrow" w:hAnsi="Arial Narrow" w:cs="Times New Roman"/>
                <w:snapToGrid/>
                <w:sz w:val="20"/>
                <w:szCs w:val="18"/>
                <w:lang w:eastAsia="en-AU"/>
              </w:rPr>
            </w:pPr>
            <w:r w:rsidRPr="00C974DD">
              <w:rPr>
                <w:rFonts w:ascii="Arial Narrow" w:hAnsi="Arial Narrow" w:cs="Times New Roman"/>
                <w:snapToGrid/>
                <w:sz w:val="20"/>
                <w:szCs w:val="18"/>
                <w:lang w:eastAsia="en-AU"/>
              </w:rPr>
              <w:t>-</w:t>
            </w:r>
          </w:p>
        </w:tc>
        <w:tc>
          <w:tcPr>
            <w:tcW w:w="1252" w:type="dxa"/>
            <w:vAlign w:val="center"/>
          </w:tcPr>
          <w:p w:rsidR="00885704" w:rsidRPr="00C974DD" w:rsidRDefault="00885704" w:rsidP="00791C8E">
            <w:pPr>
              <w:keepNext/>
              <w:keepLines/>
              <w:jc w:val="center"/>
              <w:rPr>
                <w:rFonts w:ascii="Arial Narrow" w:hAnsi="Arial Narrow" w:cs="Times New Roman"/>
                <w:b/>
                <w:i/>
                <w:snapToGrid/>
                <w:sz w:val="20"/>
                <w:szCs w:val="18"/>
                <w:lang w:eastAsia="en-AU"/>
              </w:rPr>
            </w:pPr>
            <w:r w:rsidRPr="00C974DD">
              <w:rPr>
                <w:rFonts w:ascii="Arial Narrow" w:hAnsi="Arial Narrow" w:cs="Times New Roman"/>
                <w:b/>
                <w:i/>
                <w:snapToGrid/>
                <w:sz w:val="20"/>
                <w:szCs w:val="18"/>
                <w:lang w:eastAsia="en-AU"/>
              </w:rPr>
              <w:t>-</w:t>
            </w:r>
          </w:p>
        </w:tc>
      </w:tr>
      <w:tr w:rsidR="00C974DD" w:rsidRPr="00C974DD" w:rsidTr="00791C8E">
        <w:tc>
          <w:tcPr>
            <w:tcW w:w="1833" w:type="dxa"/>
            <w:shd w:val="clear" w:color="auto" w:fill="auto"/>
            <w:vAlign w:val="center"/>
          </w:tcPr>
          <w:p w:rsidR="00885704" w:rsidRPr="00C974DD" w:rsidRDefault="00885704" w:rsidP="00791C8E">
            <w:pPr>
              <w:keepNext/>
              <w:keepLines/>
              <w:jc w:val="left"/>
              <w:rPr>
                <w:rFonts w:ascii="Arial Narrow" w:hAnsi="Arial Narrow" w:cs="Times New Roman"/>
                <w:snapToGrid/>
                <w:sz w:val="20"/>
                <w:szCs w:val="18"/>
                <w:lang w:eastAsia="en-AU"/>
              </w:rPr>
            </w:pPr>
            <w:r w:rsidRPr="00C974DD">
              <w:rPr>
                <w:rFonts w:ascii="Arial Narrow" w:hAnsi="Arial Narrow" w:cs="Times New Roman"/>
                <w:snapToGrid/>
                <w:sz w:val="20"/>
                <w:szCs w:val="18"/>
                <w:lang w:eastAsia="en-AU"/>
              </w:rPr>
              <w:t>Neutropenia</w:t>
            </w:r>
          </w:p>
        </w:tc>
        <w:tc>
          <w:tcPr>
            <w:tcW w:w="1318" w:type="dxa"/>
            <w:vAlign w:val="center"/>
          </w:tcPr>
          <w:p w:rsidR="00885704" w:rsidRPr="00C974DD" w:rsidRDefault="00885704" w:rsidP="00791C8E">
            <w:pPr>
              <w:keepNext/>
              <w:keepLines/>
              <w:jc w:val="center"/>
              <w:rPr>
                <w:rFonts w:ascii="Arial Narrow" w:hAnsi="Arial Narrow" w:cs="Times New Roman"/>
                <w:snapToGrid/>
                <w:sz w:val="20"/>
                <w:szCs w:val="18"/>
                <w:lang w:eastAsia="en-AU"/>
              </w:rPr>
            </w:pPr>
            <w:r w:rsidRPr="00C974DD">
              <w:rPr>
                <w:rFonts w:ascii="Arial Narrow" w:hAnsi="Arial Narrow" w:cs="Times New Roman"/>
                <w:snapToGrid/>
                <w:sz w:val="20"/>
                <w:szCs w:val="18"/>
                <w:lang w:eastAsia="en-AU"/>
              </w:rPr>
              <w:t>34/125</w:t>
            </w:r>
          </w:p>
        </w:tc>
        <w:tc>
          <w:tcPr>
            <w:tcW w:w="870" w:type="dxa"/>
            <w:vAlign w:val="center"/>
          </w:tcPr>
          <w:p w:rsidR="00885704" w:rsidRPr="00C974DD" w:rsidRDefault="00885704" w:rsidP="00791C8E">
            <w:pPr>
              <w:keepNext/>
              <w:keepLines/>
              <w:jc w:val="center"/>
              <w:rPr>
                <w:rFonts w:ascii="Arial Narrow" w:hAnsi="Arial Narrow" w:cs="Times New Roman"/>
                <w:snapToGrid/>
                <w:sz w:val="20"/>
                <w:szCs w:val="18"/>
                <w:lang w:eastAsia="en-AU"/>
              </w:rPr>
            </w:pPr>
            <w:r w:rsidRPr="00C974DD">
              <w:rPr>
                <w:rFonts w:ascii="Arial Narrow" w:hAnsi="Arial Narrow" w:cs="Times New Roman"/>
                <w:i/>
                <w:snapToGrid/>
                <w:sz w:val="20"/>
                <w:lang w:eastAsia="en-AU"/>
              </w:rPr>
              <w:t>No data</w:t>
            </w:r>
          </w:p>
        </w:tc>
        <w:tc>
          <w:tcPr>
            <w:tcW w:w="736" w:type="dxa"/>
            <w:vAlign w:val="center"/>
          </w:tcPr>
          <w:p w:rsidR="00885704" w:rsidRPr="00C974DD" w:rsidRDefault="00885704" w:rsidP="00791C8E">
            <w:pPr>
              <w:keepNext/>
              <w:keepLines/>
              <w:jc w:val="center"/>
              <w:rPr>
                <w:rFonts w:ascii="Arial Narrow" w:hAnsi="Arial Narrow" w:cs="Times New Roman"/>
                <w:b/>
                <w:i/>
                <w:snapToGrid/>
                <w:sz w:val="20"/>
                <w:szCs w:val="18"/>
                <w:lang w:eastAsia="en-AU"/>
              </w:rPr>
            </w:pPr>
            <w:r w:rsidRPr="00C974DD">
              <w:rPr>
                <w:rFonts w:ascii="Arial Narrow" w:hAnsi="Arial Narrow" w:cs="Times New Roman"/>
                <w:b/>
                <w:i/>
                <w:snapToGrid/>
                <w:sz w:val="20"/>
                <w:szCs w:val="18"/>
                <w:lang w:eastAsia="en-AU"/>
              </w:rPr>
              <w:t>-</w:t>
            </w:r>
          </w:p>
        </w:tc>
        <w:tc>
          <w:tcPr>
            <w:tcW w:w="1325" w:type="dxa"/>
            <w:vAlign w:val="center"/>
          </w:tcPr>
          <w:p w:rsidR="00885704" w:rsidRPr="00C974DD" w:rsidRDefault="00885704" w:rsidP="00791C8E">
            <w:pPr>
              <w:keepNext/>
              <w:keepLines/>
              <w:jc w:val="center"/>
              <w:rPr>
                <w:rFonts w:ascii="Arial Narrow" w:hAnsi="Arial Narrow" w:cs="Times New Roman"/>
                <w:snapToGrid/>
                <w:sz w:val="20"/>
                <w:szCs w:val="18"/>
                <w:lang w:eastAsia="en-AU"/>
              </w:rPr>
            </w:pPr>
            <w:r w:rsidRPr="00C974DD">
              <w:rPr>
                <w:rFonts w:ascii="Arial Narrow" w:hAnsi="Arial Narrow" w:cs="Times New Roman"/>
                <w:snapToGrid/>
                <w:sz w:val="20"/>
                <w:szCs w:val="18"/>
                <w:lang w:eastAsia="en-AU"/>
              </w:rPr>
              <w:t>27</w:t>
            </w:r>
          </w:p>
        </w:tc>
        <w:tc>
          <w:tcPr>
            <w:tcW w:w="1061" w:type="dxa"/>
            <w:vAlign w:val="center"/>
          </w:tcPr>
          <w:p w:rsidR="00885704" w:rsidRPr="00C974DD" w:rsidRDefault="00885704" w:rsidP="00791C8E">
            <w:pPr>
              <w:keepNext/>
              <w:keepLines/>
              <w:jc w:val="center"/>
              <w:rPr>
                <w:rFonts w:ascii="Arial Narrow" w:hAnsi="Arial Narrow" w:cs="Times New Roman"/>
                <w:snapToGrid/>
                <w:sz w:val="20"/>
                <w:szCs w:val="18"/>
                <w:lang w:eastAsia="en-AU"/>
              </w:rPr>
            </w:pPr>
            <w:r w:rsidRPr="00C974DD">
              <w:rPr>
                <w:rFonts w:ascii="Arial Narrow" w:hAnsi="Arial Narrow" w:cs="Times New Roman"/>
                <w:snapToGrid/>
                <w:sz w:val="20"/>
                <w:szCs w:val="18"/>
                <w:lang w:eastAsia="en-AU"/>
              </w:rPr>
              <w:t>-</w:t>
            </w:r>
          </w:p>
        </w:tc>
        <w:tc>
          <w:tcPr>
            <w:tcW w:w="1252" w:type="dxa"/>
            <w:vAlign w:val="center"/>
          </w:tcPr>
          <w:p w:rsidR="00885704" w:rsidRPr="00C974DD" w:rsidRDefault="00885704" w:rsidP="00791C8E">
            <w:pPr>
              <w:keepNext/>
              <w:keepLines/>
              <w:jc w:val="center"/>
              <w:rPr>
                <w:rFonts w:ascii="Arial Narrow" w:hAnsi="Arial Narrow" w:cs="Times New Roman"/>
                <w:b/>
                <w:i/>
                <w:snapToGrid/>
                <w:sz w:val="20"/>
                <w:szCs w:val="18"/>
                <w:lang w:eastAsia="en-AU"/>
              </w:rPr>
            </w:pPr>
            <w:r w:rsidRPr="00C974DD">
              <w:rPr>
                <w:rFonts w:ascii="Arial Narrow" w:hAnsi="Arial Narrow" w:cs="Times New Roman"/>
                <w:b/>
                <w:i/>
                <w:snapToGrid/>
                <w:sz w:val="20"/>
                <w:szCs w:val="18"/>
                <w:lang w:eastAsia="en-AU"/>
              </w:rPr>
              <w:t>-</w:t>
            </w:r>
          </w:p>
        </w:tc>
      </w:tr>
      <w:tr w:rsidR="00C974DD" w:rsidRPr="00C974DD" w:rsidTr="00791C8E">
        <w:tc>
          <w:tcPr>
            <w:tcW w:w="1833" w:type="dxa"/>
            <w:shd w:val="clear" w:color="auto" w:fill="auto"/>
            <w:vAlign w:val="center"/>
          </w:tcPr>
          <w:p w:rsidR="00885704" w:rsidRPr="00C974DD" w:rsidRDefault="00885704" w:rsidP="00791C8E">
            <w:pPr>
              <w:keepNext/>
              <w:keepLines/>
              <w:jc w:val="left"/>
              <w:rPr>
                <w:rFonts w:ascii="Arial Narrow" w:hAnsi="Arial Narrow" w:cs="Times New Roman"/>
                <w:snapToGrid/>
                <w:sz w:val="20"/>
                <w:szCs w:val="18"/>
                <w:lang w:eastAsia="en-AU"/>
              </w:rPr>
            </w:pPr>
            <w:r w:rsidRPr="00C974DD">
              <w:rPr>
                <w:rFonts w:ascii="Arial Narrow" w:hAnsi="Arial Narrow" w:cs="Times New Roman"/>
                <w:snapToGrid/>
                <w:sz w:val="20"/>
                <w:szCs w:val="18"/>
                <w:lang w:eastAsia="en-AU"/>
              </w:rPr>
              <w:t>Diarrhoea</w:t>
            </w:r>
          </w:p>
        </w:tc>
        <w:tc>
          <w:tcPr>
            <w:tcW w:w="1318" w:type="dxa"/>
            <w:vAlign w:val="center"/>
          </w:tcPr>
          <w:p w:rsidR="00885704" w:rsidRPr="00C974DD" w:rsidRDefault="00885704" w:rsidP="00791C8E">
            <w:pPr>
              <w:keepNext/>
              <w:keepLines/>
              <w:jc w:val="center"/>
              <w:rPr>
                <w:rFonts w:ascii="Arial Narrow" w:hAnsi="Arial Narrow" w:cs="Times New Roman"/>
                <w:snapToGrid/>
                <w:sz w:val="20"/>
                <w:szCs w:val="18"/>
                <w:lang w:eastAsia="en-AU"/>
              </w:rPr>
            </w:pPr>
            <w:r w:rsidRPr="00C974DD">
              <w:rPr>
                <w:rFonts w:ascii="Arial Narrow" w:hAnsi="Arial Narrow" w:cs="Times New Roman"/>
                <w:snapToGrid/>
                <w:sz w:val="20"/>
                <w:szCs w:val="18"/>
                <w:lang w:eastAsia="en-AU"/>
              </w:rPr>
              <w:t>16/125</w:t>
            </w:r>
          </w:p>
        </w:tc>
        <w:tc>
          <w:tcPr>
            <w:tcW w:w="870" w:type="dxa"/>
            <w:vAlign w:val="center"/>
          </w:tcPr>
          <w:p w:rsidR="00885704" w:rsidRPr="00C974DD" w:rsidRDefault="00885704" w:rsidP="00791C8E">
            <w:pPr>
              <w:keepNext/>
              <w:keepLines/>
              <w:jc w:val="center"/>
              <w:rPr>
                <w:rFonts w:ascii="Arial Narrow" w:hAnsi="Arial Narrow" w:cs="Times New Roman"/>
                <w:snapToGrid/>
                <w:sz w:val="20"/>
                <w:szCs w:val="18"/>
                <w:lang w:eastAsia="en-AU"/>
              </w:rPr>
            </w:pPr>
            <w:r w:rsidRPr="00C974DD">
              <w:rPr>
                <w:rFonts w:ascii="Arial Narrow" w:hAnsi="Arial Narrow" w:cs="Times New Roman"/>
                <w:i/>
                <w:snapToGrid/>
                <w:sz w:val="20"/>
                <w:lang w:eastAsia="en-AU"/>
              </w:rPr>
              <w:t>No data</w:t>
            </w:r>
          </w:p>
        </w:tc>
        <w:tc>
          <w:tcPr>
            <w:tcW w:w="736" w:type="dxa"/>
            <w:vAlign w:val="center"/>
          </w:tcPr>
          <w:p w:rsidR="00885704" w:rsidRPr="00C974DD" w:rsidRDefault="00885704" w:rsidP="00791C8E">
            <w:pPr>
              <w:keepNext/>
              <w:keepLines/>
              <w:jc w:val="center"/>
              <w:rPr>
                <w:rFonts w:ascii="Arial Narrow" w:hAnsi="Arial Narrow" w:cs="Times New Roman"/>
                <w:i/>
                <w:snapToGrid/>
                <w:sz w:val="20"/>
                <w:szCs w:val="18"/>
                <w:lang w:eastAsia="en-AU"/>
              </w:rPr>
            </w:pPr>
            <w:r w:rsidRPr="00C974DD">
              <w:rPr>
                <w:rFonts w:ascii="Arial Narrow" w:hAnsi="Arial Narrow" w:cs="Times New Roman"/>
                <w:i/>
                <w:snapToGrid/>
                <w:sz w:val="20"/>
                <w:szCs w:val="18"/>
                <w:lang w:eastAsia="en-AU"/>
              </w:rPr>
              <w:t>-</w:t>
            </w:r>
          </w:p>
        </w:tc>
        <w:tc>
          <w:tcPr>
            <w:tcW w:w="1325" w:type="dxa"/>
            <w:vAlign w:val="center"/>
          </w:tcPr>
          <w:p w:rsidR="00885704" w:rsidRPr="00C974DD" w:rsidRDefault="00885704" w:rsidP="00791C8E">
            <w:pPr>
              <w:keepNext/>
              <w:keepLines/>
              <w:jc w:val="center"/>
              <w:rPr>
                <w:rFonts w:ascii="Arial Narrow" w:hAnsi="Arial Narrow" w:cs="Times New Roman"/>
                <w:snapToGrid/>
                <w:sz w:val="20"/>
                <w:szCs w:val="18"/>
                <w:lang w:eastAsia="en-AU"/>
              </w:rPr>
            </w:pPr>
            <w:r w:rsidRPr="00C974DD">
              <w:rPr>
                <w:rFonts w:ascii="Arial Narrow" w:hAnsi="Arial Narrow" w:cs="Times New Roman"/>
                <w:snapToGrid/>
                <w:sz w:val="20"/>
                <w:szCs w:val="18"/>
                <w:lang w:eastAsia="en-AU"/>
              </w:rPr>
              <w:t>13</w:t>
            </w:r>
          </w:p>
        </w:tc>
        <w:tc>
          <w:tcPr>
            <w:tcW w:w="1061" w:type="dxa"/>
            <w:vAlign w:val="center"/>
          </w:tcPr>
          <w:p w:rsidR="00885704" w:rsidRPr="00C974DD" w:rsidRDefault="00885704" w:rsidP="00791C8E">
            <w:pPr>
              <w:keepNext/>
              <w:keepLines/>
              <w:jc w:val="center"/>
              <w:rPr>
                <w:rFonts w:ascii="Arial Narrow" w:hAnsi="Arial Narrow" w:cs="Times New Roman"/>
                <w:snapToGrid/>
                <w:sz w:val="20"/>
                <w:szCs w:val="18"/>
                <w:lang w:eastAsia="en-AU"/>
              </w:rPr>
            </w:pPr>
            <w:r w:rsidRPr="00C974DD">
              <w:rPr>
                <w:rFonts w:ascii="Arial Narrow" w:hAnsi="Arial Narrow" w:cs="Times New Roman"/>
                <w:snapToGrid/>
                <w:sz w:val="20"/>
                <w:szCs w:val="18"/>
                <w:lang w:eastAsia="en-AU"/>
              </w:rPr>
              <w:t>-</w:t>
            </w:r>
          </w:p>
        </w:tc>
        <w:tc>
          <w:tcPr>
            <w:tcW w:w="1252" w:type="dxa"/>
            <w:vAlign w:val="center"/>
          </w:tcPr>
          <w:p w:rsidR="00885704" w:rsidRPr="00C974DD" w:rsidRDefault="00885704" w:rsidP="00791C8E">
            <w:pPr>
              <w:keepNext/>
              <w:keepLines/>
              <w:jc w:val="center"/>
              <w:rPr>
                <w:rFonts w:ascii="Arial Narrow" w:hAnsi="Arial Narrow" w:cs="Times New Roman"/>
                <w:b/>
                <w:i/>
                <w:snapToGrid/>
                <w:sz w:val="20"/>
                <w:szCs w:val="18"/>
                <w:lang w:eastAsia="en-AU"/>
              </w:rPr>
            </w:pPr>
            <w:r w:rsidRPr="00C974DD">
              <w:rPr>
                <w:rFonts w:ascii="Arial Narrow" w:hAnsi="Arial Narrow" w:cs="Times New Roman"/>
                <w:b/>
                <w:i/>
                <w:snapToGrid/>
                <w:sz w:val="20"/>
                <w:szCs w:val="18"/>
                <w:lang w:eastAsia="en-AU"/>
              </w:rPr>
              <w:t>-</w:t>
            </w:r>
          </w:p>
        </w:tc>
      </w:tr>
    </w:tbl>
    <w:p w:rsidR="00885704" w:rsidRPr="00C974DD" w:rsidRDefault="00885704" w:rsidP="00885704">
      <w:pPr>
        <w:keepNext/>
        <w:keepLines/>
        <w:widowControl w:val="0"/>
        <w:ind w:left="720"/>
        <w:rPr>
          <w:rFonts w:ascii="Arial Narrow" w:hAnsi="Arial Narrow"/>
          <w:sz w:val="18"/>
          <w:szCs w:val="24"/>
        </w:rPr>
      </w:pPr>
      <w:r w:rsidRPr="00C974DD">
        <w:rPr>
          <w:rFonts w:ascii="Arial Narrow" w:hAnsi="Arial Narrow"/>
          <w:sz w:val="20"/>
          <w:szCs w:val="24"/>
          <w:vertAlign w:val="superscript"/>
        </w:rPr>
        <w:t>a</w:t>
      </w:r>
      <w:r w:rsidRPr="00C974DD">
        <w:rPr>
          <w:rFonts w:ascii="Arial Narrow" w:hAnsi="Arial Narrow"/>
          <w:sz w:val="18"/>
          <w:szCs w:val="24"/>
        </w:rPr>
        <w:t xml:space="preserve"> Median duration of follow-up/Median duration of exposure: Study 101-09 = 9.7 months/6.6 months.</w:t>
      </w:r>
      <w:r w:rsidRPr="00C974DD">
        <w:rPr>
          <w:rFonts w:ascii="Arial Narrow" w:hAnsi="Arial Narrow" w:cs="Times New Roman"/>
          <w:sz w:val="16"/>
          <w:szCs w:val="24"/>
        </w:rPr>
        <w:t xml:space="preserve"> </w:t>
      </w:r>
    </w:p>
    <w:p w:rsidR="00885704" w:rsidRPr="00C974DD" w:rsidRDefault="00885704" w:rsidP="00885704">
      <w:pPr>
        <w:keepNext/>
        <w:keepLines/>
        <w:widowControl w:val="0"/>
        <w:ind w:left="720"/>
        <w:rPr>
          <w:rFonts w:ascii="Arial Narrow" w:hAnsi="Arial Narrow"/>
          <w:sz w:val="18"/>
          <w:szCs w:val="24"/>
        </w:rPr>
      </w:pPr>
      <w:r w:rsidRPr="00C974DD">
        <w:rPr>
          <w:rFonts w:ascii="Arial Narrow" w:hAnsi="Arial Narrow"/>
          <w:sz w:val="18"/>
          <w:szCs w:val="24"/>
        </w:rPr>
        <w:t>CI = confidence interval; NA = Not available; NR = not reached; OS = overall survival; PBO = placebo; PFS = progression-free survival;  RD = risk difference; RR = relative risk; BSC = best supportive care</w:t>
      </w:r>
    </w:p>
    <w:p w:rsidR="00885704" w:rsidRPr="00C974DD" w:rsidRDefault="00885704" w:rsidP="00885704">
      <w:pPr>
        <w:keepNext/>
        <w:keepLines/>
        <w:widowControl w:val="0"/>
        <w:ind w:firstLine="720"/>
        <w:rPr>
          <w:rFonts w:ascii="Arial Narrow" w:hAnsi="Arial Narrow"/>
          <w:sz w:val="18"/>
          <w:szCs w:val="24"/>
        </w:rPr>
      </w:pPr>
      <w:r w:rsidRPr="00C974DD">
        <w:rPr>
          <w:rFonts w:ascii="Arial Narrow" w:hAnsi="Arial Narrow"/>
          <w:sz w:val="18"/>
          <w:szCs w:val="24"/>
        </w:rPr>
        <w:t>Source: Compiled for the ESC advice.</w:t>
      </w:r>
    </w:p>
    <w:p w:rsidR="00885704" w:rsidRPr="00C974DD" w:rsidRDefault="00885704" w:rsidP="00885704">
      <w:pPr>
        <w:jc w:val="left"/>
        <w:rPr>
          <w:rFonts w:eastAsiaTheme="minorHAnsi"/>
          <w:i/>
          <w:snapToGrid/>
          <w:lang w:eastAsia="en-AU"/>
        </w:rPr>
      </w:pPr>
    </w:p>
    <w:p w:rsidR="00885704" w:rsidRPr="00C974DD" w:rsidRDefault="00885704" w:rsidP="00885704">
      <w:pPr>
        <w:pStyle w:val="ListParagraph"/>
        <w:numPr>
          <w:ilvl w:val="1"/>
          <w:numId w:val="15"/>
        </w:numPr>
      </w:pPr>
      <w:r w:rsidRPr="00C974DD">
        <w:t xml:space="preserve">The submission did not present comparative evidence for idelalisib versus best supportive care, and the ESC considered that no information had been provided that would enable a reliable comparison of idelalisib and best supportive care. </w:t>
      </w:r>
    </w:p>
    <w:p w:rsidR="00885704" w:rsidRPr="00C974DD" w:rsidRDefault="00885704" w:rsidP="00885704">
      <w:pPr>
        <w:jc w:val="left"/>
        <w:rPr>
          <w:rFonts w:eastAsiaTheme="minorHAnsi"/>
          <w:i/>
          <w:snapToGrid/>
          <w:lang w:eastAsia="en-AU"/>
        </w:rPr>
      </w:pPr>
    </w:p>
    <w:p w:rsidR="00162913" w:rsidRPr="00C974DD" w:rsidRDefault="00EC00C9" w:rsidP="004B1CB4">
      <w:pPr>
        <w:pStyle w:val="ListParagraph"/>
        <w:numPr>
          <w:ilvl w:val="1"/>
          <w:numId w:val="15"/>
        </w:numPr>
        <w:rPr>
          <w:i/>
          <w:szCs w:val="22"/>
        </w:rPr>
      </w:pPr>
      <w:r w:rsidRPr="00C974DD">
        <w:rPr>
          <w:szCs w:val="22"/>
        </w:rPr>
        <w:t>A summary of the comparative benefits and harms for</w:t>
      </w:r>
      <w:r w:rsidR="00932E26" w:rsidRPr="00C974DD">
        <w:rPr>
          <w:szCs w:val="22"/>
        </w:rPr>
        <w:t xml:space="preserve"> idelalisib</w:t>
      </w:r>
      <w:r w:rsidRPr="00C974DD">
        <w:rPr>
          <w:szCs w:val="22"/>
        </w:rPr>
        <w:t xml:space="preserve"> </w:t>
      </w:r>
      <w:r w:rsidRPr="00C974DD">
        <w:rPr>
          <w:szCs w:val="22"/>
          <w:u w:val="single"/>
        </w:rPr>
        <w:t xml:space="preserve">versus </w:t>
      </w:r>
      <w:r w:rsidR="009C0CB9" w:rsidRPr="00C974DD">
        <w:rPr>
          <w:szCs w:val="22"/>
          <w:u w:val="single"/>
        </w:rPr>
        <w:t xml:space="preserve">the contextual efficacy </w:t>
      </w:r>
      <w:r w:rsidR="009C0CB9" w:rsidRPr="00C974DD">
        <w:rPr>
          <w:szCs w:val="22"/>
        </w:rPr>
        <w:t xml:space="preserve">comparison studies </w:t>
      </w:r>
      <w:r w:rsidR="002204CD" w:rsidRPr="00C974DD">
        <w:rPr>
          <w:szCs w:val="22"/>
        </w:rPr>
        <w:t xml:space="preserve">is </w:t>
      </w:r>
      <w:r w:rsidR="001E5823" w:rsidRPr="00C974DD">
        <w:rPr>
          <w:szCs w:val="22"/>
        </w:rPr>
        <w:t>presented in the table below</w:t>
      </w:r>
      <w:r w:rsidR="001B1DD8" w:rsidRPr="00C974DD">
        <w:rPr>
          <w:szCs w:val="22"/>
        </w:rPr>
        <w:t>.</w:t>
      </w:r>
    </w:p>
    <w:p w:rsidR="00B62715" w:rsidRPr="00C974DD" w:rsidRDefault="00B62715" w:rsidP="00CE4B32">
      <w:pPr>
        <w:keepNext/>
        <w:keepLines/>
        <w:ind w:left="720"/>
        <w:rPr>
          <w:rStyle w:val="CommentReference"/>
        </w:rPr>
      </w:pPr>
      <w:r w:rsidRPr="00C974DD">
        <w:rPr>
          <w:rStyle w:val="CommentReference"/>
        </w:rPr>
        <w:lastRenderedPageBreak/>
        <w:t xml:space="preserve">Summary of comparative benefits and harms for </w:t>
      </w:r>
      <w:r w:rsidR="00DA0ABC" w:rsidRPr="00C974DD">
        <w:rPr>
          <w:rStyle w:val="CommentReference"/>
        </w:rPr>
        <w:t>idelalisib</w:t>
      </w:r>
      <w:r w:rsidRPr="00C974DD">
        <w:rPr>
          <w:rStyle w:val="CommentReference"/>
        </w:rPr>
        <w:t xml:space="preserve"> and </w:t>
      </w:r>
      <w:r w:rsidR="00DA0ABC" w:rsidRPr="00C974DD">
        <w:rPr>
          <w:rStyle w:val="CommentReference"/>
        </w:rPr>
        <w:t>two</w:t>
      </w:r>
      <w:r w:rsidR="008156CD" w:rsidRPr="00C974DD">
        <w:rPr>
          <w:rStyle w:val="CommentReference"/>
        </w:rPr>
        <w:t xml:space="preserve"> comparator</w:t>
      </w:r>
      <w:r w:rsidR="00DA0ABC" w:rsidRPr="00C974DD">
        <w:rPr>
          <w:rStyle w:val="CommentReference"/>
        </w:rPr>
        <w:t xml:space="preserve"> studies</w:t>
      </w:r>
    </w:p>
    <w:tbl>
      <w:tblPr>
        <w:tblStyle w:val="TableGrid"/>
        <w:tblW w:w="4684" w:type="pct"/>
        <w:tblInd w:w="705" w:type="dxa"/>
        <w:tblLayout w:type="fixed"/>
        <w:tblCellMar>
          <w:left w:w="28" w:type="dxa"/>
          <w:right w:w="28" w:type="dxa"/>
        </w:tblCellMar>
        <w:tblLook w:val="04A0" w:firstRow="1" w:lastRow="0" w:firstColumn="1" w:lastColumn="0" w:noHBand="0" w:noVBand="1"/>
        <w:tblCaption w:val="Benefits and harms"/>
      </w:tblPr>
      <w:tblGrid>
        <w:gridCol w:w="1450"/>
        <w:gridCol w:w="567"/>
        <w:gridCol w:w="282"/>
        <w:gridCol w:w="851"/>
        <w:gridCol w:w="422"/>
        <w:gridCol w:w="1139"/>
        <w:gridCol w:w="284"/>
        <w:gridCol w:w="1137"/>
        <w:gridCol w:w="1283"/>
        <w:gridCol w:w="1094"/>
      </w:tblGrid>
      <w:tr w:rsidR="00C974DD" w:rsidRPr="00C974DD" w:rsidTr="002A01E0">
        <w:tc>
          <w:tcPr>
            <w:tcW w:w="5000" w:type="pct"/>
            <w:gridSpan w:val="10"/>
            <w:shd w:val="clear" w:color="auto" w:fill="auto"/>
            <w:vAlign w:val="center"/>
          </w:tcPr>
          <w:p w:rsidR="00547F83" w:rsidRPr="00C974DD" w:rsidRDefault="00547F83" w:rsidP="00CE4B32">
            <w:pPr>
              <w:keepNext/>
              <w:keepLines/>
              <w:rPr>
                <w:rFonts w:ascii="Arial Narrow" w:hAnsi="Arial Narrow"/>
                <w:b/>
                <w:sz w:val="20"/>
                <w:szCs w:val="18"/>
              </w:rPr>
            </w:pPr>
            <w:r w:rsidRPr="00C974DD">
              <w:rPr>
                <w:rFonts w:ascii="Arial Narrow" w:hAnsi="Arial Narrow"/>
                <w:b/>
                <w:sz w:val="20"/>
                <w:szCs w:val="18"/>
              </w:rPr>
              <w:t>Benefits</w:t>
            </w:r>
          </w:p>
        </w:tc>
      </w:tr>
      <w:tr w:rsidR="00C974DD" w:rsidRPr="00C974DD" w:rsidTr="00F67423">
        <w:tc>
          <w:tcPr>
            <w:tcW w:w="1185" w:type="pct"/>
            <w:gridSpan w:val="2"/>
            <w:shd w:val="clear" w:color="auto" w:fill="auto"/>
            <w:vAlign w:val="center"/>
          </w:tcPr>
          <w:p w:rsidR="001F7D1B" w:rsidRPr="00C974DD" w:rsidRDefault="001F7D1B" w:rsidP="00CE4B32">
            <w:pPr>
              <w:keepNext/>
              <w:keepLines/>
              <w:jc w:val="center"/>
              <w:rPr>
                <w:rFonts w:ascii="Arial Narrow" w:hAnsi="Arial Narrow"/>
                <w:sz w:val="20"/>
                <w:szCs w:val="18"/>
              </w:rPr>
            </w:pPr>
          </w:p>
        </w:tc>
        <w:tc>
          <w:tcPr>
            <w:tcW w:w="666" w:type="pct"/>
            <w:gridSpan w:val="2"/>
            <w:vAlign w:val="center"/>
          </w:tcPr>
          <w:p w:rsidR="001F7D1B" w:rsidRPr="00C974DD" w:rsidRDefault="001F7D1B" w:rsidP="00CE4B32">
            <w:pPr>
              <w:keepNext/>
              <w:keepLines/>
              <w:jc w:val="center"/>
              <w:rPr>
                <w:rFonts w:ascii="Arial Narrow" w:hAnsi="Arial Narrow"/>
                <w:b/>
                <w:sz w:val="20"/>
                <w:szCs w:val="18"/>
              </w:rPr>
            </w:pPr>
            <w:r w:rsidRPr="00C974DD">
              <w:rPr>
                <w:rFonts w:ascii="Arial Narrow" w:hAnsi="Arial Narrow"/>
                <w:b/>
                <w:sz w:val="20"/>
                <w:szCs w:val="18"/>
              </w:rPr>
              <w:t>Idelalisib</w:t>
            </w:r>
          </w:p>
        </w:tc>
        <w:tc>
          <w:tcPr>
            <w:tcW w:w="917" w:type="pct"/>
            <w:gridSpan w:val="2"/>
            <w:vAlign w:val="center"/>
          </w:tcPr>
          <w:p w:rsidR="001F7D1B" w:rsidRPr="00C974DD" w:rsidRDefault="001F7D1B" w:rsidP="00CE4B32">
            <w:pPr>
              <w:keepNext/>
              <w:keepLines/>
              <w:jc w:val="center"/>
              <w:rPr>
                <w:rFonts w:ascii="Arial Narrow" w:hAnsi="Arial Narrow"/>
                <w:b/>
                <w:sz w:val="20"/>
                <w:szCs w:val="18"/>
              </w:rPr>
            </w:pPr>
            <w:r w:rsidRPr="00C974DD">
              <w:rPr>
                <w:rFonts w:ascii="Arial Narrow" w:hAnsi="Arial Narrow"/>
                <w:b/>
                <w:sz w:val="20"/>
                <w:szCs w:val="18"/>
              </w:rPr>
              <w:t>Y-ibritumomab tiuxetan</w:t>
            </w:r>
          </w:p>
        </w:tc>
        <w:tc>
          <w:tcPr>
            <w:tcW w:w="835" w:type="pct"/>
            <w:gridSpan w:val="2"/>
            <w:vAlign w:val="center"/>
          </w:tcPr>
          <w:p w:rsidR="001F7D1B" w:rsidRPr="00C974DD" w:rsidRDefault="001F7D1B" w:rsidP="00CE4B32">
            <w:pPr>
              <w:keepNext/>
              <w:keepLines/>
              <w:jc w:val="center"/>
              <w:rPr>
                <w:rFonts w:ascii="Arial Narrow" w:hAnsi="Arial Narrow"/>
                <w:b/>
                <w:sz w:val="20"/>
                <w:szCs w:val="18"/>
              </w:rPr>
            </w:pPr>
            <w:r w:rsidRPr="00C974DD">
              <w:rPr>
                <w:rFonts w:ascii="Arial Narrow" w:hAnsi="Arial Narrow"/>
                <w:b/>
                <w:sz w:val="20"/>
                <w:szCs w:val="18"/>
              </w:rPr>
              <w:t>Bendamustine</w:t>
            </w:r>
          </w:p>
        </w:tc>
        <w:tc>
          <w:tcPr>
            <w:tcW w:w="754" w:type="pct"/>
            <w:vAlign w:val="center"/>
          </w:tcPr>
          <w:p w:rsidR="001F7D1B" w:rsidRPr="00C974DD" w:rsidRDefault="001F7D1B" w:rsidP="00CE4B32">
            <w:pPr>
              <w:keepNext/>
              <w:keepLines/>
              <w:jc w:val="center"/>
              <w:rPr>
                <w:rFonts w:ascii="Arial Narrow" w:hAnsi="Arial Narrow"/>
                <w:b/>
                <w:sz w:val="20"/>
                <w:szCs w:val="18"/>
              </w:rPr>
            </w:pPr>
            <w:r w:rsidRPr="00C974DD">
              <w:rPr>
                <w:rFonts w:ascii="Arial Narrow" w:hAnsi="Arial Narrow"/>
                <w:b/>
                <w:sz w:val="20"/>
                <w:szCs w:val="18"/>
              </w:rPr>
              <w:t>Absolute Difference</w:t>
            </w:r>
          </w:p>
          <w:p w:rsidR="001F7D1B" w:rsidRPr="00C974DD" w:rsidRDefault="001F7D1B" w:rsidP="00CE4B32">
            <w:pPr>
              <w:keepNext/>
              <w:keepLines/>
              <w:jc w:val="center"/>
              <w:rPr>
                <w:rFonts w:ascii="Arial Narrow" w:hAnsi="Arial Narrow"/>
                <w:b/>
                <w:sz w:val="20"/>
                <w:szCs w:val="18"/>
              </w:rPr>
            </w:pPr>
            <w:r w:rsidRPr="00C974DD">
              <w:rPr>
                <w:rFonts w:ascii="Arial Narrow" w:hAnsi="Arial Narrow"/>
                <w:b/>
                <w:sz w:val="20"/>
                <w:szCs w:val="18"/>
              </w:rPr>
              <w:t>Bendamustine</w:t>
            </w:r>
          </w:p>
        </w:tc>
        <w:tc>
          <w:tcPr>
            <w:tcW w:w="643" w:type="pct"/>
            <w:vAlign w:val="center"/>
          </w:tcPr>
          <w:p w:rsidR="001F7D1B" w:rsidRPr="00C974DD" w:rsidRDefault="001F7D1B" w:rsidP="00CE4B32">
            <w:pPr>
              <w:keepNext/>
              <w:keepLines/>
              <w:jc w:val="center"/>
              <w:rPr>
                <w:rFonts w:ascii="Arial Narrow" w:hAnsi="Arial Narrow"/>
                <w:b/>
                <w:sz w:val="20"/>
                <w:szCs w:val="18"/>
              </w:rPr>
            </w:pPr>
            <w:r w:rsidRPr="00C974DD">
              <w:rPr>
                <w:rFonts w:ascii="Arial Narrow" w:hAnsi="Arial Narrow"/>
                <w:b/>
                <w:sz w:val="20"/>
                <w:szCs w:val="18"/>
              </w:rPr>
              <w:t>HR (95% CI)</w:t>
            </w:r>
          </w:p>
        </w:tc>
      </w:tr>
      <w:tr w:rsidR="00C974DD" w:rsidRPr="00C974DD" w:rsidTr="00F67423">
        <w:tc>
          <w:tcPr>
            <w:tcW w:w="1185" w:type="pct"/>
            <w:gridSpan w:val="2"/>
            <w:shd w:val="clear" w:color="auto" w:fill="auto"/>
            <w:vAlign w:val="center"/>
          </w:tcPr>
          <w:p w:rsidR="001F7D1B" w:rsidRPr="00C974DD" w:rsidRDefault="001F7D1B" w:rsidP="00CE4B32">
            <w:pPr>
              <w:keepNext/>
              <w:keepLines/>
              <w:rPr>
                <w:rFonts w:ascii="Arial Narrow" w:hAnsi="Arial Narrow"/>
                <w:sz w:val="20"/>
                <w:szCs w:val="18"/>
              </w:rPr>
            </w:pPr>
            <w:r w:rsidRPr="00C974DD">
              <w:rPr>
                <w:rFonts w:ascii="Arial Narrow" w:hAnsi="Arial Narrow"/>
                <w:b/>
                <w:sz w:val="20"/>
                <w:szCs w:val="18"/>
              </w:rPr>
              <w:t>PFS</w:t>
            </w:r>
          </w:p>
        </w:tc>
        <w:tc>
          <w:tcPr>
            <w:tcW w:w="666" w:type="pct"/>
            <w:gridSpan w:val="2"/>
          </w:tcPr>
          <w:p w:rsidR="001F7D1B" w:rsidRPr="00C974DD" w:rsidRDefault="001F7D1B" w:rsidP="00CE4B32">
            <w:pPr>
              <w:keepNext/>
              <w:keepLines/>
              <w:jc w:val="center"/>
              <w:rPr>
                <w:rFonts w:ascii="Arial Narrow" w:hAnsi="Arial Narrow"/>
                <w:sz w:val="20"/>
              </w:rPr>
            </w:pPr>
            <w:r w:rsidRPr="00C974DD">
              <w:rPr>
                <w:rFonts w:ascii="Arial Narrow" w:hAnsi="Arial Narrow"/>
                <w:sz w:val="20"/>
              </w:rPr>
              <w:t>Study 101-09</w:t>
            </w:r>
          </w:p>
        </w:tc>
        <w:tc>
          <w:tcPr>
            <w:tcW w:w="917" w:type="pct"/>
            <w:gridSpan w:val="2"/>
          </w:tcPr>
          <w:p w:rsidR="001F7D1B" w:rsidRPr="00C974DD" w:rsidRDefault="001F7D1B" w:rsidP="00CE4B32">
            <w:pPr>
              <w:keepNext/>
              <w:keepLines/>
              <w:jc w:val="center"/>
              <w:rPr>
                <w:rFonts w:ascii="Arial Narrow" w:hAnsi="Arial Narrow"/>
                <w:sz w:val="20"/>
              </w:rPr>
            </w:pPr>
            <w:r w:rsidRPr="00C974DD">
              <w:rPr>
                <w:rFonts w:ascii="Arial Narrow" w:hAnsi="Arial Narrow"/>
                <w:sz w:val="20"/>
              </w:rPr>
              <w:t>Witzig 2002</w:t>
            </w:r>
          </w:p>
        </w:tc>
        <w:tc>
          <w:tcPr>
            <w:tcW w:w="835" w:type="pct"/>
            <w:gridSpan w:val="2"/>
          </w:tcPr>
          <w:p w:rsidR="001F7D1B" w:rsidRPr="00C974DD" w:rsidRDefault="001F7D1B" w:rsidP="00CE4B32">
            <w:pPr>
              <w:keepNext/>
              <w:keepLines/>
              <w:jc w:val="center"/>
              <w:rPr>
                <w:rFonts w:ascii="Arial Narrow" w:hAnsi="Arial Narrow"/>
                <w:sz w:val="20"/>
              </w:rPr>
            </w:pPr>
            <w:r w:rsidRPr="00C974DD">
              <w:rPr>
                <w:rFonts w:ascii="Arial Narrow" w:hAnsi="Arial Narrow"/>
                <w:sz w:val="20"/>
              </w:rPr>
              <w:t>Kahl (2010)</w:t>
            </w:r>
          </w:p>
        </w:tc>
        <w:tc>
          <w:tcPr>
            <w:tcW w:w="754" w:type="pct"/>
            <w:vAlign w:val="center"/>
          </w:tcPr>
          <w:p w:rsidR="001F7D1B" w:rsidRPr="00C974DD" w:rsidRDefault="001F7D1B" w:rsidP="00CE4B32">
            <w:pPr>
              <w:keepNext/>
              <w:keepLines/>
              <w:jc w:val="center"/>
              <w:rPr>
                <w:rFonts w:ascii="Arial Narrow" w:hAnsi="Arial Narrow"/>
                <w:sz w:val="20"/>
                <w:szCs w:val="18"/>
              </w:rPr>
            </w:pPr>
          </w:p>
        </w:tc>
        <w:tc>
          <w:tcPr>
            <w:tcW w:w="643" w:type="pct"/>
            <w:vAlign w:val="center"/>
          </w:tcPr>
          <w:p w:rsidR="001F7D1B" w:rsidRPr="00C974DD" w:rsidRDefault="001F7D1B" w:rsidP="00CE4B32">
            <w:pPr>
              <w:keepNext/>
              <w:keepLines/>
              <w:jc w:val="center"/>
              <w:rPr>
                <w:rFonts w:ascii="Arial Narrow" w:hAnsi="Arial Narrow"/>
                <w:sz w:val="20"/>
                <w:szCs w:val="18"/>
              </w:rPr>
            </w:pPr>
          </w:p>
        </w:tc>
      </w:tr>
      <w:tr w:rsidR="00C974DD" w:rsidRPr="00C974DD" w:rsidTr="00F67423">
        <w:tc>
          <w:tcPr>
            <w:tcW w:w="1185" w:type="pct"/>
            <w:gridSpan w:val="2"/>
            <w:shd w:val="clear" w:color="auto" w:fill="auto"/>
            <w:vAlign w:val="center"/>
          </w:tcPr>
          <w:p w:rsidR="001F7D1B" w:rsidRPr="00C974DD" w:rsidRDefault="001F7D1B" w:rsidP="00CE4B32">
            <w:pPr>
              <w:keepNext/>
              <w:keepLines/>
              <w:rPr>
                <w:rFonts w:ascii="Arial Narrow" w:hAnsi="Arial Narrow"/>
                <w:sz w:val="20"/>
                <w:szCs w:val="18"/>
              </w:rPr>
            </w:pPr>
            <w:r w:rsidRPr="00C974DD">
              <w:rPr>
                <w:rFonts w:ascii="Arial Narrow" w:hAnsi="Arial Narrow"/>
                <w:sz w:val="20"/>
                <w:szCs w:val="18"/>
              </w:rPr>
              <w:t>Median follow-up</w:t>
            </w:r>
            <w:r w:rsidR="00F36B00" w:rsidRPr="00C974DD">
              <w:rPr>
                <w:rFonts w:ascii="Arial Narrow" w:hAnsi="Arial Narrow"/>
                <w:sz w:val="20"/>
                <w:szCs w:val="18"/>
              </w:rPr>
              <w:t>, months</w:t>
            </w:r>
          </w:p>
        </w:tc>
        <w:tc>
          <w:tcPr>
            <w:tcW w:w="666" w:type="pct"/>
            <w:gridSpan w:val="2"/>
            <w:vAlign w:val="center"/>
          </w:tcPr>
          <w:p w:rsidR="001F7D1B" w:rsidRPr="00C974DD" w:rsidRDefault="001F7D1B" w:rsidP="00CE4B32">
            <w:pPr>
              <w:keepNext/>
              <w:keepLines/>
              <w:jc w:val="center"/>
              <w:rPr>
                <w:rFonts w:ascii="Arial Narrow" w:hAnsi="Arial Narrow"/>
                <w:sz w:val="20"/>
              </w:rPr>
            </w:pPr>
            <w:r w:rsidRPr="00C974DD">
              <w:rPr>
                <w:rFonts w:ascii="Arial Narrow" w:hAnsi="Arial Narrow"/>
                <w:sz w:val="20"/>
              </w:rPr>
              <w:t>9.7</w:t>
            </w:r>
          </w:p>
        </w:tc>
        <w:tc>
          <w:tcPr>
            <w:tcW w:w="917" w:type="pct"/>
            <w:gridSpan w:val="2"/>
            <w:vAlign w:val="center"/>
          </w:tcPr>
          <w:p w:rsidR="001F7D1B" w:rsidRPr="00C974DD" w:rsidRDefault="001F7D1B" w:rsidP="00CE4B32">
            <w:pPr>
              <w:keepNext/>
              <w:keepLines/>
              <w:jc w:val="center"/>
              <w:rPr>
                <w:rFonts w:ascii="Arial Narrow" w:hAnsi="Arial Narrow"/>
                <w:sz w:val="20"/>
              </w:rPr>
            </w:pPr>
            <w:r w:rsidRPr="00C974DD">
              <w:rPr>
                <w:rFonts w:ascii="Arial Narrow" w:hAnsi="Arial Narrow"/>
                <w:sz w:val="20"/>
              </w:rPr>
              <w:t>N</w:t>
            </w:r>
            <w:r w:rsidR="00F36B00" w:rsidRPr="00C974DD">
              <w:rPr>
                <w:rFonts w:ascii="Arial Narrow" w:hAnsi="Arial Narrow"/>
                <w:sz w:val="20"/>
              </w:rPr>
              <w:t>A</w:t>
            </w:r>
          </w:p>
        </w:tc>
        <w:tc>
          <w:tcPr>
            <w:tcW w:w="835" w:type="pct"/>
            <w:gridSpan w:val="2"/>
            <w:vAlign w:val="center"/>
          </w:tcPr>
          <w:p w:rsidR="001F7D1B" w:rsidRPr="00C974DD" w:rsidRDefault="001F7D1B" w:rsidP="00CE4B32">
            <w:pPr>
              <w:keepNext/>
              <w:keepLines/>
              <w:jc w:val="center"/>
              <w:rPr>
                <w:rFonts w:ascii="Arial Narrow" w:hAnsi="Arial Narrow"/>
                <w:sz w:val="20"/>
              </w:rPr>
            </w:pPr>
            <w:r w:rsidRPr="00C974DD">
              <w:rPr>
                <w:rFonts w:ascii="Arial Narrow" w:hAnsi="Arial Narrow"/>
                <w:sz w:val="20"/>
              </w:rPr>
              <w:t>11.8</w:t>
            </w:r>
          </w:p>
        </w:tc>
        <w:tc>
          <w:tcPr>
            <w:tcW w:w="754" w:type="pct"/>
            <w:vAlign w:val="center"/>
          </w:tcPr>
          <w:p w:rsidR="001F7D1B" w:rsidRPr="00C974DD" w:rsidRDefault="001F7D1B" w:rsidP="00CE4B32">
            <w:pPr>
              <w:keepNext/>
              <w:keepLines/>
              <w:jc w:val="center"/>
              <w:rPr>
                <w:rFonts w:ascii="Arial Narrow" w:hAnsi="Arial Narrow"/>
                <w:sz w:val="20"/>
                <w:szCs w:val="18"/>
              </w:rPr>
            </w:pPr>
          </w:p>
        </w:tc>
        <w:tc>
          <w:tcPr>
            <w:tcW w:w="643" w:type="pct"/>
            <w:vAlign w:val="center"/>
          </w:tcPr>
          <w:p w:rsidR="001F7D1B" w:rsidRPr="00C974DD" w:rsidRDefault="001F7D1B" w:rsidP="00CE4B32">
            <w:pPr>
              <w:keepNext/>
              <w:keepLines/>
              <w:jc w:val="center"/>
              <w:rPr>
                <w:rFonts w:ascii="Arial Narrow" w:hAnsi="Arial Narrow"/>
                <w:sz w:val="20"/>
                <w:szCs w:val="18"/>
              </w:rPr>
            </w:pPr>
          </w:p>
        </w:tc>
      </w:tr>
      <w:tr w:rsidR="00C974DD" w:rsidRPr="00C974DD" w:rsidTr="00F67423">
        <w:tc>
          <w:tcPr>
            <w:tcW w:w="1185" w:type="pct"/>
            <w:gridSpan w:val="2"/>
            <w:shd w:val="clear" w:color="auto" w:fill="auto"/>
            <w:vAlign w:val="center"/>
          </w:tcPr>
          <w:p w:rsidR="001F7D1B" w:rsidRPr="00C974DD" w:rsidRDefault="001F7D1B" w:rsidP="00CE4B32">
            <w:pPr>
              <w:keepNext/>
              <w:keepLines/>
              <w:rPr>
                <w:rFonts w:ascii="Arial Narrow" w:hAnsi="Arial Narrow"/>
                <w:sz w:val="20"/>
                <w:szCs w:val="18"/>
              </w:rPr>
            </w:pPr>
            <w:r w:rsidRPr="00C974DD">
              <w:rPr>
                <w:rFonts w:ascii="Arial Narrow" w:hAnsi="Arial Narrow"/>
                <w:sz w:val="20"/>
                <w:szCs w:val="18"/>
              </w:rPr>
              <w:t>Progressed</w:t>
            </w:r>
          </w:p>
        </w:tc>
        <w:tc>
          <w:tcPr>
            <w:tcW w:w="666" w:type="pct"/>
            <w:gridSpan w:val="2"/>
            <w:vAlign w:val="center"/>
          </w:tcPr>
          <w:p w:rsidR="001F7D1B" w:rsidRPr="00C974DD" w:rsidRDefault="001F7D1B" w:rsidP="00CE4B32">
            <w:pPr>
              <w:keepNext/>
              <w:keepLines/>
              <w:jc w:val="center"/>
              <w:rPr>
                <w:rFonts w:ascii="Arial Narrow" w:hAnsi="Arial Narrow"/>
                <w:sz w:val="20"/>
              </w:rPr>
            </w:pPr>
            <w:r w:rsidRPr="00C974DD">
              <w:rPr>
                <w:rFonts w:ascii="Arial Narrow" w:hAnsi="Arial Narrow"/>
                <w:sz w:val="20"/>
              </w:rPr>
              <w:t>57 (46%)</w:t>
            </w:r>
          </w:p>
        </w:tc>
        <w:tc>
          <w:tcPr>
            <w:tcW w:w="917" w:type="pct"/>
            <w:gridSpan w:val="2"/>
            <w:vAlign w:val="center"/>
          </w:tcPr>
          <w:p w:rsidR="001F7D1B" w:rsidRPr="00C974DD" w:rsidRDefault="001F7D1B" w:rsidP="00CE4B32">
            <w:pPr>
              <w:keepNext/>
              <w:keepLines/>
              <w:jc w:val="center"/>
              <w:rPr>
                <w:rFonts w:ascii="Arial Narrow" w:hAnsi="Arial Narrow"/>
                <w:sz w:val="20"/>
              </w:rPr>
            </w:pPr>
            <w:r w:rsidRPr="00C974DD">
              <w:rPr>
                <w:rFonts w:ascii="Arial Narrow" w:hAnsi="Arial Narrow"/>
                <w:sz w:val="20"/>
              </w:rPr>
              <w:t>N</w:t>
            </w:r>
            <w:r w:rsidR="00F36B00" w:rsidRPr="00C974DD">
              <w:rPr>
                <w:rFonts w:ascii="Arial Narrow" w:hAnsi="Arial Narrow"/>
                <w:sz w:val="20"/>
              </w:rPr>
              <w:t>A</w:t>
            </w:r>
          </w:p>
        </w:tc>
        <w:tc>
          <w:tcPr>
            <w:tcW w:w="835" w:type="pct"/>
            <w:gridSpan w:val="2"/>
            <w:vAlign w:val="center"/>
          </w:tcPr>
          <w:p w:rsidR="001F7D1B" w:rsidRPr="00C974DD" w:rsidRDefault="001F7D1B" w:rsidP="00CE4B32">
            <w:pPr>
              <w:keepNext/>
              <w:keepLines/>
              <w:jc w:val="center"/>
              <w:rPr>
                <w:rFonts w:ascii="Arial Narrow" w:hAnsi="Arial Narrow"/>
                <w:sz w:val="20"/>
              </w:rPr>
            </w:pPr>
            <w:r w:rsidRPr="00C974DD">
              <w:rPr>
                <w:rFonts w:ascii="Arial Narrow" w:hAnsi="Arial Narrow"/>
                <w:sz w:val="20"/>
              </w:rPr>
              <w:t>57 (57%)</w:t>
            </w:r>
          </w:p>
        </w:tc>
        <w:tc>
          <w:tcPr>
            <w:tcW w:w="754" w:type="pct"/>
            <w:vAlign w:val="center"/>
          </w:tcPr>
          <w:p w:rsidR="001F7D1B" w:rsidRPr="00C974DD" w:rsidRDefault="001F7D1B" w:rsidP="00CE4B32">
            <w:pPr>
              <w:keepNext/>
              <w:keepLines/>
              <w:jc w:val="center"/>
              <w:rPr>
                <w:rFonts w:ascii="Arial Narrow" w:hAnsi="Arial Narrow"/>
                <w:sz w:val="20"/>
                <w:szCs w:val="18"/>
              </w:rPr>
            </w:pPr>
            <w:r w:rsidRPr="00C974DD">
              <w:rPr>
                <w:rFonts w:ascii="Arial Narrow" w:hAnsi="Arial Narrow"/>
                <w:sz w:val="20"/>
                <w:szCs w:val="18"/>
              </w:rPr>
              <w:t>-</w:t>
            </w:r>
          </w:p>
        </w:tc>
        <w:tc>
          <w:tcPr>
            <w:tcW w:w="643" w:type="pct"/>
            <w:vAlign w:val="center"/>
          </w:tcPr>
          <w:p w:rsidR="001F7D1B" w:rsidRPr="00C974DD" w:rsidRDefault="001F7D1B" w:rsidP="00CE4B32">
            <w:pPr>
              <w:keepNext/>
              <w:keepLines/>
              <w:jc w:val="center"/>
              <w:rPr>
                <w:rFonts w:ascii="Arial Narrow" w:hAnsi="Arial Narrow"/>
                <w:sz w:val="20"/>
                <w:szCs w:val="18"/>
              </w:rPr>
            </w:pPr>
          </w:p>
        </w:tc>
      </w:tr>
      <w:tr w:rsidR="00C974DD" w:rsidRPr="00C974DD" w:rsidTr="00F67423">
        <w:tc>
          <w:tcPr>
            <w:tcW w:w="1185" w:type="pct"/>
            <w:gridSpan w:val="2"/>
            <w:shd w:val="clear" w:color="auto" w:fill="auto"/>
            <w:vAlign w:val="center"/>
          </w:tcPr>
          <w:p w:rsidR="001F7D1B" w:rsidRPr="00C974DD" w:rsidRDefault="001F7D1B" w:rsidP="00CE4B32">
            <w:pPr>
              <w:keepNext/>
              <w:keepLines/>
              <w:rPr>
                <w:rFonts w:ascii="Arial Narrow" w:hAnsi="Arial Narrow"/>
                <w:sz w:val="20"/>
                <w:szCs w:val="18"/>
              </w:rPr>
            </w:pPr>
            <w:r w:rsidRPr="00C974DD">
              <w:rPr>
                <w:rFonts w:ascii="Arial Narrow" w:hAnsi="Arial Narrow"/>
                <w:sz w:val="20"/>
                <w:szCs w:val="18"/>
              </w:rPr>
              <w:t>Median (months)</w:t>
            </w:r>
          </w:p>
        </w:tc>
        <w:tc>
          <w:tcPr>
            <w:tcW w:w="666" w:type="pct"/>
            <w:gridSpan w:val="2"/>
            <w:vAlign w:val="center"/>
          </w:tcPr>
          <w:p w:rsidR="00F36B00" w:rsidRPr="00C974DD" w:rsidRDefault="001F7D1B" w:rsidP="00CE4B32">
            <w:pPr>
              <w:keepNext/>
              <w:keepLines/>
              <w:jc w:val="center"/>
              <w:rPr>
                <w:rFonts w:ascii="Arial Narrow" w:hAnsi="Arial Narrow"/>
                <w:sz w:val="20"/>
              </w:rPr>
            </w:pPr>
            <w:r w:rsidRPr="00C974DD">
              <w:rPr>
                <w:rFonts w:ascii="Arial Narrow" w:hAnsi="Arial Narrow"/>
                <w:sz w:val="20"/>
              </w:rPr>
              <w:t xml:space="preserve">11.0 </w:t>
            </w:r>
          </w:p>
          <w:p w:rsidR="001F7D1B" w:rsidRPr="00C974DD" w:rsidRDefault="001F7D1B" w:rsidP="00CE4B32">
            <w:pPr>
              <w:keepNext/>
              <w:keepLines/>
              <w:jc w:val="center"/>
              <w:rPr>
                <w:rFonts w:ascii="Arial Narrow" w:hAnsi="Arial Narrow"/>
                <w:sz w:val="20"/>
              </w:rPr>
            </w:pPr>
            <w:r w:rsidRPr="00C974DD">
              <w:rPr>
                <w:rFonts w:ascii="Arial Narrow" w:hAnsi="Arial Narrow"/>
                <w:sz w:val="20"/>
              </w:rPr>
              <w:t>(8.1, 13.8)</w:t>
            </w:r>
          </w:p>
        </w:tc>
        <w:tc>
          <w:tcPr>
            <w:tcW w:w="917" w:type="pct"/>
            <w:gridSpan w:val="2"/>
            <w:vAlign w:val="center"/>
          </w:tcPr>
          <w:p w:rsidR="00F36B00" w:rsidRPr="00C974DD" w:rsidRDefault="001F7D1B" w:rsidP="00CE4B32">
            <w:pPr>
              <w:keepNext/>
              <w:keepLines/>
              <w:jc w:val="center"/>
              <w:rPr>
                <w:rFonts w:ascii="Arial Narrow" w:hAnsi="Arial Narrow"/>
                <w:sz w:val="20"/>
              </w:rPr>
            </w:pPr>
            <w:r w:rsidRPr="00C974DD">
              <w:rPr>
                <w:rFonts w:ascii="Arial Narrow" w:hAnsi="Arial Narrow"/>
                <w:sz w:val="20"/>
              </w:rPr>
              <w:t xml:space="preserve">6.8 </w:t>
            </w:r>
          </w:p>
          <w:p w:rsidR="001F7D1B" w:rsidRPr="00C974DD" w:rsidRDefault="001F7D1B" w:rsidP="00CE4B32">
            <w:pPr>
              <w:keepNext/>
              <w:keepLines/>
              <w:jc w:val="center"/>
              <w:rPr>
                <w:rFonts w:ascii="Arial Narrow" w:hAnsi="Arial Narrow"/>
                <w:sz w:val="20"/>
              </w:rPr>
            </w:pPr>
            <w:r w:rsidRPr="00C974DD">
              <w:rPr>
                <w:rFonts w:ascii="Arial Narrow" w:hAnsi="Arial Narrow"/>
                <w:sz w:val="20"/>
              </w:rPr>
              <w:t xml:space="preserve">(range 1.7, &gt;25.9) </w:t>
            </w:r>
            <w:r w:rsidRPr="00C974DD">
              <w:rPr>
                <w:rFonts w:ascii="Arial Narrow" w:hAnsi="Arial Narrow"/>
                <w:sz w:val="20"/>
                <w:vertAlign w:val="superscript"/>
              </w:rPr>
              <w:t>b</w:t>
            </w:r>
            <w:r w:rsidRPr="00C974DD">
              <w:rPr>
                <w:rFonts w:ascii="Arial Narrow" w:hAnsi="Arial Narrow"/>
                <w:sz w:val="20"/>
              </w:rPr>
              <w:t xml:space="preserve"> </w:t>
            </w:r>
          </w:p>
        </w:tc>
        <w:tc>
          <w:tcPr>
            <w:tcW w:w="835" w:type="pct"/>
            <w:gridSpan w:val="2"/>
            <w:vAlign w:val="center"/>
          </w:tcPr>
          <w:p w:rsidR="001F7D1B" w:rsidRPr="00C974DD" w:rsidRDefault="001F7D1B" w:rsidP="00CE4B32">
            <w:pPr>
              <w:keepNext/>
              <w:keepLines/>
              <w:jc w:val="center"/>
              <w:rPr>
                <w:rFonts w:ascii="Arial Narrow" w:hAnsi="Arial Narrow"/>
                <w:sz w:val="20"/>
              </w:rPr>
            </w:pPr>
            <w:r w:rsidRPr="00C974DD">
              <w:rPr>
                <w:rFonts w:ascii="Arial Narrow" w:hAnsi="Arial Narrow"/>
                <w:sz w:val="20"/>
              </w:rPr>
              <w:t xml:space="preserve">9.3 </w:t>
            </w:r>
          </w:p>
          <w:p w:rsidR="001F7D1B" w:rsidRPr="00C974DD" w:rsidRDefault="001F7D1B" w:rsidP="00CE4B32">
            <w:pPr>
              <w:keepNext/>
              <w:keepLines/>
              <w:jc w:val="center"/>
              <w:rPr>
                <w:rFonts w:ascii="Arial Narrow" w:hAnsi="Arial Narrow"/>
                <w:sz w:val="20"/>
              </w:rPr>
            </w:pPr>
            <w:r w:rsidRPr="00C974DD">
              <w:rPr>
                <w:rFonts w:ascii="Arial Narrow" w:hAnsi="Arial Narrow"/>
                <w:sz w:val="20"/>
              </w:rPr>
              <w:t>(8.1, 11.9)</w:t>
            </w:r>
          </w:p>
        </w:tc>
        <w:tc>
          <w:tcPr>
            <w:tcW w:w="754" w:type="pct"/>
            <w:vAlign w:val="center"/>
          </w:tcPr>
          <w:p w:rsidR="001F7D1B" w:rsidRPr="00C974DD" w:rsidRDefault="001F7D1B" w:rsidP="00CE4B32">
            <w:pPr>
              <w:keepNext/>
              <w:keepLines/>
              <w:jc w:val="center"/>
              <w:rPr>
                <w:rFonts w:ascii="Arial Narrow" w:hAnsi="Arial Narrow"/>
                <w:sz w:val="20"/>
                <w:szCs w:val="18"/>
              </w:rPr>
            </w:pPr>
            <w:r w:rsidRPr="00C974DD">
              <w:rPr>
                <w:rFonts w:ascii="Arial Narrow" w:hAnsi="Arial Narrow"/>
                <w:sz w:val="20"/>
                <w:szCs w:val="18"/>
              </w:rPr>
              <w:t>1.7</w:t>
            </w:r>
          </w:p>
          <w:p w:rsidR="001F7D1B" w:rsidRPr="00C974DD" w:rsidRDefault="001F7D1B" w:rsidP="00CE4B32">
            <w:pPr>
              <w:keepNext/>
              <w:keepLines/>
              <w:jc w:val="center"/>
              <w:rPr>
                <w:rFonts w:ascii="Arial Narrow" w:hAnsi="Arial Narrow"/>
                <w:sz w:val="20"/>
                <w:szCs w:val="18"/>
              </w:rPr>
            </w:pPr>
            <w:r w:rsidRPr="00C974DD">
              <w:rPr>
                <w:rFonts w:ascii="Arial Narrow" w:hAnsi="Arial Narrow"/>
                <w:sz w:val="20"/>
                <w:szCs w:val="18"/>
              </w:rPr>
              <w:t>(-1.7, 5.1)</w:t>
            </w:r>
          </w:p>
        </w:tc>
        <w:tc>
          <w:tcPr>
            <w:tcW w:w="643" w:type="pct"/>
            <w:vAlign w:val="center"/>
          </w:tcPr>
          <w:p w:rsidR="001F7D1B" w:rsidRPr="00C974DD" w:rsidRDefault="001F7D1B" w:rsidP="00CE4B32">
            <w:pPr>
              <w:keepNext/>
              <w:keepLines/>
              <w:jc w:val="center"/>
              <w:rPr>
                <w:rFonts w:ascii="Arial Narrow" w:hAnsi="Arial Narrow"/>
                <w:sz w:val="20"/>
                <w:szCs w:val="18"/>
              </w:rPr>
            </w:pPr>
            <w:r w:rsidRPr="00C974DD">
              <w:rPr>
                <w:rFonts w:ascii="Arial Narrow" w:hAnsi="Arial Narrow"/>
                <w:sz w:val="20"/>
                <w:szCs w:val="18"/>
              </w:rPr>
              <w:t>NR</w:t>
            </w:r>
          </w:p>
        </w:tc>
      </w:tr>
      <w:tr w:rsidR="00C974DD" w:rsidRPr="00C974DD" w:rsidTr="00F67423">
        <w:tc>
          <w:tcPr>
            <w:tcW w:w="1185" w:type="pct"/>
            <w:gridSpan w:val="2"/>
            <w:shd w:val="clear" w:color="auto" w:fill="auto"/>
            <w:vAlign w:val="center"/>
          </w:tcPr>
          <w:p w:rsidR="001F7D1B" w:rsidRPr="00C974DD" w:rsidRDefault="001F7D1B" w:rsidP="00CE4B32">
            <w:pPr>
              <w:keepNext/>
              <w:keepLines/>
              <w:rPr>
                <w:rFonts w:ascii="Arial Narrow" w:hAnsi="Arial Narrow"/>
                <w:b/>
                <w:sz w:val="20"/>
                <w:szCs w:val="18"/>
              </w:rPr>
            </w:pPr>
            <w:r w:rsidRPr="00C974DD">
              <w:rPr>
                <w:rFonts w:ascii="Arial Narrow" w:hAnsi="Arial Narrow"/>
                <w:b/>
                <w:sz w:val="20"/>
                <w:szCs w:val="18"/>
              </w:rPr>
              <w:t>Overall survival</w:t>
            </w:r>
          </w:p>
        </w:tc>
        <w:tc>
          <w:tcPr>
            <w:tcW w:w="666" w:type="pct"/>
            <w:gridSpan w:val="2"/>
            <w:vAlign w:val="center"/>
          </w:tcPr>
          <w:p w:rsidR="001F7D1B" w:rsidRPr="00C974DD" w:rsidRDefault="001F7D1B" w:rsidP="00CE4B32">
            <w:pPr>
              <w:keepNext/>
              <w:keepLines/>
              <w:jc w:val="center"/>
              <w:rPr>
                <w:rFonts w:ascii="Arial Narrow" w:hAnsi="Arial Narrow"/>
                <w:sz w:val="20"/>
              </w:rPr>
            </w:pPr>
          </w:p>
        </w:tc>
        <w:tc>
          <w:tcPr>
            <w:tcW w:w="917" w:type="pct"/>
            <w:gridSpan w:val="2"/>
            <w:vAlign w:val="center"/>
          </w:tcPr>
          <w:p w:rsidR="001F7D1B" w:rsidRPr="00C974DD" w:rsidRDefault="001F7D1B" w:rsidP="00CE4B32">
            <w:pPr>
              <w:keepNext/>
              <w:keepLines/>
              <w:jc w:val="center"/>
              <w:rPr>
                <w:rFonts w:ascii="Arial Narrow" w:hAnsi="Arial Narrow"/>
                <w:sz w:val="20"/>
              </w:rPr>
            </w:pPr>
          </w:p>
        </w:tc>
        <w:tc>
          <w:tcPr>
            <w:tcW w:w="835" w:type="pct"/>
            <w:gridSpan w:val="2"/>
            <w:vAlign w:val="center"/>
          </w:tcPr>
          <w:p w:rsidR="001F7D1B" w:rsidRPr="00C974DD" w:rsidRDefault="001F7D1B" w:rsidP="00CE4B32">
            <w:pPr>
              <w:keepNext/>
              <w:keepLines/>
              <w:jc w:val="center"/>
              <w:rPr>
                <w:rFonts w:ascii="Arial Narrow" w:hAnsi="Arial Narrow"/>
                <w:sz w:val="20"/>
              </w:rPr>
            </w:pPr>
          </w:p>
        </w:tc>
        <w:tc>
          <w:tcPr>
            <w:tcW w:w="754" w:type="pct"/>
            <w:vAlign w:val="center"/>
          </w:tcPr>
          <w:p w:rsidR="001F7D1B" w:rsidRPr="00C974DD" w:rsidRDefault="001F7D1B" w:rsidP="00CE4B32">
            <w:pPr>
              <w:keepNext/>
              <w:keepLines/>
              <w:jc w:val="center"/>
              <w:rPr>
                <w:rFonts w:ascii="Arial Narrow" w:hAnsi="Arial Narrow"/>
                <w:sz w:val="20"/>
                <w:szCs w:val="18"/>
              </w:rPr>
            </w:pPr>
          </w:p>
        </w:tc>
        <w:tc>
          <w:tcPr>
            <w:tcW w:w="643" w:type="pct"/>
            <w:vAlign w:val="center"/>
          </w:tcPr>
          <w:p w:rsidR="001F7D1B" w:rsidRPr="00C974DD" w:rsidRDefault="001F7D1B" w:rsidP="00CE4B32">
            <w:pPr>
              <w:keepNext/>
              <w:keepLines/>
              <w:jc w:val="center"/>
              <w:rPr>
                <w:rFonts w:ascii="Arial Narrow" w:hAnsi="Arial Narrow"/>
                <w:sz w:val="20"/>
                <w:szCs w:val="18"/>
              </w:rPr>
            </w:pPr>
          </w:p>
        </w:tc>
      </w:tr>
      <w:tr w:rsidR="00C974DD" w:rsidRPr="00C974DD" w:rsidTr="00F67423">
        <w:tc>
          <w:tcPr>
            <w:tcW w:w="1185" w:type="pct"/>
            <w:gridSpan w:val="2"/>
            <w:shd w:val="clear" w:color="auto" w:fill="auto"/>
            <w:vAlign w:val="center"/>
          </w:tcPr>
          <w:p w:rsidR="001F7D1B" w:rsidRPr="00C974DD" w:rsidRDefault="001F7D1B" w:rsidP="00CE4B32">
            <w:pPr>
              <w:keepNext/>
              <w:keepLines/>
              <w:rPr>
                <w:rFonts w:ascii="Arial Narrow" w:hAnsi="Arial Narrow"/>
                <w:sz w:val="20"/>
                <w:szCs w:val="18"/>
              </w:rPr>
            </w:pPr>
            <w:r w:rsidRPr="00C974DD">
              <w:rPr>
                <w:rFonts w:ascii="Arial Narrow" w:hAnsi="Arial Narrow"/>
                <w:sz w:val="20"/>
                <w:szCs w:val="18"/>
              </w:rPr>
              <w:t>Died</w:t>
            </w:r>
          </w:p>
        </w:tc>
        <w:tc>
          <w:tcPr>
            <w:tcW w:w="666" w:type="pct"/>
            <w:gridSpan w:val="2"/>
            <w:vAlign w:val="center"/>
          </w:tcPr>
          <w:p w:rsidR="001F7D1B" w:rsidRPr="00C974DD" w:rsidRDefault="001F7D1B" w:rsidP="00CE4B32">
            <w:pPr>
              <w:keepNext/>
              <w:keepLines/>
              <w:jc w:val="center"/>
              <w:rPr>
                <w:rFonts w:ascii="Arial Narrow" w:hAnsi="Arial Narrow"/>
                <w:sz w:val="20"/>
              </w:rPr>
            </w:pPr>
            <w:r w:rsidRPr="00C974DD">
              <w:rPr>
                <w:rFonts w:ascii="Arial Narrow" w:hAnsi="Arial Narrow"/>
                <w:sz w:val="20"/>
              </w:rPr>
              <w:t>28 (22%)</w:t>
            </w:r>
            <w:r w:rsidRPr="00C974DD">
              <w:rPr>
                <w:rFonts w:ascii="Arial Narrow" w:hAnsi="Arial Narrow"/>
                <w:sz w:val="20"/>
                <w:vertAlign w:val="superscript"/>
              </w:rPr>
              <w:t xml:space="preserve"> c</w:t>
            </w:r>
          </w:p>
        </w:tc>
        <w:tc>
          <w:tcPr>
            <w:tcW w:w="917" w:type="pct"/>
            <w:gridSpan w:val="2"/>
            <w:vAlign w:val="center"/>
          </w:tcPr>
          <w:p w:rsidR="001F7D1B" w:rsidRPr="00C974DD" w:rsidRDefault="001F7D1B" w:rsidP="00CE4B32">
            <w:pPr>
              <w:keepNext/>
              <w:keepLines/>
              <w:jc w:val="center"/>
              <w:rPr>
                <w:rFonts w:ascii="Arial Narrow" w:hAnsi="Arial Narrow"/>
                <w:sz w:val="20"/>
              </w:rPr>
            </w:pPr>
            <w:r w:rsidRPr="00C974DD">
              <w:rPr>
                <w:rFonts w:ascii="Arial Narrow" w:hAnsi="Arial Narrow"/>
                <w:sz w:val="20"/>
              </w:rPr>
              <w:t>2 (4%)</w:t>
            </w:r>
          </w:p>
        </w:tc>
        <w:tc>
          <w:tcPr>
            <w:tcW w:w="835" w:type="pct"/>
            <w:gridSpan w:val="2"/>
            <w:vAlign w:val="center"/>
          </w:tcPr>
          <w:p w:rsidR="001F7D1B" w:rsidRPr="00C974DD" w:rsidRDefault="001F7D1B" w:rsidP="00CE4B32">
            <w:pPr>
              <w:keepNext/>
              <w:keepLines/>
              <w:jc w:val="center"/>
              <w:rPr>
                <w:rFonts w:ascii="Arial Narrow" w:hAnsi="Arial Narrow"/>
                <w:sz w:val="20"/>
              </w:rPr>
            </w:pPr>
            <w:r w:rsidRPr="00C974DD">
              <w:rPr>
                <w:rFonts w:ascii="Arial Narrow" w:hAnsi="Arial Narrow"/>
                <w:sz w:val="20"/>
              </w:rPr>
              <w:t>11 (11%)</w:t>
            </w:r>
          </w:p>
        </w:tc>
        <w:tc>
          <w:tcPr>
            <w:tcW w:w="754" w:type="pct"/>
            <w:vAlign w:val="center"/>
          </w:tcPr>
          <w:p w:rsidR="001F7D1B" w:rsidRPr="00C974DD" w:rsidRDefault="001F7D1B" w:rsidP="00CE4B32">
            <w:pPr>
              <w:keepNext/>
              <w:keepLines/>
              <w:jc w:val="center"/>
              <w:rPr>
                <w:rFonts w:ascii="Arial Narrow" w:hAnsi="Arial Narrow"/>
                <w:sz w:val="20"/>
                <w:szCs w:val="18"/>
              </w:rPr>
            </w:pPr>
          </w:p>
        </w:tc>
        <w:tc>
          <w:tcPr>
            <w:tcW w:w="643" w:type="pct"/>
            <w:vAlign w:val="center"/>
          </w:tcPr>
          <w:p w:rsidR="001F7D1B" w:rsidRPr="00C974DD" w:rsidRDefault="001F7D1B" w:rsidP="00CE4B32">
            <w:pPr>
              <w:keepNext/>
              <w:keepLines/>
              <w:jc w:val="center"/>
              <w:rPr>
                <w:rFonts w:ascii="Arial Narrow" w:hAnsi="Arial Narrow"/>
                <w:sz w:val="20"/>
                <w:szCs w:val="18"/>
              </w:rPr>
            </w:pPr>
          </w:p>
        </w:tc>
      </w:tr>
      <w:tr w:rsidR="00C974DD" w:rsidRPr="00C974DD" w:rsidTr="00F67423">
        <w:tc>
          <w:tcPr>
            <w:tcW w:w="1185" w:type="pct"/>
            <w:gridSpan w:val="2"/>
            <w:shd w:val="clear" w:color="auto" w:fill="auto"/>
            <w:vAlign w:val="center"/>
          </w:tcPr>
          <w:p w:rsidR="001F7D1B" w:rsidRPr="00C974DD" w:rsidRDefault="001F7D1B" w:rsidP="00CE4B32">
            <w:pPr>
              <w:keepNext/>
              <w:keepLines/>
              <w:rPr>
                <w:rFonts w:ascii="Arial Narrow" w:hAnsi="Arial Narrow"/>
                <w:sz w:val="20"/>
                <w:szCs w:val="18"/>
              </w:rPr>
            </w:pPr>
            <w:r w:rsidRPr="00C974DD">
              <w:rPr>
                <w:rFonts w:ascii="Arial Narrow" w:hAnsi="Arial Narrow"/>
                <w:sz w:val="20"/>
                <w:szCs w:val="18"/>
              </w:rPr>
              <w:t>Median (months)</w:t>
            </w:r>
          </w:p>
        </w:tc>
        <w:tc>
          <w:tcPr>
            <w:tcW w:w="666" w:type="pct"/>
            <w:gridSpan w:val="2"/>
            <w:vAlign w:val="center"/>
          </w:tcPr>
          <w:p w:rsidR="001F7D1B" w:rsidRPr="00C974DD" w:rsidRDefault="001F7D1B" w:rsidP="00CE4B32">
            <w:pPr>
              <w:keepNext/>
              <w:keepLines/>
              <w:jc w:val="center"/>
              <w:rPr>
                <w:rFonts w:ascii="Arial Narrow" w:hAnsi="Arial Narrow"/>
                <w:sz w:val="20"/>
              </w:rPr>
            </w:pPr>
            <w:r w:rsidRPr="00C974DD">
              <w:rPr>
                <w:rFonts w:ascii="Arial Narrow" w:hAnsi="Arial Narrow"/>
                <w:sz w:val="20"/>
              </w:rPr>
              <w:t xml:space="preserve">20.3 </w:t>
            </w:r>
          </w:p>
          <w:p w:rsidR="001F7D1B" w:rsidRPr="00C974DD" w:rsidRDefault="001F7D1B" w:rsidP="00CE4B32">
            <w:pPr>
              <w:keepNext/>
              <w:keepLines/>
              <w:jc w:val="center"/>
              <w:rPr>
                <w:rFonts w:ascii="Arial Narrow" w:hAnsi="Arial Narrow"/>
                <w:sz w:val="20"/>
              </w:rPr>
            </w:pPr>
            <w:r w:rsidRPr="00C974DD">
              <w:rPr>
                <w:rFonts w:ascii="Arial Narrow" w:hAnsi="Arial Narrow"/>
                <w:sz w:val="20"/>
              </w:rPr>
              <w:t>(16.4, NR)</w:t>
            </w:r>
          </w:p>
        </w:tc>
        <w:tc>
          <w:tcPr>
            <w:tcW w:w="917" w:type="pct"/>
            <w:gridSpan w:val="2"/>
            <w:vAlign w:val="center"/>
          </w:tcPr>
          <w:p w:rsidR="001F7D1B" w:rsidRPr="00C974DD" w:rsidRDefault="001F7D1B" w:rsidP="00CE4B32">
            <w:pPr>
              <w:keepNext/>
              <w:keepLines/>
              <w:jc w:val="center"/>
              <w:rPr>
                <w:rFonts w:ascii="Arial Narrow" w:hAnsi="Arial Narrow"/>
                <w:sz w:val="20"/>
              </w:rPr>
            </w:pPr>
            <w:r w:rsidRPr="00C974DD">
              <w:rPr>
                <w:rFonts w:ascii="Arial Narrow" w:hAnsi="Arial Narrow"/>
                <w:sz w:val="20"/>
              </w:rPr>
              <w:t>N</w:t>
            </w:r>
            <w:r w:rsidR="00F36B00" w:rsidRPr="00C974DD">
              <w:rPr>
                <w:rFonts w:ascii="Arial Narrow" w:hAnsi="Arial Narrow"/>
                <w:sz w:val="20"/>
              </w:rPr>
              <w:t>A</w:t>
            </w:r>
          </w:p>
        </w:tc>
        <w:tc>
          <w:tcPr>
            <w:tcW w:w="835" w:type="pct"/>
            <w:gridSpan w:val="2"/>
            <w:vAlign w:val="center"/>
          </w:tcPr>
          <w:p w:rsidR="001F7D1B" w:rsidRPr="00C974DD" w:rsidRDefault="001F7D1B" w:rsidP="00CE4B32">
            <w:pPr>
              <w:keepNext/>
              <w:keepLines/>
              <w:jc w:val="center"/>
              <w:rPr>
                <w:rFonts w:ascii="Arial Narrow" w:hAnsi="Arial Narrow"/>
                <w:sz w:val="20"/>
              </w:rPr>
            </w:pPr>
            <w:r w:rsidRPr="00C974DD">
              <w:rPr>
                <w:rFonts w:ascii="Arial Narrow" w:hAnsi="Arial Narrow"/>
                <w:sz w:val="20"/>
              </w:rPr>
              <w:t>N</w:t>
            </w:r>
            <w:r w:rsidR="00F36B00" w:rsidRPr="00C974DD">
              <w:rPr>
                <w:rFonts w:ascii="Arial Narrow" w:hAnsi="Arial Narrow"/>
                <w:sz w:val="20"/>
              </w:rPr>
              <w:t>A</w:t>
            </w:r>
          </w:p>
        </w:tc>
        <w:tc>
          <w:tcPr>
            <w:tcW w:w="754" w:type="pct"/>
            <w:vAlign w:val="center"/>
          </w:tcPr>
          <w:p w:rsidR="001F7D1B" w:rsidRPr="00C974DD" w:rsidRDefault="001F7D1B" w:rsidP="00CE4B32">
            <w:pPr>
              <w:keepNext/>
              <w:keepLines/>
              <w:jc w:val="center"/>
              <w:rPr>
                <w:rFonts w:ascii="Arial Narrow" w:hAnsi="Arial Narrow"/>
                <w:sz w:val="20"/>
                <w:szCs w:val="18"/>
              </w:rPr>
            </w:pPr>
          </w:p>
        </w:tc>
        <w:tc>
          <w:tcPr>
            <w:tcW w:w="643" w:type="pct"/>
            <w:vAlign w:val="center"/>
          </w:tcPr>
          <w:p w:rsidR="001F7D1B" w:rsidRPr="00C974DD" w:rsidRDefault="00F36B00" w:rsidP="00CE4B32">
            <w:pPr>
              <w:keepNext/>
              <w:keepLines/>
              <w:jc w:val="center"/>
              <w:rPr>
                <w:rFonts w:ascii="Arial Narrow" w:hAnsi="Arial Narrow"/>
                <w:sz w:val="20"/>
                <w:szCs w:val="18"/>
              </w:rPr>
            </w:pPr>
            <w:r w:rsidRPr="00C974DD">
              <w:rPr>
                <w:rFonts w:ascii="Arial Narrow" w:hAnsi="Arial Narrow"/>
                <w:sz w:val="20"/>
                <w:szCs w:val="18"/>
              </w:rPr>
              <w:t>NR</w:t>
            </w:r>
          </w:p>
        </w:tc>
      </w:tr>
      <w:tr w:rsidR="00C974DD" w:rsidRPr="00C974DD" w:rsidTr="002A01E0">
        <w:tc>
          <w:tcPr>
            <w:tcW w:w="5000" w:type="pct"/>
            <w:gridSpan w:val="10"/>
            <w:tcBorders>
              <w:top w:val="double" w:sz="4" w:space="0" w:color="auto"/>
            </w:tcBorders>
            <w:shd w:val="clear" w:color="auto" w:fill="auto"/>
            <w:vAlign w:val="center"/>
          </w:tcPr>
          <w:p w:rsidR="00547F83" w:rsidRPr="00C974DD" w:rsidRDefault="00547F83" w:rsidP="00CE4B32">
            <w:pPr>
              <w:keepNext/>
              <w:keepLines/>
              <w:rPr>
                <w:rFonts w:ascii="Arial Narrow" w:hAnsi="Arial Narrow"/>
                <w:b/>
                <w:sz w:val="20"/>
                <w:szCs w:val="18"/>
              </w:rPr>
            </w:pPr>
            <w:r w:rsidRPr="00C974DD">
              <w:rPr>
                <w:rFonts w:ascii="Arial Narrow" w:hAnsi="Arial Narrow"/>
                <w:b/>
                <w:sz w:val="20"/>
                <w:szCs w:val="18"/>
              </w:rPr>
              <w:t xml:space="preserve">Harms </w:t>
            </w:r>
          </w:p>
        </w:tc>
      </w:tr>
      <w:tr w:rsidR="00C974DD" w:rsidRPr="00C974DD" w:rsidTr="00F67423">
        <w:trPr>
          <w:trHeight w:val="20"/>
        </w:trPr>
        <w:tc>
          <w:tcPr>
            <w:tcW w:w="852" w:type="pct"/>
            <w:vMerge w:val="restart"/>
            <w:shd w:val="clear" w:color="auto" w:fill="auto"/>
            <w:vAlign w:val="center"/>
          </w:tcPr>
          <w:p w:rsidR="00547F83" w:rsidRPr="00C974DD" w:rsidRDefault="00547F83" w:rsidP="00CE4B32">
            <w:pPr>
              <w:keepNext/>
              <w:keepLines/>
              <w:rPr>
                <w:rFonts w:ascii="Arial Narrow" w:hAnsi="Arial Narrow"/>
                <w:b/>
                <w:sz w:val="20"/>
                <w:szCs w:val="18"/>
              </w:rPr>
            </w:pPr>
          </w:p>
        </w:tc>
        <w:tc>
          <w:tcPr>
            <w:tcW w:w="499" w:type="pct"/>
            <w:gridSpan w:val="2"/>
            <w:vMerge w:val="restart"/>
            <w:vAlign w:val="center"/>
          </w:tcPr>
          <w:p w:rsidR="00547F83" w:rsidRPr="00C974DD" w:rsidRDefault="00F36B00" w:rsidP="00CE4B32">
            <w:pPr>
              <w:keepNext/>
              <w:keepLines/>
              <w:jc w:val="center"/>
              <w:rPr>
                <w:rFonts w:ascii="Arial Narrow" w:hAnsi="Arial Narrow"/>
                <w:b/>
                <w:sz w:val="20"/>
                <w:szCs w:val="18"/>
              </w:rPr>
            </w:pPr>
            <w:r w:rsidRPr="00C974DD">
              <w:rPr>
                <w:rFonts w:ascii="Arial Narrow" w:hAnsi="Arial Narrow"/>
                <w:b/>
                <w:sz w:val="20"/>
                <w:szCs w:val="18"/>
              </w:rPr>
              <w:t>I</w:t>
            </w:r>
            <w:r w:rsidR="001F7D1B" w:rsidRPr="00C974DD">
              <w:rPr>
                <w:rFonts w:ascii="Arial Narrow" w:hAnsi="Arial Narrow"/>
                <w:b/>
                <w:sz w:val="20"/>
                <w:szCs w:val="18"/>
              </w:rPr>
              <w:t>delalisib</w:t>
            </w:r>
          </w:p>
        </w:tc>
        <w:tc>
          <w:tcPr>
            <w:tcW w:w="748" w:type="pct"/>
            <w:gridSpan w:val="2"/>
            <w:vMerge w:val="restart"/>
            <w:vAlign w:val="center"/>
          </w:tcPr>
          <w:p w:rsidR="00547F83" w:rsidRPr="00C974DD" w:rsidRDefault="001F7D1B" w:rsidP="00CE4B32">
            <w:pPr>
              <w:keepNext/>
              <w:keepLines/>
              <w:jc w:val="center"/>
              <w:rPr>
                <w:rFonts w:ascii="Arial Narrow" w:hAnsi="Arial Narrow"/>
                <w:b/>
                <w:sz w:val="20"/>
                <w:szCs w:val="18"/>
              </w:rPr>
            </w:pPr>
            <w:r w:rsidRPr="00C974DD">
              <w:rPr>
                <w:rFonts w:ascii="Arial Narrow" w:hAnsi="Arial Narrow"/>
                <w:b/>
                <w:sz w:val="20"/>
                <w:szCs w:val="18"/>
              </w:rPr>
              <w:t>Bendamustine</w:t>
            </w:r>
          </w:p>
        </w:tc>
        <w:tc>
          <w:tcPr>
            <w:tcW w:w="836" w:type="pct"/>
            <w:gridSpan w:val="2"/>
            <w:vMerge w:val="restart"/>
            <w:vAlign w:val="center"/>
          </w:tcPr>
          <w:p w:rsidR="00547F83" w:rsidRPr="00C974DD" w:rsidRDefault="00547F83" w:rsidP="00CE4B32">
            <w:pPr>
              <w:keepNext/>
              <w:keepLines/>
              <w:jc w:val="center"/>
              <w:rPr>
                <w:rFonts w:ascii="Arial Narrow" w:hAnsi="Arial Narrow"/>
                <w:b/>
                <w:sz w:val="20"/>
                <w:szCs w:val="18"/>
              </w:rPr>
            </w:pPr>
            <w:r w:rsidRPr="00C974DD">
              <w:rPr>
                <w:rFonts w:ascii="Arial Narrow" w:hAnsi="Arial Narrow"/>
                <w:b/>
                <w:sz w:val="20"/>
                <w:szCs w:val="18"/>
              </w:rPr>
              <w:t>RR</w:t>
            </w:r>
          </w:p>
          <w:p w:rsidR="00547F83" w:rsidRPr="00C974DD" w:rsidRDefault="00547F83" w:rsidP="00CE4B32">
            <w:pPr>
              <w:keepNext/>
              <w:keepLines/>
              <w:jc w:val="center"/>
              <w:rPr>
                <w:rFonts w:ascii="Arial Narrow" w:hAnsi="Arial Narrow"/>
                <w:b/>
                <w:sz w:val="20"/>
                <w:szCs w:val="18"/>
              </w:rPr>
            </w:pPr>
            <w:r w:rsidRPr="00C974DD">
              <w:rPr>
                <w:rFonts w:ascii="Arial Narrow" w:hAnsi="Arial Narrow"/>
                <w:b/>
                <w:sz w:val="20"/>
                <w:szCs w:val="18"/>
              </w:rPr>
              <w:t>(95% CI)</w:t>
            </w:r>
          </w:p>
        </w:tc>
        <w:tc>
          <w:tcPr>
            <w:tcW w:w="1422" w:type="pct"/>
            <w:gridSpan w:val="2"/>
            <w:vAlign w:val="center"/>
          </w:tcPr>
          <w:p w:rsidR="00547F83" w:rsidRPr="00C974DD" w:rsidRDefault="00547F83" w:rsidP="00CE4B32">
            <w:pPr>
              <w:keepNext/>
              <w:keepLines/>
              <w:jc w:val="center"/>
              <w:rPr>
                <w:rFonts w:ascii="Arial Narrow" w:hAnsi="Arial Narrow"/>
                <w:b/>
                <w:sz w:val="20"/>
                <w:szCs w:val="18"/>
              </w:rPr>
            </w:pPr>
            <w:r w:rsidRPr="00C974DD">
              <w:rPr>
                <w:rFonts w:ascii="Arial Narrow" w:hAnsi="Arial Narrow"/>
                <w:b/>
                <w:sz w:val="20"/>
                <w:szCs w:val="18"/>
              </w:rPr>
              <w:t xml:space="preserve">Event rate/100 patients* </w:t>
            </w:r>
          </w:p>
        </w:tc>
        <w:tc>
          <w:tcPr>
            <w:tcW w:w="643" w:type="pct"/>
            <w:vMerge w:val="restart"/>
            <w:vAlign w:val="center"/>
          </w:tcPr>
          <w:p w:rsidR="00547F83" w:rsidRPr="00C974DD" w:rsidRDefault="00547F83" w:rsidP="00CE4B32">
            <w:pPr>
              <w:keepNext/>
              <w:keepLines/>
              <w:jc w:val="center"/>
              <w:rPr>
                <w:rFonts w:ascii="Arial Narrow" w:hAnsi="Arial Narrow"/>
                <w:b/>
                <w:sz w:val="20"/>
                <w:szCs w:val="18"/>
              </w:rPr>
            </w:pPr>
            <w:r w:rsidRPr="00C974DD">
              <w:rPr>
                <w:rFonts w:ascii="Arial Narrow" w:hAnsi="Arial Narrow"/>
                <w:b/>
                <w:sz w:val="20"/>
                <w:szCs w:val="18"/>
              </w:rPr>
              <w:t>RD</w:t>
            </w:r>
          </w:p>
          <w:p w:rsidR="00547F83" w:rsidRPr="00C974DD" w:rsidRDefault="00547F83" w:rsidP="00CE4B32">
            <w:pPr>
              <w:keepNext/>
              <w:keepLines/>
              <w:jc w:val="center"/>
              <w:rPr>
                <w:rFonts w:ascii="Arial Narrow" w:hAnsi="Arial Narrow"/>
                <w:b/>
                <w:sz w:val="20"/>
                <w:szCs w:val="18"/>
              </w:rPr>
            </w:pPr>
            <w:r w:rsidRPr="00C974DD">
              <w:rPr>
                <w:rFonts w:ascii="Arial Narrow" w:hAnsi="Arial Narrow"/>
                <w:b/>
                <w:sz w:val="20"/>
                <w:szCs w:val="18"/>
              </w:rPr>
              <w:t>(95% CI)</w:t>
            </w:r>
          </w:p>
        </w:tc>
      </w:tr>
      <w:tr w:rsidR="00C974DD" w:rsidRPr="00C974DD" w:rsidTr="00F67423">
        <w:trPr>
          <w:trHeight w:val="20"/>
        </w:trPr>
        <w:tc>
          <w:tcPr>
            <w:tcW w:w="852" w:type="pct"/>
            <w:vMerge/>
            <w:shd w:val="clear" w:color="auto" w:fill="auto"/>
            <w:vAlign w:val="center"/>
          </w:tcPr>
          <w:p w:rsidR="00C917E5" w:rsidRPr="00C974DD" w:rsidRDefault="00C917E5" w:rsidP="00CE4B32">
            <w:pPr>
              <w:keepNext/>
              <w:keepLines/>
              <w:rPr>
                <w:rFonts w:ascii="Arial Narrow" w:hAnsi="Arial Narrow"/>
                <w:b/>
                <w:sz w:val="20"/>
                <w:szCs w:val="18"/>
              </w:rPr>
            </w:pPr>
          </w:p>
        </w:tc>
        <w:tc>
          <w:tcPr>
            <w:tcW w:w="499" w:type="pct"/>
            <w:gridSpan w:val="2"/>
            <w:vMerge/>
            <w:vAlign w:val="center"/>
          </w:tcPr>
          <w:p w:rsidR="00C917E5" w:rsidRPr="00C974DD" w:rsidRDefault="00C917E5" w:rsidP="00CE4B32">
            <w:pPr>
              <w:keepNext/>
              <w:keepLines/>
              <w:jc w:val="center"/>
              <w:rPr>
                <w:rFonts w:ascii="Arial Narrow" w:hAnsi="Arial Narrow"/>
                <w:b/>
                <w:sz w:val="20"/>
                <w:szCs w:val="18"/>
              </w:rPr>
            </w:pPr>
          </w:p>
        </w:tc>
        <w:tc>
          <w:tcPr>
            <w:tcW w:w="748" w:type="pct"/>
            <w:gridSpan w:val="2"/>
            <w:vMerge/>
            <w:vAlign w:val="center"/>
          </w:tcPr>
          <w:p w:rsidR="00C917E5" w:rsidRPr="00C974DD" w:rsidRDefault="00C917E5" w:rsidP="00CE4B32">
            <w:pPr>
              <w:keepNext/>
              <w:keepLines/>
              <w:jc w:val="center"/>
              <w:rPr>
                <w:rFonts w:ascii="Arial Narrow" w:hAnsi="Arial Narrow"/>
                <w:b/>
                <w:sz w:val="20"/>
                <w:szCs w:val="18"/>
              </w:rPr>
            </w:pPr>
          </w:p>
        </w:tc>
        <w:tc>
          <w:tcPr>
            <w:tcW w:w="836" w:type="pct"/>
            <w:gridSpan w:val="2"/>
            <w:vMerge/>
            <w:vAlign w:val="center"/>
          </w:tcPr>
          <w:p w:rsidR="00C917E5" w:rsidRPr="00C974DD" w:rsidRDefault="00C917E5" w:rsidP="00CE4B32">
            <w:pPr>
              <w:keepNext/>
              <w:keepLines/>
              <w:jc w:val="center"/>
              <w:rPr>
                <w:rFonts w:ascii="Arial Narrow" w:hAnsi="Arial Narrow"/>
                <w:b/>
                <w:sz w:val="20"/>
                <w:szCs w:val="18"/>
              </w:rPr>
            </w:pPr>
          </w:p>
        </w:tc>
        <w:tc>
          <w:tcPr>
            <w:tcW w:w="668" w:type="pct"/>
            <w:vAlign w:val="center"/>
          </w:tcPr>
          <w:p w:rsidR="00C917E5" w:rsidRPr="00C974DD" w:rsidRDefault="00C917E5" w:rsidP="00CE4B32">
            <w:pPr>
              <w:keepNext/>
              <w:keepLines/>
              <w:jc w:val="center"/>
              <w:rPr>
                <w:rFonts w:ascii="Arial Narrow" w:hAnsi="Arial Narrow"/>
                <w:b/>
                <w:sz w:val="20"/>
                <w:szCs w:val="18"/>
              </w:rPr>
            </w:pPr>
            <w:r w:rsidRPr="00C974DD">
              <w:rPr>
                <w:rFonts w:ascii="Arial Narrow" w:hAnsi="Arial Narrow"/>
                <w:b/>
                <w:sz w:val="20"/>
                <w:szCs w:val="18"/>
              </w:rPr>
              <w:t>Idelalisib</w:t>
            </w:r>
          </w:p>
        </w:tc>
        <w:tc>
          <w:tcPr>
            <w:tcW w:w="754" w:type="pct"/>
            <w:vAlign w:val="center"/>
          </w:tcPr>
          <w:p w:rsidR="00C917E5" w:rsidRPr="00C974DD" w:rsidRDefault="00C917E5" w:rsidP="00CE4B32">
            <w:pPr>
              <w:keepNext/>
              <w:keepLines/>
              <w:jc w:val="center"/>
              <w:rPr>
                <w:rFonts w:ascii="Arial Narrow" w:hAnsi="Arial Narrow"/>
                <w:b/>
                <w:sz w:val="20"/>
                <w:szCs w:val="18"/>
              </w:rPr>
            </w:pPr>
            <w:r w:rsidRPr="00C974DD">
              <w:rPr>
                <w:rFonts w:ascii="Arial Narrow" w:hAnsi="Arial Narrow"/>
                <w:b/>
                <w:sz w:val="20"/>
                <w:szCs w:val="18"/>
              </w:rPr>
              <w:t>Bendamustine</w:t>
            </w:r>
          </w:p>
        </w:tc>
        <w:tc>
          <w:tcPr>
            <w:tcW w:w="643" w:type="pct"/>
            <w:vMerge/>
            <w:vAlign w:val="center"/>
          </w:tcPr>
          <w:p w:rsidR="00C917E5" w:rsidRPr="00C974DD" w:rsidRDefault="00C917E5" w:rsidP="00CE4B32">
            <w:pPr>
              <w:keepNext/>
              <w:keepLines/>
              <w:jc w:val="center"/>
              <w:rPr>
                <w:rFonts w:ascii="Arial Narrow" w:hAnsi="Arial Narrow"/>
                <w:b/>
                <w:sz w:val="20"/>
                <w:szCs w:val="18"/>
              </w:rPr>
            </w:pPr>
          </w:p>
        </w:tc>
      </w:tr>
      <w:tr w:rsidR="00C974DD" w:rsidRPr="00C974DD" w:rsidTr="002A01E0">
        <w:tc>
          <w:tcPr>
            <w:tcW w:w="5000" w:type="pct"/>
            <w:gridSpan w:val="10"/>
            <w:shd w:val="clear" w:color="auto" w:fill="auto"/>
            <w:vAlign w:val="center"/>
          </w:tcPr>
          <w:p w:rsidR="00547F83" w:rsidRPr="00C974DD" w:rsidRDefault="00547F83" w:rsidP="00CE4B32">
            <w:pPr>
              <w:keepNext/>
              <w:keepLines/>
              <w:rPr>
                <w:rFonts w:ascii="Arial Narrow" w:hAnsi="Arial Narrow"/>
                <w:sz w:val="20"/>
                <w:szCs w:val="18"/>
              </w:rPr>
            </w:pPr>
            <w:r w:rsidRPr="00C974DD">
              <w:rPr>
                <w:rFonts w:ascii="Arial Narrow" w:hAnsi="Arial Narrow"/>
                <w:b/>
                <w:sz w:val="20"/>
                <w:szCs w:val="18"/>
              </w:rPr>
              <w:t xml:space="preserve">Adverse event </w:t>
            </w:r>
          </w:p>
        </w:tc>
      </w:tr>
      <w:tr w:rsidR="00C974DD" w:rsidRPr="00C974DD" w:rsidTr="00F67423">
        <w:tc>
          <w:tcPr>
            <w:tcW w:w="852" w:type="pct"/>
            <w:shd w:val="clear" w:color="auto" w:fill="auto"/>
            <w:vAlign w:val="center"/>
          </w:tcPr>
          <w:p w:rsidR="009D093F" w:rsidRPr="00C974DD" w:rsidRDefault="009D093F" w:rsidP="00CE4B32">
            <w:pPr>
              <w:keepNext/>
              <w:keepLines/>
              <w:rPr>
                <w:rFonts w:ascii="Arial Narrow" w:hAnsi="Arial Narrow"/>
                <w:sz w:val="20"/>
                <w:szCs w:val="18"/>
              </w:rPr>
            </w:pPr>
            <w:r w:rsidRPr="00C974DD">
              <w:rPr>
                <w:rFonts w:ascii="Arial Narrow" w:hAnsi="Arial Narrow"/>
                <w:sz w:val="20"/>
                <w:szCs w:val="18"/>
              </w:rPr>
              <w:t>Death due to AE</w:t>
            </w:r>
          </w:p>
        </w:tc>
        <w:tc>
          <w:tcPr>
            <w:tcW w:w="499" w:type="pct"/>
            <w:gridSpan w:val="2"/>
            <w:vAlign w:val="center"/>
          </w:tcPr>
          <w:p w:rsidR="009D093F" w:rsidRPr="00C974DD" w:rsidRDefault="009D093F" w:rsidP="00CE4B32">
            <w:pPr>
              <w:keepNext/>
              <w:keepLines/>
              <w:jc w:val="center"/>
              <w:rPr>
                <w:rFonts w:ascii="Arial Narrow" w:hAnsi="Arial Narrow"/>
                <w:sz w:val="20"/>
                <w:szCs w:val="18"/>
              </w:rPr>
            </w:pPr>
            <w:r w:rsidRPr="00C974DD">
              <w:rPr>
                <w:rFonts w:ascii="Arial Narrow" w:hAnsi="Arial Narrow"/>
                <w:sz w:val="20"/>
                <w:szCs w:val="18"/>
              </w:rPr>
              <w:t>10/125</w:t>
            </w:r>
          </w:p>
        </w:tc>
        <w:tc>
          <w:tcPr>
            <w:tcW w:w="748" w:type="pct"/>
            <w:gridSpan w:val="2"/>
            <w:vAlign w:val="center"/>
          </w:tcPr>
          <w:p w:rsidR="009D093F" w:rsidRPr="00C974DD" w:rsidRDefault="009D093F" w:rsidP="00CE4B32">
            <w:pPr>
              <w:keepNext/>
              <w:keepLines/>
              <w:jc w:val="center"/>
              <w:rPr>
                <w:rFonts w:ascii="Arial Narrow" w:hAnsi="Arial Narrow"/>
                <w:sz w:val="20"/>
                <w:szCs w:val="18"/>
              </w:rPr>
            </w:pPr>
            <w:r w:rsidRPr="00C974DD">
              <w:rPr>
                <w:rFonts w:ascii="Arial Narrow" w:hAnsi="Arial Narrow"/>
                <w:sz w:val="20"/>
                <w:szCs w:val="18"/>
              </w:rPr>
              <w:t>7/100</w:t>
            </w:r>
          </w:p>
        </w:tc>
        <w:tc>
          <w:tcPr>
            <w:tcW w:w="836" w:type="pct"/>
            <w:gridSpan w:val="2"/>
            <w:vAlign w:val="center"/>
          </w:tcPr>
          <w:p w:rsidR="009D093F" w:rsidRPr="00C974DD" w:rsidRDefault="009D093F" w:rsidP="00CE4B32">
            <w:pPr>
              <w:keepNext/>
              <w:keepLines/>
              <w:jc w:val="center"/>
              <w:rPr>
                <w:rFonts w:ascii="Arial Narrow" w:hAnsi="Arial Narrow"/>
                <w:sz w:val="20"/>
                <w:szCs w:val="18"/>
              </w:rPr>
            </w:pPr>
            <w:r w:rsidRPr="00C974DD">
              <w:rPr>
                <w:rFonts w:ascii="Arial Narrow" w:hAnsi="Arial Narrow"/>
                <w:sz w:val="20"/>
                <w:szCs w:val="18"/>
              </w:rPr>
              <w:t>1.14 (0.45,2.89)</w:t>
            </w:r>
          </w:p>
        </w:tc>
        <w:tc>
          <w:tcPr>
            <w:tcW w:w="668" w:type="pct"/>
            <w:vAlign w:val="center"/>
          </w:tcPr>
          <w:p w:rsidR="009D093F" w:rsidRPr="00C974DD" w:rsidRDefault="009D093F" w:rsidP="00CE4B32">
            <w:pPr>
              <w:keepNext/>
              <w:keepLines/>
              <w:jc w:val="center"/>
              <w:rPr>
                <w:rFonts w:ascii="Arial Narrow" w:hAnsi="Arial Narrow"/>
                <w:sz w:val="20"/>
                <w:szCs w:val="18"/>
              </w:rPr>
            </w:pPr>
            <w:r w:rsidRPr="00C974DD">
              <w:rPr>
                <w:rFonts w:ascii="Arial Narrow" w:hAnsi="Arial Narrow"/>
                <w:sz w:val="20"/>
                <w:szCs w:val="18"/>
              </w:rPr>
              <w:t>8</w:t>
            </w:r>
          </w:p>
        </w:tc>
        <w:tc>
          <w:tcPr>
            <w:tcW w:w="754" w:type="pct"/>
            <w:vAlign w:val="center"/>
          </w:tcPr>
          <w:p w:rsidR="009D093F" w:rsidRPr="00C974DD" w:rsidRDefault="009D093F" w:rsidP="00CE4B32">
            <w:pPr>
              <w:keepNext/>
              <w:keepLines/>
              <w:jc w:val="center"/>
              <w:rPr>
                <w:rFonts w:ascii="Arial Narrow" w:hAnsi="Arial Narrow"/>
                <w:sz w:val="20"/>
                <w:szCs w:val="18"/>
              </w:rPr>
            </w:pPr>
            <w:r w:rsidRPr="00C974DD">
              <w:rPr>
                <w:rFonts w:ascii="Arial Narrow" w:hAnsi="Arial Narrow"/>
                <w:sz w:val="20"/>
                <w:szCs w:val="18"/>
              </w:rPr>
              <w:t>7</w:t>
            </w:r>
          </w:p>
        </w:tc>
        <w:tc>
          <w:tcPr>
            <w:tcW w:w="643" w:type="pct"/>
            <w:vAlign w:val="center"/>
          </w:tcPr>
          <w:p w:rsidR="009D093F" w:rsidRPr="00C974DD" w:rsidRDefault="009D093F" w:rsidP="00CE4B32">
            <w:pPr>
              <w:keepNext/>
              <w:keepLines/>
              <w:jc w:val="center"/>
              <w:rPr>
                <w:rFonts w:ascii="Arial Narrow" w:hAnsi="Arial Narrow"/>
                <w:sz w:val="20"/>
                <w:szCs w:val="18"/>
              </w:rPr>
            </w:pPr>
            <w:r w:rsidRPr="00C974DD">
              <w:rPr>
                <w:rFonts w:ascii="Arial Narrow" w:hAnsi="Arial Narrow"/>
                <w:sz w:val="20"/>
                <w:szCs w:val="18"/>
              </w:rPr>
              <w:t>1.0 (-5.9, 7.9)</w:t>
            </w:r>
          </w:p>
        </w:tc>
      </w:tr>
      <w:tr w:rsidR="00C974DD" w:rsidRPr="00C974DD" w:rsidTr="00F67423">
        <w:tc>
          <w:tcPr>
            <w:tcW w:w="852" w:type="pct"/>
            <w:shd w:val="clear" w:color="auto" w:fill="auto"/>
            <w:vAlign w:val="center"/>
          </w:tcPr>
          <w:p w:rsidR="00AD4372" w:rsidRPr="00C974DD" w:rsidRDefault="00AD4372" w:rsidP="00CE4B32">
            <w:pPr>
              <w:keepNext/>
              <w:keepLines/>
              <w:rPr>
                <w:rFonts w:ascii="Arial Narrow" w:hAnsi="Arial Narrow"/>
                <w:i/>
                <w:sz w:val="20"/>
                <w:szCs w:val="18"/>
              </w:rPr>
            </w:pPr>
            <w:r w:rsidRPr="00C974DD">
              <w:rPr>
                <w:rFonts w:ascii="Arial Narrow" w:hAnsi="Arial Narrow"/>
                <w:i/>
                <w:sz w:val="20"/>
                <w:szCs w:val="18"/>
              </w:rPr>
              <w:t>Death probably due to idelalisib</w:t>
            </w:r>
          </w:p>
        </w:tc>
        <w:tc>
          <w:tcPr>
            <w:tcW w:w="499" w:type="pct"/>
            <w:gridSpan w:val="2"/>
            <w:vAlign w:val="center"/>
          </w:tcPr>
          <w:p w:rsidR="00AD4372" w:rsidRPr="00C974DD" w:rsidRDefault="00AD4372" w:rsidP="00CE4B32">
            <w:pPr>
              <w:keepNext/>
              <w:keepLines/>
              <w:jc w:val="center"/>
              <w:rPr>
                <w:rFonts w:ascii="Arial Narrow" w:hAnsi="Arial Narrow"/>
                <w:i/>
                <w:sz w:val="20"/>
                <w:szCs w:val="18"/>
              </w:rPr>
            </w:pPr>
            <w:r w:rsidRPr="00C974DD">
              <w:rPr>
                <w:rFonts w:ascii="Arial Narrow" w:hAnsi="Arial Narrow"/>
                <w:i/>
                <w:sz w:val="20"/>
                <w:szCs w:val="18"/>
              </w:rPr>
              <w:t>4/125</w:t>
            </w:r>
          </w:p>
        </w:tc>
        <w:tc>
          <w:tcPr>
            <w:tcW w:w="748" w:type="pct"/>
            <w:gridSpan w:val="2"/>
            <w:vAlign w:val="center"/>
          </w:tcPr>
          <w:p w:rsidR="00AD4372" w:rsidRPr="00C974DD" w:rsidRDefault="00AD4372" w:rsidP="00CE4B32">
            <w:pPr>
              <w:keepNext/>
              <w:keepLines/>
              <w:jc w:val="center"/>
              <w:rPr>
                <w:rFonts w:ascii="Arial Narrow" w:hAnsi="Arial Narrow"/>
                <w:sz w:val="20"/>
                <w:szCs w:val="18"/>
              </w:rPr>
            </w:pPr>
          </w:p>
        </w:tc>
        <w:tc>
          <w:tcPr>
            <w:tcW w:w="836" w:type="pct"/>
            <w:gridSpan w:val="2"/>
            <w:vAlign w:val="center"/>
          </w:tcPr>
          <w:p w:rsidR="00AD4372" w:rsidRPr="00C974DD" w:rsidRDefault="00AD4372" w:rsidP="00CE4B32">
            <w:pPr>
              <w:keepNext/>
              <w:keepLines/>
              <w:jc w:val="center"/>
              <w:rPr>
                <w:rFonts w:ascii="Arial Narrow" w:hAnsi="Arial Narrow"/>
                <w:b/>
                <w:sz w:val="20"/>
                <w:szCs w:val="18"/>
              </w:rPr>
            </w:pPr>
          </w:p>
        </w:tc>
        <w:tc>
          <w:tcPr>
            <w:tcW w:w="668" w:type="pct"/>
            <w:vAlign w:val="center"/>
          </w:tcPr>
          <w:p w:rsidR="00AD4372" w:rsidRPr="00C974DD" w:rsidRDefault="00AD4372" w:rsidP="00CE4B32">
            <w:pPr>
              <w:keepNext/>
              <w:keepLines/>
              <w:jc w:val="center"/>
              <w:rPr>
                <w:rFonts w:ascii="Arial Narrow" w:hAnsi="Arial Narrow"/>
                <w:sz w:val="20"/>
                <w:szCs w:val="18"/>
              </w:rPr>
            </w:pPr>
          </w:p>
        </w:tc>
        <w:tc>
          <w:tcPr>
            <w:tcW w:w="754" w:type="pct"/>
            <w:vAlign w:val="center"/>
          </w:tcPr>
          <w:p w:rsidR="00AD4372" w:rsidRPr="00C974DD" w:rsidRDefault="00AD4372" w:rsidP="00CE4B32">
            <w:pPr>
              <w:keepNext/>
              <w:keepLines/>
              <w:jc w:val="center"/>
              <w:rPr>
                <w:rFonts w:ascii="Arial Narrow" w:hAnsi="Arial Narrow"/>
                <w:sz w:val="20"/>
                <w:szCs w:val="18"/>
              </w:rPr>
            </w:pPr>
          </w:p>
        </w:tc>
        <w:tc>
          <w:tcPr>
            <w:tcW w:w="643" w:type="pct"/>
            <w:vAlign w:val="center"/>
          </w:tcPr>
          <w:p w:rsidR="00AD4372" w:rsidRPr="00C974DD" w:rsidRDefault="00AD4372" w:rsidP="00CE4B32">
            <w:pPr>
              <w:keepNext/>
              <w:keepLines/>
              <w:jc w:val="center"/>
              <w:rPr>
                <w:rFonts w:ascii="Arial Narrow" w:hAnsi="Arial Narrow"/>
                <w:b/>
                <w:sz w:val="20"/>
                <w:szCs w:val="18"/>
              </w:rPr>
            </w:pPr>
          </w:p>
        </w:tc>
      </w:tr>
      <w:tr w:rsidR="00C974DD" w:rsidRPr="00C974DD" w:rsidTr="00F67423">
        <w:tc>
          <w:tcPr>
            <w:tcW w:w="852" w:type="pct"/>
            <w:shd w:val="clear" w:color="auto" w:fill="auto"/>
            <w:vAlign w:val="center"/>
          </w:tcPr>
          <w:p w:rsidR="00547F83" w:rsidRPr="00C974DD" w:rsidRDefault="001F7D1B" w:rsidP="00CE4B32">
            <w:pPr>
              <w:keepNext/>
              <w:keepLines/>
              <w:rPr>
                <w:rFonts w:ascii="Arial Narrow" w:hAnsi="Arial Narrow"/>
                <w:sz w:val="20"/>
                <w:szCs w:val="18"/>
              </w:rPr>
            </w:pPr>
            <w:r w:rsidRPr="00C974DD">
              <w:rPr>
                <w:rFonts w:ascii="Arial Narrow" w:hAnsi="Arial Narrow"/>
                <w:sz w:val="20"/>
                <w:szCs w:val="18"/>
              </w:rPr>
              <w:t xml:space="preserve">Any grade </w:t>
            </w:r>
            <w:r w:rsidR="00FC1AE5" w:rsidRPr="00C974DD">
              <w:rPr>
                <w:rFonts w:ascii="Arial Narrow" w:hAnsi="Arial Narrow"/>
                <w:sz w:val="20"/>
                <w:szCs w:val="18"/>
              </w:rPr>
              <w:t>¾</w:t>
            </w:r>
          </w:p>
        </w:tc>
        <w:tc>
          <w:tcPr>
            <w:tcW w:w="499" w:type="pct"/>
            <w:gridSpan w:val="2"/>
            <w:vAlign w:val="center"/>
          </w:tcPr>
          <w:p w:rsidR="00547F83" w:rsidRPr="00C974DD" w:rsidRDefault="001F7D1B" w:rsidP="00CE4B32">
            <w:pPr>
              <w:keepNext/>
              <w:keepLines/>
              <w:jc w:val="center"/>
              <w:rPr>
                <w:rFonts w:ascii="Arial Narrow" w:hAnsi="Arial Narrow"/>
                <w:sz w:val="20"/>
                <w:szCs w:val="18"/>
              </w:rPr>
            </w:pPr>
            <w:r w:rsidRPr="00C974DD">
              <w:rPr>
                <w:rFonts w:ascii="Arial Narrow" w:hAnsi="Arial Narrow"/>
                <w:sz w:val="20"/>
                <w:szCs w:val="18"/>
              </w:rPr>
              <w:t xml:space="preserve">68/125 </w:t>
            </w:r>
          </w:p>
        </w:tc>
        <w:tc>
          <w:tcPr>
            <w:tcW w:w="748" w:type="pct"/>
            <w:gridSpan w:val="2"/>
            <w:vAlign w:val="center"/>
          </w:tcPr>
          <w:p w:rsidR="00547F83" w:rsidRPr="00C974DD" w:rsidRDefault="001F7D1B" w:rsidP="00CE4B32">
            <w:pPr>
              <w:keepNext/>
              <w:keepLines/>
              <w:jc w:val="center"/>
              <w:rPr>
                <w:rFonts w:ascii="Arial Narrow" w:hAnsi="Arial Narrow"/>
                <w:sz w:val="20"/>
                <w:szCs w:val="18"/>
              </w:rPr>
            </w:pPr>
            <w:r w:rsidRPr="00C974DD">
              <w:rPr>
                <w:rFonts w:ascii="Arial Narrow" w:hAnsi="Arial Narrow"/>
                <w:sz w:val="20"/>
                <w:szCs w:val="18"/>
              </w:rPr>
              <w:t xml:space="preserve">39/100 </w:t>
            </w:r>
          </w:p>
        </w:tc>
        <w:tc>
          <w:tcPr>
            <w:tcW w:w="836" w:type="pct"/>
            <w:gridSpan w:val="2"/>
            <w:vAlign w:val="center"/>
          </w:tcPr>
          <w:p w:rsidR="00547F83" w:rsidRPr="00C974DD" w:rsidRDefault="00C917E5" w:rsidP="00CE4B32">
            <w:pPr>
              <w:keepNext/>
              <w:keepLines/>
              <w:jc w:val="center"/>
              <w:rPr>
                <w:rFonts w:ascii="Arial Narrow" w:hAnsi="Arial Narrow"/>
                <w:b/>
                <w:sz w:val="20"/>
                <w:szCs w:val="18"/>
              </w:rPr>
            </w:pPr>
            <w:r w:rsidRPr="00C974DD">
              <w:rPr>
                <w:rFonts w:ascii="Arial Narrow" w:hAnsi="Arial Narrow"/>
                <w:b/>
                <w:sz w:val="20"/>
                <w:szCs w:val="18"/>
              </w:rPr>
              <w:t>1.39 (1.04, 1.87)</w:t>
            </w:r>
          </w:p>
        </w:tc>
        <w:tc>
          <w:tcPr>
            <w:tcW w:w="668" w:type="pct"/>
            <w:vAlign w:val="center"/>
          </w:tcPr>
          <w:p w:rsidR="00547F83" w:rsidRPr="00C974DD" w:rsidRDefault="001F7D1B" w:rsidP="00CE4B32">
            <w:pPr>
              <w:keepNext/>
              <w:keepLines/>
              <w:jc w:val="center"/>
              <w:rPr>
                <w:rFonts w:ascii="Arial Narrow" w:hAnsi="Arial Narrow"/>
                <w:sz w:val="20"/>
                <w:szCs w:val="18"/>
              </w:rPr>
            </w:pPr>
            <w:r w:rsidRPr="00C974DD">
              <w:rPr>
                <w:rFonts w:ascii="Arial Narrow" w:hAnsi="Arial Narrow"/>
                <w:sz w:val="20"/>
                <w:szCs w:val="18"/>
              </w:rPr>
              <w:t>54</w:t>
            </w:r>
          </w:p>
        </w:tc>
        <w:tc>
          <w:tcPr>
            <w:tcW w:w="754" w:type="pct"/>
            <w:vAlign w:val="center"/>
          </w:tcPr>
          <w:p w:rsidR="00547F83" w:rsidRPr="00C974DD" w:rsidRDefault="001F7D1B" w:rsidP="00CE4B32">
            <w:pPr>
              <w:keepNext/>
              <w:keepLines/>
              <w:jc w:val="center"/>
              <w:rPr>
                <w:rFonts w:ascii="Arial Narrow" w:hAnsi="Arial Narrow"/>
                <w:sz w:val="20"/>
                <w:szCs w:val="18"/>
              </w:rPr>
            </w:pPr>
            <w:r w:rsidRPr="00C974DD">
              <w:rPr>
                <w:rFonts w:ascii="Arial Narrow" w:hAnsi="Arial Narrow"/>
                <w:sz w:val="20"/>
                <w:szCs w:val="18"/>
              </w:rPr>
              <w:t>39</w:t>
            </w:r>
          </w:p>
        </w:tc>
        <w:tc>
          <w:tcPr>
            <w:tcW w:w="643" w:type="pct"/>
            <w:vAlign w:val="center"/>
          </w:tcPr>
          <w:p w:rsidR="00547F83" w:rsidRPr="00C974DD" w:rsidRDefault="00C917E5" w:rsidP="00CE4B32">
            <w:pPr>
              <w:keepNext/>
              <w:keepLines/>
              <w:jc w:val="center"/>
              <w:rPr>
                <w:rFonts w:ascii="Arial Narrow" w:hAnsi="Arial Narrow"/>
                <w:b/>
                <w:sz w:val="20"/>
                <w:szCs w:val="18"/>
              </w:rPr>
            </w:pPr>
            <w:r w:rsidRPr="00C974DD">
              <w:rPr>
                <w:rFonts w:ascii="Arial Narrow" w:hAnsi="Arial Narrow"/>
                <w:b/>
                <w:sz w:val="20"/>
                <w:szCs w:val="18"/>
              </w:rPr>
              <w:t>15 (3, 28)</w:t>
            </w:r>
          </w:p>
        </w:tc>
      </w:tr>
      <w:tr w:rsidR="00C974DD" w:rsidRPr="00C974DD" w:rsidTr="00F67423">
        <w:tc>
          <w:tcPr>
            <w:tcW w:w="852" w:type="pct"/>
            <w:shd w:val="clear" w:color="auto" w:fill="auto"/>
            <w:vAlign w:val="center"/>
          </w:tcPr>
          <w:p w:rsidR="00547F83" w:rsidRPr="00C974DD" w:rsidRDefault="001F7D1B" w:rsidP="00CE4B32">
            <w:pPr>
              <w:keepNext/>
              <w:keepLines/>
              <w:rPr>
                <w:rFonts w:ascii="Arial Narrow" w:hAnsi="Arial Narrow"/>
                <w:sz w:val="20"/>
                <w:szCs w:val="18"/>
              </w:rPr>
            </w:pPr>
            <w:r w:rsidRPr="00C974DD">
              <w:rPr>
                <w:rFonts w:ascii="Arial Narrow" w:hAnsi="Arial Narrow"/>
                <w:sz w:val="20"/>
                <w:szCs w:val="18"/>
              </w:rPr>
              <w:t>Neutropenia</w:t>
            </w:r>
          </w:p>
        </w:tc>
        <w:tc>
          <w:tcPr>
            <w:tcW w:w="499" w:type="pct"/>
            <w:gridSpan w:val="2"/>
            <w:vAlign w:val="center"/>
          </w:tcPr>
          <w:p w:rsidR="00547F83" w:rsidRPr="00C974DD" w:rsidRDefault="001F7D1B" w:rsidP="00CE4B32">
            <w:pPr>
              <w:keepNext/>
              <w:keepLines/>
              <w:jc w:val="center"/>
              <w:rPr>
                <w:rFonts w:ascii="Arial Narrow" w:hAnsi="Arial Narrow"/>
                <w:sz w:val="20"/>
                <w:szCs w:val="18"/>
              </w:rPr>
            </w:pPr>
            <w:r w:rsidRPr="00C974DD">
              <w:rPr>
                <w:rFonts w:ascii="Arial Narrow" w:hAnsi="Arial Narrow"/>
                <w:sz w:val="20"/>
                <w:szCs w:val="18"/>
              </w:rPr>
              <w:t>34/125</w:t>
            </w:r>
          </w:p>
        </w:tc>
        <w:tc>
          <w:tcPr>
            <w:tcW w:w="748" w:type="pct"/>
            <w:gridSpan w:val="2"/>
            <w:vAlign w:val="center"/>
          </w:tcPr>
          <w:p w:rsidR="00547F83" w:rsidRPr="00C974DD" w:rsidRDefault="00F36B00" w:rsidP="00CE4B32">
            <w:pPr>
              <w:keepNext/>
              <w:keepLines/>
              <w:jc w:val="center"/>
              <w:rPr>
                <w:rFonts w:ascii="Arial Narrow" w:hAnsi="Arial Narrow"/>
                <w:sz w:val="20"/>
                <w:szCs w:val="18"/>
              </w:rPr>
            </w:pPr>
            <w:r w:rsidRPr="00C974DD">
              <w:rPr>
                <w:rFonts w:ascii="Arial Narrow" w:hAnsi="Arial Narrow"/>
                <w:sz w:val="20"/>
                <w:szCs w:val="18"/>
              </w:rPr>
              <w:t>61/100</w:t>
            </w:r>
          </w:p>
        </w:tc>
        <w:tc>
          <w:tcPr>
            <w:tcW w:w="836" w:type="pct"/>
            <w:gridSpan w:val="2"/>
            <w:vAlign w:val="center"/>
          </w:tcPr>
          <w:p w:rsidR="00547F83" w:rsidRPr="00C974DD" w:rsidRDefault="00C917E5" w:rsidP="00CE4B32">
            <w:pPr>
              <w:keepNext/>
              <w:keepLines/>
              <w:jc w:val="center"/>
              <w:rPr>
                <w:rFonts w:ascii="Arial Narrow" w:hAnsi="Arial Narrow"/>
                <w:b/>
                <w:sz w:val="20"/>
                <w:szCs w:val="18"/>
              </w:rPr>
            </w:pPr>
            <w:r w:rsidRPr="00C974DD">
              <w:rPr>
                <w:rFonts w:ascii="Arial Narrow" w:hAnsi="Arial Narrow"/>
                <w:b/>
                <w:sz w:val="20"/>
                <w:szCs w:val="18"/>
              </w:rPr>
              <w:t>0.45 (0.32, 0.62)</w:t>
            </w:r>
          </w:p>
        </w:tc>
        <w:tc>
          <w:tcPr>
            <w:tcW w:w="668" w:type="pct"/>
            <w:vAlign w:val="center"/>
          </w:tcPr>
          <w:p w:rsidR="00547F83" w:rsidRPr="00C974DD" w:rsidRDefault="00F36B00" w:rsidP="00CE4B32">
            <w:pPr>
              <w:keepNext/>
              <w:keepLines/>
              <w:jc w:val="center"/>
              <w:rPr>
                <w:rFonts w:ascii="Arial Narrow" w:hAnsi="Arial Narrow"/>
                <w:sz w:val="20"/>
                <w:szCs w:val="18"/>
              </w:rPr>
            </w:pPr>
            <w:r w:rsidRPr="00C974DD">
              <w:rPr>
                <w:rFonts w:ascii="Arial Narrow" w:hAnsi="Arial Narrow"/>
                <w:sz w:val="20"/>
                <w:szCs w:val="18"/>
              </w:rPr>
              <w:t>27</w:t>
            </w:r>
          </w:p>
        </w:tc>
        <w:tc>
          <w:tcPr>
            <w:tcW w:w="754" w:type="pct"/>
            <w:vAlign w:val="center"/>
          </w:tcPr>
          <w:p w:rsidR="00547F83" w:rsidRPr="00C974DD" w:rsidRDefault="00F36B00" w:rsidP="00CE4B32">
            <w:pPr>
              <w:keepNext/>
              <w:keepLines/>
              <w:jc w:val="center"/>
              <w:rPr>
                <w:rFonts w:ascii="Arial Narrow" w:hAnsi="Arial Narrow"/>
                <w:sz w:val="20"/>
                <w:szCs w:val="18"/>
              </w:rPr>
            </w:pPr>
            <w:r w:rsidRPr="00C974DD">
              <w:rPr>
                <w:rFonts w:ascii="Arial Narrow" w:hAnsi="Arial Narrow"/>
                <w:sz w:val="20"/>
                <w:szCs w:val="18"/>
              </w:rPr>
              <w:t>61</w:t>
            </w:r>
          </w:p>
        </w:tc>
        <w:tc>
          <w:tcPr>
            <w:tcW w:w="643" w:type="pct"/>
            <w:vAlign w:val="center"/>
          </w:tcPr>
          <w:p w:rsidR="00547F83" w:rsidRPr="00C974DD" w:rsidRDefault="00C917E5" w:rsidP="00CE4B32">
            <w:pPr>
              <w:keepNext/>
              <w:keepLines/>
              <w:jc w:val="center"/>
              <w:rPr>
                <w:rFonts w:ascii="Arial Narrow" w:hAnsi="Arial Narrow"/>
                <w:b/>
                <w:sz w:val="20"/>
                <w:szCs w:val="18"/>
              </w:rPr>
            </w:pPr>
            <w:r w:rsidRPr="00C974DD">
              <w:rPr>
                <w:rFonts w:ascii="Arial Narrow" w:hAnsi="Arial Narrow"/>
                <w:b/>
                <w:sz w:val="20"/>
                <w:szCs w:val="18"/>
              </w:rPr>
              <w:t>-34 (-46, -22)</w:t>
            </w:r>
          </w:p>
        </w:tc>
      </w:tr>
      <w:tr w:rsidR="00C974DD" w:rsidRPr="00C974DD" w:rsidTr="00F67423">
        <w:tc>
          <w:tcPr>
            <w:tcW w:w="852" w:type="pct"/>
            <w:shd w:val="clear" w:color="auto" w:fill="auto"/>
            <w:vAlign w:val="center"/>
          </w:tcPr>
          <w:p w:rsidR="00547F83" w:rsidRPr="00C974DD" w:rsidRDefault="00F36B00" w:rsidP="00CE4B32">
            <w:pPr>
              <w:keepNext/>
              <w:keepLines/>
              <w:rPr>
                <w:rFonts w:ascii="Arial Narrow" w:hAnsi="Arial Narrow"/>
                <w:sz w:val="20"/>
                <w:szCs w:val="18"/>
              </w:rPr>
            </w:pPr>
            <w:r w:rsidRPr="00C974DD">
              <w:rPr>
                <w:rFonts w:ascii="Arial Narrow" w:hAnsi="Arial Narrow"/>
                <w:sz w:val="20"/>
                <w:szCs w:val="18"/>
              </w:rPr>
              <w:t>Diarrhoea</w:t>
            </w:r>
          </w:p>
        </w:tc>
        <w:tc>
          <w:tcPr>
            <w:tcW w:w="499" w:type="pct"/>
            <w:gridSpan w:val="2"/>
            <w:vAlign w:val="center"/>
          </w:tcPr>
          <w:p w:rsidR="00547F83" w:rsidRPr="00C974DD" w:rsidRDefault="00F36B00" w:rsidP="00CE4B32">
            <w:pPr>
              <w:keepNext/>
              <w:keepLines/>
              <w:jc w:val="center"/>
              <w:rPr>
                <w:rFonts w:ascii="Arial Narrow" w:hAnsi="Arial Narrow"/>
                <w:sz w:val="20"/>
                <w:szCs w:val="18"/>
              </w:rPr>
            </w:pPr>
            <w:r w:rsidRPr="00C974DD">
              <w:rPr>
                <w:rFonts w:ascii="Arial Narrow" w:hAnsi="Arial Narrow"/>
                <w:sz w:val="20"/>
                <w:szCs w:val="18"/>
              </w:rPr>
              <w:t>16/125</w:t>
            </w:r>
          </w:p>
        </w:tc>
        <w:tc>
          <w:tcPr>
            <w:tcW w:w="748" w:type="pct"/>
            <w:gridSpan w:val="2"/>
            <w:vAlign w:val="center"/>
          </w:tcPr>
          <w:p w:rsidR="00547F83" w:rsidRPr="00C974DD" w:rsidRDefault="00F36B00" w:rsidP="00CE4B32">
            <w:pPr>
              <w:keepNext/>
              <w:keepLines/>
              <w:jc w:val="center"/>
              <w:rPr>
                <w:rFonts w:ascii="Arial Narrow" w:hAnsi="Arial Narrow"/>
                <w:sz w:val="20"/>
                <w:szCs w:val="18"/>
              </w:rPr>
            </w:pPr>
            <w:r w:rsidRPr="00C974DD">
              <w:rPr>
                <w:rFonts w:ascii="Arial Narrow" w:hAnsi="Arial Narrow"/>
                <w:sz w:val="20"/>
                <w:szCs w:val="18"/>
              </w:rPr>
              <w:t>5/100</w:t>
            </w:r>
          </w:p>
        </w:tc>
        <w:tc>
          <w:tcPr>
            <w:tcW w:w="836" w:type="pct"/>
            <w:gridSpan w:val="2"/>
            <w:vAlign w:val="center"/>
          </w:tcPr>
          <w:p w:rsidR="00547F83" w:rsidRPr="00C974DD" w:rsidRDefault="00C917E5" w:rsidP="00CE4B32">
            <w:pPr>
              <w:keepNext/>
              <w:keepLines/>
              <w:jc w:val="center"/>
              <w:rPr>
                <w:rFonts w:ascii="Arial Narrow" w:hAnsi="Arial Narrow"/>
                <w:sz w:val="20"/>
                <w:szCs w:val="18"/>
              </w:rPr>
            </w:pPr>
            <w:r w:rsidRPr="00C974DD">
              <w:rPr>
                <w:rFonts w:ascii="Arial Narrow" w:hAnsi="Arial Narrow"/>
                <w:sz w:val="20"/>
                <w:szCs w:val="18"/>
              </w:rPr>
              <w:t>2.56 (0.97, 6.8)</w:t>
            </w:r>
          </w:p>
        </w:tc>
        <w:tc>
          <w:tcPr>
            <w:tcW w:w="668" w:type="pct"/>
            <w:vAlign w:val="center"/>
          </w:tcPr>
          <w:p w:rsidR="00547F83" w:rsidRPr="00C974DD" w:rsidRDefault="00F36B00" w:rsidP="00CE4B32">
            <w:pPr>
              <w:keepNext/>
              <w:keepLines/>
              <w:jc w:val="center"/>
              <w:rPr>
                <w:rFonts w:ascii="Arial Narrow" w:hAnsi="Arial Narrow"/>
                <w:sz w:val="20"/>
                <w:szCs w:val="18"/>
              </w:rPr>
            </w:pPr>
            <w:r w:rsidRPr="00C974DD">
              <w:rPr>
                <w:rFonts w:ascii="Arial Narrow" w:hAnsi="Arial Narrow"/>
                <w:sz w:val="20"/>
                <w:szCs w:val="18"/>
              </w:rPr>
              <w:t>13</w:t>
            </w:r>
          </w:p>
        </w:tc>
        <w:tc>
          <w:tcPr>
            <w:tcW w:w="754" w:type="pct"/>
            <w:vAlign w:val="center"/>
          </w:tcPr>
          <w:p w:rsidR="00547F83" w:rsidRPr="00C974DD" w:rsidRDefault="00F36B00" w:rsidP="00CE4B32">
            <w:pPr>
              <w:keepNext/>
              <w:keepLines/>
              <w:jc w:val="center"/>
              <w:rPr>
                <w:rFonts w:ascii="Arial Narrow" w:hAnsi="Arial Narrow"/>
                <w:sz w:val="20"/>
                <w:szCs w:val="18"/>
              </w:rPr>
            </w:pPr>
            <w:r w:rsidRPr="00C974DD">
              <w:rPr>
                <w:rFonts w:ascii="Arial Narrow" w:hAnsi="Arial Narrow"/>
                <w:sz w:val="20"/>
                <w:szCs w:val="18"/>
              </w:rPr>
              <w:t>5</w:t>
            </w:r>
          </w:p>
        </w:tc>
        <w:tc>
          <w:tcPr>
            <w:tcW w:w="643" w:type="pct"/>
            <w:vAlign w:val="center"/>
          </w:tcPr>
          <w:p w:rsidR="00547F83" w:rsidRPr="00C974DD" w:rsidRDefault="00C917E5" w:rsidP="00CE4B32">
            <w:pPr>
              <w:keepNext/>
              <w:keepLines/>
              <w:jc w:val="center"/>
              <w:rPr>
                <w:rFonts w:ascii="Arial Narrow" w:hAnsi="Arial Narrow"/>
                <w:b/>
                <w:sz w:val="20"/>
                <w:szCs w:val="18"/>
              </w:rPr>
            </w:pPr>
            <w:r w:rsidRPr="00C974DD">
              <w:rPr>
                <w:rFonts w:ascii="Arial Narrow" w:hAnsi="Arial Narrow"/>
                <w:b/>
                <w:sz w:val="20"/>
                <w:szCs w:val="18"/>
              </w:rPr>
              <w:t>8 (1, 15)</w:t>
            </w:r>
          </w:p>
        </w:tc>
      </w:tr>
    </w:tbl>
    <w:p w:rsidR="00B62715" w:rsidRPr="00C974DD" w:rsidRDefault="00E173A4" w:rsidP="00CE4B32">
      <w:pPr>
        <w:pStyle w:val="TableFooter"/>
        <w:keepNext/>
        <w:keepLines/>
        <w:ind w:left="720"/>
      </w:pPr>
      <w:r w:rsidRPr="00C974DD">
        <w:rPr>
          <w:sz w:val="20"/>
          <w:vertAlign w:val="superscript"/>
        </w:rPr>
        <w:t>a</w:t>
      </w:r>
      <w:r w:rsidR="00B62715" w:rsidRPr="00C974DD">
        <w:t xml:space="preserve"> Median duration of follow-up/Median duration of exposure: </w:t>
      </w:r>
      <w:r w:rsidR="007F2137" w:rsidRPr="00C974DD">
        <w:t>Study 101-09 = 9.7 months/6.6 months ; Witzig (2002) = not available/not available; Kahl (2010) = 11.8 months/not available.</w:t>
      </w:r>
      <w:r w:rsidR="007F2137" w:rsidRPr="00C974DD">
        <w:rPr>
          <w:rStyle w:val="CommentReference"/>
          <w:rFonts w:cs="Times New Roman"/>
        </w:rPr>
        <w:t xml:space="preserve"> </w:t>
      </w:r>
    </w:p>
    <w:p w:rsidR="00B62715" w:rsidRPr="00C974DD" w:rsidRDefault="007025D4" w:rsidP="00CE4B32">
      <w:pPr>
        <w:pStyle w:val="TableFooter"/>
        <w:keepNext/>
        <w:keepLines/>
        <w:ind w:left="720"/>
      </w:pPr>
      <w:r w:rsidRPr="00C974DD">
        <w:t xml:space="preserve">CI = </w:t>
      </w:r>
      <w:r w:rsidR="008F6AE2" w:rsidRPr="00C974DD">
        <w:t>confidence interval</w:t>
      </w:r>
      <w:r w:rsidRPr="00C974DD">
        <w:t>;</w:t>
      </w:r>
      <w:r w:rsidR="004125C1" w:rsidRPr="00C974DD">
        <w:t xml:space="preserve"> NA = Not available;</w:t>
      </w:r>
      <w:r w:rsidRPr="00C974DD">
        <w:t xml:space="preserve"> </w:t>
      </w:r>
      <w:r w:rsidR="00F37ED8" w:rsidRPr="00C974DD">
        <w:t>NR = not reached;</w:t>
      </w:r>
      <w:r w:rsidR="00C7323B" w:rsidRPr="00C974DD">
        <w:t xml:space="preserve"> OS = overall survival</w:t>
      </w:r>
      <w:r w:rsidR="00F37ED8" w:rsidRPr="00C974DD">
        <w:t xml:space="preserve">; PBO = placebo; PFS = progression-free survival;  RD = risk difference; RR = </w:t>
      </w:r>
      <w:r w:rsidR="00F36B00" w:rsidRPr="00C974DD">
        <w:t xml:space="preserve">relative </w:t>
      </w:r>
      <w:r w:rsidR="00F37ED8" w:rsidRPr="00C974DD">
        <w:t>risk</w:t>
      </w:r>
    </w:p>
    <w:p w:rsidR="00B62715" w:rsidRPr="00C974DD" w:rsidRDefault="00B62715" w:rsidP="00CE4B32">
      <w:pPr>
        <w:pStyle w:val="TableFooter"/>
        <w:keepNext/>
        <w:keepLines/>
        <w:ind w:firstLine="720"/>
      </w:pPr>
      <w:r w:rsidRPr="00C974DD">
        <w:t>Source: Compiled during the evaluation</w:t>
      </w:r>
    </w:p>
    <w:p w:rsidR="00B60939" w:rsidRPr="00C974DD" w:rsidRDefault="00B60939" w:rsidP="004C3837"/>
    <w:p w:rsidR="002F211A" w:rsidRPr="00C974DD" w:rsidRDefault="00F36B00" w:rsidP="004C3837">
      <w:pPr>
        <w:pStyle w:val="ListParagraph"/>
        <w:numPr>
          <w:ilvl w:val="1"/>
          <w:numId w:val="15"/>
        </w:numPr>
        <w:ind w:left="709"/>
        <w:rPr>
          <w:szCs w:val="22"/>
        </w:rPr>
      </w:pPr>
      <w:r w:rsidRPr="00C974DD">
        <w:t>Based on a naïve indirect comparison, the comparison of idelalisib and bendamustine did not result in a significant difference in overall survival or progression</w:t>
      </w:r>
      <w:r w:rsidR="00C974DD" w:rsidRPr="00C974DD">
        <w:t>-</w:t>
      </w:r>
      <w:r w:rsidRPr="00C974DD">
        <w:t xml:space="preserve">free survival. </w:t>
      </w:r>
    </w:p>
    <w:p w:rsidR="00C917E5" w:rsidRPr="00C974DD" w:rsidRDefault="00C917E5" w:rsidP="004C3837">
      <w:pPr>
        <w:pStyle w:val="ListParagraph"/>
        <w:ind w:left="709"/>
        <w:rPr>
          <w:szCs w:val="22"/>
        </w:rPr>
      </w:pPr>
      <w:r w:rsidRPr="00C974DD">
        <w:t>On the basis of a naïve indirect comparison, for every 100 patients treated with idelalisib in comparison to bendamustine over a median duration of follow up of approximately 10 months:</w:t>
      </w:r>
    </w:p>
    <w:p w:rsidR="002F211A" w:rsidRPr="00C974DD" w:rsidRDefault="002F211A" w:rsidP="004C3837">
      <w:pPr>
        <w:pStyle w:val="ListParagraph"/>
        <w:numPr>
          <w:ilvl w:val="0"/>
          <w:numId w:val="79"/>
        </w:numPr>
        <w:rPr>
          <w:szCs w:val="22"/>
        </w:rPr>
      </w:pPr>
      <w:r w:rsidRPr="00C974DD">
        <w:t>approximately 15 additional patients would have a grade 3 or higher adverse event</w:t>
      </w:r>
      <w:r w:rsidR="007025D4" w:rsidRPr="00C974DD">
        <w:t>;</w:t>
      </w:r>
    </w:p>
    <w:p w:rsidR="002F211A" w:rsidRPr="00C974DD" w:rsidRDefault="002F211A" w:rsidP="004C3837">
      <w:pPr>
        <w:pStyle w:val="ListParagraph"/>
        <w:numPr>
          <w:ilvl w:val="0"/>
          <w:numId w:val="79"/>
        </w:numPr>
        <w:rPr>
          <w:szCs w:val="22"/>
        </w:rPr>
      </w:pPr>
      <w:r w:rsidRPr="00C974DD">
        <w:rPr>
          <w:szCs w:val="22"/>
        </w:rPr>
        <w:t>approximately 34 fewer patients would have severe neutropenia</w:t>
      </w:r>
      <w:r w:rsidR="007025D4" w:rsidRPr="00C974DD">
        <w:rPr>
          <w:szCs w:val="22"/>
        </w:rPr>
        <w:t>;</w:t>
      </w:r>
    </w:p>
    <w:p w:rsidR="002F211A" w:rsidRPr="00C974DD" w:rsidRDefault="002F211A" w:rsidP="004C3837">
      <w:pPr>
        <w:pStyle w:val="ListParagraph"/>
        <w:numPr>
          <w:ilvl w:val="0"/>
          <w:numId w:val="79"/>
        </w:numPr>
        <w:rPr>
          <w:szCs w:val="22"/>
        </w:rPr>
      </w:pPr>
      <w:r w:rsidRPr="00C974DD">
        <w:rPr>
          <w:szCs w:val="22"/>
        </w:rPr>
        <w:t>approximately 8 additional patients would have severe diarrhoea</w:t>
      </w:r>
      <w:r w:rsidR="007025D4" w:rsidRPr="00C974DD">
        <w:rPr>
          <w:szCs w:val="22"/>
        </w:rPr>
        <w:t>.</w:t>
      </w:r>
    </w:p>
    <w:p w:rsidR="00F36B00" w:rsidRPr="00C974DD" w:rsidRDefault="00F36B00" w:rsidP="004C3837">
      <w:pPr>
        <w:pStyle w:val="ListParagraph"/>
        <w:ind w:left="1080"/>
        <w:rPr>
          <w:szCs w:val="22"/>
        </w:rPr>
      </w:pPr>
    </w:p>
    <w:p w:rsidR="00FC1884" w:rsidRPr="00C974DD" w:rsidRDefault="00F36B00" w:rsidP="004C3837">
      <w:pPr>
        <w:pStyle w:val="ListParagraph"/>
        <w:numPr>
          <w:ilvl w:val="1"/>
          <w:numId w:val="15"/>
        </w:numPr>
        <w:ind w:left="709"/>
      </w:pPr>
      <w:r w:rsidRPr="00C974DD">
        <w:t>Based on a naïve indirect comparison, the comparison of idelalisib and Y-ibritumomab tiuxetan did not result in a significant difference in overall survival or progression</w:t>
      </w:r>
      <w:r w:rsidR="00C974DD" w:rsidRPr="00C974DD">
        <w:t>-</w:t>
      </w:r>
      <w:r w:rsidRPr="00C974DD">
        <w:t>free survival</w:t>
      </w:r>
      <w:r w:rsidRPr="00C974DD" w:rsidDel="00F36B00">
        <w:t xml:space="preserve"> </w:t>
      </w:r>
    </w:p>
    <w:p w:rsidR="00B60939" w:rsidRPr="00C974DD" w:rsidRDefault="00B60939" w:rsidP="00FC1884"/>
    <w:p w:rsidR="008667D6" w:rsidRDefault="008667D6">
      <w:pPr>
        <w:jc w:val="left"/>
        <w:rPr>
          <w:b/>
        </w:rPr>
      </w:pPr>
      <w:bookmarkStart w:id="10" w:name="_Toc409517492"/>
      <w:r>
        <w:br w:type="page"/>
      </w:r>
    </w:p>
    <w:p w:rsidR="00B60939" w:rsidRPr="005F67C0" w:rsidRDefault="00B60939" w:rsidP="002C2775">
      <w:pPr>
        <w:pStyle w:val="Heading2"/>
      </w:pPr>
      <w:r w:rsidRPr="005F67C0">
        <w:lastRenderedPageBreak/>
        <w:t>Clinical claim</w:t>
      </w:r>
      <w:bookmarkEnd w:id="10"/>
    </w:p>
    <w:p w:rsidR="00B60939" w:rsidRPr="00C974DD" w:rsidRDefault="00B60939" w:rsidP="00B60939">
      <w:pPr>
        <w:ind w:left="720" w:hanging="720"/>
        <w:rPr>
          <w:szCs w:val="22"/>
        </w:rPr>
      </w:pPr>
    </w:p>
    <w:p w:rsidR="002D12BB" w:rsidRPr="00C974DD" w:rsidRDefault="007025D4" w:rsidP="00327284">
      <w:pPr>
        <w:pStyle w:val="ListParagraph"/>
        <w:numPr>
          <w:ilvl w:val="1"/>
          <w:numId w:val="15"/>
        </w:numPr>
        <w:rPr>
          <w:lang w:val="en-US"/>
        </w:rPr>
      </w:pPr>
      <w:r w:rsidRPr="00C974DD">
        <w:rPr>
          <w:lang w:val="en-US"/>
        </w:rPr>
        <w:t>T</w:t>
      </w:r>
      <w:r w:rsidR="002D12BB" w:rsidRPr="00C974DD">
        <w:rPr>
          <w:lang w:val="en-US"/>
        </w:rPr>
        <w:t>he submission claim</w:t>
      </w:r>
      <w:r w:rsidR="00932E26" w:rsidRPr="00C974DD">
        <w:rPr>
          <w:lang w:val="en-US"/>
        </w:rPr>
        <w:t>ed that</w:t>
      </w:r>
      <w:r w:rsidR="002D12BB" w:rsidRPr="00C974DD">
        <w:rPr>
          <w:lang w:val="en-US"/>
        </w:rPr>
        <w:t xml:space="preserve"> idelalisib </w:t>
      </w:r>
      <w:r w:rsidR="00733DF2" w:rsidRPr="00C974DD">
        <w:rPr>
          <w:lang w:val="en-US"/>
        </w:rPr>
        <w:t>had</w:t>
      </w:r>
      <w:r w:rsidR="002D12BB" w:rsidRPr="00C974DD">
        <w:rPr>
          <w:lang w:val="en-US"/>
        </w:rPr>
        <w:t xml:space="preserve"> superior efficacy and safety</w:t>
      </w:r>
      <w:r w:rsidR="00C917E5" w:rsidRPr="00C974DD">
        <w:rPr>
          <w:lang w:val="en-US"/>
        </w:rPr>
        <w:t xml:space="preserve"> compared to best supportive care</w:t>
      </w:r>
      <w:r w:rsidR="00A55B1F" w:rsidRPr="00C974DD">
        <w:rPr>
          <w:lang w:val="en-US"/>
        </w:rPr>
        <w:t xml:space="preserve"> for the treatment of patients with indolent NHL</w:t>
      </w:r>
      <w:r w:rsidR="002D12BB" w:rsidRPr="00C974DD">
        <w:rPr>
          <w:lang w:val="en-US"/>
        </w:rPr>
        <w:t>.</w:t>
      </w:r>
      <w:r w:rsidR="00987847" w:rsidRPr="00C974DD">
        <w:rPr>
          <w:lang w:val="en-US"/>
        </w:rPr>
        <w:t xml:space="preserve"> No appropriate comparative evidence was provided in the submission to support this. </w:t>
      </w:r>
      <w:r w:rsidR="00327284" w:rsidRPr="00C974DD">
        <w:rPr>
          <w:lang w:val="en-US"/>
        </w:rPr>
        <w:t>Therefore the ESC concluded that the submission’s claim was not adequately supported. The ESC further noted:</w:t>
      </w:r>
    </w:p>
    <w:p w:rsidR="00327284" w:rsidRPr="00C974DD" w:rsidRDefault="00637481" w:rsidP="00327284">
      <w:pPr>
        <w:pStyle w:val="ListParagraph"/>
        <w:numPr>
          <w:ilvl w:val="0"/>
          <w:numId w:val="13"/>
        </w:numPr>
        <w:rPr>
          <w:lang w:val="en-US"/>
        </w:rPr>
      </w:pPr>
      <w:r w:rsidRPr="00C974DD">
        <w:rPr>
          <w:lang w:val="en-US"/>
        </w:rPr>
        <w:t xml:space="preserve">Naïve comparisons were made between the single arm idelalisib study 101-09, and two other single arm studies which did not precisely represent best supportive care. </w:t>
      </w:r>
      <w:r w:rsidR="00327284" w:rsidRPr="00C974DD">
        <w:rPr>
          <w:lang w:val="en-US"/>
        </w:rPr>
        <w:t>The only comparable outcome was progression</w:t>
      </w:r>
      <w:r w:rsidR="00C974DD" w:rsidRPr="00C974DD">
        <w:rPr>
          <w:lang w:val="en-US"/>
        </w:rPr>
        <w:t>-</w:t>
      </w:r>
      <w:r w:rsidR="00327284" w:rsidRPr="00C974DD">
        <w:rPr>
          <w:lang w:val="en-US"/>
        </w:rPr>
        <w:t>free survival, and this did not indicate major differences. Other key issues were:</w:t>
      </w:r>
    </w:p>
    <w:p w:rsidR="00637481" w:rsidRPr="00C974DD" w:rsidRDefault="00637481" w:rsidP="004C3837">
      <w:pPr>
        <w:pStyle w:val="ListParagraph"/>
        <w:numPr>
          <w:ilvl w:val="1"/>
          <w:numId w:val="13"/>
        </w:numPr>
        <w:rPr>
          <w:lang w:val="en-US"/>
        </w:rPr>
      </w:pPr>
      <w:r w:rsidRPr="00C974DD">
        <w:rPr>
          <w:lang w:val="en-US"/>
        </w:rPr>
        <w:t>The patient characteristics differed, which made the comparison difficult</w:t>
      </w:r>
      <w:r w:rsidR="007025D4" w:rsidRPr="00C974DD">
        <w:rPr>
          <w:lang w:val="en-US"/>
        </w:rPr>
        <w:t>;</w:t>
      </w:r>
    </w:p>
    <w:p w:rsidR="00637481" w:rsidRPr="00C974DD" w:rsidRDefault="00557934" w:rsidP="00327284">
      <w:pPr>
        <w:pStyle w:val="ListParagraph"/>
        <w:numPr>
          <w:ilvl w:val="1"/>
          <w:numId w:val="13"/>
        </w:numPr>
        <w:rPr>
          <w:lang w:val="en-US"/>
        </w:rPr>
      </w:pPr>
      <w:r w:rsidRPr="00C974DD">
        <w:rPr>
          <w:lang w:val="en-US"/>
        </w:rPr>
        <w:t>There were n</w:t>
      </w:r>
      <w:r w:rsidR="00637481" w:rsidRPr="00C974DD">
        <w:rPr>
          <w:lang w:val="en-US"/>
        </w:rPr>
        <w:t>o common treatment arms</w:t>
      </w:r>
      <w:r w:rsidR="00327284" w:rsidRPr="00C974DD">
        <w:rPr>
          <w:lang w:val="en-US"/>
        </w:rPr>
        <w:t xml:space="preserve"> to allow for assessment of the exchangeability of the studies</w:t>
      </w:r>
      <w:r w:rsidR="007025D4" w:rsidRPr="00C974DD">
        <w:rPr>
          <w:lang w:val="en-US"/>
        </w:rPr>
        <w:t>;</w:t>
      </w:r>
    </w:p>
    <w:p w:rsidR="00637481" w:rsidRPr="00C974DD" w:rsidRDefault="00327284" w:rsidP="00227C67">
      <w:pPr>
        <w:pStyle w:val="ListParagraph"/>
        <w:numPr>
          <w:ilvl w:val="1"/>
          <w:numId w:val="13"/>
        </w:numPr>
        <w:rPr>
          <w:lang w:val="en-US"/>
        </w:rPr>
      </w:pPr>
      <w:r w:rsidRPr="00C974DD">
        <w:rPr>
          <w:lang w:val="en-US"/>
        </w:rPr>
        <w:t>A</w:t>
      </w:r>
      <w:r w:rsidR="00227C67" w:rsidRPr="00C974DD">
        <w:rPr>
          <w:lang w:val="en-US"/>
        </w:rPr>
        <w:t xml:space="preserve"> large proportion of patients were censored due to adverse events.</w:t>
      </w:r>
    </w:p>
    <w:p w:rsidR="00327284" w:rsidRPr="00C974DD" w:rsidRDefault="00327284" w:rsidP="00C039E9">
      <w:pPr>
        <w:ind w:left="709"/>
        <w:rPr>
          <w:lang w:val="en-US"/>
        </w:rPr>
      </w:pPr>
      <w:r w:rsidRPr="00C974DD">
        <w:rPr>
          <w:lang w:val="en-US"/>
        </w:rPr>
        <w:t>The ESC considered that the naïve comparisons did not represent comparative evidence against best supportive care.</w:t>
      </w:r>
    </w:p>
    <w:p w:rsidR="00637481" w:rsidRPr="00C974DD" w:rsidRDefault="00637481" w:rsidP="008053E8">
      <w:pPr>
        <w:pStyle w:val="ListParagraph"/>
        <w:numPr>
          <w:ilvl w:val="0"/>
          <w:numId w:val="13"/>
        </w:numPr>
        <w:rPr>
          <w:lang w:val="en-US"/>
        </w:rPr>
      </w:pPr>
      <w:r w:rsidRPr="00C974DD">
        <w:rPr>
          <w:lang w:val="en-US"/>
        </w:rPr>
        <w:t xml:space="preserve">The adverse event profiles between the </w:t>
      </w:r>
      <w:r w:rsidR="007025D4" w:rsidRPr="00C974DD">
        <w:rPr>
          <w:lang w:val="en-US"/>
        </w:rPr>
        <w:t xml:space="preserve">studies were </w:t>
      </w:r>
      <w:r w:rsidRPr="00C974DD">
        <w:rPr>
          <w:lang w:val="en-US"/>
        </w:rPr>
        <w:t xml:space="preserve">different, with bendamustine having higher rates of neutropenia, while idelalisib was associated with higher rates </w:t>
      </w:r>
      <w:r w:rsidR="00557934" w:rsidRPr="00C974DD">
        <w:rPr>
          <w:lang w:val="en-US"/>
        </w:rPr>
        <w:t>of</w:t>
      </w:r>
      <w:r w:rsidRPr="00C974DD">
        <w:rPr>
          <w:lang w:val="en-US"/>
        </w:rPr>
        <w:t xml:space="preserve"> </w:t>
      </w:r>
      <w:r w:rsidR="007025D4" w:rsidRPr="00C974DD">
        <w:rPr>
          <w:szCs w:val="22"/>
        </w:rPr>
        <w:t>diarrhoea</w:t>
      </w:r>
      <w:r w:rsidR="007025D4" w:rsidRPr="00C974DD" w:rsidDel="007025D4">
        <w:rPr>
          <w:lang w:val="en-US"/>
        </w:rPr>
        <w:t xml:space="preserve"> </w:t>
      </w:r>
      <w:r w:rsidRPr="00C974DD">
        <w:rPr>
          <w:lang w:val="en-US"/>
        </w:rPr>
        <w:t>and pneumonia. No statistical evidence was presented for the increased safety of idelalisib.</w:t>
      </w:r>
    </w:p>
    <w:p w:rsidR="00733DF2" w:rsidRPr="00C974DD" w:rsidRDefault="00733DF2" w:rsidP="00733DF2">
      <w:pPr>
        <w:pStyle w:val="ListParagraph"/>
        <w:numPr>
          <w:ilvl w:val="0"/>
          <w:numId w:val="13"/>
        </w:numPr>
        <w:rPr>
          <w:lang w:val="en-US"/>
        </w:rPr>
      </w:pPr>
      <w:r w:rsidRPr="00C974DD">
        <w:rPr>
          <w:lang w:val="en-US"/>
        </w:rPr>
        <w:t>Th</w:t>
      </w:r>
      <w:r w:rsidR="00557934" w:rsidRPr="00C974DD">
        <w:rPr>
          <w:lang w:val="en-US"/>
        </w:rPr>
        <w:t xml:space="preserve">e </w:t>
      </w:r>
      <w:r w:rsidR="007A036C" w:rsidRPr="00C974DD">
        <w:rPr>
          <w:lang w:val="en-US"/>
        </w:rPr>
        <w:t xml:space="preserve">superior efficacy and safety </w:t>
      </w:r>
      <w:r w:rsidR="00557934" w:rsidRPr="00C974DD">
        <w:rPr>
          <w:lang w:val="en-US"/>
        </w:rPr>
        <w:t>claim</w:t>
      </w:r>
      <w:r w:rsidRPr="00C974DD">
        <w:rPr>
          <w:lang w:val="en-US"/>
        </w:rPr>
        <w:t xml:space="preserve"> was </w:t>
      </w:r>
      <w:r w:rsidR="00557934" w:rsidRPr="00C974DD">
        <w:rPr>
          <w:lang w:val="en-US"/>
        </w:rPr>
        <w:t>in</w:t>
      </w:r>
      <w:r w:rsidRPr="00C974DD">
        <w:rPr>
          <w:lang w:val="en-US"/>
        </w:rPr>
        <w:t>consistent with the claim presented for the economic evaluation</w:t>
      </w:r>
      <w:r w:rsidR="007A036C" w:rsidRPr="00C974DD">
        <w:rPr>
          <w:lang w:val="en-US"/>
        </w:rPr>
        <w:t xml:space="preserve">. In the economic evaluation a </w:t>
      </w:r>
      <w:r w:rsidRPr="00C974DD">
        <w:rPr>
          <w:lang w:val="en-US"/>
        </w:rPr>
        <w:t>claim</w:t>
      </w:r>
      <w:r w:rsidR="007A036C" w:rsidRPr="00C974DD">
        <w:rPr>
          <w:lang w:val="en-US"/>
        </w:rPr>
        <w:t xml:space="preserve"> of</w:t>
      </w:r>
      <w:r w:rsidRPr="00C974DD">
        <w:rPr>
          <w:lang w:val="en-US"/>
        </w:rPr>
        <w:t xml:space="preserve"> superior efficacy but inferior safety</w:t>
      </w:r>
      <w:r w:rsidR="007A036C" w:rsidRPr="00C974DD">
        <w:rPr>
          <w:lang w:val="en-US"/>
        </w:rPr>
        <w:t xml:space="preserve"> was made</w:t>
      </w:r>
      <w:r w:rsidRPr="00C974DD">
        <w:rPr>
          <w:lang w:val="en-US"/>
        </w:rPr>
        <w:t>.</w:t>
      </w:r>
    </w:p>
    <w:p w:rsidR="00733DF2" w:rsidRPr="00C974DD" w:rsidRDefault="00733DF2" w:rsidP="00733DF2">
      <w:pPr>
        <w:pStyle w:val="ListParagraph"/>
        <w:numPr>
          <w:ilvl w:val="0"/>
          <w:numId w:val="13"/>
        </w:numPr>
        <w:rPr>
          <w:lang w:val="en-US"/>
        </w:rPr>
      </w:pPr>
      <w:r w:rsidRPr="00C974DD">
        <w:rPr>
          <w:lang w:val="en-US"/>
        </w:rPr>
        <w:t>The TGA registration</w:t>
      </w:r>
      <w:r w:rsidR="001C271F" w:rsidRPr="00C974DD">
        <w:rPr>
          <w:lang w:val="en-US"/>
        </w:rPr>
        <w:t xml:space="preserve"> is</w:t>
      </w:r>
      <w:r w:rsidRPr="00C974DD">
        <w:rPr>
          <w:lang w:val="en-US"/>
        </w:rPr>
        <w:t xml:space="preserve"> for follicular lymphoma only.</w:t>
      </w:r>
    </w:p>
    <w:p w:rsidR="00A969D5" w:rsidRPr="00C974DD" w:rsidRDefault="00A969D5" w:rsidP="004C3837">
      <w:pPr>
        <w:pStyle w:val="ListParagraph"/>
        <w:rPr>
          <w:lang w:val="en-US"/>
        </w:rPr>
      </w:pPr>
    </w:p>
    <w:p w:rsidR="00327284" w:rsidRPr="00C974DD" w:rsidRDefault="00327284" w:rsidP="00C039E9">
      <w:pPr>
        <w:pStyle w:val="ListParagraph"/>
        <w:numPr>
          <w:ilvl w:val="1"/>
          <w:numId w:val="15"/>
        </w:numPr>
        <w:rPr>
          <w:lang w:val="en-US"/>
        </w:rPr>
      </w:pPr>
      <w:r w:rsidRPr="00C974DD">
        <w:rPr>
          <w:lang w:val="en-US"/>
        </w:rPr>
        <w:t xml:space="preserve">The ESC considered that the </w:t>
      </w:r>
      <w:r w:rsidR="001C271F" w:rsidRPr="00C974DD">
        <w:rPr>
          <w:lang w:val="en-US"/>
        </w:rPr>
        <w:t>information provided was</w:t>
      </w:r>
      <w:r w:rsidRPr="00C974DD">
        <w:rPr>
          <w:lang w:val="en-US"/>
        </w:rPr>
        <w:t xml:space="preserve"> not an appropriate basis for informing the comparative effectiveness and safety of idelalisib versus best supportive care.</w:t>
      </w:r>
    </w:p>
    <w:p w:rsidR="00327284" w:rsidRPr="00C974DD" w:rsidRDefault="00327284" w:rsidP="001C271F">
      <w:pPr>
        <w:pStyle w:val="ListParagraph"/>
        <w:rPr>
          <w:lang w:val="en-US"/>
        </w:rPr>
      </w:pPr>
    </w:p>
    <w:p w:rsidR="00B9294F" w:rsidRPr="00C974DD" w:rsidRDefault="00BE4B1B" w:rsidP="00BE4B1B">
      <w:pPr>
        <w:pStyle w:val="ListParagraph"/>
        <w:numPr>
          <w:ilvl w:val="1"/>
          <w:numId w:val="15"/>
        </w:numPr>
        <w:rPr>
          <w:lang w:val="en-US"/>
        </w:rPr>
      </w:pPr>
      <w:r w:rsidRPr="00C974DD">
        <w:rPr>
          <w:lang w:val="en-US"/>
        </w:rPr>
        <w:t xml:space="preserve">Patients in Study 101-09 patients had a median of four prior lines of treatment. </w:t>
      </w:r>
      <w:r w:rsidR="001C271F" w:rsidRPr="00C974DD">
        <w:rPr>
          <w:lang w:val="en-US"/>
        </w:rPr>
        <w:t xml:space="preserve">The ESC noted that the applicability </w:t>
      </w:r>
      <w:r w:rsidRPr="00C974DD">
        <w:rPr>
          <w:lang w:val="en-US"/>
        </w:rPr>
        <w:t>with regard to the number of prior therapies in the revised PBS population was not assessed.</w:t>
      </w:r>
      <w:r w:rsidR="001C271F" w:rsidRPr="00C974DD">
        <w:rPr>
          <w:lang w:val="en-US"/>
        </w:rPr>
        <w:t xml:space="preserve">  </w:t>
      </w:r>
    </w:p>
    <w:p w:rsidR="00044DDE" w:rsidRPr="00C974DD" w:rsidRDefault="00044DDE" w:rsidP="000D2B3E">
      <w:pPr>
        <w:pStyle w:val="ListParagraph"/>
        <w:rPr>
          <w:lang w:val="en-US"/>
        </w:rPr>
      </w:pPr>
    </w:p>
    <w:p w:rsidR="00044DDE" w:rsidRPr="00C974DD" w:rsidRDefault="00044DDE">
      <w:pPr>
        <w:pStyle w:val="ListParagraph"/>
        <w:numPr>
          <w:ilvl w:val="1"/>
          <w:numId w:val="15"/>
        </w:numPr>
        <w:rPr>
          <w:lang w:val="en-US"/>
        </w:rPr>
      </w:pPr>
      <w:r w:rsidRPr="00C974DD">
        <w:rPr>
          <w:lang w:val="en-US"/>
        </w:rPr>
        <w:t>The PBAC considered that the claim of superior comparative eff</w:t>
      </w:r>
      <w:r w:rsidR="002827D3" w:rsidRPr="00C974DD">
        <w:rPr>
          <w:lang w:val="en-US"/>
        </w:rPr>
        <w:t>icacy</w:t>
      </w:r>
      <w:r w:rsidRPr="00C974DD">
        <w:rPr>
          <w:lang w:val="en-US"/>
        </w:rPr>
        <w:t xml:space="preserve"> and safety was not adequately supported by the data.</w:t>
      </w:r>
    </w:p>
    <w:p w:rsidR="00637481" w:rsidRPr="00C974DD" w:rsidRDefault="00637481" w:rsidP="00637481">
      <w:pPr>
        <w:pStyle w:val="ListParagraph"/>
        <w:rPr>
          <w:lang w:val="en-US"/>
        </w:rPr>
      </w:pPr>
    </w:p>
    <w:p w:rsidR="00044DDE" w:rsidRPr="00C974DD" w:rsidRDefault="00044DDE" w:rsidP="00044DDE">
      <w:pPr>
        <w:pStyle w:val="ListParagraph"/>
        <w:rPr>
          <w:i/>
          <w:szCs w:val="22"/>
        </w:rPr>
      </w:pPr>
      <w:r w:rsidRPr="00C974DD">
        <w:rPr>
          <w:i/>
          <w:szCs w:val="22"/>
        </w:rPr>
        <w:t>For more detail on PBAC’s view, see section 7 “PBAC outcome”</w:t>
      </w:r>
    </w:p>
    <w:p w:rsidR="00044DDE" w:rsidRPr="00C974DD" w:rsidRDefault="00044DDE" w:rsidP="00637481">
      <w:pPr>
        <w:pStyle w:val="ListParagraph"/>
        <w:rPr>
          <w:lang w:val="en-US"/>
        </w:rPr>
      </w:pPr>
    </w:p>
    <w:p w:rsidR="00637481" w:rsidRPr="005F67C0" w:rsidRDefault="00637481" w:rsidP="00637481">
      <w:pPr>
        <w:pStyle w:val="Heading2"/>
      </w:pPr>
      <w:bookmarkStart w:id="11" w:name="_Toc409517493"/>
      <w:r w:rsidRPr="005F67C0">
        <w:t>Economic analysis</w:t>
      </w:r>
      <w:bookmarkEnd w:id="11"/>
    </w:p>
    <w:p w:rsidR="00637481" w:rsidRPr="00C974DD" w:rsidRDefault="00637481" w:rsidP="00637481">
      <w:pPr>
        <w:pStyle w:val="ListParagraph"/>
        <w:rPr>
          <w:lang w:val="en-US"/>
        </w:rPr>
      </w:pPr>
    </w:p>
    <w:p w:rsidR="00A15EF2" w:rsidRPr="00C974DD" w:rsidRDefault="00B847FE" w:rsidP="004C3837">
      <w:pPr>
        <w:pStyle w:val="ListParagraph"/>
        <w:numPr>
          <w:ilvl w:val="1"/>
          <w:numId w:val="15"/>
        </w:numPr>
        <w:rPr>
          <w:lang w:val="en-US"/>
        </w:rPr>
      </w:pPr>
      <w:r w:rsidRPr="00C974DD">
        <w:rPr>
          <w:lang w:val="en-US"/>
        </w:rPr>
        <w:t xml:space="preserve">The submission presented a modelled cost-utility analysis, using the ITT </w:t>
      </w:r>
      <w:r w:rsidR="00062E71" w:rsidRPr="00C974DD">
        <w:rPr>
          <w:lang w:val="en-US"/>
        </w:rPr>
        <w:t xml:space="preserve">population </w:t>
      </w:r>
      <w:r w:rsidRPr="00C974DD">
        <w:rPr>
          <w:lang w:val="en-US"/>
        </w:rPr>
        <w:t>from Study 109-09 to inform idelalisib</w:t>
      </w:r>
      <w:r w:rsidR="00657F89" w:rsidRPr="00C974DD">
        <w:rPr>
          <w:lang w:val="en-US"/>
        </w:rPr>
        <w:t xml:space="preserve"> efficacy </w:t>
      </w:r>
      <w:r w:rsidR="00AC1AF6" w:rsidRPr="00C974DD">
        <w:rPr>
          <w:lang w:val="en-US"/>
        </w:rPr>
        <w:t>(</w:t>
      </w:r>
      <w:r w:rsidR="005D4F8E" w:rsidRPr="00C974DD">
        <w:rPr>
          <w:lang w:val="en-US"/>
        </w:rPr>
        <w:t>i.e.</w:t>
      </w:r>
      <w:r w:rsidR="00AC1AF6" w:rsidRPr="00C974DD">
        <w:rPr>
          <w:lang w:val="en-US"/>
        </w:rPr>
        <w:t xml:space="preserve"> the entire study cohort was used to inform idelalisib efficacy) </w:t>
      </w:r>
      <w:r w:rsidRPr="00C974DD">
        <w:rPr>
          <w:lang w:val="en-US"/>
        </w:rPr>
        <w:t>and the non-responders from this study to inform best supportive care.</w:t>
      </w:r>
      <w:r w:rsidR="00445511" w:rsidRPr="00C974DD">
        <w:rPr>
          <w:lang w:val="en-US"/>
        </w:rPr>
        <w:t xml:space="preserve"> </w:t>
      </w:r>
    </w:p>
    <w:p w:rsidR="00EC5091" w:rsidRPr="00C974DD" w:rsidRDefault="00EC5091" w:rsidP="008053E8">
      <w:pPr>
        <w:pStyle w:val="ListParagraph"/>
        <w:rPr>
          <w:lang w:val="en-US"/>
        </w:rPr>
      </w:pPr>
    </w:p>
    <w:p w:rsidR="00A15EF2" w:rsidRPr="00C974DD" w:rsidRDefault="00A15EF2" w:rsidP="008053E8">
      <w:pPr>
        <w:pStyle w:val="ListParagraph"/>
        <w:ind w:left="0"/>
        <w:rPr>
          <w:u w:val="single"/>
          <w:lang w:val="en-US"/>
        </w:rPr>
      </w:pPr>
      <w:r w:rsidRPr="00C974DD">
        <w:rPr>
          <w:u w:val="single"/>
          <w:lang w:val="en-US"/>
        </w:rPr>
        <w:t>Use of non-responders from the single arm study to inform best supportive c</w:t>
      </w:r>
      <w:r w:rsidR="00150599" w:rsidRPr="00C974DD">
        <w:rPr>
          <w:u w:val="single"/>
          <w:lang w:val="en-US"/>
        </w:rPr>
        <w:t>a</w:t>
      </w:r>
      <w:r w:rsidRPr="00C974DD">
        <w:rPr>
          <w:u w:val="single"/>
          <w:lang w:val="en-US"/>
        </w:rPr>
        <w:t>re</w:t>
      </w:r>
    </w:p>
    <w:p w:rsidR="008A6263" w:rsidRPr="00C974DD" w:rsidRDefault="008A6263" w:rsidP="008053E8">
      <w:pPr>
        <w:pStyle w:val="ListParagraph"/>
        <w:rPr>
          <w:lang w:val="en-US"/>
        </w:rPr>
      </w:pPr>
    </w:p>
    <w:p w:rsidR="00B210D3" w:rsidRPr="00C974DD" w:rsidRDefault="00972598" w:rsidP="004C3837">
      <w:pPr>
        <w:pStyle w:val="ListParagraph"/>
        <w:numPr>
          <w:ilvl w:val="1"/>
          <w:numId w:val="15"/>
        </w:numPr>
        <w:rPr>
          <w:lang w:val="en-US"/>
        </w:rPr>
      </w:pPr>
      <w:r w:rsidRPr="00C974DD">
        <w:rPr>
          <w:lang w:val="en-US"/>
        </w:rPr>
        <w:t>The ESC considered that the use of non-responders as a proxy for best supportive care was inappropriate</w:t>
      </w:r>
      <w:r w:rsidRPr="00C974DD">
        <w:rPr>
          <w:i/>
          <w:lang w:val="en-US"/>
        </w:rPr>
        <w:t>.</w:t>
      </w:r>
      <w:r w:rsidR="002550F1" w:rsidRPr="00C974DD">
        <w:rPr>
          <w:lang w:val="en-US"/>
        </w:rPr>
        <w:t xml:space="preserve"> O</w:t>
      </w:r>
      <w:r w:rsidR="00445511" w:rsidRPr="00C974DD">
        <w:rPr>
          <w:lang w:val="en-US"/>
        </w:rPr>
        <w:t xml:space="preserve">verall survival </w:t>
      </w:r>
      <w:r w:rsidR="002550F1" w:rsidRPr="00C974DD">
        <w:rPr>
          <w:lang w:val="en-US"/>
        </w:rPr>
        <w:t>among</w:t>
      </w:r>
      <w:r w:rsidR="00445511" w:rsidRPr="00C974DD">
        <w:rPr>
          <w:lang w:val="en-US"/>
        </w:rPr>
        <w:t xml:space="preserve"> the non-responders was probably </w:t>
      </w:r>
      <w:r w:rsidR="00445511" w:rsidRPr="00C974DD">
        <w:rPr>
          <w:lang w:val="en-US"/>
        </w:rPr>
        <w:lastRenderedPageBreak/>
        <w:t>lower due to adverse events potentially associated with idelalisib treatment, i.e. 10/125</w:t>
      </w:r>
      <w:r w:rsidR="00257E2B" w:rsidRPr="00C974DD">
        <w:rPr>
          <w:lang w:val="en-US"/>
        </w:rPr>
        <w:t xml:space="preserve"> (8%)</w:t>
      </w:r>
      <w:r w:rsidR="00445511" w:rsidRPr="00C974DD">
        <w:rPr>
          <w:lang w:val="en-US"/>
        </w:rPr>
        <w:t xml:space="preserve"> patients died in Study 101-09 due to adverse events. Further, non-responders to any active intervention </w:t>
      </w:r>
      <w:r w:rsidR="007A036C" w:rsidRPr="00C974DD">
        <w:rPr>
          <w:lang w:val="en-US"/>
        </w:rPr>
        <w:t xml:space="preserve">tend to </w:t>
      </w:r>
      <w:r w:rsidR="00445511" w:rsidRPr="00C974DD">
        <w:rPr>
          <w:lang w:val="en-US"/>
        </w:rPr>
        <w:t>ha</w:t>
      </w:r>
      <w:r w:rsidR="007A036C" w:rsidRPr="00C974DD">
        <w:rPr>
          <w:lang w:val="en-US"/>
        </w:rPr>
        <w:t>ve</w:t>
      </w:r>
      <w:r w:rsidR="00445511" w:rsidRPr="00C974DD">
        <w:rPr>
          <w:lang w:val="en-US"/>
        </w:rPr>
        <w:t xml:space="preserve"> inherently poorer prognoses than the average patient</w:t>
      </w:r>
      <w:r w:rsidR="007A036C" w:rsidRPr="00C974DD">
        <w:rPr>
          <w:lang w:val="en-US"/>
        </w:rPr>
        <w:t xml:space="preserve"> and confounding </w:t>
      </w:r>
      <w:r w:rsidR="000310EE" w:rsidRPr="00C974DD">
        <w:rPr>
          <w:lang w:val="en-US"/>
        </w:rPr>
        <w:t>cannot</w:t>
      </w:r>
      <w:r w:rsidR="007A036C" w:rsidRPr="00C974DD">
        <w:rPr>
          <w:lang w:val="en-US"/>
        </w:rPr>
        <w:t xml:space="preserve"> be ruled out</w:t>
      </w:r>
      <w:r w:rsidR="00445511" w:rsidRPr="00C974DD">
        <w:rPr>
          <w:lang w:val="en-US"/>
        </w:rPr>
        <w:t xml:space="preserve">. </w:t>
      </w:r>
      <w:r w:rsidR="007025D4" w:rsidRPr="00C974DD">
        <w:rPr>
          <w:lang w:val="en-US"/>
        </w:rPr>
        <w:t>Finally</w:t>
      </w:r>
      <w:r w:rsidR="00445511" w:rsidRPr="00C974DD">
        <w:rPr>
          <w:lang w:val="en-US"/>
        </w:rPr>
        <w:t xml:space="preserve">, it was not reasonable to assume idelalisib given to non-responders would have the same treatment effect as best supportive care given to average patients. </w:t>
      </w:r>
    </w:p>
    <w:p w:rsidR="00BE1AAE" w:rsidRPr="00C974DD" w:rsidRDefault="00BE1AAE" w:rsidP="008053E8">
      <w:pPr>
        <w:pStyle w:val="ListParagraph"/>
        <w:rPr>
          <w:lang w:val="en-US"/>
        </w:rPr>
      </w:pPr>
    </w:p>
    <w:p w:rsidR="00B210D3" w:rsidRPr="00C974DD" w:rsidRDefault="00A15EF2" w:rsidP="00383C7B">
      <w:pPr>
        <w:pStyle w:val="ListParagraph"/>
        <w:numPr>
          <w:ilvl w:val="1"/>
          <w:numId w:val="15"/>
        </w:numPr>
        <w:rPr>
          <w:lang w:val="en-US"/>
        </w:rPr>
      </w:pPr>
      <w:r w:rsidRPr="00C974DD">
        <w:rPr>
          <w:lang w:val="en-US"/>
        </w:rPr>
        <w:t>W</w:t>
      </w:r>
      <w:r w:rsidR="00B210D3" w:rsidRPr="00C974DD">
        <w:rPr>
          <w:lang w:val="en-US"/>
        </w:rPr>
        <w:t xml:space="preserve">hilst non-responders were similar to the ITT population with regard to age, sex, baseline disease stage and prior exposure to antineoplastic agents, </w:t>
      </w:r>
      <w:r w:rsidR="00B535C8" w:rsidRPr="00C974DD">
        <w:rPr>
          <w:lang w:val="en-US"/>
        </w:rPr>
        <w:t>the ESC considered that it was</w:t>
      </w:r>
      <w:r w:rsidR="00B210D3" w:rsidRPr="00C974DD">
        <w:rPr>
          <w:lang w:val="en-US"/>
        </w:rPr>
        <w:t xml:space="preserve"> unclear how comparable the non-responders were with regard to other potential confounders of outcome including performance status and baseline </w:t>
      </w:r>
      <w:r w:rsidR="00BF3B4A" w:rsidRPr="00C974DD">
        <w:rPr>
          <w:lang w:val="en-US"/>
        </w:rPr>
        <w:t>cytopenias</w:t>
      </w:r>
      <w:r w:rsidR="00383C7B" w:rsidRPr="00C974DD">
        <w:rPr>
          <w:lang w:val="en-US"/>
        </w:rPr>
        <w:t>, as well as other confounders of treatment effect that were unknown or not observed</w:t>
      </w:r>
      <w:r w:rsidR="00B210D3" w:rsidRPr="00C974DD">
        <w:rPr>
          <w:lang w:val="en-US"/>
        </w:rPr>
        <w:t>.</w:t>
      </w:r>
    </w:p>
    <w:p w:rsidR="006D6738" w:rsidRPr="00C974DD" w:rsidRDefault="006D6738" w:rsidP="000B261C">
      <w:pPr>
        <w:pStyle w:val="ListParagraph"/>
        <w:rPr>
          <w:lang w:val="en-US"/>
        </w:rPr>
      </w:pPr>
    </w:p>
    <w:p w:rsidR="00914609" w:rsidRPr="00C974DD" w:rsidRDefault="00D64D1F" w:rsidP="008053E8">
      <w:pPr>
        <w:pStyle w:val="ListParagraph"/>
        <w:numPr>
          <w:ilvl w:val="1"/>
          <w:numId w:val="15"/>
        </w:numPr>
        <w:rPr>
          <w:lang w:val="en-US"/>
        </w:rPr>
      </w:pPr>
      <w:r w:rsidRPr="00C974DD">
        <w:rPr>
          <w:lang w:val="en-US"/>
        </w:rPr>
        <w:t>N</w:t>
      </w:r>
      <w:r w:rsidR="00914609" w:rsidRPr="00C974DD">
        <w:rPr>
          <w:lang w:val="en-US"/>
        </w:rPr>
        <w:t>on-responders may h</w:t>
      </w:r>
      <w:r w:rsidR="0020034F" w:rsidRPr="00C974DD">
        <w:rPr>
          <w:lang w:val="en-US"/>
        </w:rPr>
        <w:t>ave experienced drug-related toxicities</w:t>
      </w:r>
      <w:r w:rsidRPr="00C974DD">
        <w:rPr>
          <w:lang w:val="en-US"/>
        </w:rPr>
        <w:t xml:space="preserve"> that</w:t>
      </w:r>
      <w:r w:rsidR="00914609" w:rsidRPr="00C974DD">
        <w:rPr>
          <w:lang w:val="en-US"/>
        </w:rPr>
        <w:t xml:space="preserve"> may have affected their outcomes. The commentary noted that </w:t>
      </w:r>
      <w:r w:rsidR="00657F89" w:rsidRPr="00C974DD">
        <w:rPr>
          <w:lang w:val="en-US"/>
        </w:rPr>
        <w:t>ten patients in Study 101</w:t>
      </w:r>
      <w:r w:rsidR="00657F89" w:rsidRPr="00C974DD">
        <w:rPr>
          <w:lang w:val="en-US"/>
        </w:rPr>
        <w:noBreakHyphen/>
      </w:r>
      <w:r w:rsidR="00914609" w:rsidRPr="00C974DD">
        <w:rPr>
          <w:lang w:val="en-US"/>
        </w:rPr>
        <w:t xml:space="preserve">09 died due to adverse events, and it was not clear how these patients were handled in the analysis. The PSCR outlined that </w:t>
      </w:r>
      <w:r w:rsidRPr="00C974DD">
        <w:rPr>
          <w:lang w:val="en-US"/>
        </w:rPr>
        <w:t>idelalisib was the probable cause of an adverse event leading to death in four patients in Study 101-09. Three of these patients were classed as non-responders.</w:t>
      </w:r>
      <w:r w:rsidR="00914609" w:rsidRPr="00C974DD">
        <w:rPr>
          <w:lang w:val="en-US"/>
        </w:rPr>
        <w:t xml:space="preserve"> As idelalisib may have been a cause of death in these patients, </w:t>
      </w:r>
      <w:r w:rsidR="00B535C8" w:rsidRPr="00C974DD">
        <w:rPr>
          <w:lang w:val="en-US"/>
        </w:rPr>
        <w:t>the ESC considered that it was</w:t>
      </w:r>
      <w:r w:rsidR="00914609" w:rsidRPr="00C974DD">
        <w:rPr>
          <w:lang w:val="en-US"/>
        </w:rPr>
        <w:t xml:space="preserve"> </w:t>
      </w:r>
      <w:r w:rsidRPr="00C974DD">
        <w:rPr>
          <w:lang w:val="en-US"/>
        </w:rPr>
        <w:t>un</w:t>
      </w:r>
      <w:r w:rsidR="00914609" w:rsidRPr="00C974DD">
        <w:rPr>
          <w:lang w:val="en-US"/>
        </w:rPr>
        <w:t xml:space="preserve">reasonable to include them in a group meant to simulate the “no idelalisib” arm. This may have underestimated the overall survival of best supportive care. </w:t>
      </w:r>
    </w:p>
    <w:p w:rsidR="002F4C97" w:rsidRPr="00C974DD" w:rsidRDefault="002F4C97" w:rsidP="006D6738">
      <w:pPr>
        <w:pStyle w:val="ListParagraph"/>
        <w:rPr>
          <w:lang w:val="en-US"/>
        </w:rPr>
      </w:pPr>
    </w:p>
    <w:p w:rsidR="00411597" w:rsidRPr="00C974DD" w:rsidRDefault="00FB3555" w:rsidP="008053E8">
      <w:pPr>
        <w:pStyle w:val="ListParagraph"/>
        <w:numPr>
          <w:ilvl w:val="1"/>
          <w:numId w:val="15"/>
        </w:numPr>
        <w:rPr>
          <w:lang w:val="en-US"/>
        </w:rPr>
      </w:pPr>
      <w:r w:rsidRPr="00C974DD">
        <w:rPr>
          <w:lang w:val="en-US"/>
        </w:rPr>
        <w:t>As shown in</w:t>
      </w:r>
      <w:r w:rsidR="004A61A4" w:rsidRPr="00C974DD">
        <w:rPr>
          <w:lang w:val="en-US"/>
        </w:rPr>
        <w:t xml:space="preserve"> Figure 1, the submission </w:t>
      </w:r>
      <w:r w:rsidR="00765404" w:rsidRPr="00C974DD">
        <w:rPr>
          <w:lang w:val="en-US"/>
        </w:rPr>
        <w:t>support</w:t>
      </w:r>
      <w:r w:rsidR="004A61A4" w:rsidRPr="00C974DD">
        <w:rPr>
          <w:lang w:val="en-US"/>
        </w:rPr>
        <w:t>ed</w:t>
      </w:r>
      <w:r w:rsidR="00765404" w:rsidRPr="00C974DD">
        <w:rPr>
          <w:lang w:val="en-US"/>
        </w:rPr>
        <w:t xml:space="preserve"> this approach</w:t>
      </w:r>
      <w:r w:rsidR="004A61A4" w:rsidRPr="00C974DD">
        <w:rPr>
          <w:lang w:val="en-US"/>
        </w:rPr>
        <w:t xml:space="preserve"> by</w:t>
      </w:r>
      <w:r w:rsidR="00765404" w:rsidRPr="00C974DD">
        <w:rPr>
          <w:lang w:val="en-US"/>
        </w:rPr>
        <w:t xml:space="preserve"> compar</w:t>
      </w:r>
      <w:r w:rsidR="004A61A4" w:rsidRPr="00C974DD">
        <w:rPr>
          <w:lang w:val="en-US"/>
        </w:rPr>
        <w:t>ing</w:t>
      </w:r>
      <w:r w:rsidR="00765404" w:rsidRPr="00C974DD">
        <w:rPr>
          <w:lang w:val="en-US"/>
        </w:rPr>
        <w:t xml:space="preserve"> the PFS of </w:t>
      </w:r>
      <w:r w:rsidR="00AF1E1B" w:rsidRPr="00C974DD">
        <w:rPr>
          <w:lang w:val="en-US"/>
        </w:rPr>
        <w:t>non</w:t>
      </w:r>
      <w:r w:rsidR="004A61A4" w:rsidRPr="00C974DD">
        <w:rPr>
          <w:lang w:val="en-US"/>
        </w:rPr>
        <w:noBreakHyphen/>
      </w:r>
      <w:r w:rsidR="00765404" w:rsidRPr="00C974DD">
        <w:rPr>
          <w:lang w:val="en-US"/>
        </w:rPr>
        <w:t>responder</w:t>
      </w:r>
      <w:r w:rsidR="00AF1E1B" w:rsidRPr="00C974DD">
        <w:rPr>
          <w:lang w:val="en-US"/>
        </w:rPr>
        <w:t>s</w:t>
      </w:r>
      <w:r w:rsidR="00765404" w:rsidRPr="00C974DD">
        <w:rPr>
          <w:lang w:val="en-US"/>
        </w:rPr>
        <w:t xml:space="preserve"> with </w:t>
      </w:r>
      <w:r w:rsidR="00411597" w:rsidRPr="00C974DD">
        <w:rPr>
          <w:lang w:val="en-US"/>
        </w:rPr>
        <w:t xml:space="preserve">the estimated PFS </w:t>
      </w:r>
      <w:r w:rsidR="004A61A4" w:rsidRPr="00C974DD">
        <w:rPr>
          <w:lang w:val="en-US"/>
        </w:rPr>
        <w:t xml:space="preserve">that patients had achieved with their </w:t>
      </w:r>
      <w:r w:rsidR="00411597" w:rsidRPr="00C974DD">
        <w:rPr>
          <w:lang w:val="en-US"/>
        </w:rPr>
        <w:t xml:space="preserve">previous line of therapy </w:t>
      </w:r>
      <w:r w:rsidR="004A61A4" w:rsidRPr="00C974DD">
        <w:rPr>
          <w:lang w:val="en-US"/>
        </w:rPr>
        <w:t>before</w:t>
      </w:r>
      <w:r w:rsidR="00411597" w:rsidRPr="00C974DD">
        <w:rPr>
          <w:lang w:val="en-US"/>
        </w:rPr>
        <w:t xml:space="preserve"> entering </w:t>
      </w:r>
      <w:r w:rsidR="004A61A4" w:rsidRPr="00C974DD">
        <w:rPr>
          <w:lang w:val="en-US"/>
        </w:rPr>
        <w:t xml:space="preserve">Study </w:t>
      </w:r>
      <w:r w:rsidR="00411597" w:rsidRPr="00C974DD">
        <w:rPr>
          <w:lang w:val="en-US"/>
        </w:rPr>
        <w:t xml:space="preserve">101-09. The submission </w:t>
      </w:r>
      <w:r w:rsidR="00CD0BE1" w:rsidRPr="00C974DD">
        <w:rPr>
          <w:lang w:val="en-US"/>
        </w:rPr>
        <w:t xml:space="preserve">concluded that the </w:t>
      </w:r>
      <w:r w:rsidR="00411597" w:rsidRPr="00C974DD">
        <w:rPr>
          <w:lang w:val="en-US"/>
        </w:rPr>
        <w:t>PFS</w:t>
      </w:r>
      <w:r w:rsidR="00AF1E1B" w:rsidRPr="00C974DD">
        <w:rPr>
          <w:lang w:val="en-US"/>
        </w:rPr>
        <w:t xml:space="preserve"> of the non</w:t>
      </w:r>
      <w:r w:rsidR="00AF1E1B" w:rsidRPr="00C974DD">
        <w:rPr>
          <w:lang w:val="en-US"/>
        </w:rPr>
        <w:noBreakHyphen/>
      </w:r>
      <w:r w:rsidR="00CD0BE1" w:rsidRPr="00C974DD">
        <w:rPr>
          <w:lang w:val="en-US"/>
        </w:rPr>
        <w:t xml:space="preserve">responders was similar to that observed with the last line of </w:t>
      </w:r>
      <w:r w:rsidR="00AF1E1B" w:rsidRPr="00C974DD">
        <w:rPr>
          <w:lang w:val="en-US"/>
        </w:rPr>
        <w:t>previous therapy</w:t>
      </w:r>
      <w:r w:rsidR="00D079FA" w:rsidRPr="00C974DD">
        <w:rPr>
          <w:lang w:val="en-US"/>
        </w:rPr>
        <w:t>,</w:t>
      </w:r>
      <w:r w:rsidR="00AF1E1B" w:rsidRPr="00C974DD">
        <w:rPr>
          <w:lang w:val="en-US"/>
        </w:rPr>
        <w:t xml:space="preserve"> and that the similarities in the PFS patterns support the approach applied in the economic evaluation. </w:t>
      </w:r>
    </w:p>
    <w:p w:rsidR="00E53D69" w:rsidRPr="00C974DD" w:rsidRDefault="00E53D69" w:rsidP="00D30BBE">
      <w:pPr>
        <w:pStyle w:val="ListParagraph"/>
        <w:rPr>
          <w:lang w:val="en-US"/>
        </w:rPr>
      </w:pPr>
    </w:p>
    <w:p w:rsidR="00AF1E1B" w:rsidRPr="00C974DD" w:rsidRDefault="00AF1E1B" w:rsidP="008053E8">
      <w:pPr>
        <w:pStyle w:val="ListParagraph"/>
        <w:numPr>
          <w:ilvl w:val="1"/>
          <w:numId w:val="15"/>
        </w:numPr>
        <w:rPr>
          <w:lang w:val="en-US"/>
        </w:rPr>
      </w:pPr>
      <w:r w:rsidRPr="00C974DD">
        <w:rPr>
          <w:lang w:val="en-US"/>
        </w:rPr>
        <w:t xml:space="preserve">The ESC considered that the analysis was unreliable. </w:t>
      </w:r>
      <w:r w:rsidR="00D3494D" w:rsidRPr="00C974DD">
        <w:rPr>
          <w:lang w:val="en-US"/>
        </w:rPr>
        <w:t>In addition to the concerns</w:t>
      </w:r>
      <w:r w:rsidR="00E47BAF" w:rsidRPr="00C974DD">
        <w:rPr>
          <w:lang w:val="en-US"/>
        </w:rPr>
        <w:t xml:space="preserve"> outlined above regar</w:t>
      </w:r>
      <w:r w:rsidR="00D30BBE" w:rsidRPr="00C974DD">
        <w:rPr>
          <w:lang w:val="en-US"/>
        </w:rPr>
        <w:t>d</w:t>
      </w:r>
      <w:r w:rsidR="00E47BAF" w:rsidRPr="00C974DD">
        <w:rPr>
          <w:lang w:val="en-US"/>
        </w:rPr>
        <w:t>ing</w:t>
      </w:r>
      <w:r w:rsidR="00D3494D" w:rsidRPr="00C974DD">
        <w:rPr>
          <w:lang w:val="en-US"/>
        </w:rPr>
        <w:t xml:space="preserve"> </w:t>
      </w:r>
      <w:r w:rsidR="00E47BAF" w:rsidRPr="00C974DD">
        <w:rPr>
          <w:lang w:val="en-US"/>
        </w:rPr>
        <w:t>th</w:t>
      </w:r>
      <w:r w:rsidR="00D3494D" w:rsidRPr="00C974DD">
        <w:rPr>
          <w:lang w:val="en-US"/>
        </w:rPr>
        <w:t xml:space="preserve">e </w:t>
      </w:r>
      <w:r w:rsidR="00E47BAF" w:rsidRPr="00C974DD">
        <w:rPr>
          <w:lang w:val="en-US"/>
        </w:rPr>
        <w:t>submission’s</w:t>
      </w:r>
      <w:r w:rsidR="00D3494D" w:rsidRPr="00C974DD">
        <w:rPr>
          <w:lang w:val="en-US"/>
        </w:rPr>
        <w:t xml:space="preserve"> approach</w:t>
      </w:r>
      <w:r w:rsidR="00E47BAF" w:rsidRPr="00C974DD">
        <w:rPr>
          <w:lang w:val="en-US"/>
        </w:rPr>
        <w:t xml:space="preserve"> to </w:t>
      </w:r>
      <w:r w:rsidR="00FB3555" w:rsidRPr="00C974DD">
        <w:rPr>
          <w:lang w:val="en-US"/>
        </w:rPr>
        <w:t>estimating</w:t>
      </w:r>
      <w:r w:rsidR="00E47BAF" w:rsidRPr="00C974DD">
        <w:rPr>
          <w:lang w:val="en-US"/>
        </w:rPr>
        <w:t xml:space="preserve"> the comparator arm</w:t>
      </w:r>
      <w:r w:rsidR="00D3494D" w:rsidRPr="00C974DD">
        <w:rPr>
          <w:lang w:val="en-US"/>
        </w:rPr>
        <w:t>, the ESC also noted:</w:t>
      </w:r>
    </w:p>
    <w:p w:rsidR="00AF1E1B" w:rsidRPr="00C974DD" w:rsidRDefault="00CD0BE1" w:rsidP="008053E8">
      <w:pPr>
        <w:pStyle w:val="ListParagraph"/>
        <w:numPr>
          <w:ilvl w:val="0"/>
          <w:numId w:val="88"/>
        </w:numPr>
        <w:rPr>
          <w:lang w:val="en-US"/>
        </w:rPr>
      </w:pPr>
      <w:r w:rsidRPr="00C974DD">
        <w:rPr>
          <w:lang w:val="en-US"/>
        </w:rPr>
        <w:t xml:space="preserve">This </w:t>
      </w:r>
      <w:r w:rsidR="00E47BAF" w:rsidRPr="00C974DD">
        <w:rPr>
          <w:lang w:val="en-US"/>
        </w:rPr>
        <w:t>analysis</w:t>
      </w:r>
      <w:r w:rsidR="00D079FA" w:rsidRPr="00C974DD">
        <w:rPr>
          <w:lang w:val="en-US"/>
        </w:rPr>
        <w:t xml:space="preserve"> </w:t>
      </w:r>
      <w:r w:rsidRPr="00C974DD">
        <w:rPr>
          <w:lang w:val="en-US"/>
        </w:rPr>
        <w:t>compared patients at different</w:t>
      </w:r>
      <w:r w:rsidR="00AF1E1B" w:rsidRPr="00C974DD">
        <w:rPr>
          <w:lang w:val="en-US"/>
        </w:rPr>
        <w:t xml:space="preserve"> stages of disease, which was </w:t>
      </w:r>
      <w:r w:rsidR="00D079FA" w:rsidRPr="00C974DD">
        <w:rPr>
          <w:lang w:val="en-US"/>
        </w:rPr>
        <w:t>un</w:t>
      </w:r>
      <w:r w:rsidRPr="00C974DD">
        <w:rPr>
          <w:lang w:val="en-US"/>
        </w:rPr>
        <w:t>reasonable</w:t>
      </w:r>
      <w:r w:rsidR="00411597" w:rsidRPr="00C974DD">
        <w:rPr>
          <w:lang w:val="en-US"/>
        </w:rPr>
        <w:t xml:space="preserve"> even </w:t>
      </w:r>
      <w:r w:rsidR="00AF1E1B" w:rsidRPr="00C974DD">
        <w:rPr>
          <w:lang w:val="en-US"/>
        </w:rPr>
        <w:t>considering</w:t>
      </w:r>
      <w:r w:rsidR="00411597" w:rsidRPr="00C974DD">
        <w:rPr>
          <w:lang w:val="en-US"/>
        </w:rPr>
        <w:t xml:space="preserve"> the </w:t>
      </w:r>
      <w:r w:rsidR="00AF1E1B" w:rsidRPr="00C974DD">
        <w:rPr>
          <w:lang w:val="en-US"/>
        </w:rPr>
        <w:t>large number of prior treatments that patients received before entering Study 101-09</w:t>
      </w:r>
      <w:r w:rsidR="00411597" w:rsidRPr="00C974DD">
        <w:rPr>
          <w:lang w:val="en-US"/>
        </w:rPr>
        <w:t>.</w:t>
      </w:r>
      <w:r w:rsidRPr="00C974DD">
        <w:rPr>
          <w:lang w:val="en-US"/>
        </w:rPr>
        <w:t xml:space="preserve"> </w:t>
      </w:r>
    </w:p>
    <w:p w:rsidR="006D6738" w:rsidRPr="00C974DD" w:rsidRDefault="00CD0BE1" w:rsidP="008053E8">
      <w:pPr>
        <w:pStyle w:val="ListParagraph"/>
        <w:numPr>
          <w:ilvl w:val="0"/>
          <w:numId w:val="88"/>
        </w:numPr>
        <w:rPr>
          <w:lang w:val="en-US"/>
        </w:rPr>
      </w:pPr>
      <w:r w:rsidRPr="00C974DD">
        <w:rPr>
          <w:lang w:val="en-US"/>
        </w:rPr>
        <w:t>a large proportion of the patients on idelalisib were censored due to adverse events. These patients were more likely to be in the non-responder arm of Study 101-09.</w:t>
      </w:r>
      <w:r w:rsidR="00E56594" w:rsidRPr="00C974DD">
        <w:rPr>
          <w:lang w:val="en-US"/>
        </w:rPr>
        <w:t xml:space="preserve"> </w:t>
      </w:r>
    </w:p>
    <w:p w:rsidR="005F09AE" w:rsidRPr="00C974DD" w:rsidRDefault="005F09AE" w:rsidP="008053E8">
      <w:pPr>
        <w:pStyle w:val="ListParagraph"/>
        <w:numPr>
          <w:ilvl w:val="0"/>
          <w:numId w:val="88"/>
        </w:numPr>
        <w:rPr>
          <w:lang w:val="en-US"/>
        </w:rPr>
      </w:pPr>
      <w:r w:rsidRPr="00C974DD">
        <w:rPr>
          <w:lang w:val="en-US"/>
        </w:rPr>
        <w:t>By their very nature both groups included in th</w:t>
      </w:r>
      <w:r w:rsidR="00FD2407">
        <w:rPr>
          <w:lang w:val="en-US"/>
        </w:rPr>
        <w:t>e analysis presented in the figure below</w:t>
      </w:r>
      <w:r w:rsidRPr="00C974DD">
        <w:rPr>
          <w:lang w:val="en-US"/>
        </w:rPr>
        <w:t xml:space="preserve"> were “non-responders”. To enter the trial 101-09 participants had to be “non-responders” and the assumption is that without idelalisib everyone will be non-responders to BSC following the same trajectory of outcome as the non-responders in trial 101-09. This assumption is unreasonable as it is subject to high chance of confounding and potential bias. </w:t>
      </w:r>
    </w:p>
    <w:p w:rsidR="00E56594" w:rsidRPr="00C974DD" w:rsidRDefault="00E56594" w:rsidP="008053E8">
      <w:pPr>
        <w:keepNext/>
        <w:ind w:left="709"/>
        <w:rPr>
          <w:rStyle w:val="CommentReference"/>
        </w:rPr>
      </w:pPr>
    </w:p>
    <w:p w:rsidR="00E56594" w:rsidRPr="00C974DD" w:rsidRDefault="00E56594" w:rsidP="008053E8">
      <w:pPr>
        <w:keepNext/>
        <w:ind w:left="709"/>
        <w:rPr>
          <w:rStyle w:val="CommentReference"/>
          <w:i/>
        </w:rPr>
      </w:pPr>
      <w:r w:rsidRPr="00C974DD">
        <w:rPr>
          <w:rStyle w:val="CommentReference"/>
          <w:i/>
        </w:rPr>
        <w:t>Kaplan Meier estimates for PFS for non-responders, and last line of previous therapy for ITT, 101-09</w:t>
      </w:r>
    </w:p>
    <w:p w:rsidR="00E56594" w:rsidRPr="00C974DD" w:rsidRDefault="00B05398" w:rsidP="00E56594">
      <w:pPr>
        <w:keepNext/>
        <w:ind w:left="709"/>
      </w:pPr>
      <w:r>
        <w:rPr>
          <w:noProof/>
          <w:snapToGrid/>
          <w:lang w:eastAsia="en-AU"/>
        </w:rPr>
        <w:drawing>
          <wp:inline distT="0" distB="0" distL="0" distR="0">
            <wp:extent cx="4800600" cy="30543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800600" cy="3054350"/>
                    </a:xfrm>
                    <a:prstGeom prst="rect">
                      <a:avLst/>
                    </a:prstGeom>
                  </pic:spPr>
                </pic:pic>
              </a:graphicData>
            </a:graphic>
          </wp:inline>
        </w:drawing>
      </w:r>
      <w:r w:rsidR="00E56594" w:rsidRPr="00C974DD">
        <w:t xml:space="preserve"> </w:t>
      </w:r>
    </w:p>
    <w:p w:rsidR="00E56594" w:rsidRPr="00C974DD" w:rsidRDefault="00E56594" w:rsidP="00E56594">
      <w:pPr>
        <w:keepNext/>
        <w:ind w:left="851"/>
        <w:rPr>
          <w:rFonts w:ascii="Arial Narrow" w:hAnsi="Arial Narrow"/>
          <w:sz w:val="18"/>
        </w:rPr>
      </w:pPr>
      <w:r w:rsidRPr="00C974DD">
        <w:rPr>
          <w:rFonts w:ascii="Arial Narrow" w:hAnsi="Arial Narrow"/>
          <w:sz w:val="18"/>
        </w:rPr>
        <w:t>Source: Table C-3, p 138 of the submission, Figure C.2.1.1 of commentary, Figure 1 of PSCR.</w:t>
      </w:r>
    </w:p>
    <w:p w:rsidR="00E56594" w:rsidRPr="00C974DD" w:rsidRDefault="00E56594" w:rsidP="00E56594">
      <w:pPr>
        <w:keepNext/>
        <w:ind w:left="851"/>
        <w:rPr>
          <w:rFonts w:ascii="Arial Narrow" w:hAnsi="Arial Narrow"/>
          <w:sz w:val="18"/>
        </w:rPr>
      </w:pPr>
      <w:r w:rsidRPr="00C974DD">
        <w:rPr>
          <w:rFonts w:ascii="Arial Narrow" w:hAnsi="Arial Narrow"/>
          <w:sz w:val="18"/>
        </w:rPr>
        <w:t>PFS = progression-free survival, ITT = intention to treat, LLPT = last line of previous therapy</w:t>
      </w:r>
    </w:p>
    <w:p w:rsidR="006D6738" w:rsidRPr="00C974DD" w:rsidRDefault="006D6738" w:rsidP="00E56594">
      <w:pPr>
        <w:pStyle w:val="ListParagraph"/>
        <w:rPr>
          <w:lang w:val="en-US"/>
        </w:rPr>
      </w:pPr>
    </w:p>
    <w:p w:rsidR="004A61A4" w:rsidRPr="00C974DD" w:rsidRDefault="004A61A4" w:rsidP="008053E8">
      <w:pPr>
        <w:pStyle w:val="ListParagraph"/>
        <w:numPr>
          <w:ilvl w:val="1"/>
          <w:numId w:val="15"/>
        </w:numPr>
        <w:rPr>
          <w:lang w:val="en-US"/>
        </w:rPr>
      </w:pPr>
      <w:r w:rsidRPr="00C974DD">
        <w:rPr>
          <w:lang w:val="en-US"/>
        </w:rPr>
        <w:t xml:space="preserve">The ESC concluded that the outcomes of non-responders were not an appropriate basis to inform the </w:t>
      </w:r>
      <w:r w:rsidR="00D079FA" w:rsidRPr="00C974DD">
        <w:rPr>
          <w:lang w:val="en-US"/>
        </w:rPr>
        <w:t>outcomes</w:t>
      </w:r>
      <w:r w:rsidRPr="00C974DD">
        <w:rPr>
          <w:lang w:val="en-US"/>
        </w:rPr>
        <w:t xml:space="preserve"> of best supportive care. </w:t>
      </w:r>
    </w:p>
    <w:p w:rsidR="004A61A4" w:rsidRPr="00C974DD" w:rsidRDefault="004A61A4" w:rsidP="00E56594">
      <w:pPr>
        <w:pStyle w:val="ListParagraph"/>
        <w:rPr>
          <w:lang w:val="en-US"/>
        </w:rPr>
      </w:pPr>
    </w:p>
    <w:p w:rsidR="004A61A4" w:rsidRPr="00C974DD" w:rsidRDefault="004A61A4" w:rsidP="008053E8">
      <w:pPr>
        <w:rPr>
          <w:u w:val="single"/>
          <w:lang w:val="en-US"/>
        </w:rPr>
      </w:pPr>
      <w:r w:rsidRPr="00C974DD">
        <w:rPr>
          <w:u w:val="single"/>
          <w:lang w:val="en-US"/>
        </w:rPr>
        <w:t>Economic model</w:t>
      </w:r>
    </w:p>
    <w:p w:rsidR="004A61A4" w:rsidRPr="00C974DD" w:rsidRDefault="004A61A4" w:rsidP="008053E8">
      <w:pPr>
        <w:rPr>
          <w:u w:val="single"/>
          <w:lang w:val="en-US"/>
        </w:rPr>
      </w:pPr>
    </w:p>
    <w:p w:rsidR="00637481" w:rsidRPr="00C974DD" w:rsidRDefault="00445511" w:rsidP="008053E8">
      <w:pPr>
        <w:pStyle w:val="ListParagraph"/>
        <w:numPr>
          <w:ilvl w:val="1"/>
          <w:numId w:val="15"/>
        </w:numPr>
        <w:rPr>
          <w:lang w:val="en-US"/>
        </w:rPr>
      </w:pPr>
      <w:r w:rsidRPr="00C974DD">
        <w:rPr>
          <w:lang w:val="en-US"/>
        </w:rPr>
        <w:t xml:space="preserve">Details </w:t>
      </w:r>
      <w:r w:rsidR="00CB6DF7" w:rsidRPr="00C974DD">
        <w:rPr>
          <w:lang w:val="en-US"/>
        </w:rPr>
        <w:t xml:space="preserve">of the model structure </w:t>
      </w:r>
      <w:r w:rsidRPr="00C974DD">
        <w:rPr>
          <w:lang w:val="en-US"/>
        </w:rPr>
        <w:t>are presented below.</w:t>
      </w:r>
    </w:p>
    <w:p w:rsidR="002D12BB" w:rsidRPr="00C974DD" w:rsidRDefault="002D12BB" w:rsidP="002D12BB">
      <w:pPr>
        <w:pStyle w:val="ListParagraph"/>
        <w:rPr>
          <w:lang w:val="en-US"/>
        </w:rPr>
      </w:pPr>
    </w:p>
    <w:p w:rsidR="00275C5A" w:rsidRPr="00C974DD" w:rsidRDefault="00275C5A" w:rsidP="00CE4B32">
      <w:pPr>
        <w:keepNext/>
        <w:keepLines/>
        <w:ind w:firstLine="720"/>
        <w:rPr>
          <w:rStyle w:val="CommentReference"/>
        </w:rPr>
      </w:pPr>
      <w:r w:rsidRPr="00C974DD">
        <w:rPr>
          <w:rStyle w:val="CommentReference"/>
        </w:rPr>
        <w:t>Summary of model structure and rationale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Summary of economic model structure"/>
      </w:tblPr>
      <w:tblGrid>
        <w:gridCol w:w="2552"/>
        <w:gridCol w:w="5793"/>
      </w:tblGrid>
      <w:tr w:rsidR="00C974DD" w:rsidRPr="00C974DD" w:rsidTr="005D044D">
        <w:trPr>
          <w:tblHeader/>
        </w:trPr>
        <w:tc>
          <w:tcPr>
            <w:tcW w:w="1529" w:type="pct"/>
            <w:shd w:val="clear" w:color="auto" w:fill="auto"/>
            <w:vAlign w:val="center"/>
          </w:tcPr>
          <w:p w:rsidR="00275C5A" w:rsidRPr="00C974DD" w:rsidRDefault="00275C5A" w:rsidP="00CE4B32">
            <w:pPr>
              <w:keepNext/>
              <w:keepLines/>
              <w:rPr>
                <w:rFonts w:ascii="Arial Narrow" w:hAnsi="Arial Narrow"/>
                <w:b/>
                <w:sz w:val="20"/>
              </w:rPr>
            </w:pPr>
            <w:r w:rsidRPr="00C974DD">
              <w:rPr>
                <w:rFonts w:ascii="Arial Narrow" w:hAnsi="Arial Narrow"/>
                <w:b/>
                <w:sz w:val="20"/>
              </w:rPr>
              <w:t>Component</w:t>
            </w:r>
          </w:p>
        </w:tc>
        <w:tc>
          <w:tcPr>
            <w:tcW w:w="3471" w:type="pct"/>
            <w:shd w:val="clear" w:color="auto" w:fill="auto"/>
            <w:vAlign w:val="center"/>
          </w:tcPr>
          <w:p w:rsidR="00275C5A" w:rsidRPr="00C974DD" w:rsidRDefault="00275C5A" w:rsidP="00CE4B32">
            <w:pPr>
              <w:keepNext/>
              <w:keepLines/>
              <w:jc w:val="center"/>
              <w:rPr>
                <w:rFonts w:ascii="Arial Narrow" w:hAnsi="Arial Narrow"/>
                <w:b/>
                <w:sz w:val="20"/>
              </w:rPr>
            </w:pPr>
            <w:r w:rsidRPr="00C974DD">
              <w:rPr>
                <w:rFonts w:ascii="Arial Narrow" w:hAnsi="Arial Narrow"/>
                <w:b/>
                <w:sz w:val="20"/>
              </w:rPr>
              <w:t>Summary</w:t>
            </w:r>
          </w:p>
        </w:tc>
      </w:tr>
      <w:tr w:rsidR="00C974DD" w:rsidRPr="00C974DD" w:rsidTr="005D044D">
        <w:tc>
          <w:tcPr>
            <w:tcW w:w="1529" w:type="pct"/>
            <w:shd w:val="clear" w:color="auto" w:fill="auto"/>
            <w:vAlign w:val="center"/>
          </w:tcPr>
          <w:p w:rsidR="00275C5A" w:rsidRPr="00C974DD" w:rsidRDefault="00275C5A" w:rsidP="00CE4B32">
            <w:pPr>
              <w:keepNext/>
              <w:keepLines/>
              <w:rPr>
                <w:rFonts w:ascii="Arial Narrow" w:hAnsi="Arial Narrow"/>
                <w:sz w:val="20"/>
              </w:rPr>
            </w:pPr>
            <w:r w:rsidRPr="00C974DD">
              <w:rPr>
                <w:rFonts w:ascii="Arial Narrow" w:hAnsi="Arial Narrow"/>
                <w:sz w:val="20"/>
              </w:rPr>
              <w:t>Time horizon</w:t>
            </w:r>
          </w:p>
        </w:tc>
        <w:tc>
          <w:tcPr>
            <w:tcW w:w="3471" w:type="pct"/>
            <w:shd w:val="clear" w:color="auto" w:fill="auto"/>
            <w:vAlign w:val="center"/>
          </w:tcPr>
          <w:p w:rsidR="00275C5A" w:rsidRPr="00C974DD" w:rsidRDefault="00E77B08" w:rsidP="00CE4B32">
            <w:pPr>
              <w:keepNext/>
              <w:keepLines/>
              <w:rPr>
                <w:rFonts w:ascii="Arial Narrow" w:hAnsi="Arial Narrow"/>
                <w:sz w:val="20"/>
              </w:rPr>
            </w:pPr>
            <w:r w:rsidRPr="00C974DD">
              <w:rPr>
                <w:rFonts w:ascii="Arial Narrow" w:hAnsi="Arial Narrow"/>
                <w:sz w:val="20"/>
              </w:rPr>
              <w:t>10</w:t>
            </w:r>
            <w:r w:rsidR="00275C5A" w:rsidRPr="00C974DD">
              <w:rPr>
                <w:rFonts w:ascii="Arial Narrow" w:hAnsi="Arial Narrow"/>
                <w:sz w:val="20"/>
              </w:rPr>
              <w:t xml:space="preserve"> years in the model base case versus </w:t>
            </w:r>
            <w:r w:rsidRPr="00C974DD">
              <w:rPr>
                <w:rFonts w:ascii="Arial Narrow" w:hAnsi="Arial Narrow"/>
                <w:sz w:val="20"/>
              </w:rPr>
              <w:t>9.7 months</w:t>
            </w:r>
            <w:r w:rsidR="00275C5A" w:rsidRPr="00C974DD">
              <w:rPr>
                <w:rFonts w:ascii="Arial Narrow" w:hAnsi="Arial Narrow"/>
                <w:sz w:val="20"/>
              </w:rPr>
              <w:t xml:space="preserve"> in </w:t>
            </w:r>
            <w:r w:rsidRPr="00C974DD">
              <w:rPr>
                <w:rFonts w:ascii="Arial Narrow" w:hAnsi="Arial Narrow"/>
                <w:sz w:val="20"/>
              </w:rPr>
              <w:t>study (median duration of follow-up)</w:t>
            </w:r>
          </w:p>
        </w:tc>
      </w:tr>
      <w:tr w:rsidR="00C974DD" w:rsidRPr="00C974DD" w:rsidTr="005D044D">
        <w:tc>
          <w:tcPr>
            <w:tcW w:w="1529" w:type="pct"/>
            <w:shd w:val="clear" w:color="auto" w:fill="auto"/>
            <w:vAlign w:val="center"/>
          </w:tcPr>
          <w:p w:rsidR="00275C5A" w:rsidRPr="00C974DD" w:rsidRDefault="00275C5A" w:rsidP="00CE4B32">
            <w:pPr>
              <w:keepNext/>
              <w:keepLines/>
              <w:rPr>
                <w:rFonts w:ascii="Arial Narrow" w:hAnsi="Arial Narrow"/>
                <w:sz w:val="20"/>
              </w:rPr>
            </w:pPr>
            <w:r w:rsidRPr="00C974DD">
              <w:rPr>
                <w:rFonts w:ascii="Arial Narrow" w:hAnsi="Arial Narrow"/>
                <w:sz w:val="20"/>
              </w:rPr>
              <w:t>Outcomes</w:t>
            </w:r>
          </w:p>
        </w:tc>
        <w:tc>
          <w:tcPr>
            <w:tcW w:w="3471" w:type="pct"/>
            <w:shd w:val="clear" w:color="auto" w:fill="auto"/>
            <w:vAlign w:val="center"/>
          </w:tcPr>
          <w:p w:rsidR="00275C5A" w:rsidRPr="00C974DD" w:rsidRDefault="00275C5A" w:rsidP="00CE4B32">
            <w:pPr>
              <w:keepNext/>
              <w:keepLines/>
              <w:rPr>
                <w:rFonts w:ascii="Arial Narrow" w:hAnsi="Arial Narrow"/>
                <w:sz w:val="20"/>
              </w:rPr>
            </w:pPr>
            <w:r w:rsidRPr="00C974DD">
              <w:rPr>
                <w:rFonts w:ascii="Arial Narrow" w:hAnsi="Arial Narrow"/>
                <w:sz w:val="20"/>
              </w:rPr>
              <w:t>LY</w:t>
            </w:r>
            <w:r w:rsidR="00E77B08" w:rsidRPr="00C974DD">
              <w:rPr>
                <w:rFonts w:ascii="Arial Narrow" w:hAnsi="Arial Narrow"/>
                <w:sz w:val="20"/>
              </w:rPr>
              <w:t>s</w:t>
            </w:r>
            <w:r w:rsidRPr="00C974DD">
              <w:rPr>
                <w:rFonts w:ascii="Arial Narrow" w:hAnsi="Arial Narrow"/>
                <w:sz w:val="20"/>
              </w:rPr>
              <w:t xml:space="preserve"> and QALYs</w:t>
            </w:r>
          </w:p>
        </w:tc>
      </w:tr>
      <w:tr w:rsidR="00C974DD" w:rsidRPr="00C974DD" w:rsidTr="005D044D">
        <w:tc>
          <w:tcPr>
            <w:tcW w:w="1529" w:type="pct"/>
            <w:shd w:val="clear" w:color="auto" w:fill="auto"/>
            <w:vAlign w:val="center"/>
          </w:tcPr>
          <w:p w:rsidR="00275C5A" w:rsidRPr="00C974DD" w:rsidRDefault="00275C5A" w:rsidP="00CE4B32">
            <w:pPr>
              <w:keepNext/>
              <w:keepLines/>
              <w:rPr>
                <w:rFonts w:ascii="Arial Narrow" w:hAnsi="Arial Narrow"/>
                <w:sz w:val="20"/>
              </w:rPr>
            </w:pPr>
            <w:r w:rsidRPr="00C974DD">
              <w:rPr>
                <w:rFonts w:ascii="Arial Narrow" w:hAnsi="Arial Narrow"/>
                <w:sz w:val="20"/>
              </w:rPr>
              <w:t>Methods used to generate results</w:t>
            </w:r>
          </w:p>
        </w:tc>
        <w:tc>
          <w:tcPr>
            <w:tcW w:w="3471" w:type="pct"/>
            <w:shd w:val="clear" w:color="auto" w:fill="auto"/>
            <w:vAlign w:val="center"/>
          </w:tcPr>
          <w:p w:rsidR="00275C5A" w:rsidRPr="00C974DD" w:rsidRDefault="00E77B08" w:rsidP="00CE4B32">
            <w:pPr>
              <w:keepNext/>
              <w:keepLines/>
              <w:rPr>
                <w:rFonts w:ascii="Arial Narrow" w:hAnsi="Arial Narrow"/>
                <w:sz w:val="20"/>
              </w:rPr>
            </w:pPr>
            <w:r w:rsidRPr="00C974DD">
              <w:rPr>
                <w:rFonts w:ascii="Arial Narrow" w:hAnsi="Arial Narrow"/>
                <w:sz w:val="20"/>
              </w:rPr>
              <w:t>Single patient expected value analysis</w:t>
            </w:r>
          </w:p>
        </w:tc>
      </w:tr>
      <w:tr w:rsidR="00C974DD" w:rsidRPr="00C974DD" w:rsidTr="005D044D">
        <w:tc>
          <w:tcPr>
            <w:tcW w:w="1529" w:type="pct"/>
            <w:shd w:val="clear" w:color="auto" w:fill="auto"/>
            <w:vAlign w:val="center"/>
          </w:tcPr>
          <w:p w:rsidR="00275C5A" w:rsidRPr="00C974DD" w:rsidRDefault="00275C5A" w:rsidP="00CE4B32">
            <w:pPr>
              <w:keepNext/>
              <w:keepLines/>
              <w:rPr>
                <w:rFonts w:ascii="Arial Narrow" w:hAnsi="Arial Narrow"/>
                <w:sz w:val="20"/>
              </w:rPr>
            </w:pPr>
            <w:r w:rsidRPr="00C974DD">
              <w:rPr>
                <w:rFonts w:ascii="Arial Narrow" w:hAnsi="Arial Narrow"/>
                <w:sz w:val="20"/>
              </w:rPr>
              <w:t>Health states</w:t>
            </w:r>
          </w:p>
        </w:tc>
        <w:tc>
          <w:tcPr>
            <w:tcW w:w="3471" w:type="pct"/>
            <w:shd w:val="clear" w:color="auto" w:fill="auto"/>
            <w:vAlign w:val="center"/>
          </w:tcPr>
          <w:p w:rsidR="00275C5A" w:rsidRPr="00C974DD" w:rsidRDefault="00E77B08" w:rsidP="00CE4B32">
            <w:pPr>
              <w:keepNext/>
              <w:keepLines/>
              <w:rPr>
                <w:rFonts w:ascii="Arial Narrow" w:hAnsi="Arial Narrow"/>
                <w:sz w:val="20"/>
              </w:rPr>
            </w:pPr>
            <w:r w:rsidRPr="00C974DD">
              <w:rPr>
                <w:rFonts w:ascii="Arial Narrow" w:hAnsi="Arial Narrow"/>
                <w:sz w:val="20"/>
              </w:rPr>
              <w:t>3: Stable disease, progressed disease, dead</w:t>
            </w:r>
            <w:r w:rsidR="009C0CB9" w:rsidRPr="00C974DD">
              <w:rPr>
                <w:rFonts w:ascii="Arial Narrow" w:hAnsi="Arial Narrow"/>
                <w:sz w:val="20"/>
              </w:rPr>
              <w:t xml:space="preserve">. </w:t>
            </w:r>
            <w:r w:rsidR="009C0CB9" w:rsidRPr="00C974DD">
              <w:rPr>
                <w:rFonts w:ascii="Arial Narrow" w:hAnsi="Arial Narrow"/>
                <w:i/>
                <w:sz w:val="20"/>
              </w:rPr>
              <w:t>Utilities were sourced from the literature.</w:t>
            </w:r>
          </w:p>
        </w:tc>
      </w:tr>
      <w:tr w:rsidR="00C974DD" w:rsidRPr="00C974DD" w:rsidTr="005D044D">
        <w:tc>
          <w:tcPr>
            <w:tcW w:w="1529" w:type="pct"/>
            <w:shd w:val="clear" w:color="auto" w:fill="auto"/>
            <w:vAlign w:val="center"/>
          </w:tcPr>
          <w:p w:rsidR="00275C5A" w:rsidRPr="00C974DD" w:rsidRDefault="00275C5A" w:rsidP="00CE4B32">
            <w:pPr>
              <w:keepNext/>
              <w:keepLines/>
              <w:rPr>
                <w:rFonts w:ascii="Arial Narrow" w:hAnsi="Arial Narrow"/>
                <w:sz w:val="20"/>
              </w:rPr>
            </w:pPr>
            <w:r w:rsidRPr="00C974DD">
              <w:rPr>
                <w:rFonts w:ascii="Arial Narrow" w:hAnsi="Arial Narrow"/>
                <w:sz w:val="20"/>
              </w:rPr>
              <w:t>Cycle length</w:t>
            </w:r>
          </w:p>
        </w:tc>
        <w:tc>
          <w:tcPr>
            <w:tcW w:w="3471" w:type="pct"/>
            <w:shd w:val="clear" w:color="auto" w:fill="auto"/>
            <w:vAlign w:val="center"/>
          </w:tcPr>
          <w:p w:rsidR="00275C5A" w:rsidRPr="00C974DD" w:rsidRDefault="00E77B08" w:rsidP="00CE4B32">
            <w:pPr>
              <w:keepNext/>
              <w:keepLines/>
              <w:rPr>
                <w:rFonts w:ascii="Arial Narrow" w:hAnsi="Arial Narrow"/>
                <w:sz w:val="20"/>
              </w:rPr>
            </w:pPr>
            <w:r w:rsidRPr="00C974DD">
              <w:rPr>
                <w:rFonts w:ascii="Arial Narrow" w:hAnsi="Arial Narrow"/>
                <w:sz w:val="20"/>
              </w:rPr>
              <w:t>28 days</w:t>
            </w:r>
          </w:p>
        </w:tc>
      </w:tr>
      <w:tr w:rsidR="00C974DD" w:rsidRPr="00C974DD" w:rsidTr="005D044D">
        <w:tc>
          <w:tcPr>
            <w:tcW w:w="1529" w:type="pct"/>
            <w:shd w:val="clear" w:color="auto" w:fill="auto"/>
            <w:vAlign w:val="center"/>
          </w:tcPr>
          <w:p w:rsidR="00275C5A" w:rsidRPr="00C974DD" w:rsidRDefault="00275C5A" w:rsidP="00CE4B32">
            <w:pPr>
              <w:keepNext/>
              <w:keepLines/>
              <w:rPr>
                <w:rFonts w:ascii="Arial Narrow" w:hAnsi="Arial Narrow"/>
                <w:sz w:val="20"/>
              </w:rPr>
            </w:pPr>
            <w:r w:rsidRPr="00C974DD">
              <w:rPr>
                <w:rFonts w:ascii="Arial Narrow" w:hAnsi="Arial Narrow"/>
                <w:sz w:val="20"/>
              </w:rPr>
              <w:t>Transition probabilities</w:t>
            </w:r>
          </w:p>
        </w:tc>
        <w:tc>
          <w:tcPr>
            <w:tcW w:w="3471" w:type="pct"/>
            <w:shd w:val="clear" w:color="auto" w:fill="auto"/>
            <w:vAlign w:val="center"/>
          </w:tcPr>
          <w:p w:rsidR="00275C5A" w:rsidRPr="00C974DD" w:rsidRDefault="00DF4AA8" w:rsidP="00D30BBE">
            <w:pPr>
              <w:keepNext/>
              <w:keepLines/>
              <w:rPr>
                <w:rFonts w:ascii="Arial Narrow" w:hAnsi="Arial Narrow"/>
                <w:sz w:val="20"/>
              </w:rPr>
            </w:pPr>
            <w:r w:rsidRPr="00C974DD">
              <w:rPr>
                <w:rFonts w:ascii="Arial Narrow" w:hAnsi="Arial Narrow"/>
                <w:sz w:val="20"/>
              </w:rPr>
              <w:t>Formal Markov transition probabilities were not used. The population of health states was determined by parametric curve fitting of observed progression-free survival and overall survival curves.</w:t>
            </w:r>
            <w:r w:rsidR="007205CF" w:rsidRPr="00C974DD">
              <w:rPr>
                <w:rFonts w:ascii="Arial Narrow" w:hAnsi="Arial Narrow"/>
                <w:sz w:val="20"/>
              </w:rPr>
              <w:t xml:space="preserve"> For the intervention (idelalisib) arm, the whole ITT population of study 101-09 was used. For the comparator (best supportive care) arm, the subgroup of non-responders in study 101-09 was used. </w:t>
            </w:r>
            <w:r w:rsidR="007025D4" w:rsidRPr="00C974DD">
              <w:rPr>
                <w:rFonts w:ascii="Arial Narrow" w:hAnsi="Arial Narrow"/>
                <w:i/>
                <w:sz w:val="20"/>
              </w:rPr>
              <w:t>Th</w:t>
            </w:r>
            <w:r w:rsidR="00657F89" w:rsidRPr="00C974DD">
              <w:rPr>
                <w:rFonts w:ascii="Arial Narrow" w:hAnsi="Arial Narrow"/>
                <w:i/>
                <w:sz w:val="20"/>
              </w:rPr>
              <w:t xml:space="preserve">e ESC considered this to be </w:t>
            </w:r>
            <w:r w:rsidR="00175B00" w:rsidRPr="00C974DD">
              <w:rPr>
                <w:rFonts w:ascii="Arial Narrow" w:hAnsi="Arial Narrow"/>
                <w:i/>
                <w:sz w:val="20"/>
              </w:rPr>
              <w:t>unreasonable</w:t>
            </w:r>
            <w:r w:rsidR="007205CF" w:rsidRPr="00C974DD">
              <w:rPr>
                <w:rFonts w:ascii="Arial Narrow" w:hAnsi="Arial Narrow"/>
                <w:i/>
                <w:sz w:val="20"/>
              </w:rPr>
              <w:t>.</w:t>
            </w:r>
          </w:p>
        </w:tc>
      </w:tr>
    </w:tbl>
    <w:p w:rsidR="00275C5A" w:rsidRPr="00C974DD" w:rsidRDefault="00275C5A" w:rsidP="00CE4B32">
      <w:pPr>
        <w:pStyle w:val="TableFooter"/>
        <w:keepNext/>
        <w:keepLines/>
        <w:ind w:firstLine="720"/>
      </w:pPr>
      <w:r w:rsidRPr="00C974DD">
        <w:t>Source: compiled during the evaluation</w:t>
      </w:r>
      <w:r w:rsidR="007025D4" w:rsidRPr="00C974DD">
        <w:t>.</w:t>
      </w:r>
    </w:p>
    <w:p w:rsidR="002A01E0" w:rsidRPr="00C974DD" w:rsidRDefault="002A01E0" w:rsidP="00CE4B32">
      <w:pPr>
        <w:pStyle w:val="TableFooter"/>
        <w:keepNext/>
        <w:keepLines/>
        <w:ind w:firstLine="720"/>
      </w:pPr>
      <w:r w:rsidRPr="00C974DD">
        <w:t>LY = life year; QALY = quality adjusted life year</w:t>
      </w:r>
    </w:p>
    <w:p w:rsidR="00275C5A" w:rsidRDefault="00275C5A" w:rsidP="00275C5A">
      <w:pPr>
        <w:rPr>
          <w:szCs w:val="22"/>
        </w:rPr>
      </w:pPr>
    </w:p>
    <w:p w:rsidR="0094413E" w:rsidRDefault="0094413E" w:rsidP="00275C5A">
      <w:pPr>
        <w:rPr>
          <w:szCs w:val="22"/>
        </w:rPr>
      </w:pPr>
    </w:p>
    <w:p w:rsidR="0094413E" w:rsidRDefault="0094413E" w:rsidP="00275C5A">
      <w:pPr>
        <w:rPr>
          <w:szCs w:val="22"/>
        </w:rPr>
      </w:pPr>
    </w:p>
    <w:p w:rsidR="0094413E" w:rsidRDefault="0094413E" w:rsidP="00275C5A">
      <w:pPr>
        <w:rPr>
          <w:szCs w:val="22"/>
        </w:rPr>
      </w:pPr>
    </w:p>
    <w:p w:rsidR="0094413E" w:rsidRPr="00C974DD" w:rsidRDefault="0094413E" w:rsidP="00275C5A">
      <w:pPr>
        <w:rPr>
          <w:szCs w:val="22"/>
        </w:rPr>
      </w:pPr>
    </w:p>
    <w:p w:rsidR="00275C5A" w:rsidRPr="00C974DD" w:rsidRDefault="001E5823" w:rsidP="004C3837">
      <w:pPr>
        <w:pStyle w:val="ListParagraph"/>
        <w:numPr>
          <w:ilvl w:val="1"/>
          <w:numId w:val="15"/>
        </w:numPr>
        <w:rPr>
          <w:lang w:val="en-US"/>
        </w:rPr>
      </w:pPr>
      <w:r w:rsidRPr="00C974DD">
        <w:rPr>
          <w:lang w:val="en-US"/>
        </w:rPr>
        <w:lastRenderedPageBreak/>
        <w:t xml:space="preserve">A summary of the key drivers of the model </w:t>
      </w:r>
      <w:r w:rsidR="00C5765F" w:rsidRPr="00C974DD">
        <w:rPr>
          <w:lang w:val="en-US"/>
        </w:rPr>
        <w:t>i</w:t>
      </w:r>
      <w:r w:rsidRPr="00C974DD">
        <w:rPr>
          <w:lang w:val="en-US"/>
        </w:rPr>
        <w:t>s presented in the table below</w:t>
      </w:r>
      <w:r w:rsidR="004C3837" w:rsidRPr="00C974DD">
        <w:rPr>
          <w:lang w:val="en-US"/>
        </w:rPr>
        <w:t>.</w:t>
      </w:r>
    </w:p>
    <w:p w:rsidR="00275C5A" w:rsidRPr="00C974DD" w:rsidRDefault="00275C5A" w:rsidP="00275C5A">
      <w:pPr>
        <w:rPr>
          <w:szCs w:val="22"/>
        </w:rPr>
      </w:pPr>
    </w:p>
    <w:p w:rsidR="00D110BD" w:rsidRPr="00C974DD" w:rsidRDefault="00D110BD" w:rsidP="004B62CD">
      <w:pPr>
        <w:keepNext/>
        <w:ind w:firstLine="720"/>
        <w:rPr>
          <w:rStyle w:val="CommentReference"/>
        </w:rPr>
      </w:pPr>
      <w:r w:rsidRPr="00C974DD">
        <w:rPr>
          <w:rStyle w:val="CommentReference"/>
        </w:rPr>
        <w:t>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drivers of the economic model"/>
      </w:tblPr>
      <w:tblGrid>
        <w:gridCol w:w="2552"/>
        <w:gridCol w:w="3543"/>
        <w:gridCol w:w="2250"/>
      </w:tblGrid>
      <w:tr w:rsidR="00C974DD" w:rsidRPr="00C974DD" w:rsidTr="005D044D">
        <w:trPr>
          <w:tblHeader/>
        </w:trPr>
        <w:tc>
          <w:tcPr>
            <w:tcW w:w="1529" w:type="pct"/>
            <w:shd w:val="clear" w:color="auto" w:fill="auto"/>
            <w:vAlign w:val="center"/>
          </w:tcPr>
          <w:p w:rsidR="00D110BD" w:rsidRPr="00C974DD" w:rsidRDefault="00D110BD" w:rsidP="004B62CD">
            <w:pPr>
              <w:keepNext/>
              <w:rPr>
                <w:rFonts w:ascii="Arial Narrow" w:hAnsi="Arial Narrow"/>
                <w:b/>
                <w:sz w:val="20"/>
                <w:lang w:val="en-US"/>
              </w:rPr>
            </w:pPr>
            <w:r w:rsidRPr="00C974DD">
              <w:rPr>
                <w:rFonts w:ascii="Arial Narrow" w:hAnsi="Arial Narrow"/>
                <w:b/>
                <w:sz w:val="20"/>
                <w:lang w:val="en-US"/>
              </w:rPr>
              <w:t>Description</w:t>
            </w:r>
          </w:p>
        </w:tc>
        <w:tc>
          <w:tcPr>
            <w:tcW w:w="2123" w:type="pct"/>
            <w:shd w:val="clear" w:color="auto" w:fill="auto"/>
            <w:vAlign w:val="center"/>
          </w:tcPr>
          <w:p w:rsidR="00D110BD" w:rsidRPr="00C974DD" w:rsidRDefault="00D110BD" w:rsidP="004B62CD">
            <w:pPr>
              <w:keepNext/>
              <w:jc w:val="center"/>
              <w:rPr>
                <w:rFonts w:ascii="Arial Narrow" w:hAnsi="Arial Narrow"/>
                <w:b/>
                <w:sz w:val="20"/>
                <w:lang w:val="en-US"/>
              </w:rPr>
            </w:pPr>
            <w:r w:rsidRPr="00C974DD">
              <w:rPr>
                <w:rFonts w:ascii="Arial Narrow" w:hAnsi="Arial Narrow"/>
                <w:b/>
                <w:sz w:val="20"/>
                <w:lang w:val="en-US"/>
              </w:rPr>
              <w:t>Method/Value</w:t>
            </w:r>
          </w:p>
        </w:tc>
        <w:tc>
          <w:tcPr>
            <w:tcW w:w="1348" w:type="pct"/>
            <w:shd w:val="clear" w:color="auto" w:fill="auto"/>
            <w:vAlign w:val="center"/>
          </w:tcPr>
          <w:p w:rsidR="00D110BD" w:rsidRPr="00C974DD" w:rsidRDefault="00D110BD" w:rsidP="004B62CD">
            <w:pPr>
              <w:keepNext/>
              <w:jc w:val="center"/>
              <w:rPr>
                <w:rFonts w:ascii="Arial Narrow" w:hAnsi="Arial Narrow"/>
                <w:b/>
                <w:sz w:val="20"/>
                <w:lang w:val="en-US"/>
              </w:rPr>
            </w:pPr>
            <w:r w:rsidRPr="00C974DD">
              <w:rPr>
                <w:rFonts w:ascii="Arial Narrow" w:hAnsi="Arial Narrow"/>
                <w:b/>
                <w:sz w:val="20"/>
                <w:lang w:val="en-US"/>
              </w:rPr>
              <w:t>Impact</w:t>
            </w:r>
          </w:p>
        </w:tc>
      </w:tr>
      <w:tr w:rsidR="00C974DD" w:rsidRPr="00C974DD" w:rsidTr="005D044D">
        <w:tc>
          <w:tcPr>
            <w:tcW w:w="1529" w:type="pct"/>
            <w:shd w:val="clear" w:color="auto" w:fill="auto"/>
            <w:vAlign w:val="center"/>
          </w:tcPr>
          <w:p w:rsidR="00B772C9" w:rsidRPr="00C974DD" w:rsidRDefault="00B772C9" w:rsidP="004B62CD">
            <w:pPr>
              <w:keepNext/>
              <w:rPr>
                <w:rFonts w:ascii="Arial Narrow" w:hAnsi="Arial Narrow"/>
                <w:sz w:val="20"/>
                <w:lang w:val="en-US"/>
              </w:rPr>
            </w:pPr>
            <w:r w:rsidRPr="00C974DD">
              <w:rPr>
                <w:rFonts w:ascii="Arial Narrow" w:hAnsi="Arial Narrow"/>
                <w:sz w:val="20"/>
                <w:lang w:val="en-US"/>
              </w:rPr>
              <w:t>Efficacy BSC</w:t>
            </w:r>
          </w:p>
        </w:tc>
        <w:tc>
          <w:tcPr>
            <w:tcW w:w="2123" w:type="pct"/>
            <w:shd w:val="clear" w:color="auto" w:fill="auto"/>
            <w:vAlign w:val="center"/>
          </w:tcPr>
          <w:p w:rsidR="00B772C9" w:rsidRPr="00C974DD" w:rsidRDefault="00B772C9" w:rsidP="004B62CD">
            <w:pPr>
              <w:keepNext/>
              <w:jc w:val="center"/>
              <w:rPr>
                <w:rFonts w:ascii="Arial Narrow" w:hAnsi="Arial Narrow"/>
                <w:sz w:val="20"/>
                <w:lang w:val="en-US"/>
              </w:rPr>
            </w:pPr>
            <w:r w:rsidRPr="00C974DD">
              <w:rPr>
                <w:rFonts w:ascii="Arial Narrow" w:hAnsi="Arial Narrow"/>
                <w:sz w:val="20"/>
                <w:lang w:val="en-US"/>
              </w:rPr>
              <w:t>Use of non-responder of idelalisib study</w:t>
            </w:r>
          </w:p>
        </w:tc>
        <w:tc>
          <w:tcPr>
            <w:tcW w:w="1348" w:type="pct"/>
            <w:shd w:val="clear" w:color="auto" w:fill="auto"/>
            <w:vAlign w:val="center"/>
          </w:tcPr>
          <w:p w:rsidR="00B772C9" w:rsidRPr="00C974DD" w:rsidRDefault="00B772C9" w:rsidP="004B62CD">
            <w:pPr>
              <w:keepNext/>
              <w:jc w:val="center"/>
              <w:rPr>
                <w:rFonts w:ascii="Arial Narrow" w:hAnsi="Arial Narrow"/>
                <w:sz w:val="20"/>
                <w:lang w:val="en-US"/>
              </w:rPr>
            </w:pPr>
            <w:r w:rsidRPr="00C974DD">
              <w:rPr>
                <w:rFonts w:ascii="Arial Narrow" w:hAnsi="Arial Narrow"/>
                <w:sz w:val="20"/>
                <w:lang w:val="en-US"/>
              </w:rPr>
              <w:t>High, values are unreliable</w:t>
            </w:r>
          </w:p>
        </w:tc>
      </w:tr>
      <w:tr w:rsidR="00C974DD" w:rsidRPr="00C974DD" w:rsidTr="005D044D">
        <w:tc>
          <w:tcPr>
            <w:tcW w:w="1529" w:type="pct"/>
            <w:shd w:val="clear" w:color="auto" w:fill="auto"/>
            <w:vAlign w:val="center"/>
          </w:tcPr>
          <w:p w:rsidR="00D110BD" w:rsidRPr="00C974DD" w:rsidRDefault="00D110BD" w:rsidP="004B62CD">
            <w:pPr>
              <w:keepNext/>
              <w:rPr>
                <w:rFonts w:ascii="Arial Narrow" w:hAnsi="Arial Narrow"/>
                <w:sz w:val="20"/>
                <w:lang w:val="en-US"/>
              </w:rPr>
            </w:pPr>
            <w:r w:rsidRPr="00C974DD">
              <w:rPr>
                <w:rFonts w:ascii="Arial Narrow" w:hAnsi="Arial Narrow"/>
                <w:sz w:val="20"/>
                <w:lang w:val="en-US"/>
              </w:rPr>
              <w:t>Time horizon</w:t>
            </w:r>
          </w:p>
        </w:tc>
        <w:tc>
          <w:tcPr>
            <w:tcW w:w="2123" w:type="pct"/>
            <w:shd w:val="clear" w:color="auto" w:fill="auto"/>
            <w:vAlign w:val="center"/>
          </w:tcPr>
          <w:p w:rsidR="00D110BD" w:rsidRPr="00C974DD" w:rsidRDefault="00E91E4A" w:rsidP="004B62CD">
            <w:pPr>
              <w:keepNext/>
              <w:jc w:val="center"/>
              <w:rPr>
                <w:rFonts w:ascii="Arial Narrow" w:hAnsi="Arial Narrow"/>
                <w:sz w:val="20"/>
                <w:lang w:val="en-US"/>
              </w:rPr>
            </w:pPr>
            <w:r w:rsidRPr="00C974DD">
              <w:rPr>
                <w:rFonts w:ascii="Arial Narrow" w:hAnsi="Arial Narrow"/>
                <w:sz w:val="20"/>
                <w:lang w:val="en-US"/>
              </w:rPr>
              <w:t>10</w:t>
            </w:r>
            <w:r w:rsidR="00D110BD" w:rsidRPr="00C974DD">
              <w:rPr>
                <w:rFonts w:ascii="Arial Narrow" w:hAnsi="Arial Narrow"/>
                <w:sz w:val="20"/>
                <w:lang w:val="en-US"/>
              </w:rPr>
              <w:t xml:space="preserve"> years; assumed from 6 month trial duration</w:t>
            </w:r>
          </w:p>
        </w:tc>
        <w:tc>
          <w:tcPr>
            <w:tcW w:w="1348" w:type="pct"/>
            <w:shd w:val="clear" w:color="auto" w:fill="auto"/>
            <w:vAlign w:val="center"/>
          </w:tcPr>
          <w:p w:rsidR="00D110BD" w:rsidRPr="00C974DD" w:rsidRDefault="00D110BD" w:rsidP="004B62CD">
            <w:pPr>
              <w:keepNext/>
              <w:jc w:val="center"/>
              <w:rPr>
                <w:rFonts w:ascii="Arial Narrow" w:hAnsi="Arial Narrow"/>
                <w:sz w:val="20"/>
                <w:lang w:val="en-US"/>
              </w:rPr>
            </w:pPr>
            <w:r w:rsidRPr="00C974DD">
              <w:rPr>
                <w:rFonts w:ascii="Arial Narrow" w:hAnsi="Arial Narrow"/>
                <w:sz w:val="20"/>
                <w:lang w:val="en-US"/>
              </w:rPr>
              <w:t>High, favours</w:t>
            </w:r>
            <w:r w:rsidR="002D12BB" w:rsidRPr="00C974DD">
              <w:rPr>
                <w:rFonts w:ascii="Arial Narrow" w:hAnsi="Arial Narrow"/>
                <w:sz w:val="20"/>
                <w:lang w:val="en-US"/>
              </w:rPr>
              <w:t xml:space="preserve"> idelalisib</w:t>
            </w:r>
          </w:p>
        </w:tc>
      </w:tr>
      <w:tr w:rsidR="00C974DD" w:rsidRPr="00C974DD" w:rsidTr="005D044D">
        <w:tc>
          <w:tcPr>
            <w:tcW w:w="1529" w:type="pct"/>
            <w:shd w:val="clear" w:color="auto" w:fill="auto"/>
            <w:vAlign w:val="center"/>
          </w:tcPr>
          <w:p w:rsidR="00D110BD" w:rsidRPr="00C974DD" w:rsidRDefault="002531F1" w:rsidP="004B62CD">
            <w:pPr>
              <w:keepNext/>
              <w:rPr>
                <w:rFonts w:ascii="Arial Narrow" w:hAnsi="Arial Narrow"/>
                <w:sz w:val="20"/>
                <w:lang w:val="en-US"/>
              </w:rPr>
            </w:pPr>
            <w:r w:rsidRPr="00C974DD">
              <w:rPr>
                <w:rFonts w:ascii="Arial Narrow" w:hAnsi="Arial Narrow"/>
                <w:sz w:val="20"/>
                <w:lang w:val="en-US"/>
              </w:rPr>
              <w:t>Dose intensity</w:t>
            </w:r>
          </w:p>
        </w:tc>
        <w:tc>
          <w:tcPr>
            <w:tcW w:w="2123" w:type="pct"/>
            <w:shd w:val="clear" w:color="auto" w:fill="auto"/>
            <w:vAlign w:val="center"/>
          </w:tcPr>
          <w:p w:rsidR="00D110BD" w:rsidRPr="00C974DD" w:rsidRDefault="00E91E4A" w:rsidP="004B62CD">
            <w:pPr>
              <w:keepNext/>
              <w:jc w:val="center"/>
              <w:rPr>
                <w:rFonts w:ascii="Arial Narrow" w:hAnsi="Arial Narrow"/>
                <w:sz w:val="20"/>
                <w:lang w:val="en-US"/>
              </w:rPr>
            </w:pPr>
            <w:r w:rsidRPr="00C974DD">
              <w:rPr>
                <w:rFonts w:ascii="Arial Narrow" w:hAnsi="Arial Narrow"/>
                <w:sz w:val="20"/>
                <w:lang w:val="en-US"/>
              </w:rPr>
              <w:t>72.6%, calculated indirectly from study 101-09</w:t>
            </w:r>
          </w:p>
        </w:tc>
        <w:tc>
          <w:tcPr>
            <w:tcW w:w="1348" w:type="pct"/>
            <w:shd w:val="clear" w:color="auto" w:fill="auto"/>
            <w:vAlign w:val="center"/>
          </w:tcPr>
          <w:p w:rsidR="00D110BD" w:rsidRPr="00C974DD" w:rsidRDefault="00062E71" w:rsidP="004B62CD">
            <w:pPr>
              <w:keepNext/>
              <w:jc w:val="center"/>
              <w:rPr>
                <w:rFonts w:ascii="Arial Narrow" w:hAnsi="Arial Narrow"/>
                <w:sz w:val="20"/>
                <w:lang w:val="en-US"/>
              </w:rPr>
            </w:pPr>
            <w:r w:rsidRPr="00C974DD">
              <w:rPr>
                <w:rFonts w:ascii="Arial Narrow" w:hAnsi="Arial Narrow"/>
                <w:sz w:val="20"/>
                <w:lang w:val="en-US"/>
              </w:rPr>
              <w:t>M</w:t>
            </w:r>
            <w:r w:rsidR="00740325" w:rsidRPr="00C974DD">
              <w:rPr>
                <w:rFonts w:ascii="Arial Narrow" w:hAnsi="Arial Narrow"/>
                <w:sz w:val="20"/>
                <w:lang w:val="en-US"/>
              </w:rPr>
              <w:t>oderate</w:t>
            </w:r>
            <w:r w:rsidR="00E91E4A" w:rsidRPr="00C974DD">
              <w:rPr>
                <w:rFonts w:ascii="Arial Narrow" w:hAnsi="Arial Narrow"/>
                <w:sz w:val="20"/>
                <w:lang w:val="en-US"/>
              </w:rPr>
              <w:t>, favours idelalisib</w:t>
            </w:r>
          </w:p>
        </w:tc>
      </w:tr>
      <w:tr w:rsidR="00C974DD" w:rsidRPr="00C974DD" w:rsidTr="005D044D">
        <w:tc>
          <w:tcPr>
            <w:tcW w:w="1529" w:type="pct"/>
            <w:shd w:val="clear" w:color="auto" w:fill="auto"/>
            <w:vAlign w:val="center"/>
          </w:tcPr>
          <w:p w:rsidR="00D110BD" w:rsidRPr="00C974DD" w:rsidRDefault="00E91E4A" w:rsidP="00B772C9">
            <w:pPr>
              <w:rPr>
                <w:rFonts w:ascii="Arial Narrow" w:hAnsi="Arial Narrow"/>
                <w:sz w:val="20"/>
                <w:lang w:val="en-US"/>
              </w:rPr>
            </w:pPr>
            <w:r w:rsidRPr="00C974DD">
              <w:rPr>
                <w:rFonts w:ascii="Arial Narrow" w:hAnsi="Arial Narrow"/>
                <w:sz w:val="20"/>
                <w:lang w:val="en-US"/>
              </w:rPr>
              <w:t xml:space="preserve">Use of anti-cancer treatments in </w:t>
            </w:r>
            <w:r w:rsidR="00B772C9" w:rsidRPr="00C974DD">
              <w:rPr>
                <w:rFonts w:ascii="Arial Narrow" w:hAnsi="Arial Narrow"/>
                <w:sz w:val="20"/>
                <w:lang w:val="en-US"/>
              </w:rPr>
              <w:t>BSC</w:t>
            </w:r>
          </w:p>
        </w:tc>
        <w:tc>
          <w:tcPr>
            <w:tcW w:w="2123" w:type="pct"/>
            <w:shd w:val="clear" w:color="auto" w:fill="auto"/>
            <w:vAlign w:val="center"/>
          </w:tcPr>
          <w:p w:rsidR="00D110BD" w:rsidRPr="00C974DD" w:rsidRDefault="00E91E4A" w:rsidP="00D110BD">
            <w:pPr>
              <w:jc w:val="center"/>
              <w:rPr>
                <w:rFonts w:ascii="Arial Narrow" w:hAnsi="Arial Narrow"/>
                <w:sz w:val="20"/>
                <w:lang w:val="en-US"/>
              </w:rPr>
            </w:pPr>
            <w:r w:rsidRPr="00C974DD">
              <w:rPr>
                <w:rFonts w:ascii="Arial Narrow" w:hAnsi="Arial Narrow"/>
                <w:sz w:val="20"/>
                <w:lang w:val="en-US"/>
              </w:rPr>
              <w:t>20%, as</w:t>
            </w:r>
            <w:r w:rsidR="0002195A" w:rsidRPr="00C974DD">
              <w:rPr>
                <w:rFonts w:ascii="Arial Narrow" w:hAnsi="Arial Narrow"/>
                <w:sz w:val="20"/>
                <w:lang w:val="en-US"/>
              </w:rPr>
              <w:t>s</w:t>
            </w:r>
            <w:r w:rsidRPr="00C974DD">
              <w:rPr>
                <w:rFonts w:ascii="Arial Narrow" w:hAnsi="Arial Narrow"/>
                <w:sz w:val="20"/>
                <w:lang w:val="en-US"/>
              </w:rPr>
              <w:t>umed</w:t>
            </w:r>
          </w:p>
        </w:tc>
        <w:tc>
          <w:tcPr>
            <w:tcW w:w="1348" w:type="pct"/>
            <w:shd w:val="clear" w:color="auto" w:fill="auto"/>
            <w:vAlign w:val="center"/>
          </w:tcPr>
          <w:p w:rsidR="00D110BD" w:rsidRPr="00C974DD" w:rsidRDefault="00E91E4A" w:rsidP="00D110BD">
            <w:pPr>
              <w:jc w:val="center"/>
              <w:rPr>
                <w:rFonts w:ascii="Arial Narrow" w:hAnsi="Arial Narrow"/>
                <w:sz w:val="20"/>
                <w:lang w:val="en-US"/>
              </w:rPr>
            </w:pPr>
            <w:r w:rsidRPr="00C974DD">
              <w:rPr>
                <w:rFonts w:ascii="Arial Narrow" w:hAnsi="Arial Narrow"/>
                <w:sz w:val="20"/>
                <w:lang w:val="en-US"/>
              </w:rPr>
              <w:t>Moderate, favour</w:t>
            </w:r>
            <w:r w:rsidR="002D6AA0" w:rsidRPr="00C974DD">
              <w:rPr>
                <w:rFonts w:ascii="Arial Narrow" w:hAnsi="Arial Narrow"/>
                <w:sz w:val="20"/>
                <w:lang w:val="en-US"/>
              </w:rPr>
              <w:t>s</w:t>
            </w:r>
            <w:r w:rsidRPr="00C974DD">
              <w:rPr>
                <w:rFonts w:ascii="Arial Narrow" w:hAnsi="Arial Narrow"/>
                <w:sz w:val="20"/>
                <w:lang w:val="en-US"/>
              </w:rPr>
              <w:t xml:space="preserve"> idelalisib</w:t>
            </w:r>
          </w:p>
        </w:tc>
      </w:tr>
    </w:tbl>
    <w:p w:rsidR="00D110BD" w:rsidRPr="00C974DD" w:rsidRDefault="00D110BD" w:rsidP="005D044D">
      <w:pPr>
        <w:pStyle w:val="TableFooter"/>
        <w:ind w:firstLine="720"/>
      </w:pPr>
      <w:r w:rsidRPr="00C974DD">
        <w:t>Source: compiled during the evaluation</w:t>
      </w:r>
      <w:r w:rsidR="007025D4" w:rsidRPr="00C974DD">
        <w:t>.</w:t>
      </w:r>
    </w:p>
    <w:p w:rsidR="00B772C9" w:rsidRPr="00C974DD" w:rsidRDefault="00B772C9" w:rsidP="005D044D">
      <w:pPr>
        <w:pStyle w:val="TableFooter"/>
        <w:ind w:firstLine="720"/>
      </w:pPr>
      <w:r w:rsidRPr="00C974DD">
        <w:t>BSC = best supportive care</w:t>
      </w:r>
      <w:r w:rsidR="007025D4" w:rsidRPr="00C974DD">
        <w:t>.</w:t>
      </w:r>
    </w:p>
    <w:p w:rsidR="00D110BD" w:rsidRPr="00C974DD" w:rsidRDefault="00D110BD" w:rsidP="00275C5A">
      <w:pPr>
        <w:rPr>
          <w:szCs w:val="22"/>
        </w:rPr>
      </w:pPr>
    </w:p>
    <w:p w:rsidR="00275C5A" w:rsidRPr="00C974DD" w:rsidRDefault="001E5823" w:rsidP="001C6B6F">
      <w:pPr>
        <w:pStyle w:val="ListParagraph"/>
        <w:numPr>
          <w:ilvl w:val="1"/>
          <w:numId w:val="15"/>
        </w:numPr>
        <w:rPr>
          <w:szCs w:val="22"/>
        </w:rPr>
      </w:pPr>
      <w:r w:rsidRPr="00C974DD">
        <w:rPr>
          <w:lang w:val="en-US"/>
        </w:rPr>
        <w:t xml:space="preserve">The results of the cost-utility analysis </w:t>
      </w:r>
      <w:r w:rsidR="00B41E30" w:rsidRPr="00C974DD">
        <w:rPr>
          <w:lang w:val="en-US"/>
        </w:rPr>
        <w:t>a</w:t>
      </w:r>
      <w:r w:rsidRPr="00C974DD">
        <w:rPr>
          <w:lang w:val="en-US"/>
        </w:rPr>
        <w:t>re presented below.</w:t>
      </w:r>
    </w:p>
    <w:p w:rsidR="00D110BD" w:rsidRPr="00C974DD" w:rsidRDefault="00D110BD" w:rsidP="00D110BD">
      <w:pPr>
        <w:rPr>
          <w:szCs w:val="22"/>
        </w:rPr>
      </w:pPr>
    </w:p>
    <w:p w:rsidR="00D110BD" w:rsidRPr="00C974DD" w:rsidRDefault="00D110BD" w:rsidP="004B62CD">
      <w:pPr>
        <w:keepNext/>
        <w:ind w:firstLine="720"/>
        <w:rPr>
          <w:rStyle w:val="CommentReference"/>
        </w:rPr>
      </w:pPr>
      <w:r w:rsidRPr="00C974DD">
        <w:rPr>
          <w:rStyle w:val="CommentReference"/>
        </w:rPr>
        <w:t>Results of the stepped economic evaluation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Results of the economic evaluation"/>
      </w:tblPr>
      <w:tblGrid>
        <w:gridCol w:w="2552"/>
        <w:gridCol w:w="2268"/>
        <w:gridCol w:w="2126"/>
        <w:gridCol w:w="1399"/>
      </w:tblGrid>
      <w:tr w:rsidR="00C974DD" w:rsidRPr="00C974DD" w:rsidTr="005D044D">
        <w:trPr>
          <w:tblHeader/>
        </w:trPr>
        <w:tc>
          <w:tcPr>
            <w:tcW w:w="1529" w:type="pct"/>
            <w:vAlign w:val="center"/>
          </w:tcPr>
          <w:p w:rsidR="00D110BD" w:rsidRPr="00C974DD" w:rsidRDefault="00DF4AA8" w:rsidP="004B62CD">
            <w:pPr>
              <w:keepNext/>
              <w:rPr>
                <w:rFonts w:ascii="Arial Narrow" w:hAnsi="Arial Narrow"/>
                <w:b/>
                <w:sz w:val="20"/>
              </w:rPr>
            </w:pPr>
            <w:r w:rsidRPr="00C974DD">
              <w:rPr>
                <w:rFonts w:ascii="Arial Narrow" w:hAnsi="Arial Narrow"/>
                <w:b/>
                <w:sz w:val="20"/>
              </w:rPr>
              <w:t>modelled evaluation</w:t>
            </w:r>
          </w:p>
        </w:tc>
        <w:tc>
          <w:tcPr>
            <w:tcW w:w="1359" w:type="pct"/>
            <w:vAlign w:val="center"/>
          </w:tcPr>
          <w:p w:rsidR="00D110BD" w:rsidRPr="00C974DD" w:rsidRDefault="00DF4AA8" w:rsidP="004B62CD">
            <w:pPr>
              <w:keepNext/>
              <w:jc w:val="center"/>
              <w:rPr>
                <w:rFonts w:ascii="Arial Narrow" w:hAnsi="Arial Narrow"/>
                <w:b/>
                <w:sz w:val="20"/>
              </w:rPr>
            </w:pPr>
            <w:r w:rsidRPr="00C974DD">
              <w:rPr>
                <w:rFonts w:ascii="Arial Narrow" w:hAnsi="Arial Narrow"/>
                <w:b/>
                <w:sz w:val="20"/>
              </w:rPr>
              <w:t>idelalisib</w:t>
            </w:r>
          </w:p>
        </w:tc>
        <w:tc>
          <w:tcPr>
            <w:tcW w:w="1274" w:type="pct"/>
            <w:vAlign w:val="center"/>
          </w:tcPr>
          <w:p w:rsidR="00D110BD" w:rsidRPr="00C974DD" w:rsidRDefault="00DF4AA8" w:rsidP="004B62CD">
            <w:pPr>
              <w:keepNext/>
              <w:jc w:val="center"/>
              <w:rPr>
                <w:rFonts w:ascii="Arial Narrow" w:hAnsi="Arial Narrow"/>
                <w:b/>
                <w:sz w:val="20"/>
              </w:rPr>
            </w:pPr>
            <w:r w:rsidRPr="00C974DD">
              <w:rPr>
                <w:rFonts w:ascii="Arial Narrow" w:hAnsi="Arial Narrow"/>
                <w:b/>
                <w:sz w:val="20"/>
              </w:rPr>
              <w:t>Best supportive care</w:t>
            </w:r>
          </w:p>
        </w:tc>
        <w:tc>
          <w:tcPr>
            <w:tcW w:w="838" w:type="pct"/>
            <w:vAlign w:val="center"/>
          </w:tcPr>
          <w:p w:rsidR="00D110BD" w:rsidRPr="00C974DD" w:rsidRDefault="00D110BD" w:rsidP="004B62CD">
            <w:pPr>
              <w:keepNext/>
              <w:jc w:val="center"/>
              <w:rPr>
                <w:rFonts w:ascii="Arial Narrow" w:hAnsi="Arial Narrow"/>
                <w:b/>
                <w:sz w:val="20"/>
              </w:rPr>
            </w:pPr>
            <w:r w:rsidRPr="00C974DD">
              <w:rPr>
                <w:rFonts w:ascii="Arial Narrow" w:hAnsi="Arial Narrow"/>
                <w:b/>
                <w:sz w:val="20"/>
              </w:rPr>
              <w:t>Increment</w:t>
            </w:r>
          </w:p>
        </w:tc>
      </w:tr>
      <w:tr w:rsidR="00C974DD" w:rsidRPr="00C974DD" w:rsidTr="005D044D">
        <w:tc>
          <w:tcPr>
            <w:tcW w:w="1529" w:type="pct"/>
            <w:vAlign w:val="center"/>
          </w:tcPr>
          <w:p w:rsidR="00D110BD" w:rsidRPr="00C974DD" w:rsidRDefault="00D110BD" w:rsidP="004B62CD">
            <w:pPr>
              <w:keepNext/>
              <w:rPr>
                <w:rFonts w:ascii="Arial Narrow" w:hAnsi="Arial Narrow"/>
                <w:sz w:val="20"/>
              </w:rPr>
            </w:pPr>
            <w:r w:rsidRPr="00C974DD">
              <w:rPr>
                <w:rFonts w:ascii="Arial Narrow" w:hAnsi="Arial Narrow"/>
                <w:sz w:val="20"/>
              </w:rPr>
              <w:t>Costs</w:t>
            </w:r>
          </w:p>
        </w:tc>
        <w:tc>
          <w:tcPr>
            <w:tcW w:w="1359" w:type="pct"/>
            <w:vAlign w:val="center"/>
          </w:tcPr>
          <w:p w:rsidR="00D110BD" w:rsidRPr="007A6E7B" w:rsidRDefault="00DF4AA8" w:rsidP="004B62CD">
            <w:pPr>
              <w:keepNext/>
              <w:jc w:val="center"/>
              <w:rPr>
                <w:rFonts w:ascii="Arial Narrow" w:hAnsi="Arial Narrow"/>
                <w:sz w:val="20"/>
              </w:rPr>
            </w:pPr>
            <w:r w:rsidRPr="007A6E7B">
              <w:rPr>
                <w:rFonts w:ascii="Arial Narrow" w:hAnsi="Arial Narrow"/>
                <w:sz w:val="20"/>
              </w:rPr>
              <w:t>$</w:t>
            </w:r>
            <w:r w:rsidR="00B05398">
              <w:rPr>
                <w:rFonts w:ascii="Arial Narrow" w:hAnsi="Arial Narrow"/>
                <w:noProof/>
                <w:color w:val="000000"/>
                <w:sz w:val="20"/>
                <w:highlight w:val="black"/>
              </w:rPr>
              <w:t>''''''''''''''''</w:t>
            </w:r>
          </w:p>
        </w:tc>
        <w:tc>
          <w:tcPr>
            <w:tcW w:w="1274" w:type="pct"/>
            <w:vAlign w:val="center"/>
          </w:tcPr>
          <w:p w:rsidR="00D110BD" w:rsidRPr="007A6E7B" w:rsidRDefault="00D110BD" w:rsidP="004B62CD">
            <w:pPr>
              <w:keepNext/>
              <w:jc w:val="center"/>
              <w:rPr>
                <w:rFonts w:ascii="Arial Narrow" w:hAnsi="Arial Narrow"/>
                <w:sz w:val="20"/>
              </w:rPr>
            </w:pPr>
            <w:r w:rsidRPr="007A6E7B">
              <w:rPr>
                <w:rFonts w:ascii="Arial Narrow" w:hAnsi="Arial Narrow"/>
                <w:sz w:val="20"/>
              </w:rPr>
              <w:t>$</w:t>
            </w:r>
            <w:r w:rsidR="00B05398">
              <w:rPr>
                <w:rFonts w:ascii="Arial Narrow" w:hAnsi="Arial Narrow"/>
                <w:noProof/>
                <w:color w:val="000000"/>
                <w:sz w:val="20"/>
                <w:highlight w:val="black"/>
              </w:rPr>
              <w:t>''''''''''''''</w:t>
            </w:r>
          </w:p>
        </w:tc>
        <w:tc>
          <w:tcPr>
            <w:tcW w:w="838" w:type="pct"/>
            <w:vAlign w:val="center"/>
          </w:tcPr>
          <w:p w:rsidR="00D110BD" w:rsidRPr="007A6E7B" w:rsidRDefault="00DF4AA8" w:rsidP="004B62CD">
            <w:pPr>
              <w:keepNext/>
              <w:jc w:val="center"/>
              <w:rPr>
                <w:rFonts w:ascii="Arial Narrow" w:hAnsi="Arial Narrow"/>
                <w:sz w:val="20"/>
              </w:rPr>
            </w:pPr>
            <w:r w:rsidRPr="007A6E7B">
              <w:rPr>
                <w:rFonts w:ascii="Arial Narrow" w:hAnsi="Arial Narrow"/>
                <w:sz w:val="20"/>
              </w:rPr>
              <w:t>$</w:t>
            </w:r>
            <w:r w:rsidR="00B05398">
              <w:rPr>
                <w:rFonts w:ascii="Arial Narrow" w:hAnsi="Arial Narrow"/>
                <w:noProof/>
                <w:color w:val="000000"/>
                <w:sz w:val="20"/>
                <w:highlight w:val="black"/>
              </w:rPr>
              <w:t>'''''''''''''''</w:t>
            </w:r>
          </w:p>
        </w:tc>
      </w:tr>
      <w:tr w:rsidR="00C974DD" w:rsidRPr="00C974DD" w:rsidTr="005D044D">
        <w:tc>
          <w:tcPr>
            <w:tcW w:w="1529" w:type="pct"/>
            <w:vAlign w:val="center"/>
          </w:tcPr>
          <w:p w:rsidR="00D110BD" w:rsidRPr="00C974DD" w:rsidRDefault="00DF4AA8" w:rsidP="004B62CD">
            <w:pPr>
              <w:keepNext/>
              <w:rPr>
                <w:rFonts w:ascii="Arial Narrow" w:hAnsi="Arial Narrow"/>
                <w:sz w:val="20"/>
              </w:rPr>
            </w:pPr>
            <w:r w:rsidRPr="00C974DD">
              <w:rPr>
                <w:rFonts w:ascii="Arial Narrow" w:hAnsi="Arial Narrow"/>
                <w:sz w:val="20"/>
              </w:rPr>
              <w:t>QALYs</w:t>
            </w:r>
          </w:p>
        </w:tc>
        <w:tc>
          <w:tcPr>
            <w:tcW w:w="1359" w:type="pct"/>
            <w:vAlign w:val="center"/>
          </w:tcPr>
          <w:p w:rsidR="00D110BD" w:rsidRPr="007A6E7B" w:rsidRDefault="00DF4AA8" w:rsidP="004B62CD">
            <w:pPr>
              <w:keepNext/>
              <w:jc w:val="center"/>
              <w:rPr>
                <w:rFonts w:ascii="Arial Narrow" w:hAnsi="Arial Narrow"/>
                <w:sz w:val="20"/>
              </w:rPr>
            </w:pPr>
            <w:r w:rsidRPr="007A6E7B">
              <w:rPr>
                <w:rFonts w:ascii="Arial Narrow" w:hAnsi="Arial Narrow"/>
                <w:sz w:val="20"/>
              </w:rPr>
              <w:t>1.344</w:t>
            </w:r>
          </w:p>
        </w:tc>
        <w:tc>
          <w:tcPr>
            <w:tcW w:w="1274" w:type="pct"/>
            <w:vAlign w:val="center"/>
          </w:tcPr>
          <w:p w:rsidR="00D110BD" w:rsidRPr="007A6E7B" w:rsidRDefault="00DF4AA8" w:rsidP="004B62CD">
            <w:pPr>
              <w:keepNext/>
              <w:jc w:val="center"/>
              <w:rPr>
                <w:rFonts w:ascii="Arial Narrow" w:hAnsi="Arial Narrow"/>
                <w:sz w:val="20"/>
              </w:rPr>
            </w:pPr>
            <w:r w:rsidRPr="007A6E7B">
              <w:rPr>
                <w:rFonts w:ascii="Arial Narrow" w:hAnsi="Arial Narrow"/>
                <w:sz w:val="20"/>
              </w:rPr>
              <w:t>0.831</w:t>
            </w:r>
          </w:p>
        </w:tc>
        <w:tc>
          <w:tcPr>
            <w:tcW w:w="838" w:type="pct"/>
            <w:vAlign w:val="center"/>
          </w:tcPr>
          <w:p w:rsidR="00D110BD" w:rsidRPr="007A6E7B" w:rsidRDefault="00DF4AA8" w:rsidP="004B62CD">
            <w:pPr>
              <w:keepNext/>
              <w:jc w:val="center"/>
              <w:rPr>
                <w:rFonts w:ascii="Arial Narrow" w:hAnsi="Arial Narrow"/>
                <w:sz w:val="20"/>
              </w:rPr>
            </w:pPr>
            <w:r w:rsidRPr="007A6E7B">
              <w:rPr>
                <w:rFonts w:ascii="Arial Narrow" w:hAnsi="Arial Narrow"/>
                <w:sz w:val="20"/>
              </w:rPr>
              <w:t>0.513</w:t>
            </w:r>
          </w:p>
        </w:tc>
      </w:tr>
      <w:tr w:rsidR="00C974DD" w:rsidRPr="00C974DD" w:rsidTr="005D044D">
        <w:tc>
          <w:tcPr>
            <w:tcW w:w="1529" w:type="pct"/>
            <w:vAlign w:val="center"/>
          </w:tcPr>
          <w:p w:rsidR="00DF4AA8" w:rsidRPr="00C974DD" w:rsidRDefault="00DF4AA8" w:rsidP="00D30BBE">
            <w:pPr>
              <w:rPr>
                <w:rFonts w:ascii="Arial Narrow" w:hAnsi="Arial Narrow"/>
                <w:sz w:val="20"/>
              </w:rPr>
            </w:pPr>
            <w:r w:rsidRPr="00C974DD">
              <w:rPr>
                <w:rFonts w:ascii="Arial Narrow" w:hAnsi="Arial Narrow"/>
                <w:sz w:val="20"/>
              </w:rPr>
              <w:t>L</w:t>
            </w:r>
            <w:r w:rsidR="00657F89" w:rsidRPr="00C974DD">
              <w:rPr>
                <w:rFonts w:ascii="Arial Narrow" w:hAnsi="Arial Narrow"/>
                <w:sz w:val="20"/>
              </w:rPr>
              <w:t>ife Years</w:t>
            </w:r>
          </w:p>
        </w:tc>
        <w:tc>
          <w:tcPr>
            <w:tcW w:w="1359" w:type="pct"/>
            <w:vAlign w:val="center"/>
          </w:tcPr>
          <w:p w:rsidR="00DF4AA8" w:rsidRPr="007A6E7B" w:rsidRDefault="00DF4AA8" w:rsidP="00DF4AA8">
            <w:pPr>
              <w:jc w:val="center"/>
              <w:rPr>
                <w:rFonts w:ascii="Arial Narrow" w:hAnsi="Arial Narrow"/>
                <w:sz w:val="20"/>
              </w:rPr>
            </w:pPr>
            <w:r w:rsidRPr="007A6E7B">
              <w:rPr>
                <w:rFonts w:ascii="Arial Narrow" w:hAnsi="Arial Narrow"/>
                <w:sz w:val="20"/>
              </w:rPr>
              <w:t>1.878</w:t>
            </w:r>
          </w:p>
        </w:tc>
        <w:tc>
          <w:tcPr>
            <w:tcW w:w="1274" w:type="pct"/>
            <w:vAlign w:val="center"/>
          </w:tcPr>
          <w:p w:rsidR="00DF4AA8" w:rsidRPr="007A6E7B" w:rsidRDefault="00DF4AA8" w:rsidP="00DF4AA8">
            <w:pPr>
              <w:jc w:val="center"/>
              <w:rPr>
                <w:rFonts w:ascii="Arial Narrow" w:hAnsi="Arial Narrow"/>
                <w:sz w:val="20"/>
              </w:rPr>
            </w:pPr>
            <w:r w:rsidRPr="007A6E7B">
              <w:rPr>
                <w:rFonts w:ascii="Arial Narrow" w:hAnsi="Arial Narrow"/>
                <w:sz w:val="20"/>
              </w:rPr>
              <w:t>1.181</w:t>
            </w:r>
          </w:p>
        </w:tc>
        <w:tc>
          <w:tcPr>
            <w:tcW w:w="838" w:type="pct"/>
            <w:vAlign w:val="center"/>
          </w:tcPr>
          <w:p w:rsidR="00DF4AA8" w:rsidRPr="007A6E7B" w:rsidRDefault="00DF4AA8" w:rsidP="00D110BD">
            <w:pPr>
              <w:jc w:val="center"/>
              <w:rPr>
                <w:rFonts w:ascii="Arial Narrow" w:hAnsi="Arial Narrow"/>
                <w:sz w:val="20"/>
              </w:rPr>
            </w:pPr>
            <w:r w:rsidRPr="007A6E7B">
              <w:rPr>
                <w:rFonts w:ascii="Arial Narrow" w:hAnsi="Arial Narrow"/>
                <w:sz w:val="20"/>
              </w:rPr>
              <w:t>0.697</w:t>
            </w:r>
          </w:p>
        </w:tc>
      </w:tr>
      <w:tr w:rsidR="00C974DD" w:rsidRPr="00C974DD" w:rsidTr="005D044D">
        <w:tc>
          <w:tcPr>
            <w:tcW w:w="4162" w:type="pct"/>
            <w:gridSpan w:val="3"/>
            <w:vAlign w:val="center"/>
          </w:tcPr>
          <w:p w:rsidR="00D110BD" w:rsidRPr="007A6E7B" w:rsidRDefault="00D110BD" w:rsidP="00DF4AA8">
            <w:pPr>
              <w:pStyle w:val="Tabletext"/>
              <w:widowControl w:val="0"/>
              <w:rPr>
                <w:snapToGrid w:val="0"/>
              </w:rPr>
            </w:pPr>
            <w:r w:rsidRPr="007A6E7B">
              <w:rPr>
                <w:b/>
              </w:rPr>
              <w:t xml:space="preserve">Incremental cost/extra </w:t>
            </w:r>
            <w:r w:rsidR="00DF4AA8" w:rsidRPr="007A6E7B">
              <w:rPr>
                <w:b/>
              </w:rPr>
              <w:t>QALY</w:t>
            </w:r>
            <w:r w:rsidRPr="007A6E7B">
              <w:rPr>
                <w:b/>
              </w:rPr>
              <w:t xml:space="preserve"> gained</w:t>
            </w:r>
          </w:p>
        </w:tc>
        <w:tc>
          <w:tcPr>
            <w:tcW w:w="838" w:type="pct"/>
            <w:vAlign w:val="center"/>
          </w:tcPr>
          <w:p w:rsidR="00D110BD" w:rsidRPr="007A6E7B" w:rsidRDefault="00D110BD" w:rsidP="00D110BD">
            <w:pPr>
              <w:jc w:val="center"/>
              <w:rPr>
                <w:rFonts w:ascii="Arial Narrow" w:hAnsi="Arial Narrow"/>
                <w:sz w:val="20"/>
              </w:rPr>
            </w:pPr>
            <w:r w:rsidRPr="007A6E7B">
              <w:rPr>
                <w:rFonts w:ascii="Arial Narrow" w:hAnsi="Arial Narrow"/>
                <w:b/>
                <w:sz w:val="20"/>
              </w:rPr>
              <w:t>$</w:t>
            </w:r>
            <w:r w:rsidR="00B05398">
              <w:rPr>
                <w:rFonts w:ascii="Arial Narrow" w:hAnsi="Arial Narrow"/>
                <w:b/>
                <w:noProof/>
                <w:color w:val="000000"/>
                <w:sz w:val="20"/>
                <w:highlight w:val="black"/>
              </w:rPr>
              <w:t>''''''''''''</w:t>
            </w:r>
          </w:p>
        </w:tc>
      </w:tr>
      <w:tr w:rsidR="00C974DD" w:rsidRPr="00C974DD" w:rsidTr="005D044D">
        <w:tc>
          <w:tcPr>
            <w:tcW w:w="4162" w:type="pct"/>
            <w:gridSpan w:val="3"/>
            <w:vAlign w:val="center"/>
          </w:tcPr>
          <w:p w:rsidR="00DF4AA8" w:rsidRPr="007A6E7B" w:rsidRDefault="00DF4AA8" w:rsidP="00DF4AA8">
            <w:pPr>
              <w:pStyle w:val="Tabletext"/>
              <w:widowControl w:val="0"/>
              <w:rPr>
                <w:snapToGrid w:val="0"/>
              </w:rPr>
            </w:pPr>
            <w:r w:rsidRPr="007A6E7B">
              <w:rPr>
                <w:b/>
              </w:rPr>
              <w:t>Incremental cost/extra LY gained</w:t>
            </w:r>
          </w:p>
        </w:tc>
        <w:tc>
          <w:tcPr>
            <w:tcW w:w="838" w:type="pct"/>
            <w:vAlign w:val="center"/>
          </w:tcPr>
          <w:p w:rsidR="00DF4AA8" w:rsidRPr="007A6E7B" w:rsidRDefault="00DF4AA8" w:rsidP="00DF4AA8">
            <w:pPr>
              <w:jc w:val="center"/>
              <w:rPr>
                <w:rFonts w:ascii="Arial Narrow" w:hAnsi="Arial Narrow"/>
                <w:sz w:val="20"/>
              </w:rPr>
            </w:pPr>
            <w:r w:rsidRPr="007A6E7B">
              <w:rPr>
                <w:rFonts w:ascii="Arial Narrow" w:hAnsi="Arial Narrow"/>
                <w:b/>
                <w:sz w:val="20"/>
              </w:rPr>
              <w:t>$</w:t>
            </w:r>
            <w:r w:rsidR="00B05398">
              <w:rPr>
                <w:rFonts w:ascii="Arial Narrow" w:hAnsi="Arial Narrow"/>
                <w:b/>
                <w:noProof/>
                <w:color w:val="000000"/>
                <w:sz w:val="20"/>
                <w:highlight w:val="black"/>
              </w:rPr>
              <w:t>'''''''''''''</w:t>
            </w:r>
          </w:p>
        </w:tc>
      </w:tr>
    </w:tbl>
    <w:p w:rsidR="00D110BD" w:rsidRPr="00C974DD" w:rsidRDefault="00D110BD" w:rsidP="005D044D">
      <w:pPr>
        <w:pStyle w:val="TableFooter"/>
        <w:ind w:firstLine="720"/>
      </w:pPr>
      <w:r w:rsidRPr="00C974DD">
        <w:t>Source:</w:t>
      </w:r>
      <w:r w:rsidR="00E45241" w:rsidRPr="00C974DD">
        <w:t xml:space="preserve"> Table D-8, p 174 of the submission</w:t>
      </w:r>
      <w:r w:rsidR="00E45241" w:rsidRPr="00C974DD">
        <w:rPr>
          <w:i/>
        </w:rPr>
        <w:t>.</w:t>
      </w:r>
      <w:r w:rsidRPr="00C974DD">
        <w:t xml:space="preserve"> </w:t>
      </w:r>
    </w:p>
    <w:p w:rsidR="00E45241" w:rsidRPr="00C974DD" w:rsidRDefault="00E45241" w:rsidP="005D044D">
      <w:pPr>
        <w:pStyle w:val="TableFooter"/>
        <w:ind w:firstLine="720"/>
      </w:pPr>
      <w:r w:rsidRPr="00C974DD">
        <w:t xml:space="preserve"> QALYs = quality-adjusted life years</w:t>
      </w:r>
    </w:p>
    <w:p w:rsidR="004C3837" w:rsidRPr="00C974DD" w:rsidRDefault="004C3837" w:rsidP="004C3837">
      <w:pPr>
        <w:rPr>
          <w:szCs w:val="22"/>
        </w:rPr>
      </w:pPr>
    </w:p>
    <w:p w:rsidR="006A1D02" w:rsidRPr="00C974DD" w:rsidRDefault="004C3837" w:rsidP="00C3618A">
      <w:pPr>
        <w:pStyle w:val="ListParagraph"/>
        <w:numPr>
          <w:ilvl w:val="1"/>
          <w:numId w:val="15"/>
        </w:numPr>
        <w:rPr>
          <w:szCs w:val="22"/>
        </w:rPr>
      </w:pPr>
      <w:r w:rsidRPr="00C974DD">
        <w:rPr>
          <w:lang w:val="en-US"/>
        </w:rPr>
        <w:t xml:space="preserve">The submission stated that idelalisib compared to best supported care resulted in an incremental cost effectiveness ratio (ICER) of </w:t>
      </w:r>
      <w:r w:rsidR="00C3618A" w:rsidRPr="00C3618A">
        <w:rPr>
          <w:lang w:val="en-US"/>
        </w:rPr>
        <w:t>$45,000/QALY – $75,000/QALY</w:t>
      </w:r>
      <w:r w:rsidRPr="00C974DD">
        <w:rPr>
          <w:lang w:val="en-US"/>
        </w:rPr>
        <w:t xml:space="preserve"> per quality adjusted life year</w:t>
      </w:r>
      <w:r w:rsidR="00FF0094" w:rsidRPr="00C974DD">
        <w:rPr>
          <w:lang w:val="en-US"/>
        </w:rPr>
        <w:t xml:space="preserve"> (QALY)</w:t>
      </w:r>
      <w:r w:rsidRPr="00C974DD">
        <w:rPr>
          <w:lang w:val="en-US"/>
        </w:rPr>
        <w:t xml:space="preserve">. </w:t>
      </w:r>
      <w:r w:rsidR="006A1D02" w:rsidRPr="00C974DD">
        <w:rPr>
          <w:lang w:val="en-US"/>
        </w:rPr>
        <w:t xml:space="preserve">The ESC considered that this estimate was not informative for decision making because </w:t>
      </w:r>
      <w:r w:rsidR="004C4C61" w:rsidRPr="00C974DD">
        <w:rPr>
          <w:lang w:val="en-US"/>
        </w:rPr>
        <w:t>the model was underpinned by the inappropriate assumption that non</w:t>
      </w:r>
      <w:r w:rsidR="004C4C61" w:rsidRPr="00C974DD">
        <w:rPr>
          <w:lang w:val="en-US"/>
        </w:rPr>
        <w:noBreakHyphen/>
      </w:r>
      <w:r w:rsidR="006A1D02" w:rsidRPr="00C974DD">
        <w:rPr>
          <w:lang w:val="en-US"/>
        </w:rPr>
        <w:t>responders</w:t>
      </w:r>
      <w:r w:rsidR="004C4C61" w:rsidRPr="00C974DD">
        <w:rPr>
          <w:lang w:val="en-US"/>
        </w:rPr>
        <w:t xml:space="preserve"> to idelalisib</w:t>
      </w:r>
      <w:r w:rsidR="006A1D02" w:rsidRPr="00C974DD">
        <w:rPr>
          <w:lang w:val="en-US"/>
        </w:rPr>
        <w:t xml:space="preserve"> </w:t>
      </w:r>
      <w:r w:rsidR="004C4C61" w:rsidRPr="00C974DD">
        <w:rPr>
          <w:lang w:val="en-US"/>
        </w:rPr>
        <w:t>were</w:t>
      </w:r>
      <w:r w:rsidR="006A1D02" w:rsidRPr="00C974DD">
        <w:rPr>
          <w:lang w:val="en-US"/>
        </w:rPr>
        <w:t xml:space="preserve"> a proxy for best supportive care. </w:t>
      </w:r>
      <w:r w:rsidRPr="00C974DD">
        <w:rPr>
          <w:lang w:val="en-US"/>
        </w:rPr>
        <w:t xml:space="preserve">As it was unclear what the appropriate efficacy was for best supportive care, this could not be tested in sensitivity analyses. </w:t>
      </w:r>
    </w:p>
    <w:p w:rsidR="006A1D02" w:rsidRPr="00C974DD" w:rsidRDefault="006A1D02" w:rsidP="006A1D02">
      <w:pPr>
        <w:pStyle w:val="ListParagraph"/>
        <w:rPr>
          <w:szCs w:val="22"/>
        </w:rPr>
      </w:pPr>
    </w:p>
    <w:p w:rsidR="004C3837" w:rsidRPr="00C974DD" w:rsidRDefault="006A1D02" w:rsidP="004C3837">
      <w:pPr>
        <w:pStyle w:val="ListParagraph"/>
        <w:numPr>
          <w:ilvl w:val="1"/>
          <w:numId w:val="15"/>
        </w:numPr>
        <w:rPr>
          <w:szCs w:val="22"/>
        </w:rPr>
      </w:pPr>
      <w:r w:rsidRPr="00C974DD">
        <w:rPr>
          <w:lang w:val="en-US"/>
        </w:rPr>
        <w:t>T</w:t>
      </w:r>
      <w:r w:rsidR="004C3837" w:rsidRPr="00C974DD">
        <w:rPr>
          <w:lang w:val="en-US"/>
        </w:rPr>
        <w:t xml:space="preserve">he ICER was sensitive to the </w:t>
      </w:r>
      <w:r w:rsidR="009C0CB9" w:rsidRPr="00C974DD">
        <w:rPr>
          <w:lang w:val="en-US"/>
        </w:rPr>
        <w:t xml:space="preserve">model duration, </w:t>
      </w:r>
      <w:r w:rsidR="004C3837" w:rsidRPr="00C974DD">
        <w:rPr>
          <w:lang w:val="en-US"/>
        </w:rPr>
        <w:t>idelalisib</w:t>
      </w:r>
      <w:r w:rsidR="00FF0094" w:rsidRPr="00C974DD">
        <w:rPr>
          <w:lang w:val="en-US"/>
        </w:rPr>
        <w:t xml:space="preserve"> dose intensity, use of anti</w:t>
      </w:r>
      <w:r w:rsidR="00FF0094" w:rsidRPr="00C974DD">
        <w:rPr>
          <w:lang w:val="en-US"/>
        </w:rPr>
        <w:noBreakHyphen/>
      </w:r>
      <w:r w:rsidR="004C3837" w:rsidRPr="00C974DD">
        <w:rPr>
          <w:lang w:val="en-US"/>
        </w:rPr>
        <w:t xml:space="preserve">cancer medicines in BSC, </w:t>
      </w:r>
      <w:r w:rsidR="009C0CB9" w:rsidRPr="00C974DD">
        <w:rPr>
          <w:lang w:val="en-US"/>
        </w:rPr>
        <w:t>utilities</w:t>
      </w:r>
      <w:r w:rsidR="004C3837" w:rsidRPr="00C974DD">
        <w:rPr>
          <w:lang w:val="en-US"/>
        </w:rPr>
        <w:t xml:space="preserve">, </w:t>
      </w:r>
      <w:r w:rsidR="004C3837" w:rsidRPr="00C974DD">
        <w:t>and the choice of parametric distribution</w:t>
      </w:r>
      <w:r w:rsidR="004C3837" w:rsidRPr="00C974DD">
        <w:rPr>
          <w:lang w:val="en-US"/>
        </w:rPr>
        <w:t>.</w:t>
      </w:r>
    </w:p>
    <w:p w:rsidR="003476BB" w:rsidRPr="00C974DD" w:rsidRDefault="003476BB" w:rsidP="008053E8">
      <w:pPr>
        <w:pStyle w:val="ListParagraph"/>
        <w:rPr>
          <w:szCs w:val="22"/>
        </w:rPr>
      </w:pPr>
    </w:p>
    <w:p w:rsidR="003476BB" w:rsidRPr="00C974DD" w:rsidRDefault="003476BB" w:rsidP="004C3837">
      <w:pPr>
        <w:pStyle w:val="ListParagraph"/>
        <w:numPr>
          <w:ilvl w:val="1"/>
          <w:numId w:val="15"/>
        </w:numPr>
        <w:rPr>
          <w:szCs w:val="22"/>
        </w:rPr>
      </w:pPr>
      <w:r w:rsidRPr="00C974DD">
        <w:rPr>
          <w:lang w:val="en-US"/>
        </w:rPr>
        <w:t xml:space="preserve">The model’s time horizon was 10 years, based on a median duration of follow-up of 9.7 months in </w:t>
      </w:r>
      <w:r w:rsidR="00672044" w:rsidRPr="00C974DD">
        <w:rPr>
          <w:lang w:val="en-US"/>
        </w:rPr>
        <w:t>Study 101-09</w:t>
      </w:r>
      <w:r w:rsidRPr="00C974DD">
        <w:rPr>
          <w:lang w:val="en-US"/>
        </w:rPr>
        <w:t>. The ESC noted that the model was sensitive to this parameter, and considered that</w:t>
      </w:r>
      <w:r w:rsidR="003A2F15" w:rsidRPr="00C974DD">
        <w:rPr>
          <w:lang w:val="en-US"/>
        </w:rPr>
        <w:t xml:space="preserve"> the submission had not adequately justified the use of a time horizon that was 10 times longer than clinical study’s median duration of follo</w:t>
      </w:r>
      <w:r w:rsidR="00672044" w:rsidRPr="00C974DD">
        <w:rPr>
          <w:lang w:val="en-US"/>
        </w:rPr>
        <w:t>w</w:t>
      </w:r>
      <w:r w:rsidR="003A2F15" w:rsidRPr="00C974DD">
        <w:rPr>
          <w:lang w:val="en-US"/>
        </w:rPr>
        <w:t xml:space="preserve">-up. </w:t>
      </w:r>
      <w:r w:rsidRPr="00C974DD">
        <w:rPr>
          <w:lang w:val="en-US"/>
        </w:rPr>
        <w:t xml:space="preserve">  </w:t>
      </w:r>
    </w:p>
    <w:p w:rsidR="00C25D9C" w:rsidRPr="00C974DD" w:rsidRDefault="00C25D9C" w:rsidP="00C25D9C">
      <w:pPr>
        <w:rPr>
          <w:szCs w:val="22"/>
        </w:rPr>
      </w:pPr>
    </w:p>
    <w:p w:rsidR="004428B7" w:rsidRPr="00C974DD" w:rsidRDefault="004428B7" w:rsidP="004428B7">
      <w:pPr>
        <w:pStyle w:val="ListParagraph"/>
        <w:rPr>
          <w:i/>
          <w:szCs w:val="22"/>
        </w:rPr>
      </w:pPr>
      <w:r w:rsidRPr="00C974DD">
        <w:rPr>
          <w:i/>
          <w:szCs w:val="22"/>
        </w:rPr>
        <w:t>For more detail on PBAC’s view, see section 7 “PBAC outcome”</w:t>
      </w:r>
    </w:p>
    <w:p w:rsidR="004428B7" w:rsidRPr="00C974DD" w:rsidRDefault="004428B7" w:rsidP="00C25D9C">
      <w:pPr>
        <w:rPr>
          <w:szCs w:val="22"/>
        </w:rPr>
      </w:pPr>
    </w:p>
    <w:p w:rsidR="00C25D9C" w:rsidRPr="005F67C0" w:rsidRDefault="00C25D9C" w:rsidP="002C2775">
      <w:pPr>
        <w:pStyle w:val="Heading2"/>
        <w:rPr>
          <w:szCs w:val="22"/>
        </w:rPr>
      </w:pPr>
      <w:bookmarkStart w:id="12" w:name="_Toc409517494"/>
      <w:r w:rsidRPr="005F67C0">
        <w:t>Drug cost/patient/</w:t>
      </w:r>
      <w:r w:rsidR="002F05B5" w:rsidRPr="005F67C0">
        <w:t>course</w:t>
      </w:r>
      <w:r w:rsidRPr="005F67C0">
        <w:t>: $</w:t>
      </w:r>
      <w:r w:rsidR="00B05398">
        <w:rPr>
          <w:noProof/>
          <w:color w:val="000000"/>
          <w:highlight w:val="black"/>
        </w:rPr>
        <w:t>'''''''''''''</w:t>
      </w:r>
      <w:r w:rsidR="002F05B5" w:rsidRPr="005F67C0">
        <w:t xml:space="preserve"> (dose intensity of 93%)</w:t>
      </w:r>
      <w:bookmarkEnd w:id="12"/>
    </w:p>
    <w:p w:rsidR="00C25D9C" w:rsidRPr="00C974DD" w:rsidRDefault="00C25D9C" w:rsidP="00C25D9C">
      <w:pPr>
        <w:rPr>
          <w:szCs w:val="22"/>
        </w:rPr>
      </w:pPr>
    </w:p>
    <w:p w:rsidR="002F05B5" w:rsidRPr="00C974DD" w:rsidRDefault="002F05B5" w:rsidP="00FF0094">
      <w:pPr>
        <w:pStyle w:val="ListParagraph"/>
        <w:numPr>
          <w:ilvl w:val="1"/>
          <w:numId w:val="15"/>
        </w:numPr>
      </w:pPr>
      <w:r w:rsidRPr="00C974DD">
        <w:t xml:space="preserve">The drug cost/patient/course was based on the submission’s assumption that patients would receive treatment until disease progression, with a median </w:t>
      </w:r>
      <w:r w:rsidR="00B81A24" w:rsidRPr="00C974DD">
        <w:t xml:space="preserve">duration </w:t>
      </w:r>
      <w:r w:rsidRPr="00C974DD">
        <w:t xml:space="preserve">of 11 months (per the economic model). The </w:t>
      </w:r>
      <w:r w:rsidR="00FF0094" w:rsidRPr="00C974DD">
        <w:t>drug cost/patient/course presented above</w:t>
      </w:r>
      <w:r w:rsidRPr="00C974DD">
        <w:t xml:space="preserve"> was also based on a dose intensity of 93%.</w:t>
      </w:r>
    </w:p>
    <w:p w:rsidR="00B81A24" w:rsidRPr="00C974DD" w:rsidRDefault="00B81A24" w:rsidP="000D2B3E">
      <w:pPr>
        <w:pStyle w:val="ListParagraph"/>
      </w:pPr>
    </w:p>
    <w:p w:rsidR="002F05B5" w:rsidRPr="00C974DD" w:rsidRDefault="00B81A24" w:rsidP="00B81A24">
      <w:pPr>
        <w:pStyle w:val="ListParagraph"/>
        <w:numPr>
          <w:ilvl w:val="1"/>
          <w:numId w:val="15"/>
        </w:numPr>
      </w:pPr>
      <w:r w:rsidRPr="00C974DD">
        <w:t xml:space="preserve">Using the dose intensity </w:t>
      </w:r>
      <w:r w:rsidR="00FC6D02" w:rsidRPr="00C974DD">
        <w:t>assumed by the submission, which was</w:t>
      </w:r>
      <w:r w:rsidRPr="00C974DD">
        <w:t xml:space="preserve"> 73%, the cost per patient </w:t>
      </w:r>
      <w:r w:rsidR="00FC6D02" w:rsidRPr="00C974DD">
        <w:t>would be</w:t>
      </w:r>
      <w:r w:rsidRPr="00C974DD">
        <w:t xml:space="preserve"> $</w:t>
      </w:r>
      <w:r w:rsidR="00B05398">
        <w:rPr>
          <w:noProof/>
          <w:color w:val="000000"/>
          <w:highlight w:val="black"/>
        </w:rPr>
        <w:t>'''''''''''''''</w:t>
      </w:r>
      <w:r w:rsidRPr="00C974DD">
        <w:t>. The evaluation considered that</w:t>
      </w:r>
      <w:r w:rsidR="00FC6D02" w:rsidRPr="00C974DD">
        <w:t xml:space="preserve"> the submission’s estimation</w:t>
      </w:r>
      <w:r w:rsidRPr="00C974DD">
        <w:t xml:space="preserve"> </w:t>
      </w:r>
      <w:r w:rsidRPr="00C974DD">
        <w:lastRenderedPageBreak/>
        <w:t xml:space="preserve">of dose intensity was unreasonable as it included patients who were censored because they discontinued from the study. </w:t>
      </w:r>
      <w:r w:rsidR="002F05B5" w:rsidRPr="00C974DD">
        <w:t xml:space="preserve">The dose intensity of 93% was derived </w:t>
      </w:r>
      <w:r w:rsidR="00FC6D02" w:rsidRPr="00C974DD">
        <w:t xml:space="preserve">by the evaluator </w:t>
      </w:r>
      <w:r w:rsidR="002F05B5" w:rsidRPr="00C974DD">
        <w:t>using a more direct method of dividing the number of days on active treatment by the number of days on treatment</w:t>
      </w:r>
      <w:r w:rsidRPr="00C974DD">
        <w:t xml:space="preserve">. </w:t>
      </w:r>
    </w:p>
    <w:p w:rsidR="00AE27FE" w:rsidRPr="00C974DD" w:rsidRDefault="00AE27FE" w:rsidP="00B81A24">
      <w:pPr>
        <w:pStyle w:val="ListParagraph"/>
        <w:rPr>
          <w:szCs w:val="22"/>
        </w:rPr>
      </w:pPr>
    </w:p>
    <w:p w:rsidR="002D12BB" w:rsidRPr="00C974DD" w:rsidRDefault="00FC6D02" w:rsidP="00C3618A">
      <w:pPr>
        <w:pStyle w:val="ListParagraph"/>
        <w:numPr>
          <w:ilvl w:val="1"/>
          <w:numId w:val="15"/>
        </w:numPr>
        <w:rPr>
          <w:szCs w:val="22"/>
        </w:rPr>
      </w:pPr>
      <w:r w:rsidRPr="00C974DD">
        <w:t>The ESC considered that the evaluation</w:t>
      </w:r>
      <w:r w:rsidR="000D5989" w:rsidRPr="00C974DD">
        <w:t xml:space="preserve">’s estimation of dose intensity (93%) was reliable and did not consider this to be an upper estimate of dose intensity, as </w:t>
      </w:r>
      <w:r w:rsidR="00CB5634" w:rsidRPr="00C974DD">
        <w:t>suggest</w:t>
      </w:r>
      <w:r w:rsidR="000D5989" w:rsidRPr="00C974DD">
        <w:t xml:space="preserve">ed in the PSCR. </w:t>
      </w:r>
      <w:r w:rsidR="00AE27FE" w:rsidRPr="00C974DD">
        <w:t xml:space="preserve">The ESC noted that </w:t>
      </w:r>
      <w:r w:rsidR="00CB5634" w:rsidRPr="00C974DD">
        <w:t xml:space="preserve">the model is sensitive to this parameter and </w:t>
      </w:r>
      <w:r w:rsidR="00AE27FE" w:rsidRPr="00C974DD">
        <w:t>if a dose-intensity of 9</w:t>
      </w:r>
      <w:r w:rsidR="000D5989" w:rsidRPr="00C974DD">
        <w:t>3</w:t>
      </w:r>
      <w:r w:rsidR="00AE27FE" w:rsidRPr="00C974DD">
        <w:t xml:space="preserve">% is used the ICER increases to </w:t>
      </w:r>
      <w:r w:rsidR="00C3618A" w:rsidRPr="00C3618A">
        <w:t xml:space="preserve">$75,000/QALY – $105,000/QALY </w:t>
      </w:r>
      <w:r w:rsidR="00AE27FE" w:rsidRPr="00C974DD">
        <w:t xml:space="preserve">(compared to </w:t>
      </w:r>
      <w:r w:rsidR="00C3618A" w:rsidRPr="00C3618A">
        <w:t>$45,000/QALY – $75,000/QALY</w:t>
      </w:r>
      <w:r w:rsidR="00AE27FE" w:rsidRPr="00C974DD">
        <w:t xml:space="preserve"> if 7</w:t>
      </w:r>
      <w:r w:rsidR="000D5989" w:rsidRPr="00C974DD">
        <w:t>3</w:t>
      </w:r>
      <w:r w:rsidR="00AE27FE" w:rsidRPr="00C974DD">
        <w:t xml:space="preserve">% is used per the </w:t>
      </w:r>
      <w:r w:rsidR="000D5989" w:rsidRPr="00C974DD">
        <w:t>submission’s</w:t>
      </w:r>
      <w:r w:rsidR="00AE27FE" w:rsidRPr="00C974DD">
        <w:t xml:space="preserve"> base case)</w:t>
      </w:r>
      <w:r w:rsidR="009C0CB9" w:rsidRPr="00C974DD">
        <w:t>.</w:t>
      </w:r>
    </w:p>
    <w:p w:rsidR="00B60939" w:rsidRPr="00C974DD" w:rsidRDefault="00B60939" w:rsidP="001456B0">
      <w:pPr>
        <w:rPr>
          <w:szCs w:val="22"/>
        </w:rPr>
      </w:pPr>
    </w:p>
    <w:p w:rsidR="00B60939" w:rsidRPr="005F67C0" w:rsidRDefault="00B60939" w:rsidP="002C2775">
      <w:pPr>
        <w:pStyle w:val="Heading2"/>
      </w:pPr>
      <w:bookmarkStart w:id="13" w:name="_Toc409517495"/>
      <w:r w:rsidRPr="005F67C0">
        <w:t>Estimated PBS usage &amp; financial implications</w:t>
      </w:r>
      <w:bookmarkEnd w:id="13"/>
    </w:p>
    <w:p w:rsidR="00B60939" w:rsidRPr="00C974DD" w:rsidRDefault="00B60939" w:rsidP="00B60939">
      <w:pPr>
        <w:ind w:left="720" w:hanging="720"/>
        <w:rPr>
          <w:b/>
          <w:i/>
          <w:szCs w:val="22"/>
        </w:rPr>
      </w:pPr>
    </w:p>
    <w:p w:rsidR="00E05BE5" w:rsidRPr="00C974DD" w:rsidRDefault="00E05BE5" w:rsidP="00E05BE5">
      <w:pPr>
        <w:pStyle w:val="ListParagraph"/>
        <w:numPr>
          <w:ilvl w:val="1"/>
          <w:numId w:val="15"/>
        </w:numPr>
      </w:pPr>
      <w:r w:rsidRPr="00C974DD">
        <w:t>The DUSC consider</w:t>
      </w:r>
      <w:r w:rsidR="00B81A24" w:rsidRPr="00C974DD">
        <w:t xml:space="preserve">ed that </w:t>
      </w:r>
      <w:r w:rsidR="001C5509" w:rsidRPr="00C974DD">
        <w:t xml:space="preserve">the </w:t>
      </w:r>
      <w:r w:rsidRPr="00C974DD">
        <w:t xml:space="preserve">submission </w:t>
      </w:r>
      <w:r w:rsidR="00B81A24" w:rsidRPr="00C974DD">
        <w:t>had</w:t>
      </w:r>
      <w:r w:rsidRPr="00C974DD">
        <w:t xml:space="preserve"> underestimate</w:t>
      </w:r>
      <w:r w:rsidR="00B81A24" w:rsidRPr="00C974DD">
        <w:t>d</w:t>
      </w:r>
      <w:r w:rsidR="001C5509" w:rsidRPr="00C974DD">
        <w:t xml:space="preserve"> the potential </w:t>
      </w:r>
      <w:r w:rsidR="00B81A24" w:rsidRPr="00C974DD">
        <w:t>utilisation</w:t>
      </w:r>
      <w:r w:rsidR="001C5509" w:rsidRPr="00C974DD">
        <w:t xml:space="preserve"> and financial impacts of listing idelalisib</w:t>
      </w:r>
      <w:r w:rsidRPr="00C974DD">
        <w:t xml:space="preserve">. The main issues </w:t>
      </w:r>
      <w:r w:rsidR="00B81A24" w:rsidRPr="00C974DD">
        <w:t>identified by the DUSC were</w:t>
      </w:r>
      <w:r w:rsidRPr="00C974DD">
        <w:t>:</w:t>
      </w:r>
    </w:p>
    <w:p w:rsidR="00E05BE5" w:rsidRPr="00C974DD" w:rsidRDefault="00E05BE5" w:rsidP="000D2B3E">
      <w:pPr>
        <w:pStyle w:val="ListParagraph"/>
      </w:pPr>
    </w:p>
    <w:p w:rsidR="001C5509" w:rsidRPr="00C974DD" w:rsidRDefault="00E05BE5" w:rsidP="000D2B3E">
      <w:pPr>
        <w:pStyle w:val="ListParagraph"/>
        <w:numPr>
          <w:ilvl w:val="2"/>
          <w:numId w:val="15"/>
        </w:numPr>
        <w:ind w:left="1560"/>
      </w:pPr>
      <w:r w:rsidRPr="00C974DD">
        <w:t xml:space="preserve">The eligible population </w:t>
      </w:r>
      <w:r w:rsidR="00B81A24" w:rsidRPr="00C974DD">
        <w:t>wa</w:t>
      </w:r>
      <w:r w:rsidRPr="00C974DD">
        <w:t xml:space="preserve">s underestimated. </w:t>
      </w:r>
      <w:r w:rsidR="001C5509" w:rsidRPr="00C974DD">
        <w:t xml:space="preserve">The DUSC considered that the submission could have calculated the eligible population more directly. Since idelalisib was proposed as </w:t>
      </w:r>
      <w:r w:rsidR="00FC6D02" w:rsidRPr="00C974DD">
        <w:t xml:space="preserve">a </w:t>
      </w:r>
      <w:r w:rsidR="001C5509" w:rsidRPr="00C974DD">
        <w:t xml:space="preserve">third line treatment, the proportion of treated patients who received third </w:t>
      </w:r>
      <w:r w:rsidR="00D01D29" w:rsidRPr="00C974DD">
        <w:t xml:space="preserve">+ </w:t>
      </w:r>
      <w:r w:rsidR="001C5509" w:rsidRPr="00C974DD">
        <w:t xml:space="preserve">line treatment reported by IPSOS (18%) would be more appropriate. </w:t>
      </w:r>
    </w:p>
    <w:p w:rsidR="00E05BE5" w:rsidRPr="00C974DD" w:rsidRDefault="00E05BE5" w:rsidP="000D2B3E">
      <w:pPr>
        <w:pStyle w:val="ListParagraph"/>
        <w:numPr>
          <w:ilvl w:val="2"/>
          <w:numId w:val="15"/>
        </w:numPr>
        <w:ind w:left="1560"/>
      </w:pPr>
      <w:r w:rsidRPr="00C974DD">
        <w:t xml:space="preserve">The treated prevalence based on UK market research </w:t>
      </w:r>
      <w:r w:rsidR="00B81A24" w:rsidRPr="00C974DD">
        <w:t>was</w:t>
      </w:r>
      <w:r w:rsidRPr="00C974DD">
        <w:t xml:space="preserve"> underestimated.</w:t>
      </w:r>
    </w:p>
    <w:p w:rsidR="00E05BE5" w:rsidRPr="00C974DD" w:rsidRDefault="00E05BE5" w:rsidP="000D2B3E">
      <w:pPr>
        <w:pStyle w:val="ListParagraph"/>
        <w:numPr>
          <w:ilvl w:val="2"/>
          <w:numId w:val="15"/>
        </w:numPr>
        <w:ind w:left="1560"/>
      </w:pPr>
      <w:r w:rsidRPr="00C974DD">
        <w:t xml:space="preserve">The uptake rate </w:t>
      </w:r>
      <w:r w:rsidR="00646D44" w:rsidRPr="00C974DD">
        <w:t xml:space="preserve">used by the submission </w:t>
      </w:r>
      <w:r w:rsidRPr="00C974DD">
        <w:t>was not justified and</w:t>
      </w:r>
      <w:r w:rsidR="00646D44" w:rsidRPr="00C974DD">
        <w:t xml:space="preserve"> may have been</w:t>
      </w:r>
      <w:r w:rsidRPr="00C974DD">
        <w:t xml:space="preserve"> underestimated.</w:t>
      </w:r>
      <w:r w:rsidR="001C5509" w:rsidRPr="00C974DD">
        <w:t xml:space="preserve"> The DUSC noted that no evidence provided</w:t>
      </w:r>
      <w:r w:rsidR="0033534E" w:rsidRPr="00C974DD">
        <w:t xml:space="preserve"> to justify the uptake rate</w:t>
      </w:r>
      <w:r w:rsidR="001C5509" w:rsidRPr="00C974DD">
        <w:t>. DUSC agreed with the Commentary that, as the eligible population could be underestimated and the uptake rate is uncertain, the submission is likely to have underestimated the treated population.</w:t>
      </w:r>
    </w:p>
    <w:p w:rsidR="00E05BE5" w:rsidRPr="00C974DD" w:rsidRDefault="00E05BE5" w:rsidP="000D2B3E">
      <w:pPr>
        <w:pStyle w:val="ListParagraph"/>
        <w:numPr>
          <w:ilvl w:val="2"/>
          <w:numId w:val="15"/>
        </w:numPr>
        <w:ind w:left="1560"/>
      </w:pPr>
      <w:r w:rsidRPr="00C974DD">
        <w:t xml:space="preserve">The number of prescriptions </w:t>
      </w:r>
      <w:r w:rsidR="00B81A24" w:rsidRPr="00C974DD">
        <w:t>wa</w:t>
      </w:r>
      <w:r w:rsidRPr="00C974DD">
        <w:t xml:space="preserve">s underestimated due to a problematic methodology to estimate the dose intensity. </w:t>
      </w:r>
    </w:p>
    <w:p w:rsidR="00646D44" w:rsidRPr="00C974DD" w:rsidRDefault="00646D44" w:rsidP="00646D44">
      <w:pPr>
        <w:pStyle w:val="ListParagraph"/>
        <w:numPr>
          <w:ilvl w:val="2"/>
          <w:numId w:val="15"/>
        </w:numPr>
        <w:ind w:left="1560"/>
      </w:pPr>
      <w:r w:rsidRPr="00C974DD">
        <w:t>The number of MBS monitoring tests was based on a formula that was not justified.</w:t>
      </w:r>
    </w:p>
    <w:p w:rsidR="00E05BE5" w:rsidRPr="00C974DD" w:rsidRDefault="00E05BE5" w:rsidP="000D2B3E">
      <w:pPr>
        <w:pStyle w:val="ListParagraph"/>
      </w:pPr>
    </w:p>
    <w:p w:rsidR="0033534E" w:rsidRPr="00C974DD" w:rsidRDefault="00092BDF" w:rsidP="0033534E">
      <w:pPr>
        <w:pStyle w:val="ListParagraph"/>
        <w:numPr>
          <w:ilvl w:val="1"/>
          <w:numId w:val="15"/>
        </w:numPr>
      </w:pPr>
      <w:r w:rsidRPr="00C974DD">
        <w:t xml:space="preserve">The </w:t>
      </w:r>
      <w:r w:rsidR="0033534E" w:rsidRPr="00C974DD">
        <w:t>DUSC noted that, due to an increasing prevalent pool of patients in Australia, even a small percentage increase in the number of patients could make a large difference to the total cost of idelalisib.</w:t>
      </w:r>
    </w:p>
    <w:p w:rsidR="0033534E" w:rsidRPr="00C974DD" w:rsidRDefault="0033534E" w:rsidP="000D2B3E">
      <w:pPr>
        <w:pStyle w:val="ListParagraph"/>
      </w:pPr>
    </w:p>
    <w:p w:rsidR="004C0BFB" w:rsidRPr="00C974DD" w:rsidRDefault="003F6E26">
      <w:pPr>
        <w:pStyle w:val="ListParagraph"/>
        <w:numPr>
          <w:ilvl w:val="1"/>
          <w:numId w:val="15"/>
        </w:numPr>
      </w:pPr>
      <w:r w:rsidRPr="00C974DD">
        <w:t xml:space="preserve">The </w:t>
      </w:r>
      <w:r w:rsidR="00E05BE5" w:rsidRPr="00C974DD">
        <w:t>DUSC did not agree with the Sponsor that the revised listing addresses concerns about the underestimated patient population.</w:t>
      </w:r>
    </w:p>
    <w:p w:rsidR="001C5509" w:rsidRPr="00C974DD" w:rsidRDefault="001C5509" w:rsidP="000D2B3E">
      <w:pPr>
        <w:pStyle w:val="ListParagraph"/>
      </w:pPr>
    </w:p>
    <w:p w:rsidR="004C0BFB" w:rsidRPr="00C974DD" w:rsidRDefault="0033534E" w:rsidP="00C3618A">
      <w:pPr>
        <w:pStyle w:val="ListParagraph"/>
        <w:numPr>
          <w:ilvl w:val="1"/>
          <w:numId w:val="15"/>
        </w:numPr>
        <w:rPr>
          <w:szCs w:val="22"/>
        </w:rPr>
      </w:pPr>
      <w:r w:rsidRPr="00C974DD">
        <w:rPr>
          <w:bCs/>
          <w:szCs w:val="22"/>
        </w:rPr>
        <w:t>As shown in the table below, at</w:t>
      </w:r>
      <w:r w:rsidR="004C0BFB" w:rsidRPr="00C974DD">
        <w:rPr>
          <w:bCs/>
          <w:szCs w:val="22"/>
        </w:rPr>
        <w:t xml:space="preserve"> year 5, the estimated number of patients was </w:t>
      </w:r>
      <w:r w:rsidR="00B05398">
        <w:rPr>
          <w:bCs/>
          <w:noProof/>
          <w:color w:val="000000"/>
          <w:szCs w:val="22"/>
          <w:highlight w:val="black"/>
        </w:rPr>
        <w:t xml:space="preserve">''''''''' </w:t>
      </w:r>
      <w:r w:rsidR="004C0BFB" w:rsidRPr="00C974DD">
        <w:rPr>
          <w:bCs/>
          <w:szCs w:val="22"/>
        </w:rPr>
        <w:t xml:space="preserve">and the net cost to the PBS </w:t>
      </w:r>
      <w:r w:rsidR="00FC6D02" w:rsidRPr="00C974DD">
        <w:rPr>
          <w:bCs/>
          <w:szCs w:val="22"/>
        </w:rPr>
        <w:t>/RPBS</w:t>
      </w:r>
      <w:r w:rsidR="00D01D29" w:rsidRPr="00C974DD">
        <w:rPr>
          <w:bCs/>
          <w:szCs w:val="22"/>
        </w:rPr>
        <w:t xml:space="preserve"> </w:t>
      </w:r>
      <w:r w:rsidR="004C0BFB" w:rsidRPr="00C974DD">
        <w:rPr>
          <w:bCs/>
          <w:szCs w:val="22"/>
        </w:rPr>
        <w:t>would be $</w:t>
      </w:r>
      <w:r w:rsidR="00B05398">
        <w:rPr>
          <w:bCs/>
          <w:noProof/>
          <w:color w:val="000000"/>
          <w:szCs w:val="22"/>
          <w:highlight w:val="black"/>
        </w:rPr>
        <w:t>''''''''''''''''''''''''''</w:t>
      </w:r>
      <w:r w:rsidR="009821E2" w:rsidRPr="007A6E7B">
        <w:rPr>
          <w:bCs/>
          <w:szCs w:val="22"/>
        </w:rPr>
        <w:t>.</w:t>
      </w:r>
    </w:p>
    <w:p w:rsidR="001C5509" w:rsidRPr="00C974DD" w:rsidRDefault="001C5509" w:rsidP="000D2B3E">
      <w:pPr>
        <w:keepNext/>
        <w:keepLines/>
        <w:rPr>
          <w:b/>
          <w:sz w:val="20"/>
          <w:szCs w:val="16"/>
        </w:rPr>
      </w:pPr>
      <w:r w:rsidRPr="00C974DD">
        <w:rPr>
          <w:b/>
          <w:sz w:val="20"/>
          <w:szCs w:val="16"/>
        </w:rPr>
        <w:lastRenderedPageBreak/>
        <w:t>Estimated use and financial implications</w:t>
      </w: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Estimated PBS usage &amp; financial implications"/>
        <w:tblDescription w:val="Year 1 to 5"/>
      </w:tblPr>
      <w:tblGrid>
        <w:gridCol w:w="2767"/>
        <w:gridCol w:w="1251"/>
        <w:gridCol w:w="1251"/>
        <w:gridCol w:w="1251"/>
        <w:gridCol w:w="1251"/>
        <w:gridCol w:w="1254"/>
      </w:tblGrid>
      <w:tr w:rsidR="00C974DD" w:rsidRPr="00C974DD" w:rsidTr="000D2B3E">
        <w:trPr>
          <w:tblHeader/>
        </w:trPr>
        <w:tc>
          <w:tcPr>
            <w:tcW w:w="1533" w:type="pct"/>
            <w:shd w:val="clear" w:color="auto" w:fill="auto"/>
            <w:vAlign w:val="center"/>
          </w:tcPr>
          <w:p w:rsidR="001C5509" w:rsidRPr="00C974DD" w:rsidRDefault="001C5509" w:rsidP="000D2B3E">
            <w:pPr>
              <w:keepNext/>
              <w:keepLines/>
              <w:tabs>
                <w:tab w:val="left" w:pos="142"/>
              </w:tabs>
              <w:rPr>
                <w:rFonts w:ascii="Arial Narrow" w:hAnsi="Arial Narrow"/>
                <w:b/>
                <w:sz w:val="20"/>
              </w:rPr>
            </w:pPr>
          </w:p>
        </w:tc>
        <w:tc>
          <w:tcPr>
            <w:tcW w:w="693" w:type="pct"/>
            <w:shd w:val="clear" w:color="auto" w:fill="auto"/>
            <w:vAlign w:val="center"/>
          </w:tcPr>
          <w:p w:rsidR="001C5509" w:rsidRPr="00C974DD" w:rsidRDefault="001C5509" w:rsidP="000D2B3E">
            <w:pPr>
              <w:keepNext/>
              <w:keepLines/>
              <w:jc w:val="center"/>
              <w:rPr>
                <w:rFonts w:ascii="Arial Narrow" w:hAnsi="Arial Narrow"/>
                <w:b/>
                <w:sz w:val="20"/>
              </w:rPr>
            </w:pPr>
            <w:r w:rsidRPr="00C974DD">
              <w:rPr>
                <w:rFonts w:ascii="Arial Narrow" w:hAnsi="Arial Narrow"/>
                <w:b/>
                <w:sz w:val="20"/>
              </w:rPr>
              <w:t>Year 1</w:t>
            </w:r>
          </w:p>
        </w:tc>
        <w:tc>
          <w:tcPr>
            <w:tcW w:w="693" w:type="pct"/>
            <w:shd w:val="clear" w:color="auto" w:fill="auto"/>
            <w:vAlign w:val="center"/>
          </w:tcPr>
          <w:p w:rsidR="001C5509" w:rsidRPr="00C974DD" w:rsidRDefault="001C5509" w:rsidP="000D2B3E">
            <w:pPr>
              <w:keepNext/>
              <w:keepLines/>
              <w:jc w:val="center"/>
              <w:rPr>
                <w:rFonts w:ascii="Arial Narrow" w:hAnsi="Arial Narrow"/>
                <w:b/>
                <w:sz w:val="20"/>
              </w:rPr>
            </w:pPr>
            <w:r w:rsidRPr="00C974DD">
              <w:rPr>
                <w:rFonts w:ascii="Arial Narrow" w:hAnsi="Arial Narrow"/>
                <w:b/>
                <w:sz w:val="20"/>
              </w:rPr>
              <w:t>Year 2</w:t>
            </w:r>
          </w:p>
        </w:tc>
        <w:tc>
          <w:tcPr>
            <w:tcW w:w="693" w:type="pct"/>
            <w:shd w:val="clear" w:color="auto" w:fill="auto"/>
            <w:vAlign w:val="center"/>
          </w:tcPr>
          <w:p w:rsidR="001C5509" w:rsidRPr="00C974DD" w:rsidRDefault="001C5509" w:rsidP="000D2B3E">
            <w:pPr>
              <w:keepNext/>
              <w:keepLines/>
              <w:jc w:val="center"/>
              <w:rPr>
                <w:rFonts w:ascii="Arial Narrow" w:hAnsi="Arial Narrow"/>
                <w:b/>
                <w:sz w:val="20"/>
              </w:rPr>
            </w:pPr>
            <w:r w:rsidRPr="00C974DD">
              <w:rPr>
                <w:rFonts w:ascii="Arial Narrow" w:hAnsi="Arial Narrow"/>
                <w:b/>
                <w:sz w:val="20"/>
              </w:rPr>
              <w:t>Year 3</w:t>
            </w:r>
          </w:p>
        </w:tc>
        <w:tc>
          <w:tcPr>
            <w:tcW w:w="693" w:type="pct"/>
            <w:shd w:val="clear" w:color="auto" w:fill="auto"/>
            <w:vAlign w:val="center"/>
          </w:tcPr>
          <w:p w:rsidR="001C5509" w:rsidRPr="00C974DD" w:rsidRDefault="001C5509" w:rsidP="000D2B3E">
            <w:pPr>
              <w:keepNext/>
              <w:keepLines/>
              <w:jc w:val="center"/>
              <w:rPr>
                <w:rFonts w:ascii="Arial Narrow" w:hAnsi="Arial Narrow"/>
                <w:b/>
                <w:sz w:val="20"/>
              </w:rPr>
            </w:pPr>
            <w:r w:rsidRPr="00C974DD">
              <w:rPr>
                <w:rFonts w:ascii="Arial Narrow" w:hAnsi="Arial Narrow"/>
                <w:b/>
                <w:sz w:val="20"/>
              </w:rPr>
              <w:t>Year 4</w:t>
            </w:r>
          </w:p>
        </w:tc>
        <w:tc>
          <w:tcPr>
            <w:tcW w:w="693" w:type="pct"/>
            <w:shd w:val="clear" w:color="auto" w:fill="auto"/>
            <w:vAlign w:val="center"/>
          </w:tcPr>
          <w:p w:rsidR="001C5509" w:rsidRPr="00C974DD" w:rsidRDefault="001C5509" w:rsidP="000D2B3E">
            <w:pPr>
              <w:keepNext/>
              <w:keepLines/>
              <w:jc w:val="center"/>
              <w:rPr>
                <w:rFonts w:ascii="Arial Narrow" w:hAnsi="Arial Narrow"/>
                <w:b/>
                <w:sz w:val="20"/>
              </w:rPr>
            </w:pPr>
            <w:r w:rsidRPr="00C974DD">
              <w:rPr>
                <w:rFonts w:ascii="Arial Narrow" w:hAnsi="Arial Narrow"/>
                <w:b/>
                <w:sz w:val="20"/>
              </w:rPr>
              <w:t>Year 5</w:t>
            </w:r>
          </w:p>
        </w:tc>
      </w:tr>
      <w:tr w:rsidR="00C974DD" w:rsidRPr="00C974DD" w:rsidTr="000D2B3E">
        <w:tc>
          <w:tcPr>
            <w:tcW w:w="5000" w:type="pct"/>
            <w:gridSpan w:val="6"/>
            <w:shd w:val="clear" w:color="auto" w:fill="auto"/>
            <w:vAlign w:val="center"/>
          </w:tcPr>
          <w:p w:rsidR="001C5509" w:rsidRPr="00C974DD" w:rsidRDefault="001C5509" w:rsidP="000D2B3E">
            <w:pPr>
              <w:keepNext/>
              <w:keepLines/>
              <w:rPr>
                <w:rFonts w:ascii="Arial Narrow" w:hAnsi="Arial Narrow"/>
                <w:b/>
                <w:bCs/>
                <w:sz w:val="20"/>
              </w:rPr>
            </w:pPr>
            <w:r w:rsidRPr="00C974DD">
              <w:rPr>
                <w:rFonts w:ascii="Arial Narrow" w:hAnsi="Arial Narrow"/>
                <w:b/>
                <w:bCs/>
                <w:sz w:val="20"/>
              </w:rPr>
              <w:t>Estimated extent of use</w:t>
            </w:r>
          </w:p>
        </w:tc>
      </w:tr>
      <w:tr w:rsidR="00C974DD" w:rsidRPr="00C974DD" w:rsidTr="000D2B3E">
        <w:tc>
          <w:tcPr>
            <w:tcW w:w="1533" w:type="pct"/>
            <w:shd w:val="clear" w:color="auto" w:fill="auto"/>
            <w:vAlign w:val="center"/>
          </w:tcPr>
          <w:p w:rsidR="001C5509" w:rsidRPr="00C974DD" w:rsidRDefault="001C5509" w:rsidP="000D2B3E">
            <w:pPr>
              <w:keepNext/>
              <w:keepLines/>
              <w:tabs>
                <w:tab w:val="left" w:pos="142"/>
              </w:tabs>
              <w:rPr>
                <w:rFonts w:ascii="Arial Narrow" w:hAnsi="Arial Narrow"/>
                <w:sz w:val="20"/>
              </w:rPr>
            </w:pPr>
            <w:r w:rsidRPr="00C974DD">
              <w:rPr>
                <w:rFonts w:ascii="Arial Narrow" w:hAnsi="Arial Narrow"/>
                <w:sz w:val="20"/>
              </w:rPr>
              <w:t>Number treated</w:t>
            </w:r>
          </w:p>
        </w:tc>
        <w:tc>
          <w:tcPr>
            <w:tcW w:w="693" w:type="pct"/>
            <w:shd w:val="clear" w:color="auto" w:fill="auto"/>
          </w:tcPr>
          <w:p w:rsidR="001C5509" w:rsidRPr="00B05398" w:rsidRDefault="00B05398" w:rsidP="000D2B3E">
            <w:pPr>
              <w:keepNext/>
              <w:keepLines/>
              <w:jc w:val="right"/>
              <w:rPr>
                <w:rFonts w:ascii="Arial Narrow" w:hAnsi="Arial Narrow"/>
                <w:bCs/>
                <w:sz w:val="20"/>
                <w:highlight w:val="black"/>
              </w:rPr>
            </w:pPr>
            <w:r>
              <w:rPr>
                <w:rFonts w:ascii="Arial Narrow" w:hAnsi="Arial Narrow"/>
                <w:bCs/>
                <w:noProof/>
                <w:color w:val="000000"/>
                <w:sz w:val="20"/>
                <w:highlight w:val="black"/>
              </w:rPr>
              <w:t xml:space="preserve"> '''''''</w:t>
            </w:r>
            <w:r w:rsidR="001C5509" w:rsidRPr="00B05398">
              <w:rPr>
                <w:rFonts w:ascii="Arial Narrow" w:hAnsi="Arial Narrow"/>
                <w:bCs/>
                <w:sz w:val="20"/>
                <w:highlight w:val="black"/>
              </w:rPr>
              <w:t xml:space="preserve"> </w:t>
            </w:r>
          </w:p>
        </w:tc>
        <w:tc>
          <w:tcPr>
            <w:tcW w:w="693" w:type="pct"/>
            <w:shd w:val="clear" w:color="auto" w:fill="auto"/>
          </w:tcPr>
          <w:p w:rsidR="001C5509" w:rsidRPr="00B05398" w:rsidRDefault="00B05398" w:rsidP="000D2B3E">
            <w:pPr>
              <w:keepNext/>
              <w:keepLines/>
              <w:jc w:val="right"/>
              <w:rPr>
                <w:rFonts w:ascii="Arial Narrow" w:hAnsi="Arial Narrow"/>
                <w:bCs/>
                <w:sz w:val="20"/>
                <w:highlight w:val="black"/>
              </w:rPr>
            </w:pPr>
            <w:r>
              <w:rPr>
                <w:rFonts w:ascii="Arial Narrow" w:hAnsi="Arial Narrow"/>
                <w:bCs/>
                <w:noProof/>
                <w:color w:val="000000"/>
                <w:sz w:val="20"/>
                <w:highlight w:val="black"/>
              </w:rPr>
              <w:t xml:space="preserve"> '''''''''</w:t>
            </w:r>
            <w:r w:rsidR="001C5509" w:rsidRPr="00B05398">
              <w:rPr>
                <w:rFonts w:ascii="Arial Narrow" w:hAnsi="Arial Narrow"/>
                <w:bCs/>
                <w:sz w:val="20"/>
                <w:highlight w:val="black"/>
              </w:rPr>
              <w:t xml:space="preserve"> </w:t>
            </w:r>
          </w:p>
        </w:tc>
        <w:tc>
          <w:tcPr>
            <w:tcW w:w="693" w:type="pct"/>
            <w:shd w:val="clear" w:color="auto" w:fill="auto"/>
          </w:tcPr>
          <w:p w:rsidR="001C5509" w:rsidRPr="00B05398" w:rsidRDefault="001C5509" w:rsidP="000D2B3E">
            <w:pPr>
              <w:keepNext/>
              <w:keepLines/>
              <w:jc w:val="right"/>
              <w:rPr>
                <w:rFonts w:ascii="Arial Narrow" w:hAnsi="Arial Narrow"/>
                <w:bCs/>
                <w:sz w:val="20"/>
                <w:highlight w:val="black"/>
              </w:rPr>
            </w:pPr>
            <w:r w:rsidRPr="007A6E7B">
              <w:rPr>
                <w:rFonts w:ascii="Arial Narrow" w:hAnsi="Arial Narrow"/>
                <w:bCs/>
                <w:sz w:val="20"/>
              </w:rPr>
              <w:t xml:space="preserve"> </w:t>
            </w:r>
            <w:r w:rsidR="00B05398">
              <w:rPr>
                <w:rFonts w:ascii="Arial Narrow" w:hAnsi="Arial Narrow"/>
                <w:bCs/>
                <w:noProof/>
                <w:color w:val="000000"/>
                <w:sz w:val="20"/>
                <w:highlight w:val="black"/>
              </w:rPr>
              <w:t>''''''''''</w:t>
            </w:r>
            <w:r w:rsidRPr="00B05398">
              <w:rPr>
                <w:rFonts w:ascii="Arial Narrow" w:hAnsi="Arial Narrow"/>
                <w:bCs/>
                <w:sz w:val="20"/>
                <w:highlight w:val="black"/>
              </w:rPr>
              <w:t xml:space="preserve"> </w:t>
            </w:r>
          </w:p>
        </w:tc>
        <w:tc>
          <w:tcPr>
            <w:tcW w:w="693" w:type="pct"/>
            <w:shd w:val="clear" w:color="auto" w:fill="auto"/>
          </w:tcPr>
          <w:p w:rsidR="001C5509" w:rsidRPr="00B05398" w:rsidRDefault="00B05398" w:rsidP="000D2B3E">
            <w:pPr>
              <w:keepNext/>
              <w:keepLines/>
              <w:jc w:val="right"/>
              <w:rPr>
                <w:rFonts w:ascii="Arial Narrow" w:hAnsi="Arial Narrow"/>
                <w:bCs/>
                <w:sz w:val="20"/>
                <w:highlight w:val="black"/>
              </w:rPr>
            </w:pPr>
            <w:r>
              <w:rPr>
                <w:rFonts w:ascii="Arial Narrow" w:hAnsi="Arial Narrow"/>
                <w:bCs/>
                <w:noProof/>
                <w:color w:val="000000"/>
                <w:sz w:val="20"/>
                <w:highlight w:val="black"/>
              </w:rPr>
              <w:t xml:space="preserve"> '''''''''</w:t>
            </w:r>
            <w:r w:rsidR="001C5509" w:rsidRPr="00B05398">
              <w:rPr>
                <w:rFonts w:ascii="Arial Narrow" w:hAnsi="Arial Narrow"/>
                <w:bCs/>
                <w:sz w:val="20"/>
                <w:highlight w:val="black"/>
              </w:rPr>
              <w:t xml:space="preserve"> </w:t>
            </w:r>
          </w:p>
        </w:tc>
        <w:tc>
          <w:tcPr>
            <w:tcW w:w="695" w:type="pct"/>
            <w:shd w:val="clear" w:color="auto" w:fill="auto"/>
          </w:tcPr>
          <w:p w:rsidR="001C5509" w:rsidRPr="00B05398" w:rsidRDefault="00B05398" w:rsidP="000D2B3E">
            <w:pPr>
              <w:keepNext/>
              <w:keepLines/>
              <w:jc w:val="right"/>
              <w:rPr>
                <w:rFonts w:ascii="Arial Narrow" w:hAnsi="Arial Narrow"/>
                <w:bCs/>
                <w:sz w:val="20"/>
                <w:highlight w:val="black"/>
              </w:rPr>
            </w:pPr>
            <w:r>
              <w:rPr>
                <w:rFonts w:ascii="Arial Narrow" w:hAnsi="Arial Narrow"/>
                <w:bCs/>
                <w:noProof/>
                <w:color w:val="000000"/>
                <w:sz w:val="20"/>
                <w:highlight w:val="black"/>
              </w:rPr>
              <w:t xml:space="preserve"> '''''''''</w:t>
            </w:r>
            <w:r w:rsidR="001C5509" w:rsidRPr="00B05398">
              <w:rPr>
                <w:rFonts w:ascii="Arial Narrow" w:hAnsi="Arial Narrow"/>
                <w:bCs/>
                <w:sz w:val="20"/>
                <w:highlight w:val="black"/>
              </w:rPr>
              <w:t xml:space="preserve"> </w:t>
            </w:r>
          </w:p>
        </w:tc>
      </w:tr>
      <w:tr w:rsidR="00C974DD" w:rsidRPr="00C974DD" w:rsidTr="000D2B3E">
        <w:tc>
          <w:tcPr>
            <w:tcW w:w="1533" w:type="pct"/>
            <w:shd w:val="clear" w:color="auto" w:fill="auto"/>
            <w:vAlign w:val="center"/>
          </w:tcPr>
          <w:p w:rsidR="001C5509" w:rsidRPr="00C974DD" w:rsidRDefault="001C5509" w:rsidP="000D2B3E">
            <w:pPr>
              <w:keepNext/>
              <w:keepLines/>
              <w:tabs>
                <w:tab w:val="left" w:pos="142"/>
              </w:tabs>
              <w:rPr>
                <w:rFonts w:ascii="Arial Narrow" w:hAnsi="Arial Narrow"/>
                <w:sz w:val="20"/>
              </w:rPr>
            </w:pPr>
            <w:r w:rsidRPr="00C974DD">
              <w:rPr>
                <w:rFonts w:ascii="Arial Narrow" w:hAnsi="Arial Narrow"/>
                <w:sz w:val="20"/>
              </w:rPr>
              <w:t>Market share</w:t>
            </w:r>
          </w:p>
        </w:tc>
        <w:tc>
          <w:tcPr>
            <w:tcW w:w="693" w:type="pct"/>
            <w:shd w:val="clear" w:color="auto" w:fill="auto"/>
            <w:vAlign w:val="center"/>
          </w:tcPr>
          <w:p w:rsidR="001C5509" w:rsidRPr="007A6E7B" w:rsidRDefault="001C5509" w:rsidP="000D2B3E">
            <w:pPr>
              <w:keepNext/>
              <w:keepLines/>
              <w:jc w:val="right"/>
              <w:rPr>
                <w:rFonts w:ascii="Arial Narrow" w:hAnsi="Arial Narrow"/>
                <w:bCs/>
                <w:sz w:val="20"/>
              </w:rPr>
            </w:pPr>
            <w:r w:rsidRPr="007A6E7B">
              <w:rPr>
                <w:rFonts w:ascii="Arial Narrow" w:hAnsi="Arial Narrow"/>
                <w:bCs/>
                <w:sz w:val="20"/>
              </w:rPr>
              <w:t>35%</w:t>
            </w:r>
          </w:p>
        </w:tc>
        <w:tc>
          <w:tcPr>
            <w:tcW w:w="693" w:type="pct"/>
            <w:shd w:val="clear" w:color="auto" w:fill="auto"/>
            <w:vAlign w:val="center"/>
          </w:tcPr>
          <w:p w:rsidR="001C5509" w:rsidRPr="007A6E7B" w:rsidRDefault="001C5509" w:rsidP="000D2B3E">
            <w:pPr>
              <w:keepNext/>
              <w:keepLines/>
              <w:jc w:val="right"/>
              <w:rPr>
                <w:rFonts w:ascii="Arial Narrow" w:hAnsi="Arial Narrow"/>
                <w:bCs/>
                <w:sz w:val="20"/>
              </w:rPr>
            </w:pPr>
            <w:r w:rsidRPr="007A6E7B">
              <w:rPr>
                <w:rFonts w:ascii="Arial Narrow" w:hAnsi="Arial Narrow"/>
                <w:bCs/>
                <w:sz w:val="20"/>
              </w:rPr>
              <w:t>55%</w:t>
            </w:r>
          </w:p>
        </w:tc>
        <w:tc>
          <w:tcPr>
            <w:tcW w:w="693" w:type="pct"/>
            <w:shd w:val="clear" w:color="auto" w:fill="auto"/>
            <w:vAlign w:val="center"/>
          </w:tcPr>
          <w:p w:rsidR="001C5509" w:rsidRPr="007A6E7B" w:rsidRDefault="001C5509" w:rsidP="000D2B3E">
            <w:pPr>
              <w:keepNext/>
              <w:keepLines/>
              <w:jc w:val="right"/>
              <w:rPr>
                <w:rFonts w:ascii="Arial Narrow" w:hAnsi="Arial Narrow"/>
                <w:bCs/>
                <w:sz w:val="20"/>
              </w:rPr>
            </w:pPr>
            <w:r w:rsidRPr="007A6E7B">
              <w:rPr>
                <w:rFonts w:ascii="Arial Narrow" w:hAnsi="Arial Narrow"/>
                <w:bCs/>
                <w:sz w:val="20"/>
              </w:rPr>
              <w:t>65%</w:t>
            </w:r>
          </w:p>
        </w:tc>
        <w:tc>
          <w:tcPr>
            <w:tcW w:w="693" w:type="pct"/>
            <w:shd w:val="clear" w:color="auto" w:fill="auto"/>
            <w:vAlign w:val="center"/>
          </w:tcPr>
          <w:p w:rsidR="001C5509" w:rsidRPr="007A6E7B" w:rsidRDefault="001C5509" w:rsidP="000D2B3E">
            <w:pPr>
              <w:keepNext/>
              <w:keepLines/>
              <w:jc w:val="right"/>
              <w:rPr>
                <w:rFonts w:ascii="Arial Narrow" w:hAnsi="Arial Narrow"/>
                <w:bCs/>
                <w:sz w:val="20"/>
              </w:rPr>
            </w:pPr>
            <w:r w:rsidRPr="007A6E7B">
              <w:rPr>
                <w:rFonts w:ascii="Arial Narrow" w:hAnsi="Arial Narrow"/>
                <w:bCs/>
                <w:sz w:val="20"/>
              </w:rPr>
              <w:t>70%</w:t>
            </w:r>
          </w:p>
        </w:tc>
        <w:tc>
          <w:tcPr>
            <w:tcW w:w="695" w:type="pct"/>
            <w:shd w:val="clear" w:color="auto" w:fill="auto"/>
            <w:vAlign w:val="center"/>
          </w:tcPr>
          <w:p w:rsidR="001C5509" w:rsidRPr="007A6E7B" w:rsidRDefault="001C5509" w:rsidP="000D2B3E">
            <w:pPr>
              <w:keepNext/>
              <w:keepLines/>
              <w:jc w:val="right"/>
              <w:rPr>
                <w:rFonts w:ascii="Arial Narrow" w:hAnsi="Arial Narrow"/>
                <w:bCs/>
                <w:sz w:val="20"/>
              </w:rPr>
            </w:pPr>
            <w:r w:rsidRPr="007A6E7B">
              <w:rPr>
                <w:rFonts w:ascii="Arial Narrow" w:hAnsi="Arial Narrow"/>
                <w:bCs/>
                <w:sz w:val="20"/>
              </w:rPr>
              <w:t>80%</w:t>
            </w:r>
          </w:p>
        </w:tc>
      </w:tr>
      <w:tr w:rsidR="00C974DD" w:rsidRPr="00C974DD" w:rsidTr="000D2B3E">
        <w:tc>
          <w:tcPr>
            <w:tcW w:w="1533" w:type="pct"/>
            <w:shd w:val="clear" w:color="auto" w:fill="auto"/>
            <w:vAlign w:val="center"/>
          </w:tcPr>
          <w:p w:rsidR="001C5509" w:rsidRPr="00C974DD" w:rsidRDefault="001C5509" w:rsidP="000D2B3E">
            <w:pPr>
              <w:keepNext/>
              <w:keepLines/>
              <w:tabs>
                <w:tab w:val="left" w:pos="142"/>
              </w:tabs>
              <w:rPr>
                <w:rFonts w:ascii="Arial Narrow" w:hAnsi="Arial Narrow"/>
                <w:sz w:val="20"/>
              </w:rPr>
            </w:pPr>
            <w:r w:rsidRPr="00C974DD">
              <w:rPr>
                <w:rFonts w:ascii="Arial Narrow" w:hAnsi="Arial Narrow"/>
                <w:sz w:val="20"/>
              </w:rPr>
              <w:t xml:space="preserve">Scripts </w:t>
            </w:r>
            <w:r w:rsidRPr="00C974DD">
              <w:rPr>
                <w:rFonts w:ascii="Arial Narrow" w:hAnsi="Arial Narrow"/>
                <w:sz w:val="20"/>
                <w:vertAlign w:val="superscript"/>
              </w:rPr>
              <w:t>a</w:t>
            </w:r>
          </w:p>
        </w:tc>
        <w:tc>
          <w:tcPr>
            <w:tcW w:w="693" w:type="pct"/>
            <w:shd w:val="clear" w:color="auto" w:fill="auto"/>
          </w:tcPr>
          <w:p w:rsidR="001C5509" w:rsidRPr="00B05398" w:rsidRDefault="00B05398" w:rsidP="000D2B3E">
            <w:pPr>
              <w:keepNext/>
              <w:keepLines/>
              <w:jc w:val="right"/>
              <w:rPr>
                <w:rFonts w:ascii="Arial Narrow" w:hAnsi="Arial Narrow"/>
                <w:bCs/>
                <w:sz w:val="20"/>
                <w:highlight w:val="black"/>
              </w:rPr>
            </w:pPr>
            <w:r>
              <w:rPr>
                <w:rFonts w:ascii="Arial Narrow" w:hAnsi="Arial Narrow"/>
                <w:bCs/>
                <w:noProof/>
                <w:color w:val="000000"/>
                <w:sz w:val="20"/>
                <w:highlight w:val="black"/>
              </w:rPr>
              <w:t xml:space="preserve"> ''''''''''</w:t>
            </w:r>
            <w:r w:rsidR="001C5509" w:rsidRPr="00B05398">
              <w:rPr>
                <w:rFonts w:ascii="Arial Narrow" w:hAnsi="Arial Narrow"/>
                <w:bCs/>
                <w:sz w:val="20"/>
                <w:highlight w:val="black"/>
              </w:rPr>
              <w:t xml:space="preserve"> </w:t>
            </w:r>
          </w:p>
        </w:tc>
        <w:tc>
          <w:tcPr>
            <w:tcW w:w="693" w:type="pct"/>
            <w:shd w:val="clear" w:color="auto" w:fill="auto"/>
          </w:tcPr>
          <w:p w:rsidR="001C5509" w:rsidRPr="00B05398" w:rsidRDefault="001C5509" w:rsidP="000D2B3E">
            <w:pPr>
              <w:keepNext/>
              <w:keepLines/>
              <w:jc w:val="right"/>
              <w:rPr>
                <w:rFonts w:ascii="Arial Narrow" w:hAnsi="Arial Narrow"/>
                <w:bCs/>
                <w:sz w:val="20"/>
                <w:highlight w:val="black"/>
              </w:rPr>
            </w:pPr>
            <w:r w:rsidRPr="007A6E7B">
              <w:rPr>
                <w:rFonts w:ascii="Arial Narrow" w:hAnsi="Arial Narrow"/>
                <w:bCs/>
                <w:sz w:val="20"/>
              </w:rPr>
              <w:t xml:space="preserve"> </w:t>
            </w:r>
            <w:r w:rsidR="00B05398">
              <w:rPr>
                <w:rFonts w:ascii="Arial Narrow" w:hAnsi="Arial Narrow"/>
                <w:bCs/>
                <w:noProof/>
                <w:color w:val="000000"/>
                <w:sz w:val="20"/>
                <w:highlight w:val="black"/>
              </w:rPr>
              <w:t>''''''''</w:t>
            </w:r>
            <w:r w:rsidRPr="00B05398">
              <w:rPr>
                <w:rFonts w:ascii="Arial Narrow" w:hAnsi="Arial Narrow"/>
                <w:bCs/>
                <w:sz w:val="20"/>
                <w:highlight w:val="black"/>
              </w:rPr>
              <w:t xml:space="preserve"> </w:t>
            </w:r>
          </w:p>
        </w:tc>
        <w:tc>
          <w:tcPr>
            <w:tcW w:w="693" w:type="pct"/>
            <w:shd w:val="clear" w:color="auto" w:fill="auto"/>
          </w:tcPr>
          <w:p w:rsidR="001C5509" w:rsidRPr="00B05398" w:rsidRDefault="00B05398" w:rsidP="000D2B3E">
            <w:pPr>
              <w:keepNext/>
              <w:keepLines/>
              <w:jc w:val="right"/>
              <w:rPr>
                <w:rFonts w:ascii="Arial Narrow" w:hAnsi="Arial Narrow"/>
                <w:bCs/>
                <w:sz w:val="20"/>
                <w:highlight w:val="black"/>
              </w:rPr>
            </w:pPr>
            <w:r>
              <w:rPr>
                <w:rFonts w:ascii="Arial Narrow" w:hAnsi="Arial Narrow"/>
                <w:bCs/>
                <w:noProof/>
                <w:color w:val="000000"/>
                <w:sz w:val="20"/>
                <w:highlight w:val="black"/>
              </w:rPr>
              <w:t xml:space="preserve"> '''''''''''''</w:t>
            </w:r>
            <w:r w:rsidR="001C5509" w:rsidRPr="00B05398">
              <w:rPr>
                <w:rFonts w:ascii="Arial Narrow" w:hAnsi="Arial Narrow"/>
                <w:bCs/>
                <w:sz w:val="20"/>
                <w:highlight w:val="black"/>
              </w:rPr>
              <w:t xml:space="preserve"> </w:t>
            </w:r>
          </w:p>
        </w:tc>
        <w:tc>
          <w:tcPr>
            <w:tcW w:w="693" w:type="pct"/>
            <w:shd w:val="clear" w:color="auto" w:fill="auto"/>
          </w:tcPr>
          <w:p w:rsidR="001C5509" w:rsidRPr="00B05398" w:rsidRDefault="00B05398" w:rsidP="000D2B3E">
            <w:pPr>
              <w:keepNext/>
              <w:keepLines/>
              <w:jc w:val="right"/>
              <w:rPr>
                <w:rFonts w:ascii="Arial Narrow" w:hAnsi="Arial Narrow"/>
                <w:bCs/>
                <w:sz w:val="20"/>
                <w:highlight w:val="black"/>
              </w:rPr>
            </w:pPr>
            <w:r>
              <w:rPr>
                <w:rFonts w:ascii="Arial Narrow" w:hAnsi="Arial Narrow"/>
                <w:bCs/>
                <w:noProof/>
                <w:color w:val="000000"/>
                <w:sz w:val="20"/>
                <w:highlight w:val="black"/>
              </w:rPr>
              <w:t xml:space="preserve"> ''''''''''''''</w:t>
            </w:r>
            <w:r w:rsidR="001C5509" w:rsidRPr="00B05398">
              <w:rPr>
                <w:rFonts w:ascii="Arial Narrow" w:hAnsi="Arial Narrow"/>
                <w:bCs/>
                <w:sz w:val="20"/>
                <w:highlight w:val="black"/>
              </w:rPr>
              <w:t xml:space="preserve"> </w:t>
            </w:r>
          </w:p>
        </w:tc>
        <w:tc>
          <w:tcPr>
            <w:tcW w:w="695" w:type="pct"/>
            <w:shd w:val="clear" w:color="auto" w:fill="auto"/>
          </w:tcPr>
          <w:p w:rsidR="001C5509" w:rsidRPr="00B05398" w:rsidRDefault="00B05398" w:rsidP="000D2B3E">
            <w:pPr>
              <w:keepNext/>
              <w:keepLines/>
              <w:jc w:val="right"/>
              <w:rPr>
                <w:rFonts w:ascii="Arial Narrow" w:hAnsi="Arial Narrow"/>
                <w:bCs/>
                <w:sz w:val="20"/>
                <w:highlight w:val="black"/>
              </w:rPr>
            </w:pPr>
            <w:r>
              <w:rPr>
                <w:rFonts w:ascii="Arial Narrow" w:hAnsi="Arial Narrow"/>
                <w:bCs/>
                <w:noProof/>
                <w:color w:val="000000"/>
                <w:sz w:val="20"/>
                <w:highlight w:val="black"/>
              </w:rPr>
              <w:t xml:space="preserve"> '''''''''''''</w:t>
            </w:r>
            <w:r w:rsidR="001C5509" w:rsidRPr="00B05398">
              <w:rPr>
                <w:rFonts w:ascii="Arial Narrow" w:hAnsi="Arial Narrow"/>
                <w:bCs/>
                <w:sz w:val="20"/>
                <w:highlight w:val="black"/>
              </w:rPr>
              <w:t xml:space="preserve"> </w:t>
            </w:r>
          </w:p>
        </w:tc>
      </w:tr>
      <w:tr w:rsidR="00C974DD" w:rsidRPr="00C974DD" w:rsidTr="000D2B3E">
        <w:tc>
          <w:tcPr>
            <w:tcW w:w="5000" w:type="pct"/>
            <w:gridSpan w:val="6"/>
            <w:shd w:val="clear" w:color="auto" w:fill="auto"/>
            <w:vAlign w:val="center"/>
          </w:tcPr>
          <w:p w:rsidR="001C5509" w:rsidRPr="007A6E7B" w:rsidRDefault="001C5509" w:rsidP="000D2B3E">
            <w:pPr>
              <w:keepNext/>
              <w:keepLines/>
              <w:rPr>
                <w:rFonts w:ascii="Arial Narrow" w:hAnsi="Arial Narrow"/>
                <w:b/>
                <w:bCs/>
                <w:sz w:val="20"/>
              </w:rPr>
            </w:pPr>
            <w:r w:rsidRPr="007A6E7B">
              <w:rPr>
                <w:rFonts w:ascii="Arial Narrow" w:hAnsi="Arial Narrow"/>
                <w:b/>
                <w:bCs/>
                <w:sz w:val="20"/>
              </w:rPr>
              <w:t>Estimated net cost to PBS/RPBS/MBS</w:t>
            </w:r>
          </w:p>
        </w:tc>
      </w:tr>
      <w:tr w:rsidR="00C974DD" w:rsidRPr="00C974DD" w:rsidTr="000D2B3E">
        <w:tc>
          <w:tcPr>
            <w:tcW w:w="1533" w:type="pct"/>
            <w:shd w:val="clear" w:color="auto" w:fill="auto"/>
            <w:vAlign w:val="center"/>
          </w:tcPr>
          <w:p w:rsidR="001C5509" w:rsidRPr="00C974DD" w:rsidRDefault="001C5509" w:rsidP="000D2B3E">
            <w:pPr>
              <w:keepNext/>
              <w:keepLines/>
              <w:tabs>
                <w:tab w:val="left" w:pos="142"/>
              </w:tabs>
              <w:rPr>
                <w:rFonts w:ascii="Arial Narrow" w:hAnsi="Arial Narrow"/>
                <w:sz w:val="20"/>
              </w:rPr>
            </w:pPr>
            <w:r w:rsidRPr="00C974DD">
              <w:rPr>
                <w:rFonts w:ascii="Arial Narrow" w:hAnsi="Arial Narrow"/>
                <w:sz w:val="19"/>
                <w:szCs w:val="19"/>
              </w:rPr>
              <w:t>Net cost to PBS/RPBS</w:t>
            </w:r>
          </w:p>
        </w:tc>
        <w:tc>
          <w:tcPr>
            <w:tcW w:w="693" w:type="pct"/>
            <w:shd w:val="clear" w:color="auto" w:fill="auto"/>
            <w:vAlign w:val="bottom"/>
          </w:tcPr>
          <w:p w:rsidR="001C5509" w:rsidRPr="007A6E7B" w:rsidRDefault="001C5509" w:rsidP="000D2B3E">
            <w:pPr>
              <w:keepNext/>
              <w:keepLines/>
              <w:jc w:val="right"/>
              <w:rPr>
                <w:rFonts w:ascii="Arial Narrow" w:hAnsi="Arial Narrow"/>
                <w:bCs/>
                <w:sz w:val="19"/>
                <w:szCs w:val="19"/>
              </w:rPr>
            </w:pPr>
            <w:r w:rsidRPr="007A6E7B">
              <w:rPr>
                <w:rFonts w:ascii="Arial Narrow" w:hAnsi="Arial Narrow"/>
                <w:bCs/>
                <w:sz w:val="19"/>
                <w:szCs w:val="19"/>
              </w:rPr>
              <w:t>$</w:t>
            </w:r>
            <w:r w:rsidR="00B05398">
              <w:rPr>
                <w:rFonts w:ascii="Arial Narrow" w:hAnsi="Arial Narrow"/>
                <w:bCs/>
                <w:noProof/>
                <w:color w:val="000000"/>
                <w:sz w:val="19"/>
                <w:szCs w:val="19"/>
                <w:highlight w:val="black"/>
              </w:rPr>
              <w:t>''''''''''''''''''''''''''</w:t>
            </w:r>
          </w:p>
        </w:tc>
        <w:tc>
          <w:tcPr>
            <w:tcW w:w="693" w:type="pct"/>
            <w:shd w:val="clear" w:color="auto" w:fill="auto"/>
            <w:vAlign w:val="bottom"/>
          </w:tcPr>
          <w:p w:rsidR="001C5509" w:rsidRPr="007A6E7B" w:rsidRDefault="001C5509" w:rsidP="000D2B3E">
            <w:pPr>
              <w:keepNext/>
              <w:keepLines/>
              <w:jc w:val="right"/>
              <w:rPr>
                <w:rFonts w:ascii="Arial Narrow" w:hAnsi="Arial Narrow"/>
                <w:bCs/>
                <w:sz w:val="19"/>
                <w:szCs w:val="19"/>
              </w:rPr>
            </w:pPr>
            <w:r w:rsidRPr="007A6E7B">
              <w:rPr>
                <w:rFonts w:ascii="Arial Narrow" w:hAnsi="Arial Narrow"/>
                <w:bCs/>
                <w:sz w:val="19"/>
                <w:szCs w:val="19"/>
              </w:rPr>
              <w:t>$</w:t>
            </w:r>
            <w:r w:rsidR="00B05398">
              <w:rPr>
                <w:rFonts w:ascii="Arial Narrow" w:hAnsi="Arial Narrow"/>
                <w:bCs/>
                <w:noProof/>
                <w:color w:val="000000"/>
                <w:sz w:val="19"/>
                <w:szCs w:val="19"/>
                <w:highlight w:val="black"/>
              </w:rPr>
              <w:t>'''''''''''''''''''''''</w:t>
            </w:r>
          </w:p>
        </w:tc>
        <w:tc>
          <w:tcPr>
            <w:tcW w:w="693" w:type="pct"/>
            <w:shd w:val="clear" w:color="auto" w:fill="auto"/>
            <w:vAlign w:val="bottom"/>
          </w:tcPr>
          <w:p w:rsidR="001C5509" w:rsidRPr="007A6E7B" w:rsidRDefault="001C5509" w:rsidP="000D2B3E">
            <w:pPr>
              <w:keepNext/>
              <w:keepLines/>
              <w:jc w:val="right"/>
              <w:rPr>
                <w:rFonts w:ascii="Arial Narrow" w:hAnsi="Arial Narrow"/>
                <w:bCs/>
                <w:sz w:val="19"/>
                <w:szCs w:val="19"/>
              </w:rPr>
            </w:pPr>
            <w:r w:rsidRPr="007A6E7B">
              <w:rPr>
                <w:rFonts w:ascii="Arial Narrow" w:hAnsi="Arial Narrow"/>
                <w:bCs/>
                <w:sz w:val="19"/>
                <w:szCs w:val="19"/>
              </w:rPr>
              <w:t>$</w:t>
            </w:r>
            <w:r w:rsidR="00B05398">
              <w:rPr>
                <w:rFonts w:ascii="Arial Narrow" w:hAnsi="Arial Narrow"/>
                <w:bCs/>
                <w:noProof/>
                <w:color w:val="000000"/>
                <w:sz w:val="19"/>
                <w:szCs w:val="19"/>
                <w:highlight w:val="black"/>
              </w:rPr>
              <w:t>'''''''''''''''''''''''''</w:t>
            </w:r>
          </w:p>
        </w:tc>
        <w:tc>
          <w:tcPr>
            <w:tcW w:w="693" w:type="pct"/>
            <w:shd w:val="clear" w:color="auto" w:fill="auto"/>
            <w:vAlign w:val="bottom"/>
          </w:tcPr>
          <w:p w:rsidR="001C5509" w:rsidRPr="007A6E7B" w:rsidRDefault="001C5509" w:rsidP="000D2B3E">
            <w:pPr>
              <w:keepNext/>
              <w:keepLines/>
              <w:jc w:val="right"/>
              <w:rPr>
                <w:rFonts w:ascii="Arial Narrow" w:hAnsi="Arial Narrow"/>
                <w:bCs/>
                <w:sz w:val="19"/>
                <w:szCs w:val="19"/>
              </w:rPr>
            </w:pPr>
            <w:r w:rsidRPr="007A6E7B">
              <w:rPr>
                <w:rFonts w:ascii="Arial Narrow" w:hAnsi="Arial Narrow"/>
                <w:bCs/>
                <w:sz w:val="19"/>
                <w:szCs w:val="19"/>
              </w:rPr>
              <w:t>$</w:t>
            </w:r>
            <w:r w:rsidR="00B05398">
              <w:rPr>
                <w:rFonts w:ascii="Arial Narrow" w:hAnsi="Arial Narrow"/>
                <w:bCs/>
                <w:noProof/>
                <w:color w:val="000000"/>
                <w:sz w:val="19"/>
                <w:szCs w:val="19"/>
                <w:highlight w:val="black"/>
              </w:rPr>
              <w:t>''''''''''''''''''''''</w:t>
            </w:r>
          </w:p>
        </w:tc>
        <w:tc>
          <w:tcPr>
            <w:tcW w:w="695" w:type="pct"/>
            <w:shd w:val="clear" w:color="auto" w:fill="auto"/>
            <w:vAlign w:val="bottom"/>
          </w:tcPr>
          <w:p w:rsidR="001C5509" w:rsidRPr="007A6E7B" w:rsidRDefault="001C5509" w:rsidP="000D2B3E">
            <w:pPr>
              <w:keepNext/>
              <w:keepLines/>
              <w:jc w:val="right"/>
              <w:rPr>
                <w:rFonts w:ascii="Arial Narrow" w:hAnsi="Arial Narrow"/>
                <w:bCs/>
                <w:sz w:val="19"/>
                <w:szCs w:val="19"/>
              </w:rPr>
            </w:pPr>
            <w:r w:rsidRPr="007A6E7B">
              <w:rPr>
                <w:rFonts w:ascii="Arial Narrow" w:hAnsi="Arial Narrow"/>
                <w:bCs/>
                <w:sz w:val="19"/>
                <w:szCs w:val="19"/>
              </w:rPr>
              <w:t>$</w:t>
            </w:r>
            <w:r w:rsidR="00B05398">
              <w:rPr>
                <w:rFonts w:ascii="Arial Narrow" w:hAnsi="Arial Narrow"/>
                <w:bCs/>
                <w:noProof/>
                <w:color w:val="000000"/>
                <w:sz w:val="19"/>
                <w:szCs w:val="19"/>
                <w:highlight w:val="black"/>
              </w:rPr>
              <w:t>'''''''''''''''''''''''''</w:t>
            </w:r>
          </w:p>
        </w:tc>
      </w:tr>
      <w:tr w:rsidR="00C974DD" w:rsidRPr="00C974DD" w:rsidTr="000D2B3E">
        <w:tc>
          <w:tcPr>
            <w:tcW w:w="1533" w:type="pct"/>
            <w:shd w:val="clear" w:color="auto" w:fill="auto"/>
            <w:vAlign w:val="center"/>
          </w:tcPr>
          <w:p w:rsidR="001C5509" w:rsidRPr="00C974DD" w:rsidRDefault="001C5509" w:rsidP="000D2B3E">
            <w:pPr>
              <w:keepNext/>
              <w:keepLines/>
              <w:tabs>
                <w:tab w:val="left" w:pos="142"/>
              </w:tabs>
              <w:rPr>
                <w:rFonts w:ascii="Arial Narrow" w:hAnsi="Arial Narrow"/>
                <w:sz w:val="20"/>
              </w:rPr>
            </w:pPr>
            <w:r w:rsidRPr="00C974DD">
              <w:rPr>
                <w:rFonts w:ascii="Arial Narrow" w:hAnsi="Arial Narrow"/>
                <w:sz w:val="19"/>
                <w:szCs w:val="19"/>
              </w:rPr>
              <w:t>Net cost to MBS</w:t>
            </w:r>
          </w:p>
        </w:tc>
        <w:tc>
          <w:tcPr>
            <w:tcW w:w="693" w:type="pct"/>
            <w:shd w:val="clear" w:color="auto" w:fill="auto"/>
            <w:vAlign w:val="bottom"/>
          </w:tcPr>
          <w:p w:rsidR="001C5509" w:rsidRPr="007A6E7B" w:rsidRDefault="001C5509" w:rsidP="000D2B3E">
            <w:pPr>
              <w:keepNext/>
              <w:keepLines/>
              <w:jc w:val="right"/>
              <w:rPr>
                <w:rFonts w:ascii="Arial Narrow" w:hAnsi="Arial Narrow"/>
                <w:bCs/>
                <w:sz w:val="19"/>
                <w:szCs w:val="19"/>
              </w:rPr>
            </w:pPr>
            <w:r w:rsidRPr="007A6E7B">
              <w:rPr>
                <w:rFonts w:ascii="Arial Narrow" w:hAnsi="Arial Narrow"/>
                <w:bCs/>
                <w:sz w:val="19"/>
                <w:szCs w:val="19"/>
              </w:rPr>
              <w:t>-$</w:t>
            </w:r>
            <w:r w:rsidR="00B05398">
              <w:rPr>
                <w:rFonts w:ascii="Arial Narrow" w:hAnsi="Arial Narrow"/>
                <w:bCs/>
                <w:noProof/>
                <w:color w:val="000000"/>
                <w:sz w:val="19"/>
                <w:szCs w:val="19"/>
                <w:highlight w:val="black"/>
              </w:rPr>
              <w:t>'''''''''''''</w:t>
            </w:r>
          </w:p>
        </w:tc>
        <w:tc>
          <w:tcPr>
            <w:tcW w:w="693" w:type="pct"/>
            <w:shd w:val="clear" w:color="auto" w:fill="auto"/>
            <w:vAlign w:val="bottom"/>
          </w:tcPr>
          <w:p w:rsidR="001C5509" w:rsidRPr="007A6E7B" w:rsidRDefault="001C5509" w:rsidP="000D2B3E">
            <w:pPr>
              <w:keepNext/>
              <w:keepLines/>
              <w:jc w:val="right"/>
              <w:rPr>
                <w:rFonts w:ascii="Arial Narrow" w:hAnsi="Arial Narrow"/>
                <w:bCs/>
                <w:sz w:val="19"/>
                <w:szCs w:val="19"/>
              </w:rPr>
            </w:pPr>
            <w:r w:rsidRPr="007A6E7B">
              <w:rPr>
                <w:rFonts w:ascii="Arial Narrow" w:hAnsi="Arial Narrow"/>
                <w:bCs/>
                <w:sz w:val="19"/>
                <w:szCs w:val="19"/>
              </w:rPr>
              <w:t>-$</w:t>
            </w:r>
            <w:r w:rsidR="00B05398">
              <w:rPr>
                <w:rFonts w:ascii="Arial Narrow" w:hAnsi="Arial Narrow"/>
                <w:bCs/>
                <w:noProof/>
                <w:color w:val="000000"/>
                <w:sz w:val="19"/>
                <w:szCs w:val="19"/>
                <w:highlight w:val="black"/>
              </w:rPr>
              <w:t>''''''''''''</w:t>
            </w:r>
          </w:p>
        </w:tc>
        <w:tc>
          <w:tcPr>
            <w:tcW w:w="693" w:type="pct"/>
            <w:shd w:val="clear" w:color="auto" w:fill="auto"/>
            <w:vAlign w:val="bottom"/>
          </w:tcPr>
          <w:p w:rsidR="001C5509" w:rsidRPr="007A6E7B" w:rsidRDefault="001C5509" w:rsidP="000D2B3E">
            <w:pPr>
              <w:keepNext/>
              <w:keepLines/>
              <w:jc w:val="right"/>
              <w:rPr>
                <w:rFonts w:ascii="Arial Narrow" w:hAnsi="Arial Narrow"/>
                <w:bCs/>
                <w:sz w:val="19"/>
                <w:szCs w:val="19"/>
              </w:rPr>
            </w:pPr>
            <w:r w:rsidRPr="007A6E7B">
              <w:rPr>
                <w:rFonts w:ascii="Arial Narrow" w:hAnsi="Arial Narrow"/>
                <w:bCs/>
                <w:sz w:val="19"/>
                <w:szCs w:val="19"/>
              </w:rPr>
              <w:t>-$</w:t>
            </w:r>
            <w:r w:rsidR="00B05398">
              <w:rPr>
                <w:rFonts w:ascii="Arial Narrow" w:hAnsi="Arial Narrow"/>
                <w:bCs/>
                <w:noProof/>
                <w:color w:val="000000"/>
                <w:sz w:val="19"/>
                <w:szCs w:val="19"/>
                <w:highlight w:val="black"/>
              </w:rPr>
              <w:t>''''''''''''</w:t>
            </w:r>
          </w:p>
        </w:tc>
        <w:tc>
          <w:tcPr>
            <w:tcW w:w="693" w:type="pct"/>
            <w:shd w:val="clear" w:color="auto" w:fill="auto"/>
            <w:vAlign w:val="bottom"/>
          </w:tcPr>
          <w:p w:rsidR="001C5509" w:rsidRPr="007A6E7B" w:rsidRDefault="001C5509" w:rsidP="000D2B3E">
            <w:pPr>
              <w:keepNext/>
              <w:keepLines/>
              <w:jc w:val="right"/>
              <w:rPr>
                <w:rFonts w:ascii="Arial Narrow" w:hAnsi="Arial Narrow"/>
                <w:bCs/>
                <w:sz w:val="19"/>
                <w:szCs w:val="19"/>
              </w:rPr>
            </w:pPr>
            <w:r w:rsidRPr="007A6E7B">
              <w:rPr>
                <w:rFonts w:ascii="Arial Narrow" w:hAnsi="Arial Narrow"/>
                <w:bCs/>
                <w:sz w:val="19"/>
                <w:szCs w:val="19"/>
              </w:rPr>
              <w:t>-$</w:t>
            </w:r>
            <w:r w:rsidR="00B05398">
              <w:rPr>
                <w:rFonts w:ascii="Arial Narrow" w:hAnsi="Arial Narrow"/>
                <w:bCs/>
                <w:noProof/>
                <w:color w:val="000000"/>
                <w:sz w:val="19"/>
                <w:szCs w:val="19"/>
                <w:highlight w:val="black"/>
              </w:rPr>
              <w:t>'''''''''''''</w:t>
            </w:r>
          </w:p>
        </w:tc>
        <w:tc>
          <w:tcPr>
            <w:tcW w:w="695" w:type="pct"/>
            <w:shd w:val="clear" w:color="auto" w:fill="auto"/>
            <w:vAlign w:val="bottom"/>
          </w:tcPr>
          <w:p w:rsidR="001C5509" w:rsidRPr="007A6E7B" w:rsidRDefault="001C5509" w:rsidP="000D2B3E">
            <w:pPr>
              <w:keepNext/>
              <w:keepLines/>
              <w:jc w:val="right"/>
              <w:rPr>
                <w:rFonts w:ascii="Arial Narrow" w:hAnsi="Arial Narrow"/>
                <w:bCs/>
                <w:sz w:val="19"/>
                <w:szCs w:val="19"/>
              </w:rPr>
            </w:pPr>
            <w:r w:rsidRPr="007A6E7B">
              <w:rPr>
                <w:rFonts w:ascii="Arial Narrow" w:hAnsi="Arial Narrow"/>
                <w:bCs/>
                <w:sz w:val="19"/>
                <w:szCs w:val="19"/>
              </w:rPr>
              <w:t>-$</w:t>
            </w:r>
            <w:r w:rsidR="00B05398">
              <w:rPr>
                <w:rFonts w:ascii="Arial Narrow" w:hAnsi="Arial Narrow"/>
                <w:bCs/>
                <w:noProof/>
                <w:color w:val="000000"/>
                <w:sz w:val="19"/>
                <w:szCs w:val="19"/>
                <w:highlight w:val="black"/>
              </w:rPr>
              <w:t>'''''''''''''''</w:t>
            </w:r>
          </w:p>
        </w:tc>
      </w:tr>
      <w:tr w:rsidR="00C974DD" w:rsidRPr="00C974DD" w:rsidTr="000D2B3E">
        <w:tc>
          <w:tcPr>
            <w:tcW w:w="5000" w:type="pct"/>
            <w:gridSpan w:val="6"/>
            <w:shd w:val="clear" w:color="auto" w:fill="auto"/>
            <w:vAlign w:val="center"/>
          </w:tcPr>
          <w:p w:rsidR="001C5509" w:rsidRPr="007A6E7B" w:rsidRDefault="001C5509" w:rsidP="000D2B3E">
            <w:pPr>
              <w:keepNext/>
              <w:keepLines/>
              <w:rPr>
                <w:rFonts w:ascii="Arial Narrow" w:hAnsi="Arial Narrow"/>
                <w:b/>
                <w:sz w:val="20"/>
              </w:rPr>
            </w:pPr>
            <w:r w:rsidRPr="007A6E7B">
              <w:rPr>
                <w:rFonts w:ascii="Arial Narrow" w:hAnsi="Arial Narrow"/>
                <w:b/>
                <w:sz w:val="20"/>
              </w:rPr>
              <w:t>Estimated total net cost</w:t>
            </w:r>
          </w:p>
        </w:tc>
      </w:tr>
      <w:tr w:rsidR="00C974DD" w:rsidRPr="00C974DD" w:rsidTr="000D2B3E">
        <w:tc>
          <w:tcPr>
            <w:tcW w:w="1533" w:type="pct"/>
            <w:shd w:val="clear" w:color="auto" w:fill="auto"/>
            <w:vAlign w:val="center"/>
          </w:tcPr>
          <w:p w:rsidR="001C5509" w:rsidRPr="00C974DD" w:rsidRDefault="001C5509" w:rsidP="000D2B3E">
            <w:pPr>
              <w:keepNext/>
              <w:keepLines/>
              <w:tabs>
                <w:tab w:val="left" w:pos="142"/>
              </w:tabs>
              <w:rPr>
                <w:rFonts w:ascii="Arial Narrow" w:hAnsi="Arial Narrow"/>
                <w:b/>
                <w:sz w:val="20"/>
              </w:rPr>
            </w:pPr>
            <w:r w:rsidRPr="00C974DD">
              <w:rPr>
                <w:rFonts w:ascii="Arial Narrow" w:hAnsi="Arial Narrow"/>
                <w:b/>
                <w:bCs/>
                <w:sz w:val="20"/>
              </w:rPr>
              <w:t>Net cost to PBS/RPBS/MBS</w:t>
            </w:r>
          </w:p>
        </w:tc>
        <w:tc>
          <w:tcPr>
            <w:tcW w:w="693" w:type="pct"/>
            <w:shd w:val="clear" w:color="auto" w:fill="auto"/>
            <w:vAlign w:val="center"/>
          </w:tcPr>
          <w:p w:rsidR="001C5509" w:rsidRPr="007A6E7B" w:rsidRDefault="001C5509" w:rsidP="000D2B3E">
            <w:pPr>
              <w:keepNext/>
              <w:keepLines/>
              <w:jc w:val="right"/>
              <w:rPr>
                <w:rFonts w:ascii="Arial Narrow" w:hAnsi="Arial Narrow"/>
                <w:b/>
                <w:bCs/>
                <w:sz w:val="20"/>
              </w:rPr>
            </w:pPr>
            <w:r w:rsidRPr="007A6E7B">
              <w:rPr>
                <w:rFonts w:ascii="Arial Narrow" w:hAnsi="Arial Narrow"/>
                <w:b/>
                <w:bCs/>
                <w:sz w:val="20"/>
              </w:rPr>
              <w:t>$</w:t>
            </w:r>
            <w:r w:rsidR="00B05398">
              <w:rPr>
                <w:rFonts w:ascii="Arial Narrow" w:hAnsi="Arial Narrow"/>
                <w:b/>
                <w:bCs/>
                <w:noProof/>
                <w:color w:val="000000"/>
                <w:sz w:val="20"/>
                <w:highlight w:val="black"/>
              </w:rPr>
              <w:t>'''''''''''''''''''</w:t>
            </w:r>
          </w:p>
        </w:tc>
        <w:tc>
          <w:tcPr>
            <w:tcW w:w="693" w:type="pct"/>
            <w:shd w:val="clear" w:color="auto" w:fill="auto"/>
            <w:vAlign w:val="center"/>
          </w:tcPr>
          <w:p w:rsidR="001C5509" w:rsidRPr="007A6E7B" w:rsidRDefault="001C5509" w:rsidP="000D2B3E">
            <w:pPr>
              <w:keepNext/>
              <w:keepLines/>
              <w:jc w:val="right"/>
              <w:rPr>
                <w:rFonts w:ascii="Arial Narrow" w:hAnsi="Arial Narrow"/>
                <w:b/>
                <w:bCs/>
                <w:sz w:val="20"/>
              </w:rPr>
            </w:pPr>
            <w:r w:rsidRPr="007A6E7B">
              <w:rPr>
                <w:rFonts w:ascii="Arial Narrow" w:hAnsi="Arial Narrow"/>
                <w:b/>
                <w:bCs/>
                <w:sz w:val="20"/>
              </w:rPr>
              <w:t>$</w:t>
            </w:r>
            <w:r w:rsidR="00B05398">
              <w:rPr>
                <w:rFonts w:ascii="Arial Narrow" w:hAnsi="Arial Narrow"/>
                <w:b/>
                <w:bCs/>
                <w:noProof/>
                <w:color w:val="000000"/>
                <w:sz w:val="20"/>
                <w:highlight w:val="black"/>
              </w:rPr>
              <w:t>''''''''''''''''''''</w:t>
            </w:r>
          </w:p>
        </w:tc>
        <w:tc>
          <w:tcPr>
            <w:tcW w:w="693" w:type="pct"/>
            <w:shd w:val="clear" w:color="auto" w:fill="auto"/>
            <w:vAlign w:val="center"/>
          </w:tcPr>
          <w:p w:rsidR="001C5509" w:rsidRPr="007A6E7B" w:rsidRDefault="001C5509" w:rsidP="000D2B3E">
            <w:pPr>
              <w:keepNext/>
              <w:keepLines/>
              <w:jc w:val="right"/>
              <w:rPr>
                <w:rFonts w:ascii="Arial Narrow" w:hAnsi="Arial Narrow"/>
                <w:b/>
                <w:bCs/>
                <w:sz w:val="20"/>
              </w:rPr>
            </w:pPr>
            <w:r w:rsidRPr="007A6E7B">
              <w:rPr>
                <w:rFonts w:ascii="Arial Narrow" w:hAnsi="Arial Narrow"/>
                <w:b/>
                <w:bCs/>
                <w:sz w:val="20"/>
              </w:rPr>
              <w:t>$</w:t>
            </w:r>
            <w:r w:rsidR="00B05398">
              <w:rPr>
                <w:rFonts w:ascii="Arial Narrow" w:hAnsi="Arial Narrow"/>
                <w:b/>
                <w:bCs/>
                <w:noProof/>
                <w:color w:val="000000"/>
                <w:sz w:val="20"/>
                <w:highlight w:val="black"/>
              </w:rPr>
              <w:t>'''''''''''''''''''</w:t>
            </w:r>
          </w:p>
        </w:tc>
        <w:tc>
          <w:tcPr>
            <w:tcW w:w="693" w:type="pct"/>
            <w:shd w:val="clear" w:color="auto" w:fill="auto"/>
            <w:vAlign w:val="center"/>
          </w:tcPr>
          <w:p w:rsidR="001C5509" w:rsidRPr="007A6E7B" w:rsidRDefault="001C5509" w:rsidP="000D2B3E">
            <w:pPr>
              <w:keepNext/>
              <w:keepLines/>
              <w:jc w:val="right"/>
              <w:rPr>
                <w:rFonts w:ascii="Arial Narrow" w:hAnsi="Arial Narrow"/>
                <w:b/>
                <w:bCs/>
                <w:sz w:val="20"/>
              </w:rPr>
            </w:pPr>
            <w:r w:rsidRPr="007A6E7B">
              <w:rPr>
                <w:rFonts w:ascii="Arial Narrow" w:hAnsi="Arial Narrow"/>
                <w:b/>
                <w:bCs/>
                <w:sz w:val="20"/>
              </w:rPr>
              <w:t>$</w:t>
            </w:r>
            <w:r w:rsidR="00B05398">
              <w:rPr>
                <w:rFonts w:ascii="Arial Narrow" w:hAnsi="Arial Narrow"/>
                <w:b/>
                <w:bCs/>
                <w:noProof/>
                <w:color w:val="000000"/>
                <w:sz w:val="20"/>
                <w:highlight w:val="black"/>
              </w:rPr>
              <w:t>'''''''''''''''''''''</w:t>
            </w:r>
          </w:p>
        </w:tc>
        <w:tc>
          <w:tcPr>
            <w:tcW w:w="695" w:type="pct"/>
            <w:shd w:val="clear" w:color="auto" w:fill="auto"/>
            <w:vAlign w:val="center"/>
          </w:tcPr>
          <w:p w:rsidR="001C5509" w:rsidRPr="007A6E7B" w:rsidRDefault="001C5509" w:rsidP="000D2B3E">
            <w:pPr>
              <w:keepNext/>
              <w:keepLines/>
              <w:jc w:val="right"/>
              <w:rPr>
                <w:rFonts w:ascii="Arial Narrow" w:hAnsi="Arial Narrow"/>
                <w:b/>
                <w:bCs/>
                <w:sz w:val="20"/>
              </w:rPr>
            </w:pPr>
            <w:r w:rsidRPr="007A6E7B">
              <w:rPr>
                <w:rFonts w:ascii="Arial Narrow" w:hAnsi="Arial Narrow"/>
                <w:b/>
                <w:bCs/>
                <w:sz w:val="20"/>
              </w:rPr>
              <w:t>$</w:t>
            </w:r>
            <w:r w:rsidR="00B05398">
              <w:rPr>
                <w:rFonts w:ascii="Arial Narrow" w:hAnsi="Arial Narrow"/>
                <w:b/>
                <w:bCs/>
                <w:noProof/>
                <w:color w:val="000000"/>
                <w:sz w:val="20"/>
                <w:highlight w:val="black"/>
              </w:rPr>
              <w:t>''''''''''''''''''''</w:t>
            </w:r>
          </w:p>
        </w:tc>
      </w:tr>
    </w:tbl>
    <w:p w:rsidR="001C5509" w:rsidRPr="00C974DD" w:rsidRDefault="001C5509" w:rsidP="000D2B3E">
      <w:pPr>
        <w:keepNext/>
        <w:keepLines/>
        <w:rPr>
          <w:rFonts w:ascii="Arial Narrow" w:hAnsi="Arial Narrow"/>
          <w:sz w:val="18"/>
        </w:rPr>
      </w:pPr>
      <w:r w:rsidRPr="00C974DD">
        <w:rPr>
          <w:rFonts w:ascii="Arial Narrow" w:hAnsi="Arial Narrow"/>
          <w:sz w:val="18"/>
        </w:rPr>
        <w:t>Source: Commentary Table 8, p11; Submission Tables E-7 and E-12, pp 194 and 199</w:t>
      </w:r>
    </w:p>
    <w:p w:rsidR="001C5509" w:rsidRPr="00C974DD" w:rsidRDefault="001C5509" w:rsidP="000D2B3E">
      <w:pPr>
        <w:keepNext/>
        <w:keepLines/>
        <w:rPr>
          <w:rFonts w:ascii="Arial Narrow" w:hAnsi="Arial Narrow"/>
          <w:sz w:val="18"/>
        </w:rPr>
      </w:pPr>
      <w:r w:rsidRPr="00C974DD">
        <w:rPr>
          <w:rFonts w:ascii="Arial Narrow" w:hAnsi="Arial Narrow"/>
          <w:sz w:val="18"/>
        </w:rPr>
        <w:t>MBS = Medicare Benefits Schedule; PBS = pharmaceutical benefits scheme; RPBS = repatriation pharmaceutical benefits scheme</w:t>
      </w:r>
    </w:p>
    <w:p w:rsidR="001C5509" w:rsidRDefault="001C5509" w:rsidP="000D2B3E">
      <w:pPr>
        <w:keepNext/>
        <w:keepLines/>
        <w:rPr>
          <w:rFonts w:ascii="Arial Narrow" w:hAnsi="Arial Narrow"/>
          <w:sz w:val="18"/>
        </w:rPr>
      </w:pPr>
      <w:r w:rsidRPr="00C974DD">
        <w:rPr>
          <w:rFonts w:ascii="Arial Narrow" w:hAnsi="Arial Narrow"/>
          <w:sz w:val="18"/>
          <w:vertAlign w:val="superscript"/>
        </w:rPr>
        <w:t>a</w:t>
      </w:r>
      <w:r w:rsidRPr="00C974DD">
        <w:rPr>
          <w:rFonts w:ascii="Arial Narrow" w:hAnsi="Arial Narrow"/>
          <w:sz w:val="18"/>
        </w:rPr>
        <w:t xml:space="preserve"> Assumed </w:t>
      </w:r>
      <w:r w:rsidR="00B05398">
        <w:rPr>
          <w:rFonts w:ascii="Arial Narrow" w:hAnsi="Arial Narrow"/>
          <w:noProof/>
          <w:color w:val="000000"/>
          <w:sz w:val="18"/>
          <w:highlight w:val="black"/>
        </w:rPr>
        <w:t>''''''''''</w:t>
      </w:r>
      <w:r w:rsidRPr="00C974DD">
        <w:rPr>
          <w:rFonts w:ascii="Arial Narrow" w:hAnsi="Arial Narrow"/>
          <w:sz w:val="18"/>
        </w:rPr>
        <w:t xml:space="preserve"> scripts per year as estimated by the submission.</w:t>
      </w:r>
    </w:p>
    <w:p w:rsidR="0027576E" w:rsidRDefault="0027576E" w:rsidP="005441DD">
      <w:pPr>
        <w:pStyle w:val="ListParagraph"/>
        <w:rPr>
          <w:rFonts w:ascii="Arial Narrow" w:hAnsi="Arial Narrow"/>
          <w:sz w:val="18"/>
        </w:rPr>
      </w:pPr>
    </w:p>
    <w:p w:rsidR="0027576E" w:rsidRPr="00C974DD" w:rsidRDefault="0027576E" w:rsidP="005441DD">
      <w:pPr>
        <w:pStyle w:val="ListParagraph"/>
        <w:numPr>
          <w:ilvl w:val="1"/>
          <w:numId w:val="15"/>
        </w:numPr>
        <w:rPr>
          <w:rFonts w:ascii="Arial Narrow" w:hAnsi="Arial Narrow"/>
          <w:sz w:val="16"/>
          <w:szCs w:val="18"/>
        </w:rPr>
      </w:pPr>
      <w:r>
        <w:t>The redacted table above shows that the estimated net cost to government would be</w:t>
      </w:r>
      <w:r w:rsidR="005441DD">
        <w:t xml:space="preserve"> less than </w:t>
      </w:r>
      <w:r>
        <w:t>$10 million per year in years 1-5</w:t>
      </w:r>
    </w:p>
    <w:p w:rsidR="00576972" w:rsidRPr="00C974DD" w:rsidRDefault="00576972" w:rsidP="00576972">
      <w:pPr>
        <w:rPr>
          <w:szCs w:val="22"/>
        </w:rPr>
      </w:pPr>
    </w:p>
    <w:p w:rsidR="00D01D29" w:rsidRPr="00C974DD" w:rsidRDefault="00D01D29" w:rsidP="00415F1F">
      <w:pPr>
        <w:pStyle w:val="ListParagraph"/>
        <w:numPr>
          <w:ilvl w:val="1"/>
          <w:numId w:val="15"/>
        </w:numPr>
        <w:rPr>
          <w:szCs w:val="22"/>
        </w:rPr>
      </w:pPr>
      <w:r w:rsidRPr="00C974DD">
        <w:rPr>
          <w:szCs w:val="22"/>
        </w:rPr>
        <w:t xml:space="preserve">The PBAC noted that the pre-PBAC response acknowledged the advice of DUSC and provided revised estimates, resulting in a slightly higher number of patients than presented in the submission.    </w:t>
      </w:r>
    </w:p>
    <w:p w:rsidR="00D01D29" w:rsidRPr="00C974DD" w:rsidRDefault="00D01D29" w:rsidP="00576972">
      <w:pPr>
        <w:rPr>
          <w:szCs w:val="22"/>
        </w:rPr>
      </w:pPr>
    </w:p>
    <w:p w:rsidR="00576972" w:rsidRPr="005F67C0" w:rsidRDefault="00576972" w:rsidP="002C2775">
      <w:pPr>
        <w:pStyle w:val="Heading2"/>
        <w:rPr>
          <w:szCs w:val="22"/>
        </w:rPr>
      </w:pPr>
      <w:bookmarkStart w:id="14" w:name="_Toc409517497"/>
      <w:r w:rsidRPr="005F67C0">
        <w:t>Financial Management – Risk Sharing Arrangements</w:t>
      </w:r>
      <w:bookmarkEnd w:id="14"/>
    </w:p>
    <w:p w:rsidR="00C25D9C" w:rsidRPr="00C974DD" w:rsidRDefault="00C25D9C" w:rsidP="004C3837">
      <w:pPr>
        <w:rPr>
          <w:szCs w:val="22"/>
        </w:rPr>
      </w:pPr>
    </w:p>
    <w:p w:rsidR="00C25D9C" w:rsidRPr="00C974DD" w:rsidRDefault="00AD083A" w:rsidP="004C3837">
      <w:pPr>
        <w:pStyle w:val="ListParagraph"/>
        <w:numPr>
          <w:ilvl w:val="1"/>
          <w:numId w:val="15"/>
        </w:numPr>
        <w:rPr>
          <w:szCs w:val="22"/>
        </w:rPr>
      </w:pPr>
      <w:r w:rsidRPr="00C974DD">
        <w:rPr>
          <w:szCs w:val="22"/>
        </w:rPr>
        <w:t>The submission d</w:t>
      </w:r>
      <w:r w:rsidR="00033701" w:rsidRPr="00C974DD">
        <w:rPr>
          <w:szCs w:val="22"/>
        </w:rPr>
        <w:t>id</w:t>
      </w:r>
      <w:r w:rsidRPr="00C974DD">
        <w:rPr>
          <w:szCs w:val="22"/>
        </w:rPr>
        <w:t xml:space="preserve"> not state that the sponsor </w:t>
      </w:r>
      <w:r w:rsidR="007025D4" w:rsidRPr="00C974DD">
        <w:rPr>
          <w:szCs w:val="22"/>
        </w:rPr>
        <w:t xml:space="preserve">would be </w:t>
      </w:r>
      <w:r w:rsidRPr="00C974DD">
        <w:rPr>
          <w:szCs w:val="22"/>
        </w:rPr>
        <w:t>willing to undertake a risk sharing arrangement</w:t>
      </w:r>
      <w:r w:rsidR="00FC6D02" w:rsidRPr="00C974DD">
        <w:rPr>
          <w:szCs w:val="22"/>
        </w:rPr>
        <w:t>.</w:t>
      </w:r>
      <w:r w:rsidR="00890C83" w:rsidRPr="00C974DD">
        <w:rPr>
          <w:szCs w:val="22"/>
        </w:rPr>
        <w:t xml:space="preserve"> </w:t>
      </w:r>
    </w:p>
    <w:p w:rsidR="004C0BFB" w:rsidRPr="00C974DD" w:rsidRDefault="004C0BFB" w:rsidP="000D2B3E">
      <w:pPr>
        <w:pStyle w:val="ListParagraph"/>
        <w:rPr>
          <w:szCs w:val="22"/>
        </w:rPr>
      </w:pPr>
    </w:p>
    <w:p w:rsidR="003F6E26" w:rsidRPr="00C974DD" w:rsidRDefault="003F6E26" w:rsidP="000D2B3E">
      <w:pPr>
        <w:pStyle w:val="ListParagraph"/>
        <w:rPr>
          <w:szCs w:val="22"/>
        </w:rPr>
      </w:pPr>
    </w:p>
    <w:p w:rsidR="004C0BFB" w:rsidRPr="00C974DD" w:rsidRDefault="004C0BFB" w:rsidP="008F17F0">
      <w:pPr>
        <w:pStyle w:val="PBACHeading1"/>
      </w:pPr>
      <w:r w:rsidRPr="00C974DD">
        <w:t>PBAC Outcome</w:t>
      </w:r>
    </w:p>
    <w:p w:rsidR="004C0BFB" w:rsidRPr="00C974DD" w:rsidRDefault="004C0BFB">
      <w:pPr>
        <w:contextualSpacing/>
        <w:rPr>
          <w:b/>
          <w:bCs/>
          <w:szCs w:val="22"/>
          <w:lang w:val="en-GB"/>
        </w:rPr>
      </w:pPr>
    </w:p>
    <w:p w:rsidR="002E76C3" w:rsidRPr="00C974DD" w:rsidRDefault="002E76C3" w:rsidP="001C2448">
      <w:pPr>
        <w:pStyle w:val="ListParagraph"/>
        <w:widowControl w:val="0"/>
        <w:numPr>
          <w:ilvl w:val="1"/>
          <w:numId w:val="15"/>
        </w:numPr>
        <w:rPr>
          <w:bCs/>
          <w:szCs w:val="22"/>
          <w:lang w:val="en-GB"/>
        </w:rPr>
      </w:pPr>
      <w:r w:rsidRPr="00C974DD">
        <w:rPr>
          <w:bCs/>
          <w:szCs w:val="22"/>
          <w:lang w:val="en-GB"/>
        </w:rPr>
        <w:t xml:space="preserve">The PBAC </w:t>
      </w:r>
      <w:r w:rsidR="00990374" w:rsidRPr="00C974DD">
        <w:rPr>
          <w:bCs/>
          <w:szCs w:val="22"/>
          <w:lang w:val="en-GB"/>
        </w:rPr>
        <w:t xml:space="preserve">did not recommend the listing of </w:t>
      </w:r>
      <w:r w:rsidRPr="00C974DD">
        <w:rPr>
          <w:bCs/>
          <w:szCs w:val="22"/>
          <w:lang w:val="en-GB"/>
        </w:rPr>
        <w:t>idelalisib for the treatment of patients with</w:t>
      </w:r>
      <w:r w:rsidRPr="00C974DD">
        <w:t xml:space="preserve"> </w:t>
      </w:r>
      <w:r w:rsidRPr="00C974DD">
        <w:rPr>
          <w:bCs/>
          <w:szCs w:val="22"/>
          <w:lang w:val="en-GB"/>
        </w:rPr>
        <w:t xml:space="preserve">indolent NHL on the basis that the </w:t>
      </w:r>
      <w:r w:rsidR="00A61C88" w:rsidRPr="00C974DD">
        <w:rPr>
          <w:bCs/>
          <w:szCs w:val="22"/>
          <w:lang w:val="en-GB"/>
        </w:rPr>
        <w:t>comparative effectiveness could not be</w:t>
      </w:r>
      <w:r w:rsidR="00C75DB4" w:rsidRPr="00C974DD">
        <w:rPr>
          <w:bCs/>
          <w:szCs w:val="22"/>
          <w:lang w:val="en-GB"/>
        </w:rPr>
        <w:t xml:space="preserve"> established because the submission</w:t>
      </w:r>
      <w:r w:rsidR="00A61C88" w:rsidRPr="00C974DD">
        <w:rPr>
          <w:bCs/>
          <w:szCs w:val="22"/>
          <w:lang w:val="en-GB"/>
        </w:rPr>
        <w:t xml:space="preserve"> had not provided </w:t>
      </w:r>
      <w:r w:rsidR="00C75DB4" w:rsidRPr="00C974DD">
        <w:rPr>
          <w:bCs/>
          <w:szCs w:val="22"/>
          <w:lang w:val="en-GB"/>
        </w:rPr>
        <w:t xml:space="preserve">information about </w:t>
      </w:r>
      <w:r w:rsidR="00A61C88" w:rsidRPr="00C974DD">
        <w:rPr>
          <w:bCs/>
          <w:szCs w:val="22"/>
          <w:lang w:val="en-GB"/>
        </w:rPr>
        <w:t xml:space="preserve">a comparable population treated with best supportive care. </w:t>
      </w:r>
      <w:r w:rsidR="00990374" w:rsidRPr="00C974DD">
        <w:rPr>
          <w:bCs/>
          <w:szCs w:val="22"/>
          <w:lang w:val="en-GB"/>
        </w:rPr>
        <w:t xml:space="preserve">Therefore the </w:t>
      </w:r>
      <w:r w:rsidR="008F3D47" w:rsidRPr="00C974DD">
        <w:rPr>
          <w:bCs/>
          <w:szCs w:val="22"/>
          <w:lang w:val="en-GB"/>
        </w:rPr>
        <w:t>cost</w:t>
      </w:r>
      <w:r w:rsidR="008F3D47" w:rsidRPr="00C974DD">
        <w:rPr>
          <w:bCs/>
          <w:szCs w:val="22"/>
          <w:lang w:val="en-GB"/>
        </w:rPr>
        <w:noBreakHyphen/>
      </w:r>
      <w:r w:rsidRPr="00C974DD">
        <w:rPr>
          <w:bCs/>
          <w:szCs w:val="22"/>
          <w:lang w:val="en-GB"/>
        </w:rPr>
        <w:t>effectiveness c</w:t>
      </w:r>
      <w:r w:rsidR="00990374" w:rsidRPr="00C974DD">
        <w:rPr>
          <w:bCs/>
          <w:szCs w:val="22"/>
          <w:lang w:val="en-GB"/>
        </w:rPr>
        <w:t xml:space="preserve">ould not </w:t>
      </w:r>
      <w:r w:rsidRPr="00C974DD">
        <w:rPr>
          <w:bCs/>
          <w:szCs w:val="22"/>
          <w:lang w:val="en-GB"/>
        </w:rPr>
        <w:t>be estimated</w:t>
      </w:r>
      <w:r w:rsidR="004A6C94" w:rsidRPr="00C974DD">
        <w:rPr>
          <w:bCs/>
          <w:szCs w:val="22"/>
          <w:lang w:val="en-GB"/>
        </w:rPr>
        <w:t>, in the context of a drug with a high cost compared with current care</w:t>
      </w:r>
      <w:r w:rsidR="00990374" w:rsidRPr="00C974DD">
        <w:rPr>
          <w:bCs/>
          <w:szCs w:val="22"/>
          <w:lang w:val="en-GB"/>
        </w:rPr>
        <w:t>.</w:t>
      </w:r>
      <w:r w:rsidRPr="00C974DD">
        <w:rPr>
          <w:bCs/>
          <w:szCs w:val="22"/>
          <w:lang w:val="en-GB"/>
        </w:rPr>
        <w:t xml:space="preserve"> </w:t>
      </w:r>
      <w:r w:rsidR="00572C72" w:rsidRPr="00C974DD">
        <w:rPr>
          <w:bCs/>
          <w:szCs w:val="22"/>
          <w:lang w:val="en-GB"/>
        </w:rPr>
        <w:t xml:space="preserve">The PBAC considered that the application was </w:t>
      </w:r>
      <w:r w:rsidR="00990374" w:rsidRPr="00C974DD">
        <w:rPr>
          <w:bCs/>
          <w:szCs w:val="22"/>
          <w:lang w:val="en-GB"/>
        </w:rPr>
        <w:t>fundamentally</w:t>
      </w:r>
      <w:r w:rsidR="00572C72" w:rsidRPr="00C974DD">
        <w:rPr>
          <w:bCs/>
          <w:szCs w:val="22"/>
          <w:lang w:val="en-GB"/>
        </w:rPr>
        <w:t xml:space="preserve"> deficient</w:t>
      </w:r>
      <w:r w:rsidR="008F3D47" w:rsidRPr="00C974DD">
        <w:rPr>
          <w:bCs/>
          <w:szCs w:val="22"/>
          <w:lang w:val="en-GB"/>
        </w:rPr>
        <w:t xml:space="preserve">, because </w:t>
      </w:r>
      <w:r w:rsidR="004A6C94" w:rsidRPr="00C974DD">
        <w:rPr>
          <w:bCs/>
          <w:szCs w:val="22"/>
          <w:lang w:val="en-GB"/>
        </w:rPr>
        <w:t xml:space="preserve">the data </w:t>
      </w:r>
      <w:r w:rsidR="00BF3B4A" w:rsidRPr="00C974DD">
        <w:rPr>
          <w:bCs/>
          <w:szCs w:val="22"/>
          <w:lang w:val="en-GB"/>
        </w:rPr>
        <w:t xml:space="preserve">were </w:t>
      </w:r>
      <w:r w:rsidR="004A6C94" w:rsidRPr="00C974DD">
        <w:rPr>
          <w:bCs/>
          <w:szCs w:val="22"/>
          <w:lang w:val="en-GB"/>
        </w:rPr>
        <w:t xml:space="preserve">of poor quality and </w:t>
      </w:r>
      <w:r w:rsidR="008F3D47" w:rsidRPr="00C974DD">
        <w:rPr>
          <w:bCs/>
          <w:szCs w:val="22"/>
          <w:lang w:val="en-GB"/>
        </w:rPr>
        <w:t xml:space="preserve">did not provide </w:t>
      </w:r>
      <w:r w:rsidR="004A6C94" w:rsidRPr="00C974DD">
        <w:rPr>
          <w:bCs/>
          <w:szCs w:val="22"/>
          <w:lang w:val="en-GB"/>
        </w:rPr>
        <w:t>a reliable basis</w:t>
      </w:r>
      <w:r w:rsidR="008F3D47" w:rsidRPr="00C974DD">
        <w:rPr>
          <w:bCs/>
          <w:szCs w:val="22"/>
          <w:lang w:val="en-GB"/>
        </w:rPr>
        <w:t xml:space="preserve"> for decision-making</w:t>
      </w:r>
      <w:r w:rsidR="00572C72" w:rsidRPr="00C974DD">
        <w:rPr>
          <w:bCs/>
          <w:szCs w:val="22"/>
          <w:lang w:val="en-GB"/>
        </w:rPr>
        <w:t>.</w:t>
      </w:r>
    </w:p>
    <w:p w:rsidR="00502CD3" w:rsidRPr="00C974DD" w:rsidRDefault="00502CD3" w:rsidP="000D2B3E">
      <w:pPr>
        <w:widowControl w:val="0"/>
        <w:ind w:left="720"/>
        <w:contextualSpacing/>
        <w:rPr>
          <w:bCs/>
          <w:szCs w:val="22"/>
          <w:lang w:val="en-GB"/>
        </w:rPr>
      </w:pPr>
    </w:p>
    <w:p w:rsidR="00572C72" w:rsidRPr="00C974DD" w:rsidRDefault="00572C72" w:rsidP="004A6C94">
      <w:pPr>
        <w:widowControl w:val="0"/>
        <w:numPr>
          <w:ilvl w:val="1"/>
          <w:numId w:val="15"/>
        </w:numPr>
        <w:contextualSpacing/>
        <w:rPr>
          <w:bCs/>
          <w:szCs w:val="22"/>
          <w:lang w:val="en-GB"/>
        </w:rPr>
      </w:pPr>
      <w:r w:rsidRPr="00C974DD">
        <w:rPr>
          <w:bCs/>
          <w:szCs w:val="22"/>
          <w:lang w:val="en-GB"/>
        </w:rPr>
        <w:t>T</w:t>
      </w:r>
      <w:r w:rsidR="00502CD3" w:rsidRPr="00C974DD">
        <w:rPr>
          <w:bCs/>
          <w:szCs w:val="22"/>
          <w:lang w:val="en-GB"/>
        </w:rPr>
        <w:t>he PBAC agreed that t</w:t>
      </w:r>
      <w:r w:rsidR="00CF6827" w:rsidRPr="00C974DD">
        <w:rPr>
          <w:bCs/>
          <w:szCs w:val="22"/>
          <w:lang w:val="en-GB"/>
        </w:rPr>
        <w:t>here is a high unmet clinical ne</w:t>
      </w:r>
      <w:r w:rsidR="004754CF" w:rsidRPr="00C974DD">
        <w:rPr>
          <w:bCs/>
          <w:szCs w:val="22"/>
          <w:lang w:val="en-GB"/>
        </w:rPr>
        <w:t>ed for an effective treatment for</w:t>
      </w:r>
      <w:r w:rsidR="00CF6827" w:rsidRPr="00C974DD">
        <w:rPr>
          <w:bCs/>
          <w:szCs w:val="22"/>
          <w:lang w:val="en-GB"/>
        </w:rPr>
        <w:t xml:space="preserve"> patients with </w:t>
      </w:r>
      <w:r w:rsidR="00BF2039" w:rsidRPr="00C974DD">
        <w:rPr>
          <w:bCs/>
          <w:szCs w:val="22"/>
          <w:lang w:val="en-GB"/>
        </w:rPr>
        <w:t>‘</w:t>
      </w:r>
      <w:r w:rsidR="00CF6827" w:rsidRPr="00C974DD">
        <w:rPr>
          <w:bCs/>
          <w:szCs w:val="22"/>
          <w:lang w:val="en-GB"/>
        </w:rPr>
        <w:t>double-refractory</w:t>
      </w:r>
      <w:r w:rsidR="00BF2039" w:rsidRPr="00C974DD">
        <w:rPr>
          <w:bCs/>
          <w:szCs w:val="22"/>
          <w:lang w:val="en-GB"/>
        </w:rPr>
        <w:t>’</w:t>
      </w:r>
      <w:r w:rsidR="00CF6827" w:rsidRPr="00C974DD">
        <w:rPr>
          <w:bCs/>
          <w:szCs w:val="22"/>
          <w:lang w:val="en-GB"/>
        </w:rPr>
        <w:t xml:space="preserve"> indolent NHL</w:t>
      </w:r>
      <w:r w:rsidR="00BF2039" w:rsidRPr="00C974DD">
        <w:rPr>
          <w:bCs/>
          <w:szCs w:val="22"/>
          <w:lang w:val="en-GB"/>
        </w:rPr>
        <w:t xml:space="preserve"> (i.e. refractory to both rituximab and an alkylating agent)</w:t>
      </w:r>
      <w:r w:rsidR="004A6C94" w:rsidRPr="00C974DD">
        <w:rPr>
          <w:bCs/>
          <w:szCs w:val="22"/>
          <w:lang w:val="en-GB"/>
        </w:rPr>
        <w:t>. The PBAC welcomed the input received at the consumer hearing. The comments highlighted the sense of hope that an active treatment can provide.</w:t>
      </w:r>
    </w:p>
    <w:p w:rsidR="00572C72" w:rsidRPr="00C974DD" w:rsidRDefault="00572C72" w:rsidP="000D2B3E">
      <w:pPr>
        <w:pStyle w:val="ListParagraph"/>
        <w:rPr>
          <w:bCs/>
          <w:szCs w:val="22"/>
          <w:lang w:val="en-GB"/>
        </w:rPr>
      </w:pPr>
    </w:p>
    <w:p w:rsidR="003E09F4" w:rsidRPr="00C974DD" w:rsidRDefault="00D37591" w:rsidP="004A6C94">
      <w:pPr>
        <w:pStyle w:val="ListParagraph"/>
        <w:numPr>
          <w:ilvl w:val="1"/>
          <w:numId w:val="15"/>
        </w:numPr>
        <w:rPr>
          <w:bCs/>
          <w:szCs w:val="22"/>
          <w:lang w:val="en-GB"/>
        </w:rPr>
      </w:pPr>
      <w:r w:rsidRPr="00C974DD">
        <w:rPr>
          <w:bCs/>
          <w:szCs w:val="22"/>
          <w:lang w:val="en-GB"/>
        </w:rPr>
        <w:t xml:space="preserve">The PBAC noted that the proposed restriction was </w:t>
      </w:r>
      <w:r w:rsidR="004754CF" w:rsidRPr="00C974DD">
        <w:rPr>
          <w:bCs/>
          <w:szCs w:val="22"/>
          <w:lang w:val="en-GB"/>
        </w:rPr>
        <w:t>revis</w:t>
      </w:r>
      <w:r w:rsidR="00B563FF" w:rsidRPr="00C974DD">
        <w:rPr>
          <w:bCs/>
          <w:szCs w:val="22"/>
          <w:lang w:val="en-GB"/>
        </w:rPr>
        <w:t xml:space="preserve">ed in the PSCR to limit use to patients whose disease is refractory to both </w:t>
      </w:r>
      <w:r w:rsidR="004A6C94" w:rsidRPr="00C974DD">
        <w:rPr>
          <w:bCs/>
          <w:szCs w:val="22"/>
          <w:lang w:val="en-GB"/>
        </w:rPr>
        <w:t>rituximab and an alkylating agent</w:t>
      </w:r>
      <w:r w:rsidR="00CF6827" w:rsidRPr="00C974DD">
        <w:rPr>
          <w:bCs/>
          <w:szCs w:val="22"/>
          <w:lang w:val="en-GB"/>
        </w:rPr>
        <w:t>, which is</w:t>
      </w:r>
      <w:r w:rsidR="00CF6827" w:rsidRPr="00C974DD">
        <w:t xml:space="preserve"> </w:t>
      </w:r>
      <w:r w:rsidR="00CF6827" w:rsidRPr="00C974DD">
        <w:rPr>
          <w:bCs/>
          <w:szCs w:val="22"/>
          <w:lang w:val="en-GB"/>
        </w:rPr>
        <w:t>consistent with the pivotal study</w:t>
      </w:r>
      <w:r w:rsidR="00B563FF" w:rsidRPr="00C974DD">
        <w:rPr>
          <w:bCs/>
          <w:szCs w:val="22"/>
          <w:lang w:val="en-GB"/>
        </w:rPr>
        <w:t xml:space="preserve">. The PBAC considered that this </w:t>
      </w:r>
      <w:r w:rsidR="004754CF" w:rsidRPr="00C974DD">
        <w:rPr>
          <w:bCs/>
          <w:szCs w:val="22"/>
          <w:lang w:val="en-GB"/>
        </w:rPr>
        <w:t>revision</w:t>
      </w:r>
      <w:r w:rsidR="00CF6827" w:rsidRPr="00C974DD">
        <w:rPr>
          <w:bCs/>
          <w:szCs w:val="22"/>
          <w:lang w:val="en-GB"/>
        </w:rPr>
        <w:t xml:space="preserve"> </w:t>
      </w:r>
      <w:r w:rsidR="00B563FF" w:rsidRPr="00C974DD">
        <w:rPr>
          <w:bCs/>
          <w:szCs w:val="22"/>
          <w:lang w:val="en-GB"/>
        </w:rPr>
        <w:t xml:space="preserve">was appropriate. </w:t>
      </w:r>
      <w:r w:rsidR="00CF6827" w:rsidRPr="00C974DD">
        <w:rPr>
          <w:bCs/>
          <w:szCs w:val="22"/>
          <w:lang w:val="en-GB"/>
        </w:rPr>
        <w:t>However, the proposed restriction would allow use in</w:t>
      </w:r>
      <w:r w:rsidR="004F0ED3" w:rsidRPr="00C974DD">
        <w:rPr>
          <w:bCs/>
          <w:szCs w:val="22"/>
          <w:lang w:val="en-GB"/>
        </w:rPr>
        <w:t xml:space="preserve"> patients with</w:t>
      </w:r>
      <w:r w:rsidR="00CF6827" w:rsidRPr="00C974DD">
        <w:rPr>
          <w:bCs/>
          <w:szCs w:val="22"/>
          <w:lang w:val="en-GB"/>
        </w:rPr>
        <w:t xml:space="preserve"> all indolent sub-types of </w:t>
      </w:r>
      <w:r w:rsidR="00572C72" w:rsidRPr="00C974DD">
        <w:rPr>
          <w:bCs/>
          <w:szCs w:val="22"/>
          <w:lang w:val="en-GB"/>
        </w:rPr>
        <w:t>N</w:t>
      </w:r>
      <w:r w:rsidR="00CF6827" w:rsidRPr="00C974DD">
        <w:rPr>
          <w:bCs/>
          <w:szCs w:val="22"/>
          <w:lang w:val="en-GB"/>
        </w:rPr>
        <w:t>HL, while the final TGA registration would allow use only in follicular lymphoma</w:t>
      </w:r>
      <w:r w:rsidRPr="00C974DD">
        <w:rPr>
          <w:bCs/>
          <w:szCs w:val="22"/>
          <w:lang w:val="en-GB"/>
        </w:rPr>
        <w:t xml:space="preserve">. </w:t>
      </w:r>
      <w:r w:rsidR="003E09F4" w:rsidRPr="00C974DD">
        <w:t xml:space="preserve"> </w:t>
      </w:r>
    </w:p>
    <w:p w:rsidR="00D37591" w:rsidRPr="00C974DD" w:rsidRDefault="00D37591" w:rsidP="000D2B3E">
      <w:pPr>
        <w:pStyle w:val="ListParagraph"/>
        <w:rPr>
          <w:bCs/>
          <w:szCs w:val="22"/>
          <w:lang w:val="en-GB"/>
        </w:rPr>
      </w:pPr>
    </w:p>
    <w:p w:rsidR="003E09F4" w:rsidRPr="00C974DD" w:rsidRDefault="00822374" w:rsidP="00822374">
      <w:pPr>
        <w:widowControl w:val="0"/>
        <w:numPr>
          <w:ilvl w:val="1"/>
          <w:numId w:val="15"/>
        </w:numPr>
        <w:contextualSpacing/>
        <w:rPr>
          <w:bCs/>
          <w:szCs w:val="22"/>
          <w:lang w:val="en-GB"/>
        </w:rPr>
      </w:pPr>
      <w:r w:rsidRPr="00C974DD">
        <w:rPr>
          <w:bCs/>
          <w:szCs w:val="22"/>
          <w:lang w:val="en-GB"/>
        </w:rPr>
        <w:lastRenderedPageBreak/>
        <w:t xml:space="preserve">The PBAC considered that best supportive care was the appropriate comparator </w:t>
      </w:r>
      <w:r w:rsidR="00C75DB4" w:rsidRPr="00C974DD">
        <w:rPr>
          <w:bCs/>
          <w:szCs w:val="22"/>
          <w:lang w:val="en-GB"/>
        </w:rPr>
        <w:t>for the patient population with</w:t>
      </w:r>
      <w:r w:rsidR="001B001A" w:rsidRPr="00C974DD">
        <w:rPr>
          <w:bCs/>
          <w:szCs w:val="22"/>
          <w:lang w:val="en-GB"/>
        </w:rPr>
        <w:t xml:space="preserve"> double-refractory </w:t>
      </w:r>
      <w:r w:rsidRPr="00C974DD">
        <w:rPr>
          <w:bCs/>
          <w:szCs w:val="22"/>
          <w:lang w:val="en-GB"/>
        </w:rPr>
        <w:t>indolent NHL.</w:t>
      </w:r>
    </w:p>
    <w:p w:rsidR="003E09F4" w:rsidRPr="00C974DD" w:rsidRDefault="003E09F4" w:rsidP="000D2B3E">
      <w:pPr>
        <w:pStyle w:val="ListParagraph"/>
        <w:rPr>
          <w:bCs/>
          <w:szCs w:val="22"/>
          <w:lang w:val="en-GB"/>
        </w:rPr>
      </w:pPr>
    </w:p>
    <w:p w:rsidR="001C2448" w:rsidRPr="00C974DD" w:rsidRDefault="00990374" w:rsidP="001C2448">
      <w:pPr>
        <w:widowControl w:val="0"/>
        <w:numPr>
          <w:ilvl w:val="1"/>
          <w:numId w:val="15"/>
        </w:numPr>
        <w:contextualSpacing/>
        <w:rPr>
          <w:bCs/>
          <w:szCs w:val="22"/>
          <w:lang w:val="en-GB"/>
        </w:rPr>
      </w:pPr>
      <w:r w:rsidRPr="00C974DD">
        <w:rPr>
          <w:bCs/>
          <w:szCs w:val="22"/>
          <w:lang w:val="en-GB"/>
        </w:rPr>
        <w:t xml:space="preserve">The PBAC noted that the median PFS of idelalisib in the </w:t>
      </w:r>
      <w:r w:rsidR="004A6C94" w:rsidRPr="00C974DD">
        <w:rPr>
          <w:bCs/>
          <w:szCs w:val="22"/>
          <w:lang w:val="en-GB"/>
        </w:rPr>
        <w:t xml:space="preserve">pivotal </w:t>
      </w:r>
      <w:r w:rsidRPr="00C974DD">
        <w:rPr>
          <w:bCs/>
          <w:szCs w:val="22"/>
          <w:lang w:val="en-GB"/>
        </w:rPr>
        <w:t>phase 2 study</w:t>
      </w:r>
      <w:r w:rsidR="004A6C94" w:rsidRPr="00C974DD">
        <w:rPr>
          <w:bCs/>
          <w:szCs w:val="22"/>
          <w:lang w:val="en-GB"/>
        </w:rPr>
        <w:t xml:space="preserve"> (Study 101-09)</w:t>
      </w:r>
      <w:r w:rsidRPr="00C974DD">
        <w:rPr>
          <w:bCs/>
          <w:szCs w:val="22"/>
          <w:lang w:val="en-GB"/>
        </w:rPr>
        <w:t xml:space="preserve"> was 11 months, indicating that ide</w:t>
      </w:r>
      <w:r w:rsidR="00EF1FDB" w:rsidRPr="00C974DD">
        <w:rPr>
          <w:bCs/>
          <w:szCs w:val="22"/>
          <w:lang w:val="en-GB"/>
        </w:rPr>
        <w:t>lalisib is an active treatment</w:t>
      </w:r>
      <w:r w:rsidRPr="00C974DD">
        <w:rPr>
          <w:bCs/>
          <w:szCs w:val="22"/>
          <w:lang w:val="en-GB"/>
        </w:rPr>
        <w:t>.</w:t>
      </w:r>
      <w:r w:rsidR="001C2448" w:rsidRPr="00C974DD">
        <w:rPr>
          <w:bCs/>
          <w:szCs w:val="22"/>
          <w:lang w:val="en-GB"/>
        </w:rPr>
        <w:t xml:space="preserve"> The PBAC also noted that idelalisib was generally well tolerated but was associated with some toxicities including late colitis. </w:t>
      </w:r>
    </w:p>
    <w:p w:rsidR="001C2448" w:rsidRPr="00C974DD" w:rsidRDefault="001C2448" w:rsidP="001C2448">
      <w:pPr>
        <w:pStyle w:val="ListParagraph"/>
        <w:rPr>
          <w:bCs/>
          <w:szCs w:val="22"/>
          <w:lang w:val="en-GB"/>
        </w:rPr>
      </w:pPr>
    </w:p>
    <w:p w:rsidR="00502CD3" w:rsidRPr="00C974DD" w:rsidRDefault="00990374" w:rsidP="00EF1FDB">
      <w:pPr>
        <w:widowControl w:val="0"/>
        <w:numPr>
          <w:ilvl w:val="1"/>
          <w:numId w:val="15"/>
        </w:numPr>
        <w:contextualSpacing/>
        <w:rPr>
          <w:bCs/>
          <w:szCs w:val="22"/>
          <w:lang w:val="en-GB"/>
        </w:rPr>
      </w:pPr>
      <w:r w:rsidRPr="00C974DD">
        <w:rPr>
          <w:bCs/>
          <w:szCs w:val="22"/>
          <w:lang w:val="en-GB"/>
        </w:rPr>
        <w:t xml:space="preserve">However, </w:t>
      </w:r>
      <w:r w:rsidR="001C2448" w:rsidRPr="00C974DD">
        <w:rPr>
          <w:bCs/>
          <w:szCs w:val="22"/>
          <w:lang w:val="en-GB"/>
        </w:rPr>
        <w:t>for the reasons outlined</w:t>
      </w:r>
      <w:r w:rsidR="00EF1FDB" w:rsidRPr="00C974DD">
        <w:rPr>
          <w:bCs/>
          <w:szCs w:val="22"/>
          <w:lang w:val="en-GB"/>
        </w:rPr>
        <w:t xml:space="preserve"> in Paragraphs 6.9 to 6.36,</w:t>
      </w:r>
      <w:r w:rsidR="001C2448" w:rsidRPr="00C974DD">
        <w:rPr>
          <w:bCs/>
          <w:szCs w:val="22"/>
          <w:lang w:val="en-GB"/>
        </w:rPr>
        <w:t xml:space="preserve"> </w:t>
      </w:r>
      <w:r w:rsidRPr="00C974DD">
        <w:rPr>
          <w:bCs/>
          <w:szCs w:val="22"/>
          <w:lang w:val="en-GB"/>
        </w:rPr>
        <w:t>t</w:t>
      </w:r>
      <w:r w:rsidR="00502CD3" w:rsidRPr="00C974DD">
        <w:rPr>
          <w:bCs/>
          <w:szCs w:val="22"/>
          <w:lang w:val="en-GB"/>
        </w:rPr>
        <w:t xml:space="preserve">he PBAC </w:t>
      </w:r>
      <w:r w:rsidRPr="00C974DD">
        <w:rPr>
          <w:bCs/>
          <w:szCs w:val="22"/>
          <w:lang w:val="en-GB"/>
        </w:rPr>
        <w:t>considered</w:t>
      </w:r>
      <w:r w:rsidR="00502CD3" w:rsidRPr="00C974DD">
        <w:rPr>
          <w:bCs/>
          <w:szCs w:val="22"/>
          <w:lang w:val="en-GB"/>
        </w:rPr>
        <w:t xml:space="preserve"> that neither the non-responder group, nor the data from single arm studies of alternative agents provide</w:t>
      </w:r>
      <w:r w:rsidRPr="00C974DD">
        <w:rPr>
          <w:bCs/>
          <w:szCs w:val="22"/>
          <w:lang w:val="en-GB"/>
        </w:rPr>
        <w:t>d</w:t>
      </w:r>
      <w:r w:rsidR="00502CD3" w:rsidRPr="00C974DD">
        <w:rPr>
          <w:bCs/>
          <w:szCs w:val="22"/>
          <w:lang w:val="en-GB"/>
        </w:rPr>
        <w:t xml:space="preserve"> an acceptable basis for estimating </w:t>
      </w:r>
      <w:r w:rsidR="006B01D9" w:rsidRPr="00C974DD">
        <w:rPr>
          <w:bCs/>
          <w:szCs w:val="22"/>
          <w:lang w:val="en-GB"/>
        </w:rPr>
        <w:t xml:space="preserve">the </w:t>
      </w:r>
      <w:r w:rsidR="00EF1FDB" w:rsidRPr="00C974DD">
        <w:rPr>
          <w:bCs/>
          <w:szCs w:val="22"/>
          <w:lang w:val="en-GB"/>
        </w:rPr>
        <w:t xml:space="preserve">efficacy and </w:t>
      </w:r>
      <w:r w:rsidR="006B01D9" w:rsidRPr="00C974DD">
        <w:rPr>
          <w:bCs/>
          <w:szCs w:val="22"/>
          <w:lang w:val="en-GB"/>
        </w:rPr>
        <w:t>safety of b</w:t>
      </w:r>
      <w:r w:rsidR="00502CD3" w:rsidRPr="00C974DD">
        <w:rPr>
          <w:bCs/>
          <w:szCs w:val="22"/>
          <w:lang w:val="en-GB"/>
        </w:rPr>
        <w:t>est supportive care</w:t>
      </w:r>
      <w:r w:rsidR="00375337" w:rsidRPr="00C974DD">
        <w:rPr>
          <w:bCs/>
          <w:szCs w:val="22"/>
          <w:lang w:val="en-GB"/>
        </w:rPr>
        <w:t xml:space="preserve"> in this patient population</w:t>
      </w:r>
      <w:r w:rsidR="00502CD3" w:rsidRPr="00C974DD">
        <w:rPr>
          <w:bCs/>
          <w:szCs w:val="22"/>
          <w:lang w:val="en-GB"/>
        </w:rPr>
        <w:t>.</w:t>
      </w:r>
      <w:r w:rsidRPr="00C974DD">
        <w:rPr>
          <w:bCs/>
          <w:szCs w:val="22"/>
          <w:lang w:val="en-GB"/>
        </w:rPr>
        <w:t xml:space="preserve"> Therefore the </w:t>
      </w:r>
      <w:r w:rsidRPr="00C974DD">
        <w:rPr>
          <w:bCs/>
          <w:szCs w:val="22"/>
          <w:u w:val="single"/>
          <w:lang w:val="en-GB"/>
        </w:rPr>
        <w:t>comparativ</w:t>
      </w:r>
      <w:r w:rsidR="001C2448" w:rsidRPr="00C974DD">
        <w:rPr>
          <w:bCs/>
          <w:szCs w:val="22"/>
          <w:u w:val="single"/>
          <w:lang w:val="en-GB"/>
        </w:rPr>
        <w:t>e</w:t>
      </w:r>
      <w:r w:rsidRPr="00C974DD">
        <w:rPr>
          <w:bCs/>
          <w:szCs w:val="22"/>
          <w:lang w:val="en-GB"/>
        </w:rPr>
        <w:t xml:space="preserve"> </w:t>
      </w:r>
      <w:r w:rsidR="00EF1FDB" w:rsidRPr="00C974DD">
        <w:rPr>
          <w:bCs/>
          <w:szCs w:val="22"/>
          <w:lang w:val="en-GB"/>
        </w:rPr>
        <w:t>efficacy and safety</w:t>
      </w:r>
      <w:r w:rsidR="006B01D9" w:rsidRPr="00C974DD">
        <w:rPr>
          <w:bCs/>
          <w:szCs w:val="22"/>
          <w:lang w:val="en-GB"/>
        </w:rPr>
        <w:t xml:space="preserve"> of idelalsib </w:t>
      </w:r>
      <w:r w:rsidRPr="00C974DD">
        <w:rPr>
          <w:bCs/>
          <w:szCs w:val="22"/>
          <w:lang w:val="en-GB"/>
        </w:rPr>
        <w:t>could not be estimated.</w:t>
      </w:r>
    </w:p>
    <w:p w:rsidR="00375337" w:rsidRPr="00C974DD" w:rsidRDefault="00375337" w:rsidP="00375337">
      <w:pPr>
        <w:pStyle w:val="ListParagraph"/>
        <w:rPr>
          <w:bCs/>
          <w:szCs w:val="22"/>
          <w:lang w:val="en-GB"/>
        </w:rPr>
      </w:pPr>
    </w:p>
    <w:p w:rsidR="00502CD3" w:rsidRPr="00C974DD" w:rsidRDefault="006B01D9" w:rsidP="006B01D9">
      <w:pPr>
        <w:widowControl w:val="0"/>
        <w:numPr>
          <w:ilvl w:val="1"/>
          <w:numId w:val="15"/>
        </w:numPr>
        <w:contextualSpacing/>
        <w:rPr>
          <w:bCs/>
          <w:szCs w:val="22"/>
          <w:lang w:val="en-GB"/>
        </w:rPr>
      </w:pPr>
      <w:r w:rsidRPr="00C974DD">
        <w:rPr>
          <w:bCs/>
          <w:szCs w:val="22"/>
          <w:lang w:val="en-GB"/>
        </w:rPr>
        <w:t>In the absence of suitable data to inform the effectiveness of best supportive care, t</w:t>
      </w:r>
      <w:r w:rsidR="00502CD3" w:rsidRPr="00C974DD">
        <w:rPr>
          <w:bCs/>
          <w:szCs w:val="22"/>
          <w:lang w:val="en-GB"/>
        </w:rPr>
        <w:t xml:space="preserve">he PBAC </w:t>
      </w:r>
      <w:r w:rsidR="00990374" w:rsidRPr="00C974DD">
        <w:rPr>
          <w:bCs/>
          <w:szCs w:val="22"/>
          <w:lang w:val="en-GB"/>
        </w:rPr>
        <w:t>concluded</w:t>
      </w:r>
      <w:r w:rsidR="00502CD3" w:rsidRPr="00C974DD">
        <w:rPr>
          <w:bCs/>
          <w:szCs w:val="22"/>
          <w:lang w:val="en-GB"/>
        </w:rPr>
        <w:t xml:space="preserve"> that</w:t>
      </w:r>
      <w:r w:rsidRPr="00C974DD">
        <w:rPr>
          <w:bCs/>
          <w:szCs w:val="22"/>
          <w:lang w:val="en-GB"/>
        </w:rPr>
        <w:t xml:space="preserve"> a reliable economic evaluation could not be conducted. Therefore the cost-effectiveness of idelalisib in iNHL could not be determined.</w:t>
      </w:r>
      <w:r w:rsidR="00502CD3" w:rsidRPr="00C974DD">
        <w:rPr>
          <w:bCs/>
          <w:szCs w:val="22"/>
          <w:lang w:val="en-GB"/>
        </w:rPr>
        <w:t xml:space="preserve"> </w:t>
      </w:r>
    </w:p>
    <w:p w:rsidR="00502CD3" w:rsidRPr="00C974DD" w:rsidRDefault="00502CD3" w:rsidP="000D2B3E">
      <w:pPr>
        <w:pStyle w:val="ListParagraph"/>
        <w:rPr>
          <w:bCs/>
          <w:szCs w:val="22"/>
          <w:lang w:val="en-GB"/>
        </w:rPr>
      </w:pPr>
    </w:p>
    <w:p w:rsidR="00502CD3" w:rsidRPr="00C974DD" w:rsidRDefault="00502CD3" w:rsidP="00502CD3">
      <w:pPr>
        <w:widowControl w:val="0"/>
        <w:numPr>
          <w:ilvl w:val="1"/>
          <w:numId w:val="15"/>
        </w:numPr>
        <w:contextualSpacing/>
        <w:rPr>
          <w:bCs/>
          <w:szCs w:val="22"/>
          <w:lang w:val="en-GB"/>
        </w:rPr>
      </w:pPr>
      <w:r w:rsidRPr="00C974DD">
        <w:rPr>
          <w:bCs/>
          <w:szCs w:val="22"/>
          <w:lang w:val="en-GB"/>
        </w:rPr>
        <w:t xml:space="preserve">The PBAC </w:t>
      </w:r>
      <w:r w:rsidR="006B01D9" w:rsidRPr="00C974DD">
        <w:rPr>
          <w:bCs/>
          <w:szCs w:val="22"/>
          <w:lang w:val="en-GB"/>
        </w:rPr>
        <w:t xml:space="preserve">considered that the utilisation and financial impacts were underestimated in the submission, </w:t>
      </w:r>
      <w:r w:rsidRPr="00C974DD">
        <w:rPr>
          <w:bCs/>
          <w:szCs w:val="22"/>
          <w:lang w:val="en-GB"/>
        </w:rPr>
        <w:t xml:space="preserve">as </w:t>
      </w:r>
      <w:r w:rsidR="006B01D9" w:rsidRPr="00C974DD">
        <w:rPr>
          <w:bCs/>
          <w:szCs w:val="22"/>
          <w:lang w:val="en-GB"/>
        </w:rPr>
        <w:t xml:space="preserve">outlined </w:t>
      </w:r>
      <w:r w:rsidRPr="00C974DD">
        <w:rPr>
          <w:bCs/>
          <w:szCs w:val="22"/>
          <w:lang w:val="en-GB"/>
        </w:rPr>
        <w:t>by the DUSC</w:t>
      </w:r>
      <w:r w:rsidR="006B01D9" w:rsidRPr="00C974DD">
        <w:rPr>
          <w:bCs/>
          <w:szCs w:val="22"/>
          <w:lang w:val="en-GB"/>
        </w:rPr>
        <w:t xml:space="preserve"> (refer to Paragraphs 6.</w:t>
      </w:r>
      <w:r w:rsidR="00375337" w:rsidRPr="00C974DD">
        <w:rPr>
          <w:bCs/>
          <w:szCs w:val="22"/>
          <w:lang w:val="en-GB"/>
        </w:rPr>
        <w:t>46</w:t>
      </w:r>
      <w:r w:rsidR="006B01D9" w:rsidRPr="00C974DD">
        <w:rPr>
          <w:bCs/>
          <w:szCs w:val="22"/>
          <w:lang w:val="en-GB"/>
        </w:rPr>
        <w:t xml:space="preserve"> to 6.</w:t>
      </w:r>
      <w:r w:rsidR="00375337" w:rsidRPr="00C974DD">
        <w:rPr>
          <w:bCs/>
          <w:szCs w:val="22"/>
          <w:lang w:val="en-GB"/>
        </w:rPr>
        <w:t>49</w:t>
      </w:r>
      <w:r w:rsidR="006B01D9" w:rsidRPr="00C974DD">
        <w:rPr>
          <w:bCs/>
          <w:szCs w:val="22"/>
          <w:lang w:val="en-GB"/>
        </w:rPr>
        <w:t>)</w:t>
      </w:r>
      <w:r w:rsidRPr="00C974DD">
        <w:rPr>
          <w:bCs/>
          <w:szCs w:val="22"/>
          <w:lang w:val="en-GB"/>
        </w:rPr>
        <w:t>.</w:t>
      </w:r>
    </w:p>
    <w:p w:rsidR="00676233" w:rsidRPr="00C974DD" w:rsidRDefault="00676233" w:rsidP="000D2B3E">
      <w:pPr>
        <w:rPr>
          <w:bCs/>
          <w:szCs w:val="22"/>
          <w:lang w:val="en-GB"/>
        </w:rPr>
      </w:pPr>
    </w:p>
    <w:p w:rsidR="006B01D9" w:rsidRPr="00C974DD" w:rsidRDefault="00676233" w:rsidP="001C2448">
      <w:pPr>
        <w:widowControl w:val="0"/>
        <w:numPr>
          <w:ilvl w:val="1"/>
          <w:numId w:val="15"/>
        </w:numPr>
        <w:contextualSpacing/>
        <w:rPr>
          <w:bCs/>
          <w:szCs w:val="22"/>
          <w:lang w:val="en-GB"/>
        </w:rPr>
      </w:pPr>
      <w:r w:rsidRPr="00C974DD">
        <w:rPr>
          <w:bCs/>
          <w:szCs w:val="22"/>
          <w:lang w:val="en-GB"/>
        </w:rPr>
        <w:t>The PBAC consider</w:t>
      </w:r>
      <w:r w:rsidR="006B01D9" w:rsidRPr="00C974DD">
        <w:rPr>
          <w:bCs/>
          <w:szCs w:val="22"/>
          <w:lang w:val="en-GB"/>
        </w:rPr>
        <w:t>ed</w:t>
      </w:r>
      <w:r w:rsidRPr="00C974DD">
        <w:rPr>
          <w:bCs/>
          <w:szCs w:val="22"/>
          <w:lang w:val="en-GB"/>
        </w:rPr>
        <w:t xml:space="preserve"> that</w:t>
      </w:r>
      <w:r w:rsidR="003B29CB" w:rsidRPr="00C974DD">
        <w:rPr>
          <w:bCs/>
          <w:szCs w:val="22"/>
          <w:lang w:val="en-GB"/>
        </w:rPr>
        <w:t xml:space="preserve"> a re</w:t>
      </w:r>
      <w:r w:rsidR="00295855" w:rsidRPr="00C974DD">
        <w:rPr>
          <w:bCs/>
          <w:szCs w:val="22"/>
          <w:lang w:val="en-GB"/>
        </w:rPr>
        <w:t>-</w:t>
      </w:r>
      <w:r w:rsidR="003B29CB" w:rsidRPr="00C974DD">
        <w:rPr>
          <w:bCs/>
          <w:szCs w:val="22"/>
          <w:lang w:val="en-GB"/>
        </w:rPr>
        <w:t>submission should</w:t>
      </w:r>
      <w:r w:rsidR="001C2448" w:rsidRPr="00C974DD">
        <w:rPr>
          <w:bCs/>
          <w:szCs w:val="22"/>
          <w:lang w:val="en-GB"/>
        </w:rPr>
        <w:t>:</w:t>
      </w:r>
      <w:r w:rsidR="008B41A6" w:rsidRPr="00C974DD">
        <w:rPr>
          <w:bCs/>
          <w:szCs w:val="22"/>
          <w:lang w:val="en-GB"/>
        </w:rPr>
        <w:t xml:space="preserve"> </w:t>
      </w:r>
      <w:r w:rsidR="00295855" w:rsidRPr="00C974DD">
        <w:rPr>
          <w:bCs/>
          <w:szCs w:val="22"/>
          <w:lang w:val="en-GB"/>
        </w:rPr>
        <w:t>include</w:t>
      </w:r>
      <w:r w:rsidRPr="00C974DD">
        <w:rPr>
          <w:bCs/>
          <w:szCs w:val="22"/>
          <w:lang w:val="en-GB"/>
        </w:rPr>
        <w:t xml:space="preserve"> a</w:t>
      </w:r>
      <w:r w:rsidR="006B01D9" w:rsidRPr="00C974DD">
        <w:rPr>
          <w:bCs/>
          <w:szCs w:val="22"/>
          <w:lang w:val="en-GB"/>
        </w:rPr>
        <w:t xml:space="preserve"> restriction that aligns with </w:t>
      </w:r>
      <w:r w:rsidR="008B41A6" w:rsidRPr="00C974DD">
        <w:rPr>
          <w:bCs/>
          <w:szCs w:val="22"/>
          <w:lang w:val="en-GB"/>
        </w:rPr>
        <w:t xml:space="preserve">final </w:t>
      </w:r>
      <w:r w:rsidR="006B01D9" w:rsidRPr="00C974DD">
        <w:rPr>
          <w:bCs/>
          <w:szCs w:val="22"/>
          <w:lang w:val="en-GB"/>
        </w:rPr>
        <w:t xml:space="preserve">TGA indication; </w:t>
      </w:r>
      <w:r w:rsidR="009427AB" w:rsidRPr="00C974DD">
        <w:rPr>
          <w:bCs/>
          <w:szCs w:val="22"/>
          <w:lang w:val="en-GB"/>
        </w:rPr>
        <w:t xml:space="preserve">and </w:t>
      </w:r>
      <w:r w:rsidR="00295855" w:rsidRPr="00C974DD">
        <w:rPr>
          <w:bCs/>
          <w:szCs w:val="22"/>
          <w:lang w:val="en-GB"/>
        </w:rPr>
        <w:t>provide a reliable estimate of the comparative effectiveness a</w:t>
      </w:r>
      <w:r w:rsidR="001C2448" w:rsidRPr="00C974DD">
        <w:rPr>
          <w:bCs/>
          <w:szCs w:val="22"/>
          <w:lang w:val="en-GB"/>
        </w:rPr>
        <w:t>nd safety of idelalisib, based on</w:t>
      </w:r>
      <w:r w:rsidR="006B01D9" w:rsidRPr="00C974DD">
        <w:rPr>
          <w:bCs/>
          <w:szCs w:val="22"/>
          <w:lang w:val="en-GB"/>
        </w:rPr>
        <w:t xml:space="preserve"> a dataset that adequa</w:t>
      </w:r>
      <w:r w:rsidR="00295855" w:rsidRPr="00C974DD">
        <w:rPr>
          <w:bCs/>
          <w:szCs w:val="22"/>
          <w:lang w:val="en-GB"/>
        </w:rPr>
        <w:t xml:space="preserve">tely </w:t>
      </w:r>
      <w:r w:rsidR="00BD5341" w:rsidRPr="00C974DD">
        <w:rPr>
          <w:bCs/>
          <w:szCs w:val="22"/>
          <w:lang w:val="en-GB"/>
        </w:rPr>
        <w:t>demonstrates</w:t>
      </w:r>
      <w:r w:rsidR="001C2448" w:rsidRPr="00C974DD">
        <w:rPr>
          <w:bCs/>
          <w:szCs w:val="22"/>
          <w:lang w:val="en-GB"/>
        </w:rPr>
        <w:t xml:space="preserve"> </w:t>
      </w:r>
      <w:r w:rsidR="00295855" w:rsidRPr="00C974DD">
        <w:rPr>
          <w:bCs/>
          <w:szCs w:val="22"/>
          <w:lang w:val="en-GB"/>
        </w:rPr>
        <w:t>outcomes with</w:t>
      </w:r>
      <w:r w:rsidR="009427AB" w:rsidRPr="00C974DD">
        <w:rPr>
          <w:bCs/>
          <w:szCs w:val="22"/>
          <w:lang w:val="en-GB"/>
        </w:rPr>
        <w:t xml:space="preserve"> best</w:t>
      </w:r>
      <w:r w:rsidR="006B01D9" w:rsidRPr="00C974DD">
        <w:rPr>
          <w:bCs/>
          <w:szCs w:val="22"/>
          <w:lang w:val="en-GB"/>
        </w:rPr>
        <w:t xml:space="preserve"> supportive care in the population requested. </w:t>
      </w:r>
      <w:r w:rsidR="00295855" w:rsidRPr="00C974DD">
        <w:rPr>
          <w:bCs/>
          <w:szCs w:val="22"/>
          <w:lang w:val="en-GB"/>
        </w:rPr>
        <w:t xml:space="preserve">The PBAC acknowledged that there would be limitations with such a dataset. </w:t>
      </w:r>
      <w:r w:rsidR="006B01D9" w:rsidRPr="00C974DD">
        <w:rPr>
          <w:bCs/>
          <w:szCs w:val="22"/>
          <w:lang w:val="en-GB"/>
        </w:rPr>
        <w:t xml:space="preserve">Should such a dataset become available, the </w:t>
      </w:r>
      <w:r w:rsidR="00472EBF" w:rsidRPr="00C974DD">
        <w:rPr>
          <w:bCs/>
          <w:szCs w:val="22"/>
          <w:lang w:val="en-GB"/>
        </w:rPr>
        <w:t xml:space="preserve">PBAC considered that the </w:t>
      </w:r>
      <w:r w:rsidR="006B01D9" w:rsidRPr="00C974DD">
        <w:rPr>
          <w:bCs/>
          <w:szCs w:val="22"/>
          <w:lang w:val="en-GB"/>
        </w:rPr>
        <w:t xml:space="preserve">other concerns raised by the evaluation and the ESC </w:t>
      </w:r>
      <w:r w:rsidR="00C11A91" w:rsidRPr="00C974DD">
        <w:rPr>
          <w:bCs/>
          <w:szCs w:val="22"/>
          <w:lang w:val="en-GB"/>
        </w:rPr>
        <w:t xml:space="preserve">would also need to </w:t>
      </w:r>
      <w:r w:rsidR="006B01D9" w:rsidRPr="00C974DD">
        <w:rPr>
          <w:bCs/>
          <w:szCs w:val="22"/>
          <w:lang w:val="en-GB"/>
        </w:rPr>
        <w:t>be addressed</w:t>
      </w:r>
      <w:r w:rsidR="009427AB" w:rsidRPr="00C974DD">
        <w:rPr>
          <w:bCs/>
          <w:szCs w:val="22"/>
          <w:lang w:val="en-GB"/>
        </w:rPr>
        <w:t xml:space="preserve"> in the re</w:t>
      </w:r>
      <w:r w:rsidR="00154E7E" w:rsidRPr="00C974DD">
        <w:rPr>
          <w:bCs/>
          <w:szCs w:val="22"/>
          <w:lang w:val="en-GB"/>
        </w:rPr>
        <w:noBreakHyphen/>
      </w:r>
      <w:r w:rsidR="009427AB" w:rsidRPr="00C974DD">
        <w:rPr>
          <w:bCs/>
          <w:szCs w:val="22"/>
          <w:lang w:val="en-GB"/>
        </w:rPr>
        <w:t>submission</w:t>
      </w:r>
      <w:r w:rsidR="00C11A91" w:rsidRPr="00C974DD">
        <w:rPr>
          <w:bCs/>
          <w:szCs w:val="22"/>
          <w:lang w:val="en-GB"/>
        </w:rPr>
        <w:t>.</w:t>
      </w:r>
    </w:p>
    <w:p w:rsidR="00676233" w:rsidRPr="00C974DD" w:rsidRDefault="00676233" w:rsidP="006B01D9">
      <w:pPr>
        <w:pStyle w:val="ListParagraph"/>
        <w:widowControl w:val="0"/>
        <w:ind w:left="1440"/>
        <w:rPr>
          <w:bCs/>
          <w:szCs w:val="22"/>
          <w:lang w:val="en-GB"/>
        </w:rPr>
      </w:pPr>
    </w:p>
    <w:p w:rsidR="00676233" w:rsidRPr="00C974DD" w:rsidRDefault="006B01D9" w:rsidP="008B41A6">
      <w:pPr>
        <w:widowControl w:val="0"/>
        <w:numPr>
          <w:ilvl w:val="1"/>
          <w:numId w:val="15"/>
        </w:numPr>
        <w:contextualSpacing/>
        <w:rPr>
          <w:bCs/>
          <w:szCs w:val="22"/>
          <w:lang w:val="en-GB"/>
        </w:rPr>
      </w:pPr>
      <w:r w:rsidRPr="00C974DD">
        <w:rPr>
          <w:bCs/>
          <w:szCs w:val="22"/>
          <w:lang w:val="en-GB"/>
        </w:rPr>
        <w:t>The PBAC considered that a major re</w:t>
      </w:r>
      <w:r w:rsidR="00295855" w:rsidRPr="00C974DD">
        <w:rPr>
          <w:bCs/>
          <w:szCs w:val="22"/>
          <w:lang w:val="en-GB"/>
        </w:rPr>
        <w:t>-</w:t>
      </w:r>
      <w:r w:rsidRPr="00C974DD">
        <w:rPr>
          <w:bCs/>
          <w:szCs w:val="22"/>
          <w:lang w:val="en-GB"/>
        </w:rPr>
        <w:t>submission would be required to seek listing of idelalisib for iNHL.</w:t>
      </w:r>
    </w:p>
    <w:p w:rsidR="004C0BFB" w:rsidRPr="00C974DD" w:rsidRDefault="004C0BFB" w:rsidP="000D2B3E">
      <w:pPr>
        <w:widowControl w:val="0"/>
        <w:contextualSpacing/>
        <w:rPr>
          <w:bCs/>
          <w:szCs w:val="22"/>
          <w:highlight w:val="yellow"/>
          <w:lang w:val="en-GB"/>
        </w:rPr>
      </w:pPr>
    </w:p>
    <w:p w:rsidR="004C0BFB" w:rsidRPr="00C974DD" w:rsidRDefault="004C0BFB" w:rsidP="003F6E26">
      <w:pPr>
        <w:widowControl w:val="0"/>
        <w:numPr>
          <w:ilvl w:val="1"/>
          <w:numId w:val="15"/>
        </w:numPr>
        <w:contextualSpacing/>
        <w:rPr>
          <w:b/>
          <w:bCs/>
          <w:szCs w:val="22"/>
          <w:lang w:val="en-GB"/>
        </w:rPr>
      </w:pPr>
      <w:r w:rsidRPr="00C974DD">
        <w:rPr>
          <w:bCs/>
          <w:szCs w:val="22"/>
          <w:lang w:val="en-GB"/>
        </w:rPr>
        <w:t xml:space="preserve">The PBAC noted that this submission is eligible for an Independent Review. </w:t>
      </w:r>
    </w:p>
    <w:p w:rsidR="004C0BFB" w:rsidRPr="00C974DD" w:rsidRDefault="004C0BFB">
      <w:pPr>
        <w:rPr>
          <w:b/>
          <w:szCs w:val="22"/>
          <w:highlight w:val="yellow"/>
          <w:lang w:val="en-GB"/>
        </w:rPr>
      </w:pPr>
    </w:p>
    <w:p w:rsidR="004C0BFB" w:rsidRPr="00C974DD" w:rsidRDefault="004C0BFB">
      <w:pPr>
        <w:rPr>
          <w:b/>
          <w:bCs/>
          <w:szCs w:val="22"/>
          <w:highlight w:val="yellow"/>
          <w:lang w:val="en-GB"/>
        </w:rPr>
      </w:pPr>
    </w:p>
    <w:p w:rsidR="004C0BFB" w:rsidRPr="00C974DD" w:rsidRDefault="004C0BFB">
      <w:pPr>
        <w:rPr>
          <w:b/>
          <w:bCs/>
          <w:szCs w:val="22"/>
          <w:lang w:val="en-GB"/>
        </w:rPr>
      </w:pPr>
      <w:r w:rsidRPr="00C974DD">
        <w:rPr>
          <w:b/>
          <w:bCs/>
          <w:szCs w:val="22"/>
          <w:lang w:val="en-GB"/>
        </w:rPr>
        <w:t>Outcome:</w:t>
      </w:r>
    </w:p>
    <w:p w:rsidR="004C0BFB" w:rsidRPr="00C974DD" w:rsidRDefault="004C0BFB">
      <w:pPr>
        <w:rPr>
          <w:bCs/>
          <w:szCs w:val="22"/>
          <w:highlight w:val="yellow"/>
          <w:lang w:val="en-GB"/>
        </w:rPr>
      </w:pPr>
      <w:r w:rsidRPr="00C974DD">
        <w:rPr>
          <w:bCs/>
          <w:szCs w:val="22"/>
          <w:lang w:val="en-GB"/>
        </w:rPr>
        <w:t xml:space="preserve">Rejected </w:t>
      </w:r>
    </w:p>
    <w:p w:rsidR="004C0BFB" w:rsidRPr="00C974DD" w:rsidRDefault="004C0BFB">
      <w:pPr>
        <w:rPr>
          <w:bCs/>
          <w:szCs w:val="22"/>
          <w:highlight w:val="yellow"/>
          <w:lang w:val="en-GB"/>
        </w:rPr>
      </w:pPr>
    </w:p>
    <w:p w:rsidR="004C0BFB" w:rsidRPr="00C974DD" w:rsidRDefault="004C0BFB">
      <w:pPr>
        <w:widowControl w:val="0"/>
        <w:rPr>
          <w:b/>
          <w:bCs/>
          <w:szCs w:val="22"/>
          <w:highlight w:val="yellow"/>
        </w:rPr>
      </w:pPr>
    </w:p>
    <w:p w:rsidR="00775B1C" w:rsidRPr="00775B1C" w:rsidRDefault="00775B1C" w:rsidP="008F17F0">
      <w:pPr>
        <w:pStyle w:val="PBACHeading1"/>
        <w:rPr>
          <w:snapToGrid/>
        </w:rPr>
      </w:pPr>
      <w:r w:rsidRPr="00775B1C">
        <w:rPr>
          <w:snapToGrid/>
        </w:rPr>
        <w:t>Context for Decision</w:t>
      </w:r>
    </w:p>
    <w:p w:rsidR="00775B1C" w:rsidRPr="00775B1C" w:rsidRDefault="00775B1C" w:rsidP="00775B1C">
      <w:pPr>
        <w:ind w:left="720"/>
        <w:contextualSpacing/>
        <w:jc w:val="left"/>
        <w:rPr>
          <w:rFonts w:ascii="Times New Roman" w:hAnsi="Times New Roman" w:cs="Times New Roman"/>
          <w:b/>
          <w:snapToGrid/>
          <w:sz w:val="24"/>
          <w:szCs w:val="24"/>
          <w:lang w:eastAsia="en-AU"/>
        </w:rPr>
      </w:pPr>
    </w:p>
    <w:p w:rsidR="00775B1C" w:rsidRPr="00775B1C" w:rsidRDefault="00775B1C" w:rsidP="00775B1C">
      <w:pPr>
        <w:ind w:left="720"/>
        <w:jc w:val="left"/>
        <w:rPr>
          <w:bCs/>
          <w:szCs w:val="22"/>
          <w:lang w:eastAsia="en-AU"/>
        </w:rPr>
      </w:pPr>
      <w:r w:rsidRPr="00775B1C">
        <w:rPr>
          <w:bCs/>
          <w:szCs w:val="22"/>
          <w:lang w:eastAsia="en-AU"/>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775B1C" w:rsidRDefault="00775B1C" w:rsidP="00775B1C">
      <w:pPr>
        <w:jc w:val="left"/>
        <w:rPr>
          <w:rFonts w:ascii="Times New Roman" w:hAnsi="Times New Roman" w:cs="Times New Roman"/>
          <w:snapToGrid/>
          <w:sz w:val="24"/>
          <w:szCs w:val="24"/>
          <w:lang w:eastAsia="en-AU"/>
        </w:rPr>
      </w:pPr>
    </w:p>
    <w:p w:rsidR="0094413E" w:rsidRDefault="0094413E" w:rsidP="00775B1C">
      <w:pPr>
        <w:jc w:val="left"/>
        <w:rPr>
          <w:rFonts w:ascii="Times New Roman" w:hAnsi="Times New Roman" w:cs="Times New Roman"/>
          <w:snapToGrid/>
          <w:sz w:val="24"/>
          <w:szCs w:val="24"/>
          <w:lang w:eastAsia="en-AU"/>
        </w:rPr>
      </w:pPr>
    </w:p>
    <w:p w:rsidR="0094413E" w:rsidRPr="00775B1C" w:rsidRDefault="0094413E" w:rsidP="00775B1C">
      <w:pPr>
        <w:jc w:val="left"/>
        <w:rPr>
          <w:rFonts w:ascii="Times New Roman" w:hAnsi="Times New Roman" w:cs="Times New Roman"/>
          <w:snapToGrid/>
          <w:sz w:val="24"/>
          <w:szCs w:val="24"/>
          <w:lang w:eastAsia="en-AU"/>
        </w:rPr>
      </w:pPr>
    </w:p>
    <w:p w:rsidR="00775B1C" w:rsidRPr="00775B1C" w:rsidRDefault="00775B1C" w:rsidP="008F17F0">
      <w:pPr>
        <w:pStyle w:val="PBACHeading1"/>
        <w:rPr>
          <w:snapToGrid/>
        </w:rPr>
      </w:pPr>
      <w:r w:rsidRPr="00775B1C">
        <w:rPr>
          <w:snapToGrid/>
        </w:rPr>
        <w:lastRenderedPageBreak/>
        <w:t>Sponsor’s Comment</w:t>
      </w:r>
    </w:p>
    <w:p w:rsidR="00775B1C" w:rsidRDefault="00775B1C" w:rsidP="0027576E">
      <w:pPr>
        <w:ind w:left="720"/>
        <w:rPr>
          <w:rFonts w:cs="Times New Roman"/>
          <w:snapToGrid/>
          <w:szCs w:val="22"/>
          <w:lang w:eastAsia="en-AU"/>
        </w:rPr>
      </w:pPr>
    </w:p>
    <w:p w:rsidR="00C74733" w:rsidRPr="00481281" w:rsidRDefault="0094413E" w:rsidP="0094413E">
      <w:pPr>
        <w:ind w:left="720"/>
        <w:jc w:val="left"/>
        <w:rPr>
          <w:b/>
          <w:i/>
          <w:szCs w:val="22"/>
        </w:rPr>
      </w:pPr>
      <w:r w:rsidRPr="0094413E">
        <w:t xml:space="preserve">Gilead looks forward to working with the Department in order to achieve PBS listing </w:t>
      </w:r>
      <w:bookmarkStart w:id="15" w:name="_GoBack"/>
      <w:bookmarkEnd w:id="15"/>
      <w:r w:rsidRPr="0094413E">
        <w:t>for Zydelig for patients with refractory/relapsed disease</w:t>
      </w:r>
      <w:r w:rsidR="0027576E" w:rsidRPr="00161FB5">
        <w:t>.</w:t>
      </w:r>
    </w:p>
    <w:sectPr w:rsidR="00C74733" w:rsidRPr="00481281" w:rsidSect="001F0C45">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D8643B" w15:done="0"/>
  <w15:commentEx w15:paraId="3589DD43" w15:done="0"/>
  <w15:commentEx w15:paraId="21AE5428" w15:done="0"/>
  <w15:commentEx w15:paraId="37DF460B" w15:done="0"/>
  <w15:commentEx w15:paraId="18CCB62E" w15:done="0"/>
  <w15:commentEx w15:paraId="0B8EE0BA" w15:done="0"/>
  <w15:commentEx w15:paraId="07FE3D4D" w15:done="0"/>
  <w15:commentEx w15:paraId="3F8271D6" w15:done="0"/>
  <w15:commentEx w15:paraId="0A5607C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398" w:rsidRDefault="00B05398" w:rsidP="00124A51">
      <w:r>
        <w:separator/>
      </w:r>
    </w:p>
  </w:endnote>
  <w:endnote w:type="continuationSeparator" w:id="0">
    <w:p w:rsidR="00B05398" w:rsidRDefault="00B05398"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398" w:rsidRDefault="00B053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0336991"/>
      <w:docPartObj>
        <w:docPartGallery w:val="Page Numbers (Bottom of Page)"/>
        <w:docPartUnique/>
      </w:docPartObj>
    </w:sdtPr>
    <w:sdtEndPr>
      <w:rPr>
        <w:noProof/>
      </w:rPr>
    </w:sdtEndPr>
    <w:sdtContent>
      <w:p w:rsidR="008242A4" w:rsidRDefault="008242A4">
        <w:pPr>
          <w:pStyle w:val="Footer"/>
          <w:jc w:val="center"/>
        </w:pPr>
        <w:r>
          <w:fldChar w:fldCharType="begin"/>
        </w:r>
        <w:r>
          <w:instrText xml:space="preserve"> PAGE   \* MERGEFORMAT </w:instrText>
        </w:r>
        <w:r>
          <w:fldChar w:fldCharType="separate"/>
        </w:r>
        <w:r w:rsidR="0094413E">
          <w:rPr>
            <w:noProof/>
          </w:rPr>
          <w:t>2</w:t>
        </w:r>
        <w:r>
          <w:rPr>
            <w:noProof/>
          </w:rPr>
          <w:fldChar w:fldCharType="end"/>
        </w:r>
      </w:p>
    </w:sdtContent>
  </w:sdt>
  <w:p w:rsidR="008242A4" w:rsidRDefault="008242A4" w:rsidP="00DD2880">
    <w:pPr>
      <w:ind w:left="709"/>
      <w:contextualSpacing/>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398" w:rsidRDefault="00B053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398" w:rsidRDefault="00B05398" w:rsidP="00124A51">
      <w:r>
        <w:separator/>
      </w:r>
    </w:p>
  </w:footnote>
  <w:footnote w:type="continuationSeparator" w:id="0">
    <w:p w:rsidR="00B05398" w:rsidRDefault="00B05398" w:rsidP="00124A51">
      <w:r>
        <w:continuationSeparator/>
      </w:r>
    </w:p>
  </w:footnote>
  <w:footnote w:id="1">
    <w:p w:rsidR="008242A4" w:rsidRDefault="008242A4" w:rsidP="00C86101">
      <w:pPr>
        <w:pStyle w:val="FootnoteText"/>
      </w:pPr>
      <w:r>
        <w:rPr>
          <w:rStyle w:val="FootnoteReference"/>
        </w:rPr>
        <w:footnoteRef/>
      </w:r>
      <w:r>
        <w:t xml:space="preserve"> </w:t>
      </w:r>
      <w:r w:rsidRPr="008053E8">
        <w:rPr>
          <w:rFonts w:ascii="Arial Narrow" w:hAnsi="Arial Narrow"/>
        </w:rPr>
        <w:t>Horning S, Rosenberg S. The Natural History of Initially Untreated Low-Grade Non-Hodgkin's Lymphomas. N Engl J Med 1984; 311:1471-1475</w:t>
      </w:r>
      <w:r>
        <w:t xml:space="preserve"> </w:t>
      </w:r>
    </w:p>
  </w:footnote>
  <w:footnote w:id="2">
    <w:p w:rsidR="008242A4" w:rsidRDefault="008242A4">
      <w:pPr>
        <w:pStyle w:val="FootnoteText"/>
      </w:pPr>
      <w:r>
        <w:rPr>
          <w:rStyle w:val="FootnoteReference"/>
        </w:rPr>
        <w:footnoteRef/>
      </w:r>
      <w:r>
        <w:t xml:space="preserve"> </w:t>
      </w:r>
      <w:r w:rsidRPr="000D2B3E">
        <w:rPr>
          <w:rFonts w:ascii="Arial Narrow" w:hAnsi="Arial Narrow"/>
          <w:sz w:val="18"/>
          <w:szCs w:val="18"/>
        </w:rPr>
        <w:t>Gopal, Ajay K., et al. "Mature Follow up from a Phase 2 Study of PI3K-Delta Inhibitor Idelalisib in Patients with Double (Rituximab and Alkylating agent)-Refractory Indolent B-Cell Non-Hodgkin Lymphoma (iNHL)." Blood 124.21 (2014): 1708-1708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398" w:rsidRDefault="00B053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2A4" w:rsidRPr="00DF217D" w:rsidRDefault="008242A4" w:rsidP="00F17EF3">
    <w:pPr>
      <w:pStyle w:val="Header"/>
      <w:jc w:val="center"/>
      <w:rPr>
        <w:i/>
        <w:color w:val="808080"/>
      </w:rPr>
    </w:pPr>
    <w:r w:rsidRPr="000D6DF3">
      <w:rPr>
        <w:i/>
        <w:color w:val="808080"/>
      </w:rPr>
      <w:t>Public Summary Document</w:t>
    </w:r>
    <w:r>
      <w:rPr>
        <w:i/>
        <w:color w:val="808080"/>
      </w:rPr>
      <w:t xml:space="preserve"> </w:t>
    </w:r>
    <w:r w:rsidRPr="00DF217D">
      <w:rPr>
        <w:i/>
        <w:color w:val="808080"/>
      </w:rPr>
      <w:t xml:space="preserve">– </w:t>
    </w:r>
    <w:r>
      <w:rPr>
        <w:i/>
        <w:color w:val="808080"/>
      </w:rPr>
      <w:t xml:space="preserve">March 2015 </w:t>
    </w:r>
    <w:r w:rsidRPr="00DF217D">
      <w:rPr>
        <w:i/>
        <w:color w:val="808080"/>
      </w:rPr>
      <w:t>PBAC</w:t>
    </w:r>
    <w:r>
      <w:rPr>
        <w:i/>
        <w:color w:val="808080"/>
      </w:rPr>
      <w:t xml:space="preserve"> </w:t>
    </w:r>
    <w:r w:rsidRPr="00DF217D">
      <w:rPr>
        <w:i/>
        <w:color w:val="808080"/>
      </w:rPr>
      <w:t>Meeting</w:t>
    </w:r>
  </w:p>
  <w:p w:rsidR="008242A4" w:rsidRPr="000D2B3E" w:rsidRDefault="008242A4" w:rsidP="000D2B3E">
    <w:pPr>
      <w:pStyle w:val="Header"/>
      <w:jc w:val="center"/>
      <w:rPr>
        <w:i/>
        <w:color w:val="8080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398" w:rsidRDefault="00B053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2C0253A"/>
    <w:multiLevelType w:val="hybridMultilevel"/>
    <w:tmpl w:val="BFAEE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1277CD"/>
    <w:multiLevelType w:val="hybridMultilevel"/>
    <w:tmpl w:val="68DC2C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EC765B"/>
    <w:multiLevelType w:val="hybridMultilevel"/>
    <w:tmpl w:val="97727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5540B9D"/>
    <w:multiLevelType w:val="hybridMultilevel"/>
    <w:tmpl w:val="88769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62E3D85"/>
    <w:multiLevelType w:val="hybridMultilevel"/>
    <w:tmpl w:val="8C46BA5A"/>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09D44420"/>
    <w:multiLevelType w:val="hybridMultilevel"/>
    <w:tmpl w:val="8C202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0AF34CCB"/>
    <w:multiLevelType w:val="hybridMultilevel"/>
    <w:tmpl w:val="9ADEE38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nsid w:val="0F696A22"/>
    <w:multiLevelType w:val="hybridMultilevel"/>
    <w:tmpl w:val="EEBC3AC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nsid w:val="0F8C1CB7"/>
    <w:multiLevelType w:val="hybridMultilevel"/>
    <w:tmpl w:val="7F10E750"/>
    <w:lvl w:ilvl="0" w:tplc="0C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4750C1A"/>
    <w:multiLevelType w:val="hybridMultilevel"/>
    <w:tmpl w:val="C99E5F3E"/>
    <w:lvl w:ilvl="0" w:tplc="6F6E4D4A">
      <w:start w:val="1"/>
      <w:numFmt w:val="bullet"/>
      <w:lvlText w:val="o"/>
      <w:lvlJc w:val="left"/>
      <w:pPr>
        <w:tabs>
          <w:tab w:val="num" w:pos="720"/>
        </w:tabs>
        <w:ind w:left="720"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5A04F9A"/>
    <w:multiLevelType w:val="hybridMultilevel"/>
    <w:tmpl w:val="F5DA2F1C"/>
    <w:lvl w:ilvl="0" w:tplc="FFFFFFFF">
      <w:start w:val="1"/>
      <w:numFmt w:val="bullet"/>
      <w:lvlText w:val=""/>
      <w:lvlJc w:val="left"/>
      <w:pPr>
        <w:tabs>
          <w:tab w:val="num" w:pos="720"/>
        </w:tabs>
        <w:ind w:left="720" w:hanging="360"/>
      </w:pPr>
      <w:rPr>
        <w:rFonts w:ascii="Symbol" w:hAnsi="Symbol" w:hint="default"/>
      </w:rPr>
    </w:lvl>
    <w:lvl w:ilvl="1" w:tplc="F488CFD6">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15E943F4"/>
    <w:multiLevelType w:val="hybridMultilevel"/>
    <w:tmpl w:val="084EE4E4"/>
    <w:lvl w:ilvl="0" w:tplc="CF4C54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7997C54"/>
    <w:multiLevelType w:val="hybridMultilevel"/>
    <w:tmpl w:val="1818D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9A92486"/>
    <w:multiLevelType w:val="hybridMultilevel"/>
    <w:tmpl w:val="A4583A2C"/>
    <w:lvl w:ilvl="0" w:tplc="0C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7">
    <w:nsid w:val="19F221D1"/>
    <w:multiLevelType w:val="hybridMultilevel"/>
    <w:tmpl w:val="EDCEB7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1A4751D0"/>
    <w:multiLevelType w:val="hybridMultilevel"/>
    <w:tmpl w:val="9BE06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BBB7A27"/>
    <w:multiLevelType w:val="hybridMultilevel"/>
    <w:tmpl w:val="DFECE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nsid w:val="1C1A4C8B"/>
    <w:multiLevelType w:val="hybridMultilevel"/>
    <w:tmpl w:val="4AFE7F0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1C8F6258"/>
    <w:multiLevelType w:val="hybridMultilevel"/>
    <w:tmpl w:val="25D6F4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910" w:hanging="360"/>
      </w:pPr>
      <w:rPr>
        <w:rFonts w:ascii="Courier New" w:hAnsi="Courier New" w:cs="Courier New" w:hint="default"/>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22">
    <w:nsid w:val="1D8239F6"/>
    <w:multiLevelType w:val="hybridMultilevel"/>
    <w:tmpl w:val="9FB42688"/>
    <w:lvl w:ilvl="0" w:tplc="0809000F">
      <w:start w:val="1"/>
      <w:numFmt w:val="decimal"/>
      <w:lvlText w:val="%1."/>
      <w:lvlJc w:val="left"/>
      <w:pPr>
        <w:ind w:left="360" w:hanging="360"/>
      </w:p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3">
    <w:nsid w:val="1D851CEB"/>
    <w:multiLevelType w:val="hybridMultilevel"/>
    <w:tmpl w:val="5260C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23F0E0B"/>
    <w:multiLevelType w:val="hybridMultilevel"/>
    <w:tmpl w:val="BC3AAF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23A52CBF"/>
    <w:multiLevelType w:val="hybridMultilevel"/>
    <w:tmpl w:val="42369BF0"/>
    <w:lvl w:ilvl="0" w:tplc="D9F04666">
      <w:start w:val="8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4CC54E7"/>
    <w:multiLevelType w:val="hybridMultilevel"/>
    <w:tmpl w:val="CF0203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26A42768"/>
    <w:multiLevelType w:val="hybridMultilevel"/>
    <w:tmpl w:val="12C0BAB6"/>
    <w:lvl w:ilvl="0" w:tplc="1E44919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09"/>
        </w:tabs>
        <w:ind w:left="1209" w:hanging="360"/>
      </w:pPr>
      <w:rPr>
        <w:rFonts w:ascii="Courier New" w:hAnsi="Courier New" w:cs="Courier New" w:hint="default"/>
      </w:rPr>
    </w:lvl>
    <w:lvl w:ilvl="2" w:tplc="04090005" w:tentative="1">
      <w:start w:val="1"/>
      <w:numFmt w:val="bullet"/>
      <w:lvlText w:val=""/>
      <w:lvlJc w:val="left"/>
      <w:pPr>
        <w:tabs>
          <w:tab w:val="num" w:pos="1929"/>
        </w:tabs>
        <w:ind w:left="1929" w:hanging="360"/>
      </w:pPr>
      <w:rPr>
        <w:rFonts w:ascii="Wingdings" w:hAnsi="Wingdings" w:hint="default"/>
      </w:rPr>
    </w:lvl>
    <w:lvl w:ilvl="3" w:tplc="04090001" w:tentative="1">
      <w:start w:val="1"/>
      <w:numFmt w:val="bullet"/>
      <w:lvlText w:val=""/>
      <w:lvlJc w:val="left"/>
      <w:pPr>
        <w:tabs>
          <w:tab w:val="num" w:pos="2649"/>
        </w:tabs>
        <w:ind w:left="2649" w:hanging="360"/>
      </w:pPr>
      <w:rPr>
        <w:rFonts w:ascii="Symbol" w:hAnsi="Symbol" w:hint="default"/>
      </w:rPr>
    </w:lvl>
    <w:lvl w:ilvl="4" w:tplc="04090003" w:tentative="1">
      <w:start w:val="1"/>
      <w:numFmt w:val="bullet"/>
      <w:lvlText w:val="o"/>
      <w:lvlJc w:val="left"/>
      <w:pPr>
        <w:tabs>
          <w:tab w:val="num" w:pos="3369"/>
        </w:tabs>
        <w:ind w:left="3369" w:hanging="360"/>
      </w:pPr>
      <w:rPr>
        <w:rFonts w:ascii="Courier New" w:hAnsi="Courier New" w:cs="Courier New" w:hint="default"/>
      </w:rPr>
    </w:lvl>
    <w:lvl w:ilvl="5" w:tplc="04090005" w:tentative="1">
      <w:start w:val="1"/>
      <w:numFmt w:val="bullet"/>
      <w:lvlText w:val=""/>
      <w:lvlJc w:val="left"/>
      <w:pPr>
        <w:tabs>
          <w:tab w:val="num" w:pos="4089"/>
        </w:tabs>
        <w:ind w:left="4089" w:hanging="360"/>
      </w:pPr>
      <w:rPr>
        <w:rFonts w:ascii="Wingdings" w:hAnsi="Wingdings" w:hint="default"/>
      </w:rPr>
    </w:lvl>
    <w:lvl w:ilvl="6" w:tplc="04090001" w:tentative="1">
      <w:start w:val="1"/>
      <w:numFmt w:val="bullet"/>
      <w:lvlText w:val=""/>
      <w:lvlJc w:val="left"/>
      <w:pPr>
        <w:tabs>
          <w:tab w:val="num" w:pos="4809"/>
        </w:tabs>
        <w:ind w:left="4809" w:hanging="360"/>
      </w:pPr>
      <w:rPr>
        <w:rFonts w:ascii="Symbol" w:hAnsi="Symbol" w:hint="default"/>
      </w:rPr>
    </w:lvl>
    <w:lvl w:ilvl="7" w:tplc="04090003" w:tentative="1">
      <w:start w:val="1"/>
      <w:numFmt w:val="bullet"/>
      <w:lvlText w:val="o"/>
      <w:lvlJc w:val="left"/>
      <w:pPr>
        <w:tabs>
          <w:tab w:val="num" w:pos="5529"/>
        </w:tabs>
        <w:ind w:left="5529" w:hanging="360"/>
      </w:pPr>
      <w:rPr>
        <w:rFonts w:ascii="Courier New" w:hAnsi="Courier New" w:cs="Courier New" w:hint="default"/>
      </w:rPr>
    </w:lvl>
    <w:lvl w:ilvl="8" w:tplc="04090005" w:tentative="1">
      <w:start w:val="1"/>
      <w:numFmt w:val="bullet"/>
      <w:lvlText w:val=""/>
      <w:lvlJc w:val="left"/>
      <w:pPr>
        <w:tabs>
          <w:tab w:val="num" w:pos="6249"/>
        </w:tabs>
        <w:ind w:left="6249" w:hanging="360"/>
      </w:pPr>
      <w:rPr>
        <w:rFonts w:ascii="Wingdings" w:hAnsi="Wingdings" w:hint="default"/>
      </w:rPr>
    </w:lvl>
  </w:abstractNum>
  <w:abstractNum w:abstractNumId="29">
    <w:nsid w:val="285041AE"/>
    <w:multiLevelType w:val="hybridMultilevel"/>
    <w:tmpl w:val="C6183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69"/>
        </w:tabs>
        <w:ind w:left="1569" w:hanging="360"/>
      </w:pPr>
      <w:rPr>
        <w:rFonts w:ascii="Courier New" w:hAnsi="Courier New" w:cs="Courier New" w:hint="default"/>
      </w:rPr>
    </w:lvl>
    <w:lvl w:ilvl="2" w:tplc="04090005" w:tentative="1">
      <w:start w:val="1"/>
      <w:numFmt w:val="bullet"/>
      <w:lvlText w:val=""/>
      <w:lvlJc w:val="left"/>
      <w:pPr>
        <w:tabs>
          <w:tab w:val="num" w:pos="2289"/>
        </w:tabs>
        <w:ind w:left="2289" w:hanging="360"/>
      </w:pPr>
      <w:rPr>
        <w:rFonts w:ascii="Wingdings" w:hAnsi="Wingdings" w:hint="default"/>
      </w:rPr>
    </w:lvl>
    <w:lvl w:ilvl="3" w:tplc="04090001" w:tentative="1">
      <w:start w:val="1"/>
      <w:numFmt w:val="bullet"/>
      <w:lvlText w:val=""/>
      <w:lvlJc w:val="left"/>
      <w:pPr>
        <w:tabs>
          <w:tab w:val="num" w:pos="3009"/>
        </w:tabs>
        <w:ind w:left="3009" w:hanging="360"/>
      </w:pPr>
      <w:rPr>
        <w:rFonts w:ascii="Symbol" w:hAnsi="Symbol" w:hint="default"/>
      </w:rPr>
    </w:lvl>
    <w:lvl w:ilvl="4" w:tplc="04090003" w:tentative="1">
      <w:start w:val="1"/>
      <w:numFmt w:val="bullet"/>
      <w:lvlText w:val="o"/>
      <w:lvlJc w:val="left"/>
      <w:pPr>
        <w:tabs>
          <w:tab w:val="num" w:pos="3729"/>
        </w:tabs>
        <w:ind w:left="3729" w:hanging="360"/>
      </w:pPr>
      <w:rPr>
        <w:rFonts w:ascii="Courier New" w:hAnsi="Courier New" w:cs="Courier New" w:hint="default"/>
      </w:rPr>
    </w:lvl>
    <w:lvl w:ilvl="5" w:tplc="04090005" w:tentative="1">
      <w:start w:val="1"/>
      <w:numFmt w:val="bullet"/>
      <w:lvlText w:val=""/>
      <w:lvlJc w:val="left"/>
      <w:pPr>
        <w:tabs>
          <w:tab w:val="num" w:pos="4449"/>
        </w:tabs>
        <w:ind w:left="4449" w:hanging="360"/>
      </w:pPr>
      <w:rPr>
        <w:rFonts w:ascii="Wingdings" w:hAnsi="Wingdings" w:hint="default"/>
      </w:rPr>
    </w:lvl>
    <w:lvl w:ilvl="6" w:tplc="04090001" w:tentative="1">
      <w:start w:val="1"/>
      <w:numFmt w:val="bullet"/>
      <w:lvlText w:val=""/>
      <w:lvlJc w:val="left"/>
      <w:pPr>
        <w:tabs>
          <w:tab w:val="num" w:pos="5169"/>
        </w:tabs>
        <w:ind w:left="5169" w:hanging="360"/>
      </w:pPr>
      <w:rPr>
        <w:rFonts w:ascii="Symbol" w:hAnsi="Symbol" w:hint="default"/>
      </w:rPr>
    </w:lvl>
    <w:lvl w:ilvl="7" w:tplc="04090003" w:tentative="1">
      <w:start w:val="1"/>
      <w:numFmt w:val="bullet"/>
      <w:lvlText w:val="o"/>
      <w:lvlJc w:val="left"/>
      <w:pPr>
        <w:tabs>
          <w:tab w:val="num" w:pos="5889"/>
        </w:tabs>
        <w:ind w:left="5889" w:hanging="360"/>
      </w:pPr>
      <w:rPr>
        <w:rFonts w:ascii="Courier New" w:hAnsi="Courier New" w:cs="Courier New" w:hint="default"/>
      </w:rPr>
    </w:lvl>
    <w:lvl w:ilvl="8" w:tplc="04090005" w:tentative="1">
      <w:start w:val="1"/>
      <w:numFmt w:val="bullet"/>
      <w:lvlText w:val=""/>
      <w:lvlJc w:val="left"/>
      <w:pPr>
        <w:tabs>
          <w:tab w:val="num" w:pos="6609"/>
        </w:tabs>
        <w:ind w:left="6609" w:hanging="360"/>
      </w:pPr>
      <w:rPr>
        <w:rFonts w:ascii="Wingdings" w:hAnsi="Wingdings" w:hint="default"/>
      </w:rPr>
    </w:lvl>
  </w:abstractNum>
  <w:abstractNum w:abstractNumId="30">
    <w:nsid w:val="2E2E51B4"/>
    <w:multiLevelType w:val="hybridMultilevel"/>
    <w:tmpl w:val="0464C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2F9B100B"/>
    <w:multiLevelType w:val="hybridMultilevel"/>
    <w:tmpl w:val="A26A4E3C"/>
    <w:lvl w:ilvl="0" w:tplc="199822E8">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nsid w:val="2FC5586D"/>
    <w:multiLevelType w:val="hybridMultilevel"/>
    <w:tmpl w:val="0FCC4F3E"/>
    <w:lvl w:ilvl="0" w:tplc="87683F6A">
      <w:start w:val="18"/>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306014AD"/>
    <w:multiLevelType w:val="hybridMultilevel"/>
    <w:tmpl w:val="D0D03B0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4">
    <w:nsid w:val="307D77EA"/>
    <w:multiLevelType w:val="hybridMultilevel"/>
    <w:tmpl w:val="5A5CF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30961F14"/>
    <w:multiLevelType w:val="hybridMultilevel"/>
    <w:tmpl w:val="FF5298A2"/>
    <w:lvl w:ilvl="0" w:tplc="097AE88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3521ECC"/>
    <w:multiLevelType w:val="hybridMultilevel"/>
    <w:tmpl w:val="7D2ECA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nsid w:val="335A32E9"/>
    <w:multiLevelType w:val="hybridMultilevel"/>
    <w:tmpl w:val="DD045BF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34FA1C89"/>
    <w:multiLevelType w:val="hybridMultilevel"/>
    <w:tmpl w:val="F5566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35D02A24"/>
    <w:multiLevelType w:val="hybridMultilevel"/>
    <w:tmpl w:val="D4007CF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0">
    <w:nsid w:val="35E006C1"/>
    <w:multiLevelType w:val="hybridMultilevel"/>
    <w:tmpl w:val="8ADCAF52"/>
    <w:lvl w:ilvl="0" w:tplc="1E44919A">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38085102"/>
    <w:multiLevelType w:val="hybridMultilevel"/>
    <w:tmpl w:val="F88810B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2">
    <w:nsid w:val="39583656"/>
    <w:multiLevelType w:val="hybridMultilevel"/>
    <w:tmpl w:val="7876E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3959548C"/>
    <w:multiLevelType w:val="hybridMultilevel"/>
    <w:tmpl w:val="AF46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39F528C2"/>
    <w:multiLevelType w:val="hybridMultilevel"/>
    <w:tmpl w:val="84BC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3AED5E67"/>
    <w:multiLevelType w:val="hybridMultilevel"/>
    <w:tmpl w:val="E960CF24"/>
    <w:lvl w:ilvl="0" w:tplc="98FA208C">
      <w:start w:val="1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3B7C34E2"/>
    <w:multiLevelType w:val="hybridMultilevel"/>
    <w:tmpl w:val="03481C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3E0E542F"/>
    <w:multiLevelType w:val="hybridMultilevel"/>
    <w:tmpl w:val="9FB42688"/>
    <w:lvl w:ilvl="0" w:tplc="0809000F">
      <w:start w:val="1"/>
      <w:numFmt w:val="decimal"/>
      <w:lvlText w:val="%1."/>
      <w:lvlJc w:val="left"/>
      <w:pPr>
        <w:ind w:left="360" w:hanging="360"/>
      </w:p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48">
    <w:nsid w:val="3E590C30"/>
    <w:multiLevelType w:val="hybridMultilevel"/>
    <w:tmpl w:val="684E0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3E7F50D6"/>
    <w:multiLevelType w:val="hybridMultilevel"/>
    <w:tmpl w:val="CE4A6E28"/>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50">
    <w:nsid w:val="40663BD9"/>
    <w:multiLevelType w:val="hybridMultilevel"/>
    <w:tmpl w:val="7B7CE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40E253D1"/>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52">
    <w:nsid w:val="420B6ECC"/>
    <w:multiLevelType w:val="hybridMultilevel"/>
    <w:tmpl w:val="4C70CE16"/>
    <w:lvl w:ilvl="0" w:tplc="DEFAC1A4">
      <w:start w:val="1"/>
      <w:numFmt w:val="bullet"/>
      <w:pStyle w:val="NormalBulletList"/>
      <w:lvlText w:val=""/>
      <w:lvlJc w:val="left"/>
      <w:pPr>
        <w:ind w:left="720" w:hanging="360"/>
      </w:pPr>
      <w:rPr>
        <w:rFonts w:ascii="Symbol" w:hAnsi="Symbol" w:hint="default"/>
      </w:rPr>
    </w:lvl>
    <w:lvl w:ilvl="1" w:tplc="CC2ADE4A">
      <w:start w:val="1"/>
      <w:numFmt w:val="bullet"/>
      <w:lvlText w:val="o"/>
      <w:lvlJc w:val="left"/>
      <w:pPr>
        <w:ind w:left="1440" w:hanging="360"/>
      </w:pPr>
      <w:rPr>
        <w:rFonts w:ascii="Courier New" w:hAnsi="Courier New" w:cs="Courier New" w:hint="default"/>
      </w:rPr>
    </w:lvl>
    <w:lvl w:ilvl="2" w:tplc="61E61A46" w:tentative="1">
      <w:start w:val="1"/>
      <w:numFmt w:val="bullet"/>
      <w:lvlText w:val=""/>
      <w:lvlJc w:val="left"/>
      <w:pPr>
        <w:ind w:left="2160" w:hanging="360"/>
      </w:pPr>
      <w:rPr>
        <w:rFonts w:ascii="Wingdings" w:hAnsi="Wingdings" w:hint="default"/>
      </w:rPr>
    </w:lvl>
    <w:lvl w:ilvl="3" w:tplc="48E8658E" w:tentative="1">
      <w:start w:val="1"/>
      <w:numFmt w:val="bullet"/>
      <w:lvlText w:val=""/>
      <w:lvlJc w:val="left"/>
      <w:pPr>
        <w:ind w:left="2880" w:hanging="360"/>
      </w:pPr>
      <w:rPr>
        <w:rFonts w:ascii="Symbol" w:hAnsi="Symbol" w:hint="default"/>
      </w:rPr>
    </w:lvl>
    <w:lvl w:ilvl="4" w:tplc="4EE87910" w:tentative="1">
      <w:start w:val="1"/>
      <w:numFmt w:val="bullet"/>
      <w:lvlText w:val="o"/>
      <w:lvlJc w:val="left"/>
      <w:pPr>
        <w:ind w:left="3600" w:hanging="360"/>
      </w:pPr>
      <w:rPr>
        <w:rFonts w:ascii="Courier New" w:hAnsi="Courier New" w:cs="Courier New" w:hint="default"/>
      </w:rPr>
    </w:lvl>
    <w:lvl w:ilvl="5" w:tplc="E2D8FC36" w:tentative="1">
      <w:start w:val="1"/>
      <w:numFmt w:val="bullet"/>
      <w:lvlText w:val=""/>
      <w:lvlJc w:val="left"/>
      <w:pPr>
        <w:ind w:left="4320" w:hanging="360"/>
      </w:pPr>
      <w:rPr>
        <w:rFonts w:ascii="Wingdings" w:hAnsi="Wingdings" w:hint="default"/>
      </w:rPr>
    </w:lvl>
    <w:lvl w:ilvl="6" w:tplc="4B22A9DC" w:tentative="1">
      <w:start w:val="1"/>
      <w:numFmt w:val="bullet"/>
      <w:lvlText w:val=""/>
      <w:lvlJc w:val="left"/>
      <w:pPr>
        <w:ind w:left="5040" w:hanging="360"/>
      </w:pPr>
      <w:rPr>
        <w:rFonts w:ascii="Symbol" w:hAnsi="Symbol" w:hint="default"/>
      </w:rPr>
    </w:lvl>
    <w:lvl w:ilvl="7" w:tplc="02445202" w:tentative="1">
      <w:start w:val="1"/>
      <w:numFmt w:val="bullet"/>
      <w:lvlText w:val="o"/>
      <w:lvlJc w:val="left"/>
      <w:pPr>
        <w:ind w:left="5760" w:hanging="360"/>
      </w:pPr>
      <w:rPr>
        <w:rFonts w:ascii="Courier New" w:hAnsi="Courier New" w:cs="Courier New" w:hint="default"/>
      </w:rPr>
    </w:lvl>
    <w:lvl w:ilvl="8" w:tplc="947490A4" w:tentative="1">
      <w:start w:val="1"/>
      <w:numFmt w:val="bullet"/>
      <w:lvlText w:val=""/>
      <w:lvlJc w:val="left"/>
      <w:pPr>
        <w:ind w:left="6480" w:hanging="360"/>
      </w:pPr>
      <w:rPr>
        <w:rFonts w:ascii="Wingdings" w:hAnsi="Wingdings" w:hint="default"/>
      </w:rPr>
    </w:lvl>
  </w:abstractNum>
  <w:abstractNum w:abstractNumId="53">
    <w:nsid w:val="44024F30"/>
    <w:multiLevelType w:val="hybridMultilevel"/>
    <w:tmpl w:val="57B06446"/>
    <w:lvl w:ilvl="0" w:tplc="097AE88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4C04CE0"/>
    <w:multiLevelType w:val="hybridMultilevel"/>
    <w:tmpl w:val="022A3F42"/>
    <w:lvl w:ilvl="0" w:tplc="8CCE4B58">
      <w:start w:val="1"/>
      <w:numFmt w:val="bullet"/>
      <w:lvlText w:val="-"/>
      <w:lvlJc w:val="left"/>
      <w:pPr>
        <w:ind w:left="720" w:hanging="360"/>
      </w:pPr>
      <w:rPr>
        <w:rFonts w:ascii="Times New Roman" w:eastAsia="Times New Roman" w:hAnsi="Times New Roman" w:cs="Times New Roman"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45B1667D"/>
    <w:multiLevelType w:val="hybridMultilevel"/>
    <w:tmpl w:val="3746CC56"/>
    <w:lvl w:ilvl="0" w:tplc="2AD464E6">
      <w:start w:val="1"/>
      <w:numFmt w:val="decimal"/>
      <w:lvlText w:val="%1)"/>
      <w:lvlJc w:val="left"/>
      <w:pPr>
        <w:ind w:left="435" w:hanging="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46F73ACD"/>
    <w:multiLevelType w:val="hybridMultilevel"/>
    <w:tmpl w:val="F0C8F37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58">
    <w:nsid w:val="4E12442E"/>
    <w:multiLevelType w:val="hybridMultilevel"/>
    <w:tmpl w:val="98A0D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4EC64711"/>
    <w:multiLevelType w:val="hybridMultilevel"/>
    <w:tmpl w:val="A7305AC4"/>
    <w:lvl w:ilvl="0" w:tplc="552CCE22">
      <w:numFmt w:val="bullet"/>
      <w:lvlText w:val="-"/>
      <w:lvlJc w:val="left"/>
      <w:pPr>
        <w:ind w:left="1440" w:hanging="360"/>
      </w:pPr>
      <w:rPr>
        <w:rFonts w:ascii="Arial" w:eastAsia="Times New Roman" w:hAnsi="Arial" w:cs="Aria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0">
    <w:nsid w:val="4FD1593A"/>
    <w:multiLevelType w:val="hybridMultilevel"/>
    <w:tmpl w:val="7EDE9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50190CD7"/>
    <w:multiLevelType w:val="hybridMultilevel"/>
    <w:tmpl w:val="A6E64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nsid w:val="502F6F7E"/>
    <w:multiLevelType w:val="hybridMultilevel"/>
    <w:tmpl w:val="FE34B1E4"/>
    <w:lvl w:ilvl="0" w:tplc="0C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63">
    <w:nsid w:val="527F1E5C"/>
    <w:multiLevelType w:val="hybridMultilevel"/>
    <w:tmpl w:val="A85A0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nsid w:val="535F2E63"/>
    <w:multiLevelType w:val="hybridMultilevel"/>
    <w:tmpl w:val="ACFA8786"/>
    <w:lvl w:ilvl="0" w:tplc="0809000F">
      <w:start w:val="1"/>
      <w:numFmt w:val="decimal"/>
      <w:lvlText w:val="%1."/>
      <w:lvlJc w:val="left"/>
      <w:pPr>
        <w:ind w:left="360" w:hanging="360"/>
      </w:p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65">
    <w:nsid w:val="54C425CA"/>
    <w:multiLevelType w:val="hybridMultilevel"/>
    <w:tmpl w:val="A3DA79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67">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nsid w:val="550724AF"/>
    <w:multiLevelType w:val="hybridMultilevel"/>
    <w:tmpl w:val="99863AD2"/>
    <w:lvl w:ilvl="0" w:tplc="C996FC1E">
      <w:numFmt w:val="bullet"/>
      <w:lvlText w:val="-"/>
      <w:lvlJc w:val="left"/>
      <w:pPr>
        <w:ind w:left="1636" w:hanging="360"/>
      </w:pPr>
      <w:rPr>
        <w:rFonts w:ascii="Arial" w:eastAsia="Times New Roman" w:hAnsi="Arial" w:cs="Arial" w:hint="default"/>
      </w:rPr>
    </w:lvl>
    <w:lvl w:ilvl="1" w:tplc="0C090003" w:tentative="1">
      <w:start w:val="1"/>
      <w:numFmt w:val="bullet"/>
      <w:lvlText w:val="o"/>
      <w:lvlJc w:val="left"/>
      <w:pPr>
        <w:ind w:left="2356" w:hanging="360"/>
      </w:pPr>
      <w:rPr>
        <w:rFonts w:ascii="Courier New" w:hAnsi="Courier New" w:cs="Courier New" w:hint="default"/>
      </w:rPr>
    </w:lvl>
    <w:lvl w:ilvl="2" w:tplc="0C090005" w:tentative="1">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abstractNum w:abstractNumId="69">
    <w:nsid w:val="56AD721C"/>
    <w:multiLevelType w:val="hybridMultilevel"/>
    <w:tmpl w:val="245E9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578F4567"/>
    <w:multiLevelType w:val="hybridMultilevel"/>
    <w:tmpl w:val="4A0AC70A"/>
    <w:lvl w:ilvl="0" w:tplc="2FDC6E0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nsid w:val="5A885874"/>
    <w:multiLevelType w:val="hybridMultilevel"/>
    <w:tmpl w:val="4CAE1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nsid w:val="5CDB19A1"/>
    <w:multiLevelType w:val="hybridMultilevel"/>
    <w:tmpl w:val="F19805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3">
    <w:nsid w:val="5DE31886"/>
    <w:multiLevelType w:val="hybridMultilevel"/>
    <w:tmpl w:val="E2DCC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nsid w:val="5DF6018C"/>
    <w:multiLevelType w:val="hybridMultilevel"/>
    <w:tmpl w:val="00F06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5E507D38"/>
    <w:multiLevelType w:val="hybridMultilevel"/>
    <w:tmpl w:val="3FCA9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nsid w:val="60084FBF"/>
    <w:multiLevelType w:val="hybridMultilevel"/>
    <w:tmpl w:val="47C2347C"/>
    <w:lvl w:ilvl="0" w:tplc="65423536">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nsid w:val="630B5E41"/>
    <w:multiLevelType w:val="hybridMultilevel"/>
    <w:tmpl w:val="72686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4845C61"/>
    <w:multiLevelType w:val="hybridMultilevel"/>
    <w:tmpl w:val="8A546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65623027"/>
    <w:multiLevelType w:val="hybridMultilevel"/>
    <w:tmpl w:val="FFEA6BF8"/>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81">
    <w:nsid w:val="67F20D59"/>
    <w:multiLevelType w:val="hybridMultilevel"/>
    <w:tmpl w:val="89A62B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nsid w:val="6968041C"/>
    <w:multiLevelType w:val="hybridMultilevel"/>
    <w:tmpl w:val="45D67740"/>
    <w:lvl w:ilvl="0" w:tplc="0C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83">
    <w:nsid w:val="6E520E5E"/>
    <w:multiLevelType w:val="hybridMultilevel"/>
    <w:tmpl w:val="9A70462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84">
    <w:nsid w:val="6EDE0C65"/>
    <w:multiLevelType w:val="hybridMultilevel"/>
    <w:tmpl w:val="5B264A18"/>
    <w:lvl w:ilvl="0" w:tplc="0C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85">
    <w:nsid w:val="6F794790"/>
    <w:multiLevelType w:val="hybridMultilevel"/>
    <w:tmpl w:val="8D322334"/>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nsid w:val="71807AFA"/>
    <w:multiLevelType w:val="hybridMultilevel"/>
    <w:tmpl w:val="3374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1D67527"/>
    <w:multiLevelType w:val="hybridMultilevel"/>
    <w:tmpl w:val="5B8A43B6"/>
    <w:lvl w:ilvl="0" w:tplc="097AE88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566237F"/>
    <w:multiLevelType w:val="hybridMultilevel"/>
    <w:tmpl w:val="0C3CD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nsid w:val="75BE4729"/>
    <w:multiLevelType w:val="hybridMultilevel"/>
    <w:tmpl w:val="4FEA3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5CB3328"/>
    <w:multiLevelType w:val="hybridMultilevel"/>
    <w:tmpl w:val="699AB15A"/>
    <w:lvl w:ilvl="0" w:tplc="0809000F">
      <w:start w:val="1"/>
      <w:numFmt w:val="decimal"/>
      <w:lvlText w:val="%1."/>
      <w:lvlJc w:val="left"/>
      <w:pPr>
        <w:ind w:left="360" w:hanging="360"/>
      </w:p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91">
    <w:nsid w:val="784D033C"/>
    <w:multiLevelType w:val="multilevel"/>
    <w:tmpl w:val="210E7474"/>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szCs w:val="22"/>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2">
    <w:nsid w:val="7AD512E9"/>
    <w:multiLevelType w:val="hybridMultilevel"/>
    <w:tmpl w:val="3B465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nsid w:val="7D86616F"/>
    <w:multiLevelType w:val="hybridMultilevel"/>
    <w:tmpl w:val="5A8AE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nsid w:val="7F3328A7"/>
    <w:multiLevelType w:val="hybridMultilevel"/>
    <w:tmpl w:val="7A36081E"/>
    <w:lvl w:ilvl="0" w:tplc="6F6E4D4A">
      <w:start w:val="1"/>
      <w:numFmt w:val="bullet"/>
      <w:lvlText w:val="o"/>
      <w:lvlJc w:val="left"/>
      <w:pPr>
        <w:tabs>
          <w:tab w:val="num" w:pos="720"/>
        </w:tabs>
        <w:ind w:left="720" w:hanging="360"/>
      </w:pPr>
      <w:rPr>
        <w:rFonts w:ascii="Courier New" w:hAnsi="Courier New"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6"/>
  </w:num>
  <w:num w:numId="3">
    <w:abstractNumId w:val="76"/>
  </w:num>
  <w:num w:numId="4">
    <w:abstractNumId w:val="47"/>
  </w:num>
  <w:num w:numId="5">
    <w:abstractNumId w:val="40"/>
  </w:num>
  <w:num w:numId="6">
    <w:abstractNumId w:val="88"/>
  </w:num>
  <w:num w:numId="7">
    <w:abstractNumId w:val="29"/>
  </w:num>
  <w:num w:numId="8">
    <w:abstractNumId w:val="28"/>
  </w:num>
  <w:num w:numId="9">
    <w:abstractNumId w:val="12"/>
  </w:num>
  <w:num w:numId="10">
    <w:abstractNumId w:val="94"/>
  </w:num>
  <w:num w:numId="11">
    <w:abstractNumId w:val="57"/>
  </w:num>
  <w:num w:numId="12">
    <w:abstractNumId w:val="51"/>
  </w:num>
  <w:num w:numId="13">
    <w:abstractNumId w:val="46"/>
  </w:num>
  <w:num w:numId="14">
    <w:abstractNumId w:val="3"/>
  </w:num>
  <w:num w:numId="15">
    <w:abstractNumId w:val="91"/>
  </w:num>
  <w:num w:numId="16">
    <w:abstractNumId w:val="71"/>
  </w:num>
  <w:num w:numId="17">
    <w:abstractNumId w:val="46"/>
  </w:num>
  <w:num w:numId="18">
    <w:abstractNumId w:val="84"/>
  </w:num>
  <w:num w:numId="19">
    <w:abstractNumId w:val="62"/>
  </w:num>
  <w:num w:numId="20">
    <w:abstractNumId w:val="16"/>
  </w:num>
  <w:num w:numId="21">
    <w:abstractNumId w:val="82"/>
  </w:num>
  <w:num w:numId="22">
    <w:abstractNumId w:val="77"/>
  </w:num>
  <w:num w:numId="23">
    <w:abstractNumId w:val="34"/>
  </w:num>
  <w:num w:numId="24">
    <w:abstractNumId w:val="52"/>
  </w:num>
  <w:num w:numId="25">
    <w:abstractNumId w:val="33"/>
  </w:num>
  <w:num w:numId="26">
    <w:abstractNumId w:val="49"/>
  </w:num>
  <w:num w:numId="27">
    <w:abstractNumId w:val="63"/>
  </w:num>
  <w:num w:numId="28">
    <w:abstractNumId w:val="72"/>
  </w:num>
  <w:num w:numId="29">
    <w:abstractNumId w:val="19"/>
  </w:num>
  <w:num w:numId="30">
    <w:abstractNumId w:val="79"/>
  </w:num>
  <w:num w:numId="31">
    <w:abstractNumId w:val="38"/>
  </w:num>
  <w:num w:numId="32">
    <w:abstractNumId w:val="18"/>
  </w:num>
  <w:num w:numId="33">
    <w:abstractNumId w:val="58"/>
  </w:num>
  <w:num w:numId="34">
    <w:abstractNumId w:val="17"/>
  </w:num>
  <w:num w:numId="35">
    <w:abstractNumId w:val="27"/>
  </w:num>
  <w:num w:numId="36">
    <w:abstractNumId w:val="29"/>
  </w:num>
  <w:num w:numId="37">
    <w:abstractNumId w:val="30"/>
  </w:num>
  <w:num w:numId="38">
    <w:abstractNumId w:val="61"/>
  </w:num>
  <w:num w:numId="39">
    <w:abstractNumId w:val="92"/>
  </w:num>
  <w:num w:numId="40">
    <w:abstractNumId w:val="7"/>
  </w:num>
  <w:num w:numId="41">
    <w:abstractNumId w:val="50"/>
  </w:num>
  <w:num w:numId="42">
    <w:abstractNumId w:val="64"/>
  </w:num>
  <w:num w:numId="43">
    <w:abstractNumId w:val="90"/>
  </w:num>
  <w:num w:numId="44">
    <w:abstractNumId w:val="22"/>
  </w:num>
  <w:num w:numId="45">
    <w:abstractNumId w:val="69"/>
  </w:num>
  <w:num w:numId="46">
    <w:abstractNumId w:val="60"/>
  </w:num>
  <w:num w:numId="47">
    <w:abstractNumId w:val="2"/>
  </w:num>
  <w:num w:numId="48">
    <w:abstractNumId w:val="6"/>
  </w:num>
  <w:num w:numId="49">
    <w:abstractNumId w:val="41"/>
  </w:num>
  <w:num w:numId="50">
    <w:abstractNumId w:val="43"/>
  </w:num>
  <w:num w:numId="51">
    <w:abstractNumId w:val="83"/>
  </w:num>
  <w:num w:numId="52">
    <w:abstractNumId w:val="44"/>
  </w:num>
  <w:num w:numId="53">
    <w:abstractNumId w:val="15"/>
  </w:num>
  <w:num w:numId="54">
    <w:abstractNumId w:val="1"/>
  </w:num>
  <w:num w:numId="55">
    <w:abstractNumId w:val="78"/>
  </w:num>
  <w:num w:numId="56">
    <w:abstractNumId w:val="35"/>
  </w:num>
  <w:num w:numId="57">
    <w:abstractNumId w:val="53"/>
  </w:num>
  <w:num w:numId="58">
    <w:abstractNumId w:val="87"/>
  </w:num>
  <w:num w:numId="59">
    <w:abstractNumId w:val="86"/>
  </w:num>
  <w:num w:numId="60">
    <w:abstractNumId w:val="5"/>
  </w:num>
  <w:num w:numId="61">
    <w:abstractNumId w:val="36"/>
  </w:num>
  <w:num w:numId="62">
    <w:abstractNumId w:val="48"/>
  </w:num>
  <w:num w:numId="63">
    <w:abstractNumId w:val="20"/>
  </w:num>
  <w:num w:numId="64">
    <w:abstractNumId w:val="11"/>
  </w:num>
  <w:num w:numId="65">
    <w:abstractNumId w:val="55"/>
  </w:num>
  <w:num w:numId="66">
    <w:abstractNumId w:val="75"/>
  </w:num>
  <w:num w:numId="67">
    <w:abstractNumId w:val="74"/>
  </w:num>
  <w:num w:numId="68">
    <w:abstractNumId w:val="93"/>
  </w:num>
  <w:num w:numId="69">
    <w:abstractNumId w:val="23"/>
  </w:num>
  <w:num w:numId="70">
    <w:abstractNumId w:val="14"/>
  </w:num>
  <w:num w:numId="71">
    <w:abstractNumId w:val="4"/>
  </w:num>
  <w:num w:numId="72">
    <w:abstractNumId w:val="42"/>
  </w:num>
  <w:num w:numId="73">
    <w:abstractNumId w:val="89"/>
  </w:num>
  <w:num w:numId="74">
    <w:abstractNumId w:val="73"/>
  </w:num>
  <w:num w:numId="75">
    <w:abstractNumId w:val="24"/>
  </w:num>
  <w:num w:numId="76">
    <w:abstractNumId w:val="9"/>
  </w:num>
  <w:num w:numId="77">
    <w:abstractNumId w:val="10"/>
  </w:num>
  <w:num w:numId="78">
    <w:abstractNumId w:val="39"/>
  </w:num>
  <w:num w:numId="79">
    <w:abstractNumId w:val="80"/>
  </w:num>
  <w:num w:numId="80">
    <w:abstractNumId w:val="81"/>
  </w:num>
  <w:num w:numId="81">
    <w:abstractNumId w:val="54"/>
  </w:num>
  <w:num w:numId="82">
    <w:abstractNumId w:val="37"/>
  </w:num>
  <w:num w:numId="83">
    <w:abstractNumId w:val="70"/>
  </w:num>
  <w:num w:numId="84">
    <w:abstractNumId w:val="21"/>
  </w:num>
  <w:num w:numId="85">
    <w:abstractNumId w:val="45"/>
  </w:num>
  <w:num w:numId="86">
    <w:abstractNumId w:val="32"/>
  </w:num>
  <w:num w:numId="87">
    <w:abstractNumId w:val="85"/>
  </w:num>
  <w:num w:numId="88">
    <w:abstractNumId w:val="59"/>
  </w:num>
  <w:num w:numId="89">
    <w:abstractNumId w:val="65"/>
  </w:num>
  <w:num w:numId="90">
    <w:abstractNumId w:val="66"/>
  </w:num>
  <w:num w:numId="91">
    <w:abstractNumId w:val="67"/>
  </w:num>
  <w:num w:numId="92">
    <w:abstractNumId w:val="8"/>
  </w:num>
  <w:num w:numId="93">
    <w:abstractNumId w:val="0"/>
  </w:num>
  <w:num w:numId="94">
    <w:abstractNumId w:val="26"/>
  </w:num>
  <w:num w:numId="95">
    <w:abstractNumId w:val="25"/>
  </w:num>
  <w:num w:numId="96">
    <w:abstractNumId w:val="31"/>
  </w:num>
  <w:num w:numId="97">
    <w:abstractNumId w:val="68"/>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s>
  <w:rsids>
    <w:rsidRoot w:val="0082495F"/>
    <w:rsid w:val="0000004F"/>
    <w:rsid w:val="00000790"/>
    <w:rsid w:val="00000FCC"/>
    <w:rsid w:val="0000110B"/>
    <w:rsid w:val="0000112B"/>
    <w:rsid w:val="0000201E"/>
    <w:rsid w:val="00002C8C"/>
    <w:rsid w:val="00003499"/>
    <w:rsid w:val="000037BB"/>
    <w:rsid w:val="000044B4"/>
    <w:rsid w:val="000070B2"/>
    <w:rsid w:val="000070CE"/>
    <w:rsid w:val="00013247"/>
    <w:rsid w:val="000133A3"/>
    <w:rsid w:val="0001411E"/>
    <w:rsid w:val="000146EE"/>
    <w:rsid w:val="0001534F"/>
    <w:rsid w:val="00015886"/>
    <w:rsid w:val="000162EF"/>
    <w:rsid w:val="000165BA"/>
    <w:rsid w:val="000176CD"/>
    <w:rsid w:val="0002035F"/>
    <w:rsid w:val="0002195A"/>
    <w:rsid w:val="0002225F"/>
    <w:rsid w:val="00022648"/>
    <w:rsid w:val="00023355"/>
    <w:rsid w:val="000236C5"/>
    <w:rsid w:val="000236FE"/>
    <w:rsid w:val="00023763"/>
    <w:rsid w:val="000245F3"/>
    <w:rsid w:val="00026B07"/>
    <w:rsid w:val="000310EE"/>
    <w:rsid w:val="000332F6"/>
    <w:rsid w:val="00033701"/>
    <w:rsid w:val="00034702"/>
    <w:rsid w:val="000348DD"/>
    <w:rsid w:val="000364A8"/>
    <w:rsid w:val="00040895"/>
    <w:rsid w:val="00040C38"/>
    <w:rsid w:val="00040E8B"/>
    <w:rsid w:val="00041D53"/>
    <w:rsid w:val="00042C4B"/>
    <w:rsid w:val="000432E4"/>
    <w:rsid w:val="00043718"/>
    <w:rsid w:val="00043C37"/>
    <w:rsid w:val="00043C43"/>
    <w:rsid w:val="0004411C"/>
    <w:rsid w:val="00044DDE"/>
    <w:rsid w:val="00045ADB"/>
    <w:rsid w:val="00046AA7"/>
    <w:rsid w:val="00051154"/>
    <w:rsid w:val="00051461"/>
    <w:rsid w:val="00053755"/>
    <w:rsid w:val="00053D54"/>
    <w:rsid w:val="00053E25"/>
    <w:rsid w:val="000546D7"/>
    <w:rsid w:val="000556B2"/>
    <w:rsid w:val="000567C8"/>
    <w:rsid w:val="00057064"/>
    <w:rsid w:val="0006038D"/>
    <w:rsid w:val="000605A1"/>
    <w:rsid w:val="00061F06"/>
    <w:rsid w:val="00062E71"/>
    <w:rsid w:val="00064098"/>
    <w:rsid w:val="000645EF"/>
    <w:rsid w:val="0006497B"/>
    <w:rsid w:val="00070701"/>
    <w:rsid w:val="00070AD9"/>
    <w:rsid w:val="00070F77"/>
    <w:rsid w:val="00071248"/>
    <w:rsid w:val="00071502"/>
    <w:rsid w:val="000720B9"/>
    <w:rsid w:val="00072243"/>
    <w:rsid w:val="00072280"/>
    <w:rsid w:val="00072293"/>
    <w:rsid w:val="00076E24"/>
    <w:rsid w:val="00077443"/>
    <w:rsid w:val="00077497"/>
    <w:rsid w:val="0007774E"/>
    <w:rsid w:val="00077971"/>
    <w:rsid w:val="000812CA"/>
    <w:rsid w:val="000829DD"/>
    <w:rsid w:val="00082A16"/>
    <w:rsid w:val="0008389C"/>
    <w:rsid w:val="00083FAC"/>
    <w:rsid w:val="00085A6E"/>
    <w:rsid w:val="00085DF5"/>
    <w:rsid w:val="000873F6"/>
    <w:rsid w:val="00087487"/>
    <w:rsid w:val="00087B5D"/>
    <w:rsid w:val="00087C53"/>
    <w:rsid w:val="000907F0"/>
    <w:rsid w:val="00090C7E"/>
    <w:rsid w:val="00090DBD"/>
    <w:rsid w:val="00091D44"/>
    <w:rsid w:val="00091FBF"/>
    <w:rsid w:val="0009214F"/>
    <w:rsid w:val="00092BDF"/>
    <w:rsid w:val="00092EC3"/>
    <w:rsid w:val="00092F43"/>
    <w:rsid w:val="00093C5F"/>
    <w:rsid w:val="0009481B"/>
    <w:rsid w:val="00095174"/>
    <w:rsid w:val="000954CA"/>
    <w:rsid w:val="0009642D"/>
    <w:rsid w:val="000972CD"/>
    <w:rsid w:val="000A05AC"/>
    <w:rsid w:val="000A0CF7"/>
    <w:rsid w:val="000A0E1D"/>
    <w:rsid w:val="000A1112"/>
    <w:rsid w:val="000A1255"/>
    <w:rsid w:val="000A2223"/>
    <w:rsid w:val="000A391F"/>
    <w:rsid w:val="000A420E"/>
    <w:rsid w:val="000A7732"/>
    <w:rsid w:val="000B04B3"/>
    <w:rsid w:val="000B261C"/>
    <w:rsid w:val="000B3230"/>
    <w:rsid w:val="000B3837"/>
    <w:rsid w:val="000B4127"/>
    <w:rsid w:val="000B551E"/>
    <w:rsid w:val="000B5AA0"/>
    <w:rsid w:val="000B5CDD"/>
    <w:rsid w:val="000B793D"/>
    <w:rsid w:val="000C12EA"/>
    <w:rsid w:val="000C2683"/>
    <w:rsid w:val="000C3556"/>
    <w:rsid w:val="000C48F9"/>
    <w:rsid w:val="000C50D2"/>
    <w:rsid w:val="000C6EF1"/>
    <w:rsid w:val="000C7A93"/>
    <w:rsid w:val="000D1AF7"/>
    <w:rsid w:val="000D1BFC"/>
    <w:rsid w:val="000D22D3"/>
    <w:rsid w:val="000D2AB9"/>
    <w:rsid w:val="000D2B3E"/>
    <w:rsid w:val="000D2EB9"/>
    <w:rsid w:val="000D3744"/>
    <w:rsid w:val="000D3765"/>
    <w:rsid w:val="000D3C93"/>
    <w:rsid w:val="000D5273"/>
    <w:rsid w:val="000D5989"/>
    <w:rsid w:val="000E0123"/>
    <w:rsid w:val="000E0F22"/>
    <w:rsid w:val="000E5DBC"/>
    <w:rsid w:val="000E7977"/>
    <w:rsid w:val="000F0397"/>
    <w:rsid w:val="000F095A"/>
    <w:rsid w:val="000F1355"/>
    <w:rsid w:val="000F4257"/>
    <w:rsid w:val="000F4BB8"/>
    <w:rsid w:val="000F4DD3"/>
    <w:rsid w:val="000F5949"/>
    <w:rsid w:val="000F6C13"/>
    <w:rsid w:val="000F7127"/>
    <w:rsid w:val="00100F8A"/>
    <w:rsid w:val="00101A9A"/>
    <w:rsid w:val="00101E1F"/>
    <w:rsid w:val="00103C05"/>
    <w:rsid w:val="00103EC8"/>
    <w:rsid w:val="001074CD"/>
    <w:rsid w:val="0011032E"/>
    <w:rsid w:val="00110C5F"/>
    <w:rsid w:val="00110C83"/>
    <w:rsid w:val="0011348B"/>
    <w:rsid w:val="001136BA"/>
    <w:rsid w:val="001136CF"/>
    <w:rsid w:val="00114849"/>
    <w:rsid w:val="00117DCD"/>
    <w:rsid w:val="0012176D"/>
    <w:rsid w:val="00121799"/>
    <w:rsid w:val="001222FC"/>
    <w:rsid w:val="0012237A"/>
    <w:rsid w:val="00122BB8"/>
    <w:rsid w:val="00123A83"/>
    <w:rsid w:val="00124386"/>
    <w:rsid w:val="00124A51"/>
    <w:rsid w:val="00125C16"/>
    <w:rsid w:val="00125E46"/>
    <w:rsid w:val="00126621"/>
    <w:rsid w:val="00127B63"/>
    <w:rsid w:val="001301E9"/>
    <w:rsid w:val="001309BA"/>
    <w:rsid w:val="00131119"/>
    <w:rsid w:val="001311A4"/>
    <w:rsid w:val="00133476"/>
    <w:rsid w:val="00133817"/>
    <w:rsid w:val="00133FA2"/>
    <w:rsid w:val="00135A84"/>
    <w:rsid w:val="0013675B"/>
    <w:rsid w:val="00136DC3"/>
    <w:rsid w:val="00137645"/>
    <w:rsid w:val="00137D2D"/>
    <w:rsid w:val="0014015A"/>
    <w:rsid w:val="00140924"/>
    <w:rsid w:val="00140E99"/>
    <w:rsid w:val="00144A2D"/>
    <w:rsid w:val="001451BD"/>
    <w:rsid w:val="00145540"/>
    <w:rsid w:val="001456B0"/>
    <w:rsid w:val="00146E5D"/>
    <w:rsid w:val="0014711C"/>
    <w:rsid w:val="001478F8"/>
    <w:rsid w:val="00150599"/>
    <w:rsid w:val="00153177"/>
    <w:rsid w:val="00154E7E"/>
    <w:rsid w:val="001556F9"/>
    <w:rsid w:val="001557CB"/>
    <w:rsid w:val="00156C3E"/>
    <w:rsid w:val="00156F5E"/>
    <w:rsid w:val="00157130"/>
    <w:rsid w:val="0015717E"/>
    <w:rsid w:val="00157F7F"/>
    <w:rsid w:val="00160B96"/>
    <w:rsid w:val="00161991"/>
    <w:rsid w:val="001621A0"/>
    <w:rsid w:val="00162913"/>
    <w:rsid w:val="00163EFF"/>
    <w:rsid w:val="00165E23"/>
    <w:rsid w:val="001660AE"/>
    <w:rsid w:val="001661FB"/>
    <w:rsid w:val="00167F1F"/>
    <w:rsid w:val="001714E2"/>
    <w:rsid w:val="00171AEA"/>
    <w:rsid w:val="00175B00"/>
    <w:rsid w:val="00181F70"/>
    <w:rsid w:val="0018222A"/>
    <w:rsid w:val="00182362"/>
    <w:rsid w:val="0018340E"/>
    <w:rsid w:val="00183414"/>
    <w:rsid w:val="00184B9A"/>
    <w:rsid w:val="0018647A"/>
    <w:rsid w:val="0018752F"/>
    <w:rsid w:val="0019138C"/>
    <w:rsid w:val="00191DC6"/>
    <w:rsid w:val="00191DC8"/>
    <w:rsid w:val="0019338F"/>
    <w:rsid w:val="00195222"/>
    <w:rsid w:val="001955D3"/>
    <w:rsid w:val="00195B9A"/>
    <w:rsid w:val="00197367"/>
    <w:rsid w:val="001975D8"/>
    <w:rsid w:val="00197C8E"/>
    <w:rsid w:val="001A04D0"/>
    <w:rsid w:val="001A06C9"/>
    <w:rsid w:val="001A1098"/>
    <w:rsid w:val="001A124A"/>
    <w:rsid w:val="001A24BF"/>
    <w:rsid w:val="001A398F"/>
    <w:rsid w:val="001A3BAB"/>
    <w:rsid w:val="001A4982"/>
    <w:rsid w:val="001A6E43"/>
    <w:rsid w:val="001B001A"/>
    <w:rsid w:val="001B0FA4"/>
    <w:rsid w:val="001B10AE"/>
    <w:rsid w:val="001B1DD8"/>
    <w:rsid w:val="001B3443"/>
    <w:rsid w:val="001B3BD9"/>
    <w:rsid w:val="001B4589"/>
    <w:rsid w:val="001B4F3D"/>
    <w:rsid w:val="001B5671"/>
    <w:rsid w:val="001B707F"/>
    <w:rsid w:val="001B774B"/>
    <w:rsid w:val="001C1198"/>
    <w:rsid w:val="001C2448"/>
    <w:rsid w:val="001C271F"/>
    <w:rsid w:val="001C3929"/>
    <w:rsid w:val="001C411E"/>
    <w:rsid w:val="001C4299"/>
    <w:rsid w:val="001C5509"/>
    <w:rsid w:val="001C5F62"/>
    <w:rsid w:val="001C6B6F"/>
    <w:rsid w:val="001C6E66"/>
    <w:rsid w:val="001C7B7A"/>
    <w:rsid w:val="001D15B8"/>
    <w:rsid w:val="001D2A2D"/>
    <w:rsid w:val="001D2D01"/>
    <w:rsid w:val="001D4569"/>
    <w:rsid w:val="001D474D"/>
    <w:rsid w:val="001D4F44"/>
    <w:rsid w:val="001D5D1C"/>
    <w:rsid w:val="001D5E72"/>
    <w:rsid w:val="001D6319"/>
    <w:rsid w:val="001E0129"/>
    <w:rsid w:val="001E027B"/>
    <w:rsid w:val="001E17C7"/>
    <w:rsid w:val="001E238E"/>
    <w:rsid w:val="001E26DC"/>
    <w:rsid w:val="001E2B1E"/>
    <w:rsid w:val="001E3812"/>
    <w:rsid w:val="001E5171"/>
    <w:rsid w:val="001E52EB"/>
    <w:rsid w:val="001E5823"/>
    <w:rsid w:val="001E740C"/>
    <w:rsid w:val="001F04D4"/>
    <w:rsid w:val="001F0C45"/>
    <w:rsid w:val="001F0F6E"/>
    <w:rsid w:val="001F1235"/>
    <w:rsid w:val="001F1B2D"/>
    <w:rsid w:val="001F1CB3"/>
    <w:rsid w:val="001F21F2"/>
    <w:rsid w:val="001F332F"/>
    <w:rsid w:val="001F3661"/>
    <w:rsid w:val="001F4B3C"/>
    <w:rsid w:val="001F4DA1"/>
    <w:rsid w:val="001F5374"/>
    <w:rsid w:val="001F7361"/>
    <w:rsid w:val="001F7D1B"/>
    <w:rsid w:val="0020034F"/>
    <w:rsid w:val="00203630"/>
    <w:rsid w:val="0020385F"/>
    <w:rsid w:val="002067B4"/>
    <w:rsid w:val="00207021"/>
    <w:rsid w:val="00207D00"/>
    <w:rsid w:val="002105C1"/>
    <w:rsid w:val="0021189D"/>
    <w:rsid w:val="00213648"/>
    <w:rsid w:val="002136BF"/>
    <w:rsid w:val="002204CD"/>
    <w:rsid w:val="002207B7"/>
    <w:rsid w:val="0022143D"/>
    <w:rsid w:val="00223911"/>
    <w:rsid w:val="00223B49"/>
    <w:rsid w:val="00224697"/>
    <w:rsid w:val="0022474B"/>
    <w:rsid w:val="00224DD4"/>
    <w:rsid w:val="00224EDD"/>
    <w:rsid w:val="00225568"/>
    <w:rsid w:val="00225E22"/>
    <w:rsid w:val="00227C67"/>
    <w:rsid w:val="002304C8"/>
    <w:rsid w:val="002309CC"/>
    <w:rsid w:val="002339D4"/>
    <w:rsid w:val="00234C9A"/>
    <w:rsid w:val="00234F0D"/>
    <w:rsid w:val="002359C5"/>
    <w:rsid w:val="00240269"/>
    <w:rsid w:val="00240F58"/>
    <w:rsid w:val="00240FF8"/>
    <w:rsid w:val="00242B97"/>
    <w:rsid w:val="00243DD9"/>
    <w:rsid w:val="00244BF7"/>
    <w:rsid w:val="00245A24"/>
    <w:rsid w:val="00245E84"/>
    <w:rsid w:val="00246720"/>
    <w:rsid w:val="00246735"/>
    <w:rsid w:val="00250671"/>
    <w:rsid w:val="002531F1"/>
    <w:rsid w:val="00254599"/>
    <w:rsid w:val="00254DCF"/>
    <w:rsid w:val="002550F1"/>
    <w:rsid w:val="0025534B"/>
    <w:rsid w:val="00255BB7"/>
    <w:rsid w:val="00255FEF"/>
    <w:rsid w:val="002572B3"/>
    <w:rsid w:val="00257455"/>
    <w:rsid w:val="00257E2B"/>
    <w:rsid w:val="0026288C"/>
    <w:rsid w:val="00262A87"/>
    <w:rsid w:val="00264106"/>
    <w:rsid w:val="00265282"/>
    <w:rsid w:val="002656D9"/>
    <w:rsid w:val="00265E86"/>
    <w:rsid w:val="002672E2"/>
    <w:rsid w:val="0026760F"/>
    <w:rsid w:val="00270298"/>
    <w:rsid w:val="00270DA0"/>
    <w:rsid w:val="0027576E"/>
    <w:rsid w:val="00275C5A"/>
    <w:rsid w:val="00281014"/>
    <w:rsid w:val="00282100"/>
    <w:rsid w:val="002827D3"/>
    <w:rsid w:val="0028322F"/>
    <w:rsid w:val="00284304"/>
    <w:rsid w:val="0028456D"/>
    <w:rsid w:val="002845D0"/>
    <w:rsid w:val="002846C2"/>
    <w:rsid w:val="00284909"/>
    <w:rsid w:val="00285021"/>
    <w:rsid w:val="00286C93"/>
    <w:rsid w:val="00287746"/>
    <w:rsid w:val="00291C70"/>
    <w:rsid w:val="00291E20"/>
    <w:rsid w:val="0029226C"/>
    <w:rsid w:val="00292CDC"/>
    <w:rsid w:val="00295855"/>
    <w:rsid w:val="00297109"/>
    <w:rsid w:val="002976C2"/>
    <w:rsid w:val="00297B2E"/>
    <w:rsid w:val="00297FD5"/>
    <w:rsid w:val="002A01E0"/>
    <w:rsid w:val="002A14AB"/>
    <w:rsid w:val="002A1C55"/>
    <w:rsid w:val="002A1E62"/>
    <w:rsid w:val="002A4FC0"/>
    <w:rsid w:val="002A54EC"/>
    <w:rsid w:val="002A58EA"/>
    <w:rsid w:val="002B01CF"/>
    <w:rsid w:val="002B0CF0"/>
    <w:rsid w:val="002B122D"/>
    <w:rsid w:val="002B1C1F"/>
    <w:rsid w:val="002B3C09"/>
    <w:rsid w:val="002B432F"/>
    <w:rsid w:val="002B4591"/>
    <w:rsid w:val="002B4F8C"/>
    <w:rsid w:val="002B6657"/>
    <w:rsid w:val="002B66CE"/>
    <w:rsid w:val="002B6CCE"/>
    <w:rsid w:val="002B75D3"/>
    <w:rsid w:val="002C03CA"/>
    <w:rsid w:val="002C2775"/>
    <w:rsid w:val="002C27C1"/>
    <w:rsid w:val="002C72D6"/>
    <w:rsid w:val="002C74B4"/>
    <w:rsid w:val="002D12BB"/>
    <w:rsid w:val="002D1A7E"/>
    <w:rsid w:val="002D1EDC"/>
    <w:rsid w:val="002D2278"/>
    <w:rsid w:val="002D3C73"/>
    <w:rsid w:val="002D494D"/>
    <w:rsid w:val="002D5822"/>
    <w:rsid w:val="002D6AA0"/>
    <w:rsid w:val="002D7CE8"/>
    <w:rsid w:val="002E0E1E"/>
    <w:rsid w:val="002E12B5"/>
    <w:rsid w:val="002E4AE6"/>
    <w:rsid w:val="002E4C07"/>
    <w:rsid w:val="002E50D0"/>
    <w:rsid w:val="002E5C7D"/>
    <w:rsid w:val="002E65E1"/>
    <w:rsid w:val="002E76C3"/>
    <w:rsid w:val="002F05B5"/>
    <w:rsid w:val="002F0FE2"/>
    <w:rsid w:val="002F211A"/>
    <w:rsid w:val="002F4C97"/>
    <w:rsid w:val="002F54A6"/>
    <w:rsid w:val="002F71EA"/>
    <w:rsid w:val="003008EC"/>
    <w:rsid w:val="00301017"/>
    <w:rsid w:val="00301539"/>
    <w:rsid w:val="00301A1C"/>
    <w:rsid w:val="0030397A"/>
    <w:rsid w:val="0030786C"/>
    <w:rsid w:val="003102C8"/>
    <w:rsid w:val="0031031A"/>
    <w:rsid w:val="00310763"/>
    <w:rsid w:val="00310981"/>
    <w:rsid w:val="0031146C"/>
    <w:rsid w:val="0031208F"/>
    <w:rsid w:val="00315498"/>
    <w:rsid w:val="0031573E"/>
    <w:rsid w:val="00315966"/>
    <w:rsid w:val="00317786"/>
    <w:rsid w:val="003208B7"/>
    <w:rsid w:val="00321368"/>
    <w:rsid w:val="00321F85"/>
    <w:rsid w:val="00322FA7"/>
    <w:rsid w:val="00323E52"/>
    <w:rsid w:val="00326657"/>
    <w:rsid w:val="00327284"/>
    <w:rsid w:val="0033185D"/>
    <w:rsid w:val="00331DB1"/>
    <w:rsid w:val="00333432"/>
    <w:rsid w:val="00334822"/>
    <w:rsid w:val="00335175"/>
    <w:rsid w:val="0033534E"/>
    <w:rsid w:val="00335D5E"/>
    <w:rsid w:val="003366C9"/>
    <w:rsid w:val="0033703C"/>
    <w:rsid w:val="003371B0"/>
    <w:rsid w:val="003476BB"/>
    <w:rsid w:val="0035046E"/>
    <w:rsid w:val="00350DF3"/>
    <w:rsid w:val="00351B11"/>
    <w:rsid w:val="00353BDE"/>
    <w:rsid w:val="0035620E"/>
    <w:rsid w:val="003570D1"/>
    <w:rsid w:val="00360D63"/>
    <w:rsid w:val="00363937"/>
    <w:rsid w:val="00363AA4"/>
    <w:rsid w:val="00370690"/>
    <w:rsid w:val="003722E1"/>
    <w:rsid w:val="0037241F"/>
    <w:rsid w:val="00373A44"/>
    <w:rsid w:val="00375337"/>
    <w:rsid w:val="003754C8"/>
    <w:rsid w:val="00375CF2"/>
    <w:rsid w:val="003772C6"/>
    <w:rsid w:val="00377550"/>
    <w:rsid w:val="003805F5"/>
    <w:rsid w:val="00381EB4"/>
    <w:rsid w:val="0038365C"/>
    <w:rsid w:val="00383C7B"/>
    <w:rsid w:val="00384C46"/>
    <w:rsid w:val="00385DC7"/>
    <w:rsid w:val="003868A8"/>
    <w:rsid w:val="00386FEE"/>
    <w:rsid w:val="003879A9"/>
    <w:rsid w:val="003946C4"/>
    <w:rsid w:val="00395F23"/>
    <w:rsid w:val="0039610B"/>
    <w:rsid w:val="00396725"/>
    <w:rsid w:val="00396FD0"/>
    <w:rsid w:val="003A1A7A"/>
    <w:rsid w:val="003A1FDB"/>
    <w:rsid w:val="003A22D7"/>
    <w:rsid w:val="003A2B98"/>
    <w:rsid w:val="003A2BD3"/>
    <w:rsid w:val="003A2F15"/>
    <w:rsid w:val="003A3178"/>
    <w:rsid w:val="003A439D"/>
    <w:rsid w:val="003A47DC"/>
    <w:rsid w:val="003A6778"/>
    <w:rsid w:val="003A6889"/>
    <w:rsid w:val="003A7A02"/>
    <w:rsid w:val="003B2502"/>
    <w:rsid w:val="003B29CB"/>
    <w:rsid w:val="003B4B78"/>
    <w:rsid w:val="003B6F14"/>
    <w:rsid w:val="003C01FF"/>
    <w:rsid w:val="003C0E57"/>
    <w:rsid w:val="003C1160"/>
    <w:rsid w:val="003C18E6"/>
    <w:rsid w:val="003C1ED1"/>
    <w:rsid w:val="003C3CE4"/>
    <w:rsid w:val="003C3D77"/>
    <w:rsid w:val="003C4E23"/>
    <w:rsid w:val="003C6930"/>
    <w:rsid w:val="003C7020"/>
    <w:rsid w:val="003D1828"/>
    <w:rsid w:val="003D201A"/>
    <w:rsid w:val="003D2422"/>
    <w:rsid w:val="003D3A24"/>
    <w:rsid w:val="003D42EC"/>
    <w:rsid w:val="003E09F4"/>
    <w:rsid w:val="003E16B9"/>
    <w:rsid w:val="003E2F15"/>
    <w:rsid w:val="003E306A"/>
    <w:rsid w:val="003F05DF"/>
    <w:rsid w:val="003F1A59"/>
    <w:rsid w:val="003F25D4"/>
    <w:rsid w:val="003F3583"/>
    <w:rsid w:val="003F4156"/>
    <w:rsid w:val="003F5775"/>
    <w:rsid w:val="003F6E26"/>
    <w:rsid w:val="003F761A"/>
    <w:rsid w:val="004017A7"/>
    <w:rsid w:val="004046D6"/>
    <w:rsid w:val="00406C90"/>
    <w:rsid w:val="00407EF9"/>
    <w:rsid w:val="00410708"/>
    <w:rsid w:val="00410A73"/>
    <w:rsid w:val="00410EC7"/>
    <w:rsid w:val="00411597"/>
    <w:rsid w:val="004125C1"/>
    <w:rsid w:val="00413477"/>
    <w:rsid w:val="0041396C"/>
    <w:rsid w:val="00414476"/>
    <w:rsid w:val="004145D1"/>
    <w:rsid w:val="00415F1F"/>
    <w:rsid w:val="00420B9F"/>
    <w:rsid w:val="00421882"/>
    <w:rsid w:val="00422545"/>
    <w:rsid w:val="00422EB2"/>
    <w:rsid w:val="00424FBB"/>
    <w:rsid w:val="0042551E"/>
    <w:rsid w:val="00427122"/>
    <w:rsid w:val="00427F36"/>
    <w:rsid w:val="004302A7"/>
    <w:rsid w:val="0043044F"/>
    <w:rsid w:val="00431739"/>
    <w:rsid w:val="004319F8"/>
    <w:rsid w:val="00433044"/>
    <w:rsid w:val="004344D8"/>
    <w:rsid w:val="00435C49"/>
    <w:rsid w:val="00436AEE"/>
    <w:rsid w:val="00437CCB"/>
    <w:rsid w:val="00440DD5"/>
    <w:rsid w:val="004424DF"/>
    <w:rsid w:val="004428B7"/>
    <w:rsid w:val="004443A7"/>
    <w:rsid w:val="0044462E"/>
    <w:rsid w:val="00444E8A"/>
    <w:rsid w:val="00445511"/>
    <w:rsid w:val="00445AB6"/>
    <w:rsid w:val="004464EB"/>
    <w:rsid w:val="004557B0"/>
    <w:rsid w:val="00455D45"/>
    <w:rsid w:val="00457280"/>
    <w:rsid w:val="00462495"/>
    <w:rsid w:val="00462B69"/>
    <w:rsid w:val="004638EE"/>
    <w:rsid w:val="00464595"/>
    <w:rsid w:val="004668D1"/>
    <w:rsid w:val="004674AC"/>
    <w:rsid w:val="00467A7C"/>
    <w:rsid w:val="00470AB2"/>
    <w:rsid w:val="00470E88"/>
    <w:rsid w:val="00471087"/>
    <w:rsid w:val="00472E55"/>
    <w:rsid w:val="00472EBF"/>
    <w:rsid w:val="004754CF"/>
    <w:rsid w:val="0047752B"/>
    <w:rsid w:val="00480C71"/>
    <w:rsid w:val="00481281"/>
    <w:rsid w:val="00484A45"/>
    <w:rsid w:val="00485AE8"/>
    <w:rsid w:val="004867E2"/>
    <w:rsid w:val="004876E7"/>
    <w:rsid w:val="00491B3A"/>
    <w:rsid w:val="004929EC"/>
    <w:rsid w:val="00492CFD"/>
    <w:rsid w:val="004955CF"/>
    <w:rsid w:val="00495A4F"/>
    <w:rsid w:val="004962D2"/>
    <w:rsid w:val="00496743"/>
    <w:rsid w:val="004A0BD2"/>
    <w:rsid w:val="004A0DA1"/>
    <w:rsid w:val="004A4B6D"/>
    <w:rsid w:val="004A4D82"/>
    <w:rsid w:val="004A61A4"/>
    <w:rsid w:val="004A6597"/>
    <w:rsid w:val="004A6C94"/>
    <w:rsid w:val="004A7B7F"/>
    <w:rsid w:val="004B1CB4"/>
    <w:rsid w:val="004B25B2"/>
    <w:rsid w:val="004B2F18"/>
    <w:rsid w:val="004B338A"/>
    <w:rsid w:val="004B3DDB"/>
    <w:rsid w:val="004B44FD"/>
    <w:rsid w:val="004B5CFC"/>
    <w:rsid w:val="004B62CD"/>
    <w:rsid w:val="004B6BB5"/>
    <w:rsid w:val="004B72BA"/>
    <w:rsid w:val="004B7D71"/>
    <w:rsid w:val="004C0BFB"/>
    <w:rsid w:val="004C3837"/>
    <w:rsid w:val="004C4AED"/>
    <w:rsid w:val="004C4C61"/>
    <w:rsid w:val="004D1DF2"/>
    <w:rsid w:val="004D1F53"/>
    <w:rsid w:val="004D2C9B"/>
    <w:rsid w:val="004D5971"/>
    <w:rsid w:val="004D63A1"/>
    <w:rsid w:val="004D69DF"/>
    <w:rsid w:val="004D77B4"/>
    <w:rsid w:val="004E0EB8"/>
    <w:rsid w:val="004E1612"/>
    <w:rsid w:val="004E221D"/>
    <w:rsid w:val="004E2ADC"/>
    <w:rsid w:val="004E3B98"/>
    <w:rsid w:val="004E43B2"/>
    <w:rsid w:val="004E4BBF"/>
    <w:rsid w:val="004F02A1"/>
    <w:rsid w:val="004F0397"/>
    <w:rsid w:val="004F0ED3"/>
    <w:rsid w:val="004F0FEB"/>
    <w:rsid w:val="004F193D"/>
    <w:rsid w:val="004F1D02"/>
    <w:rsid w:val="004F2679"/>
    <w:rsid w:val="004F2823"/>
    <w:rsid w:val="004F7865"/>
    <w:rsid w:val="00502CD3"/>
    <w:rsid w:val="005065A3"/>
    <w:rsid w:val="005067CC"/>
    <w:rsid w:val="00506928"/>
    <w:rsid w:val="00506E9D"/>
    <w:rsid w:val="00507DB4"/>
    <w:rsid w:val="0051126B"/>
    <w:rsid w:val="0051500C"/>
    <w:rsid w:val="005152B5"/>
    <w:rsid w:val="00516DF1"/>
    <w:rsid w:val="00521319"/>
    <w:rsid w:val="00521C5C"/>
    <w:rsid w:val="005228FE"/>
    <w:rsid w:val="005231B6"/>
    <w:rsid w:val="00523C28"/>
    <w:rsid w:val="00524558"/>
    <w:rsid w:val="005252EA"/>
    <w:rsid w:val="00525CD3"/>
    <w:rsid w:val="0053659A"/>
    <w:rsid w:val="00540509"/>
    <w:rsid w:val="00540702"/>
    <w:rsid w:val="005407BC"/>
    <w:rsid w:val="00541721"/>
    <w:rsid w:val="00542B77"/>
    <w:rsid w:val="005441DD"/>
    <w:rsid w:val="0054446C"/>
    <w:rsid w:val="00544891"/>
    <w:rsid w:val="00545336"/>
    <w:rsid w:val="00547F83"/>
    <w:rsid w:val="005523E6"/>
    <w:rsid w:val="00552BD3"/>
    <w:rsid w:val="005540E9"/>
    <w:rsid w:val="00555109"/>
    <w:rsid w:val="005561E1"/>
    <w:rsid w:val="0055737A"/>
    <w:rsid w:val="0055786F"/>
    <w:rsid w:val="00557934"/>
    <w:rsid w:val="0056061C"/>
    <w:rsid w:val="00562336"/>
    <w:rsid w:val="0056437A"/>
    <w:rsid w:val="0056440C"/>
    <w:rsid w:val="005646C4"/>
    <w:rsid w:val="0056484C"/>
    <w:rsid w:val="00565DB9"/>
    <w:rsid w:val="00566341"/>
    <w:rsid w:val="005667A7"/>
    <w:rsid w:val="0056696F"/>
    <w:rsid w:val="00567790"/>
    <w:rsid w:val="005700EF"/>
    <w:rsid w:val="00570758"/>
    <w:rsid w:val="00570985"/>
    <w:rsid w:val="00571D8E"/>
    <w:rsid w:val="00572C72"/>
    <w:rsid w:val="00573D91"/>
    <w:rsid w:val="00575D43"/>
    <w:rsid w:val="00575D8D"/>
    <w:rsid w:val="00576972"/>
    <w:rsid w:val="00576B64"/>
    <w:rsid w:val="00576BB5"/>
    <w:rsid w:val="00577384"/>
    <w:rsid w:val="00582410"/>
    <w:rsid w:val="00582E5C"/>
    <w:rsid w:val="00583139"/>
    <w:rsid w:val="00583699"/>
    <w:rsid w:val="00583A5B"/>
    <w:rsid w:val="005858D4"/>
    <w:rsid w:val="005907D0"/>
    <w:rsid w:val="00591DBF"/>
    <w:rsid w:val="005934E8"/>
    <w:rsid w:val="00594249"/>
    <w:rsid w:val="00594E59"/>
    <w:rsid w:val="00595AC1"/>
    <w:rsid w:val="00595D6E"/>
    <w:rsid w:val="00595FDE"/>
    <w:rsid w:val="005A02F7"/>
    <w:rsid w:val="005A0348"/>
    <w:rsid w:val="005A107D"/>
    <w:rsid w:val="005B03BC"/>
    <w:rsid w:val="005B31DB"/>
    <w:rsid w:val="005B3CC2"/>
    <w:rsid w:val="005B4C02"/>
    <w:rsid w:val="005B5857"/>
    <w:rsid w:val="005B71E2"/>
    <w:rsid w:val="005C1B83"/>
    <w:rsid w:val="005C346B"/>
    <w:rsid w:val="005C3B14"/>
    <w:rsid w:val="005C5054"/>
    <w:rsid w:val="005C69C0"/>
    <w:rsid w:val="005D044D"/>
    <w:rsid w:val="005D09C7"/>
    <w:rsid w:val="005D18AD"/>
    <w:rsid w:val="005D2460"/>
    <w:rsid w:val="005D36E2"/>
    <w:rsid w:val="005D4083"/>
    <w:rsid w:val="005D4F8E"/>
    <w:rsid w:val="005D51FB"/>
    <w:rsid w:val="005D788A"/>
    <w:rsid w:val="005E0B54"/>
    <w:rsid w:val="005E17AF"/>
    <w:rsid w:val="005E2FFA"/>
    <w:rsid w:val="005E383A"/>
    <w:rsid w:val="005E4735"/>
    <w:rsid w:val="005E5276"/>
    <w:rsid w:val="005E73C0"/>
    <w:rsid w:val="005E74DC"/>
    <w:rsid w:val="005F0037"/>
    <w:rsid w:val="005F09AE"/>
    <w:rsid w:val="005F222A"/>
    <w:rsid w:val="005F2488"/>
    <w:rsid w:val="005F2706"/>
    <w:rsid w:val="005F3AA3"/>
    <w:rsid w:val="005F4538"/>
    <w:rsid w:val="005F4B7D"/>
    <w:rsid w:val="005F63B4"/>
    <w:rsid w:val="005F6798"/>
    <w:rsid w:val="005F67C0"/>
    <w:rsid w:val="005F6A8F"/>
    <w:rsid w:val="005F76B1"/>
    <w:rsid w:val="00601152"/>
    <w:rsid w:val="00603056"/>
    <w:rsid w:val="006070C2"/>
    <w:rsid w:val="006074FA"/>
    <w:rsid w:val="00607669"/>
    <w:rsid w:val="00610515"/>
    <w:rsid w:val="00611B15"/>
    <w:rsid w:val="00612F97"/>
    <w:rsid w:val="00613C14"/>
    <w:rsid w:val="00613C5A"/>
    <w:rsid w:val="00613FC6"/>
    <w:rsid w:val="006146A9"/>
    <w:rsid w:val="00615108"/>
    <w:rsid w:val="00615FF0"/>
    <w:rsid w:val="00616769"/>
    <w:rsid w:val="00616802"/>
    <w:rsid w:val="00616EBE"/>
    <w:rsid w:val="00616F78"/>
    <w:rsid w:val="006174C8"/>
    <w:rsid w:val="00617E12"/>
    <w:rsid w:val="00621477"/>
    <w:rsid w:val="0062202F"/>
    <w:rsid w:val="00622ABB"/>
    <w:rsid w:val="00623A80"/>
    <w:rsid w:val="00625155"/>
    <w:rsid w:val="006251D9"/>
    <w:rsid w:val="0062598A"/>
    <w:rsid w:val="00626E68"/>
    <w:rsid w:val="00627407"/>
    <w:rsid w:val="006278F9"/>
    <w:rsid w:val="00630060"/>
    <w:rsid w:val="00630DEE"/>
    <w:rsid w:val="006317A2"/>
    <w:rsid w:val="00631D6B"/>
    <w:rsid w:val="0063479F"/>
    <w:rsid w:val="00634A0F"/>
    <w:rsid w:val="00634E4C"/>
    <w:rsid w:val="006364A1"/>
    <w:rsid w:val="0063668B"/>
    <w:rsid w:val="0063677E"/>
    <w:rsid w:val="00636A5F"/>
    <w:rsid w:val="00636FD1"/>
    <w:rsid w:val="006370CE"/>
    <w:rsid w:val="00637481"/>
    <w:rsid w:val="00637BFD"/>
    <w:rsid w:val="00637F49"/>
    <w:rsid w:val="00641B3B"/>
    <w:rsid w:val="00646163"/>
    <w:rsid w:val="006462AF"/>
    <w:rsid w:val="00646B41"/>
    <w:rsid w:val="00646D44"/>
    <w:rsid w:val="006471CC"/>
    <w:rsid w:val="00647558"/>
    <w:rsid w:val="006478DF"/>
    <w:rsid w:val="006506B1"/>
    <w:rsid w:val="0065079F"/>
    <w:rsid w:val="006541F4"/>
    <w:rsid w:val="00655A11"/>
    <w:rsid w:val="00656BD1"/>
    <w:rsid w:val="00657F89"/>
    <w:rsid w:val="00660F35"/>
    <w:rsid w:val="006610CF"/>
    <w:rsid w:val="00661B28"/>
    <w:rsid w:val="00662233"/>
    <w:rsid w:val="00662773"/>
    <w:rsid w:val="00663C96"/>
    <w:rsid w:val="00663F1F"/>
    <w:rsid w:val="006652EC"/>
    <w:rsid w:val="0066598F"/>
    <w:rsid w:val="00667BE1"/>
    <w:rsid w:val="00671241"/>
    <w:rsid w:val="00672044"/>
    <w:rsid w:val="0067429C"/>
    <w:rsid w:val="00674E42"/>
    <w:rsid w:val="00676233"/>
    <w:rsid w:val="00676D92"/>
    <w:rsid w:val="0067716A"/>
    <w:rsid w:val="0067772E"/>
    <w:rsid w:val="00677A77"/>
    <w:rsid w:val="00680272"/>
    <w:rsid w:val="00680800"/>
    <w:rsid w:val="00681DAA"/>
    <w:rsid w:val="00682112"/>
    <w:rsid w:val="00683907"/>
    <w:rsid w:val="00685C64"/>
    <w:rsid w:val="00686EC7"/>
    <w:rsid w:val="006872BA"/>
    <w:rsid w:val="006872F7"/>
    <w:rsid w:val="00687B4C"/>
    <w:rsid w:val="00691492"/>
    <w:rsid w:val="006917D7"/>
    <w:rsid w:val="00693426"/>
    <w:rsid w:val="0069347C"/>
    <w:rsid w:val="006936CF"/>
    <w:rsid w:val="00693D07"/>
    <w:rsid w:val="00693D8E"/>
    <w:rsid w:val="00694202"/>
    <w:rsid w:val="00694E84"/>
    <w:rsid w:val="00694F44"/>
    <w:rsid w:val="006954EC"/>
    <w:rsid w:val="006A00AD"/>
    <w:rsid w:val="006A1D02"/>
    <w:rsid w:val="006A257C"/>
    <w:rsid w:val="006A5D18"/>
    <w:rsid w:val="006A69FE"/>
    <w:rsid w:val="006A6DA4"/>
    <w:rsid w:val="006B01D9"/>
    <w:rsid w:val="006B0893"/>
    <w:rsid w:val="006B1AE3"/>
    <w:rsid w:val="006B39AF"/>
    <w:rsid w:val="006B458A"/>
    <w:rsid w:val="006B787D"/>
    <w:rsid w:val="006B7B68"/>
    <w:rsid w:val="006C0496"/>
    <w:rsid w:val="006C2A8E"/>
    <w:rsid w:val="006C3C5E"/>
    <w:rsid w:val="006C4C34"/>
    <w:rsid w:val="006C58D8"/>
    <w:rsid w:val="006D06DD"/>
    <w:rsid w:val="006D0EE8"/>
    <w:rsid w:val="006D10A5"/>
    <w:rsid w:val="006D3C7D"/>
    <w:rsid w:val="006D5CDC"/>
    <w:rsid w:val="006D5D5F"/>
    <w:rsid w:val="006D5DF9"/>
    <w:rsid w:val="006D5F5A"/>
    <w:rsid w:val="006D6539"/>
    <w:rsid w:val="006D6738"/>
    <w:rsid w:val="006D6AB1"/>
    <w:rsid w:val="006D6CAE"/>
    <w:rsid w:val="006D7C7B"/>
    <w:rsid w:val="006E3F1E"/>
    <w:rsid w:val="006E4EBF"/>
    <w:rsid w:val="006E7311"/>
    <w:rsid w:val="006F2477"/>
    <w:rsid w:val="006F2895"/>
    <w:rsid w:val="006F50FD"/>
    <w:rsid w:val="006F5990"/>
    <w:rsid w:val="006F63A5"/>
    <w:rsid w:val="006F66C5"/>
    <w:rsid w:val="006F7464"/>
    <w:rsid w:val="006F759F"/>
    <w:rsid w:val="0070047F"/>
    <w:rsid w:val="007025D4"/>
    <w:rsid w:val="0070276E"/>
    <w:rsid w:val="00702F8F"/>
    <w:rsid w:val="00703BBB"/>
    <w:rsid w:val="00705FD4"/>
    <w:rsid w:val="007061A0"/>
    <w:rsid w:val="00710ED7"/>
    <w:rsid w:val="00711A36"/>
    <w:rsid w:val="00711DAF"/>
    <w:rsid w:val="00712DE1"/>
    <w:rsid w:val="00717048"/>
    <w:rsid w:val="007172AD"/>
    <w:rsid w:val="007174EF"/>
    <w:rsid w:val="00717CFC"/>
    <w:rsid w:val="007205CF"/>
    <w:rsid w:val="00721076"/>
    <w:rsid w:val="0072416F"/>
    <w:rsid w:val="007243F8"/>
    <w:rsid w:val="00724617"/>
    <w:rsid w:val="00725188"/>
    <w:rsid w:val="00725AB6"/>
    <w:rsid w:val="00726B5A"/>
    <w:rsid w:val="00732A27"/>
    <w:rsid w:val="00733DF2"/>
    <w:rsid w:val="00733EE5"/>
    <w:rsid w:val="00735328"/>
    <w:rsid w:val="00735571"/>
    <w:rsid w:val="00735718"/>
    <w:rsid w:val="007364C1"/>
    <w:rsid w:val="0073685B"/>
    <w:rsid w:val="00740325"/>
    <w:rsid w:val="00741DB6"/>
    <w:rsid w:val="007438D1"/>
    <w:rsid w:val="00743A04"/>
    <w:rsid w:val="00744005"/>
    <w:rsid w:val="00747ECD"/>
    <w:rsid w:val="00750807"/>
    <w:rsid w:val="007523EB"/>
    <w:rsid w:val="0075335D"/>
    <w:rsid w:val="0075439D"/>
    <w:rsid w:val="007544FE"/>
    <w:rsid w:val="00756582"/>
    <w:rsid w:val="00756E8E"/>
    <w:rsid w:val="00761EA0"/>
    <w:rsid w:val="00765404"/>
    <w:rsid w:val="00766ECB"/>
    <w:rsid w:val="00772107"/>
    <w:rsid w:val="00773546"/>
    <w:rsid w:val="00775814"/>
    <w:rsid w:val="007758D8"/>
    <w:rsid w:val="00775B1C"/>
    <w:rsid w:val="0077656E"/>
    <w:rsid w:val="00777041"/>
    <w:rsid w:val="007778D8"/>
    <w:rsid w:val="00777CA8"/>
    <w:rsid w:val="0078066D"/>
    <w:rsid w:val="0078233D"/>
    <w:rsid w:val="00786A7C"/>
    <w:rsid w:val="0079131B"/>
    <w:rsid w:val="00791A22"/>
    <w:rsid w:val="00791C8E"/>
    <w:rsid w:val="007920E1"/>
    <w:rsid w:val="007922E6"/>
    <w:rsid w:val="00794603"/>
    <w:rsid w:val="00795208"/>
    <w:rsid w:val="007953F1"/>
    <w:rsid w:val="007960CA"/>
    <w:rsid w:val="00797225"/>
    <w:rsid w:val="007A036C"/>
    <w:rsid w:val="007A0905"/>
    <w:rsid w:val="007A0A12"/>
    <w:rsid w:val="007A13D5"/>
    <w:rsid w:val="007A2166"/>
    <w:rsid w:val="007A4C64"/>
    <w:rsid w:val="007A564B"/>
    <w:rsid w:val="007A5D21"/>
    <w:rsid w:val="007A62E1"/>
    <w:rsid w:val="007A6E7B"/>
    <w:rsid w:val="007A74E0"/>
    <w:rsid w:val="007B0CF1"/>
    <w:rsid w:val="007B2350"/>
    <w:rsid w:val="007B251D"/>
    <w:rsid w:val="007B3F34"/>
    <w:rsid w:val="007B42AD"/>
    <w:rsid w:val="007B5BE9"/>
    <w:rsid w:val="007B77D1"/>
    <w:rsid w:val="007C2BCF"/>
    <w:rsid w:val="007C3520"/>
    <w:rsid w:val="007C361D"/>
    <w:rsid w:val="007C391A"/>
    <w:rsid w:val="007C4C8E"/>
    <w:rsid w:val="007C50E2"/>
    <w:rsid w:val="007C5CE8"/>
    <w:rsid w:val="007C60F1"/>
    <w:rsid w:val="007C6B6F"/>
    <w:rsid w:val="007D031F"/>
    <w:rsid w:val="007D0491"/>
    <w:rsid w:val="007D04D8"/>
    <w:rsid w:val="007D0A60"/>
    <w:rsid w:val="007D0B38"/>
    <w:rsid w:val="007D1D59"/>
    <w:rsid w:val="007D2690"/>
    <w:rsid w:val="007D306F"/>
    <w:rsid w:val="007D3590"/>
    <w:rsid w:val="007D3765"/>
    <w:rsid w:val="007D5717"/>
    <w:rsid w:val="007D57F7"/>
    <w:rsid w:val="007D7495"/>
    <w:rsid w:val="007E0D55"/>
    <w:rsid w:val="007E17FA"/>
    <w:rsid w:val="007E314D"/>
    <w:rsid w:val="007E3430"/>
    <w:rsid w:val="007E3900"/>
    <w:rsid w:val="007E3E20"/>
    <w:rsid w:val="007E4200"/>
    <w:rsid w:val="007E455D"/>
    <w:rsid w:val="007E4808"/>
    <w:rsid w:val="007E608F"/>
    <w:rsid w:val="007F1017"/>
    <w:rsid w:val="007F2137"/>
    <w:rsid w:val="007F291E"/>
    <w:rsid w:val="007F3865"/>
    <w:rsid w:val="007F3E1A"/>
    <w:rsid w:val="007F4A3F"/>
    <w:rsid w:val="007F51A3"/>
    <w:rsid w:val="007F5DEF"/>
    <w:rsid w:val="00800099"/>
    <w:rsid w:val="00800FB5"/>
    <w:rsid w:val="00803107"/>
    <w:rsid w:val="008031F9"/>
    <w:rsid w:val="00804661"/>
    <w:rsid w:val="00805142"/>
    <w:rsid w:val="008053E8"/>
    <w:rsid w:val="00807A8B"/>
    <w:rsid w:val="00807DE3"/>
    <w:rsid w:val="00811584"/>
    <w:rsid w:val="00812149"/>
    <w:rsid w:val="00814989"/>
    <w:rsid w:val="008156CD"/>
    <w:rsid w:val="008166EF"/>
    <w:rsid w:val="00822374"/>
    <w:rsid w:val="0082348B"/>
    <w:rsid w:val="00823B43"/>
    <w:rsid w:val="00823F8D"/>
    <w:rsid w:val="008242A4"/>
    <w:rsid w:val="0082495F"/>
    <w:rsid w:val="0082547C"/>
    <w:rsid w:val="008264EB"/>
    <w:rsid w:val="0082685B"/>
    <w:rsid w:val="008275FB"/>
    <w:rsid w:val="00831E20"/>
    <w:rsid w:val="00833B05"/>
    <w:rsid w:val="00834FC1"/>
    <w:rsid w:val="00835C08"/>
    <w:rsid w:val="008369C7"/>
    <w:rsid w:val="00837421"/>
    <w:rsid w:val="00840CA2"/>
    <w:rsid w:val="00841783"/>
    <w:rsid w:val="00846E57"/>
    <w:rsid w:val="00846EBC"/>
    <w:rsid w:val="00850C5B"/>
    <w:rsid w:val="008511D9"/>
    <w:rsid w:val="00851544"/>
    <w:rsid w:val="0085194E"/>
    <w:rsid w:val="00851D49"/>
    <w:rsid w:val="0085208D"/>
    <w:rsid w:val="008528A4"/>
    <w:rsid w:val="0085620D"/>
    <w:rsid w:val="00856E9A"/>
    <w:rsid w:val="00856FA5"/>
    <w:rsid w:val="008604F5"/>
    <w:rsid w:val="00860D1E"/>
    <w:rsid w:val="00862502"/>
    <w:rsid w:val="008645D9"/>
    <w:rsid w:val="008646BF"/>
    <w:rsid w:val="00864AF0"/>
    <w:rsid w:val="00864E3D"/>
    <w:rsid w:val="0086608E"/>
    <w:rsid w:val="008667D6"/>
    <w:rsid w:val="008670DE"/>
    <w:rsid w:val="00870E05"/>
    <w:rsid w:val="008714F9"/>
    <w:rsid w:val="00872E91"/>
    <w:rsid w:val="00873296"/>
    <w:rsid w:val="00873586"/>
    <w:rsid w:val="008747F0"/>
    <w:rsid w:val="00874A24"/>
    <w:rsid w:val="00875272"/>
    <w:rsid w:val="00876CCF"/>
    <w:rsid w:val="00880B53"/>
    <w:rsid w:val="00882874"/>
    <w:rsid w:val="00883787"/>
    <w:rsid w:val="00883D3A"/>
    <w:rsid w:val="00883FB6"/>
    <w:rsid w:val="00884CDB"/>
    <w:rsid w:val="00885704"/>
    <w:rsid w:val="00885F57"/>
    <w:rsid w:val="00887A4D"/>
    <w:rsid w:val="00890C83"/>
    <w:rsid w:val="00892B33"/>
    <w:rsid w:val="00893CEC"/>
    <w:rsid w:val="00894489"/>
    <w:rsid w:val="008949C8"/>
    <w:rsid w:val="00895F94"/>
    <w:rsid w:val="008963A5"/>
    <w:rsid w:val="00897AC2"/>
    <w:rsid w:val="008A089B"/>
    <w:rsid w:val="008A19B7"/>
    <w:rsid w:val="008A3286"/>
    <w:rsid w:val="008A3C3E"/>
    <w:rsid w:val="008A443E"/>
    <w:rsid w:val="008A5C30"/>
    <w:rsid w:val="008A5EF0"/>
    <w:rsid w:val="008A6263"/>
    <w:rsid w:val="008A63D4"/>
    <w:rsid w:val="008A70CB"/>
    <w:rsid w:val="008A71A2"/>
    <w:rsid w:val="008A79DE"/>
    <w:rsid w:val="008B2441"/>
    <w:rsid w:val="008B2F71"/>
    <w:rsid w:val="008B3DC3"/>
    <w:rsid w:val="008B41A6"/>
    <w:rsid w:val="008B46BB"/>
    <w:rsid w:val="008B4720"/>
    <w:rsid w:val="008B50A5"/>
    <w:rsid w:val="008B76CA"/>
    <w:rsid w:val="008B7D7E"/>
    <w:rsid w:val="008C2F4F"/>
    <w:rsid w:val="008C3233"/>
    <w:rsid w:val="008C5D72"/>
    <w:rsid w:val="008C5DF5"/>
    <w:rsid w:val="008C715C"/>
    <w:rsid w:val="008C73F2"/>
    <w:rsid w:val="008C7ECB"/>
    <w:rsid w:val="008D0EBC"/>
    <w:rsid w:val="008D1901"/>
    <w:rsid w:val="008D47AB"/>
    <w:rsid w:val="008D4B40"/>
    <w:rsid w:val="008D7653"/>
    <w:rsid w:val="008D7FD1"/>
    <w:rsid w:val="008E0E67"/>
    <w:rsid w:val="008E1B9E"/>
    <w:rsid w:val="008E33D1"/>
    <w:rsid w:val="008E4F95"/>
    <w:rsid w:val="008E597C"/>
    <w:rsid w:val="008E77D1"/>
    <w:rsid w:val="008F120A"/>
    <w:rsid w:val="008F17F0"/>
    <w:rsid w:val="008F3D47"/>
    <w:rsid w:val="008F48EB"/>
    <w:rsid w:val="008F4C1B"/>
    <w:rsid w:val="008F4F0B"/>
    <w:rsid w:val="008F50EF"/>
    <w:rsid w:val="008F6AE2"/>
    <w:rsid w:val="008F6BDD"/>
    <w:rsid w:val="00900F1A"/>
    <w:rsid w:val="00904D10"/>
    <w:rsid w:val="00905847"/>
    <w:rsid w:val="009062A5"/>
    <w:rsid w:val="00906661"/>
    <w:rsid w:val="00907894"/>
    <w:rsid w:val="0091053E"/>
    <w:rsid w:val="00911272"/>
    <w:rsid w:val="0091140D"/>
    <w:rsid w:val="0091400E"/>
    <w:rsid w:val="00914609"/>
    <w:rsid w:val="00914C9A"/>
    <w:rsid w:val="00915956"/>
    <w:rsid w:val="009162EC"/>
    <w:rsid w:val="00917C59"/>
    <w:rsid w:val="00920E71"/>
    <w:rsid w:val="00922810"/>
    <w:rsid w:val="00923204"/>
    <w:rsid w:val="009245F9"/>
    <w:rsid w:val="0092492D"/>
    <w:rsid w:val="00924A1F"/>
    <w:rsid w:val="00926CF1"/>
    <w:rsid w:val="00932E26"/>
    <w:rsid w:val="0093361E"/>
    <w:rsid w:val="00933865"/>
    <w:rsid w:val="009339BA"/>
    <w:rsid w:val="00934496"/>
    <w:rsid w:val="00934B35"/>
    <w:rsid w:val="00934C25"/>
    <w:rsid w:val="009352AD"/>
    <w:rsid w:val="00936B43"/>
    <w:rsid w:val="009427AB"/>
    <w:rsid w:val="0094320E"/>
    <w:rsid w:val="0094340E"/>
    <w:rsid w:val="009436C6"/>
    <w:rsid w:val="00943D74"/>
    <w:rsid w:val="0094413E"/>
    <w:rsid w:val="0094585A"/>
    <w:rsid w:val="009473BF"/>
    <w:rsid w:val="009502D5"/>
    <w:rsid w:val="009518FF"/>
    <w:rsid w:val="00952E6A"/>
    <w:rsid w:val="00953B7F"/>
    <w:rsid w:val="00954D0C"/>
    <w:rsid w:val="009552AC"/>
    <w:rsid w:val="009554FE"/>
    <w:rsid w:val="00960A63"/>
    <w:rsid w:val="00960E6A"/>
    <w:rsid w:val="00962CB9"/>
    <w:rsid w:val="00963EFB"/>
    <w:rsid w:val="00964312"/>
    <w:rsid w:val="00966720"/>
    <w:rsid w:val="00967C30"/>
    <w:rsid w:val="00967DF5"/>
    <w:rsid w:val="00971251"/>
    <w:rsid w:val="0097130D"/>
    <w:rsid w:val="009719AD"/>
    <w:rsid w:val="00972598"/>
    <w:rsid w:val="009728EF"/>
    <w:rsid w:val="00972DB2"/>
    <w:rsid w:val="00975446"/>
    <w:rsid w:val="0097571D"/>
    <w:rsid w:val="00975C65"/>
    <w:rsid w:val="00977802"/>
    <w:rsid w:val="00981782"/>
    <w:rsid w:val="009821E2"/>
    <w:rsid w:val="00982211"/>
    <w:rsid w:val="009829A0"/>
    <w:rsid w:val="00983CFF"/>
    <w:rsid w:val="00983E57"/>
    <w:rsid w:val="009857C6"/>
    <w:rsid w:val="00987847"/>
    <w:rsid w:val="00990374"/>
    <w:rsid w:val="009916EB"/>
    <w:rsid w:val="0099270B"/>
    <w:rsid w:val="009938D2"/>
    <w:rsid w:val="00996B1A"/>
    <w:rsid w:val="009A007E"/>
    <w:rsid w:val="009A0172"/>
    <w:rsid w:val="009A0E18"/>
    <w:rsid w:val="009A1049"/>
    <w:rsid w:val="009A2708"/>
    <w:rsid w:val="009A444E"/>
    <w:rsid w:val="009A4F02"/>
    <w:rsid w:val="009A5184"/>
    <w:rsid w:val="009A6D78"/>
    <w:rsid w:val="009A6F5A"/>
    <w:rsid w:val="009B03FB"/>
    <w:rsid w:val="009B05F5"/>
    <w:rsid w:val="009B1BD8"/>
    <w:rsid w:val="009B2431"/>
    <w:rsid w:val="009B3094"/>
    <w:rsid w:val="009B30F0"/>
    <w:rsid w:val="009B37A0"/>
    <w:rsid w:val="009B3E26"/>
    <w:rsid w:val="009B5F0C"/>
    <w:rsid w:val="009B6775"/>
    <w:rsid w:val="009C008C"/>
    <w:rsid w:val="009C0287"/>
    <w:rsid w:val="009C0340"/>
    <w:rsid w:val="009C0CB9"/>
    <w:rsid w:val="009C3350"/>
    <w:rsid w:val="009C3928"/>
    <w:rsid w:val="009C3C6E"/>
    <w:rsid w:val="009C45E2"/>
    <w:rsid w:val="009C5883"/>
    <w:rsid w:val="009D093F"/>
    <w:rsid w:val="009D2A8D"/>
    <w:rsid w:val="009D2DA7"/>
    <w:rsid w:val="009D4008"/>
    <w:rsid w:val="009D4C70"/>
    <w:rsid w:val="009D573D"/>
    <w:rsid w:val="009D5B91"/>
    <w:rsid w:val="009D61D6"/>
    <w:rsid w:val="009D64B4"/>
    <w:rsid w:val="009E0FC3"/>
    <w:rsid w:val="009E4C07"/>
    <w:rsid w:val="009E5468"/>
    <w:rsid w:val="009E5600"/>
    <w:rsid w:val="009E57F5"/>
    <w:rsid w:val="009E6B16"/>
    <w:rsid w:val="009F211A"/>
    <w:rsid w:val="009F2AE1"/>
    <w:rsid w:val="009F41B2"/>
    <w:rsid w:val="009F48A7"/>
    <w:rsid w:val="009F7033"/>
    <w:rsid w:val="009F7C8E"/>
    <w:rsid w:val="00A004BE"/>
    <w:rsid w:val="00A01502"/>
    <w:rsid w:val="00A036F2"/>
    <w:rsid w:val="00A03D43"/>
    <w:rsid w:val="00A04380"/>
    <w:rsid w:val="00A04549"/>
    <w:rsid w:val="00A06FF7"/>
    <w:rsid w:val="00A10F81"/>
    <w:rsid w:val="00A1105B"/>
    <w:rsid w:val="00A11B45"/>
    <w:rsid w:val="00A12170"/>
    <w:rsid w:val="00A12C47"/>
    <w:rsid w:val="00A13948"/>
    <w:rsid w:val="00A13F29"/>
    <w:rsid w:val="00A14C65"/>
    <w:rsid w:val="00A15EF2"/>
    <w:rsid w:val="00A173FE"/>
    <w:rsid w:val="00A17B84"/>
    <w:rsid w:val="00A17E8C"/>
    <w:rsid w:val="00A24CE7"/>
    <w:rsid w:val="00A27AEC"/>
    <w:rsid w:val="00A3258A"/>
    <w:rsid w:val="00A355BF"/>
    <w:rsid w:val="00A35804"/>
    <w:rsid w:val="00A35D16"/>
    <w:rsid w:val="00A41F88"/>
    <w:rsid w:val="00A43970"/>
    <w:rsid w:val="00A43AA7"/>
    <w:rsid w:val="00A43C59"/>
    <w:rsid w:val="00A44336"/>
    <w:rsid w:val="00A4509D"/>
    <w:rsid w:val="00A45E56"/>
    <w:rsid w:val="00A4662B"/>
    <w:rsid w:val="00A50333"/>
    <w:rsid w:val="00A50ECD"/>
    <w:rsid w:val="00A511CF"/>
    <w:rsid w:val="00A52729"/>
    <w:rsid w:val="00A53675"/>
    <w:rsid w:val="00A539BB"/>
    <w:rsid w:val="00A5527F"/>
    <w:rsid w:val="00A55B1F"/>
    <w:rsid w:val="00A5669A"/>
    <w:rsid w:val="00A56866"/>
    <w:rsid w:val="00A56B6A"/>
    <w:rsid w:val="00A578DC"/>
    <w:rsid w:val="00A61C88"/>
    <w:rsid w:val="00A65353"/>
    <w:rsid w:val="00A6559E"/>
    <w:rsid w:val="00A65707"/>
    <w:rsid w:val="00A65DE8"/>
    <w:rsid w:val="00A66B5D"/>
    <w:rsid w:val="00A6725B"/>
    <w:rsid w:val="00A6778E"/>
    <w:rsid w:val="00A70B7D"/>
    <w:rsid w:val="00A70FCC"/>
    <w:rsid w:val="00A722B5"/>
    <w:rsid w:val="00A75B14"/>
    <w:rsid w:val="00A76A33"/>
    <w:rsid w:val="00A77472"/>
    <w:rsid w:val="00A81B38"/>
    <w:rsid w:val="00A8420A"/>
    <w:rsid w:val="00A84C56"/>
    <w:rsid w:val="00A86E8B"/>
    <w:rsid w:val="00A87284"/>
    <w:rsid w:val="00A8795A"/>
    <w:rsid w:val="00A91707"/>
    <w:rsid w:val="00A93072"/>
    <w:rsid w:val="00A950B0"/>
    <w:rsid w:val="00A959D8"/>
    <w:rsid w:val="00A969D5"/>
    <w:rsid w:val="00A9715E"/>
    <w:rsid w:val="00A979D4"/>
    <w:rsid w:val="00AA1633"/>
    <w:rsid w:val="00AA28FD"/>
    <w:rsid w:val="00AA32C1"/>
    <w:rsid w:val="00AA3650"/>
    <w:rsid w:val="00AA7CE2"/>
    <w:rsid w:val="00AB0054"/>
    <w:rsid w:val="00AB042A"/>
    <w:rsid w:val="00AB057B"/>
    <w:rsid w:val="00AB1F46"/>
    <w:rsid w:val="00AB2D34"/>
    <w:rsid w:val="00AB3430"/>
    <w:rsid w:val="00AB3D0C"/>
    <w:rsid w:val="00AB759C"/>
    <w:rsid w:val="00AB7CFA"/>
    <w:rsid w:val="00AC1AF6"/>
    <w:rsid w:val="00AC2F89"/>
    <w:rsid w:val="00AD083A"/>
    <w:rsid w:val="00AD2395"/>
    <w:rsid w:val="00AD2AEB"/>
    <w:rsid w:val="00AD34EA"/>
    <w:rsid w:val="00AD3E09"/>
    <w:rsid w:val="00AD4372"/>
    <w:rsid w:val="00AD43A6"/>
    <w:rsid w:val="00AD4E9B"/>
    <w:rsid w:val="00AD6372"/>
    <w:rsid w:val="00AE27FE"/>
    <w:rsid w:val="00AE4A09"/>
    <w:rsid w:val="00AE734B"/>
    <w:rsid w:val="00AF02BC"/>
    <w:rsid w:val="00AF0F0B"/>
    <w:rsid w:val="00AF15FC"/>
    <w:rsid w:val="00AF1E1B"/>
    <w:rsid w:val="00AF27C9"/>
    <w:rsid w:val="00AF5BF9"/>
    <w:rsid w:val="00AF789A"/>
    <w:rsid w:val="00B00B67"/>
    <w:rsid w:val="00B02D4D"/>
    <w:rsid w:val="00B04B8D"/>
    <w:rsid w:val="00B05398"/>
    <w:rsid w:val="00B05C67"/>
    <w:rsid w:val="00B05D5A"/>
    <w:rsid w:val="00B068B3"/>
    <w:rsid w:val="00B102AB"/>
    <w:rsid w:val="00B11168"/>
    <w:rsid w:val="00B143E4"/>
    <w:rsid w:val="00B14D98"/>
    <w:rsid w:val="00B163E3"/>
    <w:rsid w:val="00B17B7E"/>
    <w:rsid w:val="00B20C3D"/>
    <w:rsid w:val="00B20D57"/>
    <w:rsid w:val="00B210D3"/>
    <w:rsid w:val="00B211E2"/>
    <w:rsid w:val="00B2136A"/>
    <w:rsid w:val="00B2147F"/>
    <w:rsid w:val="00B2197A"/>
    <w:rsid w:val="00B26126"/>
    <w:rsid w:val="00B276B9"/>
    <w:rsid w:val="00B27EB9"/>
    <w:rsid w:val="00B30CA0"/>
    <w:rsid w:val="00B31FDF"/>
    <w:rsid w:val="00B32304"/>
    <w:rsid w:val="00B334D6"/>
    <w:rsid w:val="00B337D2"/>
    <w:rsid w:val="00B37F20"/>
    <w:rsid w:val="00B40749"/>
    <w:rsid w:val="00B41E30"/>
    <w:rsid w:val="00B41FF2"/>
    <w:rsid w:val="00B42851"/>
    <w:rsid w:val="00B443A7"/>
    <w:rsid w:val="00B4738F"/>
    <w:rsid w:val="00B47C97"/>
    <w:rsid w:val="00B47F07"/>
    <w:rsid w:val="00B504EF"/>
    <w:rsid w:val="00B50DB8"/>
    <w:rsid w:val="00B50E11"/>
    <w:rsid w:val="00B511FD"/>
    <w:rsid w:val="00B52EF6"/>
    <w:rsid w:val="00B535C8"/>
    <w:rsid w:val="00B535FC"/>
    <w:rsid w:val="00B53905"/>
    <w:rsid w:val="00B54B5B"/>
    <w:rsid w:val="00B5562E"/>
    <w:rsid w:val="00B563FF"/>
    <w:rsid w:val="00B57000"/>
    <w:rsid w:val="00B60939"/>
    <w:rsid w:val="00B60A65"/>
    <w:rsid w:val="00B60AFD"/>
    <w:rsid w:val="00B60F9B"/>
    <w:rsid w:val="00B610A2"/>
    <w:rsid w:val="00B62715"/>
    <w:rsid w:val="00B6365A"/>
    <w:rsid w:val="00B66257"/>
    <w:rsid w:val="00B7124E"/>
    <w:rsid w:val="00B72595"/>
    <w:rsid w:val="00B728FF"/>
    <w:rsid w:val="00B733A4"/>
    <w:rsid w:val="00B73BCB"/>
    <w:rsid w:val="00B7523B"/>
    <w:rsid w:val="00B75D23"/>
    <w:rsid w:val="00B76379"/>
    <w:rsid w:val="00B76A77"/>
    <w:rsid w:val="00B772C9"/>
    <w:rsid w:val="00B774CB"/>
    <w:rsid w:val="00B818A4"/>
    <w:rsid w:val="00B81A24"/>
    <w:rsid w:val="00B83800"/>
    <w:rsid w:val="00B84369"/>
    <w:rsid w:val="00B847FE"/>
    <w:rsid w:val="00B8649C"/>
    <w:rsid w:val="00B8662A"/>
    <w:rsid w:val="00B86F7E"/>
    <w:rsid w:val="00B8792B"/>
    <w:rsid w:val="00B90DF6"/>
    <w:rsid w:val="00B9294F"/>
    <w:rsid w:val="00B92B08"/>
    <w:rsid w:val="00B92D0B"/>
    <w:rsid w:val="00B93D42"/>
    <w:rsid w:val="00B94945"/>
    <w:rsid w:val="00B9615E"/>
    <w:rsid w:val="00B978AE"/>
    <w:rsid w:val="00B97C91"/>
    <w:rsid w:val="00BA03A5"/>
    <w:rsid w:val="00BA149E"/>
    <w:rsid w:val="00BA1C89"/>
    <w:rsid w:val="00BA3F66"/>
    <w:rsid w:val="00BA548F"/>
    <w:rsid w:val="00BA5C06"/>
    <w:rsid w:val="00BB0818"/>
    <w:rsid w:val="00BB3A3A"/>
    <w:rsid w:val="00BB6932"/>
    <w:rsid w:val="00BB6C26"/>
    <w:rsid w:val="00BB7405"/>
    <w:rsid w:val="00BB79D0"/>
    <w:rsid w:val="00BC027B"/>
    <w:rsid w:val="00BC0923"/>
    <w:rsid w:val="00BC22E8"/>
    <w:rsid w:val="00BC41AD"/>
    <w:rsid w:val="00BC4741"/>
    <w:rsid w:val="00BC4B14"/>
    <w:rsid w:val="00BC5B07"/>
    <w:rsid w:val="00BD036E"/>
    <w:rsid w:val="00BD065C"/>
    <w:rsid w:val="00BD2537"/>
    <w:rsid w:val="00BD25F6"/>
    <w:rsid w:val="00BD3B10"/>
    <w:rsid w:val="00BD5341"/>
    <w:rsid w:val="00BD6CF3"/>
    <w:rsid w:val="00BD7372"/>
    <w:rsid w:val="00BE02A7"/>
    <w:rsid w:val="00BE0A7D"/>
    <w:rsid w:val="00BE1AAE"/>
    <w:rsid w:val="00BE2180"/>
    <w:rsid w:val="00BE4275"/>
    <w:rsid w:val="00BE4B1B"/>
    <w:rsid w:val="00BE6A7A"/>
    <w:rsid w:val="00BE7B67"/>
    <w:rsid w:val="00BE7C92"/>
    <w:rsid w:val="00BF070C"/>
    <w:rsid w:val="00BF0AA7"/>
    <w:rsid w:val="00BF18C7"/>
    <w:rsid w:val="00BF2039"/>
    <w:rsid w:val="00BF2433"/>
    <w:rsid w:val="00BF3537"/>
    <w:rsid w:val="00BF374C"/>
    <w:rsid w:val="00BF3B4A"/>
    <w:rsid w:val="00BF3C60"/>
    <w:rsid w:val="00BF55E6"/>
    <w:rsid w:val="00BF61C9"/>
    <w:rsid w:val="00C01ACE"/>
    <w:rsid w:val="00C039E9"/>
    <w:rsid w:val="00C0549B"/>
    <w:rsid w:val="00C06019"/>
    <w:rsid w:val="00C06FF3"/>
    <w:rsid w:val="00C10306"/>
    <w:rsid w:val="00C10DC8"/>
    <w:rsid w:val="00C110AC"/>
    <w:rsid w:val="00C11A91"/>
    <w:rsid w:val="00C12F70"/>
    <w:rsid w:val="00C14DF0"/>
    <w:rsid w:val="00C15F14"/>
    <w:rsid w:val="00C178E4"/>
    <w:rsid w:val="00C2100E"/>
    <w:rsid w:val="00C227B8"/>
    <w:rsid w:val="00C24E1F"/>
    <w:rsid w:val="00C25418"/>
    <w:rsid w:val="00C255CA"/>
    <w:rsid w:val="00C25D9C"/>
    <w:rsid w:val="00C26753"/>
    <w:rsid w:val="00C30127"/>
    <w:rsid w:val="00C31649"/>
    <w:rsid w:val="00C330F7"/>
    <w:rsid w:val="00C334BA"/>
    <w:rsid w:val="00C34AA3"/>
    <w:rsid w:val="00C3618A"/>
    <w:rsid w:val="00C40385"/>
    <w:rsid w:val="00C421B5"/>
    <w:rsid w:val="00C43FCB"/>
    <w:rsid w:val="00C461DF"/>
    <w:rsid w:val="00C509E3"/>
    <w:rsid w:val="00C51FA7"/>
    <w:rsid w:val="00C5248A"/>
    <w:rsid w:val="00C53100"/>
    <w:rsid w:val="00C54F0E"/>
    <w:rsid w:val="00C5508C"/>
    <w:rsid w:val="00C5761C"/>
    <w:rsid w:val="00C5765F"/>
    <w:rsid w:val="00C60A9E"/>
    <w:rsid w:val="00C63DD7"/>
    <w:rsid w:val="00C642D7"/>
    <w:rsid w:val="00C65576"/>
    <w:rsid w:val="00C660F8"/>
    <w:rsid w:val="00C66165"/>
    <w:rsid w:val="00C70983"/>
    <w:rsid w:val="00C709C0"/>
    <w:rsid w:val="00C70CA6"/>
    <w:rsid w:val="00C7147A"/>
    <w:rsid w:val="00C727E2"/>
    <w:rsid w:val="00C7323B"/>
    <w:rsid w:val="00C74733"/>
    <w:rsid w:val="00C750C8"/>
    <w:rsid w:val="00C75996"/>
    <w:rsid w:val="00C75B06"/>
    <w:rsid w:val="00C75DB4"/>
    <w:rsid w:val="00C8213F"/>
    <w:rsid w:val="00C82CE8"/>
    <w:rsid w:val="00C83C0B"/>
    <w:rsid w:val="00C86101"/>
    <w:rsid w:val="00C86663"/>
    <w:rsid w:val="00C874EF"/>
    <w:rsid w:val="00C8797A"/>
    <w:rsid w:val="00C914EE"/>
    <w:rsid w:val="00C91572"/>
    <w:rsid w:val="00C917E5"/>
    <w:rsid w:val="00C91EDD"/>
    <w:rsid w:val="00C9211C"/>
    <w:rsid w:val="00C9382C"/>
    <w:rsid w:val="00C938CF"/>
    <w:rsid w:val="00C94622"/>
    <w:rsid w:val="00C9480C"/>
    <w:rsid w:val="00C94F89"/>
    <w:rsid w:val="00C959C0"/>
    <w:rsid w:val="00C974DD"/>
    <w:rsid w:val="00CA18FA"/>
    <w:rsid w:val="00CA2209"/>
    <w:rsid w:val="00CA23A4"/>
    <w:rsid w:val="00CA5245"/>
    <w:rsid w:val="00CA568C"/>
    <w:rsid w:val="00CA588C"/>
    <w:rsid w:val="00CA6401"/>
    <w:rsid w:val="00CA7593"/>
    <w:rsid w:val="00CA77AC"/>
    <w:rsid w:val="00CA7B09"/>
    <w:rsid w:val="00CB073B"/>
    <w:rsid w:val="00CB0819"/>
    <w:rsid w:val="00CB0F44"/>
    <w:rsid w:val="00CB1293"/>
    <w:rsid w:val="00CB1CA1"/>
    <w:rsid w:val="00CB3D0E"/>
    <w:rsid w:val="00CB529E"/>
    <w:rsid w:val="00CB5634"/>
    <w:rsid w:val="00CB5B1A"/>
    <w:rsid w:val="00CB60A8"/>
    <w:rsid w:val="00CB6DF7"/>
    <w:rsid w:val="00CB7341"/>
    <w:rsid w:val="00CC1436"/>
    <w:rsid w:val="00CC17FB"/>
    <w:rsid w:val="00CC3275"/>
    <w:rsid w:val="00CC3F59"/>
    <w:rsid w:val="00CC6318"/>
    <w:rsid w:val="00CC766F"/>
    <w:rsid w:val="00CD0571"/>
    <w:rsid w:val="00CD0BE1"/>
    <w:rsid w:val="00CD1961"/>
    <w:rsid w:val="00CD21D2"/>
    <w:rsid w:val="00CD4E21"/>
    <w:rsid w:val="00CD6ADC"/>
    <w:rsid w:val="00CD6F3E"/>
    <w:rsid w:val="00CD70CE"/>
    <w:rsid w:val="00CE13B4"/>
    <w:rsid w:val="00CE1656"/>
    <w:rsid w:val="00CE3979"/>
    <w:rsid w:val="00CE44BF"/>
    <w:rsid w:val="00CE4B32"/>
    <w:rsid w:val="00CE5A19"/>
    <w:rsid w:val="00CE6274"/>
    <w:rsid w:val="00CE6367"/>
    <w:rsid w:val="00CE65EE"/>
    <w:rsid w:val="00CE76AB"/>
    <w:rsid w:val="00CF038E"/>
    <w:rsid w:val="00CF0F18"/>
    <w:rsid w:val="00CF0F1C"/>
    <w:rsid w:val="00CF1533"/>
    <w:rsid w:val="00CF15BC"/>
    <w:rsid w:val="00CF1D74"/>
    <w:rsid w:val="00CF409C"/>
    <w:rsid w:val="00CF42CC"/>
    <w:rsid w:val="00CF456B"/>
    <w:rsid w:val="00CF46A0"/>
    <w:rsid w:val="00CF5A22"/>
    <w:rsid w:val="00CF6827"/>
    <w:rsid w:val="00CF7C6E"/>
    <w:rsid w:val="00D01D29"/>
    <w:rsid w:val="00D0262E"/>
    <w:rsid w:val="00D079FA"/>
    <w:rsid w:val="00D07D00"/>
    <w:rsid w:val="00D1005D"/>
    <w:rsid w:val="00D1019B"/>
    <w:rsid w:val="00D10277"/>
    <w:rsid w:val="00D110BD"/>
    <w:rsid w:val="00D1126B"/>
    <w:rsid w:val="00D13DDC"/>
    <w:rsid w:val="00D140F5"/>
    <w:rsid w:val="00D14A28"/>
    <w:rsid w:val="00D157F1"/>
    <w:rsid w:val="00D15E30"/>
    <w:rsid w:val="00D17084"/>
    <w:rsid w:val="00D17D6C"/>
    <w:rsid w:val="00D2272A"/>
    <w:rsid w:val="00D25D24"/>
    <w:rsid w:val="00D27685"/>
    <w:rsid w:val="00D27FAE"/>
    <w:rsid w:val="00D30BBE"/>
    <w:rsid w:val="00D31F7B"/>
    <w:rsid w:val="00D3228A"/>
    <w:rsid w:val="00D3494D"/>
    <w:rsid w:val="00D357FF"/>
    <w:rsid w:val="00D35B2F"/>
    <w:rsid w:val="00D3722B"/>
    <w:rsid w:val="00D37591"/>
    <w:rsid w:val="00D41114"/>
    <w:rsid w:val="00D420D5"/>
    <w:rsid w:val="00D42DBF"/>
    <w:rsid w:val="00D43782"/>
    <w:rsid w:val="00D45EFC"/>
    <w:rsid w:val="00D46C86"/>
    <w:rsid w:val="00D47A4D"/>
    <w:rsid w:val="00D53B4A"/>
    <w:rsid w:val="00D608C4"/>
    <w:rsid w:val="00D60A66"/>
    <w:rsid w:val="00D62A85"/>
    <w:rsid w:val="00D62B24"/>
    <w:rsid w:val="00D63EBC"/>
    <w:rsid w:val="00D646D5"/>
    <w:rsid w:val="00D64D1F"/>
    <w:rsid w:val="00D67701"/>
    <w:rsid w:val="00D7547D"/>
    <w:rsid w:val="00D75BE9"/>
    <w:rsid w:val="00D76A44"/>
    <w:rsid w:val="00D81329"/>
    <w:rsid w:val="00D81FD7"/>
    <w:rsid w:val="00D83294"/>
    <w:rsid w:val="00D83444"/>
    <w:rsid w:val="00D83564"/>
    <w:rsid w:val="00D84355"/>
    <w:rsid w:val="00D8505D"/>
    <w:rsid w:val="00D858E5"/>
    <w:rsid w:val="00D87C86"/>
    <w:rsid w:val="00D91895"/>
    <w:rsid w:val="00D91BED"/>
    <w:rsid w:val="00D91D7D"/>
    <w:rsid w:val="00D926B4"/>
    <w:rsid w:val="00D93753"/>
    <w:rsid w:val="00D955B2"/>
    <w:rsid w:val="00D95B33"/>
    <w:rsid w:val="00DA0ABC"/>
    <w:rsid w:val="00DA1ED5"/>
    <w:rsid w:val="00DA3D0C"/>
    <w:rsid w:val="00DA6422"/>
    <w:rsid w:val="00DA64E7"/>
    <w:rsid w:val="00DA77A5"/>
    <w:rsid w:val="00DB288F"/>
    <w:rsid w:val="00DB3010"/>
    <w:rsid w:val="00DC202B"/>
    <w:rsid w:val="00DC21CC"/>
    <w:rsid w:val="00DC2516"/>
    <w:rsid w:val="00DC2F34"/>
    <w:rsid w:val="00DC399C"/>
    <w:rsid w:val="00DC4140"/>
    <w:rsid w:val="00DC4387"/>
    <w:rsid w:val="00DC5501"/>
    <w:rsid w:val="00DC57BF"/>
    <w:rsid w:val="00DC7461"/>
    <w:rsid w:val="00DD1F69"/>
    <w:rsid w:val="00DD2880"/>
    <w:rsid w:val="00DD3C77"/>
    <w:rsid w:val="00DD3F28"/>
    <w:rsid w:val="00DD4537"/>
    <w:rsid w:val="00DD4E15"/>
    <w:rsid w:val="00DD564B"/>
    <w:rsid w:val="00DD59EE"/>
    <w:rsid w:val="00DD65A7"/>
    <w:rsid w:val="00DD7C6B"/>
    <w:rsid w:val="00DE192E"/>
    <w:rsid w:val="00DE19D9"/>
    <w:rsid w:val="00DE1C80"/>
    <w:rsid w:val="00DE23D2"/>
    <w:rsid w:val="00DE4EDB"/>
    <w:rsid w:val="00DE4FCB"/>
    <w:rsid w:val="00DE53A8"/>
    <w:rsid w:val="00DE58A8"/>
    <w:rsid w:val="00DE5C1C"/>
    <w:rsid w:val="00DF0A35"/>
    <w:rsid w:val="00DF0E89"/>
    <w:rsid w:val="00DF1018"/>
    <w:rsid w:val="00DF10D5"/>
    <w:rsid w:val="00DF202E"/>
    <w:rsid w:val="00DF2A09"/>
    <w:rsid w:val="00DF4405"/>
    <w:rsid w:val="00DF44ED"/>
    <w:rsid w:val="00DF4AA8"/>
    <w:rsid w:val="00DF4D93"/>
    <w:rsid w:val="00DF5094"/>
    <w:rsid w:val="00DF5D2B"/>
    <w:rsid w:val="00DF5FE9"/>
    <w:rsid w:val="00E0186B"/>
    <w:rsid w:val="00E03126"/>
    <w:rsid w:val="00E05BE5"/>
    <w:rsid w:val="00E06A1D"/>
    <w:rsid w:val="00E06C83"/>
    <w:rsid w:val="00E10149"/>
    <w:rsid w:val="00E11958"/>
    <w:rsid w:val="00E11B1A"/>
    <w:rsid w:val="00E11C5E"/>
    <w:rsid w:val="00E12B9A"/>
    <w:rsid w:val="00E13E8F"/>
    <w:rsid w:val="00E14AD9"/>
    <w:rsid w:val="00E14FF2"/>
    <w:rsid w:val="00E16372"/>
    <w:rsid w:val="00E1667A"/>
    <w:rsid w:val="00E173A4"/>
    <w:rsid w:val="00E208DA"/>
    <w:rsid w:val="00E20DAA"/>
    <w:rsid w:val="00E20ED6"/>
    <w:rsid w:val="00E21358"/>
    <w:rsid w:val="00E2249B"/>
    <w:rsid w:val="00E22A0D"/>
    <w:rsid w:val="00E2309A"/>
    <w:rsid w:val="00E2699F"/>
    <w:rsid w:val="00E2771E"/>
    <w:rsid w:val="00E32160"/>
    <w:rsid w:val="00E323E4"/>
    <w:rsid w:val="00E32AAE"/>
    <w:rsid w:val="00E353FF"/>
    <w:rsid w:val="00E35BF3"/>
    <w:rsid w:val="00E35FA2"/>
    <w:rsid w:val="00E3656C"/>
    <w:rsid w:val="00E3751B"/>
    <w:rsid w:val="00E37569"/>
    <w:rsid w:val="00E37F24"/>
    <w:rsid w:val="00E41036"/>
    <w:rsid w:val="00E4181C"/>
    <w:rsid w:val="00E41E30"/>
    <w:rsid w:val="00E43130"/>
    <w:rsid w:val="00E43D70"/>
    <w:rsid w:val="00E44FD5"/>
    <w:rsid w:val="00E45241"/>
    <w:rsid w:val="00E460FD"/>
    <w:rsid w:val="00E4697E"/>
    <w:rsid w:val="00E47B2C"/>
    <w:rsid w:val="00E47BAF"/>
    <w:rsid w:val="00E47C1F"/>
    <w:rsid w:val="00E5070F"/>
    <w:rsid w:val="00E51560"/>
    <w:rsid w:val="00E524C6"/>
    <w:rsid w:val="00E527C6"/>
    <w:rsid w:val="00E52A22"/>
    <w:rsid w:val="00E53308"/>
    <w:rsid w:val="00E53D69"/>
    <w:rsid w:val="00E54D00"/>
    <w:rsid w:val="00E55424"/>
    <w:rsid w:val="00E55BB5"/>
    <w:rsid w:val="00E56594"/>
    <w:rsid w:val="00E56C72"/>
    <w:rsid w:val="00E57169"/>
    <w:rsid w:val="00E571FB"/>
    <w:rsid w:val="00E57F1E"/>
    <w:rsid w:val="00E609DE"/>
    <w:rsid w:val="00E61E95"/>
    <w:rsid w:val="00E6227A"/>
    <w:rsid w:val="00E63ED1"/>
    <w:rsid w:val="00E65157"/>
    <w:rsid w:val="00E659DA"/>
    <w:rsid w:val="00E65D5B"/>
    <w:rsid w:val="00E65E79"/>
    <w:rsid w:val="00E67416"/>
    <w:rsid w:val="00E713FB"/>
    <w:rsid w:val="00E718B6"/>
    <w:rsid w:val="00E71AD0"/>
    <w:rsid w:val="00E7234D"/>
    <w:rsid w:val="00E72DE6"/>
    <w:rsid w:val="00E73581"/>
    <w:rsid w:val="00E73D0D"/>
    <w:rsid w:val="00E748BD"/>
    <w:rsid w:val="00E777DD"/>
    <w:rsid w:val="00E77B08"/>
    <w:rsid w:val="00E81AA3"/>
    <w:rsid w:val="00E82E04"/>
    <w:rsid w:val="00E83BDF"/>
    <w:rsid w:val="00E85925"/>
    <w:rsid w:val="00E86E03"/>
    <w:rsid w:val="00E8754F"/>
    <w:rsid w:val="00E91312"/>
    <w:rsid w:val="00E91E4A"/>
    <w:rsid w:val="00E956B1"/>
    <w:rsid w:val="00E97A0D"/>
    <w:rsid w:val="00EA0634"/>
    <w:rsid w:val="00EA2AD9"/>
    <w:rsid w:val="00EA3758"/>
    <w:rsid w:val="00EA3864"/>
    <w:rsid w:val="00EA5301"/>
    <w:rsid w:val="00EA62F8"/>
    <w:rsid w:val="00EA6E97"/>
    <w:rsid w:val="00EB15B6"/>
    <w:rsid w:val="00EB16D8"/>
    <w:rsid w:val="00EB2A71"/>
    <w:rsid w:val="00EB2C36"/>
    <w:rsid w:val="00EB332C"/>
    <w:rsid w:val="00EB3AB1"/>
    <w:rsid w:val="00EB4916"/>
    <w:rsid w:val="00EB5B7C"/>
    <w:rsid w:val="00EB670E"/>
    <w:rsid w:val="00EC00C9"/>
    <w:rsid w:val="00EC0DF2"/>
    <w:rsid w:val="00EC112E"/>
    <w:rsid w:val="00EC27F7"/>
    <w:rsid w:val="00EC2A0D"/>
    <w:rsid w:val="00EC3E67"/>
    <w:rsid w:val="00EC3F12"/>
    <w:rsid w:val="00EC48E9"/>
    <w:rsid w:val="00EC49E0"/>
    <w:rsid w:val="00EC5091"/>
    <w:rsid w:val="00EC58B5"/>
    <w:rsid w:val="00EC764E"/>
    <w:rsid w:val="00ED1027"/>
    <w:rsid w:val="00ED30AB"/>
    <w:rsid w:val="00ED315D"/>
    <w:rsid w:val="00ED3305"/>
    <w:rsid w:val="00ED35B8"/>
    <w:rsid w:val="00ED363F"/>
    <w:rsid w:val="00ED5DDE"/>
    <w:rsid w:val="00ED6694"/>
    <w:rsid w:val="00ED7625"/>
    <w:rsid w:val="00ED7E20"/>
    <w:rsid w:val="00EE07D3"/>
    <w:rsid w:val="00EE0935"/>
    <w:rsid w:val="00EE2560"/>
    <w:rsid w:val="00EE4CDC"/>
    <w:rsid w:val="00EE521A"/>
    <w:rsid w:val="00EE6898"/>
    <w:rsid w:val="00EF1E13"/>
    <w:rsid w:val="00EF1FDB"/>
    <w:rsid w:val="00EF376C"/>
    <w:rsid w:val="00EF48AE"/>
    <w:rsid w:val="00EF6C3F"/>
    <w:rsid w:val="00F00712"/>
    <w:rsid w:val="00F01F7D"/>
    <w:rsid w:val="00F026C5"/>
    <w:rsid w:val="00F067A2"/>
    <w:rsid w:val="00F06B8F"/>
    <w:rsid w:val="00F10923"/>
    <w:rsid w:val="00F10F35"/>
    <w:rsid w:val="00F11536"/>
    <w:rsid w:val="00F1419C"/>
    <w:rsid w:val="00F149BE"/>
    <w:rsid w:val="00F1529F"/>
    <w:rsid w:val="00F159D8"/>
    <w:rsid w:val="00F15BBC"/>
    <w:rsid w:val="00F15CAE"/>
    <w:rsid w:val="00F17EF3"/>
    <w:rsid w:val="00F2066C"/>
    <w:rsid w:val="00F23225"/>
    <w:rsid w:val="00F24837"/>
    <w:rsid w:val="00F2575F"/>
    <w:rsid w:val="00F25769"/>
    <w:rsid w:val="00F279CD"/>
    <w:rsid w:val="00F3182F"/>
    <w:rsid w:val="00F325C9"/>
    <w:rsid w:val="00F3365F"/>
    <w:rsid w:val="00F339E4"/>
    <w:rsid w:val="00F33DE9"/>
    <w:rsid w:val="00F34412"/>
    <w:rsid w:val="00F34419"/>
    <w:rsid w:val="00F3449F"/>
    <w:rsid w:val="00F34C2F"/>
    <w:rsid w:val="00F35A07"/>
    <w:rsid w:val="00F35C68"/>
    <w:rsid w:val="00F3619A"/>
    <w:rsid w:val="00F36B00"/>
    <w:rsid w:val="00F37649"/>
    <w:rsid w:val="00F37ED8"/>
    <w:rsid w:val="00F4366C"/>
    <w:rsid w:val="00F439D9"/>
    <w:rsid w:val="00F45041"/>
    <w:rsid w:val="00F451E9"/>
    <w:rsid w:val="00F468D2"/>
    <w:rsid w:val="00F46CB6"/>
    <w:rsid w:val="00F47C71"/>
    <w:rsid w:val="00F51B60"/>
    <w:rsid w:val="00F51CE8"/>
    <w:rsid w:val="00F51F34"/>
    <w:rsid w:val="00F539FD"/>
    <w:rsid w:val="00F55E73"/>
    <w:rsid w:val="00F55FAD"/>
    <w:rsid w:val="00F566ED"/>
    <w:rsid w:val="00F57091"/>
    <w:rsid w:val="00F60092"/>
    <w:rsid w:val="00F6046F"/>
    <w:rsid w:val="00F606DE"/>
    <w:rsid w:val="00F61BE9"/>
    <w:rsid w:val="00F61E95"/>
    <w:rsid w:val="00F6230C"/>
    <w:rsid w:val="00F62758"/>
    <w:rsid w:val="00F66856"/>
    <w:rsid w:val="00F67423"/>
    <w:rsid w:val="00F71852"/>
    <w:rsid w:val="00F71A0E"/>
    <w:rsid w:val="00F71C02"/>
    <w:rsid w:val="00F729BE"/>
    <w:rsid w:val="00F80E5D"/>
    <w:rsid w:val="00F81C9B"/>
    <w:rsid w:val="00F8314A"/>
    <w:rsid w:val="00F836A6"/>
    <w:rsid w:val="00F851CE"/>
    <w:rsid w:val="00F852B0"/>
    <w:rsid w:val="00F874C5"/>
    <w:rsid w:val="00F923CC"/>
    <w:rsid w:val="00F92EB2"/>
    <w:rsid w:val="00F95A3B"/>
    <w:rsid w:val="00F96DA7"/>
    <w:rsid w:val="00F970DD"/>
    <w:rsid w:val="00F97A78"/>
    <w:rsid w:val="00FA1D02"/>
    <w:rsid w:val="00FA24E7"/>
    <w:rsid w:val="00FA2859"/>
    <w:rsid w:val="00FA3323"/>
    <w:rsid w:val="00FA3F06"/>
    <w:rsid w:val="00FA4798"/>
    <w:rsid w:val="00FA4AD1"/>
    <w:rsid w:val="00FA5B7E"/>
    <w:rsid w:val="00FA6FE6"/>
    <w:rsid w:val="00FA74C2"/>
    <w:rsid w:val="00FA7801"/>
    <w:rsid w:val="00FA7909"/>
    <w:rsid w:val="00FB0244"/>
    <w:rsid w:val="00FB2C01"/>
    <w:rsid w:val="00FB2FCB"/>
    <w:rsid w:val="00FB3555"/>
    <w:rsid w:val="00FB3AD8"/>
    <w:rsid w:val="00FB3E9C"/>
    <w:rsid w:val="00FB5018"/>
    <w:rsid w:val="00FB5502"/>
    <w:rsid w:val="00FB7399"/>
    <w:rsid w:val="00FC1074"/>
    <w:rsid w:val="00FC1884"/>
    <w:rsid w:val="00FC1AE5"/>
    <w:rsid w:val="00FC1BEF"/>
    <w:rsid w:val="00FC2886"/>
    <w:rsid w:val="00FC3183"/>
    <w:rsid w:val="00FC3F12"/>
    <w:rsid w:val="00FC4BDF"/>
    <w:rsid w:val="00FC4D7D"/>
    <w:rsid w:val="00FC5002"/>
    <w:rsid w:val="00FC5F42"/>
    <w:rsid w:val="00FC6D02"/>
    <w:rsid w:val="00FC767B"/>
    <w:rsid w:val="00FD1BE2"/>
    <w:rsid w:val="00FD2100"/>
    <w:rsid w:val="00FD2407"/>
    <w:rsid w:val="00FD446D"/>
    <w:rsid w:val="00FE0890"/>
    <w:rsid w:val="00FE0AF6"/>
    <w:rsid w:val="00FE492F"/>
    <w:rsid w:val="00FE49E3"/>
    <w:rsid w:val="00FE7ACB"/>
    <w:rsid w:val="00FF0094"/>
    <w:rsid w:val="00FF0604"/>
    <w:rsid w:val="00FF1599"/>
    <w:rsid w:val="00FF3DCF"/>
    <w:rsid w:val="00FF4C15"/>
    <w:rsid w:val="00FF5682"/>
    <w:rsid w:val="00FF5AA3"/>
    <w:rsid w:val="00FF6788"/>
    <w:rsid w:val="00FF6CEA"/>
    <w:rsid w:val="00FF788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4C3837"/>
    <w:pPr>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link w:val="Heading3Char"/>
    <w:qFormat/>
    <w:rsid w:val="00AD2AEB"/>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Heading1"/>
    <w:next w:val="Normal"/>
    <w:link w:val="TitleChar"/>
    <w:rsid w:val="008F17F0"/>
    <w:rPr>
      <w:sz w:val="28"/>
    </w:rPr>
  </w:style>
  <w:style w:type="character" w:customStyle="1" w:styleId="TitleChar">
    <w:name w:val="Title Char"/>
    <w:basedOn w:val="DefaultParagraphFont"/>
    <w:link w:val="Title"/>
    <w:rsid w:val="008F17F0"/>
    <w:rPr>
      <w:rFonts w:ascii="Arial Bold" w:hAnsi="Arial Bold" w:cs="Arial"/>
      <w:b/>
      <w:caps/>
      <w:snapToGrid w:val="0"/>
      <w:sz w:val="28"/>
      <w:lang w:eastAsia="en-US"/>
    </w:rPr>
  </w:style>
  <w:style w:type="paragraph" w:styleId="BodyText">
    <w:name w:val="Body Text"/>
    <w:basedOn w:val="Normal"/>
    <w:link w:val="BodyTextChar"/>
    <w:qFormat/>
    <w:rsid w:val="004B3DDB"/>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D2272A"/>
    <w:rPr>
      <w:rFonts w:ascii="Arial Narrow" w:hAnsi="Arial Narrow" w:cs="Times New Roman"/>
      <w:snapToGrid/>
      <w:sz w:val="20"/>
    </w:rPr>
  </w:style>
  <w:style w:type="paragraph" w:customStyle="1" w:styleId="TableHeading">
    <w:name w:val="TableHeading"/>
    <w:basedOn w:val="Normal"/>
    <w:rsid w:val="00A56B6A"/>
    <w:pPr>
      <w:keepNext/>
      <w:spacing w:before="40" w:after="40"/>
    </w:pPr>
    <w:rPr>
      <w:rFonts w:ascii="Arial Narrow" w:hAnsi="Arial Narrow" w:cs="Arial Narrow"/>
      <w:b/>
      <w:bCs/>
      <w:snapToGrid/>
      <w:sz w:val="20"/>
    </w:rPr>
  </w:style>
  <w:style w:type="character" w:customStyle="1" w:styleId="TabletextChar">
    <w:name w:val="Table text Char"/>
    <w:link w:val="Tabletext"/>
    <w:rsid w:val="00D2272A"/>
    <w:rPr>
      <w:rFonts w:ascii="Arial Narrow" w:hAnsi="Arial Narrow"/>
      <w:lang w:eastAsia="en-US"/>
    </w:rPr>
  </w:style>
  <w:style w:type="paragraph" w:customStyle="1" w:styleId="Corpsdetextemarge">
    <w:name w:val="Corps de texte marge"/>
    <w:basedOn w:val="BodyText"/>
    <w:uiPriority w:val="99"/>
    <w:rsid w:val="008F48EB"/>
    <w:rPr>
      <w:rFonts w:ascii="Times" w:hAnsi="Times" w:cs="Times New Roman"/>
      <w:snapToGrid/>
      <w:sz w:val="24"/>
      <w:lang w:val="en-US"/>
    </w:rPr>
  </w:style>
  <w:style w:type="paragraph" w:styleId="NormalWeb">
    <w:name w:val="Normal (Web)"/>
    <w:basedOn w:val="Normal"/>
    <w:uiPriority w:val="99"/>
    <w:rsid w:val="008F48EB"/>
    <w:pPr>
      <w:spacing w:before="100" w:after="100"/>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pPr>
    <w:rPr>
      <w:iCs/>
      <w:sz w:val="20"/>
    </w:rPr>
  </w:style>
  <w:style w:type="paragraph" w:styleId="TOC1">
    <w:name w:val="toc 1"/>
    <w:basedOn w:val="Normal"/>
    <w:next w:val="Normal"/>
    <w:autoRedefine/>
    <w:uiPriority w:val="39"/>
    <w:rsid w:val="00D0262E"/>
    <w:pPr>
      <w:spacing w:before="240" w:after="120"/>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pPr>
    <w:rPr>
      <w:rFonts w:asciiTheme="minorHAnsi" w:hAnsiTheme="minorHAnsi"/>
      <w:sz w:val="20"/>
    </w:rPr>
  </w:style>
  <w:style w:type="paragraph" w:styleId="TOC5">
    <w:name w:val="toc 5"/>
    <w:basedOn w:val="Normal"/>
    <w:next w:val="Normal"/>
    <w:autoRedefine/>
    <w:rsid w:val="00D0262E"/>
    <w:pPr>
      <w:ind w:left="880"/>
    </w:pPr>
    <w:rPr>
      <w:rFonts w:asciiTheme="minorHAnsi" w:hAnsiTheme="minorHAnsi"/>
      <w:sz w:val="20"/>
    </w:rPr>
  </w:style>
  <w:style w:type="paragraph" w:styleId="TOC6">
    <w:name w:val="toc 6"/>
    <w:basedOn w:val="Normal"/>
    <w:next w:val="Normal"/>
    <w:autoRedefine/>
    <w:rsid w:val="00D0262E"/>
    <w:pPr>
      <w:ind w:left="1100"/>
    </w:pPr>
    <w:rPr>
      <w:rFonts w:asciiTheme="minorHAnsi" w:hAnsiTheme="minorHAnsi"/>
      <w:sz w:val="20"/>
    </w:rPr>
  </w:style>
  <w:style w:type="paragraph" w:styleId="TOC7">
    <w:name w:val="toc 7"/>
    <w:basedOn w:val="Normal"/>
    <w:next w:val="Normal"/>
    <w:autoRedefine/>
    <w:rsid w:val="00D0262E"/>
    <w:pPr>
      <w:ind w:left="1320"/>
    </w:pPr>
    <w:rPr>
      <w:rFonts w:asciiTheme="minorHAnsi" w:hAnsiTheme="minorHAnsi"/>
      <w:sz w:val="20"/>
    </w:rPr>
  </w:style>
  <w:style w:type="paragraph" w:styleId="TOC8">
    <w:name w:val="toc 8"/>
    <w:basedOn w:val="Normal"/>
    <w:next w:val="Normal"/>
    <w:autoRedefine/>
    <w:rsid w:val="00D0262E"/>
    <w:pPr>
      <w:ind w:left="1540"/>
    </w:pPr>
    <w:rPr>
      <w:rFonts w:asciiTheme="minorHAnsi" w:hAnsiTheme="minorHAnsi"/>
      <w:sz w:val="20"/>
    </w:rPr>
  </w:style>
  <w:style w:type="paragraph" w:styleId="TOC9">
    <w:name w:val="toc 9"/>
    <w:basedOn w:val="Normal"/>
    <w:next w:val="Normal"/>
    <w:autoRedefine/>
    <w:rsid w:val="00D0262E"/>
    <w:pPr>
      <w:ind w:left="1760"/>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spacing w:before="40" w:after="40"/>
    </w:pPr>
    <w:rPr>
      <w:rFonts w:ascii="Arial Narrow" w:hAnsi="Arial Narrow" w:cs="Arial Narrow"/>
      <w:snapToGrid/>
      <w:sz w:val="20"/>
    </w:rPr>
  </w:style>
  <w:style w:type="paragraph" w:customStyle="1" w:styleId="TableName">
    <w:name w:val="TableName"/>
    <w:basedOn w:val="Normal"/>
    <w:rsid w:val="00CA7B09"/>
    <w:pPr>
      <w:keepNext/>
      <w:spacing w:before="120" w:after="120"/>
      <w:ind w:left="1800" w:hanging="1080"/>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15"/>
      </w:numPr>
    </w:pPr>
    <w:rPr>
      <w:rFonts w:ascii="Arial" w:hAnsi="Arial" w:cs="Arial"/>
      <w:b/>
      <w:snapToGrid w:val="0"/>
      <w:sz w:val="22"/>
      <w:szCs w:val="22"/>
      <w:lang w:eastAsia="en-US"/>
    </w:rPr>
  </w:style>
  <w:style w:type="paragraph" w:customStyle="1" w:styleId="CaptionFootnote">
    <w:name w:val="Caption Footnote"/>
    <w:basedOn w:val="Caption"/>
    <w:qFormat/>
    <w:rsid w:val="00982211"/>
    <w:pPr>
      <w:spacing w:after="0"/>
    </w:pPr>
    <w:rPr>
      <w:rFonts w:ascii="Candara" w:eastAsiaTheme="majorEastAsia" w:hAnsi="Candara" w:cstheme="majorBidi"/>
      <w:b w:val="0"/>
      <w:snapToGrid/>
      <w:color w:val="auto"/>
      <w:sz w:val="16"/>
      <w:lang w:bidi="en-US"/>
    </w:rPr>
  </w:style>
  <w:style w:type="character" w:customStyle="1" w:styleId="SmallBold">
    <w:name w:val="Small Bold"/>
    <w:basedOn w:val="DefaultParagraphFont"/>
    <w:uiPriority w:val="4"/>
    <w:qFormat/>
    <w:rsid w:val="002B4F8C"/>
    <w:rPr>
      <w:rFonts w:ascii="Candara" w:hAnsi="Candara"/>
      <w:b/>
      <w:sz w:val="20"/>
      <w:lang w:val="en-AU"/>
    </w:rPr>
  </w:style>
  <w:style w:type="character" w:customStyle="1" w:styleId="SmallSuperscript">
    <w:name w:val="Small Superscript"/>
    <w:basedOn w:val="DefaultParagraphFont"/>
    <w:uiPriority w:val="1"/>
    <w:qFormat/>
    <w:rsid w:val="002B4F8C"/>
    <w:rPr>
      <w:rFonts w:ascii="Candara" w:hAnsi="Candara"/>
      <w:sz w:val="20"/>
      <w:vertAlign w:val="superscript"/>
    </w:rPr>
  </w:style>
  <w:style w:type="character" w:customStyle="1" w:styleId="ListParagraphChar">
    <w:name w:val="List Paragraph Char"/>
    <w:basedOn w:val="DefaultParagraphFont"/>
    <w:link w:val="ListParagraph"/>
    <w:uiPriority w:val="72"/>
    <w:locked/>
    <w:rsid w:val="005231B6"/>
    <w:rPr>
      <w:rFonts w:ascii="Arial" w:hAnsi="Arial" w:cs="Arial"/>
      <w:snapToGrid w:val="0"/>
      <w:sz w:val="22"/>
      <w:lang w:eastAsia="en-US"/>
    </w:rPr>
  </w:style>
  <w:style w:type="paragraph" w:customStyle="1" w:styleId="Table">
    <w:name w:val="Table"/>
    <w:basedOn w:val="Normal"/>
    <w:link w:val="TableChar"/>
    <w:qFormat/>
    <w:rsid w:val="004E221D"/>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4E221D"/>
    <w:rPr>
      <w:rFonts w:ascii="Candara" w:eastAsiaTheme="majorEastAsia" w:hAnsi="Candara" w:cstheme="majorBidi"/>
      <w:szCs w:val="22"/>
      <w:lang w:eastAsia="en-US" w:bidi="en-US"/>
    </w:rPr>
  </w:style>
  <w:style w:type="paragraph" w:customStyle="1" w:styleId="TableCentre">
    <w:name w:val="Table Centre"/>
    <w:basedOn w:val="Table"/>
    <w:qFormat/>
    <w:rsid w:val="004E221D"/>
    <w:pPr>
      <w:jc w:val="center"/>
    </w:pPr>
  </w:style>
  <w:style w:type="character" w:customStyle="1" w:styleId="FontSuperscript">
    <w:name w:val="Font Superscript"/>
    <w:basedOn w:val="DefaultParagraphFont"/>
    <w:uiPriority w:val="1"/>
    <w:qFormat/>
    <w:rsid w:val="009F48A7"/>
    <w:rPr>
      <w:rFonts w:ascii="Calibri" w:hAnsi="Calibri"/>
      <w:sz w:val="24"/>
      <w:vertAlign w:val="superscript"/>
    </w:rPr>
  </w:style>
  <w:style w:type="character" w:customStyle="1" w:styleId="Small">
    <w:name w:val="Small"/>
    <w:basedOn w:val="DefaultParagraphFont"/>
    <w:qFormat/>
    <w:rsid w:val="009F48A7"/>
    <w:rPr>
      <w:rFonts w:ascii="Candara" w:hAnsi="Candara"/>
      <w:sz w:val="20"/>
    </w:rPr>
  </w:style>
  <w:style w:type="paragraph" w:customStyle="1" w:styleId="TableBullets">
    <w:name w:val="Table Bullets"/>
    <w:basedOn w:val="Table"/>
    <w:uiPriority w:val="5"/>
    <w:qFormat/>
    <w:rsid w:val="009F48A7"/>
    <w:pPr>
      <w:numPr>
        <w:numId w:val="22"/>
      </w:numPr>
      <w:ind w:left="357" w:hanging="357"/>
    </w:pPr>
  </w:style>
  <w:style w:type="character" w:customStyle="1" w:styleId="SmallItalics">
    <w:name w:val="Small Italics"/>
    <w:basedOn w:val="Small"/>
    <w:uiPriority w:val="4"/>
    <w:qFormat/>
    <w:rsid w:val="009F48A7"/>
    <w:rPr>
      <w:rFonts w:ascii="Arial Narrow" w:hAnsi="Arial Narrow"/>
      <w:i/>
      <w:sz w:val="20"/>
    </w:rPr>
  </w:style>
  <w:style w:type="character" w:customStyle="1" w:styleId="SmallHighlight">
    <w:name w:val="Small Highlight"/>
    <w:basedOn w:val="Small"/>
    <w:uiPriority w:val="1"/>
    <w:qFormat/>
    <w:rsid w:val="009F48A7"/>
    <w:rPr>
      <w:rFonts w:ascii="Candara" w:hAnsi="Candara"/>
      <w:sz w:val="20"/>
      <w:bdr w:val="none" w:sz="0" w:space="0" w:color="auto"/>
      <w:shd w:val="clear" w:color="auto" w:fill="FFFF00"/>
    </w:rPr>
  </w:style>
  <w:style w:type="paragraph" w:customStyle="1" w:styleId="NormalBulletList">
    <w:name w:val="Normal Bullet List"/>
    <w:basedOn w:val="Normal"/>
    <w:uiPriority w:val="3"/>
    <w:qFormat/>
    <w:rsid w:val="00FE49E3"/>
    <w:pPr>
      <w:numPr>
        <w:numId w:val="24"/>
      </w:numPr>
      <w:spacing w:after="240" w:line="276" w:lineRule="auto"/>
      <w:ind w:left="357" w:hanging="357"/>
      <w:contextualSpacing/>
    </w:pPr>
    <w:rPr>
      <w:rFonts w:ascii="Candara" w:eastAsiaTheme="majorEastAsia" w:hAnsi="Candara" w:cstheme="majorBidi"/>
      <w:snapToGrid/>
      <w:sz w:val="24"/>
      <w:szCs w:val="22"/>
      <w:lang w:bidi="en-US"/>
    </w:rPr>
  </w:style>
  <w:style w:type="table" w:customStyle="1" w:styleId="TableGrid1">
    <w:name w:val="Table Grid1"/>
    <w:basedOn w:val="TableNormal"/>
    <w:next w:val="TableGrid"/>
    <w:uiPriority w:val="59"/>
    <w:rsid w:val="00F00712"/>
    <w:rPr>
      <w:rFonts w:ascii="Candara" w:hAnsi="Candara"/>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character" w:customStyle="1" w:styleId="Heading3Char">
    <w:name w:val="Heading 3 Char"/>
    <w:basedOn w:val="DefaultParagraphFont"/>
    <w:link w:val="Heading3"/>
    <w:rsid w:val="00AD2AEB"/>
    <w:rPr>
      <w:rFonts w:ascii="Arial" w:hAnsi="Arial" w:cs="Arial"/>
      <w:snapToGrid w:val="0"/>
      <w:sz w:val="22"/>
      <w:u w:val="single"/>
      <w:lang w:eastAsia="en-US"/>
    </w:rPr>
  </w:style>
  <w:style w:type="paragraph" w:customStyle="1" w:styleId="Default">
    <w:name w:val="Default"/>
    <w:rsid w:val="00B2147F"/>
    <w:pPr>
      <w:autoSpaceDE w:val="0"/>
      <w:autoSpaceDN w:val="0"/>
      <w:adjustRightInd w:val="0"/>
    </w:pPr>
    <w:rPr>
      <w:rFonts w:ascii="Arial" w:hAnsi="Arial" w:cs="Arial"/>
      <w:color w:val="000000"/>
      <w:sz w:val="24"/>
      <w:szCs w:val="24"/>
    </w:rPr>
  </w:style>
  <w:style w:type="paragraph" w:styleId="Bibliography">
    <w:name w:val="Bibliography"/>
    <w:basedOn w:val="Normal"/>
    <w:next w:val="Normal"/>
    <w:uiPriority w:val="37"/>
    <w:unhideWhenUsed/>
    <w:rsid w:val="0097571D"/>
    <w:pPr>
      <w:spacing w:after="200" w:line="276" w:lineRule="auto"/>
    </w:pPr>
    <w:rPr>
      <w:rFonts w:ascii="Candara" w:eastAsiaTheme="majorEastAsia" w:hAnsi="Candara" w:cstheme="majorBidi"/>
      <w:snapToGrid/>
      <w:sz w:val="24"/>
      <w:szCs w:val="22"/>
      <w:lang w:bidi="en-US"/>
    </w:rPr>
  </w:style>
  <w:style w:type="character" w:customStyle="1" w:styleId="apple-converted-space">
    <w:name w:val="apple-converted-space"/>
    <w:basedOn w:val="DefaultParagraphFont"/>
    <w:rsid w:val="0097571D"/>
  </w:style>
  <w:style w:type="character" w:customStyle="1" w:styleId="highlight">
    <w:name w:val="highlight"/>
    <w:basedOn w:val="DefaultParagraphFont"/>
    <w:rsid w:val="0097571D"/>
  </w:style>
  <w:style w:type="table" w:customStyle="1" w:styleId="TableGrid2">
    <w:name w:val="Table Grid2"/>
    <w:basedOn w:val="TableNormal"/>
    <w:next w:val="TableGrid"/>
    <w:uiPriority w:val="59"/>
    <w:rsid w:val="009A6D78"/>
    <w:rPr>
      <w:rFonts w:ascii="Candara" w:hAnsi="Candara"/>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table" w:customStyle="1" w:styleId="TableGrid3">
    <w:name w:val="Table Grid3"/>
    <w:basedOn w:val="TableNormal"/>
    <w:next w:val="TableGrid"/>
    <w:uiPriority w:val="59"/>
    <w:rsid w:val="00A6559E"/>
    <w:rPr>
      <w:rFonts w:ascii="Candara" w:hAnsi="Candara"/>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paragraph" w:customStyle="1" w:styleId="TableRight">
    <w:name w:val="Table Right"/>
    <w:basedOn w:val="Table"/>
    <w:next w:val="Table"/>
    <w:qFormat/>
    <w:rsid w:val="007C3520"/>
    <w:pPr>
      <w:jc w:val="right"/>
    </w:pPr>
  </w:style>
  <w:style w:type="table" w:customStyle="1" w:styleId="Summarybox1">
    <w:name w:val="Summary box1"/>
    <w:basedOn w:val="TableNormal"/>
    <w:next w:val="TableGrid"/>
    <w:uiPriority w:val="59"/>
    <w:rsid w:val="00884CD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
    <w:name w:val="Summary box2"/>
    <w:basedOn w:val="TableNormal"/>
    <w:next w:val="TableGrid"/>
    <w:uiPriority w:val="59"/>
    <w:rsid w:val="000E0F22"/>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unhideWhenUsed/>
    <w:rsid w:val="00AD2AEB"/>
    <w:rPr>
      <w:rFonts w:ascii="Lucida Grande" w:hAnsi="Lucida Grande" w:cs="Lucida Grande"/>
      <w:sz w:val="24"/>
      <w:szCs w:val="24"/>
    </w:rPr>
  </w:style>
  <w:style w:type="character" w:customStyle="1" w:styleId="DocumentMapChar">
    <w:name w:val="Document Map Char"/>
    <w:basedOn w:val="DefaultParagraphFont"/>
    <w:link w:val="DocumentMap"/>
    <w:semiHidden/>
    <w:rsid w:val="00AD2AEB"/>
    <w:rPr>
      <w:rFonts w:ascii="Lucida Grande" w:hAnsi="Lucida Grande" w:cs="Lucida Grande"/>
      <w:snapToGrid w:val="0"/>
      <w:sz w:val="24"/>
      <w:szCs w:val="24"/>
      <w:lang w:eastAsia="en-US"/>
    </w:rPr>
  </w:style>
  <w:style w:type="table" w:customStyle="1" w:styleId="Summarybox11">
    <w:name w:val="Summary box11"/>
    <w:basedOn w:val="TableNormal"/>
    <w:next w:val="TableGrid"/>
    <w:uiPriority w:val="59"/>
    <w:rsid w:val="00C53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11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22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36D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A355BF"/>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3">
    <w:name w:val="Summary box3"/>
    <w:basedOn w:val="TableNormal"/>
    <w:next w:val="TableGrid"/>
    <w:uiPriority w:val="59"/>
    <w:rsid w:val="00AD437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C86101"/>
    <w:rPr>
      <w:sz w:val="20"/>
    </w:rPr>
  </w:style>
  <w:style w:type="character" w:customStyle="1" w:styleId="FootnoteTextChar">
    <w:name w:val="Footnote Text Char"/>
    <w:basedOn w:val="DefaultParagraphFont"/>
    <w:link w:val="FootnoteText"/>
    <w:rsid w:val="00C86101"/>
    <w:rPr>
      <w:rFonts w:ascii="Arial" w:hAnsi="Arial" w:cs="Arial"/>
      <w:snapToGrid w:val="0"/>
      <w:lang w:eastAsia="en-US"/>
    </w:rPr>
  </w:style>
  <w:style w:type="character" w:styleId="FootnoteReference">
    <w:name w:val="footnote reference"/>
    <w:basedOn w:val="DefaultParagraphFont"/>
    <w:semiHidden/>
    <w:unhideWhenUsed/>
    <w:rsid w:val="00C8610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4C3837"/>
    <w:pPr>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link w:val="Heading3Char"/>
    <w:qFormat/>
    <w:rsid w:val="00AD2AEB"/>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Heading1"/>
    <w:next w:val="Normal"/>
    <w:link w:val="TitleChar"/>
    <w:rsid w:val="008F17F0"/>
    <w:rPr>
      <w:sz w:val="28"/>
    </w:rPr>
  </w:style>
  <w:style w:type="character" w:customStyle="1" w:styleId="TitleChar">
    <w:name w:val="Title Char"/>
    <w:basedOn w:val="DefaultParagraphFont"/>
    <w:link w:val="Title"/>
    <w:rsid w:val="008F17F0"/>
    <w:rPr>
      <w:rFonts w:ascii="Arial Bold" w:hAnsi="Arial Bold" w:cs="Arial"/>
      <w:b/>
      <w:caps/>
      <w:snapToGrid w:val="0"/>
      <w:sz w:val="28"/>
      <w:lang w:eastAsia="en-US"/>
    </w:rPr>
  </w:style>
  <w:style w:type="paragraph" w:styleId="BodyText">
    <w:name w:val="Body Text"/>
    <w:basedOn w:val="Normal"/>
    <w:link w:val="BodyTextChar"/>
    <w:qFormat/>
    <w:rsid w:val="004B3DDB"/>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D2272A"/>
    <w:rPr>
      <w:rFonts w:ascii="Arial Narrow" w:hAnsi="Arial Narrow" w:cs="Times New Roman"/>
      <w:snapToGrid/>
      <w:sz w:val="20"/>
    </w:rPr>
  </w:style>
  <w:style w:type="paragraph" w:customStyle="1" w:styleId="TableHeading">
    <w:name w:val="TableHeading"/>
    <w:basedOn w:val="Normal"/>
    <w:rsid w:val="00A56B6A"/>
    <w:pPr>
      <w:keepNext/>
      <w:spacing w:before="40" w:after="40"/>
    </w:pPr>
    <w:rPr>
      <w:rFonts w:ascii="Arial Narrow" w:hAnsi="Arial Narrow" w:cs="Arial Narrow"/>
      <w:b/>
      <w:bCs/>
      <w:snapToGrid/>
      <w:sz w:val="20"/>
    </w:rPr>
  </w:style>
  <w:style w:type="character" w:customStyle="1" w:styleId="TabletextChar">
    <w:name w:val="Table text Char"/>
    <w:link w:val="Tabletext"/>
    <w:rsid w:val="00D2272A"/>
    <w:rPr>
      <w:rFonts w:ascii="Arial Narrow" w:hAnsi="Arial Narrow"/>
      <w:lang w:eastAsia="en-US"/>
    </w:rPr>
  </w:style>
  <w:style w:type="paragraph" w:customStyle="1" w:styleId="Corpsdetextemarge">
    <w:name w:val="Corps de texte marge"/>
    <w:basedOn w:val="BodyText"/>
    <w:uiPriority w:val="99"/>
    <w:rsid w:val="008F48EB"/>
    <w:rPr>
      <w:rFonts w:ascii="Times" w:hAnsi="Times" w:cs="Times New Roman"/>
      <w:snapToGrid/>
      <w:sz w:val="24"/>
      <w:lang w:val="en-US"/>
    </w:rPr>
  </w:style>
  <w:style w:type="paragraph" w:styleId="NormalWeb">
    <w:name w:val="Normal (Web)"/>
    <w:basedOn w:val="Normal"/>
    <w:uiPriority w:val="99"/>
    <w:rsid w:val="008F48EB"/>
    <w:pPr>
      <w:spacing w:before="100" w:after="100"/>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pPr>
    <w:rPr>
      <w:iCs/>
      <w:sz w:val="20"/>
    </w:rPr>
  </w:style>
  <w:style w:type="paragraph" w:styleId="TOC1">
    <w:name w:val="toc 1"/>
    <w:basedOn w:val="Normal"/>
    <w:next w:val="Normal"/>
    <w:autoRedefine/>
    <w:uiPriority w:val="39"/>
    <w:rsid w:val="00D0262E"/>
    <w:pPr>
      <w:spacing w:before="240" w:after="120"/>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pPr>
    <w:rPr>
      <w:rFonts w:asciiTheme="minorHAnsi" w:hAnsiTheme="minorHAnsi"/>
      <w:sz w:val="20"/>
    </w:rPr>
  </w:style>
  <w:style w:type="paragraph" w:styleId="TOC5">
    <w:name w:val="toc 5"/>
    <w:basedOn w:val="Normal"/>
    <w:next w:val="Normal"/>
    <w:autoRedefine/>
    <w:rsid w:val="00D0262E"/>
    <w:pPr>
      <w:ind w:left="880"/>
    </w:pPr>
    <w:rPr>
      <w:rFonts w:asciiTheme="minorHAnsi" w:hAnsiTheme="minorHAnsi"/>
      <w:sz w:val="20"/>
    </w:rPr>
  </w:style>
  <w:style w:type="paragraph" w:styleId="TOC6">
    <w:name w:val="toc 6"/>
    <w:basedOn w:val="Normal"/>
    <w:next w:val="Normal"/>
    <w:autoRedefine/>
    <w:rsid w:val="00D0262E"/>
    <w:pPr>
      <w:ind w:left="1100"/>
    </w:pPr>
    <w:rPr>
      <w:rFonts w:asciiTheme="minorHAnsi" w:hAnsiTheme="minorHAnsi"/>
      <w:sz w:val="20"/>
    </w:rPr>
  </w:style>
  <w:style w:type="paragraph" w:styleId="TOC7">
    <w:name w:val="toc 7"/>
    <w:basedOn w:val="Normal"/>
    <w:next w:val="Normal"/>
    <w:autoRedefine/>
    <w:rsid w:val="00D0262E"/>
    <w:pPr>
      <w:ind w:left="1320"/>
    </w:pPr>
    <w:rPr>
      <w:rFonts w:asciiTheme="minorHAnsi" w:hAnsiTheme="minorHAnsi"/>
      <w:sz w:val="20"/>
    </w:rPr>
  </w:style>
  <w:style w:type="paragraph" w:styleId="TOC8">
    <w:name w:val="toc 8"/>
    <w:basedOn w:val="Normal"/>
    <w:next w:val="Normal"/>
    <w:autoRedefine/>
    <w:rsid w:val="00D0262E"/>
    <w:pPr>
      <w:ind w:left="1540"/>
    </w:pPr>
    <w:rPr>
      <w:rFonts w:asciiTheme="minorHAnsi" w:hAnsiTheme="minorHAnsi"/>
      <w:sz w:val="20"/>
    </w:rPr>
  </w:style>
  <w:style w:type="paragraph" w:styleId="TOC9">
    <w:name w:val="toc 9"/>
    <w:basedOn w:val="Normal"/>
    <w:next w:val="Normal"/>
    <w:autoRedefine/>
    <w:rsid w:val="00D0262E"/>
    <w:pPr>
      <w:ind w:left="1760"/>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spacing w:before="40" w:after="40"/>
    </w:pPr>
    <w:rPr>
      <w:rFonts w:ascii="Arial Narrow" w:hAnsi="Arial Narrow" w:cs="Arial Narrow"/>
      <w:snapToGrid/>
      <w:sz w:val="20"/>
    </w:rPr>
  </w:style>
  <w:style w:type="paragraph" w:customStyle="1" w:styleId="TableName">
    <w:name w:val="TableName"/>
    <w:basedOn w:val="Normal"/>
    <w:rsid w:val="00CA7B09"/>
    <w:pPr>
      <w:keepNext/>
      <w:spacing w:before="120" w:after="120"/>
      <w:ind w:left="1800" w:hanging="1080"/>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15"/>
      </w:numPr>
    </w:pPr>
    <w:rPr>
      <w:rFonts w:ascii="Arial" w:hAnsi="Arial" w:cs="Arial"/>
      <w:b/>
      <w:snapToGrid w:val="0"/>
      <w:sz w:val="22"/>
      <w:szCs w:val="22"/>
      <w:lang w:eastAsia="en-US"/>
    </w:rPr>
  </w:style>
  <w:style w:type="paragraph" w:customStyle="1" w:styleId="CaptionFootnote">
    <w:name w:val="Caption Footnote"/>
    <w:basedOn w:val="Caption"/>
    <w:qFormat/>
    <w:rsid w:val="00982211"/>
    <w:pPr>
      <w:spacing w:after="0"/>
    </w:pPr>
    <w:rPr>
      <w:rFonts w:ascii="Candara" w:eastAsiaTheme="majorEastAsia" w:hAnsi="Candara" w:cstheme="majorBidi"/>
      <w:b w:val="0"/>
      <w:snapToGrid/>
      <w:color w:val="auto"/>
      <w:sz w:val="16"/>
      <w:lang w:bidi="en-US"/>
    </w:rPr>
  </w:style>
  <w:style w:type="character" w:customStyle="1" w:styleId="SmallBold">
    <w:name w:val="Small Bold"/>
    <w:basedOn w:val="DefaultParagraphFont"/>
    <w:uiPriority w:val="4"/>
    <w:qFormat/>
    <w:rsid w:val="002B4F8C"/>
    <w:rPr>
      <w:rFonts w:ascii="Candara" w:hAnsi="Candara"/>
      <w:b/>
      <w:sz w:val="20"/>
      <w:lang w:val="en-AU"/>
    </w:rPr>
  </w:style>
  <w:style w:type="character" w:customStyle="1" w:styleId="SmallSuperscript">
    <w:name w:val="Small Superscript"/>
    <w:basedOn w:val="DefaultParagraphFont"/>
    <w:uiPriority w:val="1"/>
    <w:qFormat/>
    <w:rsid w:val="002B4F8C"/>
    <w:rPr>
      <w:rFonts w:ascii="Candara" w:hAnsi="Candara"/>
      <w:sz w:val="20"/>
      <w:vertAlign w:val="superscript"/>
    </w:rPr>
  </w:style>
  <w:style w:type="character" w:customStyle="1" w:styleId="ListParagraphChar">
    <w:name w:val="List Paragraph Char"/>
    <w:basedOn w:val="DefaultParagraphFont"/>
    <w:link w:val="ListParagraph"/>
    <w:uiPriority w:val="72"/>
    <w:locked/>
    <w:rsid w:val="005231B6"/>
    <w:rPr>
      <w:rFonts w:ascii="Arial" w:hAnsi="Arial" w:cs="Arial"/>
      <w:snapToGrid w:val="0"/>
      <w:sz w:val="22"/>
      <w:lang w:eastAsia="en-US"/>
    </w:rPr>
  </w:style>
  <w:style w:type="paragraph" w:customStyle="1" w:styleId="Table">
    <w:name w:val="Table"/>
    <w:basedOn w:val="Normal"/>
    <w:link w:val="TableChar"/>
    <w:qFormat/>
    <w:rsid w:val="004E221D"/>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4E221D"/>
    <w:rPr>
      <w:rFonts w:ascii="Candara" w:eastAsiaTheme="majorEastAsia" w:hAnsi="Candara" w:cstheme="majorBidi"/>
      <w:szCs w:val="22"/>
      <w:lang w:eastAsia="en-US" w:bidi="en-US"/>
    </w:rPr>
  </w:style>
  <w:style w:type="paragraph" w:customStyle="1" w:styleId="TableCentre">
    <w:name w:val="Table Centre"/>
    <w:basedOn w:val="Table"/>
    <w:qFormat/>
    <w:rsid w:val="004E221D"/>
    <w:pPr>
      <w:jc w:val="center"/>
    </w:pPr>
  </w:style>
  <w:style w:type="character" w:customStyle="1" w:styleId="FontSuperscript">
    <w:name w:val="Font Superscript"/>
    <w:basedOn w:val="DefaultParagraphFont"/>
    <w:uiPriority w:val="1"/>
    <w:qFormat/>
    <w:rsid w:val="009F48A7"/>
    <w:rPr>
      <w:rFonts w:ascii="Calibri" w:hAnsi="Calibri"/>
      <w:sz w:val="24"/>
      <w:vertAlign w:val="superscript"/>
    </w:rPr>
  </w:style>
  <w:style w:type="character" w:customStyle="1" w:styleId="Small">
    <w:name w:val="Small"/>
    <w:basedOn w:val="DefaultParagraphFont"/>
    <w:qFormat/>
    <w:rsid w:val="009F48A7"/>
    <w:rPr>
      <w:rFonts w:ascii="Candara" w:hAnsi="Candara"/>
      <w:sz w:val="20"/>
    </w:rPr>
  </w:style>
  <w:style w:type="paragraph" w:customStyle="1" w:styleId="TableBullets">
    <w:name w:val="Table Bullets"/>
    <w:basedOn w:val="Table"/>
    <w:uiPriority w:val="5"/>
    <w:qFormat/>
    <w:rsid w:val="009F48A7"/>
    <w:pPr>
      <w:numPr>
        <w:numId w:val="22"/>
      </w:numPr>
      <w:ind w:left="357" w:hanging="357"/>
    </w:pPr>
  </w:style>
  <w:style w:type="character" w:customStyle="1" w:styleId="SmallItalics">
    <w:name w:val="Small Italics"/>
    <w:basedOn w:val="Small"/>
    <w:uiPriority w:val="4"/>
    <w:qFormat/>
    <w:rsid w:val="009F48A7"/>
    <w:rPr>
      <w:rFonts w:ascii="Arial Narrow" w:hAnsi="Arial Narrow"/>
      <w:i/>
      <w:sz w:val="20"/>
    </w:rPr>
  </w:style>
  <w:style w:type="character" w:customStyle="1" w:styleId="SmallHighlight">
    <w:name w:val="Small Highlight"/>
    <w:basedOn w:val="Small"/>
    <w:uiPriority w:val="1"/>
    <w:qFormat/>
    <w:rsid w:val="009F48A7"/>
    <w:rPr>
      <w:rFonts w:ascii="Candara" w:hAnsi="Candara"/>
      <w:sz w:val="20"/>
      <w:bdr w:val="none" w:sz="0" w:space="0" w:color="auto"/>
      <w:shd w:val="clear" w:color="auto" w:fill="FFFF00"/>
    </w:rPr>
  </w:style>
  <w:style w:type="paragraph" w:customStyle="1" w:styleId="NormalBulletList">
    <w:name w:val="Normal Bullet List"/>
    <w:basedOn w:val="Normal"/>
    <w:uiPriority w:val="3"/>
    <w:qFormat/>
    <w:rsid w:val="00FE49E3"/>
    <w:pPr>
      <w:numPr>
        <w:numId w:val="24"/>
      </w:numPr>
      <w:spacing w:after="240" w:line="276" w:lineRule="auto"/>
      <w:ind w:left="357" w:hanging="357"/>
      <w:contextualSpacing/>
    </w:pPr>
    <w:rPr>
      <w:rFonts w:ascii="Candara" w:eastAsiaTheme="majorEastAsia" w:hAnsi="Candara" w:cstheme="majorBidi"/>
      <w:snapToGrid/>
      <w:sz w:val="24"/>
      <w:szCs w:val="22"/>
      <w:lang w:bidi="en-US"/>
    </w:rPr>
  </w:style>
  <w:style w:type="table" w:customStyle="1" w:styleId="TableGrid1">
    <w:name w:val="Table Grid1"/>
    <w:basedOn w:val="TableNormal"/>
    <w:next w:val="TableGrid"/>
    <w:uiPriority w:val="59"/>
    <w:rsid w:val="00F00712"/>
    <w:rPr>
      <w:rFonts w:ascii="Candara" w:hAnsi="Candara"/>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character" w:customStyle="1" w:styleId="Heading3Char">
    <w:name w:val="Heading 3 Char"/>
    <w:basedOn w:val="DefaultParagraphFont"/>
    <w:link w:val="Heading3"/>
    <w:rsid w:val="00AD2AEB"/>
    <w:rPr>
      <w:rFonts w:ascii="Arial" w:hAnsi="Arial" w:cs="Arial"/>
      <w:snapToGrid w:val="0"/>
      <w:sz w:val="22"/>
      <w:u w:val="single"/>
      <w:lang w:eastAsia="en-US"/>
    </w:rPr>
  </w:style>
  <w:style w:type="paragraph" w:customStyle="1" w:styleId="Default">
    <w:name w:val="Default"/>
    <w:rsid w:val="00B2147F"/>
    <w:pPr>
      <w:autoSpaceDE w:val="0"/>
      <w:autoSpaceDN w:val="0"/>
      <w:adjustRightInd w:val="0"/>
    </w:pPr>
    <w:rPr>
      <w:rFonts w:ascii="Arial" w:hAnsi="Arial" w:cs="Arial"/>
      <w:color w:val="000000"/>
      <w:sz w:val="24"/>
      <w:szCs w:val="24"/>
    </w:rPr>
  </w:style>
  <w:style w:type="paragraph" w:styleId="Bibliography">
    <w:name w:val="Bibliography"/>
    <w:basedOn w:val="Normal"/>
    <w:next w:val="Normal"/>
    <w:uiPriority w:val="37"/>
    <w:unhideWhenUsed/>
    <w:rsid w:val="0097571D"/>
    <w:pPr>
      <w:spacing w:after="200" w:line="276" w:lineRule="auto"/>
    </w:pPr>
    <w:rPr>
      <w:rFonts w:ascii="Candara" w:eastAsiaTheme="majorEastAsia" w:hAnsi="Candara" w:cstheme="majorBidi"/>
      <w:snapToGrid/>
      <w:sz w:val="24"/>
      <w:szCs w:val="22"/>
      <w:lang w:bidi="en-US"/>
    </w:rPr>
  </w:style>
  <w:style w:type="character" w:customStyle="1" w:styleId="apple-converted-space">
    <w:name w:val="apple-converted-space"/>
    <w:basedOn w:val="DefaultParagraphFont"/>
    <w:rsid w:val="0097571D"/>
  </w:style>
  <w:style w:type="character" w:customStyle="1" w:styleId="highlight">
    <w:name w:val="highlight"/>
    <w:basedOn w:val="DefaultParagraphFont"/>
    <w:rsid w:val="0097571D"/>
  </w:style>
  <w:style w:type="table" w:customStyle="1" w:styleId="TableGrid2">
    <w:name w:val="Table Grid2"/>
    <w:basedOn w:val="TableNormal"/>
    <w:next w:val="TableGrid"/>
    <w:uiPriority w:val="59"/>
    <w:rsid w:val="009A6D78"/>
    <w:rPr>
      <w:rFonts w:ascii="Candara" w:hAnsi="Candara"/>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table" w:customStyle="1" w:styleId="TableGrid3">
    <w:name w:val="Table Grid3"/>
    <w:basedOn w:val="TableNormal"/>
    <w:next w:val="TableGrid"/>
    <w:uiPriority w:val="59"/>
    <w:rsid w:val="00A6559E"/>
    <w:rPr>
      <w:rFonts w:ascii="Candara" w:hAnsi="Candara"/>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paragraph" w:customStyle="1" w:styleId="TableRight">
    <w:name w:val="Table Right"/>
    <w:basedOn w:val="Table"/>
    <w:next w:val="Table"/>
    <w:qFormat/>
    <w:rsid w:val="007C3520"/>
    <w:pPr>
      <w:jc w:val="right"/>
    </w:pPr>
  </w:style>
  <w:style w:type="table" w:customStyle="1" w:styleId="Summarybox1">
    <w:name w:val="Summary box1"/>
    <w:basedOn w:val="TableNormal"/>
    <w:next w:val="TableGrid"/>
    <w:uiPriority w:val="59"/>
    <w:rsid w:val="00884CD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
    <w:name w:val="Summary box2"/>
    <w:basedOn w:val="TableNormal"/>
    <w:next w:val="TableGrid"/>
    <w:uiPriority w:val="59"/>
    <w:rsid w:val="000E0F22"/>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unhideWhenUsed/>
    <w:rsid w:val="00AD2AEB"/>
    <w:rPr>
      <w:rFonts w:ascii="Lucida Grande" w:hAnsi="Lucida Grande" w:cs="Lucida Grande"/>
      <w:sz w:val="24"/>
      <w:szCs w:val="24"/>
    </w:rPr>
  </w:style>
  <w:style w:type="character" w:customStyle="1" w:styleId="DocumentMapChar">
    <w:name w:val="Document Map Char"/>
    <w:basedOn w:val="DefaultParagraphFont"/>
    <w:link w:val="DocumentMap"/>
    <w:semiHidden/>
    <w:rsid w:val="00AD2AEB"/>
    <w:rPr>
      <w:rFonts w:ascii="Lucida Grande" w:hAnsi="Lucida Grande" w:cs="Lucida Grande"/>
      <w:snapToGrid w:val="0"/>
      <w:sz w:val="24"/>
      <w:szCs w:val="24"/>
      <w:lang w:eastAsia="en-US"/>
    </w:rPr>
  </w:style>
  <w:style w:type="table" w:customStyle="1" w:styleId="Summarybox11">
    <w:name w:val="Summary box11"/>
    <w:basedOn w:val="TableNormal"/>
    <w:next w:val="TableGrid"/>
    <w:uiPriority w:val="59"/>
    <w:rsid w:val="00C53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11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22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36D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A355BF"/>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3">
    <w:name w:val="Summary box3"/>
    <w:basedOn w:val="TableNormal"/>
    <w:next w:val="TableGrid"/>
    <w:uiPriority w:val="59"/>
    <w:rsid w:val="00AD437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C86101"/>
    <w:rPr>
      <w:sz w:val="20"/>
    </w:rPr>
  </w:style>
  <w:style w:type="character" w:customStyle="1" w:styleId="FootnoteTextChar">
    <w:name w:val="Footnote Text Char"/>
    <w:basedOn w:val="DefaultParagraphFont"/>
    <w:link w:val="FootnoteText"/>
    <w:rsid w:val="00C86101"/>
    <w:rPr>
      <w:rFonts w:ascii="Arial" w:hAnsi="Arial" w:cs="Arial"/>
      <w:snapToGrid w:val="0"/>
      <w:lang w:eastAsia="en-US"/>
    </w:rPr>
  </w:style>
  <w:style w:type="character" w:styleId="FootnoteReference">
    <w:name w:val="footnote reference"/>
    <w:basedOn w:val="DefaultParagraphFont"/>
    <w:semiHidden/>
    <w:unhideWhenUsed/>
    <w:rsid w:val="00C861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70585">
      <w:bodyDiv w:val="1"/>
      <w:marLeft w:val="0"/>
      <w:marRight w:val="0"/>
      <w:marTop w:val="0"/>
      <w:marBottom w:val="0"/>
      <w:divBdr>
        <w:top w:val="none" w:sz="0" w:space="0" w:color="auto"/>
        <w:left w:val="none" w:sz="0" w:space="0" w:color="auto"/>
        <w:bottom w:val="none" w:sz="0" w:space="0" w:color="auto"/>
        <w:right w:val="none" w:sz="0" w:space="0" w:color="auto"/>
      </w:divBdr>
    </w:div>
    <w:div w:id="45686657">
      <w:bodyDiv w:val="1"/>
      <w:marLeft w:val="0"/>
      <w:marRight w:val="0"/>
      <w:marTop w:val="0"/>
      <w:marBottom w:val="0"/>
      <w:divBdr>
        <w:top w:val="none" w:sz="0" w:space="0" w:color="auto"/>
        <w:left w:val="none" w:sz="0" w:space="0" w:color="auto"/>
        <w:bottom w:val="none" w:sz="0" w:space="0" w:color="auto"/>
        <w:right w:val="none" w:sz="0" w:space="0" w:color="auto"/>
      </w:divBdr>
    </w:div>
    <w:div w:id="164900942">
      <w:bodyDiv w:val="1"/>
      <w:marLeft w:val="0"/>
      <w:marRight w:val="0"/>
      <w:marTop w:val="0"/>
      <w:marBottom w:val="0"/>
      <w:divBdr>
        <w:top w:val="none" w:sz="0" w:space="0" w:color="auto"/>
        <w:left w:val="none" w:sz="0" w:space="0" w:color="auto"/>
        <w:bottom w:val="none" w:sz="0" w:space="0" w:color="auto"/>
        <w:right w:val="none" w:sz="0" w:space="0" w:color="auto"/>
      </w:divBdr>
    </w:div>
    <w:div w:id="190268455">
      <w:bodyDiv w:val="1"/>
      <w:marLeft w:val="0"/>
      <w:marRight w:val="0"/>
      <w:marTop w:val="0"/>
      <w:marBottom w:val="0"/>
      <w:divBdr>
        <w:top w:val="none" w:sz="0" w:space="0" w:color="auto"/>
        <w:left w:val="none" w:sz="0" w:space="0" w:color="auto"/>
        <w:bottom w:val="none" w:sz="0" w:space="0" w:color="auto"/>
        <w:right w:val="none" w:sz="0" w:space="0" w:color="auto"/>
      </w:divBdr>
    </w:div>
    <w:div w:id="190842981">
      <w:bodyDiv w:val="1"/>
      <w:marLeft w:val="0"/>
      <w:marRight w:val="0"/>
      <w:marTop w:val="0"/>
      <w:marBottom w:val="0"/>
      <w:divBdr>
        <w:top w:val="none" w:sz="0" w:space="0" w:color="auto"/>
        <w:left w:val="none" w:sz="0" w:space="0" w:color="auto"/>
        <w:bottom w:val="none" w:sz="0" w:space="0" w:color="auto"/>
        <w:right w:val="none" w:sz="0" w:space="0" w:color="auto"/>
      </w:divBdr>
    </w:div>
    <w:div w:id="217401350">
      <w:bodyDiv w:val="1"/>
      <w:marLeft w:val="0"/>
      <w:marRight w:val="0"/>
      <w:marTop w:val="0"/>
      <w:marBottom w:val="0"/>
      <w:divBdr>
        <w:top w:val="none" w:sz="0" w:space="0" w:color="auto"/>
        <w:left w:val="none" w:sz="0" w:space="0" w:color="auto"/>
        <w:bottom w:val="none" w:sz="0" w:space="0" w:color="auto"/>
        <w:right w:val="none" w:sz="0" w:space="0" w:color="auto"/>
      </w:divBdr>
    </w:div>
    <w:div w:id="236137564">
      <w:bodyDiv w:val="1"/>
      <w:marLeft w:val="0"/>
      <w:marRight w:val="0"/>
      <w:marTop w:val="0"/>
      <w:marBottom w:val="0"/>
      <w:divBdr>
        <w:top w:val="none" w:sz="0" w:space="0" w:color="auto"/>
        <w:left w:val="none" w:sz="0" w:space="0" w:color="auto"/>
        <w:bottom w:val="none" w:sz="0" w:space="0" w:color="auto"/>
        <w:right w:val="none" w:sz="0" w:space="0" w:color="auto"/>
      </w:divBdr>
    </w:div>
    <w:div w:id="259334344">
      <w:bodyDiv w:val="1"/>
      <w:marLeft w:val="0"/>
      <w:marRight w:val="0"/>
      <w:marTop w:val="0"/>
      <w:marBottom w:val="0"/>
      <w:divBdr>
        <w:top w:val="none" w:sz="0" w:space="0" w:color="auto"/>
        <w:left w:val="none" w:sz="0" w:space="0" w:color="auto"/>
        <w:bottom w:val="none" w:sz="0" w:space="0" w:color="auto"/>
        <w:right w:val="none" w:sz="0" w:space="0" w:color="auto"/>
      </w:divBdr>
    </w:div>
    <w:div w:id="295991685">
      <w:bodyDiv w:val="1"/>
      <w:marLeft w:val="0"/>
      <w:marRight w:val="0"/>
      <w:marTop w:val="0"/>
      <w:marBottom w:val="0"/>
      <w:divBdr>
        <w:top w:val="none" w:sz="0" w:space="0" w:color="auto"/>
        <w:left w:val="none" w:sz="0" w:space="0" w:color="auto"/>
        <w:bottom w:val="none" w:sz="0" w:space="0" w:color="auto"/>
        <w:right w:val="none" w:sz="0" w:space="0" w:color="auto"/>
      </w:divBdr>
    </w:div>
    <w:div w:id="359817838">
      <w:bodyDiv w:val="1"/>
      <w:marLeft w:val="0"/>
      <w:marRight w:val="0"/>
      <w:marTop w:val="0"/>
      <w:marBottom w:val="0"/>
      <w:divBdr>
        <w:top w:val="none" w:sz="0" w:space="0" w:color="auto"/>
        <w:left w:val="none" w:sz="0" w:space="0" w:color="auto"/>
        <w:bottom w:val="none" w:sz="0" w:space="0" w:color="auto"/>
        <w:right w:val="none" w:sz="0" w:space="0" w:color="auto"/>
      </w:divBdr>
    </w:div>
    <w:div w:id="362829195">
      <w:bodyDiv w:val="1"/>
      <w:marLeft w:val="0"/>
      <w:marRight w:val="0"/>
      <w:marTop w:val="0"/>
      <w:marBottom w:val="0"/>
      <w:divBdr>
        <w:top w:val="none" w:sz="0" w:space="0" w:color="auto"/>
        <w:left w:val="none" w:sz="0" w:space="0" w:color="auto"/>
        <w:bottom w:val="none" w:sz="0" w:space="0" w:color="auto"/>
        <w:right w:val="none" w:sz="0" w:space="0" w:color="auto"/>
      </w:divBdr>
    </w:div>
    <w:div w:id="574515695">
      <w:bodyDiv w:val="1"/>
      <w:marLeft w:val="0"/>
      <w:marRight w:val="0"/>
      <w:marTop w:val="0"/>
      <w:marBottom w:val="0"/>
      <w:divBdr>
        <w:top w:val="none" w:sz="0" w:space="0" w:color="auto"/>
        <w:left w:val="none" w:sz="0" w:space="0" w:color="auto"/>
        <w:bottom w:val="none" w:sz="0" w:space="0" w:color="auto"/>
        <w:right w:val="none" w:sz="0" w:space="0" w:color="auto"/>
      </w:divBdr>
    </w:div>
    <w:div w:id="636108530">
      <w:bodyDiv w:val="1"/>
      <w:marLeft w:val="0"/>
      <w:marRight w:val="0"/>
      <w:marTop w:val="0"/>
      <w:marBottom w:val="0"/>
      <w:divBdr>
        <w:top w:val="none" w:sz="0" w:space="0" w:color="auto"/>
        <w:left w:val="none" w:sz="0" w:space="0" w:color="auto"/>
        <w:bottom w:val="none" w:sz="0" w:space="0" w:color="auto"/>
        <w:right w:val="none" w:sz="0" w:space="0" w:color="auto"/>
      </w:divBdr>
    </w:div>
    <w:div w:id="668412041">
      <w:bodyDiv w:val="1"/>
      <w:marLeft w:val="0"/>
      <w:marRight w:val="0"/>
      <w:marTop w:val="0"/>
      <w:marBottom w:val="0"/>
      <w:divBdr>
        <w:top w:val="none" w:sz="0" w:space="0" w:color="auto"/>
        <w:left w:val="none" w:sz="0" w:space="0" w:color="auto"/>
        <w:bottom w:val="none" w:sz="0" w:space="0" w:color="auto"/>
        <w:right w:val="none" w:sz="0" w:space="0" w:color="auto"/>
      </w:divBdr>
    </w:div>
    <w:div w:id="683944935">
      <w:bodyDiv w:val="1"/>
      <w:marLeft w:val="0"/>
      <w:marRight w:val="0"/>
      <w:marTop w:val="0"/>
      <w:marBottom w:val="0"/>
      <w:divBdr>
        <w:top w:val="none" w:sz="0" w:space="0" w:color="auto"/>
        <w:left w:val="none" w:sz="0" w:space="0" w:color="auto"/>
        <w:bottom w:val="none" w:sz="0" w:space="0" w:color="auto"/>
        <w:right w:val="none" w:sz="0" w:space="0" w:color="auto"/>
      </w:divBdr>
    </w:div>
    <w:div w:id="695883286">
      <w:bodyDiv w:val="1"/>
      <w:marLeft w:val="0"/>
      <w:marRight w:val="0"/>
      <w:marTop w:val="0"/>
      <w:marBottom w:val="0"/>
      <w:divBdr>
        <w:top w:val="none" w:sz="0" w:space="0" w:color="auto"/>
        <w:left w:val="none" w:sz="0" w:space="0" w:color="auto"/>
        <w:bottom w:val="none" w:sz="0" w:space="0" w:color="auto"/>
        <w:right w:val="none" w:sz="0" w:space="0" w:color="auto"/>
      </w:divBdr>
    </w:div>
    <w:div w:id="804465055">
      <w:bodyDiv w:val="1"/>
      <w:marLeft w:val="0"/>
      <w:marRight w:val="0"/>
      <w:marTop w:val="0"/>
      <w:marBottom w:val="0"/>
      <w:divBdr>
        <w:top w:val="none" w:sz="0" w:space="0" w:color="auto"/>
        <w:left w:val="none" w:sz="0" w:space="0" w:color="auto"/>
        <w:bottom w:val="none" w:sz="0" w:space="0" w:color="auto"/>
        <w:right w:val="none" w:sz="0" w:space="0" w:color="auto"/>
      </w:divBdr>
    </w:div>
    <w:div w:id="841311866">
      <w:bodyDiv w:val="1"/>
      <w:marLeft w:val="0"/>
      <w:marRight w:val="0"/>
      <w:marTop w:val="0"/>
      <w:marBottom w:val="0"/>
      <w:divBdr>
        <w:top w:val="none" w:sz="0" w:space="0" w:color="auto"/>
        <w:left w:val="none" w:sz="0" w:space="0" w:color="auto"/>
        <w:bottom w:val="none" w:sz="0" w:space="0" w:color="auto"/>
        <w:right w:val="none" w:sz="0" w:space="0" w:color="auto"/>
      </w:divBdr>
    </w:div>
    <w:div w:id="852959015">
      <w:bodyDiv w:val="1"/>
      <w:marLeft w:val="0"/>
      <w:marRight w:val="0"/>
      <w:marTop w:val="0"/>
      <w:marBottom w:val="0"/>
      <w:divBdr>
        <w:top w:val="none" w:sz="0" w:space="0" w:color="auto"/>
        <w:left w:val="none" w:sz="0" w:space="0" w:color="auto"/>
        <w:bottom w:val="none" w:sz="0" w:space="0" w:color="auto"/>
        <w:right w:val="none" w:sz="0" w:space="0" w:color="auto"/>
      </w:divBdr>
    </w:div>
    <w:div w:id="862716698">
      <w:bodyDiv w:val="1"/>
      <w:marLeft w:val="0"/>
      <w:marRight w:val="0"/>
      <w:marTop w:val="0"/>
      <w:marBottom w:val="0"/>
      <w:divBdr>
        <w:top w:val="none" w:sz="0" w:space="0" w:color="auto"/>
        <w:left w:val="none" w:sz="0" w:space="0" w:color="auto"/>
        <w:bottom w:val="none" w:sz="0" w:space="0" w:color="auto"/>
        <w:right w:val="none" w:sz="0" w:space="0" w:color="auto"/>
      </w:divBdr>
    </w:div>
    <w:div w:id="867644758">
      <w:bodyDiv w:val="1"/>
      <w:marLeft w:val="0"/>
      <w:marRight w:val="0"/>
      <w:marTop w:val="0"/>
      <w:marBottom w:val="0"/>
      <w:divBdr>
        <w:top w:val="none" w:sz="0" w:space="0" w:color="auto"/>
        <w:left w:val="none" w:sz="0" w:space="0" w:color="auto"/>
        <w:bottom w:val="none" w:sz="0" w:space="0" w:color="auto"/>
        <w:right w:val="none" w:sz="0" w:space="0" w:color="auto"/>
      </w:divBdr>
    </w:div>
    <w:div w:id="918447356">
      <w:bodyDiv w:val="1"/>
      <w:marLeft w:val="0"/>
      <w:marRight w:val="0"/>
      <w:marTop w:val="0"/>
      <w:marBottom w:val="0"/>
      <w:divBdr>
        <w:top w:val="none" w:sz="0" w:space="0" w:color="auto"/>
        <w:left w:val="none" w:sz="0" w:space="0" w:color="auto"/>
        <w:bottom w:val="none" w:sz="0" w:space="0" w:color="auto"/>
        <w:right w:val="none" w:sz="0" w:space="0" w:color="auto"/>
      </w:divBdr>
    </w:div>
    <w:div w:id="1039352068">
      <w:bodyDiv w:val="1"/>
      <w:marLeft w:val="0"/>
      <w:marRight w:val="0"/>
      <w:marTop w:val="0"/>
      <w:marBottom w:val="0"/>
      <w:divBdr>
        <w:top w:val="none" w:sz="0" w:space="0" w:color="auto"/>
        <w:left w:val="none" w:sz="0" w:space="0" w:color="auto"/>
        <w:bottom w:val="none" w:sz="0" w:space="0" w:color="auto"/>
        <w:right w:val="none" w:sz="0" w:space="0" w:color="auto"/>
      </w:divBdr>
    </w:div>
    <w:div w:id="1073939604">
      <w:bodyDiv w:val="1"/>
      <w:marLeft w:val="0"/>
      <w:marRight w:val="0"/>
      <w:marTop w:val="0"/>
      <w:marBottom w:val="0"/>
      <w:divBdr>
        <w:top w:val="none" w:sz="0" w:space="0" w:color="auto"/>
        <w:left w:val="none" w:sz="0" w:space="0" w:color="auto"/>
        <w:bottom w:val="none" w:sz="0" w:space="0" w:color="auto"/>
        <w:right w:val="none" w:sz="0" w:space="0" w:color="auto"/>
      </w:divBdr>
    </w:div>
    <w:div w:id="1077821793">
      <w:bodyDiv w:val="1"/>
      <w:marLeft w:val="0"/>
      <w:marRight w:val="0"/>
      <w:marTop w:val="0"/>
      <w:marBottom w:val="0"/>
      <w:divBdr>
        <w:top w:val="none" w:sz="0" w:space="0" w:color="auto"/>
        <w:left w:val="none" w:sz="0" w:space="0" w:color="auto"/>
        <w:bottom w:val="none" w:sz="0" w:space="0" w:color="auto"/>
        <w:right w:val="none" w:sz="0" w:space="0" w:color="auto"/>
      </w:divBdr>
    </w:div>
    <w:div w:id="1183279581">
      <w:bodyDiv w:val="1"/>
      <w:marLeft w:val="0"/>
      <w:marRight w:val="0"/>
      <w:marTop w:val="0"/>
      <w:marBottom w:val="0"/>
      <w:divBdr>
        <w:top w:val="none" w:sz="0" w:space="0" w:color="auto"/>
        <w:left w:val="none" w:sz="0" w:space="0" w:color="auto"/>
        <w:bottom w:val="none" w:sz="0" w:space="0" w:color="auto"/>
        <w:right w:val="none" w:sz="0" w:space="0" w:color="auto"/>
      </w:divBdr>
    </w:div>
    <w:div w:id="1215384300">
      <w:bodyDiv w:val="1"/>
      <w:marLeft w:val="0"/>
      <w:marRight w:val="0"/>
      <w:marTop w:val="0"/>
      <w:marBottom w:val="0"/>
      <w:divBdr>
        <w:top w:val="none" w:sz="0" w:space="0" w:color="auto"/>
        <w:left w:val="none" w:sz="0" w:space="0" w:color="auto"/>
        <w:bottom w:val="none" w:sz="0" w:space="0" w:color="auto"/>
        <w:right w:val="none" w:sz="0" w:space="0" w:color="auto"/>
      </w:divBdr>
    </w:div>
    <w:div w:id="1258906294">
      <w:bodyDiv w:val="1"/>
      <w:marLeft w:val="0"/>
      <w:marRight w:val="0"/>
      <w:marTop w:val="0"/>
      <w:marBottom w:val="0"/>
      <w:divBdr>
        <w:top w:val="none" w:sz="0" w:space="0" w:color="auto"/>
        <w:left w:val="none" w:sz="0" w:space="0" w:color="auto"/>
        <w:bottom w:val="none" w:sz="0" w:space="0" w:color="auto"/>
        <w:right w:val="none" w:sz="0" w:space="0" w:color="auto"/>
      </w:divBdr>
    </w:div>
    <w:div w:id="1305695239">
      <w:bodyDiv w:val="1"/>
      <w:marLeft w:val="0"/>
      <w:marRight w:val="0"/>
      <w:marTop w:val="0"/>
      <w:marBottom w:val="0"/>
      <w:divBdr>
        <w:top w:val="none" w:sz="0" w:space="0" w:color="auto"/>
        <w:left w:val="none" w:sz="0" w:space="0" w:color="auto"/>
        <w:bottom w:val="none" w:sz="0" w:space="0" w:color="auto"/>
        <w:right w:val="none" w:sz="0" w:space="0" w:color="auto"/>
      </w:divBdr>
    </w:div>
    <w:div w:id="1336807701">
      <w:bodyDiv w:val="1"/>
      <w:marLeft w:val="0"/>
      <w:marRight w:val="0"/>
      <w:marTop w:val="0"/>
      <w:marBottom w:val="0"/>
      <w:divBdr>
        <w:top w:val="none" w:sz="0" w:space="0" w:color="auto"/>
        <w:left w:val="none" w:sz="0" w:space="0" w:color="auto"/>
        <w:bottom w:val="none" w:sz="0" w:space="0" w:color="auto"/>
        <w:right w:val="none" w:sz="0" w:space="0" w:color="auto"/>
      </w:divBdr>
    </w:div>
    <w:div w:id="1433087635">
      <w:bodyDiv w:val="1"/>
      <w:marLeft w:val="0"/>
      <w:marRight w:val="0"/>
      <w:marTop w:val="0"/>
      <w:marBottom w:val="0"/>
      <w:divBdr>
        <w:top w:val="none" w:sz="0" w:space="0" w:color="auto"/>
        <w:left w:val="none" w:sz="0" w:space="0" w:color="auto"/>
        <w:bottom w:val="none" w:sz="0" w:space="0" w:color="auto"/>
        <w:right w:val="none" w:sz="0" w:space="0" w:color="auto"/>
      </w:divBdr>
    </w:div>
    <w:div w:id="1449424611">
      <w:bodyDiv w:val="1"/>
      <w:marLeft w:val="0"/>
      <w:marRight w:val="0"/>
      <w:marTop w:val="0"/>
      <w:marBottom w:val="0"/>
      <w:divBdr>
        <w:top w:val="none" w:sz="0" w:space="0" w:color="auto"/>
        <w:left w:val="none" w:sz="0" w:space="0" w:color="auto"/>
        <w:bottom w:val="none" w:sz="0" w:space="0" w:color="auto"/>
        <w:right w:val="none" w:sz="0" w:space="0" w:color="auto"/>
      </w:divBdr>
    </w:div>
    <w:div w:id="1467435907">
      <w:bodyDiv w:val="1"/>
      <w:marLeft w:val="0"/>
      <w:marRight w:val="0"/>
      <w:marTop w:val="0"/>
      <w:marBottom w:val="0"/>
      <w:divBdr>
        <w:top w:val="none" w:sz="0" w:space="0" w:color="auto"/>
        <w:left w:val="none" w:sz="0" w:space="0" w:color="auto"/>
        <w:bottom w:val="none" w:sz="0" w:space="0" w:color="auto"/>
        <w:right w:val="none" w:sz="0" w:space="0" w:color="auto"/>
      </w:divBdr>
    </w:div>
    <w:div w:id="1532299442">
      <w:bodyDiv w:val="1"/>
      <w:marLeft w:val="0"/>
      <w:marRight w:val="0"/>
      <w:marTop w:val="0"/>
      <w:marBottom w:val="0"/>
      <w:divBdr>
        <w:top w:val="none" w:sz="0" w:space="0" w:color="auto"/>
        <w:left w:val="none" w:sz="0" w:space="0" w:color="auto"/>
        <w:bottom w:val="none" w:sz="0" w:space="0" w:color="auto"/>
        <w:right w:val="none" w:sz="0" w:space="0" w:color="auto"/>
      </w:divBdr>
    </w:div>
    <w:div w:id="1612592060">
      <w:bodyDiv w:val="1"/>
      <w:marLeft w:val="0"/>
      <w:marRight w:val="0"/>
      <w:marTop w:val="0"/>
      <w:marBottom w:val="0"/>
      <w:divBdr>
        <w:top w:val="none" w:sz="0" w:space="0" w:color="auto"/>
        <w:left w:val="none" w:sz="0" w:space="0" w:color="auto"/>
        <w:bottom w:val="none" w:sz="0" w:space="0" w:color="auto"/>
        <w:right w:val="none" w:sz="0" w:space="0" w:color="auto"/>
      </w:divBdr>
    </w:div>
    <w:div w:id="1664972548">
      <w:bodyDiv w:val="1"/>
      <w:marLeft w:val="0"/>
      <w:marRight w:val="0"/>
      <w:marTop w:val="0"/>
      <w:marBottom w:val="0"/>
      <w:divBdr>
        <w:top w:val="none" w:sz="0" w:space="0" w:color="auto"/>
        <w:left w:val="none" w:sz="0" w:space="0" w:color="auto"/>
        <w:bottom w:val="none" w:sz="0" w:space="0" w:color="auto"/>
        <w:right w:val="none" w:sz="0" w:space="0" w:color="auto"/>
      </w:divBdr>
    </w:div>
    <w:div w:id="1740904824">
      <w:bodyDiv w:val="1"/>
      <w:marLeft w:val="0"/>
      <w:marRight w:val="0"/>
      <w:marTop w:val="0"/>
      <w:marBottom w:val="0"/>
      <w:divBdr>
        <w:top w:val="none" w:sz="0" w:space="0" w:color="auto"/>
        <w:left w:val="none" w:sz="0" w:space="0" w:color="auto"/>
        <w:bottom w:val="none" w:sz="0" w:space="0" w:color="auto"/>
        <w:right w:val="none" w:sz="0" w:space="0" w:color="auto"/>
      </w:divBdr>
    </w:div>
    <w:div w:id="1757047979">
      <w:bodyDiv w:val="1"/>
      <w:marLeft w:val="0"/>
      <w:marRight w:val="0"/>
      <w:marTop w:val="0"/>
      <w:marBottom w:val="0"/>
      <w:divBdr>
        <w:top w:val="none" w:sz="0" w:space="0" w:color="auto"/>
        <w:left w:val="none" w:sz="0" w:space="0" w:color="auto"/>
        <w:bottom w:val="none" w:sz="0" w:space="0" w:color="auto"/>
        <w:right w:val="none" w:sz="0" w:space="0" w:color="auto"/>
      </w:divBdr>
    </w:div>
    <w:div w:id="1789427472">
      <w:bodyDiv w:val="1"/>
      <w:marLeft w:val="0"/>
      <w:marRight w:val="0"/>
      <w:marTop w:val="0"/>
      <w:marBottom w:val="0"/>
      <w:divBdr>
        <w:top w:val="none" w:sz="0" w:space="0" w:color="auto"/>
        <w:left w:val="none" w:sz="0" w:space="0" w:color="auto"/>
        <w:bottom w:val="none" w:sz="0" w:space="0" w:color="auto"/>
        <w:right w:val="none" w:sz="0" w:space="0" w:color="auto"/>
      </w:divBdr>
    </w:div>
    <w:div w:id="1854341886">
      <w:bodyDiv w:val="1"/>
      <w:marLeft w:val="0"/>
      <w:marRight w:val="0"/>
      <w:marTop w:val="0"/>
      <w:marBottom w:val="0"/>
      <w:divBdr>
        <w:top w:val="none" w:sz="0" w:space="0" w:color="auto"/>
        <w:left w:val="none" w:sz="0" w:space="0" w:color="auto"/>
        <w:bottom w:val="none" w:sz="0" w:space="0" w:color="auto"/>
        <w:right w:val="none" w:sz="0" w:space="0" w:color="auto"/>
      </w:divBdr>
    </w:div>
    <w:div w:id="1870682045">
      <w:bodyDiv w:val="1"/>
      <w:marLeft w:val="0"/>
      <w:marRight w:val="0"/>
      <w:marTop w:val="0"/>
      <w:marBottom w:val="0"/>
      <w:divBdr>
        <w:top w:val="none" w:sz="0" w:space="0" w:color="auto"/>
        <w:left w:val="none" w:sz="0" w:space="0" w:color="auto"/>
        <w:bottom w:val="none" w:sz="0" w:space="0" w:color="auto"/>
        <w:right w:val="none" w:sz="0" w:space="0" w:color="auto"/>
      </w:divBdr>
    </w:div>
    <w:div w:id="1990328783">
      <w:bodyDiv w:val="1"/>
      <w:marLeft w:val="0"/>
      <w:marRight w:val="0"/>
      <w:marTop w:val="0"/>
      <w:marBottom w:val="0"/>
      <w:divBdr>
        <w:top w:val="none" w:sz="0" w:space="0" w:color="auto"/>
        <w:left w:val="none" w:sz="0" w:space="0" w:color="auto"/>
        <w:bottom w:val="none" w:sz="0" w:space="0" w:color="auto"/>
        <w:right w:val="none" w:sz="0" w:space="0" w:color="auto"/>
      </w:divBdr>
    </w:div>
    <w:div w:id="2024897303">
      <w:bodyDiv w:val="1"/>
      <w:marLeft w:val="0"/>
      <w:marRight w:val="0"/>
      <w:marTop w:val="0"/>
      <w:marBottom w:val="0"/>
      <w:divBdr>
        <w:top w:val="none" w:sz="0" w:space="0" w:color="auto"/>
        <w:left w:val="none" w:sz="0" w:space="0" w:color="auto"/>
        <w:bottom w:val="none" w:sz="0" w:space="0" w:color="auto"/>
        <w:right w:val="none" w:sz="0" w:space="0" w:color="auto"/>
      </w:divBdr>
    </w:div>
    <w:div w:id="2070222651">
      <w:bodyDiv w:val="1"/>
      <w:marLeft w:val="0"/>
      <w:marRight w:val="0"/>
      <w:marTop w:val="0"/>
      <w:marBottom w:val="0"/>
      <w:divBdr>
        <w:top w:val="none" w:sz="0" w:space="0" w:color="auto"/>
        <w:left w:val="none" w:sz="0" w:space="0" w:color="auto"/>
        <w:bottom w:val="none" w:sz="0" w:space="0" w:color="auto"/>
        <w:right w:val="none" w:sz="0" w:space="0" w:color="auto"/>
      </w:divBdr>
    </w:div>
    <w:div w:id="2089501341">
      <w:bodyDiv w:val="1"/>
      <w:marLeft w:val="0"/>
      <w:marRight w:val="0"/>
      <w:marTop w:val="0"/>
      <w:marBottom w:val="0"/>
      <w:divBdr>
        <w:top w:val="none" w:sz="0" w:space="0" w:color="auto"/>
        <w:left w:val="none" w:sz="0" w:space="0" w:color="auto"/>
        <w:bottom w:val="none" w:sz="0" w:space="0" w:color="auto"/>
        <w:right w:val="none" w:sz="0" w:space="0" w:color="auto"/>
      </w:divBdr>
    </w:div>
    <w:div w:id="2092849188">
      <w:bodyDiv w:val="1"/>
      <w:marLeft w:val="0"/>
      <w:marRight w:val="0"/>
      <w:marTop w:val="0"/>
      <w:marBottom w:val="0"/>
      <w:divBdr>
        <w:top w:val="none" w:sz="0" w:space="0" w:color="auto"/>
        <w:left w:val="none" w:sz="0" w:space="0" w:color="auto"/>
        <w:bottom w:val="none" w:sz="0" w:space="0" w:color="auto"/>
        <w:right w:val="none" w:sz="0" w:space="0" w:color="auto"/>
      </w:divBdr>
    </w:div>
    <w:div w:id="209762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tmp"/><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Gil135</b:Tag>
    <b:SourceType>Misc</b:SourceType>
    <b:Guid>{18635834-70FB-4F1F-AE59-93D1BB879B66}</b:Guid>
    <b:Author>
      <b:Author>
        <b:Corporate>ZYDELIG Product Information v0.2 (proposed)</b:Corporate>
      </b:Author>
    </b:Author>
    <b:Title>Gilead Sciences Pty Ltd.</b:Title>
    <b:Year>3 Sep 2014</b:Year>
    <b:RefOrder>1</b:RefOrder>
  </b:Source>
  <b:Source>
    <b:Tag>Gil13</b:Tag>
    <b:SourceType>Report</b:SourceType>
    <b:Guid>{87932880-3EE3-4AB8-88BD-418480553DA5}</b:Guid>
    <b:Title>TGA Regulatory Dossier: Idelalisib (Idela), Section 2.7.4 - summary of clinical safety</b:Title>
    <b:Year>24 October 2013</b:Year>
    <b:Author>
      <b:Author>
        <b:Corporate>Gilead Sciences</b:Corporate>
      </b:Author>
    </b:Author>
    <b:RefOrder>33</b:RefOrder>
  </b:Source>
  <b:Source>
    <b:Tag>DSU12</b:Tag>
    <b:SourceType>Report</b:SourceType>
    <b:Guid>{8EFC9AAA-8324-43A1-86C8-ED187FBAB164}</b:Guid>
    <b:Author>
      <b:Author>
        <b:Corporate>DSUR, Gilead Sciences, Inc.</b:Corporate>
      </b:Author>
    </b:Author>
    <b:Title>GS-1011 Development safety update report #1, reporting period 22.2.11 - 21.2.12</b:Title>
    <b:Year>2012</b:Year>
    <b:RefOrder>34</b:RefOrder>
  </b:Source>
  <b:Source>
    <b:Tag>DSU13</b:Tag>
    <b:SourceType>Report</b:SourceType>
    <b:Guid>{E9BAFFCC-480E-46B3-888C-39BFD24CC9B7}</b:Guid>
    <b:Author>
      <b:Author>
        <b:Corporate>DSUR, Gilead Sciences, Inc.</b:Corporate>
      </b:Author>
    </b:Author>
    <b:Title>Idelalisib (Idela, GS-1011) Development safety update report #2, reporting period 22.2.12 - 21.2.13</b:Title>
    <b:Year>2013</b:Year>
    <b:RefOrder>35</b:RefOrder>
  </b:Source>
  <b:Source>
    <b:Tag>DSU14</b:Tag>
    <b:SourceType>Report</b:SourceType>
    <b:Guid>{01035BB3-2D96-476A-885F-EE0FD07955EC}</b:Guid>
    <b:Title>Idelalisib (Idela, GS-1101) Development Safety Update Report #3, reporting period: 22.2.13 - 21.2.14</b:Title>
    <b:Year>2014</b:Year>
    <b:Author>
      <b:Author>
        <b:Corporate>DSUR, Gilead Sciences, Inc.</b:Corporate>
      </b:Author>
    </b:Author>
    <b:RefOrder>36</b:RefOrder>
  </b:Source>
  <b:Source>
    <b:Tag>ESM11</b:Tag>
    <b:SourceType>Report</b:SourceType>
    <b:Guid>{E537EB24-EDA1-4816-AA6A-4AE23BD16686}</b:Guid>
    <b:Author>
      <b:Author>
        <b:Corporate>ESMO </b:Corporate>
      </b:Author>
    </b:Author>
    <b:Title>ESMO 2011 Clinical Practice Guidelines: http://annonc.oxfordjournals.org/content/22/suppl_6/vi59.full.pdf+html (26 March 2014)</b:Title>
    <b:Year>2011</b:Year>
    <b:RefOrder>50</b:RefOrder>
  </b:Source>
</b:Sources>
</file>

<file path=customXml/itemProps1.xml><?xml version="1.0" encoding="utf-8"?>
<ds:datastoreItem xmlns:ds="http://schemas.openxmlformats.org/officeDocument/2006/customXml" ds:itemID="{F73999E1-410F-41D8-B0F2-C42F9FAA3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6376</Words>
  <Characters>36346</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5.11 idelalisib</vt:lpstr>
    </vt:vector>
  </TitlesOfParts>
  <LinksUpToDate>false</LinksUpToDate>
  <CharactersWithSpaces>42637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5.11 idelalisib</dc:title>
  <dc:creator/>
  <cp:lastModifiedBy/>
  <cp:revision>1</cp:revision>
  <dcterms:created xsi:type="dcterms:W3CDTF">2015-06-29T01:17:00Z</dcterms:created>
  <dcterms:modified xsi:type="dcterms:W3CDTF">2015-07-16T00:57:00Z</dcterms:modified>
</cp:coreProperties>
</file>