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AC" w:rsidRPr="00AF78AC" w:rsidRDefault="00053889" w:rsidP="00AF78AC">
      <w:pPr>
        <w:pStyle w:val="Title"/>
      </w:pPr>
      <w:bookmarkStart w:id="0" w:name="_Toc409530196"/>
      <w:r w:rsidRPr="00AF78AC">
        <w:t>5.13</w:t>
      </w:r>
      <w:r w:rsidR="00117E32" w:rsidRPr="00AF78AC">
        <w:tab/>
      </w:r>
      <w:r w:rsidR="0071556E" w:rsidRPr="00AF78AC">
        <w:t>Ledipasvir 9</w:t>
      </w:r>
      <w:r w:rsidR="00EE4033" w:rsidRPr="00AF78AC">
        <w:t xml:space="preserve">0 </w:t>
      </w:r>
      <w:r w:rsidR="0071556E" w:rsidRPr="00AF78AC">
        <w:t>mg / Sofosbuvir</w:t>
      </w:r>
    </w:p>
    <w:p w:rsidR="00AF78AC" w:rsidRDefault="0071556E" w:rsidP="00AF78AC">
      <w:pPr>
        <w:pStyle w:val="Heading1"/>
        <w:ind w:firstLine="0"/>
        <w:jc w:val="left"/>
        <w:rPr>
          <w:caps w:val="0"/>
          <w:sz w:val="28"/>
        </w:rPr>
      </w:pPr>
      <w:r w:rsidRPr="0071556E">
        <w:rPr>
          <w:sz w:val="28"/>
        </w:rPr>
        <w:t xml:space="preserve"> </w:t>
      </w:r>
      <w:r w:rsidRPr="0071556E">
        <w:rPr>
          <w:caps w:val="0"/>
          <w:sz w:val="28"/>
        </w:rPr>
        <w:t>400mg</w:t>
      </w:r>
      <w:r w:rsidR="00A66F53">
        <w:rPr>
          <w:sz w:val="28"/>
        </w:rPr>
        <w:t xml:space="preserve"> </w:t>
      </w:r>
      <w:r>
        <w:rPr>
          <w:caps w:val="0"/>
          <w:sz w:val="28"/>
        </w:rPr>
        <w:t>fixed dose</w:t>
      </w:r>
      <w:r w:rsidR="00A66F53">
        <w:rPr>
          <w:caps w:val="0"/>
          <w:sz w:val="28"/>
        </w:rPr>
        <w:t xml:space="preserve"> </w:t>
      </w:r>
      <w:r w:rsidR="00AF78AC">
        <w:rPr>
          <w:caps w:val="0"/>
          <w:sz w:val="28"/>
        </w:rPr>
        <w:t>combination tablet;</w:t>
      </w:r>
    </w:p>
    <w:p w:rsidR="00117E32" w:rsidRPr="00AF78AC" w:rsidRDefault="0071556E" w:rsidP="00AF78AC">
      <w:pPr>
        <w:pStyle w:val="Heading1"/>
        <w:ind w:firstLine="0"/>
        <w:jc w:val="left"/>
        <w:rPr>
          <w:sz w:val="28"/>
        </w:rPr>
      </w:pPr>
      <w:r>
        <w:rPr>
          <w:caps w:val="0"/>
          <w:sz w:val="28"/>
        </w:rPr>
        <w:t xml:space="preserve"> </w:t>
      </w:r>
      <w:proofErr w:type="spellStart"/>
      <w:proofErr w:type="gramStart"/>
      <w:r>
        <w:rPr>
          <w:caps w:val="0"/>
          <w:sz w:val="28"/>
        </w:rPr>
        <w:t>H</w:t>
      </w:r>
      <w:r w:rsidRPr="0071556E">
        <w:rPr>
          <w:caps w:val="0"/>
          <w:sz w:val="28"/>
        </w:rPr>
        <w:t>arvoni</w:t>
      </w:r>
      <w:proofErr w:type="spellEnd"/>
      <w:r w:rsidRPr="0071556E">
        <w:rPr>
          <w:rFonts w:hint="eastAsia"/>
          <w:caps w:val="0"/>
          <w:sz w:val="28"/>
        </w:rPr>
        <w:t>®</w:t>
      </w:r>
      <w:r w:rsidR="00AF78AC">
        <w:rPr>
          <w:caps w:val="0"/>
          <w:sz w:val="28"/>
        </w:rPr>
        <w:t>;</w:t>
      </w:r>
      <w:r w:rsidRPr="0071556E">
        <w:rPr>
          <w:caps w:val="0"/>
          <w:sz w:val="28"/>
        </w:rPr>
        <w:t xml:space="preserve"> </w:t>
      </w:r>
      <w:r>
        <w:rPr>
          <w:caps w:val="0"/>
          <w:sz w:val="28"/>
        </w:rPr>
        <w:t>Gilead S</w:t>
      </w:r>
      <w:r w:rsidRPr="0071556E">
        <w:rPr>
          <w:caps w:val="0"/>
          <w:sz w:val="28"/>
        </w:rPr>
        <w:t xml:space="preserve">ciences </w:t>
      </w:r>
      <w:r w:rsidR="00AF78AC">
        <w:rPr>
          <w:caps w:val="0"/>
          <w:sz w:val="28"/>
        </w:rPr>
        <w:t>Pty Ltd</w:t>
      </w:r>
      <w:r w:rsidRPr="00207D00">
        <w:rPr>
          <w:caps w:val="0"/>
          <w:sz w:val="28"/>
        </w:rPr>
        <w:t>.</w:t>
      </w:r>
      <w:bookmarkEnd w:id="0"/>
      <w:proofErr w:type="gramEnd"/>
    </w:p>
    <w:p w:rsidR="003B7AC5" w:rsidRDefault="003B7AC5">
      <w:pPr>
        <w:widowControl/>
        <w:jc w:val="left"/>
      </w:pPr>
    </w:p>
    <w:p w:rsidR="00EE5AF1" w:rsidRPr="00407F2D" w:rsidRDefault="00EE5AF1" w:rsidP="00EE5AF1">
      <w:pPr>
        <w:pStyle w:val="PBACHeading1"/>
      </w:pPr>
      <w:bookmarkStart w:id="1" w:name="_Toc408475522"/>
      <w:bookmarkStart w:id="2" w:name="_Toc408849502"/>
      <w:bookmarkStart w:id="3" w:name="_Toc409530198"/>
      <w:r w:rsidRPr="00407F2D">
        <w:t>Purpose of Application</w:t>
      </w:r>
      <w:bookmarkEnd w:id="1"/>
      <w:bookmarkEnd w:id="2"/>
      <w:bookmarkEnd w:id="3"/>
    </w:p>
    <w:p w:rsidR="00EE5AF1" w:rsidRPr="00882085" w:rsidRDefault="00EE5AF1" w:rsidP="00EE5AF1">
      <w:pPr>
        <w:rPr>
          <w:szCs w:val="22"/>
        </w:rPr>
      </w:pPr>
    </w:p>
    <w:p w:rsidR="00EE5AF1" w:rsidRDefault="00EE5AF1" w:rsidP="00B87E17">
      <w:pPr>
        <w:pStyle w:val="ListParagraph"/>
        <w:widowControl/>
        <w:numPr>
          <w:ilvl w:val="1"/>
          <w:numId w:val="3"/>
        </w:numPr>
      </w:pPr>
      <w:r w:rsidRPr="00AD3DC7">
        <w:t xml:space="preserve">The submission requested Section 100 (Highly Specialised Drug Program) Authority Required (STREAMLINED) listing for the fixed dose combination of </w:t>
      </w:r>
      <w:proofErr w:type="spellStart"/>
      <w:r w:rsidRPr="00AD3DC7">
        <w:t>ledipasvir</w:t>
      </w:r>
      <w:proofErr w:type="spellEnd"/>
      <w:r w:rsidRPr="00AD3DC7">
        <w:t xml:space="preserve">/sofosbuvir (LDV/SOF) for treatment of patients infected with genotype 1 chronic hepatitis C (CHC), irrespective of previous treatment history. </w:t>
      </w:r>
      <w:r w:rsidR="007451D7" w:rsidRPr="00AD3DC7">
        <w:t>T</w:t>
      </w:r>
      <w:r w:rsidR="00A05EC3" w:rsidRPr="00AD3DC7">
        <w:t xml:space="preserve">he drugs included in this fixed dose combination product are </w:t>
      </w:r>
      <w:r w:rsidR="007451D7" w:rsidRPr="00AD3DC7">
        <w:t>not</w:t>
      </w:r>
      <w:r w:rsidR="008C221D">
        <w:t xml:space="preserve"> currently</w:t>
      </w:r>
      <w:r w:rsidR="007451D7" w:rsidRPr="00AD3DC7">
        <w:t xml:space="preserve"> </w:t>
      </w:r>
      <w:r w:rsidR="00A05EC3" w:rsidRPr="00AD3DC7">
        <w:t xml:space="preserve">PBS listed </w:t>
      </w:r>
      <w:r w:rsidR="007451D7" w:rsidRPr="00AD3DC7">
        <w:t>as monotherapies</w:t>
      </w:r>
      <w:r w:rsidR="00206DD3" w:rsidRPr="00AD3DC7">
        <w:t xml:space="preserve">.  </w:t>
      </w:r>
    </w:p>
    <w:p w:rsidR="00EE5AF1" w:rsidRDefault="00EE5AF1" w:rsidP="00EE5AF1"/>
    <w:p w:rsidR="00B8483F" w:rsidRPr="00882085" w:rsidRDefault="00B8483F" w:rsidP="00EE5AF1"/>
    <w:p w:rsidR="00EE5AF1" w:rsidRPr="00407F2D" w:rsidRDefault="00EE5AF1" w:rsidP="00EE5AF1">
      <w:pPr>
        <w:pStyle w:val="PBACHeading1"/>
      </w:pPr>
      <w:bookmarkStart w:id="4" w:name="_Toc408475523"/>
      <w:bookmarkStart w:id="5" w:name="_Toc408849503"/>
      <w:bookmarkStart w:id="6" w:name="_Toc409530199"/>
      <w:r w:rsidRPr="00407F2D">
        <w:t>Requested listing</w:t>
      </w:r>
      <w:bookmarkEnd w:id="4"/>
      <w:bookmarkEnd w:id="5"/>
      <w:bookmarkEnd w:id="6"/>
    </w:p>
    <w:p w:rsidR="00EE5AF1" w:rsidRPr="00882085" w:rsidRDefault="00EE5AF1" w:rsidP="00EE5AF1"/>
    <w:p w:rsidR="00EE5AF1" w:rsidRPr="00A66F53" w:rsidRDefault="003F0248" w:rsidP="00B87E17">
      <w:pPr>
        <w:pStyle w:val="ListParagraph"/>
        <w:widowControl/>
        <w:numPr>
          <w:ilvl w:val="1"/>
          <w:numId w:val="3"/>
        </w:numPr>
        <w:rPr>
          <w:szCs w:val="22"/>
        </w:rPr>
      </w:pPr>
      <w:r w:rsidRPr="00A66F53">
        <w:t>Suggestions and additions proposed by the Secretariat to the requested listing are added in italics and suggested deletions are crossed out with strikethrough</w:t>
      </w:r>
      <w:r w:rsidR="00282221" w:rsidRPr="00A66F53">
        <w:t>.</w:t>
      </w:r>
    </w:p>
    <w:p w:rsidR="003F0248" w:rsidRDefault="003F0248" w:rsidP="003F0248">
      <w:pPr>
        <w:pStyle w:val="ListParagraph"/>
        <w:widowControl/>
        <w:rPr>
          <w:i/>
        </w:rPr>
      </w:pPr>
    </w:p>
    <w:p w:rsidR="003F0248" w:rsidRPr="00C57999" w:rsidRDefault="003F0248" w:rsidP="003F0248">
      <w:pPr>
        <w:widowControl/>
        <w:rPr>
          <w:snapToGrid/>
          <w:szCs w:val="22"/>
          <w:lang w:eastAsia="en-AU"/>
        </w:rPr>
      </w:pPr>
      <w:r w:rsidRPr="00C57999">
        <w:rPr>
          <w:snapToGrid/>
          <w:szCs w:val="22"/>
          <w:lang w:eastAsia="en-AU"/>
        </w:rPr>
        <w:t xml:space="preserve">Genotype 1 treatment naïve patients with hepatic cirrhosis </w:t>
      </w:r>
    </w:p>
    <w:p w:rsidR="003F0248" w:rsidRPr="00C57999" w:rsidRDefault="003F0248" w:rsidP="003F0248">
      <w:pPr>
        <w:widowControl/>
        <w:rPr>
          <w:snapToGrid/>
          <w:szCs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3F0248" w:rsidRPr="00C57999" w:rsidTr="003F0248">
        <w:trPr>
          <w:cantSplit/>
          <w:trHeight w:val="471"/>
        </w:trPr>
        <w:tc>
          <w:tcPr>
            <w:tcW w:w="3261" w:type="dxa"/>
            <w:gridSpan w:val="2"/>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Name, Restriction,</w:t>
            </w:r>
          </w:p>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Manner of administration and form</w:t>
            </w:r>
          </w:p>
        </w:tc>
        <w:tc>
          <w:tcPr>
            <w:tcW w:w="567"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Max.</w:t>
            </w:r>
          </w:p>
          <w:p w:rsidR="003F0248" w:rsidRPr="00C57999" w:rsidRDefault="003F0248" w:rsidP="003F0248">
            <w:pPr>
              <w:keepNext/>
              <w:widowControl/>
              <w:ind w:left="-108"/>
              <w:rPr>
                <w:rFonts w:ascii="Arial Narrow" w:hAnsi="Arial Narrow"/>
                <w:snapToGrid/>
                <w:sz w:val="20"/>
                <w:lang w:eastAsia="en-AU"/>
              </w:rPr>
            </w:pPr>
            <w:proofErr w:type="spellStart"/>
            <w:r w:rsidRPr="00C57999">
              <w:rPr>
                <w:rFonts w:ascii="Arial Narrow" w:hAnsi="Arial Narrow"/>
                <w:snapToGrid/>
                <w:sz w:val="20"/>
                <w:lang w:eastAsia="en-AU"/>
              </w:rPr>
              <w:t>Qty</w:t>
            </w:r>
            <w:proofErr w:type="spellEnd"/>
          </w:p>
        </w:tc>
        <w:tc>
          <w:tcPr>
            <w:tcW w:w="850"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№.of</w:t>
            </w:r>
          </w:p>
          <w:p w:rsidR="003F0248" w:rsidRPr="00C57999" w:rsidRDefault="003F0248" w:rsidP="003F0248">
            <w:pPr>
              <w:keepNext/>
              <w:widowControl/>
              <w:ind w:left="-108"/>
              <w:rPr>
                <w:rFonts w:ascii="Arial Narrow" w:hAnsi="Arial Narrow"/>
                <w:snapToGrid/>
                <w:sz w:val="20"/>
                <w:lang w:eastAsia="en-AU"/>
              </w:rPr>
            </w:pPr>
            <w:proofErr w:type="spellStart"/>
            <w:r w:rsidRPr="00C57999">
              <w:rPr>
                <w:rFonts w:ascii="Arial Narrow" w:hAnsi="Arial Narrow"/>
                <w:snapToGrid/>
                <w:sz w:val="20"/>
                <w:lang w:eastAsia="en-AU"/>
              </w:rPr>
              <w:t>Rpts</w:t>
            </w:r>
            <w:proofErr w:type="spellEnd"/>
          </w:p>
        </w:tc>
        <w:tc>
          <w:tcPr>
            <w:tcW w:w="1701"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p>
        </w:tc>
        <w:tc>
          <w:tcPr>
            <w:tcW w:w="2835" w:type="dxa"/>
            <w:gridSpan w:val="2"/>
            <w:tcBorders>
              <w:bottom w:val="single" w:sz="4" w:space="0" w:color="auto"/>
            </w:tcBorders>
          </w:tcPr>
          <w:p w:rsidR="003F0248" w:rsidRPr="00C57999" w:rsidRDefault="003F0248" w:rsidP="003F0248">
            <w:pPr>
              <w:keepNext/>
              <w:widowControl/>
              <w:rPr>
                <w:rFonts w:ascii="Arial Narrow" w:hAnsi="Arial Narrow"/>
                <w:snapToGrid/>
                <w:sz w:val="20"/>
                <w:lang w:val="fr-FR" w:eastAsia="en-AU"/>
              </w:rPr>
            </w:pPr>
            <w:r w:rsidRPr="00C57999">
              <w:rPr>
                <w:rFonts w:ascii="Arial Narrow" w:hAnsi="Arial Narrow"/>
                <w:snapToGrid/>
                <w:sz w:val="20"/>
                <w:lang w:eastAsia="en-AU"/>
              </w:rPr>
              <w:t>Proprietary Name and Manufacturer</w:t>
            </w:r>
          </w:p>
        </w:tc>
      </w:tr>
      <w:tr w:rsidR="003F0248" w:rsidRPr="00C57999" w:rsidTr="003F0248">
        <w:trPr>
          <w:cantSplit/>
          <w:trHeight w:val="577"/>
        </w:trPr>
        <w:tc>
          <w:tcPr>
            <w:tcW w:w="3261" w:type="dxa"/>
            <w:gridSpan w:val="2"/>
            <w:vAlign w:val="center"/>
          </w:tcPr>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mallCaps/>
                <w:snapToGrid/>
                <w:sz w:val="20"/>
                <w:szCs w:val="22"/>
                <w:lang w:eastAsia="en-AU"/>
              </w:rPr>
              <w:t>LEDIPASVIR/SOFOSBUVIR</w:t>
            </w: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Tablet 90mg/400mg</w:t>
            </w:r>
          </w:p>
        </w:tc>
        <w:tc>
          <w:tcPr>
            <w:tcW w:w="567"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28</w:t>
            </w:r>
          </w:p>
        </w:tc>
        <w:tc>
          <w:tcPr>
            <w:tcW w:w="850"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2</w:t>
            </w:r>
          </w:p>
        </w:tc>
        <w:tc>
          <w:tcPr>
            <w:tcW w:w="1701" w:type="dxa"/>
            <w:vAlign w:val="center"/>
          </w:tcPr>
          <w:p w:rsidR="003F0248" w:rsidRPr="00C57999" w:rsidRDefault="003F0248" w:rsidP="00134998">
            <w:pPr>
              <w:keepNext/>
              <w:widowControl/>
              <w:ind w:left="-108"/>
              <w:jc w:val="left"/>
              <w:rPr>
                <w:rFonts w:ascii="Arial Narrow" w:hAnsi="Arial Narrow"/>
                <w:snapToGrid/>
                <w:sz w:val="20"/>
                <w:szCs w:val="22"/>
                <w:lang w:eastAsia="en-AU"/>
              </w:rPr>
            </w:pPr>
          </w:p>
        </w:tc>
        <w:tc>
          <w:tcPr>
            <w:tcW w:w="1559" w:type="dxa"/>
            <w:vAlign w:val="center"/>
          </w:tcPr>
          <w:p w:rsidR="003F0248" w:rsidRPr="00C57999" w:rsidRDefault="003F0248" w:rsidP="003F0248">
            <w:pPr>
              <w:keepNext/>
              <w:widowControl/>
              <w:jc w:val="left"/>
              <w:rPr>
                <w:rFonts w:ascii="Arial Narrow" w:hAnsi="Arial Narrow"/>
                <w:snapToGrid/>
                <w:sz w:val="20"/>
                <w:szCs w:val="22"/>
                <w:lang w:eastAsia="en-AU"/>
              </w:rPr>
            </w:pPr>
            <w:proofErr w:type="spellStart"/>
            <w:r w:rsidRPr="00C57999">
              <w:rPr>
                <w:rFonts w:ascii="Arial Narrow" w:hAnsi="Arial Narrow"/>
                <w:smallCaps/>
                <w:snapToGrid/>
                <w:sz w:val="20"/>
                <w:szCs w:val="22"/>
                <w:lang w:eastAsia="en-AU"/>
              </w:rPr>
              <w:t>Harvoni</w:t>
            </w:r>
            <w:proofErr w:type="spellEnd"/>
            <w:r w:rsidRPr="00C57999">
              <w:rPr>
                <w:rFonts w:ascii="Arial Narrow" w:hAnsi="Arial Narrow"/>
                <w:smallCaps/>
                <w:snapToGrid/>
                <w:sz w:val="20"/>
                <w:szCs w:val="22"/>
                <w:lang w:eastAsia="en-AU"/>
              </w:rPr>
              <w:t>®</w:t>
            </w:r>
          </w:p>
        </w:tc>
        <w:tc>
          <w:tcPr>
            <w:tcW w:w="1276" w:type="dxa"/>
            <w:vAlign w:val="center"/>
          </w:tcPr>
          <w:p w:rsidR="003F0248" w:rsidRPr="00C57999" w:rsidRDefault="003F0248" w:rsidP="003F0248">
            <w:pPr>
              <w:keepNext/>
              <w:widowControl/>
              <w:jc w:val="left"/>
              <w:rPr>
                <w:rFonts w:ascii="Arial Narrow" w:hAnsi="Arial Narrow"/>
                <w:snapToGrid/>
                <w:sz w:val="20"/>
                <w:szCs w:val="22"/>
                <w:lang w:eastAsia="en-AU"/>
              </w:rPr>
            </w:pPr>
            <w:r w:rsidRPr="00C57999">
              <w:rPr>
                <w:rFonts w:ascii="Arial Narrow" w:hAnsi="Arial Narrow"/>
                <w:snapToGrid/>
                <w:sz w:val="20"/>
                <w:szCs w:val="22"/>
                <w:lang w:eastAsia="en-AU"/>
              </w:rPr>
              <w:t>Gilead Sciences Pty Ltd</w:t>
            </w:r>
          </w:p>
        </w:tc>
      </w:tr>
      <w:tr w:rsidR="003F0248" w:rsidRPr="00C57999" w:rsidTr="003F0248">
        <w:trPr>
          <w:cantSplit/>
          <w:trHeight w:val="360"/>
        </w:trPr>
        <w:tc>
          <w:tcPr>
            <w:tcW w:w="9214" w:type="dxa"/>
            <w:gridSpan w:val="7"/>
            <w:tcBorders>
              <w:bottom w:val="single" w:sz="4" w:space="0" w:color="auto"/>
            </w:tcBorders>
          </w:tcPr>
          <w:p w:rsidR="003F0248" w:rsidRPr="00C57999" w:rsidRDefault="003F0248" w:rsidP="003F0248">
            <w:pPr>
              <w:widowControl/>
              <w:rPr>
                <w:rFonts w:ascii="Arial Narrow" w:hAnsi="Arial Narrow"/>
                <w:snapToGrid/>
                <w:sz w:val="20"/>
                <w:lang w:eastAsia="en-AU"/>
              </w:rPr>
            </w:pP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 xml:space="preserve">Category / </w:t>
            </w:r>
          </w:p>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Section 100 – Highly Specialised Drugs Program</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 xml:space="preserve">Medical Practitioners  </w:t>
            </w:r>
          </w:p>
          <w:p w:rsidR="003F0248" w:rsidRPr="00C57999" w:rsidRDefault="003F0248" w:rsidP="003F0248">
            <w:pPr>
              <w:widowControl/>
              <w:rPr>
                <w:rFonts w:ascii="Arial Narrow" w:hAnsi="Arial Narrow"/>
                <w:snapToGrid/>
                <w:sz w:val="20"/>
                <w:lang w:eastAsia="en-AU"/>
              </w:rPr>
            </w:pP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Chronic genotype 1 hepatitis C infection</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i/>
                <w:snapToGrid/>
                <w:sz w:val="20"/>
                <w:lang w:eastAsia="en-AU"/>
              </w:rPr>
              <w:t>Chronic genotype 1 hepatitis C infection</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Restriction Level / Method:</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Authority Required - In Writing</w:t>
            </w:r>
          </w:p>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Authority Required - Telephone</w:t>
            </w:r>
          </w:p>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Streamlined</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b/>
                <w:snapToGrid/>
                <w:sz w:val="20"/>
                <w:lang w:eastAsia="en-AU"/>
              </w:rPr>
            </w:pPr>
            <w:r w:rsidRPr="00C57999">
              <w:rPr>
                <w:rFonts w:ascii="Arial Narrow" w:hAnsi="Arial Narrow"/>
                <w:b/>
                <w:snapToGrid/>
                <w:sz w:val="20"/>
                <w:lang w:eastAsia="en-AU"/>
              </w:rPr>
              <w:t>Treatment criteria:</w:t>
            </w:r>
          </w:p>
          <w:p w:rsidR="003F0248" w:rsidRPr="00C57999" w:rsidRDefault="003F0248" w:rsidP="003F0248">
            <w:pPr>
              <w:widowControl/>
              <w:jc w:val="left"/>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Must be treated in an accredited treatment centre.</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lastRenderedPageBreak/>
              <w:t>Clinical criteria:</w:t>
            </w:r>
          </w:p>
          <w:p w:rsidR="003F0248" w:rsidRPr="00C57999" w:rsidRDefault="003F0248" w:rsidP="003F0248">
            <w:pPr>
              <w:widowControl/>
              <w:rPr>
                <w:rFonts w:ascii="Arial Narrow" w:hAnsi="Arial Narrow"/>
                <w:i/>
                <w:snapToGrid/>
                <w:sz w:val="20"/>
                <w:lang w:eastAsia="en-AU"/>
              </w:rPr>
            </w:pP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Patient must have compensated liver disease,</w:t>
            </w:r>
          </w:p>
          <w:p w:rsidR="003F0248" w:rsidRPr="00C57999" w:rsidRDefault="003F0248" w:rsidP="003F0248">
            <w:pPr>
              <w:widowControl/>
              <w:jc w:val="left"/>
              <w:rPr>
                <w:rFonts w:ascii="Arial Narrow" w:hAnsi="Arial Narrow"/>
                <w:i/>
                <w:snapToGrid/>
                <w:sz w:val="20"/>
                <w:lang w:eastAsia="en-AU"/>
              </w:rPr>
            </w:pPr>
          </w:p>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AND</w:t>
            </w:r>
          </w:p>
          <w:p w:rsidR="003F0248" w:rsidRPr="00C57999" w:rsidRDefault="003F0248" w:rsidP="003F0248">
            <w:pPr>
              <w:widowControl/>
              <w:jc w:val="left"/>
              <w:rPr>
                <w:rFonts w:ascii="Arial Narrow" w:hAnsi="Arial Narrow"/>
                <w:i/>
                <w:snapToGrid/>
                <w:sz w:val="20"/>
                <w:lang w:eastAsia="en-AU"/>
              </w:rPr>
            </w:pPr>
          </w:p>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Patient must have hepatic cirrhosis</w:t>
            </w:r>
          </w:p>
          <w:p w:rsidR="003F0248" w:rsidRPr="00C57999" w:rsidRDefault="003F0248" w:rsidP="003F0248">
            <w:pPr>
              <w:widowControl/>
              <w:jc w:val="left"/>
              <w:rPr>
                <w:rFonts w:ascii="Arial Narrow" w:hAnsi="Arial Narrow"/>
                <w:i/>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napToGrid/>
                <w:sz w:val="20"/>
                <w:lang w:eastAsia="en-AU"/>
              </w:rPr>
              <w:t xml:space="preserve">Patient must not have received prior </w:t>
            </w:r>
            <w:r w:rsidRPr="00C57999">
              <w:rPr>
                <w:rFonts w:ascii="Arial Narrow" w:hAnsi="Arial Narrow"/>
                <w:i/>
                <w:snapToGrid/>
                <w:sz w:val="20"/>
                <w:lang w:eastAsia="en-AU"/>
              </w:rPr>
              <w:t xml:space="preserve">treatment with combinations of interferon alfa or </w:t>
            </w:r>
            <w:proofErr w:type="spellStart"/>
            <w:r w:rsidRPr="00C57999">
              <w:rPr>
                <w:rFonts w:ascii="Arial Narrow" w:hAnsi="Arial Narrow"/>
                <w:i/>
                <w:snapToGrid/>
                <w:sz w:val="20"/>
                <w:lang w:eastAsia="en-AU"/>
              </w:rPr>
              <w:t>peginterferon</w:t>
            </w:r>
            <w:proofErr w:type="spellEnd"/>
            <w:r w:rsidRPr="00C57999">
              <w:rPr>
                <w:rFonts w:ascii="Arial Narrow" w:hAnsi="Arial Narrow"/>
                <w:i/>
                <w:snapToGrid/>
                <w:sz w:val="20"/>
                <w:lang w:eastAsia="en-AU"/>
              </w:rPr>
              <w:t xml:space="preserve"> alfa or oral direct acting antiviral agents</w:t>
            </w:r>
            <w:r w:rsidRPr="00C57999">
              <w:rPr>
                <w:rFonts w:ascii="Arial Narrow" w:hAnsi="Arial Narrow"/>
                <w:snapToGrid/>
                <w:sz w:val="20"/>
                <w:lang w:eastAsia="en-AU"/>
              </w:rPr>
              <w:t xml:space="preserve"> </w:t>
            </w:r>
            <w:r w:rsidRPr="00C57999">
              <w:rPr>
                <w:rFonts w:ascii="Arial Narrow" w:hAnsi="Arial Narrow"/>
                <w:i/>
                <w:snapToGrid/>
                <w:sz w:val="20"/>
                <w:lang w:eastAsia="en-AU"/>
              </w:rPr>
              <w:t>for hepatitis C</w:t>
            </w:r>
            <w:r w:rsidRPr="00C57999">
              <w:rPr>
                <w:rFonts w:ascii="Arial Narrow" w:hAnsi="Arial Narrow"/>
                <w:snapToGrid/>
                <w:sz w:val="20"/>
                <w:lang w:eastAsia="en-AU"/>
              </w:rPr>
              <w:t xml:space="preserve"> </w:t>
            </w:r>
            <w:r w:rsidRPr="00C57999">
              <w:rPr>
                <w:rFonts w:ascii="Arial Narrow" w:hAnsi="Arial Narrow"/>
                <w:strike/>
                <w:snapToGrid/>
                <w:sz w:val="20"/>
                <w:lang w:eastAsia="en-AU"/>
              </w:rPr>
              <w:t>(with or without a protease inhibitor</w:t>
            </w:r>
            <w:r w:rsidRPr="00C57999">
              <w:rPr>
                <w:rFonts w:ascii="Arial Narrow" w:hAnsi="Arial Narrow"/>
                <w:snapToGrid/>
                <w:sz w:val="20"/>
                <w:lang w:eastAsia="en-AU"/>
              </w:rPr>
              <w:t>),</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trike/>
                <w:snapToGrid/>
                <w:sz w:val="20"/>
                <w:lang w:eastAsia="en-AU"/>
              </w:rPr>
              <w:t>The treatment must be limited to a maximum duration of 8 weeks in patients without hepatic cirrhosis,</w:t>
            </w:r>
          </w:p>
          <w:p w:rsidR="003F0248" w:rsidRPr="00C57999" w:rsidRDefault="003F0248" w:rsidP="003F0248">
            <w:pPr>
              <w:widowControl/>
              <w:jc w:val="left"/>
              <w:rPr>
                <w:rFonts w:ascii="Arial Narrow" w:hAnsi="Arial Narrow"/>
                <w:strike/>
                <w:snapToGrid/>
                <w:sz w:val="20"/>
                <w:lang w:eastAsia="en-AU"/>
              </w:rPr>
            </w:pP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trike/>
                <w:snapToGrid/>
                <w:sz w:val="20"/>
                <w:lang w:eastAsia="en-AU"/>
              </w:rPr>
              <w:t>OR</w:t>
            </w:r>
          </w:p>
          <w:p w:rsidR="003F0248" w:rsidRPr="00C57999" w:rsidRDefault="003F0248" w:rsidP="003F0248">
            <w:pPr>
              <w:widowControl/>
              <w:jc w:val="left"/>
              <w:rPr>
                <w:rFonts w:ascii="Arial Narrow" w:hAnsi="Arial Narrow"/>
                <w:strike/>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 xml:space="preserve">The treatment must be limited to a maximum duration of 12 weeks </w:t>
            </w:r>
            <w:r w:rsidRPr="006A51B8">
              <w:rPr>
                <w:rFonts w:ascii="Arial Narrow" w:hAnsi="Arial Narrow"/>
                <w:strike/>
                <w:sz w:val="20"/>
              </w:rPr>
              <w:t>in patients</w:t>
            </w:r>
            <w:r w:rsidRPr="00C57999">
              <w:rPr>
                <w:rFonts w:ascii="Arial Narrow" w:hAnsi="Arial Narrow"/>
                <w:snapToGrid/>
                <w:sz w:val="20"/>
                <w:lang w:eastAsia="en-AU"/>
              </w:rPr>
              <w:t xml:space="preserve"> </w:t>
            </w:r>
            <w:r w:rsidRPr="00C57999">
              <w:rPr>
                <w:rFonts w:ascii="Arial Narrow" w:hAnsi="Arial Narrow"/>
                <w:strike/>
                <w:snapToGrid/>
                <w:sz w:val="20"/>
                <w:lang w:eastAsia="en-AU"/>
              </w:rPr>
              <w:t>with hepatic cirrhosis.</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Population criteria:</w:t>
            </w:r>
          </w:p>
          <w:p w:rsidR="003F0248" w:rsidRPr="00C57999" w:rsidRDefault="003F0248" w:rsidP="003F0248">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snapToGrid/>
                <w:sz w:val="20"/>
                <w:lang w:eastAsia="en-AU"/>
              </w:rPr>
              <w:t>Patient must be</w:t>
            </w:r>
            <w:r w:rsidRPr="00C57999">
              <w:rPr>
                <w:rFonts w:ascii="Arial Narrow" w:hAnsi="Arial Narrow"/>
                <w:i/>
                <w:snapToGrid/>
                <w:sz w:val="20"/>
                <w:lang w:eastAsia="en-AU"/>
              </w:rPr>
              <w:t xml:space="preserve"> </w:t>
            </w:r>
            <w:r w:rsidRPr="00C57999">
              <w:rPr>
                <w:rFonts w:ascii="Arial Narrow" w:hAnsi="Arial Narrow"/>
                <w:strike/>
                <w:snapToGrid/>
                <w:sz w:val="20"/>
                <w:lang w:eastAsia="en-AU"/>
              </w:rPr>
              <w:t>an adult</w:t>
            </w:r>
            <w:r w:rsidRPr="00C57999">
              <w:rPr>
                <w:rFonts w:ascii="Arial Narrow" w:hAnsi="Arial Narrow"/>
                <w:i/>
                <w:snapToGrid/>
                <w:sz w:val="20"/>
                <w:lang w:eastAsia="en-AU"/>
              </w:rPr>
              <w:t xml:space="preserve"> aged 18 years or older,</w:t>
            </w: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val="en-US" w:eastAsia="en-AU"/>
              </w:rPr>
            </w:pPr>
            <w:r w:rsidRPr="00C57999">
              <w:rPr>
                <w:rFonts w:ascii="Arial Narrow" w:hAnsi="Arial Narrow"/>
                <w:i/>
                <w:snapToGrid/>
                <w:sz w:val="20"/>
                <w:lang w:val="en-US" w:eastAsia="en-AU"/>
              </w:rPr>
              <w:t>Patient must not be breastfeeding</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Prescriber Instructions</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val="en-US" w:eastAsia="en-AU"/>
              </w:rPr>
            </w:pPr>
            <w:r w:rsidRPr="00C57999">
              <w:rPr>
                <w:rFonts w:ascii="Arial Narrow" w:hAnsi="Arial Narrow"/>
                <w:snapToGrid/>
                <w:sz w:val="20"/>
                <w:lang w:val="en-US" w:eastAsia="en-AU"/>
              </w:rPr>
              <w:t>Evidence of chronic genotype 1 hepatitis C infection (repeated</w:t>
            </w:r>
            <w:r w:rsidRPr="00C57999">
              <w:rPr>
                <w:rFonts w:ascii="Arial Narrow" w:hAnsi="Arial Narrow"/>
                <w:i/>
                <w:snapToGrid/>
                <w:sz w:val="20"/>
                <w:lang w:val="en-US" w:eastAsia="en-AU"/>
              </w:rPr>
              <w:t>ly</w:t>
            </w:r>
            <w:r w:rsidRPr="00C57999">
              <w:rPr>
                <w:rFonts w:ascii="Arial Narrow" w:hAnsi="Arial Narrow"/>
                <w:snapToGrid/>
                <w:sz w:val="20"/>
                <w:lang w:val="en-US" w:eastAsia="en-AU"/>
              </w:rPr>
              <w:t xml:space="preserve"> anti-HCV positive and HCV RNA positive) must be documented in the patient’s medical records</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i/>
                <w:snapToGrid/>
                <w:color w:val="222222"/>
                <w:sz w:val="20"/>
                <w:lang w:eastAsia="en-AU"/>
              </w:rPr>
              <w:t xml:space="preserve">Patients who have received prior treatment with an </w:t>
            </w:r>
            <w:r w:rsidRPr="00C57999">
              <w:rPr>
                <w:rFonts w:ascii="Arial Narrow" w:hAnsi="Arial Narrow"/>
                <w:i/>
                <w:snapToGrid/>
                <w:sz w:val="20"/>
                <w:lang w:eastAsia="en-AU"/>
              </w:rPr>
              <w:t>oral direct acting antiviral agent</w:t>
            </w:r>
            <w:r w:rsidRPr="00C57999">
              <w:rPr>
                <w:rFonts w:ascii="Arial Narrow" w:hAnsi="Arial Narrow"/>
                <w:i/>
                <w:snapToGrid/>
                <w:color w:val="222222"/>
                <w:sz w:val="20"/>
                <w:lang w:eastAsia="en-AU"/>
              </w:rPr>
              <w:t xml:space="preserve"> are not eligible to receive PBS-subsidised </w:t>
            </w:r>
            <w:proofErr w:type="spellStart"/>
            <w:r w:rsidRPr="00C57999">
              <w:rPr>
                <w:rFonts w:ascii="Arial Narrow" w:hAnsi="Arial Narrow"/>
                <w:i/>
                <w:snapToGrid/>
                <w:color w:val="222222"/>
                <w:sz w:val="20"/>
                <w:lang w:eastAsia="en-AU"/>
              </w:rPr>
              <w:t>ledipasvir</w:t>
            </w:r>
            <w:proofErr w:type="spellEnd"/>
            <w:r w:rsidRPr="00C57999">
              <w:rPr>
                <w:rFonts w:ascii="Arial Narrow" w:hAnsi="Arial Narrow"/>
                <w:i/>
                <w:snapToGrid/>
                <w:color w:val="222222"/>
                <w:sz w:val="20"/>
                <w:lang w:eastAsia="en-AU"/>
              </w:rPr>
              <w:t xml:space="preserve">/sofosbuvir, except where the patient has developed </w:t>
            </w:r>
            <w:proofErr w:type="gramStart"/>
            <w:r w:rsidRPr="00C57999">
              <w:rPr>
                <w:rFonts w:ascii="Arial Narrow" w:hAnsi="Arial Narrow"/>
                <w:i/>
                <w:snapToGrid/>
                <w:color w:val="222222"/>
                <w:sz w:val="20"/>
                <w:lang w:eastAsia="en-AU"/>
              </w:rPr>
              <w:t>an intolerance</w:t>
            </w:r>
            <w:proofErr w:type="gramEnd"/>
            <w:r w:rsidRPr="00C57999">
              <w:rPr>
                <w:rFonts w:ascii="Arial Narrow" w:hAnsi="Arial Narrow"/>
                <w:i/>
                <w:snapToGrid/>
                <w:color w:val="222222"/>
                <w:sz w:val="20"/>
                <w:lang w:eastAsia="en-AU"/>
              </w:rPr>
              <w:t xml:space="preserve"> to the other oral direct acting antiviral agents of a severity necessitating permanent treatment withdrawal. Details of the intolerance must be documented in the patient's medical records.</w:t>
            </w: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trike/>
                <w:snapToGrid/>
                <w:sz w:val="20"/>
                <w:lang w:eastAsia="en-AU"/>
              </w:rPr>
              <w:t>A maximum of 2 repeats may be prescribed.</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Administrative Advice</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i/>
                <w:snapToGrid/>
                <w:sz w:val="20"/>
                <w:szCs w:val="22"/>
                <w:lang w:eastAsia="en-AU"/>
              </w:rPr>
            </w:pPr>
            <w:r w:rsidRPr="00C57999">
              <w:rPr>
                <w:rFonts w:ascii="Arial Narrow" w:hAnsi="Arial Narrow"/>
                <w:i/>
                <w:snapToGrid/>
                <w:sz w:val="20"/>
                <w:szCs w:val="22"/>
                <w:lang w:eastAsia="en-AU"/>
              </w:rPr>
              <w:t>No increase in the maximum quantity or number of units may be authorised</w:t>
            </w:r>
          </w:p>
          <w:p w:rsidR="003F0248" w:rsidRPr="00C57999" w:rsidRDefault="003F0248" w:rsidP="003F0248">
            <w:pPr>
              <w:widowControl/>
              <w:jc w:val="left"/>
              <w:rPr>
                <w:rFonts w:ascii="Arial Narrow" w:hAnsi="Arial Narrow"/>
                <w:snapToGrid/>
                <w:sz w:val="20"/>
                <w:szCs w:val="22"/>
                <w:lang w:eastAsia="en-AU"/>
              </w:rPr>
            </w:pPr>
          </w:p>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i/>
                <w:snapToGrid/>
                <w:sz w:val="20"/>
                <w:szCs w:val="22"/>
                <w:lang w:eastAsia="en-AU"/>
              </w:rPr>
            </w:pPr>
            <w:r w:rsidRPr="00C57999">
              <w:rPr>
                <w:rFonts w:ascii="Arial Narrow" w:hAnsi="Arial Narrow"/>
                <w:i/>
                <w:snapToGrid/>
                <w:sz w:val="20"/>
                <w:szCs w:val="22"/>
                <w:lang w:eastAsia="en-AU"/>
              </w:rPr>
              <w:t>No increase in the maximum number of repeats may be authorised</w:t>
            </w:r>
          </w:p>
          <w:p w:rsidR="003F0248" w:rsidRPr="00C57999" w:rsidRDefault="003F0248" w:rsidP="003F0248">
            <w:pPr>
              <w:widowControl/>
              <w:jc w:val="left"/>
              <w:rPr>
                <w:rFonts w:ascii="Arial Narrow" w:hAnsi="Arial Narrow"/>
                <w:snapToGrid/>
                <w:sz w:val="20"/>
                <w:szCs w:val="22"/>
                <w:lang w:eastAsia="en-AU"/>
              </w:rPr>
            </w:pPr>
          </w:p>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(a) a nurse educator/counsellor for patients; and</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(b) 24-hour access by patients to medical advice; and</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(c) an established liver clinic</w:t>
            </w:r>
          </w:p>
          <w:p w:rsidR="003F0248" w:rsidRPr="00C57999" w:rsidRDefault="003F0248" w:rsidP="003F0248">
            <w:pPr>
              <w:widowControl/>
              <w:jc w:val="left"/>
              <w:rPr>
                <w:rFonts w:ascii="Arial Narrow" w:hAnsi="Arial Narrow"/>
                <w:snapToGrid/>
                <w:sz w:val="20"/>
                <w:lang w:eastAsia="en-AU"/>
              </w:rPr>
            </w:pPr>
          </w:p>
        </w:tc>
      </w:tr>
    </w:tbl>
    <w:p w:rsidR="003F0248" w:rsidRPr="00C57999" w:rsidRDefault="003F0248" w:rsidP="003F0248">
      <w:pPr>
        <w:widowControl/>
        <w:jc w:val="left"/>
        <w:rPr>
          <w:snapToGrid/>
          <w:szCs w:val="22"/>
          <w:lang w:eastAsia="en-AU"/>
        </w:rPr>
      </w:pPr>
    </w:p>
    <w:p w:rsidR="003F0248" w:rsidRDefault="003F0248" w:rsidP="003F0248">
      <w:pPr>
        <w:widowControl/>
        <w:jc w:val="left"/>
        <w:rPr>
          <w:snapToGrid/>
          <w:szCs w:val="22"/>
          <w:lang w:eastAsia="en-AU"/>
        </w:rPr>
      </w:pPr>
      <w:r>
        <w:rPr>
          <w:snapToGrid/>
          <w:szCs w:val="22"/>
          <w:lang w:eastAsia="en-AU"/>
        </w:rPr>
        <w:br w:type="page"/>
      </w:r>
    </w:p>
    <w:p w:rsidR="003F0248" w:rsidRPr="00C57999" w:rsidRDefault="003F0248" w:rsidP="003F0248">
      <w:pPr>
        <w:widowControl/>
        <w:jc w:val="left"/>
        <w:rPr>
          <w:snapToGrid/>
          <w:szCs w:val="22"/>
          <w:lang w:eastAsia="en-AU"/>
        </w:rPr>
      </w:pPr>
      <w:r>
        <w:rPr>
          <w:snapToGrid/>
          <w:szCs w:val="22"/>
          <w:lang w:eastAsia="en-AU"/>
        </w:rPr>
        <w:lastRenderedPageBreak/>
        <w:t xml:space="preserve">2. </w:t>
      </w:r>
      <w:r w:rsidRPr="00C57999">
        <w:rPr>
          <w:snapToGrid/>
          <w:szCs w:val="22"/>
          <w:lang w:eastAsia="en-AU"/>
        </w:rPr>
        <w:t>Genotype 1 treatment naïve patients without hepatic cirrhosis</w:t>
      </w:r>
    </w:p>
    <w:p w:rsidR="003F0248" w:rsidRPr="00C57999" w:rsidRDefault="003F0248" w:rsidP="003F0248">
      <w:pPr>
        <w:widowControl/>
        <w:rPr>
          <w:snapToGrid/>
          <w:szCs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3F0248" w:rsidRPr="00C57999" w:rsidTr="003F0248">
        <w:trPr>
          <w:cantSplit/>
          <w:trHeight w:val="471"/>
        </w:trPr>
        <w:tc>
          <w:tcPr>
            <w:tcW w:w="3261" w:type="dxa"/>
            <w:gridSpan w:val="2"/>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Name, Restriction,</w:t>
            </w:r>
          </w:p>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Manner of administration and form</w:t>
            </w:r>
          </w:p>
        </w:tc>
        <w:tc>
          <w:tcPr>
            <w:tcW w:w="567"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Max.</w:t>
            </w:r>
          </w:p>
          <w:p w:rsidR="003F0248" w:rsidRPr="00C57999" w:rsidRDefault="003F0248" w:rsidP="003F0248">
            <w:pPr>
              <w:keepNext/>
              <w:widowControl/>
              <w:ind w:left="-108"/>
              <w:rPr>
                <w:rFonts w:ascii="Arial Narrow" w:hAnsi="Arial Narrow"/>
                <w:snapToGrid/>
                <w:sz w:val="20"/>
                <w:lang w:eastAsia="en-AU"/>
              </w:rPr>
            </w:pPr>
            <w:proofErr w:type="spellStart"/>
            <w:r w:rsidRPr="00C57999">
              <w:rPr>
                <w:rFonts w:ascii="Arial Narrow" w:hAnsi="Arial Narrow"/>
                <w:snapToGrid/>
                <w:sz w:val="20"/>
                <w:lang w:eastAsia="en-AU"/>
              </w:rPr>
              <w:t>Qty</w:t>
            </w:r>
            <w:proofErr w:type="spellEnd"/>
          </w:p>
        </w:tc>
        <w:tc>
          <w:tcPr>
            <w:tcW w:w="850"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№.of</w:t>
            </w:r>
          </w:p>
          <w:p w:rsidR="003F0248" w:rsidRPr="00C57999" w:rsidRDefault="003F0248" w:rsidP="003F0248">
            <w:pPr>
              <w:keepNext/>
              <w:widowControl/>
              <w:ind w:left="-108"/>
              <w:rPr>
                <w:rFonts w:ascii="Arial Narrow" w:hAnsi="Arial Narrow"/>
                <w:snapToGrid/>
                <w:sz w:val="20"/>
                <w:lang w:eastAsia="en-AU"/>
              </w:rPr>
            </w:pPr>
            <w:proofErr w:type="spellStart"/>
            <w:r w:rsidRPr="00C57999">
              <w:rPr>
                <w:rFonts w:ascii="Arial Narrow" w:hAnsi="Arial Narrow"/>
                <w:snapToGrid/>
                <w:sz w:val="20"/>
                <w:lang w:eastAsia="en-AU"/>
              </w:rPr>
              <w:t>Rpts</w:t>
            </w:r>
            <w:proofErr w:type="spellEnd"/>
          </w:p>
        </w:tc>
        <w:tc>
          <w:tcPr>
            <w:tcW w:w="1701"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p>
        </w:tc>
        <w:tc>
          <w:tcPr>
            <w:tcW w:w="2835" w:type="dxa"/>
            <w:gridSpan w:val="2"/>
            <w:tcBorders>
              <w:bottom w:val="single" w:sz="4" w:space="0" w:color="auto"/>
            </w:tcBorders>
          </w:tcPr>
          <w:p w:rsidR="003F0248" w:rsidRPr="00C57999" w:rsidRDefault="003F0248" w:rsidP="003F0248">
            <w:pPr>
              <w:keepNext/>
              <w:widowControl/>
              <w:rPr>
                <w:rFonts w:ascii="Arial Narrow" w:hAnsi="Arial Narrow"/>
                <w:snapToGrid/>
                <w:sz w:val="20"/>
                <w:lang w:val="fr-FR" w:eastAsia="en-AU"/>
              </w:rPr>
            </w:pPr>
            <w:r w:rsidRPr="00C57999">
              <w:rPr>
                <w:rFonts w:ascii="Arial Narrow" w:hAnsi="Arial Narrow"/>
                <w:snapToGrid/>
                <w:sz w:val="20"/>
                <w:lang w:eastAsia="en-AU"/>
              </w:rPr>
              <w:t>Proprietary Name and Manufacturer</w:t>
            </w:r>
          </w:p>
        </w:tc>
      </w:tr>
      <w:tr w:rsidR="003F0248" w:rsidRPr="00C57999" w:rsidTr="003F0248">
        <w:trPr>
          <w:cantSplit/>
          <w:trHeight w:val="577"/>
        </w:trPr>
        <w:tc>
          <w:tcPr>
            <w:tcW w:w="3261" w:type="dxa"/>
            <w:gridSpan w:val="2"/>
            <w:vAlign w:val="center"/>
          </w:tcPr>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mallCaps/>
                <w:snapToGrid/>
                <w:sz w:val="20"/>
                <w:szCs w:val="22"/>
                <w:lang w:eastAsia="en-AU"/>
              </w:rPr>
              <w:t>LEDIPASVIR/SOFOSBUVIR</w:t>
            </w: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Tablet 90mg/400mg</w:t>
            </w:r>
          </w:p>
        </w:tc>
        <w:tc>
          <w:tcPr>
            <w:tcW w:w="567"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28</w:t>
            </w:r>
          </w:p>
        </w:tc>
        <w:tc>
          <w:tcPr>
            <w:tcW w:w="850"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trike/>
                <w:snapToGrid/>
                <w:sz w:val="20"/>
                <w:szCs w:val="22"/>
                <w:lang w:eastAsia="en-AU"/>
              </w:rPr>
              <w:t>2</w:t>
            </w:r>
            <w:r w:rsidRPr="00C57999">
              <w:rPr>
                <w:rFonts w:ascii="Arial Narrow" w:hAnsi="Arial Narrow"/>
                <w:snapToGrid/>
                <w:sz w:val="20"/>
                <w:szCs w:val="22"/>
                <w:lang w:eastAsia="en-AU"/>
              </w:rPr>
              <w:t xml:space="preserve"> 1</w:t>
            </w:r>
          </w:p>
        </w:tc>
        <w:tc>
          <w:tcPr>
            <w:tcW w:w="1701"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134998">
            <w:pPr>
              <w:keepNext/>
              <w:widowControl/>
              <w:ind w:left="-108"/>
              <w:jc w:val="left"/>
              <w:rPr>
                <w:rFonts w:ascii="Arial Narrow" w:hAnsi="Arial Narrow"/>
                <w:snapToGrid/>
                <w:sz w:val="20"/>
                <w:szCs w:val="22"/>
                <w:lang w:eastAsia="en-AU"/>
              </w:rPr>
            </w:pPr>
          </w:p>
        </w:tc>
        <w:tc>
          <w:tcPr>
            <w:tcW w:w="1559" w:type="dxa"/>
            <w:vAlign w:val="center"/>
          </w:tcPr>
          <w:p w:rsidR="003F0248" w:rsidRPr="00C57999" w:rsidRDefault="003F0248" w:rsidP="003F0248">
            <w:pPr>
              <w:keepNext/>
              <w:widowControl/>
              <w:jc w:val="left"/>
              <w:rPr>
                <w:rFonts w:ascii="Arial Narrow" w:hAnsi="Arial Narrow"/>
                <w:snapToGrid/>
                <w:sz w:val="20"/>
                <w:szCs w:val="22"/>
                <w:lang w:eastAsia="en-AU"/>
              </w:rPr>
            </w:pPr>
            <w:proofErr w:type="spellStart"/>
            <w:r w:rsidRPr="00C57999">
              <w:rPr>
                <w:rFonts w:ascii="Arial Narrow" w:hAnsi="Arial Narrow"/>
                <w:smallCaps/>
                <w:snapToGrid/>
                <w:sz w:val="20"/>
                <w:szCs w:val="22"/>
                <w:lang w:eastAsia="en-AU"/>
              </w:rPr>
              <w:t>Harvoni</w:t>
            </w:r>
            <w:proofErr w:type="spellEnd"/>
            <w:r w:rsidRPr="00C57999">
              <w:rPr>
                <w:rFonts w:ascii="Arial Narrow" w:hAnsi="Arial Narrow"/>
                <w:smallCaps/>
                <w:snapToGrid/>
                <w:sz w:val="20"/>
                <w:szCs w:val="22"/>
                <w:lang w:eastAsia="en-AU"/>
              </w:rPr>
              <w:t>®</w:t>
            </w:r>
          </w:p>
        </w:tc>
        <w:tc>
          <w:tcPr>
            <w:tcW w:w="1276" w:type="dxa"/>
            <w:vAlign w:val="center"/>
          </w:tcPr>
          <w:p w:rsidR="003F0248" w:rsidRPr="00C57999" w:rsidRDefault="003F0248" w:rsidP="003F0248">
            <w:pPr>
              <w:keepNext/>
              <w:widowControl/>
              <w:jc w:val="left"/>
              <w:rPr>
                <w:rFonts w:ascii="Arial Narrow" w:hAnsi="Arial Narrow"/>
                <w:snapToGrid/>
                <w:sz w:val="20"/>
                <w:szCs w:val="22"/>
                <w:lang w:eastAsia="en-AU"/>
              </w:rPr>
            </w:pPr>
            <w:r w:rsidRPr="00C57999">
              <w:rPr>
                <w:rFonts w:ascii="Arial Narrow" w:hAnsi="Arial Narrow"/>
                <w:snapToGrid/>
                <w:sz w:val="20"/>
                <w:szCs w:val="22"/>
                <w:lang w:eastAsia="en-AU"/>
              </w:rPr>
              <w:t>Gilead Sciences Pty Ltd</w:t>
            </w:r>
          </w:p>
        </w:tc>
      </w:tr>
      <w:tr w:rsidR="003F0248" w:rsidRPr="00C57999" w:rsidTr="003F0248">
        <w:trPr>
          <w:cantSplit/>
          <w:trHeight w:val="360"/>
        </w:trPr>
        <w:tc>
          <w:tcPr>
            <w:tcW w:w="9214" w:type="dxa"/>
            <w:gridSpan w:val="7"/>
            <w:tcBorders>
              <w:bottom w:val="single" w:sz="4" w:space="0" w:color="auto"/>
            </w:tcBorders>
          </w:tcPr>
          <w:p w:rsidR="003F0248" w:rsidRPr="00C57999" w:rsidRDefault="003F0248" w:rsidP="003F0248">
            <w:pPr>
              <w:widowControl/>
              <w:rPr>
                <w:rFonts w:ascii="Arial Narrow" w:hAnsi="Arial Narrow"/>
                <w:snapToGrid/>
                <w:sz w:val="20"/>
                <w:lang w:eastAsia="en-AU"/>
              </w:rPr>
            </w:pP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 xml:space="preserve">Category / </w:t>
            </w:r>
          </w:p>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Section 100 – Highly Specialised Drugs Program</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 xml:space="preserve">Medical Practitioners  </w:t>
            </w:r>
          </w:p>
          <w:p w:rsidR="003F0248" w:rsidRPr="00C57999" w:rsidRDefault="003F0248" w:rsidP="003F0248">
            <w:pPr>
              <w:widowControl/>
              <w:rPr>
                <w:rFonts w:ascii="Arial Narrow" w:hAnsi="Arial Narrow"/>
                <w:snapToGrid/>
                <w:sz w:val="20"/>
                <w:lang w:eastAsia="en-AU"/>
              </w:rPr>
            </w:pP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Chronic genotype 1 hepatitis C infection</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i/>
                <w:snapToGrid/>
                <w:sz w:val="20"/>
                <w:lang w:eastAsia="en-AU"/>
              </w:rPr>
              <w:t>Chronic genotype 1 hepatitis C infection</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Restriction Level / Method:</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Authority Required - In Writing</w:t>
            </w:r>
          </w:p>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Authority Required - Telephone</w:t>
            </w:r>
          </w:p>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Streamlined</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b/>
                <w:snapToGrid/>
                <w:sz w:val="20"/>
                <w:lang w:eastAsia="en-AU"/>
              </w:rPr>
            </w:pPr>
            <w:r w:rsidRPr="00C57999">
              <w:rPr>
                <w:rFonts w:ascii="Arial Narrow" w:hAnsi="Arial Narrow"/>
                <w:b/>
                <w:snapToGrid/>
                <w:sz w:val="20"/>
                <w:lang w:eastAsia="en-AU"/>
              </w:rPr>
              <w:t>Treatment criteria:</w:t>
            </w:r>
          </w:p>
          <w:p w:rsidR="003F0248" w:rsidRPr="00C57999" w:rsidRDefault="003F0248" w:rsidP="003F0248">
            <w:pPr>
              <w:widowControl/>
              <w:jc w:val="left"/>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Must be treated in an accredited treatment centre.</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Clinical criteria:</w:t>
            </w:r>
          </w:p>
          <w:p w:rsidR="003F0248" w:rsidRPr="00C57999" w:rsidRDefault="003F0248" w:rsidP="003F0248">
            <w:pPr>
              <w:widowControl/>
              <w:rPr>
                <w:rFonts w:ascii="Arial Narrow" w:hAnsi="Arial Narrow"/>
                <w:i/>
                <w:snapToGrid/>
                <w:sz w:val="20"/>
                <w:lang w:eastAsia="en-AU"/>
              </w:rPr>
            </w:pP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Patient must have compensated liver disease,</w:t>
            </w:r>
          </w:p>
          <w:p w:rsidR="003F0248" w:rsidRPr="00C57999" w:rsidRDefault="003F0248" w:rsidP="003F0248">
            <w:pPr>
              <w:widowControl/>
              <w:jc w:val="left"/>
              <w:rPr>
                <w:rFonts w:ascii="Arial Narrow" w:hAnsi="Arial Narrow"/>
                <w:i/>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Patient must not have hepatic cirrhosis,</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napToGrid/>
                <w:sz w:val="20"/>
                <w:lang w:eastAsia="en-AU"/>
              </w:rPr>
              <w:t xml:space="preserve">Patient must not have received prior </w:t>
            </w:r>
            <w:r w:rsidRPr="00C57999">
              <w:rPr>
                <w:rFonts w:ascii="Arial Narrow" w:hAnsi="Arial Narrow"/>
                <w:i/>
                <w:snapToGrid/>
                <w:sz w:val="20"/>
                <w:lang w:eastAsia="en-AU"/>
              </w:rPr>
              <w:t xml:space="preserve">treatment with combinations of interferon alfa or </w:t>
            </w:r>
            <w:proofErr w:type="spellStart"/>
            <w:r w:rsidRPr="00C57999">
              <w:rPr>
                <w:rFonts w:ascii="Arial Narrow" w:hAnsi="Arial Narrow"/>
                <w:i/>
                <w:snapToGrid/>
                <w:sz w:val="20"/>
                <w:lang w:eastAsia="en-AU"/>
              </w:rPr>
              <w:t>peginterferon</w:t>
            </w:r>
            <w:proofErr w:type="spellEnd"/>
            <w:r w:rsidRPr="00C57999">
              <w:rPr>
                <w:rFonts w:ascii="Arial Narrow" w:hAnsi="Arial Narrow"/>
                <w:i/>
                <w:snapToGrid/>
                <w:sz w:val="20"/>
                <w:lang w:eastAsia="en-AU"/>
              </w:rPr>
              <w:t xml:space="preserve"> alfa or oral direct acting antiviral agents</w:t>
            </w:r>
            <w:r w:rsidRPr="00C57999">
              <w:rPr>
                <w:rFonts w:ascii="Arial Narrow" w:hAnsi="Arial Narrow"/>
                <w:snapToGrid/>
                <w:sz w:val="20"/>
                <w:lang w:eastAsia="en-AU"/>
              </w:rPr>
              <w:t xml:space="preserve"> </w:t>
            </w:r>
            <w:r w:rsidRPr="00C57999">
              <w:rPr>
                <w:rFonts w:ascii="Arial Narrow" w:hAnsi="Arial Narrow"/>
                <w:i/>
                <w:snapToGrid/>
                <w:sz w:val="20"/>
                <w:lang w:eastAsia="en-AU"/>
              </w:rPr>
              <w:t>for hepatitis C</w:t>
            </w:r>
            <w:r w:rsidRPr="00C57999">
              <w:rPr>
                <w:rFonts w:ascii="Arial Narrow" w:hAnsi="Arial Narrow"/>
                <w:snapToGrid/>
                <w:sz w:val="20"/>
                <w:lang w:eastAsia="en-AU"/>
              </w:rPr>
              <w:t xml:space="preserve"> </w:t>
            </w:r>
            <w:r w:rsidRPr="00C57999">
              <w:rPr>
                <w:rFonts w:ascii="Arial Narrow" w:hAnsi="Arial Narrow"/>
                <w:strike/>
                <w:snapToGrid/>
                <w:sz w:val="20"/>
                <w:lang w:eastAsia="en-AU"/>
              </w:rPr>
              <w:t>(with or without a protease inhibitor</w:t>
            </w:r>
            <w:r w:rsidRPr="00C57999">
              <w:rPr>
                <w:rFonts w:ascii="Arial Narrow" w:hAnsi="Arial Narrow"/>
                <w:snapToGrid/>
                <w:sz w:val="20"/>
                <w:lang w:eastAsia="en-AU"/>
              </w:rPr>
              <w:t>),</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napToGrid/>
                <w:sz w:val="20"/>
                <w:lang w:eastAsia="en-AU"/>
              </w:rPr>
              <w:t xml:space="preserve">The treatment must be limited to a maximum duration of 8 weeks </w:t>
            </w:r>
            <w:r w:rsidRPr="00C57999">
              <w:rPr>
                <w:rFonts w:ascii="Arial Narrow" w:hAnsi="Arial Narrow"/>
                <w:strike/>
                <w:snapToGrid/>
                <w:sz w:val="20"/>
                <w:lang w:eastAsia="en-AU"/>
              </w:rPr>
              <w:t>in patients without hepatic cirrhosis,</w:t>
            </w:r>
          </w:p>
          <w:p w:rsidR="003F0248" w:rsidRPr="00C57999" w:rsidRDefault="003F0248" w:rsidP="003F0248">
            <w:pPr>
              <w:widowControl/>
              <w:jc w:val="left"/>
              <w:rPr>
                <w:rFonts w:ascii="Arial Narrow" w:hAnsi="Arial Narrow"/>
                <w:strike/>
                <w:snapToGrid/>
                <w:sz w:val="20"/>
                <w:lang w:eastAsia="en-AU"/>
              </w:rPr>
            </w:pP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trike/>
                <w:snapToGrid/>
                <w:sz w:val="20"/>
                <w:lang w:eastAsia="en-AU"/>
              </w:rPr>
              <w:t>OR</w:t>
            </w:r>
          </w:p>
          <w:p w:rsidR="003F0248" w:rsidRPr="00C57999" w:rsidRDefault="003F0248" w:rsidP="003F0248">
            <w:pPr>
              <w:widowControl/>
              <w:jc w:val="left"/>
              <w:rPr>
                <w:rFonts w:ascii="Arial Narrow" w:hAnsi="Arial Narrow"/>
                <w:strike/>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trike/>
                <w:snapToGrid/>
                <w:sz w:val="20"/>
                <w:lang w:eastAsia="en-AU"/>
              </w:rPr>
              <w:t>The treatment must be limited to a maximum duration of 12 weeks in patients with hepatic cirrhosis.</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Population criteria:</w:t>
            </w:r>
          </w:p>
          <w:p w:rsidR="003F0248" w:rsidRPr="00C57999" w:rsidRDefault="003F0248" w:rsidP="003F0248">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snapToGrid/>
                <w:sz w:val="20"/>
                <w:lang w:eastAsia="en-AU"/>
              </w:rPr>
              <w:t>Patient must be</w:t>
            </w:r>
            <w:r w:rsidRPr="00C57999">
              <w:rPr>
                <w:rFonts w:ascii="Arial Narrow" w:hAnsi="Arial Narrow"/>
                <w:i/>
                <w:snapToGrid/>
                <w:sz w:val="20"/>
                <w:lang w:eastAsia="en-AU"/>
              </w:rPr>
              <w:t xml:space="preserve"> </w:t>
            </w:r>
            <w:r w:rsidRPr="00C57999">
              <w:rPr>
                <w:rFonts w:ascii="Arial Narrow" w:hAnsi="Arial Narrow"/>
                <w:strike/>
                <w:snapToGrid/>
                <w:sz w:val="20"/>
                <w:lang w:eastAsia="en-AU"/>
              </w:rPr>
              <w:t>an adult</w:t>
            </w:r>
            <w:r w:rsidRPr="00C57999">
              <w:rPr>
                <w:rFonts w:ascii="Arial Narrow" w:hAnsi="Arial Narrow"/>
                <w:i/>
                <w:snapToGrid/>
                <w:sz w:val="20"/>
                <w:lang w:eastAsia="en-AU"/>
              </w:rPr>
              <w:t xml:space="preserve"> aged 18 years or older,</w:t>
            </w: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val="en-US" w:eastAsia="en-AU"/>
              </w:rPr>
            </w:pPr>
            <w:r w:rsidRPr="00C57999">
              <w:rPr>
                <w:rFonts w:ascii="Arial Narrow" w:hAnsi="Arial Narrow"/>
                <w:i/>
                <w:snapToGrid/>
                <w:sz w:val="20"/>
                <w:lang w:val="en-US" w:eastAsia="en-AU"/>
              </w:rPr>
              <w:t>Patient must not be breastfeeding</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lastRenderedPageBreak/>
              <w:t>Prescriber Instructions</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val="en-US" w:eastAsia="en-AU"/>
              </w:rPr>
            </w:pPr>
            <w:r w:rsidRPr="00C57999">
              <w:rPr>
                <w:rFonts w:ascii="Arial Narrow" w:hAnsi="Arial Narrow"/>
                <w:snapToGrid/>
                <w:sz w:val="20"/>
                <w:lang w:val="en-US" w:eastAsia="en-AU"/>
              </w:rPr>
              <w:t>Evidence of chronic genotype 1 hepatitis C infection (repeatedl</w:t>
            </w:r>
            <w:r w:rsidRPr="00C57999">
              <w:rPr>
                <w:rFonts w:ascii="Arial Narrow" w:hAnsi="Arial Narrow"/>
                <w:i/>
                <w:snapToGrid/>
                <w:sz w:val="20"/>
                <w:lang w:val="en-US" w:eastAsia="en-AU"/>
              </w:rPr>
              <w:t>y</w:t>
            </w:r>
            <w:r w:rsidRPr="00C57999">
              <w:rPr>
                <w:rFonts w:ascii="Arial Narrow" w:hAnsi="Arial Narrow"/>
                <w:snapToGrid/>
                <w:sz w:val="20"/>
                <w:lang w:val="en-US" w:eastAsia="en-AU"/>
              </w:rPr>
              <w:t xml:space="preserve"> anti-HCV positive and HCV RNA positive) must be documented in the patient’s medical records</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i/>
                <w:snapToGrid/>
                <w:color w:val="222222"/>
                <w:sz w:val="20"/>
                <w:lang w:eastAsia="en-AU"/>
              </w:rPr>
              <w:t xml:space="preserve">Patients who have received prior treatment with an </w:t>
            </w:r>
            <w:r w:rsidRPr="00C57999">
              <w:rPr>
                <w:rFonts w:ascii="Arial Narrow" w:hAnsi="Arial Narrow"/>
                <w:i/>
                <w:snapToGrid/>
                <w:sz w:val="20"/>
                <w:lang w:eastAsia="en-AU"/>
              </w:rPr>
              <w:t>oral direct acting antiviral agent</w:t>
            </w:r>
            <w:r w:rsidRPr="00C57999">
              <w:rPr>
                <w:rFonts w:ascii="Arial Narrow" w:hAnsi="Arial Narrow"/>
                <w:i/>
                <w:snapToGrid/>
                <w:color w:val="222222"/>
                <w:sz w:val="20"/>
                <w:lang w:eastAsia="en-AU"/>
              </w:rPr>
              <w:t xml:space="preserve"> are not eligible to receive PBS-subsidised </w:t>
            </w:r>
            <w:proofErr w:type="spellStart"/>
            <w:r w:rsidRPr="00C57999">
              <w:rPr>
                <w:rFonts w:ascii="Arial Narrow" w:hAnsi="Arial Narrow"/>
                <w:i/>
                <w:snapToGrid/>
                <w:color w:val="222222"/>
                <w:sz w:val="20"/>
                <w:lang w:eastAsia="en-AU"/>
              </w:rPr>
              <w:t>ledipasvir</w:t>
            </w:r>
            <w:proofErr w:type="spellEnd"/>
            <w:r w:rsidRPr="00C57999">
              <w:rPr>
                <w:rFonts w:ascii="Arial Narrow" w:hAnsi="Arial Narrow"/>
                <w:i/>
                <w:snapToGrid/>
                <w:color w:val="222222"/>
                <w:sz w:val="20"/>
                <w:lang w:eastAsia="en-AU"/>
              </w:rPr>
              <w:t xml:space="preserve">/sofosbuvir, except where the patient has developed </w:t>
            </w:r>
            <w:proofErr w:type="gramStart"/>
            <w:r w:rsidRPr="00C57999">
              <w:rPr>
                <w:rFonts w:ascii="Arial Narrow" w:hAnsi="Arial Narrow"/>
                <w:i/>
                <w:snapToGrid/>
                <w:color w:val="222222"/>
                <w:sz w:val="20"/>
                <w:lang w:eastAsia="en-AU"/>
              </w:rPr>
              <w:t>an intolerance</w:t>
            </w:r>
            <w:proofErr w:type="gramEnd"/>
            <w:r w:rsidRPr="00C57999">
              <w:rPr>
                <w:rFonts w:ascii="Arial Narrow" w:hAnsi="Arial Narrow"/>
                <w:i/>
                <w:snapToGrid/>
                <w:color w:val="222222"/>
                <w:sz w:val="20"/>
                <w:lang w:eastAsia="en-AU"/>
              </w:rPr>
              <w:t xml:space="preserve"> to the other oral direct acting antiviral agents of a severity necessitating permanent treatment withdrawal. Details of the intolerance must be documented in the patient's medical records.</w:t>
            </w: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trike/>
                <w:snapToGrid/>
                <w:sz w:val="20"/>
                <w:lang w:eastAsia="en-AU"/>
              </w:rPr>
              <w:t>A maximum of 2 repeats may be prescribed.</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Administrative Advice</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i/>
                <w:snapToGrid/>
                <w:sz w:val="20"/>
                <w:szCs w:val="22"/>
                <w:lang w:eastAsia="en-AU"/>
              </w:rPr>
            </w:pPr>
            <w:r w:rsidRPr="00C57999">
              <w:rPr>
                <w:rFonts w:ascii="Arial Narrow" w:hAnsi="Arial Narrow"/>
                <w:i/>
                <w:snapToGrid/>
                <w:sz w:val="20"/>
                <w:szCs w:val="22"/>
                <w:lang w:eastAsia="en-AU"/>
              </w:rPr>
              <w:t>No increase in the maximum quantity or number of units may be authorised</w:t>
            </w:r>
          </w:p>
          <w:p w:rsidR="003F0248" w:rsidRPr="00C57999" w:rsidRDefault="003F0248" w:rsidP="003F0248">
            <w:pPr>
              <w:widowControl/>
              <w:jc w:val="left"/>
              <w:rPr>
                <w:rFonts w:ascii="Arial Narrow" w:hAnsi="Arial Narrow"/>
                <w:snapToGrid/>
                <w:sz w:val="20"/>
                <w:szCs w:val="22"/>
                <w:lang w:eastAsia="en-AU"/>
              </w:rPr>
            </w:pPr>
          </w:p>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i/>
                <w:snapToGrid/>
                <w:sz w:val="20"/>
                <w:szCs w:val="22"/>
                <w:lang w:eastAsia="en-AU"/>
              </w:rPr>
            </w:pPr>
            <w:r w:rsidRPr="00C57999">
              <w:rPr>
                <w:rFonts w:ascii="Arial Narrow" w:hAnsi="Arial Narrow"/>
                <w:i/>
                <w:snapToGrid/>
                <w:sz w:val="20"/>
                <w:szCs w:val="22"/>
                <w:lang w:eastAsia="en-AU"/>
              </w:rPr>
              <w:t>No increase in the maximum number of repeats may be authorised</w:t>
            </w:r>
          </w:p>
          <w:p w:rsidR="003F0248" w:rsidRPr="00C57999" w:rsidRDefault="003F0248" w:rsidP="003F0248">
            <w:pPr>
              <w:widowControl/>
              <w:jc w:val="left"/>
              <w:rPr>
                <w:rFonts w:ascii="Arial Narrow" w:hAnsi="Arial Narrow"/>
                <w:snapToGrid/>
                <w:sz w:val="20"/>
                <w:szCs w:val="22"/>
                <w:lang w:eastAsia="en-AU"/>
              </w:rPr>
            </w:pPr>
          </w:p>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3F0248" w:rsidRPr="00C57999" w:rsidRDefault="00282221" w:rsidP="003F0248">
            <w:pPr>
              <w:widowControl/>
              <w:jc w:val="left"/>
              <w:rPr>
                <w:rFonts w:ascii="Arial Narrow" w:hAnsi="Arial Narrow"/>
                <w:snapToGrid/>
                <w:sz w:val="20"/>
                <w:szCs w:val="22"/>
                <w:lang w:eastAsia="en-AU"/>
              </w:rPr>
            </w:pPr>
            <w:r>
              <w:rPr>
                <w:rFonts w:ascii="Arial Narrow" w:hAnsi="Arial Narrow"/>
                <w:snapToGrid/>
                <w:sz w:val="20"/>
                <w:szCs w:val="22"/>
                <w:lang w:eastAsia="en-AU"/>
              </w:rPr>
              <w:t xml:space="preserve">(a) a nurse </w:t>
            </w:r>
            <w:r w:rsidR="000D2CB7">
              <w:rPr>
                <w:rFonts w:ascii="Arial Narrow" w:hAnsi="Arial Narrow"/>
                <w:snapToGrid/>
                <w:sz w:val="20"/>
                <w:szCs w:val="22"/>
                <w:lang w:eastAsia="en-AU"/>
              </w:rPr>
              <w:t>educato</w:t>
            </w:r>
            <w:r w:rsidR="000D2CB7" w:rsidRPr="00C57999">
              <w:rPr>
                <w:rFonts w:ascii="Arial Narrow" w:hAnsi="Arial Narrow"/>
                <w:snapToGrid/>
                <w:sz w:val="20"/>
                <w:szCs w:val="22"/>
                <w:lang w:eastAsia="en-AU"/>
              </w:rPr>
              <w:t>r</w:t>
            </w:r>
            <w:r w:rsidR="003F0248" w:rsidRPr="00C57999">
              <w:rPr>
                <w:rFonts w:ascii="Arial Narrow" w:hAnsi="Arial Narrow"/>
                <w:snapToGrid/>
                <w:sz w:val="20"/>
                <w:szCs w:val="22"/>
                <w:lang w:eastAsia="en-AU"/>
              </w:rPr>
              <w:t>/counsellor for patients; and</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(b) 24-hour access by patients to medical advice; and</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(c) an established liver clinic</w:t>
            </w:r>
          </w:p>
          <w:p w:rsidR="003F0248" w:rsidRPr="00C57999" w:rsidRDefault="003F0248" w:rsidP="003F0248">
            <w:pPr>
              <w:widowControl/>
              <w:jc w:val="left"/>
              <w:rPr>
                <w:rFonts w:ascii="Arial Narrow" w:hAnsi="Arial Narrow"/>
                <w:snapToGrid/>
                <w:sz w:val="20"/>
                <w:lang w:eastAsia="en-AU"/>
              </w:rPr>
            </w:pPr>
          </w:p>
        </w:tc>
      </w:tr>
    </w:tbl>
    <w:p w:rsidR="003F0248" w:rsidRPr="00C57999" w:rsidRDefault="003F0248" w:rsidP="003F0248">
      <w:pPr>
        <w:widowControl/>
        <w:jc w:val="left"/>
        <w:rPr>
          <w:snapToGrid/>
          <w:szCs w:val="22"/>
          <w:lang w:eastAsia="en-AU"/>
        </w:rPr>
      </w:pPr>
    </w:p>
    <w:p w:rsidR="003F0248" w:rsidRPr="00C57999" w:rsidRDefault="003F0248" w:rsidP="003F0248">
      <w:pPr>
        <w:widowControl/>
        <w:rPr>
          <w:snapToGrid/>
          <w:szCs w:val="22"/>
          <w:lang w:eastAsia="en-AU"/>
        </w:rPr>
      </w:pPr>
    </w:p>
    <w:p w:rsidR="003F0248" w:rsidRPr="00C57999" w:rsidRDefault="003F0248" w:rsidP="003F0248">
      <w:pPr>
        <w:widowControl/>
        <w:jc w:val="left"/>
        <w:rPr>
          <w:snapToGrid/>
          <w:szCs w:val="22"/>
          <w:lang w:eastAsia="en-AU"/>
        </w:rPr>
      </w:pPr>
      <w:r>
        <w:rPr>
          <w:snapToGrid/>
          <w:szCs w:val="22"/>
          <w:lang w:eastAsia="en-AU"/>
        </w:rPr>
        <w:t xml:space="preserve">3. </w:t>
      </w:r>
      <w:r w:rsidRPr="00C57999">
        <w:rPr>
          <w:snapToGrid/>
          <w:szCs w:val="22"/>
          <w:lang w:eastAsia="en-AU"/>
        </w:rPr>
        <w:t xml:space="preserve">Genotype 1 treatment experienced patients </w:t>
      </w:r>
    </w:p>
    <w:p w:rsidR="003F0248" w:rsidRPr="00C57999" w:rsidRDefault="003F0248" w:rsidP="003F0248">
      <w:pPr>
        <w:widowControl/>
        <w:ind w:left="426"/>
        <w:rPr>
          <w:snapToGrid/>
          <w:szCs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3F0248" w:rsidRPr="00C57999" w:rsidTr="003F0248">
        <w:trPr>
          <w:cantSplit/>
          <w:trHeight w:val="471"/>
        </w:trPr>
        <w:tc>
          <w:tcPr>
            <w:tcW w:w="3261" w:type="dxa"/>
            <w:gridSpan w:val="2"/>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Name, Restriction,</w:t>
            </w:r>
          </w:p>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Manner of administration and form</w:t>
            </w:r>
          </w:p>
        </w:tc>
        <w:tc>
          <w:tcPr>
            <w:tcW w:w="567"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Max.</w:t>
            </w:r>
          </w:p>
          <w:p w:rsidR="003F0248" w:rsidRPr="00C57999" w:rsidRDefault="003F0248" w:rsidP="003F0248">
            <w:pPr>
              <w:keepNext/>
              <w:widowControl/>
              <w:ind w:left="-108"/>
              <w:rPr>
                <w:rFonts w:ascii="Arial Narrow" w:hAnsi="Arial Narrow"/>
                <w:snapToGrid/>
                <w:sz w:val="20"/>
                <w:lang w:eastAsia="en-AU"/>
              </w:rPr>
            </w:pPr>
            <w:proofErr w:type="spellStart"/>
            <w:r w:rsidRPr="00C57999">
              <w:rPr>
                <w:rFonts w:ascii="Arial Narrow" w:hAnsi="Arial Narrow"/>
                <w:snapToGrid/>
                <w:sz w:val="20"/>
                <w:lang w:eastAsia="en-AU"/>
              </w:rPr>
              <w:t>Qty</w:t>
            </w:r>
            <w:proofErr w:type="spellEnd"/>
          </w:p>
        </w:tc>
        <w:tc>
          <w:tcPr>
            <w:tcW w:w="850"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r w:rsidRPr="00C57999">
              <w:rPr>
                <w:rFonts w:ascii="Arial Narrow" w:hAnsi="Arial Narrow"/>
                <w:snapToGrid/>
                <w:sz w:val="20"/>
                <w:lang w:eastAsia="en-AU"/>
              </w:rPr>
              <w:t>№.of</w:t>
            </w:r>
          </w:p>
          <w:p w:rsidR="003F0248" w:rsidRPr="00C57999" w:rsidRDefault="003F0248" w:rsidP="003F0248">
            <w:pPr>
              <w:keepNext/>
              <w:widowControl/>
              <w:ind w:left="-108"/>
              <w:rPr>
                <w:rFonts w:ascii="Arial Narrow" w:hAnsi="Arial Narrow"/>
                <w:snapToGrid/>
                <w:sz w:val="20"/>
                <w:lang w:eastAsia="en-AU"/>
              </w:rPr>
            </w:pPr>
            <w:proofErr w:type="spellStart"/>
            <w:r w:rsidRPr="00C57999">
              <w:rPr>
                <w:rFonts w:ascii="Arial Narrow" w:hAnsi="Arial Narrow"/>
                <w:snapToGrid/>
                <w:sz w:val="20"/>
                <w:lang w:eastAsia="en-AU"/>
              </w:rPr>
              <w:t>Rpts</w:t>
            </w:r>
            <w:proofErr w:type="spellEnd"/>
          </w:p>
        </w:tc>
        <w:tc>
          <w:tcPr>
            <w:tcW w:w="1701" w:type="dxa"/>
            <w:tcBorders>
              <w:bottom w:val="single" w:sz="4" w:space="0" w:color="auto"/>
            </w:tcBorders>
          </w:tcPr>
          <w:p w:rsidR="003F0248" w:rsidRPr="00C57999" w:rsidRDefault="003F0248" w:rsidP="003F0248">
            <w:pPr>
              <w:keepNext/>
              <w:widowControl/>
              <w:ind w:left="-108"/>
              <w:rPr>
                <w:rFonts w:ascii="Arial Narrow" w:hAnsi="Arial Narrow"/>
                <w:snapToGrid/>
                <w:sz w:val="20"/>
                <w:lang w:eastAsia="en-AU"/>
              </w:rPr>
            </w:pPr>
          </w:p>
        </w:tc>
        <w:tc>
          <w:tcPr>
            <w:tcW w:w="2835" w:type="dxa"/>
            <w:gridSpan w:val="2"/>
            <w:tcBorders>
              <w:bottom w:val="single" w:sz="4" w:space="0" w:color="auto"/>
            </w:tcBorders>
          </w:tcPr>
          <w:p w:rsidR="003F0248" w:rsidRPr="00C57999" w:rsidRDefault="003F0248" w:rsidP="003F0248">
            <w:pPr>
              <w:keepNext/>
              <w:widowControl/>
              <w:rPr>
                <w:rFonts w:ascii="Arial Narrow" w:hAnsi="Arial Narrow"/>
                <w:snapToGrid/>
                <w:sz w:val="20"/>
                <w:lang w:val="fr-FR" w:eastAsia="en-AU"/>
              </w:rPr>
            </w:pPr>
            <w:r w:rsidRPr="00C57999">
              <w:rPr>
                <w:rFonts w:ascii="Arial Narrow" w:hAnsi="Arial Narrow"/>
                <w:snapToGrid/>
                <w:sz w:val="20"/>
                <w:lang w:eastAsia="en-AU"/>
              </w:rPr>
              <w:t>Proprietary Name and Manufacturer</w:t>
            </w:r>
          </w:p>
        </w:tc>
      </w:tr>
      <w:tr w:rsidR="003F0248" w:rsidRPr="00C57999" w:rsidTr="003F0248">
        <w:trPr>
          <w:cantSplit/>
          <w:trHeight w:val="577"/>
        </w:trPr>
        <w:tc>
          <w:tcPr>
            <w:tcW w:w="3261" w:type="dxa"/>
            <w:gridSpan w:val="2"/>
            <w:vAlign w:val="center"/>
          </w:tcPr>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mallCaps/>
                <w:snapToGrid/>
                <w:sz w:val="20"/>
                <w:szCs w:val="22"/>
                <w:lang w:eastAsia="en-AU"/>
              </w:rPr>
              <w:t>LEDIPASVIR/SOFOSBUVIR</w:t>
            </w: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Tablet 90mg/400mg</w:t>
            </w:r>
          </w:p>
        </w:tc>
        <w:tc>
          <w:tcPr>
            <w:tcW w:w="567"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28</w:t>
            </w:r>
          </w:p>
        </w:tc>
        <w:tc>
          <w:tcPr>
            <w:tcW w:w="850"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3F0248">
            <w:pPr>
              <w:keepNext/>
              <w:widowControl/>
              <w:ind w:left="-108"/>
              <w:jc w:val="left"/>
              <w:rPr>
                <w:rFonts w:ascii="Arial Narrow" w:hAnsi="Arial Narrow"/>
                <w:snapToGrid/>
                <w:sz w:val="20"/>
                <w:szCs w:val="22"/>
                <w:lang w:eastAsia="en-AU"/>
              </w:rPr>
            </w:pPr>
            <w:r w:rsidRPr="00C57999">
              <w:rPr>
                <w:rFonts w:ascii="Arial Narrow" w:hAnsi="Arial Narrow"/>
                <w:snapToGrid/>
                <w:sz w:val="20"/>
                <w:szCs w:val="22"/>
                <w:lang w:eastAsia="en-AU"/>
              </w:rPr>
              <w:t>2</w:t>
            </w:r>
          </w:p>
        </w:tc>
        <w:tc>
          <w:tcPr>
            <w:tcW w:w="1701" w:type="dxa"/>
            <w:vAlign w:val="center"/>
          </w:tcPr>
          <w:p w:rsidR="003F0248" w:rsidRPr="00C57999" w:rsidRDefault="003F0248" w:rsidP="003F0248">
            <w:pPr>
              <w:keepNext/>
              <w:widowControl/>
              <w:ind w:left="-108"/>
              <w:jc w:val="left"/>
              <w:rPr>
                <w:rFonts w:ascii="Arial Narrow" w:hAnsi="Arial Narrow"/>
                <w:snapToGrid/>
                <w:sz w:val="20"/>
                <w:szCs w:val="22"/>
                <w:lang w:eastAsia="en-AU"/>
              </w:rPr>
            </w:pPr>
          </w:p>
          <w:p w:rsidR="003F0248" w:rsidRPr="00C57999" w:rsidRDefault="003F0248" w:rsidP="00134998">
            <w:pPr>
              <w:keepNext/>
              <w:widowControl/>
              <w:ind w:left="-108"/>
              <w:jc w:val="left"/>
              <w:rPr>
                <w:rFonts w:ascii="Arial Narrow" w:hAnsi="Arial Narrow"/>
                <w:snapToGrid/>
                <w:sz w:val="20"/>
                <w:szCs w:val="22"/>
                <w:lang w:eastAsia="en-AU"/>
              </w:rPr>
            </w:pPr>
          </w:p>
        </w:tc>
        <w:tc>
          <w:tcPr>
            <w:tcW w:w="1559" w:type="dxa"/>
            <w:vAlign w:val="center"/>
          </w:tcPr>
          <w:p w:rsidR="003F0248" w:rsidRPr="00C57999" w:rsidRDefault="003F0248" w:rsidP="003F0248">
            <w:pPr>
              <w:keepNext/>
              <w:widowControl/>
              <w:jc w:val="left"/>
              <w:rPr>
                <w:rFonts w:ascii="Arial Narrow" w:hAnsi="Arial Narrow"/>
                <w:snapToGrid/>
                <w:sz w:val="20"/>
                <w:szCs w:val="22"/>
                <w:lang w:eastAsia="en-AU"/>
              </w:rPr>
            </w:pPr>
            <w:proofErr w:type="spellStart"/>
            <w:r w:rsidRPr="00C57999">
              <w:rPr>
                <w:rFonts w:ascii="Arial Narrow" w:hAnsi="Arial Narrow"/>
                <w:smallCaps/>
                <w:snapToGrid/>
                <w:sz w:val="20"/>
                <w:szCs w:val="22"/>
                <w:lang w:eastAsia="en-AU"/>
              </w:rPr>
              <w:t>Harvoni</w:t>
            </w:r>
            <w:proofErr w:type="spellEnd"/>
            <w:r w:rsidRPr="00C57999">
              <w:rPr>
                <w:rFonts w:ascii="Arial Narrow" w:hAnsi="Arial Narrow"/>
                <w:smallCaps/>
                <w:snapToGrid/>
                <w:sz w:val="20"/>
                <w:szCs w:val="22"/>
                <w:lang w:eastAsia="en-AU"/>
              </w:rPr>
              <w:t>®</w:t>
            </w:r>
          </w:p>
        </w:tc>
        <w:tc>
          <w:tcPr>
            <w:tcW w:w="1276" w:type="dxa"/>
            <w:vAlign w:val="center"/>
          </w:tcPr>
          <w:p w:rsidR="003F0248" w:rsidRPr="00C57999" w:rsidRDefault="003F0248" w:rsidP="003F0248">
            <w:pPr>
              <w:keepNext/>
              <w:widowControl/>
              <w:jc w:val="left"/>
              <w:rPr>
                <w:rFonts w:ascii="Arial Narrow" w:hAnsi="Arial Narrow"/>
                <w:snapToGrid/>
                <w:sz w:val="20"/>
                <w:szCs w:val="22"/>
                <w:lang w:eastAsia="en-AU"/>
              </w:rPr>
            </w:pPr>
            <w:r w:rsidRPr="00C57999">
              <w:rPr>
                <w:rFonts w:ascii="Arial Narrow" w:hAnsi="Arial Narrow"/>
                <w:snapToGrid/>
                <w:sz w:val="20"/>
                <w:szCs w:val="22"/>
                <w:lang w:eastAsia="en-AU"/>
              </w:rPr>
              <w:t>Gilead Sciences Pty Ltd</w:t>
            </w:r>
          </w:p>
        </w:tc>
      </w:tr>
      <w:tr w:rsidR="003F0248" w:rsidRPr="00C57999" w:rsidTr="003F0248">
        <w:trPr>
          <w:cantSplit/>
          <w:trHeight w:val="360"/>
        </w:trPr>
        <w:tc>
          <w:tcPr>
            <w:tcW w:w="9214" w:type="dxa"/>
            <w:gridSpan w:val="7"/>
            <w:tcBorders>
              <w:bottom w:val="single" w:sz="4" w:space="0" w:color="auto"/>
            </w:tcBorders>
          </w:tcPr>
          <w:p w:rsidR="003F0248" w:rsidRPr="00C57999" w:rsidRDefault="003F0248" w:rsidP="003F0248">
            <w:pPr>
              <w:widowControl/>
              <w:rPr>
                <w:rFonts w:ascii="Arial Narrow" w:hAnsi="Arial Narrow"/>
                <w:snapToGrid/>
                <w:sz w:val="20"/>
                <w:lang w:eastAsia="en-AU"/>
              </w:rPr>
            </w:pP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 xml:space="preserve">Category / </w:t>
            </w:r>
          </w:p>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Section 100 – Highly Specialised Drugs Program</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 xml:space="preserve">Medical Practitioners  </w:t>
            </w:r>
          </w:p>
          <w:p w:rsidR="003F0248" w:rsidRPr="00C57999" w:rsidRDefault="003F0248" w:rsidP="003F0248">
            <w:pPr>
              <w:widowControl/>
              <w:rPr>
                <w:rFonts w:ascii="Arial Narrow" w:hAnsi="Arial Narrow"/>
                <w:snapToGrid/>
                <w:sz w:val="20"/>
                <w:lang w:eastAsia="en-AU"/>
              </w:rPr>
            </w:pP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Chronic genotype 1 hepatitis C infection</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i/>
                <w:snapToGrid/>
                <w:sz w:val="20"/>
                <w:lang w:eastAsia="en-AU"/>
              </w:rPr>
              <w:t>Chronic genotype 1 hepatitis C infection</w:t>
            </w:r>
            <w:r w:rsidRPr="00C57999">
              <w:rPr>
                <w:rFonts w:ascii="Arial Narrow" w:hAnsi="Arial Narrow"/>
                <w:i/>
                <w:snapToGrid/>
                <w:sz w:val="20"/>
                <w:highlight w:val="yellow"/>
                <w:lang w:eastAsia="en-AU"/>
              </w:rPr>
              <w:t xml:space="preserve"> </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Restriction Level / Method:</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Authority Required - In Writing</w:t>
            </w:r>
          </w:p>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Authority Required - Telephone</w:t>
            </w:r>
          </w:p>
          <w:p w:rsidR="003F0248" w:rsidRPr="00C57999" w:rsidRDefault="003F0248" w:rsidP="003F0248">
            <w:pPr>
              <w:widowControl/>
              <w:rPr>
                <w:rFonts w:ascii="Arial Narrow" w:hAnsi="Arial Narrow"/>
                <w:snapToGrid/>
                <w:sz w:val="20"/>
                <w:lang w:eastAsia="en-AU"/>
              </w:rPr>
            </w:pPr>
            <w:r w:rsidRPr="00C57999">
              <w:rPr>
                <w:rFonts w:ascii="Arial Narrow" w:hAnsi="Arial Narrow"/>
                <w:snapToGrid/>
                <w:sz w:val="20"/>
                <w:lang w:eastAsia="en-AU"/>
              </w:rPr>
              <w:t>Streamlined</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b/>
                <w:snapToGrid/>
                <w:sz w:val="20"/>
                <w:lang w:eastAsia="en-AU"/>
              </w:rPr>
            </w:pPr>
            <w:r w:rsidRPr="00C57999">
              <w:rPr>
                <w:rFonts w:ascii="Arial Narrow" w:hAnsi="Arial Narrow"/>
                <w:b/>
                <w:snapToGrid/>
                <w:sz w:val="20"/>
                <w:lang w:eastAsia="en-AU"/>
              </w:rPr>
              <w:t>Treatment criteria:</w:t>
            </w:r>
          </w:p>
          <w:p w:rsidR="003F0248" w:rsidRPr="00C57999" w:rsidRDefault="003F0248" w:rsidP="003F0248">
            <w:pPr>
              <w:widowControl/>
              <w:jc w:val="left"/>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Must be treated in an accredited treatment centre.</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lastRenderedPageBreak/>
              <w:t>Clinical criteria:</w:t>
            </w:r>
          </w:p>
          <w:p w:rsidR="003F0248" w:rsidRPr="00C57999" w:rsidRDefault="003F0248" w:rsidP="003F0248">
            <w:pPr>
              <w:widowControl/>
              <w:rPr>
                <w:rFonts w:ascii="Arial Narrow" w:hAnsi="Arial Narrow"/>
                <w:i/>
                <w:snapToGrid/>
                <w:sz w:val="20"/>
                <w:lang w:eastAsia="en-AU"/>
              </w:rPr>
            </w:pP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i/>
                <w:snapToGrid/>
                <w:sz w:val="20"/>
                <w:lang w:eastAsia="en-AU"/>
              </w:rPr>
              <w:t>Patient must have compensated liver disease,</w:t>
            </w:r>
          </w:p>
          <w:p w:rsidR="003F0248" w:rsidRPr="00C57999" w:rsidRDefault="003F0248" w:rsidP="003F0248">
            <w:pPr>
              <w:widowControl/>
              <w:jc w:val="left"/>
              <w:rPr>
                <w:rFonts w:ascii="Arial Narrow" w:hAnsi="Arial Narrow"/>
                <w:i/>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 xml:space="preserve">Patient must have received prior </w:t>
            </w:r>
            <w:r w:rsidRPr="00C57999">
              <w:rPr>
                <w:rFonts w:ascii="Arial Narrow" w:hAnsi="Arial Narrow"/>
                <w:i/>
                <w:snapToGrid/>
                <w:sz w:val="20"/>
                <w:lang w:eastAsia="en-AU"/>
              </w:rPr>
              <w:t xml:space="preserve">interferon alfa or </w:t>
            </w:r>
            <w:proofErr w:type="spellStart"/>
            <w:r w:rsidRPr="00C57999">
              <w:rPr>
                <w:rFonts w:ascii="Arial Narrow" w:hAnsi="Arial Narrow"/>
                <w:i/>
                <w:snapToGrid/>
                <w:sz w:val="20"/>
                <w:lang w:eastAsia="en-AU"/>
              </w:rPr>
              <w:t>peginterferon</w:t>
            </w:r>
            <w:proofErr w:type="spellEnd"/>
            <w:r w:rsidRPr="00C57999">
              <w:rPr>
                <w:rFonts w:ascii="Arial Narrow" w:hAnsi="Arial Narrow"/>
                <w:i/>
                <w:snapToGrid/>
                <w:sz w:val="20"/>
                <w:lang w:eastAsia="en-AU"/>
              </w:rPr>
              <w:t xml:space="preserve"> alfa treatment for hepatitis C</w:t>
            </w:r>
            <w:r w:rsidRPr="00C57999">
              <w:rPr>
                <w:rFonts w:ascii="Arial Narrow" w:hAnsi="Arial Narrow"/>
                <w:snapToGrid/>
                <w:sz w:val="20"/>
                <w:lang w:eastAsia="en-AU"/>
              </w:rPr>
              <w:t xml:space="preserve"> (with or without a protease inhibitor), </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 xml:space="preserve">The treatment must be limited to a maximum duration of 12 weeks </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Population criteria:</w:t>
            </w:r>
          </w:p>
          <w:p w:rsidR="003F0248" w:rsidRPr="00C57999" w:rsidRDefault="003F0248" w:rsidP="003F0248">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i/>
                <w:snapToGrid/>
                <w:sz w:val="20"/>
                <w:lang w:eastAsia="en-AU"/>
              </w:rPr>
            </w:pPr>
            <w:r w:rsidRPr="00C57999">
              <w:rPr>
                <w:rFonts w:ascii="Arial Narrow" w:hAnsi="Arial Narrow"/>
                <w:snapToGrid/>
                <w:sz w:val="20"/>
                <w:lang w:eastAsia="en-AU"/>
              </w:rPr>
              <w:t>Patient must be</w:t>
            </w:r>
            <w:r w:rsidRPr="00C57999">
              <w:rPr>
                <w:rFonts w:ascii="Arial Narrow" w:hAnsi="Arial Narrow"/>
                <w:i/>
                <w:snapToGrid/>
                <w:sz w:val="20"/>
                <w:lang w:eastAsia="en-AU"/>
              </w:rPr>
              <w:t xml:space="preserve"> </w:t>
            </w:r>
            <w:r w:rsidRPr="00C57999">
              <w:rPr>
                <w:rFonts w:ascii="Arial Narrow" w:hAnsi="Arial Narrow"/>
                <w:strike/>
                <w:snapToGrid/>
                <w:sz w:val="20"/>
                <w:lang w:eastAsia="en-AU"/>
              </w:rPr>
              <w:t>an adult</w:t>
            </w:r>
            <w:r w:rsidRPr="00C57999">
              <w:rPr>
                <w:rFonts w:ascii="Arial Narrow" w:hAnsi="Arial Narrow"/>
                <w:snapToGrid/>
                <w:sz w:val="20"/>
                <w:lang w:eastAsia="en-AU"/>
              </w:rPr>
              <w:t xml:space="preserve"> </w:t>
            </w:r>
            <w:r w:rsidRPr="00C57999">
              <w:rPr>
                <w:rFonts w:ascii="Arial Narrow" w:hAnsi="Arial Narrow"/>
                <w:i/>
                <w:snapToGrid/>
                <w:sz w:val="20"/>
                <w:lang w:eastAsia="en-AU"/>
              </w:rPr>
              <w:t>aged</w:t>
            </w:r>
            <w:r w:rsidRPr="00C57999">
              <w:rPr>
                <w:rFonts w:ascii="Arial Narrow" w:hAnsi="Arial Narrow"/>
                <w:snapToGrid/>
                <w:sz w:val="20"/>
                <w:lang w:eastAsia="en-AU"/>
              </w:rPr>
              <w:t xml:space="preserve"> </w:t>
            </w:r>
            <w:r w:rsidRPr="00C57999">
              <w:rPr>
                <w:rFonts w:ascii="Arial Narrow" w:hAnsi="Arial Narrow"/>
                <w:i/>
                <w:snapToGrid/>
                <w:sz w:val="20"/>
                <w:lang w:eastAsia="en-AU"/>
              </w:rPr>
              <w:t>18 years or older,</w:t>
            </w:r>
          </w:p>
          <w:p w:rsidR="003F0248" w:rsidRPr="00C57999" w:rsidRDefault="003F0248" w:rsidP="003F0248">
            <w:pPr>
              <w:widowControl/>
              <w:jc w:val="left"/>
              <w:rPr>
                <w:rFonts w:ascii="Arial Narrow" w:hAnsi="Arial Narrow"/>
                <w:i/>
                <w:snapToGrid/>
                <w:sz w:val="20"/>
                <w:lang w:eastAsia="en-AU"/>
              </w:rPr>
            </w:pP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snapToGrid/>
                <w:sz w:val="20"/>
                <w:lang w:eastAsia="en-AU"/>
              </w:rPr>
              <w:t>AND</w:t>
            </w:r>
          </w:p>
          <w:p w:rsidR="003F0248" w:rsidRPr="00C57999" w:rsidRDefault="003F0248" w:rsidP="003F0248">
            <w:pPr>
              <w:widowControl/>
              <w:jc w:val="left"/>
              <w:rPr>
                <w:rFonts w:ascii="Arial Narrow" w:hAnsi="Arial Narrow"/>
                <w:snapToGrid/>
                <w:sz w:val="20"/>
                <w:lang w:eastAsia="en-AU"/>
              </w:rPr>
            </w:pPr>
          </w:p>
          <w:p w:rsidR="003F0248" w:rsidRPr="00C57999" w:rsidRDefault="003F0248" w:rsidP="003F0248">
            <w:pPr>
              <w:widowControl/>
              <w:jc w:val="left"/>
              <w:rPr>
                <w:rFonts w:ascii="Arial Narrow" w:hAnsi="Arial Narrow"/>
                <w:snapToGrid/>
                <w:sz w:val="20"/>
                <w:lang w:val="en-US" w:eastAsia="en-AU"/>
              </w:rPr>
            </w:pPr>
            <w:r w:rsidRPr="00C57999">
              <w:rPr>
                <w:rFonts w:ascii="Arial Narrow" w:hAnsi="Arial Narrow"/>
                <w:i/>
                <w:snapToGrid/>
                <w:sz w:val="20"/>
                <w:lang w:val="en-US" w:eastAsia="en-AU"/>
              </w:rPr>
              <w:t>Patient must not be breastfeeding</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Prescriber Instructions</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lang w:val="en-US" w:eastAsia="en-AU"/>
              </w:rPr>
            </w:pPr>
            <w:r w:rsidRPr="00C57999">
              <w:rPr>
                <w:rFonts w:ascii="Arial Narrow" w:hAnsi="Arial Narrow"/>
                <w:snapToGrid/>
                <w:sz w:val="20"/>
                <w:lang w:val="en-US" w:eastAsia="en-AU"/>
              </w:rPr>
              <w:t>Evidence of chronic genotype 1 hepatitis C infection (repeated</w:t>
            </w:r>
            <w:r w:rsidRPr="00C57999">
              <w:rPr>
                <w:rFonts w:ascii="Arial Narrow" w:hAnsi="Arial Narrow"/>
                <w:i/>
                <w:snapToGrid/>
                <w:sz w:val="20"/>
                <w:lang w:val="en-US" w:eastAsia="en-AU"/>
              </w:rPr>
              <w:t>ly</w:t>
            </w:r>
            <w:r w:rsidRPr="00C57999">
              <w:rPr>
                <w:rFonts w:ascii="Arial Narrow" w:hAnsi="Arial Narrow"/>
                <w:snapToGrid/>
                <w:sz w:val="20"/>
                <w:lang w:val="en-US" w:eastAsia="en-AU"/>
              </w:rPr>
              <w:t xml:space="preserve"> anti-HCV positive and HCV RNA positive) must be documented in the patient’s medical records,</w:t>
            </w:r>
          </w:p>
          <w:p w:rsidR="003F0248" w:rsidRPr="00C57999" w:rsidRDefault="003F0248" w:rsidP="003F0248">
            <w:pPr>
              <w:widowControl/>
              <w:jc w:val="left"/>
              <w:rPr>
                <w:rFonts w:ascii="Arial Narrow" w:hAnsi="Arial Narrow"/>
                <w:snapToGrid/>
                <w:sz w:val="20"/>
                <w:lang w:val="en-US" w:eastAsia="en-AU"/>
              </w:rPr>
            </w:pPr>
          </w:p>
          <w:p w:rsidR="003F0248" w:rsidRPr="00C57999" w:rsidRDefault="003F0248" w:rsidP="003F0248">
            <w:pPr>
              <w:widowControl/>
              <w:jc w:val="left"/>
              <w:rPr>
                <w:rFonts w:ascii="Arial Narrow" w:hAnsi="Arial Narrow"/>
                <w:strike/>
                <w:snapToGrid/>
                <w:sz w:val="20"/>
                <w:lang w:val="en-US" w:eastAsia="en-AU"/>
              </w:rPr>
            </w:pPr>
            <w:r w:rsidRPr="00C57999">
              <w:rPr>
                <w:rFonts w:ascii="Arial Narrow" w:hAnsi="Arial Narrow"/>
                <w:strike/>
                <w:snapToGrid/>
                <w:sz w:val="20"/>
                <w:lang w:val="en-US" w:eastAsia="en-AU"/>
              </w:rPr>
              <w:t>AND</w:t>
            </w:r>
          </w:p>
          <w:p w:rsidR="003F0248" w:rsidRPr="00C57999" w:rsidRDefault="003F0248" w:rsidP="003F0248">
            <w:pPr>
              <w:widowControl/>
              <w:jc w:val="left"/>
              <w:rPr>
                <w:rFonts w:ascii="Arial Narrow" w:hAnsi="Arial Narrow"/>
                <w:strike/>
                <w:snapToGrid/>
                <w:sz w:val="20"/>
                <w:lang w:eastAsia="en-AU"/>
              </w:rPr>
            </w:pPr>
          </w:p>
          <w:p w:rsidR="003F0248" w:rsidRPr="00C57999" w:rsidRDefault="003F0248" w:rsidP="003F0248">
            <w:pPr>
              <w:widowControl/>
              <w:jc w:val="left"/>
              <w:rPr>
                <w:rFonts w:ascii="Arial Narrow" w:hAnsi="Arial Narrow"/>
                <w:strike/>
                <w:snapToGrid/>
                <w:sz w:val="20"/>
                <w:lang w:eastAsia="en-AU"/>
              </w:rPr>
            </w:pPr>
            <w:r w:rsidRPr="00C57999">
              <w:rPr>
                <w:rFonts w:ascii="Arial Narrow" w:hAnsi="Arial Narrow"/>
                <w:strike/>
                <w:snapToGrid/>
                <w:sz w:val="20"/>
                <w:lang w:eastAsia="en-AU"/>
              </w:rPr>
              <w:t>A maximum of 2 repeats may be prescribed.</w:t>
            </w:r>
          </w:p>
          <w:p w:rsidR="003F0248" w:rsidRPr="00C57999" w:rsidRDefault="003F0248" w:rsidP="003F0248">
            <w:pPr>
              <w:widowControl/>
              <w:jc w:val="left"/>
              <w:rPr>
                <w:rFonts w:ascii="Arial Narrow" w:hAnsi="Arial Narrow"/>
                <w:snapToGrid/>
                <w:sz w:val="20"/>
                <w:lang w:eastAsia="en-AU"/>
              </w:rPr>
            </w:pPr>
            <w:r w:rsidRPr="00C57999">
              <w:rPr>
                <w:rFonts w:ascii="Arial Narrow" w:hAnsi="Arial Narrow"/>
                <w:i/>
                <w:snapToGrid/>
                <w:color w:val="222222"/>
                <w:sz w:val="20"/>
                <w:lang w:eastAsia="en-AU"/>
              </w:rPr>
              <w:t xml:space="preserve">Patients who have received prior treatment with an </w:t>
            </w:r>
            <w:r w:rsidRPr="00C57999">
              <w:rPr>
                <w:rFonts w:ascii="Arial Narrow" w:hAnsi="Arial Narrow"/>
                <w:i/>
                <w:snapToGrid/>
                <w:sz w:val="20"/>
                <w:lang w:eastAsia="en-AU"/>
              </w:rPr>
              <w:t>oral direct acting antiviral agent</w:t>
            </w:r>
            <w:r w:rsidRPr="00C57999">
              <w:rPr>
                <w:rFonts w:ascii="Arial Narrow" w:hAnsi="Arial Narrow"/>
                <w:i/>
                <w:snapToGrid/>
                <w:color w:val="222222"/>
                <w:sz w:val="20"/>
                <w:lang w:eastAsia="en-AU"/>
              </w:rPr>
              <w:t xml:space="preserve"> are not eligible to receive PBS-subsidised </w:t>
            </w:r>
            <w:proofErr w:type="spellStart"/>
            <w:r w:rsidRPr="00C57999">
              <w:rPr>
                <w:rFonts w:ascii="Arial Narrow" w:hAnsi="Arial Narrow"/>
                <w:i/>
                <w:snapToGrid/>
                <w:color w:val="222222"/>
                <w:sz w:val="20"/>
                <w:lang w:eastAsia="en-AU"/>
              </w:rPr>
              <w:t>ledipasvir</w:t>
            </w:r>
            <w:proofErr w:type="spellEnd"/>
            <w:r w:rsidRPr="00C57999">
              <w:rPr>
                <w:rFonts w:ascii="Arial Narrow" w:hAnsi="Arial Narrow"/>
                <w:i/>
                <w:snapToGrid/>
                <w:color w:val="222222"/>
                <w:sz w:val="20"/>
                <w:lang w:eastAsia="en-AU"/>
              </w:rPr>
              <w:t xml:space="preserve">/sofosbuvir, except where the patient has developed </w:t>
            </w:r>
            <w:proofErr w:type="gramStart"/>
            <w:r w:rsidRPr="00C57999">
              <w:rPr>
                <w:rFonts w:ascii="Arial Narrow" w:hAnsi="Arial Narrow"/>
                <w:i/>
                <w:snapToGrid/>
                <w:color w:val="222222"/>
                <w:sz w:val="20"/>
                <w:lang w:eastAsia="en-AU"/>
              </w:rPr>
              <w:t>an intolerance</w:t>
            </w:r>
            <w:proofErr w:type="gramEnd"/>
            <w:r w:rsidRPr="00C57999">
              <w:rPr>
                <w:rFonts w:ascii="Arial Narrow" w:hAnsi="Arial Narrow"/>
                <w:i/>
                <w:snapToGrid/>
                <w:color w:val="222222"/>
                <w:sz w:val="20"/>
                <w:lang w:eastAsia="en-AU"/>
              </w:rPr>
              <w:t xml:space="preserve"> to the other oral direct acting antiviral agents of a severity necessitating permanent treatment withdrawal. Details of the intolerance must be documented in the patient's medical records.</w:t>
            </w:r>
          </w:p>
        </w:tc>
      </w:tr>
      <w:tr w:rsidR="003F0248" w:rsidRPr="00C57999" w:rsidTr="003F0248">
        <w:trPr>
          <w:cantSplit/>
          <w:trHeight w:val="360"/>
        </w:trPr>
        <w:tc>
          <w:tcPr>
            <w:tcW w:w="2835" w:type="dxa"/>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rPr>
                <w:rFonts w:ascii="Arial Narrow" w:hAnsi="Arial Narrow"/>
                <w:b/>
                <w:snapToGrid/>
                <w:sz w:val="20"/>
                <w:lang w:eastAsia="en-AU"/>
              </w:rPr>
            </w:pPr>
            <w:r w:rsidRPr="00C57999">
              <w:rPr>
                <w:rFonts w:ascii="Arial Narrow" w:hAnsi="Arial Narrow"/>
                <w:b/>
                <w:snapToGrid/>
                <w:sz w:val="20"/>
                <w:lang w:eastAsia="en-AU"/>
              </w:rPr>
              <w:t>Administrative Advice</w:t>
            </w:r>
          </w:p>
          <w:p w:rsidR="003F0248" w:rsidRPr="00C57999" w:rsidRDefault="003F0248" w:rsidP="003F0248">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i/>
                <w:snapToGrid/>
                <w:sz w:val="20"/>
                <w:szCs w:val="22"/>
                <w:lang w:eastAsia="en-AU"/>
              </w:rPr>
            </w:pPr>
            <w:r w:rsidRPr="00C57999">
              <w:rPr>
                <w:rFonts w:ascii="Arial Narrow" w:hAnsi="Arial Narrow"/>
                <w:i/>
                <w:snapToGrid/>
                <w:sz w:val="20"/>
                <w:szCs w:val="22"/>
                <w:lang w:eastAsia="en-AU"/>
              </w:rPr>
              <w:t>No increase in the maximum quantity or number of units may be authorised</w:t>
            </w:r>
          </w:p>
          <w:p w:rsidR="003F0248" w:rsidRPr="00C57999" w:rsidRDefault="003F0248" w:rsidP="003F0248">
            <w:pPr>
              <w:widowControl/>
              <w:jc w:val="left"/>
              <w:rPr>
                <w:rFonts w:ascii="Arial Narrow" w:hAnsi="Arial Narrow"/>
                <w:snapToGrid/>
                <w:sz w:val="20"/>
                <w:szCs w:val="22"/>
                <w:lang w:eastAsia="en-AU"/>
              </w:rPr>
            </w:pPr>
          </w:p>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i/>
                <w:snapToGrid/>
                <w:sz w:val="20"/>
                <w:szCs w:val="22"/>
                <w:lang w:eastAsia="en-AU"/>
              </w:rPr>
            </w:pPr>
            <w:r w:rsidRPr="00C57999">
              <w:rPr>
                <w:rFonts w:ascii="Arial Narrow" w:hAnsi="Arial Narrow"/>
                <w:i/>
                <w:snapToGrid/>
                <w:sz w:val="20"/>
                <w:szCs w:val="22"/>
                <w:lang w:eastAsia="en-AU"/>
              </w:rPr>
              <w:t>No increase in the maximum number of repeats may be authorised</w:t>
            </w:r>
          </w:p>
          <w:p w:rsidR="003F0248" w:rsidRPr="00C57999" w:rsidRDefault="003F0248" w:rsidP="003F0248">
            <w:pPr>
              <w:widowControl/>
              <w:jc w:val="left"/>
              <w:rPr>
                <w:rFonts w:ascii="Arial Narrow" w:hAnsi="Arial Narrow"/>
                <w:snapToGrid/>
                <w:sz w:val="20"/>
                <w:szCs w:val="22"/>
                <w:lang w:eastAsia="en-AU"/>
              </w:rPr>
            </w:pPr>
          </w:p>
          <w:p w:rsidR="003F0248" w:rsidRPr="00C57999" w:rsidRDefault="003F0248" w:rsidP="003F0248">
            <w:pPr>
              <w:widowControl/>
              <w:jc w:val="left"/>
              <w:rPr>
                <w:rFonts w:ascii="Arial Narrow" w:hAnsi="Arial Narrow"/>
                <w:snapToGrid/>
                <w:sz w:val="20"/>
                <w:szCs w:val="22"/>
                <w:u w:val="single"/>
                <w:lang w:eastAsia="en-AU"/>
              </w:rPr>
            </w:pPr>
            <w:r w:rsidRPr="00C57999">
              <w:rPr>
                <w:rFonts w:ascii="Arial Narrow" w:hAnsi="Arial Narrow"/>
                <w:snapToGrid/>
                <w:sz w:val="20"/>
                <w:szCs w:val="22"/>
                <w:u w:val="single"/>
                <w:lang w:eastAsia="en-AU"/>
              </w:rPr>
              <w:t>Note</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Treatment centres are required to have access to the following appropriate specialist facilities for the provision of clinical support services for hepatitis C:</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 xml:space="preserve">(a) a nurse </w:t>
            </w:r>
            <w:r w:rsidR="000D2CB7" w:rsidRPr="00C57999">
              <w:rPr>
                <w:rFonts w:ascii="Arial Narrow" w:hAnsi="Arial Narrow"/>
                <w:snapToGrid/>
                <w:sz w:val="20"/>
                <w:szCs w:val="22"/>
                <w:lang w:eastAsia="en-AU"/>
              </w:rPr>
              <w:t>educator</w:t>
            </w:r>
            <w:r w:rsidRPr="00C57999">
              <w:rPr>
                <w:rFonts w:ascii="Arial Narrow" w:hAnsi="Arial Narrow"/>
                <w:snapToGrid/>
                <w:sz w:val="20"/>
                <w:szCs w:val="22"/>
                <w:lang w:eastAsia="en-AU"/>
              </w:rPr>
              <w:t>/counsellor for patients; and</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(b) 24-hour access by patients to medical advice; and</w:t>
            </w:r>
          </w:p>
          <w:p w:rsidR="003F0248" w:rsidRPr="00C57999" w:rsidRDefault="003F0248" w:rsidP="003F0248">
            <w:pPr>
              <w:widowControl/>
              <w:jc w:val="left"/>
              <w:rPr>
                <w:rFonts w:ascii="Arial Narrow" w:hAnsi="Arial Narrow"/>
                <w:snapToGrid/>
                <w:sz w:val="20"/>
                <w:szCs w:val="22"/>
                <w:lang w:eastAsia="en-AU"/>
              </w:rPr>
            </w:pPr>
            <w:r w:rsidRPr="00C57999">
              <w:rPr>
                <w:rFonts w:ascii="Arial Narrow" w:hAnsi="Arial Narrow"/>
                <w:snapToGrid/>
                <w:sz w:val="20"/>
                <w:szCs w:val="22"/>
                <w:lang w:eastAsia="en-AU"/>
              </w:rPr>
              <w:t>(c) an established liver clinic</w:t>
            </w:r>
          </w:p>
          <w:p w:rsidR="003F0248" w:rsidRPr="00C57999" w:rsidRDefault="003F0248" w:rsidP="003F0248">
            <w:pPr>
              <w:widowControl/>
              <w:jc w:val="left"/>
              <w:rPr>
                <w:rFonts w:ascii="Arial Narrow" w:hAnsi="Arial Narrow"/>
                <w:snapToGrid/>
                <w:sz w:val="20"/>
                <w:lang w:eastAsia="en-AU"/>
              </w:rPr>
            </w:pPr>
          </w:p>
        </w:tc>
      </w:tr>
    </w:tbl>
    <w:p w:rsidR="003F0248" w:rsidRPr="00C57999" w:rsidRDefault="003F0248" w:rsidP="003F0248">
      <w:pPr>
        <w:widowControl/>
        <w:rPr>
          <w:snapToGrid/>
          <w:szCs w:val="22"/>
          <w:lang w:eastAsia="en-AU"/>
        </w:rPr>
      </w:pPr>
    </w:p>
    <w:p w:rsidR="003F0248" w:rsidRPr="00535051" w:rsidRDefault="003F0248" w:rsidP="003F0248">
      <w:pPr>
        <w:pStyle w:val="ListParagraph"/>
        <w:widowControl/>
        <w:rPr>
          <w:szCs w:val="22"/>
        </w:rPr>
      </w:pPr>
    </w:p>
    <w:p w:rsidR="00EE5AF1" w:rsidRDefault="00EE5AF1" w:rsidP="00B87E17">
      <w:pPr>
        <w:pStyle w:val="ListParagraph"/>
        <w:widowControl/>
        <w:numPr>
          <w:ilvl w:val="1"/>
          <w:numId w:val="9"/>
        </w:numPr>
        <w:rPr>
          <w:i/>
        </w:rPr>
      </w:pPr>
      <w:r w:rsidRPr="00E47E6E">
        <w:t xml:space="preserve">The proposed PBS listings were in line with the treatment durations and dosing proposed in the draft Product Information. </w:t>
      </w:r>
      <w:r w:rsidR="00BE2F44" w:rsidRPr="00E47E6E">
        <w:t>The listing was not restricted to patients with compensated liver disease. No evidence for the effectiveness or cost-effectiveness of LDV/SOF in patients with decompensated liver disease, hepatocellular carcinoma or who are awaiting a liver transplant has been provided in the submission</w:t>
      </w:r>
      <w:r w:rsidR="00BE2F44" w:rsidRPr="002653CE">
        <w:rPr>
          <w:i/>
        </w:rPr>
        <w:t xml:space="preserve">. </w:t>
      </w:r>
      <w:r w:rsidR="00874630" w:rsidRPr="00A66F53">
        <w:t>The ESC noted that the submission proposed LDV/SOF 8 Week regimen for treatment-naïve non-cirrhotic patients and LDV/SOF 12 w</w:t>
      </w:r>
      <w:r w:rsidR="009E0476" w:rsidRPr="00A66F53">
        <w:t>eek regimen for treatment-naïve cirrhotic</w:t>
      </w:r>
      <w:r w:rsidR="00874630" w:rsidRPr="00A66F53">
        <w:t xml:space="preserve"> and treatment experienced </w:t>
      </w:r>
      <w:r w:rsidR="006B2FCA" w:rsidRPr="00A66F53">
        <w:t xml:space="preserve">non-cirrhotic and cirrhotic </w:t>
      </w:r>
      <w:r w:rsidR="00874630" w:rsidRPr="00A66F53">
        <w:t xml:space="preserve">patients. </w:t>
      </w:r>
      <w:r w:rsidR="009E0476" w:rsidRPr="00A66F53">
        <w:t>The ESC considered that there is a risk of an extension of treatment from 8 weeks to 12 weeks</w:t>
      </w:r>
      <w:r w:rsidR="006B2FCA" w:rsidRPr="00A66F53">
        <w:t xml:space="preserve"> among treatment naïve non-cirrhotic patients (the largest treatment group)</w:t>
      </w:r>
      <w:r w:rsidR="009E0476" w:rsidRPr="00A66F53">
        <w:t xml:space="preserve">. </w:t>
      </w:r>
      <w:r w:rsidR="00026CAB" w:rsidRPr="00A66F53">
        <w:t xml:space="preserve">As the submission was made under the TGA/PBAC Parallel </w:t>
      </w:r>
      <w:r w:rsidR="00026CAB" w:rsidRPr="00A66F53">
        <w:lastRenderedPageBreak/>
        <w:t>Process</w:t>
      </w:r>
      <w:r w:rsidR="009E0476" w:rsidRPr="00A66F53">
        <w:t xml:space="preserve"> and the TGA indication is not known</w:t>
      </w:r>
      <w:r w:rsidR="00026CAB" w:rsidRPr="00A66F53">
        <w:t xml:space="preserve">, the ESC noted that Food and Drug Administration (FDA) have recommended LDV/SOF regimens that differ </w:t>
      </w:r>
      <w:r w:rsidR="00A0531B" w:rsidRPr="00A66F53">
        <w:t>from</w:t>
      </w:r>
      <w:r w:rsidR="00026CAB" w:rsidRPr="00A66F53">
        <w:t xml:space="preserve"> the proposed listing</w:t>
      </w:r>
      <w:r w:rsidR="00A0531B" w:rsidRPr="00A66F53">
        <w:t>, specifically</w:t>
      </w:r>
      <w:r w:rsidR="00026CAB" w:rsidRPr="00A66F53">
        <w:t xml:space="preserve"> </w:t>
      </w:r>
      <w:r w:rsidR="00A0531B" w:rsidRPr="00A66F53">
        <w:t>t</w:t>
      </w:r>
      <w:r w:rsidR="00026CAB" w:rsidRPr="00A66F53">
        <w:t xml:space="preserve">reatment-naïve non-cirrhotic patients treated with LDV/SOF 12 weeks and </w:t>
      </w:r>
      <w:r w:rsidR="00C40DF3">
        <w:t>t</w:t>
      </w:r>
      <w:r w:rsidR="00026CAB" w:rsidRPr="00A66F53">
        <w:t xml:space="preserve">reatment-experienced cirrhotic patients treated with LDV/SOF 24 weeks. </w:t>
      </w:r>
      <w:r w:rsidR="0036716E" w:rsidRPr="00A66F53">
        <w:t>In addition, the ESC noted that there is evidence of the use of ribavirin with LDV/SOF</w:t>
      </w:r>
      <w:r w:rsidR="008317FF" w:rsidRPr="00A66F53">
        <w:rPr>
          <w:rStyle w:val="FootnoteReference"/>
        </w:rPr>
        <w:footnoteReference w:id="2"/>
      </w:r>
      <w:r w:rsidR="008317FF" w:rsidRPr="00A66F53">
        <w:t>.</w:t>
      </w:r>
      <w:r w:rsidR="008317FF">
        <w:rPr>
          <w:i/>
        </w:rPr>
        <w:t xml:space="preserve"> </w:t>
      </w:r>
      <w:r w:rsidR="008C221D">
        <w:rPr>
          <w:i/>
        </w:rPr>
        <w:t xml:space="preserve"> </w:t>
      </w:r>
    </w:p>
    <w:p w:rsidR="008C221D" w:rsidRDefault="008C221D" w:rsidP="008C221D">
      <w:pPr>
        <w:widowControl/>
        <w:rPr>
          <w:i/>
        </w:rPr>
      </w:pPr>
    </w:p>
    <w:p w:rsidR="008C221D" w:rsidRDefault="008C221D" w:rsidP="00B87E17">
      <w:pPr>
        <w:pStyle w:val="ListParagraph"/>
        <w:widowControl/>
        <w:numPr>
          <w:ilvl w:val="1"/>
          <w:numId w:val="9"/>
        </w:numPr>
      </w:pPr>
      <w:r>
        <w:t>The PBAC noted that pre-PBAC response stated ‘the treatment duration outlined in the Clinical Evaluation Report received from the TGA, which is more informative of the Australian treatment context and PBS-listing includes</w:t>
      </w:r>
    </w:p>
    <w:p w:rsidR="008C221D" w:rsidRDefault="008C221D" w:rsidP="008C221D">
      <w:pPr>
        <w:widowControl/>
        <w:ind w:left="993" w:hanging="142"/>
      </w:pPr>
      <w:r>
        <w:t>•</w:t>
      </w:r>
      <w:r>
        <w:tab/>
        <w:t>For treatment-naïve patients without cirrhosis the recommended duration of treatment with LDV/SOF is 8 weeks.</w:t>
      </w:r>
    </w:p>
    <w:p w:rsidR="008C221D" w:rsidRDefault="008C221D" w:rsidP="008C221D">
      <w:pPr>
        <w:widowControl/>
        <w:ind w:left="993" w:hanging="142"/>
      </w:pPr>
      <w:r>
        <w:t>•</w:t>
      </w:r>
      <w:r>
        <w:tab/>
        <w:t>For treatment-naïve patients with cirrhosis the recommended duration of treatment with LDV/SOF is 12 weeks.</w:t>
      </w:r>
    </w:p>
    <w:p w:rsidR="008C221D" w:rsidRPr="008C221D" w:rsidRDefault="008C221D" w:rsidP="008C221D">
      <w:pPr>
        <w:widowControl/>
        <w:ind w:left="993" w:hanging="142"/>
      </w:pPr>
      <w:proofErr w:type="gramStart"/>
      <w:r>
        <w:t>•</w:t>
      </w:r>
      <w:r>
        <w:tab/>
        <w:t>For treatment experienced patients with or without cirrhosis the recommended duration of treatment with LDV/SOF is 24 weeks.’</w:t>
      </w:r>
      <w:proofErr w:type="gramEnd"/>
    </w:p>
    <w:p w:rsidR="008317FF" w:rsidRPr="002653CE" w:rsidRDefault="008317FF" w:rsidP="00EE5AF1">
      <w:pPr>
        <w:pStyle w:val="ListParagraph"/>
        <w:widowControl/>
        <w:rPr>
          <w:i/>
          <w:szCs w:val="22"/>
        </w:rPr>
      </w:pPr>
    </w:p>
    <w:p w:rsidR="00282221" w:rsidRPr="00A66F53" w:rsidRDefault="00EE5AF1" w:rsidP="00B87E17">
      <w:pPr>
        <w:pStyle w:val="ListParagraph"/>
        <w:widowControl/>
        <w:numPr>
          <w:ilvl w:val="1"/>
          <w:numId w:val="9"/>
        </w:numPr>
        <w:rPr>
          <w:szCs w:val="22"/>
        </w:rPr>
      </w:pPr>
      <w:r w:rsidRPr="00282221">
        <w:rPr>
          <w:szCs w:val="22"/>
        </w:rPr>
        <w:t xml:space="preserve">The proposed PBS listings delineated treatment naïve from treatment experienced on the basis of having received treatment with an interferon based regimen.  Theoretically, </w:t>
      </w:r>
      <w:r w:rsidR="00BE2F44" w:rsidRPr="00282221">
        <w:rPr>
          <w:szCs w:val="22"/>
        </w:rPr>
        <w:t xml:space="preserve">the </w:t>
      </w:r>
      <w:r w:rsidR="00FF385C" w:rsidRPr="00282221">
        <w:rPr>
          <w:szCs w:val="22"/>
        </w:rPr>
        <w:t xml:space="preserve">listing </w:t>
      </w:r>
      <w:r w:rsidR="00BE2F44" w:rsidRPr="00282221">
        <w:rPr>
          <w:szCs w:val="22"/>
        </w:rPr>
        <w:t xml:space="preserve">permitted </w:t>
      </w:r>
      <w:r w:rsidRPr="00282221">
        <w:rPr>
          <w:szCs w:val="22"/>
        </w:rPr>
        <w:t xml:space="preserve">patients who </w:t>
      </w:r>
      <w:r w:rsidR="00BE2F44" w:rsidRPr="00282221">
        <w:rPr>
          <w:szCs w:val="22"/>
        </w:rPr>
        <w:t xml:space="preserve">have </w:t>
      </w:r>
      <w:r w:rsidRPr="00282221">
        <w:rPr>
          <w:szCs w:val="22"/>
        </w:rPr>
        <w:t xml:space="preserve">failed a LDV/SOF treatment (or other interferon free treatment regimen) </w:t>
      </w:r>
      <w:r w:rsidR="00FF385C" w:rsidRPr="00282221">
        <w:rPr>
          <w:szCs w:val="22"/>
        </w:rPr>
        <w:t xml:space="preserve">to </w:t>
      </w:r>
      <w:r w:rsidRPr="00282221">
        <w:rPr>
          <w:szCs w:val="22"/>
        </w:rPr>
        <w:t xml:space="preserve">remain eligible for treatment with LDV/SOF.  For the proposed treatment naïve listing, </w:t>
      </w:r>
      <w:r w:rsidR="00FF385C" w:rsidRPr="00282221">
        <w:rPr>
          <w:szCs w:val="22"/>
        </w:rPr>
        <w:t xml:space="preserve">the definition of </w:t>
      </w:r>
      <w:r w:rsidRPr="00282221">
        <w:rPr>
          <w:szCs w:val="22"/>
        </w:rPr>
        <w:t xml:space="preserve">prior treatment </w:t>
      </w:r>
      <w:r w:rsidR="00134998">
        <w:rPr>
          <w:szCs w:val="22"/>
        </w:rPr>
        <w:t>could be</w:t>
      </w:r>
      <w:r w:rsidRPr="00282221">
        <w:rPr>
          <w:szCs w:val="22"/>
        </w:rPr>
        <w:t xml:space="preserve"> expanded to include the use of any direct acting antiviral (</w:t>
      </w:r>
      <w:r w:rsidR="000D2CB7" w:rsidRPr="00282221">
        <w:rPr>
          <w:szCs w:val="22"/>
        </w:rPr>
        <w:t>e.g.</w:t>
      </w:r>
      <w:r w:rsidR="00A12E63" w:rsidRPr="00282221">
        <w:rPr>
          <w:szCs w:val="22"/>
        </w:rPr>
        <w:t xml:space="preserve"> </w:t>
      </w:r>
      <w:r w:rsidRPr="00282221">
        <w:rPr>
          <w:szCs w:val="22"/>
        </w:rPr>
        <w:t xml:space="preserve">LDV/SOF or SOF).  For the proposed treatment experienced listing, no evidence </w:t>
      </w:r>
      <w:r w:rsidR="00FF385C" w:rsidRPr="00282221">
        <w:rPr>
          <w:szCs w:val="22"/>
        </w:rPr>
        <w:t>was</w:t>
      </w:r>
      <w:r w:rsidRPr="00282221">
        <w:rPr>
          <w:szCs w:val="22"/>
        </w:rPr>
        <w:t xml:space="preserve"> provided to support repeated use of sofosbuvir containing regimens.  The treatment-experienced patients in the ION-2 trial were those who had failed </w:t>
      </w:r>
      <w:proofErr w:type="spellStart"/>
      <w:r w:rsidR="00A12E63" w:rsidRPr="00282221">
        <w:rPr>
          <w:szCs w:val="22"/>
        </w:rPr>
        <w:t>peginterferon</w:t>
      </w:r>
      <w:proofErr w:type="spellEnd"/>
      <w:r w:rsidR="00A12E63" w:rsidRPr="00282221">
        <w:rPr>
          <w:szCs w:val="22"/>
        </w:rPr>
        <w:t xml:space="preserve"> and ribavirin (</w:t>
      </w:r>
      <w:r w:rsidRPr="00282221">
        <w:rPr>
          <w:szCs w:val="22"/>
        </w:rPr>
        <w:t>PR</w:t>
      </w:r>
      <w:r w:rsidR="00A12E63" w:rsidRPr="00282221">
        <w:rPr>
          <w:szCs w:val="22"/>
        </w:rPr>
        <w:t>)</w:t>
      </w:r>
      <w:r w:rsidRPr="00282221">
        <w:rPr>
          <w:szCs w:val="22"/>
        </w:rPr>
        <w:t xml:space="preserve"> and protease inhibitors.</w:t>
      </w:r>
      <w:r w:rsidR="00EE1284" w:rsidRPr="00282221">
        <w:rPr>
          <w:szCs w:val="22"/>
        </w:rPr>
        <w:t xml:space="preserve"> </w:t>
      </w:r>
      <w:r w:rsidR="00EE1284" w:rsidRPr="00A66F53">
        <w:rPr>
          <w:szCs w:val="22"/>
        </w:rPr>
        <w:t xml:space="preserve">With the currently available evidence, the ESC agreed that the prior use of sofosbuvir or oral direct acting antiviral agents </w:t>
      </w:r>
      <w:r w:rsidR="00134998">
        <w:rPr>
          <w:szCs w:val="22"/>
        </w:rPr>
        <w:t>c</w:t>
      </w:r>
      <w:r w:rsidR="00EE1284" w:rsidRPr="00A66F53">
        <w:rPr>
          <w:szCs w:val="22"/>
        </w:rPr>
        <w:t>ould be excluded from the listing.</w:t>
      </w:r>
    </w:p>
    <w:p w:rsidR="00282221" w:rsidRPr="00282221" w:rsidRDefault="00282221" w:rsidP="00282221">
      <w:pPr>
        <w:pStyle w:val="ListParagraph"/>
        <w:widowControl/>
        <w:rPr>
          <w:szCs w:val="22"/>
        </w:rPr>
      </w:pPr>
    </w:p>
    <w:p w:rsidR="00282221" w:rsidRPr="007867E5" w:rsidRDefault="00EE5AF1" w:rsidP="00B87E17">
      <w:pPr>
        <w:pStyle w:val="ListParagraph"/>
        <w:widowControl/>
        <w:numPr>
          <w:ilvl w:val="1"/>
          <w:numId w:val="9"/>
        </w:numPr>
        <w:rPr>
          <w:szCs w:val="22"/>
        </w:rPr>
      </w:pPr>
      <w:r w:rsidRPr="00E47E6E">
        <w:t xml:space="preserve">The maximum number of repeats in the proposed listing is 2 (permitting 12 weeks of treatment).  The treatment criteria restricted non-cirrhotic, treatment naïve patients to 8 weeks of treatment.  Separate listings for cirrhotic and non-cirrhotic patients may be more appropriate to ensure non-cirrhotic patients only receive 8 weeks of treatment.  Some prescribers may treat non-cirrhotic patients for 12 weeks rather than 8 weeks given the </w:t>
      </w:r>
      <w:r w:rsidR="000B5A25" w:rsidRPr="00E47E6E">
        <w:t>US</w:t>
      </w:r>
      <w:r w:rsidRPr="00E47E6E">
        <w:t xml:space="preserve"> Food and Drug Administration (FDA) recommend</w:t>
      </w:r>
      <w:r w:rsidR="00FF385C" w:rsidRPr="00E47E6E">
        <w:t>ing</w:t>
      </w:r>
      <w:r w:rsidRPr="00E47E6E">
        <w:t xml:space="preserve"> the 12 week treatment duration, citing that the observed relapse rate was greater in the 8 week treatment arm than the 12 week treatment arm.</w:t>
      </w:r>
    </w:p>
    <w:p w:rsidR="007867E5" w:rsidRPr="007867E5" w:rsidRDefault="007867E5" w:rsidP="007867E5">
      <w:pPr>
        <w:pStyle w:val="ListParagraph"/>
        <w:rPr>
          <w:szCs w:val="22"/>
        </w:rPr>
      </w:pPr>
    </w:p>
    <w:p w:rsidR="00527193" w:rsidRDefault="00527193" w:rsidP="00527193">
      <w:pPr>
        <w:pStyle w:val="ListParagraph"/>
        <w:widowControl/>
        <w:numPr>
          <w:ilvl w:val="1"/>
          <w:numId w:val="9"/>
        </w:numPr>
        <w:ind w:left="720"/>
        <w:rPr>
          <w:bCs/>
          <w:szCs w:val="22"/>
        </w:rPr>
      </w:pPr>
      <w:r w:rsidRPr="00667E91">
        <w:rPr>
          <w:bCs/>
          <w:szCs w:val="22"/>
        </w:rPr>
        <w:t>The PBAC recalled the discussion at the Stakeholder meeting (</w:t>
      </w:r>
      <w:r w:rsidRPr="00DF7455">
        <w:rPr>
          <w:bCs/>
          <w:szCs w:val="22"/>
        </w:rPr>
        <w:t>New oral antivirals for the Treatment of Hepatitis C</w:t>
      </w:r>
      <w:r>
        <w:rPr>
          <w:bCs/>
          <w:szCs w:val="22"/>
        </w:rPr>
        <w:t xml:space="preserve">, </w:t>
      </w:r>
      <w:r w:rsidRPr="00667E91">
        <w:rPr>
          <w:bCs/>
          <w:szCs w:val="22"/>
        </w:rPr>
        <w:t>February 2014) about the setting patients should be treated in. The PBAC considered that it was appropriate that the new all oral treatment</w:t>
      </w:r>
      <w:r>
        <w:rPr>
          <w:bCs/>
          <w:szCs w:val="22"/>
        </w:rPr>
        <w:t xml:space="preserve"> regimens </w:t>
      </w:r>
      <w:r w:rsidRPr="00667E91">
        <w:rPr>
          <w:bCs/>
          <w:szCs w:val="22"/>
        </w:rPr>
        <w:t>be listed in the General Schedule, to facilitated the longer term objectives for access to treatment, increase treatment rates and outcomes with a view to treat al</w:t>
      </w:r>
      <w:r>
        <w:rPr>
          <w:bCs/>
          <w:szCs w:val="22"/>
        </w:rPr>
        <w:t>l patients with CHC over time.</w:t>
      </w:r>
    </w:p>
    <w:p w:rsidR="006A51B8" w:rsidRPr="00667E91" w:rsidRDefault="006A51B8" w:rsidP="006A51B8">
      <w:pPr>
        <w:pStyle w:val="ListParagraph"/>
        <w:rPr>
          <w:bCs/>
          <w:szCs w:val="22"/>
        </w:rPr>
      </w:pPr>
    </w:p>
    <w:p w:rsidR="006A51B8" w:rsidRDefault="006A51B8" w:rsidP="00B87E17">
      <w:pPr>
        <w:pStyle w:val="ListParagraph"/>
        <w:widowControl/>
        <w:numPr>
          <w:ilvl w:val="1"/>
          <w:numId w:val="9"/>
        </w:numPr>
        <w:ind w:left="720"/>
        <w:rPr>
          <w:bCs/>
          <w:szCs w:val="22"/>
        </w:rPr>
      </w:pPr>
      <w:r w:rsidRPr="00667E91">
        <w:rPr>
          <w:bCs/>
          <w:szCs w:val="22"/>
        </w:rPr>
        <w:t xml:space="preserve">General schedule listing is in line with initiatives such as The Fourth National Hepatitis C Strategy 2014-2017 and NSW Hepatitis C Strategy 2014-2020 to support a greater role of primary care in the prescribing and monitoring of the newer generation of antivirals, that have reduced side effects and more simplified dosing schedules. The PBAC noted that treatment of patients would initially remain in tertiary settings but expand as clinician experience grows. </w:t>
      </w:r>
    </w:p>
    <w:p w:rsidR="006A51B8" w:rsidRPr="00667E91" w:rsidRDefault="006A51B8" w:rsidP="006A51B8">
      <w:pPr>
        <w:pStyle w:val="ListParagraph"/>
        <w:rPr>
          <w:bCs/>
          <w:szCs w:val="22"/>
        </w:rPr>
      </w:pPr>
    </w:p>
    <w:p w:rsidR="006A51B8" w:rsidRDefault="006A51B8" w:rsidP="00B87E17">
      <w:pPr>
        <w:pStyle w:val="ListParagraph"/>
        <w:widowControl/>
        <w:numPr>
          <w:ilvl w:val="1"/>
          <w:numId w:val="9"/>
        </w:numPr>
        <w:ind w:left="720"/>
        <w:rPr>
          <w:bCs/>
          <w:szCs w:val="22"/>
        </w:rPr>
      </w:pPr>
      <w:r w:rsidRPr="00667E91">
        <w:rPr>
          <w:bCs/>
          <w:szCs w:val="22"/>
        </w:rPr>
        <w:t xml:space="preserve">The PBAC considered that that the Department in consultation with clinical experts should explore if primary care prescribing should be available to practitioners who have gained accreditation (as occurs currently for Section 100 prescribing) or in a Share Care Model (namely, in consultation with a clinician with experience of prescribing treatment for CHC, such as a </w:t>
      </w:r>
      <w:proofErr w:type="spellStart"/>
      <w:r w:rsidRPr="00667E91">
        <w:rPr>
          <w:bCs/>
          <w:szCs w:val="22"/>
        </w:rPr>
        <w:t>hepatologist</w:t>
      </w:r>
      <w:proofErr w:type="spellEnd"/>
      <w:r w:rsidRPr="00667E91">
        <w:rPr>
          <w:bCs/>
          <w:szCs w:val="22"/>
        </w:rPr>
        <w:t xml:space="preserve"> or infectious disease physician). The PBAC considered that an Authority </w:t>
      </w:r>
      <w:proofErr w:type="gramStart"/>
      <w:r w:rsidRPr="00667E91">
        <w:rPr>
          <w:bCs/>
          <w:szCs w:val="22"/>
        </w:rPr>
        <w:t>Required</w:t>
      </w:r>
      <w:proofErr w:type="gramEnd"/>
      <w:r w:rsidRPr="00667E91">
        <w:rPr>
          <w:bCs/>
          <w:szCs w:val="22"/>
        </w:rPr>
        <w:t xml:space="preserve"> listing was appropriate, but whether this Authority is written, telephone or streamlined remains to be finalised.</w:t>
      </w:r>
      <w:r w:rsidR="008B4B79">
        <w:rPr>
          <w:bCs/>
          <w:szCs w:val="22"/>
        </w:rPr>
        <w:t xml:space="preserve"> The conditions of the listing would also depend on the final registered Product Information. </w:t>
      </w:r>
    </w:p>
    <w:p w:rsidR="00282221" w:rsidRPr="00282221" w:rsidRDefault="00282221" w:rsidP="00282221">
      <w:pPr>
        <w:pStyle w:val="ListParagraph"/>
        <w:rPr>
          <w:szCs w:val="22"/>
        </w:rPr>
      </w:pPr>
    </w:p>
    <w:p w:rsidR="00EE5AF1" w:rsidRPr="00282221" w:rsidRDefault="00EE5AF1" w:rsidP="005B5E72">
      <w:pPr>
        <w:pStyle w:val="ListParagraph"/>
        <w:widowControl/>
        <w:numPr>
          <w:ilvl w:val="1"/>
          <w:numId w:val="9"/>
        </w:numPr>
        <w:ind w:left="720"/>
        <w:rPr>
          <w:szCs w:val="22"/>
        </w:rPr>
      </w:pPr>
      <w:r w:rsidRPr="00282221">
        <w:rPr>
          <w:szCs w:val="22"/>
        </w:rPr>
        <w:t xml:space="preserve">Listing was sought on </w:t>
      </w:r>
      <w:r w:rsidR="00FF385C" w:rsidRPr="00282221">
        <w:rPr>
          <w:szCs w:val="22"/>
        </w:rPr>
        <w:t xml:space="preserve">the </w:t>
      </w:r>
      <w:r w:rsidRPr="00282221">
        <w:rPr>
          <w:szCs w:val="22"/>
        </w:rPr>
        <w:t xml:space="preserve">basis </w:t>
      </w:r>
      <w:r w:rsidR="00FF385C" w:rsidRPr="00282221">
        <w:rPr>
          <w:szCs w:val="22"/>
        </w:rPr>
        <w:t xml:space="preserve">that </w:t>
      </w:r>
      <w:r w:rsidRPr="00282221">
        <w:rPr>
          <w:szCs w:val="22"/>
        </w:rPr>
        <w:t xml:space="preserve">LDV/SOF </w:t>
      </w:r>
      <w:r w:rsidR="00FF385C" w:rsidRPr="00282221">
        <w:rPr>
          <w:szCs w:val="22"/>
        </w:rPr>
        <w:t xml:space="preserve">is cost-effective </w:t>
      </w:r>
      <w:r w:rsidRPr="00282221">
        <w:rPr>
          <w:szCs w:val="22"/>
        </w:rPr>
        <w:t xml:space="preserve">compared with PR plus protease inhibitors or no </w:t>
      </w:r>
      <w:r w:rsidR="00282221">
        <w:rPr>
          <w:szCs w:val="22"/>
        </w:rPr>
        <w:t>treatment.</w:t>
      </w:r>
    </w:p>
    <w:p w:rsidR="00EE5AF1" w:rsidRDefault="00EE5AF1" w:rsidP="00EE5AF1"/>
    <w:p w:rsidR="00B8483F" w:rsidRPr="00882085" w:rsidRDefault="00B8483F" w:rsidP="00EE5AF1"/>
    <w:p w:rsidR="00EE5AF1" w:rsidRPr="00407F2D" w:rsidRDefault="00EE5AF1" w:rsidP="00EE5AF1">
      <w:pPr>
        <w:pStyle w:val="PBACHeading1"/>
      </w:pPr>
      <w:bookmarkStart w:id="7" w:name="_Toc408475524"/>
      <w:bookmarkStart w:id="8" w:name="_Toc408849504"/>
      <w:bookmarkStart w:id="9" w:name="_Toc409530200"/>
      <w:r w:rsidRPr="00407F2D">
        <w:t>Background</w:t>
      </w:r>
      <w:bookmarkEnd w:id="7"/>
      <w:bookmarkEnd w:id="8"/>
      <w:bookmarkEnd w:id="9"/>
    </w:p>
    <w:p w:rsidR="00EE5AF1" w:rsidRPr="00882085" w:rsidRDefault="00EE5AF1" w:rsidP="00EE5AF1">
      <w:pPr>
        <w:rPr>
          <w:szCs w:val="22"/>
        </w:rPr>
      </w:pPr>
    </w:p>
    <w:p w:rsidR="00EE5AF1" w:rsidRPr="0009217F" w:rsidRDefault="00B624C0" w:rsidP="00B87E17">
      <w:pPr>
        <w:pStyle w:val="ListParagraph"/>
        <w:widowControl/>
        <w:numPr>
          <w:ilvl w:val="1"/>
          <w:numId w:val="3"/>
        </w:numPr>
      </w:pPr>
      <w:r w:rsidRPr="0009217F">
        <w:rPr>
          <w:b/>
        </w:rPr>
        <w:t xml:space="preserve">TGA status at time of </w:t>
      </w:r>
      <w:r w:rsidR="00185E3F">
        <w:rPr>
          <w:b/>
        </w:rPr>
        <w:t>PBAC consideration</w:t>
      </w:r>
      <w:r w:rsidRPr="0009217F">
        <w:t xml:space="preserve">: </w:t>
      </w:r>
      <w:r w:rsidR="00EE5AF1" w:rsidRPr="0009217F">
        <w:t xml:space="preserve">The submission was made under </w:t>
      </w:r>
      <w:r w:rsidR="00FF385C" w:rsidRPr="0009217F">
        <w:t xml:space="preserve">the </w:t>
      </w:r>
      <w:r w:rsidR="00EE5AF1" w:rsidRPr="0009217F">
        <w:t xml:space="preserve">TGA/PBAC Parallel Process.  </w:t>
      </w:r>
      <w:r w:rsidR="00A66F53" w:rsidRPr="00FC207C">
        <w:t xml:space="preserve">The TGA delegate’s overview was </w:t>
      </w:r>
      <w:r w:rsidR="00A66F53">
        <w:t>provided on 3</w:t>
      </w:r>
      <w:r w:rsidR="00A66F53" w:rsidRPr="008F507E">
        <w:rPr>
          <w:vertAlign w:val="superscript"/>
        </w:rPr>
        <w:t>rd</w:t>
      </w:r>
      <w:r w:rsidR="00A66F53">
        <w:t xml:space="preserve"> March 2015</w:t>
      </w:r>
      <w:r w:rsidR="00A66F53" w:rsidRPr="00FC207C">
        <w:t>,</w:t>
      </w:r>
      <w:r w:rsidR="00185E3F">
        <w:t xml:space="preserve"> </w:t>
      </w:r>
      <w:r w:rsidR="00B82F59">
        <w:t xml:space="preserve">and the </w:t>
      </w:r>
      <w:r w:rsidR="00FF385C" w:rsidRPr="0009217F">
        <w:t xml:space="preserve">TGA </w:t>
      </w:r>
      <w:r w:rsidR="00EE5AF1" w:rsidRPr="0009217F">
        <w:t xml:space="preserve">submission is scheduled to be considered at the </w:t>
      </w:r>
      <w:r w:rsidR="00185E3F">
        <w:t>10</w:t>
      </w:r>
      <w:r w:rsidR="00185E3F" w:rsidRPr="00185E3F">
        <w:rPr>
          <w:vertAlign w:val="superscript"/>
        </w:rPr>
        <w:t>th</w:t>
      </w:r>
      <w:r w:rsidR="00185E3F">
        <w:t xml:space="preserve"> </w:t>
      </w:r>
      <w:r w:rsidR="00EE5AF1" w:rsidRPr="0009217F">
        <w:t>April 2015 meeting of the Advisory Committee on Prescription Medicines (ACPM).</w:t>
      </w:r>
      <w:r w:rsidR="00EE5AF1" w:rsidRPr="0009217F">
        <w:rPr>
          <w:szCs w:val="22"/>
        </w:rPr>
        <w:t xml:space="preserve"> </w:t>
      </w:r>
      <w:r w:rsidR="00EE1284" w:rsidRPr="0009217F">
        <w:rPr>
          <w:szCs w:val="22"/>
        </w:rPr>
        <w:t xml:space="preserve"> </w:t>
      </w:r>
      <w:r w:rsidR="00EE1284" w:rsidRPr="0009217F">
        <w:rPr>
          <w:i/>
          <w:szCs w:val="22"/>
        </w:rPr>
        <w:t xml:space="preserve"> </w:t>
      </w:r>
    </w:p>
    <w:p w:rsidR="00EE5AF1" w:rsidRPr="00882085" w:rsidRDefault="00EE5AF1" w:rsidP="00EE5AF1">
      <w:pPr>
        <w:pStyle w:val="ListParagraph"/>
        <w:rPr>
          <w:szCs w:val="22"/>
        </w:rPr>
      </w:pPr>
    </w:p>
    <w:p w:rsidR="00EE5AF1" w:rsidRPr="009C6ED4" w:rsidRDefault="00EE5AF1" w:rsidP="00B87E17">
      <w:pPr>
        <w:pStyle w:val="ListParagraph"/>
        <w:widowControl/>
        <w:numPr>
          <w:ilvl w:val="1"/>
          <w:numId w:val="3"/>
        </w:numPr>
        <w:rPr>
          <w:szCs w:val="22"/>
        </w:rPr>
      </w:pPr>
      <w:r w:rsidRPr="009C6ED4">
        <w:rPr>
          <w:szCs w:val="22"/>
        </w:rPr>
        <w:t xml:space="preserve">This </w:t>
      </w:r>
      <w:r>
        <w:rPr>
          <w:szCs w:val="22"/>
        </w:rPr>
        <w:t xml:space="preserve">is the first submission of LDV/SOF to the PBAC for the treatment of genotype 1 CHC. </w:t>
      </w:r>
    </w:p>
    <w:p w:rsidR="00EE5AF1" w:rsidRDefault="00EE5AF1" w:rsidP="00EE5AF1"/>
    <w:p w:rsidR="00B8483F" w:rsidRPr="00882085" w:rsidRDefault="00B8483F" w:rsidP="00EE5AF1"/>
    <w:p w:rsidR="00EE5AF1" w:rsidRPr="00407F2D" w:rsidRDefault="00EE5AF1" w:rsidP="00EE5AF1">
      <w:pPr>
        <w:pStyle w:val="PBACHeading1"/>
      </w:pPr>
      <w:bookmarkStart w:id="10" w:name="_Toc408475525"/>
      <w:bookmarkStart w:id="11" w:name="_Toc408849505"/>
      <w:bookmarkStart w:id="12" w:name="_Toc409530201"/>
      <w:r w:rsidRPr="00407F2D">
        <w:t>Clinical place for the proposed therapy</w:t>
      </w:r>
      <w:bookmarkEnd w:id="10"/>
      <w:bookmarkEnd w:id="11"/>
      <w:bookmarkEnd w:id="12"/>
    </w:p>
    <w:p w:rsidR="00EE5AF1" w:rsidRPr="00882085" w:rsidRDefault="00EE5AF1" w:rsidP="00EE5AF1">
      <w:pPr>
        <w:rPr>
          <w:szCs w:val="22"/>
        </w:rPr>
      </w:pPr>
    </w:p>
    <w:p w:rsidR="00EE5AF1" w:rsidRDefault="00EE5AF1" w:rsidP="00B87E17">
      <w:pPr>
        <w:pStyle w:val="ListParagraph"/>
        <w:widowControl/>
        <w:numPr>
          <w:ilvl w:val="1"/>
          <w:numId w:val="3"/>
        </w:numPr>
        <w:rPr>
          <w:szCs w:val="22"/>
        </w:rPr>
      </w:pPr>
      <w:r w:rsidRPr="00ED4C18">
        <w:t>HCV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w:t>
      </w:r>
      <w:r w:rsidRPr="00ED4C18" w:rsidDel="00212A31">
        <w:rPr>
          <w:szCs w:val="22"/>
        </w:rPr>
        <w:t xml:space="preserve"> </w:t>
      </w:r>
      <w:r>
        <w:rPr>
          <w:szCs w:val="22"/>
        </w:rPr>
        <w:t>varices</w:t>
      </w:r>
      <w:r w:rsidRPr="00ED4C18">
        <w:rPr>
          <w:szCs w:val="22"/>
        </w:rPr>
        <w:t xml:space="preserve">. Currently, </w:t>
      </w:r>
      <w:r w:rsidR="000B5A25">
        <w:rPr>
          <w:szCs w:val="22"/>
        </w:rPr>
        <w:t>ge</w:t>
      </w:r>
      <w:r w:rsidRPr="00ED4C18">
        <w:rPr>
          <w:szCs w:val="22"/>
        </w:rPr>
        <w:t>notype 1 account</w:t>
      </w:r>
      <w:r>
        <w:rPr>
          <w:szCs w:val="22"/>
        </w:rPr>
        <w:t>s</w:t>
      </w:r>
      <w:r w:rsidRPr="00ED4C18">
        <w:rPr>
          <w:szCs w:val="22"/>
        </w:rPr>
        <w:t xml:space="preserve"> for </w:t>
      </w:r>
      <w:r>
        <w:rPr>
          <w:szCs w:val="22"/>
        </w:rPr>
        <w:t>49-55</w:t>
      </w:r>
      <w:r w:rsidRPr="00ED4C18">
        <w:rPr>
          <w:szCs w:val="22"/>
        </w:rPr>
        <w:t>% of infections in Australia.</w:t>
      </w:r>
    </w:p>
    <w:p w:rsidR="00EE5AF1" w:rsidRDefault="00EE5AF1" w:rsidP="00EE5AF1">
      <w:pPr>
        <w:pStyle w:val="ListParagraph"/>
        <w:widowControl/>
        <w:rPr>
          <w:szCs w:val="22"/>
        </w:rPr>
      </w:pPr>
    </w:p>
    <w:p w:rsidR="00EE5AF1" w:rsidRDefault="00C50083" w:rsidP="00B87E17">
      <w:pPr>
        <w:pStyle w:val="ListParagraph"/>
        <w:widowControl/>
        <w:numPr>
          <w:ilvl w:val="1"/>
          <w:numId w:val="3"/>
        </w:numPr>
        <w:rPr>
          <w:szCs w:val="22"/>
        </w:rPr>
      </w:pPr>
      <w:r>
        <w:rPr>
          <w:szCs w:val="22"/>
        </w:rPr>
        <w:t>D</w:t>
      </w:r>
      <w:r w:rsidR="00EE5AF1" w:rsidRPr="00ED4C18">
        <w:t xml:space="preserve">irect acting antivirals (DAAs), including </w:t>
      </w:r>
      <w:proofErr w:type="spellStart"/>
      <w:r w:rsidR="00EE5AF1" w:rsidRPr="00ED4C18">
        <w:t>boceprevir</w:t>
      </w:r>
      <w:proofErr w:type="spellEnd"/>
      <w:r w:rsidR="00EE5AF1">
        <w:t xml:space="preserve">, </w:t>
      </w:r>
      <w:r w:rsidR="00EE5AF1" w:rsidRPr="00ED4C18">
        <w:t xml:space="preserve">telaprevir </w:t>
      </w:r>
      <w:r w:rsidR="00EE5AF1">
        <w:t xml:space="preserve">and </w:t>
      </w:r>
      <w:proofErr w:type="spellStart"/>
      <w:r w:rsidR="00EE5AF1">
        <w:t>simeprevir</w:t>
      </w:r>
      <w:proofErr w:type="spellEnd"/>
      <w:r w:rsidR="00EE5AF1">
        <w:t xml:space="preserve"> </w:t>
      </w:r>
      <w:r w:rsidR="00EE5AF1" w:rsidRPr="00ED4C18">
        <w:t>(</w:t>
      </w:r>
      <w:r w:rsidR="00EE5AF1">
        <w:rPr>
          <w:szCs w:val="22"/>
        </w:rPr>
        <w:t>three</w:t>
      </w:r>
      <w:r w:rsidR="00EE5AF1" w:rsidRPr="00ED4C18">
        <w:rPr>
          <w:szCs w:val="22"/>
        </w:rPr>
        <w:t xml:space="preserve"> HCV NS3/4A inhibitors,</w:t>
      </w:r>
      <w:r w:rsidR="00EE5AF1" w:rsidRPr="00ED4C18">
        <w:t xml:space="preserve"> </w:t>
      </w:r>
      <w:r w:rsidR="00EE5AF1">
        <w:t>all</w:t>
      </w:r>
      <w:r w:rsidR="00EE5AF1" w:rsidRPr="00ED4C18">
        <w:t xml:space="preserve"> of which must be used in combination with PR)</w:t>
      </w:r>
      <w:r>
        <w:t xml:space="preserve"> are currently reimbursed on the PBS</w:t>
      </w:r>
      <w:r w:rsidR="00EE5AF1" w:rsidRPr="00ED4C18">
        <w:t xml:space="preserve"> for the treatment of HCV Genotype 1</w:t>
      </w:r>
      <w:r w:rsidR="00EE5AF1" w:rsidRPr="00ED4C18">
        <w:rPr>
          <w:szCs w:val="22"/>
        </w:rPr>
        <w:t>.</w:t>
      </w:r>
    </w:p>
    <w:p w:rsidR="00EE5AF1" w:rsidRPr="000066A6" w:rsidRDefault="00EE5AF1" w:rsidP="00EE5AF1">
      <w:pPr>
        <w:pStyle w:val="ListParagraph"/>
        <w:rPr>
          <w:szCs w:val="22"/>
        </w:rPr>
      </w:pPr>
    </w:p>
    <w:p w:rsidR="00EE5AF1" w:rsidRPr="000066A6" w:rsidRDefault="00EE5AF1" w:rsidP="00B87E17">
      <w:pPr>
        <w:pStyle w:val="ListParagraph"/>
        <w:widowControl/>
        <w:numPr>
          <w:ilvl w:val="1"/>
          <w:numId w:val="3"/>
        </w:numPr>
        <w:rPr>
          <w:szCs w:val="22"/>
        </w:rPr>
      </w:pPr>
      <w:proofErr w:type="spellStart"/>
      <w:r>
        <w:t>Ledipasvir</w:t>
      </w:r>
      <w:proofErr w:type="spellEnd"/>
      <w:r>
        <w:t xml:space="preserve"> is a HCV NS5A inhibitor, which regulates HCV replication, and displays inhibition against HCV genotypes 1a and 1b.  Sofosbuvir is a pan-genotypic inhibitor of HCV NS5B RNA polymerase, essential for viral replication.  The active metabolite of sofosbuvir is incorporated by HCV NS5B and acts as a chain terminator.  </w:t>
      </w:r>
      <w:r w:rsidR="006F1951">
        <w:t xml:space="preserve">The </w:t>
      </w:r>
      <w:r w:rsidR="006F1951">
        <w:lastRenderedPageBreak/>
        <w:t xml:space="preserve">submission indicated that </w:t>
      </w:r>
      <w:proofErr w:type="spellStart"/>
      <w:r w:rsidR="006F1951">
        <w:t>l</w:t>
      </w:r>
      <w:r>
        <w:t>edipasvir</w:t>
      </w:r>
      <w:proofErr w:type="spellEnd"/>
      <w:r>
        <w:t xml:space="preserve"> has a low barrier to resistance</w:t>
      </w:r>
      <w:r w:rsidR="006F1951">
        <w:t xml:space="preserve"> but</w:t>
      </w:r>
      <w:r>
        <w:t xml:space="preserve"> when given in combination with sofosbuvir, </w:t>
      </w:r>
      <w:r w:rsidR="006F1951">
        <w:t xml:space="preserve">viral </w:t>
      </w:r>
      <w:r>
        <w:t xml:space="preserve">resistance is much less likely.  Sofosbuvir and </w:t>
      </w:r>
      <w:proofErr w:type="spellStart"/>
      <w:r>
        <w:t>ledipasvir</w:t>
      </w:r>
      <w:proofErr w:type="spellEnd"/>
      <w:r>
        <w:t xml:space="preserve"> have complimentary antiviral activity and therefore sofosbuvir act</w:t>
      </w:r>
      <w:r w:rsidR="006F1951">
        <w:t>s</w:t>
      </w:r>
      <w:r>
        <w:t xml:space="preserve"> to prevent </w:t>
      </w:r>
      <w:r w:rsidR="006F1951">
        <w:t xml:space="preserve">the emergence of </w:t>
      </w:r>
      <w:r>
        <w:t>NS5A class resistance.</w:t>
      </w:r>
    </w:p>
    <w:p w:rsidR="00EE5AF1" w:rsidRPr="000066A6" w:rsidRDefault="00EE5AF1" w:rsidP="00EE5AF1">
      <w:pPr>
        <w:pStyle w:val="ListParagraph"/>
        <w:rPr>
          <w:szCs w:val="22"/>
        </w:rPr>
      </w:pPr>
    </w:p>
    <w:p w:rsidR="00EE5AF1" w:rsidRPr="007F4C79" w:rsidRDefault="00EE5AF1" w:rsidP="00B87E17">
      <w:pPr>
        <w:pStyle w:val="ListParagraph"/>
        <w:widowControl/>
        <w:numPr>
          <w:ilvl w:val="1"/>
          <w:numId w:val="3"/>
        </w:numPr>
        <w:rPr>
          <w:szCs w:val="22"/>
        </w:rPr>
      </w:pPr>
      <w:r>
        <w:rPr>
          <w:szCs w:val="22"/>
        </w:rPr>
        <w:t xml:space="preserve">A submission (from the same sponsor </w:t>
      </w:r>
      <w:r w:rsidR="00D57FF1">
        <w:rPr>
          <w:szCs w:val="22"/>
        </w:rPr>
        <w:t xml:space="preserve">as </w:t>
      </w:r>
      <w:r>
        <w:rPr>
          <w:szCs w:val="22"/>
        </w:rPr>
        <w:t xml:space="preserve">LDV/SOF) requesting </w:t>
      </w:r>
      <w:r w:rsidR="00D57FF1">
        <w:rPr>
          <w:szCs w:val="22"/>
        </w:rPr>
        <w:t xml:space="preserve">listing of </w:t>
      </w:r>
      <w:r>
        <w:rPr>
          <w:szCs w:val="22"/>
        </w:rPr>
        <w:t xml:space="preserve">sofosbuvir in combination with PR for the treatment of </w:t>
      </w:r>
      <w:r w:rsidRPr="007F4C79">
        <w:rPr>
          <w:szCs w:val="22"/>
        </w:rPr>
        <w:t>patients infected with genotype 1 CHC who are naïve to prior HCV treatment will be considered by the PBAC at the same meeting. LDV/SOF provides an interferon-free, all</w:t>
      </w:r>
      <w:r w:rsidR="00D57FF1" w:rsidRPr="007F4C79">
        <w:rPr>
          <w:szCs w:val="22"/>
        </w:rPr>
        <w:t>-</w:t>
      </w:r>
      <w:r w:rsidRPr="007F4C79">
        <w:rPr>
          <w:szCs w:val="22"/>
        </w:rPr>
        <w:t>oral treatment option for genotype 1 CHC patients, irrespective of their previous treatment history.</w:t>
      </w:r>
      <w:r w:rsidR="00206DD3" w:rsidRPr="007F4C79">
        <w:rPr>
          <w:szCs w:val="22"/>
        </w:rPr>
        <w:t xml:space="preserve">  </w:t>
      </w:r>
      <w:r w:rsidR="000B5A25" w:rsidRPr="007F4C79">
        <w:rPr>
          <w:szCs w:val="22"/>
        </w:rPr>
        <w:t>I</w:t>
      </w:r>
      <w:r w:rsidR="00206DD3" w:rsidRPr="007F4C79">
        <w:rPr>
          <w:szCs w:val="22"/>
        </w:rPr>
        <w:t xml:space="preserve">f LDV/SOF is listed, </w:t>
      </w:r>
      <w:r w:rsidR="000B5A25" w:rsidRPr="007F4C79">
        <w:rPr>
          <w:szCs w:val="22"/>
        </w:rPr>
        <w:t xml:space="preserve">SOF+PR </w:t>
      </w:r>
      <w:r w:rsidR="00206DD3" w:rsidRPr="007F4C79">
        <w:rPr>
          <w:szCs w:val="22"/>
        </w:rPr>
        <w:t xml:space="preserve">will only likely be used in </w:t>
      </w:r>
      <w:r w:rsidR="000B5A25" w:rsidRPr="007F4C79">
        <w:rPr>
          <w:szCs w:val="22"/>
        </w:rPr>
        <w:t>genotype</w:t>
      </w:r>
      <w:r w:rsidR="00206DD3" w:rsidRPr="007F4C79">
        <w:rPr>
          <w:szCs w:val="22"/>
        </w:rPr>
        <w:t xml:space="preserve"> 1 patients who are intolerant to LDV.</w:t>
      </w:r>
    </w:p>
    <w:p w:rsidR="00EE5AF1" w:rsidRPr="002C2775" w:rsidRDefault="00EE5AF1" w:rsidP="00EE5AF1">
      <w:pPr>
        <w:widowControl/>
        <w:rPr>
          <w:szCs w:val="22"/>
        </w:rPr>
      </w:pPr>
    </w:p>
    <w:p w:rsidR="00EE5AF1" w:rsidRPr="00882085" w:rsidRDefault="00EE5AF1" w:rsidP="00EE5AF1">
      <w:pPr>
        <w:pStyle w:val="Header"/>
        <w:rPr>
          <w:szCs w:val="22"/>
        </w:rPr>
      </w:pPr>
    </w:p>
    <w:p w:rsidR="00EE5AF1" w:rsidRPr="00407F2D" w:rsidRDefault="00EE5AF1" w:rsidP="0071556E">
      <w:pPr>
        <w:pStyle w:val="PBACHeading1"/>
      </w:pPr>
      <w:bookmarkStart w:id="13" w:name="_Toc409530202"/>
      <w:r w:rsidRPr="00407F2D">
        <w:t>Comparator</w:t>
      </w:r>
      <w:bookmarkEnd w:id="13"/>
    </w:p>
    <w:p w:rsidR="00EE5AF1" w:rsidRPr="00882085" w:rsidRDefault="00EE5AF1" w:rsidP="00EE5AF1"/>
    <w:p w:rsidR="005130D4" w:rsidRDefault="00EE5AF1" w:rsidP="00B87E17">
      <w:pPr>
        <w:pStyle w:val="ListParagraph"/>
        <w:widowControl/>
        <w:numPr>
          <w:ilvl w:val="1"/>
          <w:numId w:val="10"/>
        </w:numPr>
        <w:rPr>
          <w:szCs w:val="22"/>
        </w:rPr>
      </w:pPr>
      <w:r>
        <w:t>The submission nominated two comparators – a protease inhibitor (</w:t>
      </w:r>
      <w:proofErr w:type="spellStart"/>
      <w:r>
        <w:t>boceprevir</w:t>
      </w:r>
      <w:proofErr w:type="spellEnd"/>
      <w:r>
        <w:t xml:space="preserve">, telaprevir or </w:t>
      </w:r>
      <w:proofErr w:type="spellStart"/>
      <w:r>
        <w:t>simeprevir</w:t>
      </w:r>
      <w:proofErr w:type="spellEnd"/>
      <w:r>
        <w:t xml:space="preserve">) in combination with PR or no treatment. </w:t>
      </w:r>
      <w:r w:rsidRPr="00E47E6E">
        <w:t>The PBAC considered that</w:t>
      </w:r>
      <w:r w:rsidR="00FB1416" w:rsidRPr="00E47E6E">
        <w:t>, in this instance,</w:t>
      </w:r>
      <w:r w:rsidRPr="00E47E6E">
        <w:t xml:space="preserve"> the appropriate comparator is </w:t>
      </w:r>
      <w:r w:rsidR="00FB1416" w:rsidRPr="00E47E6E">
        <w:t>‘</w:t>
      </w:r>
      <w:r w:rsidRPr="00E47E6E">
        <w:t>no treatment</w:t>
      </w:r>
      <w:r w:rsidR="00FB1416" w:rsidRPr="00E47E6E">
        <w:t>’</w:t>
      </w:r>
      <w:r w:rsidRPr="00E47E6E">
        <w:t xml:space="preserve"> in view of the broader context of infected individuals whose treatment preference is interferon-free therapies (Public Summary Document, para 7.5, Item 5.17, PBAC meeting July 2014).  The</w:t>
      </w:r>
      <w:r w:rsidR="00FB1416" w:rsidRPr="00E47E6E">
        <w:t xml:space="preserve">re </w:t>
      </w:r>
      <w:r w:rsidR="001B53E8" w:rsidRPr="00E47E6E">
        <w:t>has been</w:t>
      </w:r>
      <w:r w:rsidR="00FB1416" w:rsidRPr="00E47E6E">
        <w:t xml:space="preserve"> a growing view that</w:t>
      </w:r>
      <w:r w:rsidRPr="00E47E6E">
        <w:t xml:space="preserve"> treatment regimens containing </w:t>
      </w:r>
      <w:proofErr w:type="spellStart"/>
      <w:r w:rsidRPr="00E47E6E">
        <w:t>peginterferon</w:t>
      </w:r>
      <w:proofErr w:type="spellEnd"/>
      <w:r w:rsidR="00FB1416" w:rsidRPr="00E47E6E">
        <w:t xml:space="preserve"> should be avoided if interferon-free regimens are available</w:t>
      </w:r>
      <w:r w:rsidRPr="00E47E6E">
        <w:t>.</w:t>
      </w:r>
      <w:r w:rsidR="005130D4">
        <w:t xml:space="preserve"> </w:t>
      </w:r>
      <w:r w:rsidR="005130D4" w:rsidRPr="00211254">
        <w:rPr>
          <w:szCs w:val="22"/>
        </w:rPr>
        <w:t xml:space="preserve">The ESC agreed that the most </w:t>
      </w:r>
      <w:r w:rsidR="00120273" w:rsidRPr="00211254">
        <w:rPr>
          <w:szCs w:val="22"/>
        </w:rPr>
        <w:t>relevant comparator</w:t>
      </w:r>
      <w:r w:rsidR="005130D4" w:rsidRPr="00211254">
        <w:rPr>
          <w:szCs w:val="22"/>
        </w:rPr>
        <w:t xml:space="preserve"> was no treatment.</w:t>
      </w:r>
    </w:p>
    <w:p w:rsidR="00120273" w:rsidRPr="00120273" w:rsidRDefault="00120273" w:rsidP="00120273">
      <w:pPr>
        <w:pStyle w:val="PBACHeading1"/>
        <w:numPr>
          <w:ilvl w:val="0"/>
          <w:numId w:val="0"/>
        </w:numPr>
        <w:ind w:left="720" w:hanging="720"/>
      </w:pPr>
    </w:p>
    <w:p w:rsidR="005874D3" w:rsidRPr="00AC071D" w:rsidRDefault="00120273" w:rsidP="005874D3">
      <w:pPr>
        <w:pStyle w:val="ListParagraph"/>
        <w:widowControl/>
        <w:numPr>
          <w:ilvl w:val="1"/>
          <w:numId w:val="10"/>
        </w:numPr>
        <w:rPr>
          <w:szCs w:val="22"/>
        </w:rPr>
      </w:pPr>
      <w:r w:rsidRPr="00120273">
        <w:rPr>
          <w:szCs w:val="22"/>
        </w:rPr>
        <w:t>The PBAC noted pre-PBAC response’s discussion on the comparator but reiterated that the most appropriate comparator was no treatment.</w:t>
      </w:r>
    </w:p>
    <w:p w:rsidR="00605B67" w:rsidRPr="006A51B8" w:rsidRDefault="00605B67" w:rsidP="006A51B8">
      <w:pPr>
        <w:widowControl/>
        <w:rPr>
          <w:i/>
          <w:szCs w:val="22"/>
        </w:rPr>
      </w:pPr>
    </w:p>
    <w:p w:rsidR="00EE5AF1" w:rsidRPr="00B50DB8" w:rsidRDefault="00605B67" w:rsidP="0080711D">
      <w:pPr>
        <w:pStyle w:val="ListParagraph"/>
        <w:widowControl/>
        <w:rPr>
          <w:szCs w:val="22"/>
        </w:rPr>
      </w:pPr>
      <w:r w:rsidRPr="00120273">
        <w:rPr>
          <w:i/>
          <w:szCs w:val="22"/>
        </w:rPr>
        <w:t>For more detail on PBAC’s view, see section 7 “PBAC outcome”.</w:t>
      </w:r>
    </w:p>
    <w:p w:rsidR="00EE5AF1" w:rsidRDefault="00EE5AF1" w:rsidP="00EE5AF1">
      <w:pPr>
        <w:rPr>
          <w:szCs w:val="22"/>
        </w:rPr>
      </w:pPr>
    </w:p>
    <w:p w:rsidR="00B8483F" w:rsidRPr="00DF5D2B" w:rsidRDefault="00B8483F" w:rsidP="00EE5AF1">
      <w:pPr>
        <w:rPr>
          <w:szCs w:val="22"/>
        </w:rPr>
      </w:pPr>
    </w:p>
    <w:p w:rsidR="00EE5AF1" w:rsidRPr="00407F2D" w:rsidRDefault="00EE5AF1" w:rsidP="00EE5AF1">
      <w:pPr>
        <w:pStyle w:val="PBACHeading1"/>
      </w:pPr>
      <w:bookmarkStart w:id="14" w:name="_Toc408475526"/>
      <w:bookmarkStart w:id="15" w:name="_Toc408849506"/>
      <w:bookmarkStart w:id="16" w:name="_Toc409530203"/>
      <w:r>
        <w:t>C</w:t>
      </w:r>
      <w:r w:rsidRPr="00407F2D">
        <w:t>onsideration of the evidence</w:t>
      </w:r>
      <w:bookmarkEnd w:id="14"/>
      <w:bookmarkEnd w:id="15"/>
      <w:bookmarkEnd w:id="16"/>
    </w:p>
    <w:p w:rsidR="00211254" w:rsidRDefault="00211254" w:rsidP="00211254">
      <w:pPr>
        <w:rPr>
          <w:b/>
          <w:i/>
          <w:szCs w:val="22"/>
        </w:rPr>
      </w:pPr>
    </w:p>
    <w:p w:rsidR="00211254" w:rsidRPr="00AF78AC" w:rsidRDefault="00211254" w:rsidP="00AF78AC">
      <w:pPr>
        <w:pStyle w:val="Heading2"/>
      </w:pPr>
      <w:r w:rsidRPr="00AF78AC">
        <w:t>Sponsor hearing</w:t>
      </w:r>
    </w:p>
    <w:p w:rsidR="00211254" w:rsidRPr="00882085" w:rsidRDefault="00211254" w:rsidP="00211254">
      <w:pPr>
        <w:ind w:left="709"/>
        <w:rPr>
          <w:b/>
          <w:szCs w:val="22"/>
        </w:rPr>
      </w:pPr>
    </w:p>
    <w:p w:rsidR="00211254" w:rsidRPr="00120273" w:rsidRDefault="00211254" w:rsidP="00B87E17">
      <w:pPr>
        <w:pStyle w:val="ListParagraph"/>
        <w:widowControl/>
        <w:numPr>
          <w:ilvl w:val="1"/>
          <w:numId w:val="3"/>
        </w:numPr>
        <w:rPr>
          <w:szCs w:val="22"/>
        </w:rPr>
      </w:pPr>
      <w:r w:rsidRPr="00120273">
        <w:rPr>
          <w:szCs w:val="22"/>
        </w:rPr>
        <w:t>The</w:t>
      </w:r>
      <w:r w:rsidR="0044121B" w:rsidRPr="00120273">
        <w:rPr>
          <w:szCs w:val="22"/>
        </w:rPr>
        <w:t>re was no hearing for this item</w:t>
      </w:r>
      <w:r w:rsidRPr="00120273">
        <w:rPr>
          <w:szCs w:val="22"/>
        </w:rPr>
        <w:t>.</w:t>
      </w:r>
    </w:p>
    <w:p w:rsidR="00211254" w:rsidRPr="00120273" w:rsidRDefault="00211254" w:rsidP="00211254">
      <w:pPr>
        <w:pStyle w:val="ListParagraph"/>
        <w:ind w:left="709"/>
        <w:rPr>
          <w:szCs w:val="22"/>
        </w:rPr>
      </w:pPr>
    </w:p>
    <w:p w:rsidR="00211254" w:rsidRPr="00B8483F" w:rsidRDefault="00211254" w:rsidP="00AF78AC">
      <w:pPr>
        <w:pStyle w:val="Heading2"/>
      </w:pPr>
      <w:r w:rsidRPr="00B8483F">
        <w:t>Consumer comments</w:t>
      </w:r>
    </w:p>
    <w:p w:rsidR="00211254" w:rsidRDefault="00211254" w:rsidP="00211254">
      <w:pPr>
        <w:pStyle w:val="ListParagraph"/>
        <w:ind w:left="709"/>
        <w:rPr>
          <w:szCs w:val="22"/>
        </w:rPr>
      </w:pPr>
    </w:p>
    <w:p w:rsidR="00B87E17" w:rsidRPr="008D35AC" w:rsidRDefault="00B87E17" w:rsidP="00B87E17">
      <w:pPr>
        <w:pStyle w:val="ListParagraph"/>
        <w:widowControl/>
        <w:numPr>
          <w:ilvl w:val="1"/>
          <w:numId w:val="3"/>
        </w:numPr>
        <w:rPr>
          <w:bCs/>
          <w:szCs w:val="22"/>
        </w:rPr>
      </w:pPr>
      <w:r w:rsidRPr="008D35AC">
        <w:rPr>
          <w:bCs/>
          <w:szCs w:val="22"/>
        </w:rPr>
        <w:t>The PBAC noted and welcomed the input from individuals (</w:t>
      </w:r>
      <w:r>
        <w:rPr>
          <w:bCs/>
          <w:szCs w:val="22"/>
        </w:rPr>
        <w:t>231</w:t>
      </w:r>
      <w:r w:rsidRPr="008D35AC">
        <w:rPr>
          <w:bCs/>
          <w:szCs w:val="22"/>
        </w:rPr>
        <w:t>), health care professionals (</w:t>
      </w:r>
      <w:r>
        <w:rPr>
          <w:bCs/>
          <w:szCs w:val="22"/>
        </w:rPr>
        <w:t>14</w:t>
      </w:r>
      <w:r w:rsidRPr="008D35AC">
        <w:rPr>
          <w:bCs/>
          <w:szCs w:val="22"/>
        </w:rPr>
        <w:t>) and organisations (</w:t>
      </w:r>
      <w:r>
        <w:rPr>
          <w:bCs/>
          <w:szCs w:val="22"/>
        </w:rPr>
        <w:t>18</w:t>
      </w:r>
      <w:r w:rsidRPr="008D35AC">
        <w:rPr>
          <w:bCs/>
          <w:szCs w:val="22"/>
        </w:rPr>
        <w:t>) via the Consumer Comments facility on the PBS website.</w:t>
      </w:r>
      <w:r>
        <w:rPr>
          <w:bCs/>
          <w:szCs w:val="22"/>
        </w:rPr>
        <w:t xml:space="preserve"> </w:t>
      </w:r>
      <w:r w:rsidRPr="008D35AC">
        <w:rPr>
          <w:bCs/>
          <w:szCs w:val="22"/>
        </w:rPr>
        <w:t xml:space="preserve">The PBAC noted the correspondence from </w:t>
      </w:r>
      <w:r>
        <w:rPr>
          <w:bCs/>
          <w:szCs w:val="22"/>
        </w:rPr>
        <w:t xml:space="preserve">the </w:t>
      </w:r>
      <w:r w:rsidRPr="000D7045">
        <w:rPr>
          <w:bCs/>
          <w:szCs w:val="22"/>
        </w:rPr>
        <w:t>Gastroenterological</w:t>
      </w:r>
      <w:r>
        <w:rPr>
          <w:bCs/>
          <w:szCs w:val="22"/>
        </w:rPr>
        <w:t xml:space="preserve"> Society of Australia (</w:t>
      </w:r>
      <w:r w:rsidRPr="008D35AC">
        <w:rPr>
          <w:bCs/>
          <w:szCs w:val="22"/>
        </w:rPr>
        <w:t>GESA</w:t>
      </w:r>
      <w:r>
        <w:rPr>
          <w:bCs/>
          <w:szCs w:val="22"/>
        </w:rPr>
        <w:t>)</w:t>
      </w:r>
      <w:r w:rsidRPr="008D35AC">
        <w:rPr>
          <w:bCs/>
          <w:szCs w:val="22"/>
        </w:rPr>
        <w:t xml:space="preserve"> on </w:t>
      </w:r>
      <w:r>
        <w:rPr>
          <w:bCs/>
          <w:szCs w:val="22"/>
        </w:rPr>
        <w:t xml:space="preserve">the </w:t>
      </w:r>
      <w:r w:rsidRPr="008D35AC">
        <w:rPr>
          <w:bCs/>
          <w:szCs w:val="22"/>
        </w:rPr>
        <w:t>use of D</w:t>
      </w:r>
      <w:r>
        <w:rPr>
          <w:bCs/>
          <w:szCs w:val="22"/>
        </w:rPr>
        <w:t>A</w:t>
      </w:r>
      <w:r w:rsidRPr="008D35AC">
        <w:rPr>
          <w:bCs/>
          <w:szCs w:val="22"/>
        </w:rPr>
        <w:t xml:space="preserve">As in the treatment of patients with liver cirrhosis and severe portal hypertension, decompensated liver disease, or patients post liver transplant. The large number of comments and discussion highlighted the benefit of the availability of a </w:t>
      </w:r>
      <w:r>
        <w:rPr>
          <w:bCs/>
          <w:szCs w:val="22"/>
        </w:rPr>
        <w:t xml:space="preserve">highly effective </w:t>
      </w:r>
      <w:r w:rsidRPr="008D35AC">
        <w:rPr>
          <w:bCs/>
          <w:szCs w:val="22"/>
        </w:rPr>
        <w:t>treatment that should be made available for all infected individuals, the improved quality of life as well as the side effects avoided associated with the current treatments. The PBAC noted the patient preference for treatments with shorter durations, such 12 weeks compared to 24 weeks.</w:t>
      </w:r>
      <w:r w:rsidRPr="008D35AC">
        <w:rPr>
          <w:bCs/>
          <w:i/>
          <w:szCs w:val="22"/>
        </w:rPr>
        <w:t xml:space="preserve">  </w:t>
      </w:r>
    </w:p>
    <w:p w:rsidR="00B87E17" w:rsidRPr="001A6C09" w:rsidRDefault="00B87E17" w:rsidP="00B87E17">
      <w:pPr>
        <w:widowControl/>
        <w:ind w:left="720"/>
        <w:contextualSpacing/>
        <w:rPr>
          <w:szCs w:val="22"/>
        </w:rPr>
      </w:pPr>
    </w:p>
    <w:p w:rsidR="00B87E17" w:rsidRDefault="00B87E17" w:rsidP="00B87E17">
      <w:pPr>
        <w:pStyle w:val="ListParagraph"/>
        <w:widowControl/>
        <w:numPr>
          <w:ilvl w:val="1"/>
          <w:numId w:val="3"/>
        </w:numPr>
      </w:pPr>
      <w:r>
        <w:lastRenderedPageBreak/>
        <w:t>Repres</w:t>
      </w:r>
      <w:r w:rsidR="00134998">
        <w:t xml:space="preserve">entatives of the PBAC met with </w:t>
      </w:r>
      <w:r>
        <w:t xml:space="preserve">Hepatitis Australia, Hepatitis NSW, the Australian Injecting and the Illicit Drug User’s League prior to the PBAC meeting, and reported the following key points to the PBAC in relation to the agenda items for the treatment of Hepatitis C: :  </w:t>
      </w:r>
    </w:p>
    <w:p w:rsidR="00B87E17" w:rsidRDefault="00B87E17" w:rsidP="00B87E17">
      <w:pPr>
        <w:pStyle w:val="ListParagraph"/>
        <w:widowControl/>
        <w:numPr>
          <w:ilvl w:val="1"/>
          <w:numId w:val="15"/>
        </w:numPr>
      </w:pPr>
      <w:r>
        <w:t xml:space="preserve">The high burden of disease associated with </w:t>
      </w:r>
      <w:r w:rsidR="00134998">
        <w:t>HCV</w:t>
      </w:r>
      <w:r>
        <w:t xml:space="preserve"> infection was noted, and the urgent need for new treatments acknowledged.  The significant adverse reactions associated with interferon-based therapies effectively eliminate these regimens as an option for some patients.</w:t>
      </w:r>
    </w:p>
    <w:p w:rsidR="00B87E17" w:rsidRDefault="00B87E17" w:rsidP="00B87E17">
      <w:pPr>
        <w:pStyle w:val="ListParagraph"/>
        <w:widowControl/>
        <w:numPr>
          <w:ilvl w:val="1"/>
          <w:numId w:val="15"/>
        </w:numPr>
        <w:spacing w:before="240"/>
      </w:pPr>
      <w:r>
        <w:t xml:space="preserve">Concern about not having any treatment (the so-called “warehousing” practice adopted by clinicians), lack of access to transient </w:t>
      </w:r>
      <w:proofErr w:type="spellStart"/>
      <w:r>
        <w:t>elastography</w:t>
      </w:r>
      <w:proofErr w:type="spellEnd"/>
      <w:r>
        <w:t xml:space="preserve"> (including </w:t>
      </w:r>
      <w:proofErr w:type="spellStart"/>
      <w:r w:rsidRPr="00F37D60">
        <w:t>FibroScan</w:t>
      </w:r>
      <w:proofErr w:type="spellEnd"/>
      <w:r w:rsidRPr="00F37D60">
        <w:rPr>
          <w:vertAlign w:val="superscript"/>
        </w:rPr>
        <w:t>®</w:t>
      </w:r>
      <w:r>
        <w:t xml:space="preserve">) and the lack of adequate follow-up for patients that are “warehoused” (i.e. where the patient is monitored but treatment is delayed).  A complex referral system does not work for many groups of Hepatitis C patients – for example, it was quoted in the meeting that in the ACT only 28 patients have had access to treatment in the previous 12 months. </w:t>
      </w:r>
    </w:p>
    <w:p w:rsidR="00B87E17" w:rsidRDefault="00B87E17" w:rsidP="00B87E17">
      <w:pPr>
        <w:pStyle w:val="ListParagraph"/>
        <w:widowControl/>
        <w:numPr>
          <w:ilvl w:val="1"/>
          <w:numId w:val="15"/>
        </w:numPr>
      </w:pPr>
      <w:r>
        <w:t xml:space="preserve">Community expectation with regard to the new drugs for Hepatitis C is high, and there is a high level of anticipation with patients keenly aware that these drugs are available in markets outside Australia.  It was noted that these expectations were in place for a significant time before the sponsors chose to make reimbursement submissions to the PBAC.  </w:t>
      </w:r>
    </w:p>
    <w:p w:rsidR="00B87E17" w:rsidRDefault="00B87E17" w:rsidP="00B87E17">
      <w:pPr>
        <w:pStyle w:val="ListParagraph"/>
        <w:widowControl/>
        <w:numPr>
          <w:ilvl w:val="1"/>
          <w:numId w:val="15"/>
        </w:numPr>
      </w:pPr>
      <w:r>
        <w:t xml:space="preserve">Co-ordinated treatment of HCV, particularly moving towards the control (and potentially </w:t>
      </w:r>
      <w:r w:rsidR="007E0B1D">
        <w:t>elimination</w:t>
      </w:r>
      <w:r>
        <w:t xml:space="preserve">) of the virus, would require health-system-wide approaches that are outside the remit of the PBAC.  </w:t>
      </w:r>
    </w:p>
    <w:p w:rsidR="00B87E17" w:rsidRDefault="00B87E17" w:rsidP="00B87E17">
      <w:pPr>
        <w:pStyle w:val="ListParagraph"/>
        <w:widowControl/>
        <w:numPr>
          <w:ilvl w:val="1"/>
          <w:numId w:val="15"/>
        </w:numPr>
      </w:pPr>
      <w:r>
        <w:t xml:space="preserve">As the PBAC can recommend the circumstances under which PBS subsidy may be granted, elements such as whether to limit prescribing to specialists would be considered in potentially widening access.  The PBAC particularly noted the advice of consumer groups that a PBS listing that limited access based on disease severity would not be supported.  A listing that allowed broad access was favoured.  </w:t>
      </w:r>
    </w:p>
    <w:p w:rsidR="00B87E17" w:rsidRDefault="00B87E17" w:rsidP="00B87E17">
      <w:pPr>
        <w:pStyle w:val="ListParagraph"/>
        <w:widowControl/>
        <w:numPr>
          <w:ilvl w:val="1"/>
          <w:numId w:val="15"/>
        </w:numPr>
      </w:pPr>
      <w:r>
        <w:t>It was also noted that representatives felt that these drugs should be assessed for their capacity for providing a cure within a 12 week period, not as longer term treatment strategies.</w:t>
      </w:r>
    </w:p>
    <w:p w:rsidR="00B87E17" w:rsidRDefault="00B87E17" w:rsidP="00B87E17">
      <w:pPr>
        <w:widowControl/>
      </w:pPr>
    </w:p>
    <w:p w:rsidR="00B87E17" w:rsidRDefault="00B87E17" w:rsidP="00B87E17">
      <w:pPr>
        <w:pStyle w:val="ListParagraph"/>
        <w:widowControl/>
        <w:numPr>
          <w:ilvl w:val="1"/>
          <w:numId w:val="3"/>
        </w:numPr>
        <w:rPr>
          <w:szCs w:val="22"/>
        </w:rPr>
      </w:pPr>
      <w:r>
        <w:t>The PBAC noted and welcomed this input.</w:t>
      </w:r>
    </w:p>
    <w:p w:rsidR="00211254" w:rsidRPr="00CF1292" w:rsidRDefault="00CF1292" w:rsidP="00CF1292">
      <w:pPr>
        <w:pStyle w:val="PBACHeading1"/>
        <w:numPr>
          <w:ilvl w:val="0"/>
          <w:numId w:val="0"/>
        </w:numPr>
        <w:ind w:left="720" w:hanging="720"/>
      </w:pPr>
      <w:r w:rsidRPr="00CF1292">
        <w:t xml:space="preserve"> </w:t>
      </w:r>
    </w:p>
    <w:p w:rsidR="00EE5AF1" w:rsidRDefault="00211254" w:rsidP="00211254">
      <w:pPr>
        <w:ind w:firstLine="709"/>
        <w:rPr>
          <w:i/>
          <w:szCs w:val="22"/>
        </w:rPr>
      </w:pPr>
      <w:r w:rsidRPr="00B8147D">
        <w:rPr>
          <w:i/>
          <w:szCs w:val="22"/>
        </w:rPr>
        <w:t>For more detail on PBAC’s view, see section 7 “PBAC outcome”</w:t>
      </w:r>
    </w:p>
    <w:p w:rsidR="00B8147D" w:rsidRDefault="00B8147D" w:rsidP="00211254">
      <w:pPr>
        <w:ind w:firstLine="709"/>
      </w:pPr>
    </w:p>
    <w:p w:rsidR="00B8483F" w:rsidRPr="00882085" w:rsidRDefault="00B8483F" w:rsidP="00211254">
      <w:pPr>
        <w:ind w:firstLine="709"/>
      </w:pPr>
    </w:p>
    <w:p w:rsidR="00EE5AF1" w:rsidRPr="00B8483F" w:rsidRDefault="00EE5AF1" w:rsidP="00AF78AC">
      <w:pPr>
        <w:pStyle w:val="Heading2"/>
      </w:pPr>
      <w:bookmarkStart w:id="17" w:name="_Toc409530204"/>
      <w:r w:rsidRPr="00B8483F">
        <w:t>Clinical trials</w:t>
      </w:r>
      <w:bookmarkEnd w:id="17"/>
    </w:p>
    <w:p w:rsidR="00EE5AF1" w:rsidRPr="00882085" w:rsidRDefault="00EE5AF1" w:rsidP="00EE5AF1">
      <w:pPr>
        <w:rPr>
          <w:szCs w:val="22"/>
        </w:rPr>
      </w:pPr>
    </w:p>
    <w:p w:rsidR="00EE5AF1" w:rsidRPr="006D1721" w:rsidRDefault="00EE5AF1" w:rsidP="00EE5AF1">
      <w:pPr>
        <w:pStyle w:val="ListParagraph"/>
        <w:widowControl/>
        <w:numPr>
          <w:ilvl w:val="1"/>
          <w:numId w:val="3"/>
        </w:numPr>
        <w:rPr>
          <w:szCs w:val="22"/>
        </w:rPr>
      </w:pPr>
      <w:r w:rsidRPr="007D2F5C">
        <w:t xml:space="preserve">There </w:t>
      </w:r>
      <w:r>
        <w:t>were</w:t>
      </w:r>
      <w:r w:rsidRPr="007D2F5C">
        <w:t xml:space="preserve"> no head-to-head comparisons of combination LDV/SOF with any of the proposed comparators.  Three studies involving LDV/SOF</w:t>
      </w:r>
      <w:r>
        <w:t>,</w:t>
      </w:r>
      <w:r w:rsidRPr="007D2F5C">
        <w:t xml:space="preserve"> 2 studies involving </w:t>
      </w:r>
      <w:proofErr w:type="spellStart"/>
      <w:r w:rsidRPr="007D2F5C">
        <w:t>boceprevir</w:t>
      </w:r>
      <w:proofErr w:type="spellEnd"/>
      <w:r w:rsidRPr="007D2F5C">
        <w:t xml:space="preserve">, 2 studies involving telaprevir and 3 studies involving </w:t>
      </w:r>
      <w:proofErr w:type="spellStart"/>
      <w:r w:rsidRPr="007D2F5C">
        <w:t>simeprevir</w:t>
      </w:r>
      <w:proofErr w:type="spellEnd"/>
      <w:r w:rsidRPr="007D2F5C">
        <w:t xml:space="preserve"> </w:t>
      </w:r>
      <w:r>
        <w:t>were</w:t>
      </w:r>
      <w:r w:rsidRPr="007D2F5C">
        <w:t xml:space="preserve"> identified.</w:t>
      </w:r>
      <w:r>
        <w:t xml:space="preserve"> </w:t>
      </w:r>
    </w:p>
    <w:p w:rsidR="00EE5AF1" w:rsidRDefault="00EE5AF1" w:rsidP="00B87E17">
      <w:pPr>
        <w:pStyle w:val="ListParagraph"/>
        <w:widowControl/>
        <w:numPr>
          <w:ilvl w:val="1"/>
          <w:numId w:val="3"/>
        </w:numPr>
        <w:rPr>
          <w:szCs w:val="22"/>
        </w:rPr>
      </w:pPr>
      <w:r w:rsidRPr="00B50DB8">
        <w:rPr>
          <w:szCs w:val="22"/>
        </w:rPr>
        <w:t xml:space="preserve">Details of the </w:t>
      </w:r>
      <w:r>
        <w:rPr>
          <w:szCs w:val="22"/>
        </w:rPr>
        <w:t>studie</w:t>
      </w:r>
      <w:r w:rsidRPr="00B50DB8">
        <w:rPr>
          <w:szCs w:val="22"/>
        </w:rPr>
        <w:t xml:space="preserve">s presented in the submission are provided in </w:t>
      </w:r>
      <w:r w:rsidRPr="00590D19">
        <w:rPr>
          <w:szCs w:val="22"/>
        </w:rPr>
        <w:t>the table below.</w:t>
      </w:r>
      <w:r w:rsidRPr="00B50DB8">
        <w:rPr>
          <w:szCs w:val="22"/>
        </w:rPr>
        <w:t xml:space="preserve">  </w:t>
      </w:r>
    </w:p>
    <w:p w:rsidR="006D1721" w:rsidRPr="00B50DB8" w:rsidRDefault="006D1721" w:rsidP="006D1721">
      <w:pPr>
        <w:pStyle w:val="ListParagraph"/>
        <w:widowControl/>
        <w:rPr>
          <w:szCs w:val="22"/>
        </w:rPr>
      </w:pPr>
    </w:p>
    <w:p w:rsidR="00EE5AF1" w:rsidRPr="006D1721" w:rsidRDefault="00EE5AF1" w:rsidP="006D1721">
      <w:pPr>
        <w:widowControl/>
        <w:ind w:firstLine="720"/>
        <w:jc w:val="left"/>
        <w:rPr>
          <w:rStyle w:val="CommentReference"/>
          <w:sz w:val="22"/>
          <w:szCs w:val="22"/>
        </w:rPr>
      </w:pPr>
      <w:r>
        <w:rPr>
          <w:rStyle w:val="CommentReference"/>
          <w:b/>
        </w:rPr>
        <w:t>Studies</w:t>
      </w:r>
      <w:r w:rsidRPr="007D2F5C">
        <w:rPr>
          <w:rStyle w:val="CommentReference"/>
          <w:b/>
        </w:rPr>
        <w:t xml:space="preserve"> and associated reports presented in the submission</w:t>
      </w:r>
    </w:p>
    <w:tbl>
      <w:tblPr>
        <w:tblW w:w="458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linical trials associated reports presented in the submission"/>
      </w:tblPr>
      <w:tblGrid>
        <w:gridCol w:w="1224"/>
        <w:gridCol w:w="5260"/>
        <w:gridCol w:w="1842"/>
      </w:tblGrid>
      <w:tr w:rsidR="00EE5AF1" w:rsidRPr="007D2F5C" w:rsidTr="00AF78AC">
        <w:trPr>
          <w:tblHeader/>
        </w:trPr>
        <w:tc>
          <w:tcPr>
            <w:tcW w:w="735" w:type="pct"/>
          </w:tcPr>
          <w:p w:rsidR="00EE5AF1" w:rsidRPr="007D2F5C" w:rsidRDefault="00EE5AF1" w:rsidP="00EE5AF1">
            <w:pPr>
              <w:jc w:val="left"/>
              <w:rPr>
                <w:rFonts w:ascii="Arial Narrow" w:hAnsi="Arial Narrow"/>
                <w:b/>
                <w:sz w:val="20"/>
              </w:rPr>
            </w:pPr>
            <w:r>
              <w:rPr>
                <w:rFonts w:ascii="Arial Narrow" w:hAnsi="Arial Narrow"/>
                <w:b/>
                <w:sz w:val="20"/>
              </w:rPr>
              <w:t>Study</w:t>
            </w:r>
            <w:r w:rsidRPr="007D2F5C">
              <w:rPr>
                <w:rFonts w:ascii="Arial Narrow" w:hAnsi="Arial Narrow"/>
                <w:b/>
                <w:sz w:val="20"/>
              </w:rPr>
              <w:t xml:space="preserve"> ID</w:t>
            </w:r>
          </w:p>
        </w:tc>
        <w:tc>
          <w:tcPr>
            <w:tcW w:w="3159" w:type="pct"/>
          </w:tcPr>
          <w:p w:rsidR="00EE5AF1" w:rsidRPr="007D2F5C" w:rsidRDefault="00EE5AF1" w:rsidP="00EE5AF1">
            <w:pPr>
              <w:jc w:val="center"/>
              <w:rPr>
                <w:rFonts w:ascii="Arial Narrow" w:hAnsi="Arial Narrow"/>
                <w:b/>
                <w:sz w:val="20"/>
              </w:rPr>
            </w:pPr>
            <w:r w:rsidRPr="007D2F5C">
              <w:rPr>
                <w:rFonts w:ascii="Arial Narrow" w:hAnsi="Arial Narrow"/>
                <w:b/>
                <w:sz w:val="20"/>
              </w:rPr>
              <w:t>Protocol title/ Publication title</w:t>
            </w:r>
          </w:p>
        </w:tc>
        <w:tc>
          <w:tcPr>
            <w:tcW w:w="1106" w:type="pct"/>
          </w:tcPr>
          <w:p w:rsidR="00EE5AF1" w:rsidRPr="007D2F5C" w:rsidRDefault="00EE5AF1" w:rsidP="00EE5AF1">
            <w:pPr>
              <w:jc w:val="center"/>
              <w:rPr>
                <w:rFonts w:ascii="Arial Narrow" w:hAnsi="Arial Narrow"/>
                <w:b/>
                <w:sz w:val="20"/>
              </w:rPr>
            </w:pPr>
            <w:r w:rsidRPr="007D2F5C">
              <w:rPr>
                <w:rFonts w:ascii="Arial Narrow" w:hAnsi="Arial Narrow"/>
                <w:b/>
                <w:sz w:val="20"/>
              </w:rPr>
              <w:t>Publication citation</w:t>
            </w:r>
          </w:p>
        </w:tc>
      </w:tr>
      <w:tr w:rsidR="00EE5AF1" w:rsidRPr="007D2F5C" w:rsidTr="00AF78AC">
        <w:tc>
          <w:tcPr>
            <w:tcW w:w="5000" w:type="pct"/>
            <w:gridSpan w:val="3"/>
            <w:shd w:val="clear" w:color="auto" w:fill="D9D9D9" w:themeFill="background1" w:themeFillShade="D9"/>
          </w:tcPr>
          <w:p w:rsidR="00EE5AF1" w:rsidRPr="007D2F5C" w:rsidRDefault="00EE5AF1" w:rsidP="00EE5AF1">
            <w:pPr>
              <w:jc w:val="left"/>
              <w:rPr>
                <w:rFonts w:ascii="Arial Narrow" w:hAnsi="Arial Narrow"/>
                <w:b/>
                <w:sz w:val="20"/>
              </w:rPr>
            </w:pPr>
            <w:r w:rsidRPr="007D2F5C">
              <w:rPr>
                <w:rFonts w:ascii="Arial Narrow" w:hAnsi="Arial Narrow"/>
                <w:b/>
                <w:sz w:val="20"/>
              </w:rPr>
              <w:t>Studies of LDV/SOF</w:t>
            </w:r>
          </w:p>
        </w:tc>
      </w:tr>
      <w:tr w:rsidR="00EE5AF1" w:rsidRPr="007D2F5C" w:rsidTr="00AF78AC">
        <w:tc>
          <w:tcPr>
            <w:tcW w:w="735" w:type="pct"/>
            <w:vMerge w:val="restart"/>
          </w:tcPr>
          <w:p w:rsidR="00EE5AF1" w:rsidRPr="007D2F5C" w:rsidRDefault="00EE5AF1" w:rsidP="00EE5AF1">
            <w:pPr>
              <w:jc w:val="left"/>
              <w:rPr>
                <w:rFonts w:ascii="Arial Narrow" w:hAnsi="Arial Narrow"/>
                <w:b/>
                <w:sz w:val="20"/>
              </w:rPr>
            </w:pPr>
            <w:r w:rsidRPr="007D2F5C">
              <w:rPr>
                <w:rFonts w:ascii="Arial Narrow" w:hAnsi="Arial Narrow"/>
                <w:b/>
                <w:sz w:val="20"/>
              </w:rPr>
              <w:t>ION-1</w:t>
            </w:r>
          </w:p>
          <w:p w:rsidR="00EE5AF1" w:rsidRPr="007D2F5C" w:rsidRDefault="00EE5AF1" w:rsidP="00EE5AF1">
            <w:pPr>
              <w:jc w:val="left"/>
              <w:rPr>
                <w:rFonts w:ascii="Arial Narrow" w:hAnsi="Arial Narrow"/>
                <w:b/>
                <w:sz w:val="20"/>
              </w:rPr>
            </w:pPr>
            <w:r w:rsidRPr="007D2F5C">
              <w:rPr>
                <w:rFonts w:ascii="Arial Narrow" w:hAnsi="Arial Narrow"/>
                <w:sz w:val="20"/>
              </w:rPr>
              <w:t>NCT01701401</w:t>
            </w:r>
          </w:p>
          <w:p w:rsidR="00EE5AF1" w:rsidRPr="007D2F5C" w:rsidRDefault="00EE5AF1" w:rsidP="00134998">
            <w:pPr>
              <w:jc w:val="left"/>
              <w:rPr>
                <w:rFonts w:ascii="Arial Narrow" w:hAnsi="Arial Narrow"/>
                <w:sz w:val="20"/>
              </w:rPr>
            </w:pPr>
            <w:proofErr w:type="spellStart"/>
            <w:r w:rsidRPr="007D2F5C">
              <w:rPr>
                <w:rFonts w:ascii="Arial Narrow" w:hAnsi="Arial Narrow"/>
                <w:sz w:val="20"/>
              </w:rPr>
              <w:lastRenderedPageBreak/>
              <w:t>Afdhal</w:t>
            </w:r>
            <w:proofErr w:type="spellEnd"/>
            <w:r w:rsidRPr="007D2F5C">
              <w:rPr>
                <w:rFonts w:ascii="Arial Narrow" w:hAnsi="Arial Narrow"/>
                <w:sz w:val="20"/>
              </w:rPr>
              <w:t xml:space="preserve"> et al 2014</w:t>
            </w:r>
          </w:p>
        </w:tc>
        <w:tc>
          <w:tcPr>
            <w:tcW w:w="3159" w:type="pct"/>
          </w:tcPr>
          <w:p w:rsidR="00EE5AF1" w:rsidRPr="007D2F5C" w:rsidRDefault="00EE5AF1" w:rsidP="00EE5AF1">
            <w:pPr>
              <w:jc w:val="left"/>
              <w:rPr>
                <w:rFonts w:ascii="Arial Narrow" w:hAnsi="Arial Narrow"/>
                <w:b/>
                <w:sz w:val="20"/>
              </w:rPr>
            </w:pPr>
            <w:r w:rsidRPr="007D2F5C">
              <w:rPr>
                <w:rFonts w:ascii="Arial Narrow" w:hAnsi="Arial Narrow"/>
                <w:sz w:val="20"/>
              </w:rPr>
              <w:lastRenderedPageBreak/>
              <w:t>A Phase 3, Multi</w:t>
            </w:r>
            <w:r>
              <w:rPr>
                <w:rFonts w:ascii="Arial Narrow" w:hAnsi="Arial Narrow"/>
                <w:sz w:val="20"/>
              </w:rPr>
              <w:t>-</w:t>
            </w:r>
            <w:r w:rsidRPr="007D2F5C">
              <w:rPr>
                <w:rFonts w:ascii="Arial Narrow" w:hAnsi="Arial Narrow"/>
                <w:sz w:val="20"/>
              </w:rPr>
              <w:t>cent</w:t>
            </w:r>
            <w:r>
              <w:rPr>
                <w:rFonts w:ascii="Arial Narrow" w:hAnsi="Arial Narrow"/>
                <w:sz w:val="20"/>
              </w:rPr>
              <w:t>re</w:t>
            </w:r>
            <w:r w:rsidRPr="007D2F5C">
              <w:rPr>
                <w:rFonts w:ascii="Arial Narrow" w:hAnsi="Arial Narrow"/>
                <w:sz w:val="20"/>
              </w:rPr>
              <w:t xml:space="preserve">, Randomized, Open-Label Study to Investigate the Efficacy and Safety of Sofosbuvir/GS-5885 Fixed-Dose </w:t>
            </w:r>
            <w:r w:rsidRPr="007D2F5C">
              <w:rPr>
                <w:rFonts w:ascii="Arial Narrow" w:hAnsi="Arial Narrow"/>
                <w:sz w:val="20"/>
              </w:rPr>
              <w:lastRenderedPageBreak/>
              <w:t>Combination ± Ribavirin for 12 and 24 Weeks in Treatment-Naive Subjects with Chronic Genotype 1 HCV Infection</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sz w:val="20"/>
              </w:rPr>
              <w:lastRenderedPageBreak/>
              <w:t>Final CSR 28 July 2014</w:t>
            </w:r>
          </w:p>
        </w:tc>
      </w:tr>
      <w:tr w:rsidR="00EE5AF1" w:rsidRPr="007D2F5C" w:rsidTr="00AF78AC">
        <w:tc>
          <w:tcPr>
            <w:tcW w:w="735" w:type="pct"/>
            <w:vMerge/>
          </w:tcPr>
          <w:p w:rsidR="00EE5AF1" w:rsidRPr="007D2F5C" w:rsidRDefault="00EE5AF1" w:rsidP="00EE5AF1">
            <w:pPr>
              <w:jc w:val="left"/>
              <w:rPr>
                <w:rFonts w:ascii="Arial Narrow" w:hAnsi="Arial Narrow"/>
                <w:sz w:val="20"/>
              </w:rPr>
            </w:pPr>
          </w:p>
        </w:tc>
        <w:tc>
          <w:tcPr>
            <w:tcW w:w="3159" w:type="pct"/>
          </w:tcPr>
          <w:p w:rsidR="00EE5AF1" w:rsidRPr="007D2F5C" w:rsidRDefault="00EE5AF1" w:rsidP="00EE5AF1">
            <w:pPr>
              <w:jc w:val="left"/>
              <w:rPr>
                <w:rFonts w:ascii="Arial Narrow" w:hAnsi="Arial Narrow"/>
                <w:b/>
                <w:sz w:val="20"/>
              </w:rPr>
            </w:pPr>
            <w:proofErr w:type="spellStart"/>
            <w:r w:rsidRPr="007D2F5C">
              <w:rPr>
                <w:rFonts w:ascii="Arial Narrow" w:hAnsi="Arial Narrow" w:cs="Segoe UI"/>
                <w:snapToGrid/>
                <w:sz w:val="20"/>
                <w:lang w:eastAsia="en-AU"/>
              </w:rPr>
              <w:t>Afdhal</w:t>
            </w:r>
            <w:proofErr w:type="spellEnd"/>
            <w:r w:rsidRPr="007D2F5C">
              <w:rPr>
                <w:rFonts w:ascii="Arial Narrow" w:hAnsi="Arial Narrow" w:cs="Segoe UI"/>
                <w:snapToGrid/>
                <w:sz w:val="20"/>
                <w:lang w:eastAsia="en-AU"/>
              </w:rPr>
              <w:t xml:space="preserve">, N., S. </w:t>
            </w: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P. </w:t>
            </w:r>
            <w:proofErr w:type="spellStart"/>
            <w:r w:rsidRPr="007D2F5C">
              <w:rPr>
                <w:rFonts w:ascii="Arial Narrow" w:hAnsi="Arial Narrow" w:cs="Segoe UI"/>
                <w:snapToGrid/>
                <w:sz w:val="20"/>
                <w:lang w:eastAsia="en-AU"/>
              </w:rPr>
              <w:t>Kwo</w:t>
            </w:r>
            <w:proofErr w:type="spellEnd"/>
            <w:r w:rsidRPr="007D2F5C">
              <w:rPr>
                <w:rFonts w:ascii="Arial Narrow" w:hAnsi="Arial Narrow" w:cs="Segoe UI"/>
                <w:snapToGrid/>
                <w:sz w:val="20"/>
                <w:lang w:eastAsia="en-AU"/>
              </w:rPr>
              <w:t xml:space="preserve">, M. </w:t>
            </w:r>
            <w:proofErr w:type="spellStart"/>
            <w:r w:rsidRPr="007D2F5C">
              <w:rPr>
                <w:rFonts w:ascii="Arial Narrow" w:hAnsi="Arial Narrow" w:cs="Segoe UI"/>
                <w:snapToGrid/>
                <w:sz w:val="20"/>
                <w:lang w:eastAsia="en-AU"/>
              </w:rPr>
              <w:t>Chojkier</w:t>
            </w:r>
            <w:proofErr w:type="spellEnd"/>
            <w:r w:rsidRPr="007D2F5C">
              <w:rPr>
                <w:rFonts w:ascii="Arial Narrow" w:hAnsi="Arial Narrow" w:cs="Segoe UI"/>
                <w:snapToGrid/>
                <w:sz w:val="20"/>
                <w:lang w:eastAsia="en-AU"/>
              </w:rPr>
              <w:t xml:space="preserve">, N. </w:t>
            </w:r>
            <w:proofErr w:type="spellStart"/>
            <w:r w:rsidRPr="007D2F5C">
              <w:rPr>
                <w:rFonts w:ascii="Arial Narrow" w:hAnsi="Arial Narrow" w:cs="Segoe UI"/>
                <w:snapToGrid/>
                <w:sz w:val="20"/>
                <w:lang w:eastAsia="en-AU"/>
              </w:rPr>
              <w:t>Gitlin</w:t>
            </w:r>
            <w:proofErr w:type="spellEnd"/>
            <w:r w:rsidRPr="007D2F5C">
              <w:rPr>
                <w:rFonts w:ascii="Arial Narrow" w:hAnsi="Arial Narrow" w:cs="Segoe UI"/>
                <w:snapToGrid/>
                <w:sz w:val="20"/>
                <w:lang w:eastAsia="en-AU"/>
              </w:rPr>
              <w:t xml:space="preserve">, M. </w:t>
            </w:r>
            <w:proofErr w:type="spellStart"/>
            <w:r w:rsidRPr="007D2F5C">
              <w:rPr>
                <w:rFonts w:ascii="Arial Narrow" w:hAnsi="Arial Narrow" w:cs="Segoe UI"/>
                <w:snapToGrid/>
                <w:sz w:val="20"/>
                <w:lang w:eastAsia="en-AU"/>
              </w:rPr>
              <w:t>Puoti</w:t>
            </w:r>
            <w:proofErr w:type="spellEnd"/>
            <w:r w:rsidRPr="007D2F5C">
              <w:rPr>
                <w:rFonts w:ascii="Arial Narrow" w:hAnsi="Arial Narrow" w:cs="Segoe UI"/>
                <w:snapToGrid/>
                <w:sz w:val="20"/>
                <w:lang w:eastAsia="en-AU"/>
              </w:rPr>
              <w:t>, M. Romero-Gomez</w:t>
            </w:r>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Ledipasvir</w:t>
            </w:r>
            <w:proofErr w:type="spellEnd"/>
            <w:r w:rsidRPr="007D2F5C">
              <w:rPr>
                <w:rFonts w:ascii="Arial Narrow" w:hAnsi="Arial Narrow" w:cs="Segoe UI"/>
                <w:snapToGrid/>
                <w:sz w:val="20"/>
                <w:lang w:eastAsia="en-AU"/>
              </w:rPr>
              <w:t xml:space="preserve"> and Sofosbuvir for Untreated H</w:t>
            </w:r>
            <w:r>
              <w:rPr>
                <w:rFonts w:ascii="Arial Narrow" w:hAnsi="Arial Narrow" w:cs="Segoe UI"/>
                <w:snapToGrid/>
                <w:sz w:val="20"/>
                <w:lang w:eastAsia="en-AU"/>
              </w:rPr>
              <w:t>CV</w:t>
            </w:r>
            <w:r w:rsidRPr="007D2F5C">
              <w:rPr>
                <w:rFonts w:ascii="Arial Narrow" w:hAnsi="Arial Narrow" w:cs="Segoe UI"/>
                <w:snapToGrid/>
                <w:sz w:val="20"/>
                <w:lang w:eastAsia="en-AU"/>
              </w:rPr>
              <w:t xml:space="preserve"> Genotype 1 Infection." </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cs="Segoe UI"/>
                <w:i/>
                <w:iCs/>
                <w:snapToGrid/>
                <w:sz w:val="20"/>
                <w:lang w:eastAsia="en-AU"/>
              </w:rPr>
              <w:t xml:space="preserve">New England Journal of Medicine </w:t>
            </w:r>
            <w:r w:rsidRPr="007D2F5C">
              <w:rPr>
                <w:rFonts w:ascii="Arial Narrow" w:hAnsi="Arial Narrow" w:cs="Segoe UI"/>
                <w:snapToGrid/>
                <w:sz w:val="20"/>
                <w:lang w:eastAsia="en-AU"/>
              </w:rPr>
              <w:t>370, no. 20 (2014): 1889-98.</w:t>
            </w:r>
          </w:p>
        </w:tc>
      </w:tr>
      <w:tr w:rsidR="00EE5AF1" w:rsidRPr="007D2F5C" w:rsidTr="00AF78AC">
        <w:tc>
          <w:tcPr>
            <w:tcW w:w="735" w:type="pct"/>
            <w:vMerge w:val="restart"/>
          </w:tcPr>
          <w:p w:rsidR="00EE5AF1" w:rsidRPr="007D2F5C" w:rsidRDefault="00EE5AF1" w:rsidP="00EE5AF1">
            <w:pPr>
              <w:pStyle w:val="Table"/>
              <w:rPr>
                <w:rFonts w:ascii="Arial Narrow" w:hAnsi="Arial Narrow"/>
                <w:b/>
                <w:szCs w:val="20"/>
              </w:rPr>
            </w:pPr>
            <w:r w:rsidRPr="007D2F5C">
              <w:rPr>
                <w:rFonts w:ascii="Arial Narrow" w:hAnsi="Arial Narrow"/>
                <w:b/>
                <w:szCs w:val="20"/>
              </w:rPr>
              <w:t>ION-2</w:t>
            </w:r>
          </w:p>
          <w:p w:rsidR="00EE5AF1" w:rsidRPr="007D2F5C" w:rsidRDefault="00EE5AF1" w:rsidP="00EE5AF1">
            <w:pPr>
              <w:pStyle w:val="Table"/>
              <w:rPr>
                <w:rFonts w:ascii="Arial Narrow" w:hAnsi="Arial Narrow"/>
                <w:szCs w:val="20"/>
              </w:rPr>
            </w:pPr>
            <w:r w:rsidRPr="007D2F5C">
              <w:rPr>
                <w:rStyle w:val="Small"/>
                <w:rFonts w:ascii="Arial Narrow" w:hAnsi="Arial Narrow"/>
                <w:szCs w:val="20"/>
              </w:rPr>
              <w:t>NCT01768286</w:t>
            </w:r>
          </w:p>
          <w:p w:rsidR="00EE5AF1" w:rsidRPr="007D2F5C" w:rsidRDefault="00EE5AF1" w:rsidP="00EE5AF1">
            <w:pPr>
              <w:jc w:val="left"/>
              <w:rPr>
                <w:rFonts w:ascii="Arial Narrow" w:hAnsi="Arial Narrow"/>
                <w:sz w:val="20"/>
              </w:rPr>
            </w:pPr>
            <w:proofErr w:type="spellStart"/>
            <w:r w:rsidRPr="007D2F5C">
              <w:rPr>
                <w:rFonts w:ascii="Arial Narrow" w:hAnsi="Arial Narrow"/>
                <w:sz w:val="20"/>
              </w:rPr>
              <w:t>Afdhal</w:t>
            </w:r>
            <w:proofErr w:type="spellEnd"/>
            <w:r w:rsidRPr="007D2F5C">
              <w:rPr>
                <w:rFonts w:ascii="Arial Narrow" w:hAnsi="Arial Narrow"/>
                <w:sz w:val="20"/>
              </w:rPr>
              <w:t xml:space="preserve"> et al 2014</w:t>
            </w:r>
          </w:p>
          <w:p w:rsidR="00EE5AF1" w:rsidRPr="007D2F5C" w:rsidRDefault="00EE5AF1" w:rsidP="00EE5AF1">
            <w:pPr>
              <w:jc w:val="left"/>
              <w:rPr>
                <w:rFonts w:ascii="Arial Narrow" w:hAnsi="Arial Narrow"/>
                <w:sz w:val="20"/>
              </w:rPr>
            </w:pPr>
          </w:p>
        </w:tc>
        <w:tc>
          <w:tcPr>
            <w:tcW w:w="3159" w:type="pct"/>
          </w:tcPr>
          <w:p w:rsidR="00EE5AF1" w:rsidRPr="007D2F5C" w:rsidRDefault="00EE5AF1" w:rsidP="00EE5AF1">
            <w:pPr>
              <w:jc w:val="left"/>
              <w:rPr>
                <w:rFonts w:ascii="Arial Narrow" w:hAnsi="Arial Narrow"/>
                <w:sz w:val="20"/>
              </w:rPr>
            </w:pPr>
            <w:r w:rsidRPr="007D2F5C">
              <w:rPr>
                <w:rFonts w:ascii="Arial Narrow" w:hAnsi="Arial Narrow"/>
                <w:sz w:val="20"/>
              </w:rPr>
              <w:t>A Phase 3, Multi</w:t>
            </w:r>
            <w:r>
              <w:rPr>
                <w:rFonts w:ascii="Arial Narrow" w:hAnsi="Arial Narrow"/>
                <w:sz w:val="20"/>
              </w:rPr>
              <w:t>-</w:t>
            </w:r>
            <w:r w:rsidRPr="007D2F5C">
              <w:rPr>
                <w:rFonts w:ascii="Arial Narrow" w:hAnsi="Arial Narrow"/>
                <w:sz w:val="20"/>
              </w:rPr>
              <w:t>cent</w:t>
            </w:r>
            <w:r>
              <w:rPr>
                <w:rFonts w:ascii="Arial Narrow" w:hAnsi="Arial Narrow"/>
                <w:sz w:val="20"/>
              </w:rPr>
              <w:t>re</w:t>
            </w:r>
            <w:r w:rsidRPr="007D2F5C">
              <w:rPr>
                <w:rFonts w:ascii="Arial Narrow" w:hAnsi="Arial Narrow"/>
                <w:sz w:val="20"/>
              </w:rPr>
              <w:t xml:space="preserve">, Randomized, Open-Label Study to Investigate the Efficacy and Safety of Sofosbuvir/GS-5885 Fixed-Dose Combination </w:t>
            </w:r>
            <w:r>
              <w:rPr>
                <w:rFonts w:ascii="Arial Narrow" w:hAnsi="Arial Narrow"/>
                <w:sz w:val="20"/>
              </w:rPr>
              <w:t>±</w:t>
            </w:r>
            <w:r w:rsidRPr="007D2F5C">
              <w:rPr>
                <w:rFonts w:ascii="Arial Narrow" w:hAnsi="Arial Narrow"/>
                <w:sz w:val="20"/>
              </w:rPr>
              <w:t xml:space="preserve"> Ribavirin for 12 and 24 Weeks in Treatment-Experienced Subjects with Chronic Genotype 1 HCV Infection</w:t>
            </w:r>
          </w:p>
        </w:tc>
        <w:tc>
          <w:tcPr>
            <w:tcW w:w="1106" w:type="pct"/>
          </w:tcPr>
          <w:p w:rsidR="00EE5AF1" w:rsidRPr="007D2F5C" w:rsidRDefault="00EE5AF1" w:rsidP="00EE5AF1">
            <w:pPr>
              <w:jc w:val="left"/>
              <w:rPr>
                <w:rFonts w:ascii="Arial Narrow" w:hAnsi="Arial Narrow"/>
                <w:sz w:val="20"/>
              </w:rPr>
            </w:pPr>
            <w:r w:rsidRPr="007D2F5C">
              <w:rPr>
                <w:rFonts w:ascii="Arial Narrow" w:hAnsi="Arial Narrow"/>
                <w:sz w:val="20"/>
              </w:rPr>
              <w:t>Final CSR 9 June 2014</w:t>
            </w:r>
          </w:p>
        </w:tc>
      </w:tr>
      <w:tr w:rsidR="00EE5AF1" w:rsidRPr="007D2F5C" w:rsidTr="00AF78AC">
        <w:tc>
          <w:tcPr>
            <w:tcW w:w="735" w:type="pct"/>
            <w:vMerge/>
          </w:tcPr>
          <w:p w:rsidR="00EE5AF1" w:rsidRPr="007D2F5C" w:rsidRDefault="00EE5AF1" w:rsidP="00EE5AF1">
            <w:pPr>
              <w:jc w:val="left"/>
              <w:rPr>
                <w:rFonts w:ascii="Arial Narrow" w:hAnsi="Arial Narrow"/>
                <w:sz w:val="20"/>
              </w:rPr>
            </w:pPr>
          </w:p>
        </w:tc>
        <w:tc>
          <w:tcPr>
            <w:tcW w:w="3159" w:type="pct"/>
          </w:tcPr>
          <w:p w:rsidR="00EE5AF1" w:rsidRPr="007D2F5C" w:rsidRDefault="00EE5AF1" w:rsidP="00EE5AF1">
            <w:pPr>
              <w:jc w:val="left"/>
              <w:rPr>
                <w:rFonts w:ascii="Arial Narrow" w:hAnsi="Arial Narrow"/>
                <w:sz w:val="20"/>
              </w:rPr>
            </w:pPr>
            <w:proofErr w:type="spellStart"/>
            <w:r w:rsidRPr="007D2F5C">
              <w:rPr>
                <w:rFonts w:ascii="Arial Narrow" w:hAnsi="Arial Narrow" w:cs="Segoe UI"/>
                <w:snapToGrid/>
                <w:sz w:val="20"/>
                <w:lang w:eastAsia="en-AU"/>
              </w:rPr>
              <w:t>Afdhal</w:t>
            </w:r>
            <w:proofErr w:type="spellEnd"/>
            <w:r w:rsidRPr="007D2F5C">
              <w:rPr>
                <w:rFonts w:ascii="Arial Narrow" w:hAnsi="Arial Narrow" w:cs="Segoe UI"/>
                <w:snapToGrid/>
                <w:sz w:val="20"/>
                <w:lang w:eastAsia="en-AU"/>
              </w:rPr>
              <w:t xml:space="preserve">, N., K. R. Reddy, D. R. Nelson, E.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S. C. Gordon, E. Schiff, R. </w:t>
            </w:r>
            <w:proofErr w:type="spellStart"/>
            <w:r w:rsidRPr="007D2F5C">
              <w:rPr>
                <w:rFonts w:ascii="Arial Narrow" w:hAnsi="Arial Narrow" w:cs="Segoe UI"/>
                <w:snapToGrid/>
                <w:sz w:val="20"/>
                <w:lang w:eastAsia="en-AU"/>
              </w:rPr>
              <w:t>Nahass</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Ledipasvir</w:t>
            </w:r>
            <w:proofErr w:type="spellEnd"/>
            <w:r w:rsidRPr="007D2F5C">
              <w:rPr>
                <w:rFonts w:ascii="Arial Narrow" w:hAnsi="Arial Narrow" w:cs="Segoe UI"/>
                <w:snapToGrid/>
                <w:sz w:val="20"/>
                <w:lang w:eastAsia="en-AU"/>
              </w:rPr>
              <w:t xml:space="preserve"> and Sofosbuvir for Previously Treated H</w:t>
            </w:r>
            <w:r>
              <w:rPr>
                <w:rFonts w:ascii="Arial Narrow" w:hAnsi="Arial Narrow" w:cs="Segoe UI"/>
                <w:snapToGrid/>
                <w:sz w:val="20"/>
                <w:lang w:eastAsia="en-AU"/>
              </w:rPr>
              <w:t>CV</w:t>
            </w:r>
            <w:r w:rsidRPr="007D2F5C">
              <w:rPr>
                <w:rFonts w:ascii="Arial Narrow" w:hAnsi="Arial Narrow" w:cs="Segoe UI"/>
                <w:snapToGrid/>
                <w:sz w:val="20"/>
                <w:lang w:eastAsia="en-AU"/>
              </w:rPr>
              <w:t xml:space="preserve"> Genotype 1 Infection." </w:t>
            </w:r>
          </w:p>
        </w:tc>
        <w:tc>
          <w:tcPr>
            <w:tcW w:w="1106" w:type="pct"/>
          </w:tcPr>
          <w:p w:rsidR="00EE5AF1" w:rsidRPr="007D2F5C" w:rsidRDefault="00EE5AF1" w:rsidP="00EE5AF1">
            <w:pPr>
              <w:jc w:val="left"/>
              <w:rPr>
                <w:rFonts w:ascii="Arial Narrow" w:hAnsi="Arial Narrow"/>
                <w:sz w:val="20"/>
              </w:rPr>
            </w:pPr>
            <w:r w:rsidRPr="007D2F5C">
              <w:rPr>
                <w:rFonts w:ascii="Arial Narrow" w:hAnsi="Arial Narrow" w:cs="Segoe UI"/>
                <w:i/>
                <w:iCs/>
                <w:snapToGrid/>
                <w:sz w:val="20"/>
                <w:lang w:eastAsia="en-AU"/>
              </w:rPr>
              <w:t xml:space="preserve">New England Journal of Medicine </w:t>
            </w:r>
            <w:r w:rsidRPr="007D2F5C">
              <w:rPr>
                <w:rFonts w:ascii="Arial Narrow" w:hAnsi="Arial Narrow" w:cs="Segoe UI"/>
                <w:snapToGrid/>
                <w:sz w:val="20"/>
                <w:lang w:eastAsia="en-AU"/>
              </w:rPr>
              <w:t>370, no. 16 (2014): 1483-93.</w:t>
            </w:r>
          </w:p>
        </w:tc>
      </w:tr>
      <w:tr w:rsidR="00EE5AF1" w:rsidRPr="007D2F5C" w:rsidTr="00AF78AC">
        <w:tc>
          <w:tcPr>
            <w:tcW w:w="735" w:type="pct"/>
            <w:vMerge w:val="restart"/>
          </w:tcPr>
          <w:p w:rsidR="00EE5AF1" w:rsidRPr="007D2F5C" w:rsidRDefault="00EE5AF1" w:rsidP="00EE5AF1">
            <w:pPr>
              <w:jc w:val="left"/>
              <w:rPr>
                <w:rFonts w:ascii="Arial Narrow" w:hAnsi="Arial Narrow"/>
                <w:b/>
                <w:sz w:val="20"/>
              </w:rPr>
            </w:pPr>
            <w:r w:rsidRPr="007D2F5C">
              <w:rPr>
                <w:rFonts w:ascii="Arial Narrow" w:hAnsi="Arial Narrow"/>
                <w:b/>
                <w:sz w:val="20"/>
              </w:rPr>
              <w:t>ION-3</w:t>
            </w:r>
          </w:p>
          <w:p w:rsidR="00EE5AF1" w:rsidRPr="007D2F5C" w:rsidRDefault="00EE5AF1" w:rsidP="00EE5AF1">
            <w:pPr>
              <w:pStyle w:val="Table"/>
              <w:rPr>
                <w:rFonts w:ascii="Arial Narrow" w:hAnsi="Arial Narrow"/>
                <w:szCs w:val="20"/>
              </w:rPr>
            </w:pPr>
            <w:r w:rsidRPr="007D2F5C">
              <w:rPr>
                <w:rStyle w:val="Small"/>
                <w:rFonts w:ascii="Arial Narrow" w:hAnsi="Arial Narrow"/>
                <w:szCs w:val="20"/>
              </w:rPr>
              <w:t>NCT01851330</w:t>
            </w:r>
          </w:p>
          <w:p w:rsidR="00EE5AF1" w:rsidRPr="007D2F5C" w:rsidRDefault="00EE5AF1" w:rsidP="00134998">
            <w:pPr>
              <w:jc w:val="left"/>
              <w:rPr>
                <w:rFonts w:ascii="Arial Narrow" w:hAnsi="Arial Narrow"/>
                <w:sz w:val="20"/>
              </w:rPr>
            </w:pPr>
            <w:proofErr w:type="spellStart"/>
            <w:r w:rsidRPr="007D2F5C">
              <w:rPr>
                <w:rFonts w:ascii="Arial Narrow" w:hAnsi="Arial Narrow"/>
                <w:sz w:val="20"/>
              </w:rPr>
              <w:t>Kowdley</w:t>
            </w:r>
            <w:proofErr w:type="spellEnd"/>
            <w:r w:rsidRPr="007D2F5C">
              <w:rPr>
                <w:rFonts w:ascii="Arial Narrow" w:hAnsi="Arial Narrow"/>
                <w:sz w:val="20"/>
              </w:rPr>
              <w:t xml:space="preserve"> et al 2014</w:t>
            </w:r>
          </w:p>
        </w:tc>
        <w:tc>
          <w:tcPr>
            <w:tcW w:w="3159" w:type="pct"/>
          </w:tcPr>
          <w:p w:rsidR="00EE5AF1" w:rsidRPr="007D2F5C" w:rsidRDefault="00EE5AF1" w:rsidP="00EE5AF1">
            <w:pPr>
              <w:jc w:val="left"/>
              <w:rPr>
                <w:rFonts w:ascii="Arial Narrow" w:hAnsi="Arial Narrow"/>
                <w:sz w:val="20"/>
              </w:rPr>
            </w:pPr>
            <w:r w:rsidRPr="007D2F5C">
              <w:rPr>
                <w:rFonts w:ascii="Arial Narrow" w:hAnsi="Arial Narrow"/>
                <w:sz w:val="20"/>
              </w:rPr>
              <w:t xml:space="preserve">A Phase 3, </w:t>
            </w:r>
            <w:proofErr w:type="spellStart"/>
            <w:r w:rsidRPr="007D2F5C">
              <w:rPr>
                <w:rFonts w:ascii="Arial Narrow" w:hAnsi="Arial Narrow"/>
                <w:sz w:val="20"/>
              </w:rPr>
              <w:t>Multicenter</w:t>
            </w:r>
            <w:proofErr w:type="spellEnd"/>
            <w:r w:rsidRPr="007D2F5C">
              <w:rPr>
                <w:rFonts w:ascii="Arial Narrow" w:hAnsi="Arial Narrow"/>
                <w:sz w:val="20"/>
              </w:rPr>
              <w:t>, Randomized, Open-Label Study to Investigate the Efficacy and Safety of Sofosbuvir/</w:t>
            </w:r>
            <w:proofErr w:type="spellStart"/>
            <w:r w:rsidRPr="007D2F5C">
              <w:rPr>
                <w:rFonts w:ascii="Arial Narrow" w:hAnsi="Arial Narrow"/>
                <w:sz w:val="20"/>
              </w:rPr>
              <w:t>Ledipasvir</w:t>
            </w:r>
            <w:proofErr w:type="spellEnd"/>
            <w:r w:rsidRPr="007D2F5C">
              <w:rPr>
                <w:rFonts w:ascii="Arial Narrow" w:hAnsi="Arial Narrow"/>
                <w:sz w:val="20"/>
              </w:rPr>
              <w:t xml:space="preserve"> Fixed-Dose Combination </w:t>
            </w:r>
            <w:r w:rsidR="00206DD3" w:rsidRPr="007D2F5C">
              <w:rPr>
                <w:rFonts w:ascii="Arial Narrow" w:hAnsi="Arial Narrow"/>
                <w:sz w:val="20"/>
              </w:rPr>
              <w:t>±</w:t>
            </w:r>
            <w:r w:rsidRPr="007D2F5C">
              <w:rPr>
                <w:rFonts w:ascii="Arial Narrow" w:hAnsi="Arial Narrow"/>
                <w:sz w:val="20"/>
              </w:rPr>
              <w:t xml:space="preserve"> Ribavirin for 8 Weeks and Sofosbuvir/</w:t>
            </w:r>
            <w:proofErr w:type="spellStart"/>
            <w:r w:rsidRPr="007D2F5C">
              <w:rPr>
                <w:rFonts w:ascii="Arial Narrow" w:hAnsi="Arial Narrow"/>
                <w:sz w:val="20"/>
              </w:rPr>
              <w:t>Ledipasvir</w:t>
            </w:r>
            <w:proofErr w:type="spellEnd"/>
            <w:r w:rsidRPr="007D2F5C">
              <w:rPr>
                <w:rFonts w:ascii="Arial Narrow" w:hAnsi="Arial Narrow"/>
                <w:sz w:val="20"/>
              </w:rPr>
              <w:t xml:space="preserve"> Fixed-Dose Combination for 12 Weeks in Treatment-Naive Subjects with Chronic Genotype 1 HCV Infection</w:t>
            </w:r>
          </w:p>
        </w:tc>
        <w:tc>
          <w:tcPr>
            <w:tcW w:w="1106" w:type="pct"/>
          </w:tcPr>
          <w:p w:rsidR="00EE5AF1" w:rsidRPr="007D2F5C" w:rsidRDefault="00EE5AF1" w:rsidP="00EE5AF1">
            <w:pPr>
              <w:jc w:val="left"/>
              <w:rPr>
                <w:rFonts w:ascii="Arial Narrow" w:hAnsi="Arial Narrow"/>
                <w:sz w:val="20"/>
              </w:rPr>
            </w:pPr>
            <w:r w:rsidRPr="007D2F5C">
              <w:rPr>
                <w:rFonts w:ascii="Arial Narrow" w:hAnsi="Arial Narrow"/>
                <w:sz w:val="20"/>
              </w:rPr>
              <w:t>Final CSR 16 June 2014</w:t>
            </w:r>
          </w:p>
        </w:tc>
      </w:tr>
      <w:tr w:rsidR="00EE5AF1" w:rsidRPr="007D2F5C" w:rsidTr="00AF78AC">
        <w:tc>
          <w:tcPr>
            <w:tcW w:w="735" w:type="pct"/>
            <w:vMerge/>
          </w:tcPr>
          <w:p w:rsidR="00EE5AF1" w:rsidRPr="007D2F5C" w:rsidRDefault="00EE5AF1" w:rsidP="00EE5AF1">
            <w:pPr>
              <w:jc w:val="left"/>
              <w:rPr>
                <w:rFonts w:ascii="Arial Narrow" w:hAnsi="Arial Narrow"/>
                <w:sz w:val="20"/>
              </w:rPr>
            </w:pPr>
          </w:p>
        </w:tc>
        <w:tc>
          <w:tcPr>
            <w:tcW w:w="3159" w:type="pct"/>
          </w:tcPr>
          <w:p w:rsidR="00EE5AF1" w:rsidRPr="007D2F5C" w:rsidRDefault="00EE5AF1" w:rsidP="00EE5AF1">
            <w:pPr>
              <w:jc w:val="left"/>
              <w:rPr>
                <w:rFonts w:ascii="Arial Narrow" w:hAnsi="Arial Narrow"/>
                <w:sz w:val="20"/>
              </w:rPr>
            </w:pPr>
            <w:proofErr w:type="spellStart"/>
            <w:r w:rsidRPr="007D2F5C">
              <w:rPr>
                <w:rFonts w:ascii="Arial Narrow" w:hAnsi="Arial Narrow" w:cs="Segoe UI"/>
                <w:snapToGrid/>
                <w:sz w:val="20"/>
                <w:lang w:eastAsia="en-AU"/>
              </w:rPr>
              <w:t>Kowdley</w:t>
            </w:r>
            <w:proofErr w:type="spellEnd"/>
            <w:r w:rsidRPr="007D2F5C">
              <w:rPr>
                <w:rFonts w:ascii="Arial Narrow" w:hAnsi="Arial Narrow" w:cs="Segoe UI"/>
                <w:snapToGrid/>
                <w:sz w:val="20"/>
                <w:lang w:eastAsia="en-AU"/>
              </w:rPr>
              <w:t xml:space="preserve">, K. V., S. C. Gordon, K. R. Reddy, L. </w:t>
            </w:r>
            <w:proofErr w:type="spellStart"/>
            <w:r w:rsidRPr="007D2F5C">
              <w:rPr>
                <w:rFonts w:ascii="Arial Narrow" w:hAnsi="Arial Narrow" w:cs="Segoe UI"/>
                <w:snapToGrid/>
                <w:sz w:val="20"/>
                <w:lang w:eastAsia="en-AU"/>
              </w:rPr>
              <w:t>Rossaro</w:t>
            </w:r>
            <w:proofErr w:type="spellEnd"/>
            <w:r w:rsidRPr="007D2F5C">
              <w:rPr>
                <w:rFonts w:ascii="Arial Narrow" w:hAnsi="Arial Narrow" w:cs="Segoe UI"/>
                <w:snapToGrid/>
                <w:sz w:val="20"/>
                <w:lang w:eastAsia="en-AU"/>
              </w:rPr>
              <w:t xml:space="preserve">, D. E. Bernstein, E.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M. L. </w:t>
            </w:r>
            <w:proofErr w:type="spellStart"/>
            <w:r w:rsidRPr="007D2F5C">
              <w:rPr>
                <w:rFonts w:ascii="Arial Narrow" w:hAnsi="Arial Narrow" w:cs="Segoe UI"/>
                <w:snapToGrid/>
                <w:sz w:val="20"/>
                <w:lang w:eastAsia="en-AU"/>
              </w:rPr>
              <w:t>Shiffman</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Ledipasvir</w:t>
            </w:r>
            <w:proofErr w:type="spellEnd"/>
            <w:r w:rsidRPr="007D2F5C">
              <w:rPr>
                <w:rFonts w:ascii="Arial Narrow" w:hAnsi="Arial Narrow" w:cs="Segoe UI"/>
                <w:snapToGrid/>
                <w:sz w:val="20"/>
                <w:lang w:eastAsia="en-AU"/>
              </w:rPr>
              <w:t xml:space="preserve"> and Sofosbuvir for 8 or 12 Weeks for Chronic H</w:t>
            </w:r>
            <w:r>
              <w:rPr>
                <w:rFonts w:ascii="Arial Narrow" w:hAnsi="Arial Narrow" w:cs="Segoe UI"/>
                <w:snapToGrid/>
                <w:sz w:val="20"/>
                <w:lang w:eastAsia="en-AU"/>
              </w:rPr>
              <w:t>CV</w:t>
            </w:r>
            <w:r w:rsidRPr="007D2F5C">
              <w:rPr>
                <w:rFonts w:ascii="Arial Narrow" w:hAnsi="Arial Narrow" w:cs="Segoe UI"/>
                <w:snapToGrid/>
                <w:sz w:val="20"/>
                <w:lang w:eastAsia="en-AU"/>
              </w:rPr>
              <w:t xml:space="preserve"> without Cirrhosis." </w:t>
            </w:r>
          </w:p>
        </w:tc>
        <w:tc>
          <w:tcPr>
            <w:tcW w:w="1106" w:type="pct"/>
          </w:tcPr>
          <w:p w:rsidR="00EE5AF1" w:rsidRPr="007D2F5C" w:rsidRDefault="00EE5AF1" w:rsidP="00EE5AF1">
            <w:pPr>
              <w:jc w:val="left"/>
              <w:rPr>
                <w:rFonts w:ascii="Arial Narrow" w:hAnsi="Arial Narrow"/>
                <w:sz w:val="20"/>
              </w:rPr>
            </w:pPr>
            <w:r w:rsidRPr="007D2F5C">
              <w:rPr>
                <w:rFonts w:ascii="Arial Narrow" w:hAnsi="Arial Narrow" w:cs="Segoe UI"/>
                <w:i/>
                <w:iCs/>
                <w:snapToGrid/>
                <w:sz w:val="20"/>
                <w:lang w:eastAsia="en-AU"/>
              </w:rPr>
              <w:t xml:space="preserve">New England Journal of Medicine </w:t>
            </w:r>
            <w:r w:rsidRPr="007D2F5C">
              <w:rPr>
                <w:rFonts w:ascii="Arial Narrow" w:hAnsi="Arial Narrow" w:cs="Segoe UI"/>
                <w:snapToGrid/>
                <w:sz w:val="20"/>
                <w:lang w:eastAsia="en-AU"/>
              </w:rPr>
              <w:t>370, no. 20 (2014): 1879-88.</w:t>
            </w:r>
          </w:p>
        </w:tc>
      </w:tr>
      <w:tr w:rsidR="00EE5AF1" w:rsidRPr="007D2F5C" w:rsidTr="00AF78AC">
        <w:tc>
          <w:tcPr>
            <w:tcW w:w="5000" w:type="pct"/>
            <w:gridSpan w:val="3"/>
            <w:shd w:val="clear" w:color="auto" w:fill="D9D9D9" w:themeFill="background1" w:themeFillShade="D9"/>
          </w:tcPr>
          <w:p w:rsidR="00EE5AF1" w:rsidRPr="007D2F5C" w:rsidRDefault="00EE5AF1" w:rsidP="00EE5AF1">
            <w:pPr>
              <w:jc w:val="left"/>
              <w:rPr>
                <w:rFonts w:ascii="Arial Narrow" w:hAnsi="Arial Narrow"/>
                <w:b/>
                <w:sz w:val="20"/>
              </w:rPr>
            </w:pPr>
            <w:r w:rsidRPr="007D2F5C">
              <w:rPr>
                <w:rFonts w:ascii="Arial Narrow" w:hAnsi="Arial Narrow"/>
                <w:b/>
                <w:sz w:val="20"/>
              </w:rPr>
              <w:t xml:space="preserve">Supplementary studies of </w:t>
            </w:r>
            <w:r>
              <w:rPr>
                <w:rFonts w:ascii="Arial Narrow" w:hAnsi="Arial Narrow"/>
                <w:b/>
                <w:sz w:val="20"/>
              </w:rPr>
              <w:t xml:space="preserve">protease inhibitor </w:t>
            </w:r>
            <w:r w:rsidRPr="007D2F5C">
              <w:rPr>
                <w:rFonts w:ascii="Arial Narrow" w:hAnsi="Arial Narrow"/>
                <w:b/>
                <w:sz w:val="20"/>
              </w:rPr>
              <w:t>+</w:t>
            </w:r>
            <w:r w:rsidR="001B53E8">
              <w:rPr>
                <w:rFonts w:ascii="Arial Narrow" w:hAnsi="Arial Narrow"/>
                <w:b/>
                <w:sz w:val="20"/>
              </w:rPr>
              <w:t xml:space="preserve"> </w:t>
            </w:r>
            <w:proofErr w:type="spellStart"/>
            <w:r>
              <w:rPr>
                <w:rFonts w:ascii="Arial Narrow" w:hAnsi="Arial Narrow"/>
                <w:b/>
                <w:sz w:val="20"/>
              </w:rPr>
              <w:t>peginterferon</w:t>
            </w:r>
            <w:proofErr w:type="spellEnd"/>
            <w:r w:rsidR="001B53E8">
              <w:rPr>
                <w:rFonts w:ascii="Arial Narrow" w:hAnsi="Arial Narrow"/>
                <w:b/>
                <w:sz w:val="20"/>
              </w:rPr>
              <w:t xml:space="preserve"> </w:t>
            </w:r>
            <w:r>
              <w:rPr>
                <w:rFonts w:ascii="Arial Narrow" w:hAnsi="Arial Narrow"/>
                <w:b/>
                <w:sz w:val="20"/>
              </w:rPr>
              <w:t>+</w:t>
            </w:r>
            <w:r w:rsidR="001B53E8">
              <w:rPr>
                <w:rFonts w:ascii="Arial Narrow" w:hAnsi="Arial Narrow"/>
                <w:b/>
                <w:sz w:val="20"/>
              </w:rPr>
              <w:t xml:space="preserve"> </w:t>
            </w:r>
            <w:r>
              <w:rPr>
                <w:rFonts w:ascii="Arial Narrow" w:hAnsi="Arial Narrow"/>
                <w:b/>
                <w:sz w:val="20"/>
              </w:rPr>
              <w:t>ribavirin</w:t>
            </w:r>
          </w:p>
        </w:tc>
      </w:tr>
      <w:tr w:rsidR="00EE5AF1" w:rsidRPr="007D2F5C" w:rsidTr="00AF78AC">
        <w:trPr>
          <w:trHeight w:val="436"/>
        </w:trPr>
        <w:tc>
          <w:tcPr>
            <w:tcW w:w="735" w:type="pct"/>
            <w:vMerge w:val="restart"/>
          </w:tcPr>
          <w:p w:rsidR="00EE5AF1" w:rsidRPr="007D2F5C" w:rsidRDefault="00EE5AF1" w:rsidP="00EE5AF1">
            <w:pPr>
              <w:jc w:val="left"/>
              <w:rPr>
                <w:rFonts w:ascii="Arial Narrow" w:hAnsi="Arial Narrow"/>
                <w:sz w:val="20"/>
              </w:rPr>
            </w:pPr>
            <w:r w:rsidRPr="007D2F5C">
              <w:rPr>
                <w:rFonts w:ascii="Arial Narrow" w:hAnsi="Arial Narrow"/>
                <w:b/>
                <w:sz w:val="20"/>
              </w:rPr>
              <w:t>SPRINT-2</w:t>
            </w:r>
          </w:p>
          <w:p w:rsidR="00EE5AF1" w:rsidRPr="007D2F5C" w:rsidRDefault="00EE5AF1" w:rsidP="00EE5AF1">
            <w:pPr>
              <w:jc w:val="left"/>
              <w:rPr>
                <w:rFonts w:ascii="Arial Narrow" w:hAnsi="Arial Narrow"/>
                <w:sz w:val="20"/>
              </w:rPr>
            </w:pPr>
            <w:r w:rsidRPr="007D2F5C">
              <w:rPr>
                <w:rFonts w:ascii="Arial Narrow" w:hAnsi="Arial Narrow"/>
                <w:sz w:val="20"/>
              </w:rPr>
              <w:t>(</w:t>
            </w:r>
            <w:proofErr w:type="spellStart"/>
            <w:r w:rsidRPr="007D2F5C">
              <w:rPr>
                <w:rFonts w:ascii="Arial Narrow" w:hAnsi="Arial Narrow"/>
                <w:sz w:val="20"/>
              </w:rPr>
              <w:t>boceprevir</w:t>
            </w:r>
            <w:proofErr w:type="spellEnd"/>
            <w:r w:rsidRPr="007D2F5C">
              <w:rPr>
                <w:rFonts w:ascii="Arial Narrow" w:hAnsi="Arial Narrow"/>
                <w:sz w:val="20"/>
              </w:rPr>
              <w:t>)</w:t>
            </w:r>
          </w:p>
          <w:p w:rsidR="00EE5AF1" w:rsidRPr="007D2F5C" w:rsidRDefault="00EE5AF1" w:rsidP="00EE5AF1">
            <w:pPr>
              <w:jc w:val="left"/>
              <w:rPr>
                <w:rStyle w:val="Small"/>
                <w:rFonts w:ascii="Arial Narrow" w:hAnsi="Arial Narrow"/>
              </w:rPr>
            </w:pPr>
            <w:r w:rsidRPr="007D2F5C">
              <w:rPr>
                <w:rStyle w:val="Small"/>
                <w:rFonts w:ascii="Arial Narrow" w:hAnsi="Arial Narrow"/>
              </w:rPr>
              <w:t>NCT00705432</w:t>
            </w:r>
          </w:p>
          <w:p w:rsidR="00EE5AF1" w:rsidRPr="007D2F5C" w:rsidRDefault="00EE5AF1" w:rsidP="00134998">
            <w:pPr>
              <w:jc w:val="left"/>
              <w:rPr>
                <w:rFonts w:ascii="Arial Narrow" w:hAnsi="Arial Narrow"/>
                <w:sz w:val="20"/>
              </w:rPr>
            </w:pPr>
            <w:proofErr w:type="spellStart"/>
            <w:r w:rsidRPr="007D2F5C">
              <w:rPr>
                <w:rStyle w:val="Small"/>
                <w:rFonts w:ascii="Arial Narrow" w:hAnsi="Arial Narrow"/>
              </w:rPr>
              <w:t>Poordad</w:t>
            </w:r>
            <w:proofErr w:type="spellEnd"/>
            <w:r w:rsidRPr="007D2F5C">
              <w:rPr>
                <w:rStyle w:val="Small"/>
                <w:rFonts w:ascii="Arial Narrow" w:hAnsi="Arial Narrow"/>
              </w:rPr>
              <w:t xml:space="preserve"> et al 2011</w:t>
            </w:r>
          </w:p>
        </w:tc>
        <w:tc>
          <w:tcPr>
            <w:tcW w:w="3159" w:type="pct"/>
          </w:tcPr>
          <w:p w:rsidR="00EE5AF1" w:rsidRPr="007D2F5C" w:rsidRDefault="00EE5AF1" w:rsidP="00EE5AF1">
            <w:pPr>
              <w:jc w:val="left"/>
              <w:rPr>
                <w:rFonts w:ascii="Arial Narrow" w:hAnsi="Arial Narrow"/>
                <w:b/>
                <w:sz w:val="20"/>
              </w:rPr>
            </w:pPr>
            <w:r w:rsidRPr="007D2F5C">
              <w:rPr>
                <w:rFonts w:ascii="Arial Narrow" w:hAnsi="Arial Narrow"/>
                <w:b/>
                <w:sz w:val="20"/>
              </w:rPr>
              <w:t>Primary publication</w:t>
            </w:r>
          </w:p>
          <w:p w:rsidR="00EE5AF1" w:rsidRPr="007D2F5C" w:rsidRDefault="00EE5AF1" w:rsidP="00EE5AF1">
            <w:pPr>
              <w:jc w:val="left"/>
              <w:rPr>
                <w:rFonts w:ascii="Arial Narrow" w:hAnsi="Arial Narrow"/>
                <w:sz w:val="20"/>
              </w:rPr>
            </w:pPr>
            <w:proofErr w:type="spellStart"/>
            <w:r w:rsidRPr="007D2F5C">
              <w:rPr>
                <w:rFonts w:ascii="Arial Narrow" w:hAnsi="Arial Narrow"/>
                <w:sz w:val="20"/>
              </w:rPr>
              <w:t>Poordad</w:t>
            </w:r>
            <w:proofErr w:type="spellEnd"/>
            <w:r w:rsidRPr="007D2F5C">
              <w:rPr>
                <w:rFonts w:ascii="Arial Narrow" w:hAnsi="Arial Narrow"/>
                <w:sz w:val="20"/>
              </w:rPr>
              <w:t xml:space="preserve">, F., J. McCone, Jr., B. R. Bacon, S. Bruno, M. P. </w:t>
            </w:r>
            <w:proofErr w:type="spellStart"/>
            <w:r w:rsidRPr="007D2F5C">
              <w:rPr>
                <w:rFonts w:ascii="Arial Narrow" w:hAnsi="Arial Narrow"/>
                <w:sz w:val="20"/>
              </w:rPr>
              <w:t>Manns</w:t>
            </w:r>
            <w:proofErr w:type="spellEnd"/>
            <w:r w:rsidRPr="007D2F5C">
              <w:rPr>
                <w:rFonts w:ascii="Arial Narrow" w:hAnsi="Arial Narrow"/>
                <w:sz w:val="20"/>
              </w:rPr>
              <w:t xml:space="preserve">, M. S. </w:t>
            </w:r>
            <w:proofErr w:type="spellStart"/>
            <w:r w:rsidRPr="007D2F5C">
              <w:rPr>
                <w:rFonts w:ascii="Arial Narrow" w:hAnsi="Arial Narrow"/>
                <w:sz w:val="20"/>
              </w:rPr>
              <w:t>Sulkowski</w:t>
            </w:r>
            <w:proofErr w:type="spellEnd"/>
            <w:r w:rsidRPr="007D2F5C">
              <w:rPr>
                <w:rFonts w:ascii="Arial Narrow" w:hAnsi="Arial Narrow"/>
                <w:sz w:val="20"/>
              </w:rPr>
              <w:t>, I. M. Jacobson, et al. "</w:t>
            </w:r>
            <w:proofErr w:type="spellStart"/>
            <w:r w:rsidRPr="007D2F5C">
              <w:rPr>
                <w:rFonts w:ascii="Arial Narrow" w:hAnsi="Arial Narrow"/>
                <w:sz w:val="20"/>
              </w:rPr>
              <w:t>Boceprevir</w:t>
            </w:r>
            <w:proofErr w:type="spellEnd"/>
            <w:r w:rsidRPr="007D2F5C">
              <w:rPr>
                <w:rFonts w:ascii="Arial Narrow" w:hAnsi="Arial Narrow"/>
                <w:sz w:val="20"/>
              </w:rPr>
              <w:t xml:space="preserve"> for Untreated Chronic H</w:t>
            </w:r>
            <w:r>
              <w:rPr>
                <w:rFonts w:ascii="Arial Narrow" w:hAnsi="Arial Narrow"/>
                <w:sz w:val="20"/>
              </w:rPr>
              <w:t>CV</w:t>
            </w:r>
            <w:r w:rsidRPr="007D2F5C">
              <w:rPr>
                <w:rFonts w:ascii="Arial Narrow" w:hAnsi="Arial Narrow"/>
                <w:sz w:val="20"/>
              </w:rPr>
              <w:t xml:space="preserve"> Genotype 1 Infection."</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sz w:val="20"/>
              </w:rPr>
              <w:t xml:space="preserve">N </w:t>
            </w:r>
            <w:proofErr w:type="spellStart"/>
            <w:r w:rsidRPr="007D2F5C">
              <w:rPr>
                <w:rFonts w:ascii="Arial Narrow" w:hAnsi="Arial Narrow"/>
                <w:sz w:val="20"/>
              </w:rPr>
              <w:t>Engl</w:t>
            </w:r>
            <w:proofErr w:type="spellEnd"/>
            <w:r w:rsidRPr="007D2F5C">
              <w:rPr>
                <w:rFonts w:ascii="Arial Narrow" w:hAnsi="Arial Narrow"/>
                <w:sz w:val="20"/>
              </w:rPr>
              <w:t xml:space="preserve"> J Med 364, no. 13 (Mar 31 2011): 1195-206</w:t>
            </w:r>
          </w:p>
        </w:tc>
      </w:tr>
      <w:tr w:rsidR="00EE5AF1" w:rsidRPr="007D2F5C" w:rsidTr="00AF78AC">
        <w:trPr>
          <w:trHeight w:val="434"/>
        </w:trPr>
        <w:tc>
          <w:tcPr>
            <w:tcW w:w="735" w:type="pct"/>
            <w:vMerge/>
          </w:tcPr>
          <w:p w:rsidR="00EE5AF1" w:rsidRPr="007D2F5C" w:rsidRDefault="00EE5AF1" w:rsidP="00EE5AF1">
            <w:pPr>
              <w:jc w:val="left"/>
              <w:rPr>
                <w:rFonts w:ascii="Arial Narrow" w:hAnsi="Arial Narrow"/>
                <w:b/>
                <w:sz w:val="20"/>
              </w:rPr>
            </w:pPr>
          </w:p>
        </w:tc>
        <w:tc>
          <w:tcPr>
            <w:tcW w:w="3159" w:type="pct"/>
          </w:tcPr>
          <w:p w:rsidR="00EE5AF1" w:rsidRPr="007D2F5C" w:rsidRDefault="00EE5AF1" w:rsidP="00263332">
            <w:pPr>
              <w:jc w:val="left"/>
              <w:rPr>
                <w:rFonts w:ascii="Arial Narrow" w:hAnsi="Arial Narrow"/>
                <w:sz w:val="20"/>
              </w:rPr>
            </w:pPr>
            <w:r w:rsidRPr="007D2F5C">
              <w:rPr>
                <w:rFonts w:ascii="Arial Narrow" w:hAnsi="Arial Narrow" w:cs="Segoe UI"/>
                <w:snapToGrid/>
                <w:sz w:val="20"/>
                <w:lang w:eastAsia="en-AU"/>
              </w:rPr>
              <w:t xml:space="preserve">Gordon, S. C., E. M. Yoshida, E. J.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B. R. Bacon, M. S. </w:t>
            </w:r>
            <w:proofErr w:type="spellStart"/>
            <w:r w:rsidRPr="007D2F5C">
              <w:rPr>
                <w:rFonts w:ascii="Arial Narrow" w:hAnsi="Arial Narrow" w:cs="Segoe UI"/>
                <w:snapToGrid/>
                <w:sz w:val="20"/>
                <w:lang w:eastAsia="en-AU"/>
              </w:rPr>
              <w:t>Sulkowski</w:t>
            </w:r>
            <w:proofErr w:type="spellEnd"/>
            <w:r w:rsidRPr="007D2F5C">
              <w:rPr>
                <w:rFonts w:ascii="Arial Narrow" w:hAnsi="Arial Narrow" w:cs="Segoe UI"/>
                <w:snapToGrid/>
                <w:sz w:val="20"/>
                <w:lang w:eastAsia="en-AU"/>
              </w:rPr>
              <w:t xml:space="preserve">, M. Davis, F. </w:t>
            </w:r>
            <w:proofErr w:type="spellStart"/>
            <w:r w:rsidRPr="007D2F5C">
              <w:rPr>
                <w:rFonts w:ascii="Arial Narrow" w:hAnsi="Arial Narrow" w:cs="Segoe UI"/>
                <w:snapToGrid/>
                <w:sz w:val="20"/>
                <w:lang w:eastAsia="en-AU"/>
              </w:rPr>
              <w:t>Poordad</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"Adherence to Assigned Dosing Regimen and Sustained Virological Response among Chronic Hepatitis C Genotype 1 Patients Treated with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Plus </w:t>
            </w:r>
            <w:proofErr w:type="spellStart"/>
            <w:r w:rsidRPr="007D2F5C">
              <w:rPr>
                <w:rFonts w:ascii="Arial Narrow" w:hAnsi="Arial Narrow" w:cs="Segoe UI"/>
                <w:snapToGrid/>
                <w:sz w:val="20"/>
                <w:lang w:eastAsia="en-AU"/>
              </w:rPr>
              <w:t>Peginterferon</w:t>
            </w:r>
            <w:proofErr w:type="spellEnd"/>
            <w:r w:rsidRPr="007D2F5C">
              <w:rPr>
                <w:rFonts w:ascii="Arial Narrow" w:hAnsi="Arial Narrow" w:cs="Segoe UI"/>
                <w:snapToGrid/>
                <w:sz w:val="20"/>
                <w:lang w:eastAsia="en-AU"/>
              </w:rPr>
              <w:t xml:space="preserve"> Alfa-2b/Ribavirin."</w:t>
            </w:r>
            <w:r w:rsidR="00263332" w:rsidRPr="000B5A25">
              <w:rPr>
                <w:rFonts w:ascii="Arial Narrow" w:hAnsi="Arial Narrow" w:cs="Segoe UI"/>
                <w:noProof/>
                <w:snapToGrid/>
                <w:sz w:val="20"/>
                <w:vertAlign w:val="superscript"/>
                <w:lang w:eastAsia="en-AU"/>
              </w:rPr>
              <w:t>6</w:t>
            </w:r>
          </w:p>
        </w:tc>
        <w:tc>
          <w:tcPr>
            <w:tcW w:w="1106" w:type="pct"/>
          </w:tcPr>
          <w:p w:rsidR="00EE5AF1" w:rsidRPr="007D2F5C" w:rsidRDefault="00EE5AF1" w:rsidP="00EE5AF1">
            <w:pPr>
              <w:jc w:val="left"/>
              <w:rPr>
                <w:rFonts w:ascii="Arial Narrow" w:hAnsi="Arial Narrow"/>
                <w:sz w:val="20"/>
              </w:rPr>
            </w:pPr>
            <w:r w:rsidRPr="007D2F5C">
              <w:rPr>
                <w:rFonts w:ascii="Arial Narrow" w:hAnsi="Arial Narrow" w:cs="Segoe UI"/>
                <w:i/>
                <w:iCs/>
                <w:snapToGrid/>
                <w:sz w:val="20"/>
                <w:lang w:eastAsia="en-AU"/>
              </w:rPr>
              <w:t xml:space="preserve">Aliment </w:t>
            </w:r>
            <w:proofErr w:type="spellStart"/>
            <w:r w:rsidRPr="007D2F5C">
              <w:rPr>
                <w:rFonts w:ascii="Arial Narrow" w:hAnsi="Arial Narrow" w:cs="Segoe UI"/>
                <w:i/>
                <w:iCs/>
                <w:snapToGrid/>
                <w:sz w:val="20"/>
                <w:lang w:eastAsia="en-AU"/>
              </w:rPr>
              <w:t>Pharmacol</w:t>
            </w:r>
            <w:proofErr w:type="spellEnd"/>
            <w:r w:rsidRPr="007D2F5C">
              <w:rPr>
                <w:rFonts w:ascii="Arial Narrow" w:hAnsi="Arial Narrow" w:cs="Segoe UI"/>
                <w:i/>
                <w:iCs/>
                <w:snapToGrid/>
                <w:sz w:val="20"/>
                <w:lang w:eastAsia="en-AU"/>
              </w:rPr>
              <w:t xml:space="preserve"> </w:t>
            </w:r>
            <w:proofErr w:type="spellStart"/>
            <w:r w:rsidRPr="007D2F5C">
              <w:rPr>
                <w:rFonts w:ascii="Arial Narrow" w:hAnsi="Arial Narrow" w:cs="Segoe UI"/>
                <w:i/>
                <w:iCs/>
                <w:snapToGrid/>
                <w:sz w:val="20"/>
                <w:lang w:eastAsia="en-AU"/>
              </w:rPr>
              <w:t>Ther</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38, no. 1 (Jul 2013): 16-27.</w:t>
            </w:r>
          </w:p>
        </w:tc>
      </w:tr>
      <w:tr w:rsidR="00EE5AF1" w:rsidRPr="007D2F5C" w:rsidTr="00AF78AC">
        <w:trPr>
          <w:trHeight w:val="434"/>
        </w:trPr>
        <w:tc>
          <w:tcPr>
            <w:tcW w:w="735" w:type="pct"/>
            <w:vMerge/>
          </w:tcPr>
          <w:p w:rsidR="00EE5AF1" w:rsidRPr="007D2F5C" w:rsidRDefault="00EE5AF1" w:rsidP="00EE5AF1">
            <w:pPr>
              <w:jc w:val="left"/>
              <w:rPr>
                <w:rFonts w:ascii="Arial Narrow" w:hAnsi="Arial Narrow"/>
                <w:b/>
                <w:sz w:val="20"/>
              </w:rPr>
            </w:pPr>
          </w:p>
        </w:tc>
        <w:tc>
          <w:tcPr>
            <w:tcW w:w="3159" w:type="pct"/>
          </w:tcPr>
          <w:p w:rsidR="00EE5AF1" w:rsidRPr="007D2F5C" w:rsidRDefault="00EE5AF1" w:rsidP="00263332">
            <w:pPr>
              <w:jc w:val="left"/>
              <w:rPr>
                <w:rFonts w:ascii="Arial Narrow" w:hAnsi="Arial Narrow"/>
                <w:sz w:val="20"/>
              </w:rPr>
            </w:pPr>
            <w:r w:rsidRPr="007D2F5C">
              <w:rPr>
                <w:rFonts w:ascii="Arial Narrow" w:hAnsi="Arial Narrow" w:cs="Segoe UI"/>
                <w:snapToGrid/>
                <w:sz w:val="20"/>
                <w:lang w:eastAsia="en-AU"/>
              </w:rPr>
              <w:t xml:space="preserve">Jacobson, I. M., P. </w:t>
            </w:r>
            <w:proofErr w:type="spellStart"/>
            <w:r w:rsidRPr="007D2F5C">
              <w:rPr>
                <w:rFonts w:ascii="Arial Narrow" w:hAnsi="Arial Narrow" w:cs="Segoe UI"/>
                <w:snapToGrid/>
                <w:sz w:val="20"/>
                <w:lang w:eastAsia="en-AU"/>
              </w:rPr>
              <w:t>Marcellin</w:t>
            </w:r>
            <w:proofErr w:type="spellEnd"/>
            <w:r w:rsidRPr="007D2F5C">
              <w:rPr>
                <w:rFonts w:ascii="Arial Narrow" w:hAnsi="Arial Narrow" w:cs="Segoe UI"/>
                <w:snapToGrid/>
                <w:sz w:val="20"/>
                <w:lang w:eastAsia="en-AU"/>
              </w:rPr>
              <w:t xml:space="preserve">, S. </w:t>
            </w: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M. S. </w:t>
            </w:r>
            <w:proofErr w:type="spellStart"/>
            <w:r w:rsidRPr="007D2F5C">
              <w:rPr>
                <w:rFonts w:ascii="Arial Narrow" w:hAnsi="Arial Narrow" w:cs="Segoe UI"/>
                <w:snapToGrid/>
                <w:sz w:val="20"/>
                <w:lang w:eastAsia="en-AU"/>
              </w:rPr>
              <w:t>Sulkowski</w:t>
            </w:r>
            <w:proofErr w:type="spellEnd"/>
            <w:r w:rsidRPr="007D2F5C">
              <w:rPr>
                <w:rFonts w:ascii="Arial Narrow" w:hAnsi="Arial Narrow" w:cs="Segoe UI"/>
                <w:snapToGrid/>
                <w:sz w:val="20"/>
                <w:lang w:eastAsia="en-AU"/>
              </w:rPr>
              <w:t xml:space="preserve">, R. Esteban, F. </w:t>
            </w:r>
            <w:proofErr w:type="spellStart"/>
            <w:r w:rsidRPr="007D2F5C">
              <w:rPr>
                <w:rFonts w:ascii="Arial Narrow" w:hAnsi="Arial Narrow" w:cs="Segoe UI"/>
                <w:snapToGrid/>
                <w:sz w:val="20"/>
                <w:lang w:eastAsia="en-AU"/>
              </w:rPr>
              <w:t>Poordad</w:t>
            </w:r>
            <w:proofErr w:type="spellEnd"/>
            <w:r w:rsidRPr="007D2F5C">
              <w:rPr>
                <w:rFonts w:ascii="Arial Narrow" w:hAnsi="Arial Narrow" w:cs="Segoe UI"/>
                <w:snapToGrid/>
                <w:sz w:val="20"/>
                <w:lang w:eastAsia="en-AU"/>
              </w:rPr>
              <w:t>, S. Bruno</w:t>
            </w:r>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"Refinement of Stopping Rules During Treatment of Hepatitis C Genotype 1 Infection with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and </w:t>
            </w:r>
            <w:proofErr w:type="spellStart"/>
            <w:r w:rsidRPr="007D2F5C">
              <w:rPr>
                <w:rFonts w:ascii="Arial Narrow" w:hAnsi="Arial Narrow" w:cs="Segoe UI"/>
                <w:snapToGrid/>
                <w:sz w:val="20"/>
                <w:lang w:eastAsia="en-AU"/>
              </w:rPr>
              <w:t>Peginterferon</w:t>
            </w:r>
            <w:proofErr w:type="spellEnd"/>
            <w:r w:rsidRPr="007D2F5C">
              <w:rPr>
                <w:rFonts w:ascii="Arial Narrow" w:hAnsi="Arial Narrow" w:cs="Segoe UI"/>
                <w:snapToGrid/>
                <w:sz w:val="20"/>
                <w:lang w:eastAsia="en-AU"/>
              </w:rPr>
              <w:t>/Ribavirin."</w:t>
            </w:r>
            <w:r w:rsidR="00263332" w:rsidRPr="000B5A25">
              <w:rPr>
                <w:rFonts w:ascii="Arial Narrow" w:hAnsi="Arial Narrow" w:cs="Segoe UI"/>
                <w:noProof/>
                <w:snapToGrid/>
                <w:sz w:val="20"/>
                <w:vertAlign w:val="superscript"/>
                <w:lang w:eastAsia="en-AU"/>
              </w:rPr>
              <w:t>7</w:t>
            </w:r>
          </w:p>
        </w:tc>
        <w:tc>
          <w:tcPr>
            <w:tcW w:w="1106" w:type="pct"/>
          </w:tcPr>
          <w:p w:rsidR="00EE5AF1" w:rsidRPr="007D2F5C" w:rsidRDefault="00EE5AF1" w:rsidP="00EE5AF1">
            <w:pPr>
              <w:jc w:val="left"/>
              <w:rPr>
                <w:rFonts w:ascii="Arial Narrow" w:hAnsi="Arial Narrow"/>
                <w:sz w:val="20"/>
              </w:rPr>
            </w:pPr>
            <w:proofErr w:type="spellStart"/>
            <w:r w:rsidRPr="007D2F5C">
              <w:rPr>
                <w:rFonts w:ascii="Arial Narrow" w:hAnsi="Arial Narrow" w:cs="Segoe UI"/>
                <w:i/>
                <w:iCs/>
                <w:snapToGrid/>
                <w:sz w:val="20"/>
                <w:lang w:eastAsia="en-AU"/>
              </w:rPr>
              <w:t>Hepatology</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56, no. 2 (Aug 2012): 567-75.</w:t>
            </w:r>
          </w:p>
        </w:tc>
      </w:tr>
      <w:tr w:rsidR="00EE5AF1" w:rsidRPr="007D2F5C" w:rsidTr="00AF78AC">
        <w:trPr>
          <w:trHeight w:val="318"/>
        </w:trPr>
        <w:tc>
          <w:tcPr>
            <w:tcW w:w="735" w:type="pct"/>
            <w:vMerge w:val="restart"/>
          </w:tcPr>
          <w:p w:rsidR="00EE5AF1" w:rsidRPr="007D2F5C" w:rsidRDefault="00EE5AF1" w:rsidP="00EE5AF1">
            <w:pPr>
              <w:jc w:val="left"/>
              <w:rPr>
                <w:rFonts w:ascii="Arial Narrow" w:hAnsi="Arial Narrow"/>
                <w:b/>
                <w:sz w:val="20"/>
              </w:rPr>
            </w:pPr>
            <w:r w:rsidRPr="007D2F5C">
              <w:rPr>
                <w:rFonts w:ascii="Arial Narrow" w:hAnsi="Arial Narrow"/>
                <w:b/>
                <w:sz w:val="20"/>
              </w:rPr>
              <w:t>RESPOND-2</w:t>
            </w:r>
          </w:p>
          <w:p w:rsidR="00EE5AF1" w:rsidRPr="007D2F5C" w:rsidRDefault="00EE5AF1" w:rsidP="00EE5AF1">
            <w:pPr>
              <w:jc w:val="left"/>
              <w:rPr>
                <w:rFonts w:ascii="Arial Narrow" w:hAnsi="Arial Narrow"/>
                <w:sz w:val="20"/>
              </w:rPr>
            </w:pPr>
            <w:r w:rsidRPr="007D2F5C">
              <w:rPr>
                <w:rFonts w:ascii="Arial Narrow" w:hAnsi="Arial Narrow"/>
                <w:sz w:val="20"/>
              </w:rPr>
              <w:t>(</w:t>
            </w:r>
            <w:proofErr w:type="spellStart"/>
            <w:r w:rsidRPr="007D2F5C">
              <w:rPr>
                <w:rFonts w:ascii="Arial Narrow" w:hAnsi="Arial Narrow"/>
                <w:sz w:val="20"/>
              </w:rPr>
              <w:t>boceprevir</w:t>
            </w:r>
            <w:proofErr w:type="spellEnd"/>
            <w:r w:rsidRPr="007D2F5C">
              <w:rPr>
                <w:rFonts w:ascii="Arial Narrow" w:hAnsi="Arial Narrow"/>
                <w:sz w:val="20"/>
              </w:rPr>
              <w:t>)</w:t>
            </w:r>
          </w:p>
          <w:p w:rsidR="00EE5AF1" w:rsidRPr="007D2F5C" w:rsidRDefault="00EE5AF1" w:rsidP="00EE5AF1">
            <w:pPr>
              <w:pStyle w:val="Table"/>
              <w:rPr>
                <w:rFonts w:ascii="Arial Narrow" w:hAnsi="Arial Narrow"/>
                <w:szCs w:val="20"/>
              </w:rPr>
            </w:pPr>
            <w:r w:rsidRPr="007D2F5C">
              <w:rPr>
                <w:rFonts w:ascii="Arial Narrow" w:hAnsi="Arial Narrow"/>
                <w:szCs w:val="20"/>
              </w:rPr>
              <w:t>NCT00708500</w:t>
            </w:r>
          </w:p>
          <w:p w:rsidR="00EE5AF1" w:rsidRPr="007D2F5C" w:rsidRDefault="00EE5AF1" w:rsidP="00134998">
            <w:pPr>
              <w:jc w:val="left"/>
              <w:rPr>
                <w:rFonts w:ascii="Arial Narrow" w:hAnsi="Arial Narrow"/>
                <w:sz w:val="20"/>
              </w:rPr>
            </w:pPr>
            <w:r w:rsidRPr="007D2F5C">
              <w:rPr>
                <w:rFonts w:ascii="Arial Narrow" w:hAnsi="Arial Narrow"/>
                <w:sz w:val="20"/>
              </w:rPr>
              <w:t>Bacon et al 2011</w:t>
            </w:r>
          </w:p>
        </w:tc>
        <w:tc>
          <w:tcPr>
            <w:tcW w:w="3159" w:type="pct"/>
          </w:tcPr>
          <w:p w:rsidR="00EE5AF1" w:rsidRPr="007D2F5C" w:rsidRDefault="00EE5AF1" w:rsidP="00EE5AF1">
            <w:pPr>
              <w:jc w:val="left"/>
              <w:rPr>
                <w:rFonts w:ascii="Arial Narrow" w:hAnsi="Arial Narrow" w:cs="Segoe UI"/>
                <w:b/>
                <w:snapToGrid/>
                <w:sz w:val="20"/>
                <w:lang w:eastAsia="en-AU"/>
              </w:rPr>
            </w:pPr>
            <w:r w:rsidRPr="007D2F5C">
              <w:rPr>
                <w:rFonts w:ascii="Arial Narrow" w:hAnsi="Arial Narrow" w:cs="Segoe UI"/>
                <w:b/>
                <w:snapToGrid/>
                <w:sz w:val="20"/>
                <w:lang w:eastAsia="en-AU"/>
              </w:rPr>
              <w:t>Primary publication</w:t>
            </w:r>
          </w:p>
          <w:p w:rsidR="00EE5AF1" w:rsidRPr="007D2F5C" w:rsidRDefault="00EE5AF1" w:rsidP="00EE5AF1">
            <w:pPr>
              <w:jc w:val="left"/>
              <w:rPr>
                <w:rFonts w:ascii="Arial Narrow" w:hAnsi="Arial Narrow"/>
                <w:b/>
                <w:sz w:val="20"/>
              </w:rPr>
            </w:pPr>
            <w:r w:rsidRPr="007D2F5C">
              <w:rPr>
                <w:rFonts w:ascii="Arial Narrow" w:hAnsi="Arial Narrow" w:cs="Segoe UI"/>
                <w:snapToGrid/>
                <w:sz w:val="20"/>
                <w:lang w:eastAsia="en-AU"/>
              </w:rPr>
              <w:t xml:space="preserve">Bacon, B. R., S. C. Gordon, E.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P. </w:t>
            </w:r>
            <w:proofErr w:type="spellStart"/>
            <w:r w:rsidRPr="007D2F5C">
              <w:rPr>
                <w:rFonts w:ascii="Arial Narrow" w:hAnsi="Arial Narrow" w:cs="Segoe UI"/>
                <w:snapToGrid/>
                <w:sz w:val="20"/>
                <w:lang w:eastAsia="en-AU"/>
              </w:rPr>
              <w:t>Marcellin</w:t>
            </w:r>
            <w:proofErr w:type="spellEnd"/>
            <w:r w:rsidRPr="007D2F5C">
              <w:rPr>
                <w:rFonts w:ascii="Arial Narrow" w:hAnsi="Arial Narrow" w:cs="Segoe UI"/>
                <w:snapToGrid/>
                <w:sz w:val="20"/>
                <w:lang w:eastAsia="en-AU"/>
              </w:rPr>
              <w:t xml:space="preserve">, J. M. </w:t>
            </w:r>
            <w:proofErr w:type="spellStart"/>
            <w:r w:rsidRPr="007D2F5C">
              <w:rPr>
                <w:rFonts w:ascii="Arial Narrow" w:hAnsi="Arial Narrow" w:cs="Segoe UI"/>
                <w:snapToGrid/>
                <w:sz w:val="20"/>
                <w:lang w:eastAsia="en-AU"/>
              </w:rPr>
              <w:t>Vierling</w:t>
            </w:r>
            <w:proofErr w:type="spellEnd"/>
            <w:r w:rsidRPr="007D2F5C">
              <w:rPr>
                <w:rFonts w:ascii="Arial Narrow" w:hAnsi="Arial Narrow" w:cs="Segoe UI"/>
                <w:snapToGrid/>
                <w:sz w:val="20"/>
                <w:lang w:eastAsia="en-AU"/>
              </w:rPr>
              <w:t xml:space="preserve">, S. </w:t>
            </w: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F. </w:t>
            </w:r>
            <w:proofErr w:type="spellStart"/>
            <w:r w:rsidRPr="007D2F5C">
              <w:rPr>
                <w:rFonts w:ascii="Arial Narrow" w:hAnsi="Arial Narrow" w:cs="Segoe UI"/>
                <w:snapToGrid/>
                <w:sz w:val="20"/>
                <w:lang w:eastAsia="en-AU"/>
              </w:rPr>
              <w:t>Poordad</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for Previously Treated Chronic H</w:t>
            </w:r>
            <w:r>
              <w:rPr>
                <w:rFonts w:ascii="Arial Narrow" w:hAnsi="Arial Narrow" w:cs="Segoe UI"/>
                <w:snapToGrid/>
                <w:sz w:val="20"/>
                <w:lang w:eastAsia="en-AU"/>
              </w:rPr>
              <w:t>CV</w:t>
            </w:r>
            <w:r w:rsidRPr="007D2F5C">
              <w:rPr>
                <w:rFonts w:ascii="Arial Narrow" w:hAnsi="Arial Narrow" w:cs="Segoe UI"/>
                <w:snapToGrid/>
                <w:sz w:val="20"/>
                <w:lang w:eastAsia="en-AU"/>
              </w:rPr>
              <w:t xml:space="preserve"> Genotype 1 Infection." </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cs="Segoe UI"/>
                <w:i/>
                <w:iCs/>
                <w:snapToGrid/>
                <w:sz w:val="20"/>
                <w:lang w:eastAsia="en-AU"/>
              </w:rPr>
              <w:t xml:space="preserve">N </w:t>
            </w:r>
            <w:proofErr w:type="spellStart"/>
            <w:r w:rsidRPr="007D2F5C">
              <w:rPr>
                <w:rFonts w:ascii="Arial Narrow" w:hAnsi="Arial Narrow" w:cs="Segoe UI"/>
                <w:i/>
                <w:iCs/>
                <w:snapToGrid/>
                <w:sz w:val="20"/>
                <w:lang w:eastAsia="en-AU"/>
              </w:rPr>
              <w:t>Engl</w:t>
            </w:r>
            <w:proofErr w:type="spellEnd"/>
            <w:r w:rsidRPr="007D2F5C">
              <w:rPr>
                <w:rFonts w:ascii="Arial Narrow" w:hAnsi="Arial Narrow" w:cs="Segoe UI"/>
                <w:i/>
                <w:iCs/>
                <w:snapToGrid/>
                <w:sz w:val="20"/>
                <w:lang w:eastAsia="en-AU"/>
              </w:rPr>
              <w:t xml:space="preserve"> J Med </w:t>
            </w:r>
            <w:r w:rsidRPr="007D2F5C">
              <w:rPr>
                <w:rFonts w:ascii="Arial Narrow" w:hAnsi="Arial Narrow" w:cs="Segoe UI"/>
                <w:snapToGrid/>
                <w:sz w:val="20"/>
                <w:lang w:eastAsia="en-AU"/>
              </w:rPr>
              <w:t>364, no. 13 (Mar 31 2011): 1207-17.</w:t>
            </w:r>
          </w:p>
        </w:tc>
      </w:tr>
      <w:tr w:rsidR="00EE5AF1" w:rsidRPr="007D2F5C" w:rsidTr="00AF78AC">
        <w:trPr>
          <w:trHeight w:val="315"/>
        </w:trPr>
        <w:tc>
          <w:tcPr>
            <w:tcW w:w="735" w:type="pct"/>
            <w:vMerge/>
          </w:tcPr>
          <w:p w:rsidR="00EE5AF1" w:rsidRPr="007D2F5C" w:rsidRDefault="00EE5AF1" w:rsidP="00EE5AF1">
            <w:pPr>
              <w:jc w:val="left"/>
              <w:rPr>
                <w:rFonts w:ascii="Arial Narrow" w:hAnsi="Arial Narrow"/>
                <w:b/>
                <w:sz w:val="20"/>
              </w:rPr>
            </w:pPr>
          </w:p>
        </w:tc>
        <w:tc>
          <w:tcPr>
            <w:tcW w:w="3159" w:type="pct"/>
          </w:tcPr>
          <w:p w:rsidR="00EE5AF1" w:rsidRPr="007D2F5C" w:rsidRDefault="00EE5AF1" w:rsidP="00263332">
            <w:pPr>
              <w:jc w:val="left"/>
              <w:rPr>
                <w:rFonts w:ascii="Arial Narrow" w:hAnsi="Arial Narrow" w:cs="Segoe UI"/>
                <w:snapToGrid/>
                <w:sz w:val="20"/>
                <w:lang w:eastAsia="en-AU"/>
              </w:rPr>
            </w:pPr>
            <w:r w:rsidRPr="007D2F5C">
              <w:rPr>
                <w:rFonts w:ascii="Arial Narrow" w:hAnsi="Arial Narrow" w:cs="Segoe UI"/>
                <w:snapToGrid/>
                <w:sz w:val="20"/>
                <w:lang w:eastAsia="en-AU"/>
              </w:rPr>
              <w:t xml:space="preserve">Gordon, S. C., E. M. Yoshida, E. J.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B. R. Bacon, M. S. </w:t>
            </w:r>
            <w:proofErr w:type="spellStart"/>
            <w:r w:rsidRPr="007D2F5C">
              <w:rPr>
                <w:rFonts w:ascii="Arial Narrow" w:hAnsi="Arial Narrow" w:cs="Segoe UI"/>
                <w:snapToGrid/>
                <w:sz w:val="20"/>
                <w:lang w:eastAsia="en-AU"/>
              </w:rPr>
              <w:t>Sulkowski</w:t>
            </w:r>
            <w:proofErr w:type="spellEnd"/>
            <w:r w:rsidRPr="007D2F5C">
              <w:rPr>
                <w:rFonts w:ascii="Arial Narrow" w:hAnsi="Arial Narrow" w:cs="Segoe UI"/>
                <w:snapToGrid/>
                <w:sz w:val="20"/>
                <w:lang w:eastAsia="en-AU"/>
              </w:rPr>
              <w:t xml:space="preserve">, M. Davis, F. </w:t>
            </w:r>
            <w:proofErr w:type="spellStart"/>
            <w:r w:rsidRPr="007D2F5C">
              <w:rPr>
                <w:rFonts w:ascii="Arial Narrow" w:hAnsi="Arial Narrow" w:cs="Segoe UI"/>
                <w:snapToGrid/>
                <w:sz w:val="20"/>
                <w:lang w:eastAsia="en-AU"/>
              </w:rPr>
              <w:t>Poordad</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"Adherence to Assigned Dosing Regimen and Sustained Virological Response among Chronic Hepatitis C Genotype 1 Patients Treated with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Plus </w:t>
            </w:r>
            <w:proofErr w:type="spellStart"/>
            <w:r w:rsidRPr="007D2F5C">
              <w:rPr>
                <w:rFonts w:ascii="Arial Narrow" w:hAnsi="Arial Narrow" w:cs="Segoe UI"/>
                <w:snapToGrid/>
                <w:sz w:val="20"/>
                <w:lang w:eastAsia="en-AU"/>
              </w:rPr>
              <w:t>Peginterferon</w:t>
            </w:r>
            <w:proofErr w:type="spellEnd"/>
            <w:r w:rsidRPr="007D2F5C">
              <w:rPr>
                <w:rFonts w:ascii="Arial Narrow" w:hAnsi="Arial Narrow" w:cs="Segoe UI"/>
                <w:snapToGrid/>
                <w:sz w:val="20"/>
                <w:lang w:eastAsia="en-AU"/>
              </w:rPr>
              <w:t xml:space="preserve"> Alfa-2b/Ribavirin."</w:t>
            </w:r>
            <w:r w:rsidR="00263332" w:rsidRPr="000B5A25">
              <w:rPr>
                <w:rFonts w:ascii="Arial Narrow" w:hAnsi="Arial Narrow" w:cs="Segoe UI"/>
                <w:noProof/>
                <w:snapToGrid/>
                <w:sz w:val="20"/>
                <w:vertAlign w:val="superscript"/>
                <w:lang w:eastAsia="en-AU"/>
              </w:rPr>
              <w:t>6</w:t>
            </w:r>
          </w:p>
        </w:tc>
        <w:tc>
          <w:tcPr>
            <w:tcW w:w="1106" w:type="pct"/>
          </w:tcPr>
          <w:p w:rsidR="00EE5AF1" w:rsidRPr="007D2F5C" w:rsidRDefault="00EE5AF1" w:rsidP="00EE5AF1">
            <w:pPr>
              <w:jc w:val="left"/>
              <w:rPr>
                <w:rFonts w:ascii="Arial Narrow" w:hAnsi="Arial Narrow" w:cs="Segoe UI"/>
                <w:i/>
                <w:iCs/>
                <w:snapToGrid/>
                <w:sz w:val="20"/>
                <w:lang w:eastAsia="en-AU"/>
              </w:rPr>
            </w:pPr>
            <w:r w:rsidRPr="007D2F5C">
              <w:rPr>
                <w:rFonts w:ascii="Arial Narrow" w:hAnsi="Arial Narrow" w:cs="Segoe UI"/>
                <w:i/>
                <w:iCs/>
                <w:snapToGrid/>
                <w:sz w:val="20"/>
                <w:lang w:eastAsia="en-AU"/>
              </w:rPr>
              <w:t xml:space="preserve">Aliment </w:t>
            </w:r>
            <w:proofErr w:type="spellStart"/>
            <w:r w:rsidRPr="007D2F5C">
              <w:rPr>
                <w:rFonts w:ascii="Arial Narrow" w:hAnsi="Arial Narrow" w:cs="Segoe UI"/>
                <w:i/>
                <w:iCs/>
                <w:snapToGrid/>
                <w:sz w:val="20"/>
                <w:lang w:eastAsia="en-AU"/>
              </w:rPr>
              <w:t>Pharmacol</w:t>
            </w:r>
            <w:proofErr w:type="spellEnd"/>
            <w:r w:rsidRPr="007D2F5C">
              <w:rPr>
                <w:rFonts w:ascii="Arial Narrow" w:hAnsi="Arial Narrow" w:cs="Segoe UI"/>
                <w:i/>
                <w:iCs/>
                <w:snapToGrid/>
                <w:sz w:val="20"/>
                <w:lang w:eastAsia="en-AU"/>
              </w:rPr>
              <w:t xml:space="preserve"> </w:t>
            </w:r>
            <w:proofErr w:type="spellStart"/>
            <w:r w:rsidRPr="007D2F5C">
              <w:rPr>
                <w:rFonts w:ascii="Arial Narrow" w:hAnsi="Arial Narrow" w:cs="Segoe UI"/>
                <w:i/>
                <w:iCs/>
                <w:snapToGrid/>
                <w:sz w:val="20"/>
                <w:lang w:eastAsia="en-AU"/>
              </w:rPr>
              <w:t>Ther</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38, no. 1 (Jul 2013): 16-27.</w:t>
            </w:r>
          </w:p>
        </w:tc>
      </w:tr>
      <w:tr w:rsidR="00EE5AF1" w:rsidRPr="007D2F5C" w:rsidTr="00AF78AC">
        <w:trPr>
          <w:trHeight w:val="315"/>
        </w:trPr>
        <w:tc>
          <w:tcPr>
            <w:tcW w:w="735" w:type="pct"/>
            <w:vMerge/>
          </w:tcPr>
          <w:p w:rsidR="00EE5AF1" w:rsidRPr="007D2F5C" w:rsidRDefault="00EE5AF1" w:rsidP="00EE5AF1">
            <w:pPr>
              <w:jc w:val="left"/>
              <w:rPr>
                <w:rFonts w:ascii="Arial Narrow" w:hAnsi="Arial Narrow"/>
                <w:b/>
                <w:sz w:val="20"/>
              </w:rPr>
            </w:pPr>
          </w:p>
        </w:tc>
        <w:tc>
          <w:tcPr>
            <w:tcW w:w="3159" w:type="pct"/>
          </w:tcPr>
          <w:p w:rsidR="00EE5AF1" w:rsidRPr="007D2F5C" w:rsidRDefault="00EE5AF1" w:rsidP="00263332">
            <w:pPr>
              <w:jc w:val="left"/>
              <w:rPr>
                <w:rFonts w:ascii="Arial Narrow" w:hAnsi="Arial Narrow" w:cs="Segoe UI"/>
                <w:snapToGrid/>
                <w:sz w:val="20"/>
                <w:lang w:eastAsia="en-AU"/>
              </w:rPr>
            </w:pPr>
            <w:r w:rsidRPr="007D2F5C">
              <w:rPr>
                <w:rFonts w:ascii="Arial Narrow" w:hAnsi="Arial Narrow" w:cs="Segoe UI"/>
                <w:snapToGrid/>
                <w:sz w:val="20"/>
                <w:lang w:eastAsia="en-AU"/>
              </w:rPr>
              <w:t xml:space="preserve">Jacobson, I. M., P. </w:t>
            </w:r>
            <w:proofErr w:type="spellStart"/>
            <w:r w:rsidRPr="007D2F5C">
              <w:rPr>
                <w:rFonts w:ascii="Arial Narrow" w:hAnsi="Arial Narrow" w:cs="Segoe UI"/>
                <w:snapToGrid/>
                <w:sz w:val="20"/>
                <w:lang w:eastAsia="en-AU"/>
              </w:rPr>
              <w:t>Marcellin</w:t>
            </w:r>
            <w:proofErr w:type="spellEnd"/>
            <w:r w:rsidRPr="007D2F5C">
              <w:rPr>
                <w:rFonts w:ascii="Arial Narrow" w:hAnsi="Arial Narrow" w:cs="Segoe UI"/>
                <w:snapToGrid/>
                <w:sz w:val="20"/>
                <w:lang w:eastAsia="en-AU"/>
              </w:rPr>
              <w:t xml:space="preserve">, S. </w:t>
            </w: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M. S. </w:t>
            </w:r>
            <w:proofErr w:type="spellStart"/>
            <w:r w:rsidRPr="007D2F5C">
              <w:rPr>
                <w:rFonts w:ascii="Arial Narrow" w:hAnsi="Arial Narrow" w:cs="Segoe UI"/>
                <w:snapToGrid/>
                <w:sz w:val="20"/>
                <w:lang w:eastAsia="en-AU"/>
              </w:rPr>
              <w:t>Sulkowski</w:t>
            </w:r>
            <w:proofErr w:type="spellEnd"/>
            <w:r w:rsidRPr="007D2F5C">
              <w:rPr>
                <w:rFonts w:ascii="Arial Narrow" w:hAnsi="Arial Narrow" w:cs="Segoe UI"/>
                <w:snapToGrid/>
                <w:sz w:val="20"/>
                <w:lang w:eastAsia="en-AU"/>
              </w:rPr>
              <w:t xml:space="preserve">, R. Esteban, F. </w:t>
            </w:r>
            <w:proofErr w:type="spellStart"/>
            <w:r w:rsidRPr="007D2F5C">
              <w:rPr>
                <w:rFonts w:ascii="Arial Narrow" w:hAnsi="Arial Narrow" w:cs="Segoe UI"/>
                <w:snapToGrid/>
                <w:sz w:val="20"/>
                <w:lang w:eastAsia="en-AU"/>
              </w:rPr>
              <w:t>Poordad</w:t>
            </w:r>
            <w:proofErr w:type="spellEnd"/>
            <w:r w:rsidRPr="007D2F5C">
              <w:rPr>
                <w:rFonts w:ascii="Arial Narrow" w:hAnsi="Arial Narrow" w:cs="Segoe UI"/>
                <w:snapToGrid/>
                <w:sz w:val="20"/>
                <w:lang w:eastAsia="en-AU"/>
              </w:rPr>
              <w:t>, S. Bruno</w:t>
            </w:r>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"Refinement of Stopping Rules During Treatment of Hepatitis C Genotype 1 Infection with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and </w:t>
            </w:r>
            <w:proofErr w:type="spellStart"/>
            <w:r w:rsidRPr="007D2F5C">
              <w:rPr>
                <w:rFonts w:ascii="Arial Narrow" w:hAnsi="Arial Narrow" w:cs="Segoe UI"/>
                <w:snapToGrid/>
                <w:sz w:val="20"/>
                <w:lang w:eastAsia="en-AU"/>
              </w:rPr>
              <w:t>Peginterferon</w:t>
            </w:r>
            <w:proofErr w:type="spellEnd"/>
            <w:r w:rsidRPr="007D2F5C">
              <w:rPr>
                <w:rFonts w:ascii="Arial Narrow" w:hAnsi="Arial Narrow" w:cs="Segoe UI"/>
                <w:snapToGrid/>
                <w:sz w:val="20"/>
                <w:lang w:eastAsia="en-AU"/>
              </w:rPr>
              <w:t>/Ribavirin."</w:t>
            </w:r>
            <w:r w:rsidR="00263332" w:rsidRPr="000B5A25">
              <w:rPr>
                <w:rFonts w:ascii="Arial Narrow" w:hAnsi="Arial Narrow" w:cs="Segoe UI"/>
                <w:noProof/>
                <w:snapToGrid/>
                <w:sz w:val="20"/>
                <w:vertAlign w:val="superscript"/>
                <w:lang w:eastAsia="en-AU"/>
              </w:rPr>
              <w:t>7</w:t>
            </w:r>
          </w:p>
        </w:tc>
        <w:tc>
          <w:tcPr>
            <w:tcW w:w="1106" w:type="pct"/>
          </w:tcPr>
          <w:p w:rsidR="00EE5AF1" w:rsidRPr="007D2F5C" w:rsidRDefault="00EE5AF1" w:rsidP="00EE5AF1">
            <w:pPr>
              <w:jc w:val="left"/>
              <w:rPr>
                <w:rFonts w:ascii="Arial Narrow" w:hAnsi="Arial Narrow" w:cs="Segoe UI"/>
                <w:i/>
                <w:iCs/>
                <w:snapToGrid/>
                <w:sz w:val="20"/>
                <w:lang w:eastAsia="en-AU"/>
              </w:rPr>
            </w:pPr>
            <w:proofErr w:type="spellStart"/>
            <w:r w:rsidRPr="007D2F5C">
              <w:rPr>
                <w:rFonts w:ascii="Arial Narrow" w:hAnsi="Arial Narrow" w:cs="Segoe UI"/>
                <w:i/>
                <w:iCs/>
                <w:snapToGrid/>
                <w:sz w:val="20"/>
                <w:lang w:eastAsia="en-AU"/>
              </w:rPr>
              <w:t>Hepatology</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56, no. 2 (Aug 2012): 567-75.</w:t>
            </w:r>
          </w:p>
        </w:tc>
      </w:tr>
      <w:tr w:rsidR="00EE5AF1" w:rsidRPr="007D2F5C" w:rsidTr="00AF78AC">
        <w:trPr>
          <w:trHeight w:val="315"/>
        </w:trPr>
        <w:tc>
          <w:tcPr>
            <w:tcW w:w="735" w:type="pct"/>
            <w:vMerge/>
          </w:tcPr>
          <w:p w:rsidR="00EE5AF1" w:rsidRPr="007D2F5C" w:rsidRDefault="00EE5AF1" w:rsidP="00EE5AF1">
            <w:pPr>
              <w:jc w:val="left"/>
              <w:rPr>
                <w:rFonts w:ascii="Arial Narrow" w:hAnsi="Arial Narrow"/>
                <w:b/>
                <w:sz w:val="20"/>
              </w:rPr>
            </w:pPr>
          </w:p>
        </w:tc>
        <w:tc>
          <w:tcPr>
            <w:tcW w:w="3159" w:type="pct"/>
          </w:tcPr>
          <w:p w:rsidR="00EE5AF1" w:rsidRPr="007D2F5C" w:rsidRDefault="00EE5AF1" w:rsidP="00263332">
            <w:pPr>
              <w:jc w:val="left"/>
              <w:rPr>
                <w:rFonts w:ascii="Arial Narrow" w:hAnsi="Arial Narrow" w:cs="Segoe UI"/>
                <w:snapToGrid/>
                <w:sz w:val="20"/>
                <w:lang w:eastAsia="en-AU"/>
              </w:rPr>
            </w:pPr>
            <w:r w:rsidRPr="007D2F5C">
              <w:rPr>
                <w:rFonts w:ascii="Arial Narrow" w:hAnsi="Arial Narrow" w:cs="Segoe UI"/>
                <w:snapToGrid/>
                <w:sz w:val="20"/>
                <w:lang w:eastAsia="en-AU"/>
              </w:rPr>
              <w:t xml:space="preserve">Barnard, R. J., J. A. Howe, R. A. </w:t>
            </w:r>
            <w:proofErr w:type="spellStart"/>
            <w:r w:rsidRPr="007D2F5C">
              <w:rPr>
                <w:rFonts w:ascii="Arial Narrow" w:hAnsi="Arial Narrow" w:cs="Segoe UI"/>
                <w:snapToGrid/>
                <w:sz w:val="20"/>
                <w:lang w:eastAsia="en-AU"/>
              </w:rPr>
              <w:t>Ogert</w:t>
            </w:r>
            <w:proofErr w:type="spellEnd"/>
            <w:r w:rsidRPr="007D2F5C">
              <w:rPr>
                <w:rFonts w:ascii="Arial Narrow" w:hAnsi="Arial Narrow" w:cs="Segoe UI"/>
                <w:snapToGrid/>
                <w:sz w:val="20"/>
                <w:lang w:eastAsia="en-AU"/>
              </w:rPr>
              <w:t xml:space="preserve">, S. </w:t>
            </w: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F. </w:t>
            </w:r>
            <w:proofErr w:type="spellStart"/>
            <w:r w:rsidRPr="007D2F5C">
              <w:rPr>
                <w:rFonts w:ascii="Arial Narrow" w:hAnsi="Arial Narrow" w:cs="Segoe UI"/>
                <w:snapToGrid/>
                <w:sz w:val="20"/>
                <w:lang w:eastAsia="en-AU"/>
              </w:rPr>
              <w:t>Poordad</w:t>
            </w:r>
            <w:proofErr w:type="spellEnd"/>
            <w:r w:rsidRPr="007D2F5C">
              <w:rPr>
                <w:rFonts w:ascii="Arial Narrow" w:hAnsi="Arial Narrow" w:cs="Segoe UI"/>
                <w:snapToGrid/>
                <w:sz w:val="20"/>
                <w:lang w:eastAsia="en-AU"/>
              </w:rPr>
              <w:t>, S. C. Gordon, R. Ralston</w:t>
            </w:r>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"Analysis of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Resistance Associated Amino Acid Variants (</w:t>
            </w:r>
            <w:proofErr w:type="spellStart"/>
            <w:r w:rsidRPr="007D2F5C">
              <w:rPr>
                <w:rFonts w:ascii="Arial Narrow" w:hAnsi="Arial Narrow" w:cs="Segoe UI"/>
                <w:snapToGrid/>
                <w:sz w:val="20"/>
                <w:lang w:eastAsia="en-AU"/>
              </w:rPr>
              <w:t>Ravs</w:t>
            </w:r>
            <w:proofErr w:type="spellEnd"/>
            <w:r w:rsidRPr="007D2F5C">
              <w:rPr>
                <w:rFonts w:ascii="Arial Narrow" w:hAnsi="Arial Narrow" w:cs="Segoe UI"/>
                <w:snapToGrid/>
                <w:sz w:val="20"/>
                <w:lang w:eastAsia="en-AU"/>
              </w:rPr>
              <w:t xml:space="preserve">) in Two Phase 3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Clinical Studies."</w:t>
            </w:r>
            <w:r w:rsidR="00263332" w:rsidRPr="000B5A25">
              <w:rPr>
                <w:rFonts w:ascii="Arial Narrow" w:hAnsi="Arial Narrow" w:cs="Segoe UI"/>
                <w:noProof/>
                <w:snapToGrid/>
                <w:sz w:val="20"/>
                <w:vertAlign w:val="superscript"/>
                <w:lang w:eastAsia="en-AU"/>
              </w:rPr>
              <w:t>9</w:t>
            </w:r>
          </w:p>
        </w:tc>
        <w:tc>
          <w:tcPr>
            <w:tcW w:w="1106" w:type="pct"/>
          </w:tcPr>
          <w:p w:rsidR="00EE5AF1" w:rsidRPr="007D2F5C" w:rsidRDefault="00EE5AF1" w:rsidP="00EE5AF1">
            <w:pPr>
              <w:jc w:val="left"/>
              <w:rPr>
                <w:rFonts w:ascii="Arial Narrow" w:hAnsi="Arial Narrow" w:cs="Segoe UI"/>
                <w:i/>
                <w:iCs/>
                <w:snapToGrid/>
                <w:sz w:val="20"/>
                <w:lang w:eastAsia="en-AU"/>
              </w:rPr>
            </w:pPr>
            <w:r w:rsidRPr="007D2F5C">
              <w:rPr>
                <w:rFonts w:ascii="Arial Narrow" w:hAnsi="Arial Narrow" w:cs="Segoe UI"/>
                <w:i/>
                <w:iCs/>
                <w:snapToGrid/>
                <w:sz w:val="20"/>
                <w:lang w:eastAsia="en-AU"/>
              </w:rPr>
              <w:t xml:space="preserve">Virology </w:t>
            </w:r>
            <w:r w:rsidRPr="007D2F5C">
              <w:rPr>
                <w:rFonts w:ascii="Arial Narrow" w:hAnsi="Arial Narrow" w:cs="Segoe UI"/>
                <w:snapToGrid/>
                <w:sz w:val="20"/>
                <w:lang w:eastAsia="en-AU"/>
              </w:rPr>
              <w:t>444, no. 1-2 (Sep 2013): 329-36.</w:t>
            </w:r>
          </w:p>
        </w:tc>
      </w:tr>
      <w:tr w:rsidR="00EE5AF1" w:rsidRPr="007D2F5C" w:rsidTr="00AF78AC">
        <w:tc>
          <w:tcPr>
            <w:tcW w:w="735" w:type="pct"/>
          </w:tcPr>
          <w:p w:rsidR="00EE5AF1" w:rsidRPr="007D2F5C" w:rsidRDefault="00EE5AF1" w:rsidP="00EE5AF1">
            <w:pPr>
              <w:jc w:val="left"/>
              <w:rPr>
                <w:rFonts w:ascii="Arial Narrow" w:hAnsi="Arial Narrow"/>
                <w:b/>
                <w:sz w:val="20"/>
              </w:rPr>
            </w:pPr>
            <w:proofErr w:type="spellStart"/>
            <w:r w:rsidRPr="007D2F5C">
              <w:rPr>
                <w:rFonts w:ascii="Arial Narrow" w:hAnsi="Arial Narrow"/>
                <w:b/>
                <w:sz w:val="20"/>
              </w:rPr>
              <w:t>Flamm</w:t>
            </w:r>
            <w:proofErr w:type="spellEnd"/>
            <w:r w:rsidRPr="007D2F5C">
              <w:rPr>
                <w:rFonts w:ascii="Arial Narrow" w:hAnsi="Arial Narrow"/>
                <w:b/>
                <w:sz w:val="20"/>
              </w:rPr>
              <w:t xml:space="preserve"> et al 2013</w:t>
            </w:r>
          </w:p>
          <w:p w:rsidR="00EE5AF1" w:rsidRPr="007D2F5C" w:rsidRDefault="00EE5AF1" w:rsidP="00EE5AF1">
            <w:pPr>
              <w:jc w:val="left"/>
              <w:rPr>
                <w:rFonts w:ascii="Arial Narrow" w:hAnsi="Arial Narrow"/>
                <w:sz w:val="20"/>
              </w:rPr>
            </w:pPr>
            <w:r w:rsidRPr="007D2F5C">
              <w:rPr>
                <w:rFonts w:ascii="Arial Narrow" w:hAnsi="Arial Narrow"/>
                <w:sz w:val="20"/>
              </w:rPr>
              <w:lastRenderedPageBreak/>
              <w:t>(</w:t>
            </w:r>
            <w:proofErr w:type="spellStart"/>
            <w:r w:rsidRPr="007D2F5C">
              <w:rPr>
                <w:rFonts w:ascii="Arial Narrow" w:hAnsi="Arial Narrow"/>
                <w:sz w:val="20"/>
              </w:rPr>
              <w:t>boceprevir</w:t>
            </w:r>
            <w:proofErr w:type="spellEnd"/>
            <w:r w:rsidRPr="007D2F5C">
              <w:rPr>
                <w:rFonts w:ascii="Arial Narrow" w:hAnsi="Arial Narrow"/>
                <w:sz w:val="20"/>
              </w:rPr>
              <w:t>)</w:t>
            </w:r>
          </w:p>
          <w:p w:rsidR="00EE5AF1" w:rsidRPr="007D2F5C" w:rsidRDefault="00EE5AF1" w:rsidP="00EE5AF1">
            <w:pPr>
              <w:jc w:val="left"/>
              <w:rPr>
                <w:rFonts w:ascii="Arial Narrow" w:hAnsi="Arial Narrow"/>
                <w:sz w:val="20"/>
              </w:rPr>
            </w:pPr>
            <w:r w:rsidRPr="007D2F5C">
              <w:rPr>
                <w:rFonts w:ascii="Arial Narrow" w:hAnsi="Arial Narrow"/>
                <w:sz w:val="20"/>
              </w:rPr>
              <w:t>NCT00845065</w:t>
            </w:r>
          </w:p>
          <w:p w:rsidR="00EE5AF1" w:rsidRPr="007D2F5C" w:rsidRDefault="00EE5AF1" w:rsidP="00263332">
            <w:pPr>
              <w:jc w:val="left"/>
              <w:rPr>
                <w:rFonts w:ascii="Arial Narrow" w:hAnsi="Arial Narrow"/>
                <w:sz w:val="20"/>
              </w:rPr>
            </w:pPr>
          </w:p>
        </w:tc>
        <w:tc>
          <w:tcPr>
            <w:tcW w:w="3159" w:type="pct"/>
          </w:tcPr>
          <w:p w:rsidR="00EE5AF1" w:rsidRPr="007D2F5C" w:rsidRDefault="00EE5AF1" w:rsidP="00EE5AF1">
            <w:pPr>
              <w:jc w:val="left"/>
              <w:rPr>
                <w:rFonts w:ascii="Arial Narrow" w:hAnsi="Arial Narrow"/>
                <w:b/>
                <w:sz w:val="20"/>
              </w:rPr>
            </w:pPr>
            <w:proofErr w:type="spellStart"/>
            <w:r w:rsidRPr="007D2F5C">
              <w:rPr>
                <w:rFonts w:ascii="Arial Narrow" w:hAnsi="Arial Narrow" w:cs="Segoe UI"/>
                <w:snapToGrid/>
                <w:sz w:val="20"/>
                <w:lang w:eastAsia="en-AU"/>
              </w:rPr>
              <w:lastRenderedPageBreak/>
              <w:t>Flamm</w:t>
            </w:r>
            <w:proofErr w:type="spellEnd"/>
            <w:r w:rsidRPr="007D2F5C">
              <w:rPr>
                <w:rFonts w:ascii="Arial Narrow" w:hAnsi="Arial Narrow" w:cs="Segoe UI"/>
                <w:snapToGrid/>
                <w:sz w:val="20"/>
                <w:lang w:eastAsia="en-AU"/>
              </w:rPr>
              <w:t xml:space="preserve">, S. L., E.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I. Jacobson, M. </w:t>
            </w:r>
            <w:proofErr w:type="spellStart"/>
            <w:r w:rsidRPr="007D2F5C">
              <w:rPr>
                <w:rFonts w:ascii="Arial Narrow" w:hAnsi="Arial Narrow" w:cs="Segoe UI"/>
                <w:snapToGrid/>
                <w:sz w:val="20"/>
                <w:lang w:eastAsia="en-AU"/>
              </w:rPr>
              <w:t>Bourliere</w:t>
            </w:r>
            <w:proofErr w:type="spellEnd"/>
            <w:r w:rsidRPr="007D2F5C">
              <w:rPr>
                <w:rFonts w:ascii="Arial Narrow" w:hAnsi="Arial Narrow" w:cs="Segoe UI"/>
                <w:snapToGrid/>
                <w:sz w:val="20"/>
                <w:lang w:eastAsia="en-AU"/>
              </w:rPr>
              <w:t xml:space="preserve">, C. </w:t>
            </w:r>
            <w:proofErr w:type="spellStart"/>
            <w:r w:rsidRPr="007D2F5C">
              <w:rPr>
                <w:rFonts w:ascii="Arial Narrow" w:hAnsi="Arial Narrow" w:cs="Segoe UI"/>
                <w:snapToGrid/>
                <w:sz w:val="20"/>
                <w:lang w:eastAsia="en-AU"/>
              </w:rPr>
              <w:t>Hezode</w:t>
            </w:r>
            <w:proofErr w:type="spellEnd"/>
            <w:r w:rsidRPr="007D2F5C">
              <w:rPr>
                <w:rFonts w:ascii="Arial Narrow" w:hAnsi="Arial Narrow" w:cs="Segoe UI"/>
                <w:snapToGrid/>
                <w:sz w:val="20"/>
                <w:lang w:eastAsia="en-AU"/>
              </w:rPr>
              <w:t xml:space="preserve">, J. M. </w:t>
            </w:r>
            <w:proofErr w:type="spellStart"/>
            <w:r w:rsidRPr="007D2F5C">
              <w:rPr>
                <w:rFonts w:ascii="Arial Narrow" w:hAnsi="Arial Narrow" w:cs="Segoe UI"/>
                <w:snapToGrid/>
                <w:sz w:val="20"/>
                <w:lang w:eastAsia="en-AU"/>
              </w:rPr>
              <w:t>Vierling</w:t>
            </w:r>
            <w:proofErr w:type="spellEnd"/>
            <w:r w:rsidRPr="007D2F5C">
              <w:rPr>
                <w:rFonts w:ascii="Arial Narrow" w:hAnsi="Arial Narrow" w:cs="Segoe UI"/>
                <w:snapToGrid/>
                <w:sz w:val="20"/>
                <w:lang w:eastAsia="en-AU"/>
              </w:rPr>
              <w:t>, B. R. Bacon</w:t>
            </w:r>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Boceprevir</w:t>
            </w:r>
            <w:proofErr w:type="spellEnd"/>
            <w:r w:rsidRPr="007D2F5C">
              <w:rPr>
                <w:rFonts w:ascii="Arial Narrow" w:hAnsi="Arial Narrow" w:cs="Segoe UI"/>
                <w:snapToGrid/>
                <w:sz w:val="20"/>
                <w:lang w:eastAsia="en-AU"/>
              </w:rPr>
              <w:t xml:space="preserve"> with </w:t>
            </w:r>
            <w:proofErr w:type="spellStart"/>
            <w:r w:rsidRPr="007D2F5C">
              <w:rPr>
                <w:rFonts w:ascii="Arial Narrow" w:hAnsi="Arial Narrow" w:cs="Segoe UI"/>
                <w:snapToGrid/>
                <w:sz w:val="20"/>
                <w:lang w:eastAsia="en-AU"/>
              </w:rPr>
              <w:t>Peginterferon</w:t>
            </w:r>
            <w:proofErr w:type="spellEnd"/>
            <w:r w:rsidRPr="007D2F5C">
              <w:rPr>
                <w:rFonts w:ascii="Arial Narrow" w:hAnsi="Arial Narrow" w:cs="Segoe UI"/>
                <w:snapToGrid/>
                <w:sz w:val="20"/>
                <w:lang w:eastAsia="en-AU"/>
              </w:rPr>
              <w:t xml:space="preserve"> Alfa-2a-</w:t>
            </w:r>
            <w:r w:rsidRPr="007D2F5C">
              <w:rPr>
                <w:rFonts w:ascii="Arial Narrow" w:hAnsi="Arial Narrow" w:cs="Segoe UI"/>
                <w:snapToGrid/>
                <w:sz w:val="20"/>
                <w:lang w:eastAsia="en-AU"/>
              </w:rPr>
              <w:lastRenderedPageBreak/>
              <w:t>Ribavirin Is Effective for Previously Treated Chronic Hepatitis C Genotype 1 Infection."</w:t>
            </w:r>
          </w:p>
        </w:tc>
        <w:tc>
          <w:tcPr>
            <w:tcW w:w="1106" w:type="pct"/>
          </w:tcPr>
          <w:p w:rsidR="00EE5AF1" w:rsidRPr="007D2F5C" w:rsidRDefault="00EE5AF1" w:rsidP="00EE5AF1">
            <w:pPr>
              <w:jc w:val="left"/>
              <w:rPr>
                <w:rFonts w:ascii="Arial Narrow" w:hAnsi="Arial Narrow"/>
                <w:b/>
                <w:sz w:val="20"/>
              </w:rPr>
            </w:pPr>
            <w:proofErr w:type="spellStart"/>
            <w:r w:rsidRPr="007D2F5C">
              <w:rPr>
                <w:rFonts w:ascii="Arial Narrow" w:hAnsi="Arial Narrow" w:cs="Segoe UI"/>
                <w:i/>
                <w:iCs/>
                <w:snapToGrid/>
                <w:sz w:val="20"/>
                <w:lang w:eastAsia="en-AU"/>
              </w:rPr>
              <w:lastRenderedPageBreak/>
              <w:t>Clin</w:t>
            </w:r>
            <w:proofErr w:type="spellEnd"/>
            <w:r w:rsidRPr="007D2F5C">
              <w:rPr>
                <w:rFonts w:ascii="Arial Narrow" w:hAnsi="Arial Narrow" w:cs="Segoe UI"/>
                <w:i/>
                <w:iCs/>
                <w:snapToGrid/>
                <w:sz w:val="20"/>
                <w:lang w:eastAsia="en-AU"/>
              </w:rPr>
              <w:t xml:space="preserve"> </w:t>
            </w:r>
            <w:proofErr w:type="spellStart"/>
            <w:r w:rsidRPr="007D2F5C">
              <w:rPr>
                <w:rFonts w:ascii="Arial Narrow" w:hAnsi="Arial Narrow" w:cs="Segoe UI"/>
                <w:i/>
                <w:iCs/>
                <w:snapToGrid/>
                <w:sz w:val="20"/>
                <w:lang w:eastAsia="en-AU"/>
              </w:rPr>
              <w:t>Gastroenterol</w:t>
            </w:r>
            <w:proofErr w:type="spellEnd"/>
            <w:r w:rsidRPr="007D2F5C">
              <w:rPr>
                <w:rFonts w:ascii="Arial Narrow" w:hAnsi="Arial Narrow" w:cs="Segoe UI"/>
                <w:i/>
                <w:iCs/>
                <w:snapToGrid/>
                <w:sz w:val="20"/>
                <w:lang w:eastAsia="en-AU"/>
              </w:rPr>
              <w:t xml:space="preserve"> </w:t>
            </w:r>
            <w:proofErr w:type="spellStart"/>
            <w:r w:rsidRPr="007D2F5C">
              <w:rPr>
                <w:rFonts w:ascii="Arial Narrow" w:hAnsi="Arial Narrow" w:cs="Segoe UI"/>
                <w:i/>
                <w:iCs/>
                <w:snapToGrid/>
                <w:sz w:val="20"/>
                <w:lang w:eastAsia="en-AU"/>
              </w:rPr>
              <w:t>Hepatol</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 xml:space="preserve">11, no. 1 (Jan </w:t>
            </w:r>
            <w:r w:rsidRPr="007D2F5C">
              <w:rPr>
                <w:rFonts w:ascii="Arial Narrow" w:hAnsi="Arial Narrow" w:cs="Segoe UI"/>
                <w:snapToGrid/>
                <w:sz w:val="20"/>
                <w:lang w:eastAsia="en-AU"/>
              </w:rPr>
              <w:lastRenderedPageBreak/>
              <w:t>2013): 81-87 e4; quiz e5.</w:t>
            </w:r>
          </w:p>
        </w:tc>
      </w:tr>
      <w:tr w:rsidR="00EE5AF1" w:rsidRPr="007D2F5C" w:rsidTr="00AF78AC">
        <w:trPr>
          <w:trHeight w:val="625"/>
        </w:trPr>
        <w:tc>
          <w:tcPr>
            <w:tcW w:w="735" w:type="pct"/>
            <w:vMerge w:val="restart"/>
          </w:tcPr>
          <w:p w:rsidR="00EE5AF1" w:rsidRPr="007D2F5C" w:rsidRDefault="00EE5AF1" w:rsidP="00EE5AF1">
            <w:pPr>
              <w:jc w:val="left"/>
              <w:rPr>
                <w:rFonts w:ascii="Arial Narrow" w:hAnsi="Arial Narrow"/>
                <w:b/>
                <w:sz w:val="20"/>
              </w:rPr>
            </w:pPr>
            <w:r w:rsidRPr="007D2F5C">
              <w:rPr>
                <w:rFonts w:ascii="Arial Narrow" w:hAnsi="Arial Narrow"/>
                <w:b/>
                <w:sz w:val="20"/>
              </w:rPr>
              <w:lastRenderedPageBreak/>
              <w:t>ADVANCE</w:t>
            </w:r>
          </w:p>
          <w:p w:rsidR="00EE5AF1" w:rsidRPr="007D2F5C" w:rsidRDefault="00EE5AF1" w:rsidP="00EE5AF1">
            <w:pPr>
              <w:jc w:val="left"/>
              <w:rPr>
                <w:rFonts w:ascii="Arial Narrow" w:hAnsi="Arial Narrow"/>
                <w:sz w:val="20"/>
              </w:rPr>
            </w:pPr>
            <w:r w:rsidRPr="007D2F5C">
              <w:rPr>
                <w:rFonts w:ascii="Arial Narrow" w:hAnsi="Arial Narrow"/>
                <w:sz w:val="20"/>
              </w:rPr>
              <w:t>(telaprevir)</w:t>
            </w:r>
          </w:p>
          <w:p w:rsidR="00EE5AF1" w:rsidRPr="007D2F5C" w:rsidRDefault="00EE5AF1" w:rsidP="00EE5AF1">
            <w:pPr>
              <w:jc w:val="left"/>
              <w:rPr>
                <w:rFonts w:ascii="Arial Narrow" w:hAnsi="Arial Narrow"/>
                <w:sz w:val="20"/>
              </w:rPr>
            </w:pPr>
            <w:r w:rsidRPr="007D2F5C">
              <w:rPr>
                <w:rFonts w:ascii="Arial Narrow" w:hAnsi="Arial Narrow"/>
                <w:sz w:val="20"/>
              </w:rPr>
              <w:t>NCT00627926</w:t>
            </w:r>
          </w:p>
          <w:p w:rsidR="00EE5AF1" w:rsidRPr="007D2F5C" w:rsidRDefault="00EE5AF1" w:rsidP="00134998">
            <w:pPr>
              <w:jc w:val="left"/>
              <w:rPr>
                <w:rFonts w:ascii="Arial Narrow" w:hAnsi="Arial Narrow"/>
                <w:sz w:val="20"/>
              </w:rPr>
            </w:pPr>
            <w:r w:rsidRPr="007D2F5C">
              <w:rPr>
                <w:rFonts w:ascii="Arial Narrow" w:hAnsi="Arial Narrow"/>
                <w:sz w:val="20"/>
              </w:rPr>
              <w:t>Jacobson et al 2011</w:t>
            </w:r>
          </w:p>
        </w:tc>
        <w:tc>
          <w:tcPr>
            <w:tcW w:w="3159" w:type="pct"/>
          </w:tcPr>
          <w:p w:rsidR="00EE5AF1" w:rsidRPr="007D2F5C" w:rsidRDefault="00EE5AF1" w:rsidP="00EE5AF1">
            <w:pPr>
              <w:jc w:val="left"/>
              <w:rPr>
                <w:rFonts w:ascii="Arial Narrow" w:hAnsi="Arial Narrow" w:cs="Segoe UI"/>
                <w:b/>
                <w:snapToGrid/>
                <w:sz w:val="20"/>
                <w:lang w:eastAsia="en-AU"/>
              </w:rPr>
            </w:pPr>
            <w:r w:rsidRPr="007D2F5C">
              <w:rPr>
                <w:rFonts w:ascii="Arial Narrow" w:hAnsi="Arial Narrow" w:cs="Segoe UI"/>
                <w:b/>
                <w:snapToGrid/>
                <w:sz w:val="20"/>
                <w:lang w:eastAsia="en-AU"/>
              </w:rPr>
              <w:t>Primary publication</w:t>
            </w:r>
          </w:p>
          <w:p w:rsidR="00EE5AF1" w:rsidRPr="007D2F5C" w:rsidRDefault="00EE5AF1" w:rsidP="00EE5AF1">
            <w:pPr>
              <w:jc w:val="left"/>
              <w:rPr>
                <w:rFonts w:ascii="Arial Narrow" w:hAnsi="Arial Narrow"/>
                <w:b/>
                <w:sz w:val="20"/>
              </w:rPr>
            </w:pPr>
            <w:r w:rsidRPr="007D2F5C">
              <w:rPr>
                <w:rFonts w:ascii="Arial Narrow" w:hAnsi="Arial Narrow" w:cs="Segoe UI"/>
                <w:snapToGrid/>
                <w:sz w:val="20"/>
                <w:lang w:eastAsia="en-AU"/>
              </w:rPr>
              <w:t xml:space="preserve">Jacobson, I. M., J. G. </w:t>
            </w:r>
            <w:proofErr w:type="spellStart"/>
            <w:r w:rsidRPr="007D2F5C">
              <w:rPr>
                <w:rFonts w:ascii="Arial Narrow" w:hAnsi="Arial Narrow" w:cs="Segoe UI"/>
                <w:snapToGrid/>
                <w:sz w:val="20"/>
                <w:lang w:eastAsia="en-AU"/>
              </w:rPr>
              <w:t>McHutchison</w:t>
            </w:r>
            <w:proofErr w:type="spellEnd"/>
            <w:r w:rsidRPr="007D2F5C">
              <w:rPr>
                <w:rFonts w:ascii="Arial Narrow" w:hAnsi="Arial Narrow" w:cs="Segoe UI"/>
                <w:snapToGrid/>
                <w:sz w:val="20"/>
                <w:lang w:eastAsia="en-AU"/>
              </w:rPr>
              <w:t xml:space="preserve">, G. </w:t>
            </w:r>
            <w:proofErr w:type="spellStart"/>
            <w:r w:rsidRPr="007D2F5C">
              <w:rPr>
                <w:rFonts w:ascii="Arial Narrow" w:hAnsi="Arial Narrow" w:cs="Segoe UI"/>
                <w:snapToGrid/>
                <w:sz w:val="20"/>
                <w:lang w:eastAsia="en-AU"/>
              </w:rPr>
              <w:t>Dusheiko</w:t>
            </w:r>
            <w:proofErr w:type="spellEnd"/>
            <w:r w:rsidRPr="007D2F5C">
              <w:rPr>
                <w:rFonts w:ascii="Arial Narrow" w:hAnsi="Arial Narrow" w:cs="Segoe UI"/>
                <w:snapToGrid/>
                <w:sz w:val="20"/>
                <w:lang w:eastAsia="en-AU"/>
              </w:rPr>
              <w:t xml:space="preserve">, A. M. Di </w:t>
            </w:r>
            <w:proofErr w:type="spellStart"/>
            <w:r w:rsidRPr="007D2F5C">
              <w:rPr>
                <w:rFonts w:ascii="Arial Narrow" w:hAnsi="Arial Narrow" w:cs="Segoe UI"/>
                <w:snapToGrid/>
                <w:sz w:val="20"/>
                <w:lang w:eastAsia="en-AU"/>
              </w:rPr>
              <w:t>Bisceglie</w:t>
            </w:r>
            <w:proofErr w:type="spellEnd"/>
            <w:r w:rsidRPr="007D2F5C">
              <w:rPr>
                <w:rFonts w:ascii="Arial Narrow" w:hAnsi="Arial Narrow" w:cs="Segoe UI"/>
                <w:snapToGrid/>
                <w:sz w:val="20"/>
                <w:lang w:eastAsia="en-AU"/>
              </w:rPr>
              <w:t xml:space="preserve">, K. R. Reddy, N. H. </w:t>
            </w:r>
            <w:proofErr w:type="spellStart"/>
            <w:r w:rsidRPr="007D2F5C">
              <w:rPr>
                <w:rFonts w:ascii="Arial Narrow" w:hAnsi="Arial Narrow" w:cs="Segoe UI"/>
                <w:snapToGrid/>
                <w:sz w:val="20"/>
                <w:lang w:eastAsia="en-AU"/>
              </w:rPr>
              <w:t>Bzowej</w:t>
            </w:r>
            <w:proofErr w:type="spellEnd"/>
            <w:r w:rsidRPr="007D2F5C">
              <w:rPr>
                <w:rFonts w:ascii="Arial Narrow" w:hAnsi="Arial Narrow" w:cs="Segoe UI"/>
                <w:snapToGrid/>
                <w:sz w:val="20"/>
                <w:lang w:eastAsia="en-AU"/>
              </w:rPr>
              <w:t xml:space="preserve">, P. </w:t>
            </w:r>
            <w:proofErr w:type="spellStart"/>
            <w:r w:rsidRPr="007D2F5C">
              <w:rPr>
                <w:rFonts w:ascii="Arial Narrow" w:hAnsi="Arial Narrow" w:cs="Segoe UI"/>
                <w:snapToGrid/>
                <w:sz w:val="20"/>
                <w:lang w:eastAsia="en-AU"/>
              </w:rPr>
              <w:t>Marcellin</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"Telaprevir for Previously Untreated Chronic Hepatitis C Virus Infection."</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cs="Segoe UI"/>
                <w:i/>
                <w:iCs/>
                <w:snapToGrid/>
                <w:sz w:val="20"/>
                <w:lang w:eastAsia="en-AU"/>
              </w:rPr>
              <w:t xml:space="preserve">N </w:t>
            </w:r>
            <w:proofErr w:type="spellStart"/>
            <w:r w:rsidRPr="007D2F5C">
              <w:rPr>
                <w:rFonts w:ascii="Arial Narrow" w:hAnsi="Arial Narrow" w:cs="Segoe UI"/>
                <w:i/>
                <w:iCs/>
                <w:snapToGrid/>
                <w:sz w:val="20"/>
                <w:lang w:eastAsia="en-AU"/>
              </w:rPr>
              <w:t>Engl</w:t>
            </w:r>
            <w:proofErr w:type="spellEnd"/>
            <w:r w:rsidRPr="007D2F5C">
              <w:rPr>
                <w:rFonts w:ascii="Arial Narrow" w:hAnsi="Arial Narrow" w:cs="Segoe UI"/>
                <w:i/>
                <w:iCs/>
                <w:snapToGrid/>
                <w:sz w:val="20"/>
                <w:lang w:eastAsia="en-AU"/>
              </w:rPr>
              <w:t xml:space="preserve"> J Med </w:t>
            </w:r>
            <w:r w:rsidRPr="007D2F5C">
              <w:rPr>
                <w:rFonts w:ascii="Arial Narrow" w:hAnsi="Arial Narrow" w:cs="Segoe UI"/>
                <w:snapToGrid/>
                <w:sz w:val="20"/>
                <w:lang w:eastAsia="en-AU"/>
              </w:rPr>
              <w:t>364, no. 25 (Jun 23 2011): 2405-16.</w:t>
            </w:r>
          </w:p>
        </w:tc>
      </w:tr>
      <w:tr w:rsidR="00EE5AF1" w:rsidRPr="007D2F5C" w:rsidTr="00AF78AC">
        <w:trPr>
          <w:trHeight w:val="625"/>
        </w:trPr>
        <w:tc>
          <w:tcPr>
            <w:tcW w:w="735" w:type="pct"/>
            <w:vMerge/>
          </w:tcPr>
          <w:p w:rsidR="00EE5AF1" w:rsidRPr="007D2F5C" w:rsidRDefault="00EE5AF1" w:rsidP="00EE5AF1">
            <w:pPr>
              <w:jc w:val="left"/>
              <w:rPr>
                <w:rFonts w:ascii="Arial Narrow" w:hAnsi="Arial Narrow"/>
                <w:b/>
                <w:sz w:val="20"/>
              </w:rPr>
            </w:pPr>
          </w:p>
        </w:tc>
        <w:tc>
          <w:tcPr>
            <w:tcW w:w="3159" w:type="pct"/>
          </w:tcPr>
          <w:p w:rsidR="00EE5AF1" w:rsidRPr="007D2F5C" w:rsidRDefault="00EE5AF1" w:rsidP="00263332">
            <w:pPr>
              <w:jc w:val="left"/>
              <w:rPr>
                <w:rFonts w:ascii="Arial Narrow" w:hAnsi="Arial Narrow" w:cs="Segoe UI"/>
                <w:b/>
                <w:snapToGrid/>
                <w:sz w:val="20"/>
                <w:lang w:eastAsia="en-AU"/>
              </w:rPr>
            </w:pPr>
            <w:r w:rsidRPr="007D2F5C">
              <w:rPr>
                <w:rFonts w:ascii="Arial Narrow" w:hAnsi="Arial Narrow" w:cs="Segoe UI"/>
                <w:snapToGrid/>
                <w:sz w:val="20"/>
                <w:lang w:eastAsia="en-AU"/>
              </w:rPr>
              <w:t>Vera-</w:t>
            </w:r>
            <w:proofErr w:type="spellStart"/>
            <w:r w:rsidRPr="007D2F5C">
              <w:rPr>
                <w:rFonts w:ascii="Arial Narrow" w:hAnsi="Arial Narrow" w:cs="Segoe UI"/>
                <w:snapToGrid/>
                <w:sz w:val="20"/>
                <w:lang w:eastAsia="en-AU"/>
              </w:rPr>
              <w:t>Llonch</w:t>
            </w:r>
            <w:proofErr w:type="spellEnd"/>
            <w:r w:rsidRPr="007D2F5C">
              <w:rPr>
                <w:rFonts w:ascii="Arial Narrow" w:hAnsi="Arial Narrow" w:cs="Segoe UI"/>
                <w:snapToGrid/>
                <w:sz w:val="20"/>
                <w:lang w:eastAsia="en-AU"/>
              </w:rPr>
              <w:t xml:space="preserve">, M., M. Martin, J. Aggarwal, M. </w:t>
            </w:r>
            <w:proofErr w:type="spellStart"/>
            <w:r w:rsidRPr="007D2F5C">
              <w:rPr>
                <w:rFonts w:ascii="Arial Narrow" w:hAnsi="Arial Narrow" w:cs="Segoe UI"/>
                <w:snapToGrid/>
                <w:sz w:val="20"/>
                <w:lang w:eastAsia="en-AU"/>
              </w:rPr>
              <w:t>Donepudi</w:t>
            </w:r>
            <w:proofErr w:type="spellEnd"/>
            <w:r w:rsidRPr="007D2F5C">
              <w:rPr>
                <w:rFonts w:ascii="Arial Narrow" w:hAnsi="Arial Narrow" w:cs="Segoe UI"/>
                <w:snapToGrid/>
                <w:sz w:val="20"/>
                <w:lang w:eastAsia="en-AU"/>
              </w:rPr>
              <w:t xml:space="preserve">, M. </w:t>
            </w:r>
            <w:proofErr w:type="spellStart"/>
            <w:r w:rsidRPr="007D2F5C">
              <w:rPr>
                <w:rFonts w:ascii="Arial Narrow" w:hAnsi="Arial Narrow" w:cs="Segoe UI"/>
                <w:snapToGrid/>
                <w:sz w:val="20"/>
                <w:lang w:eastAsia="en-AU"/>
              </w:rPr>
              <w:t>Bayliss</w:t>
            </w:r>
            <w:proofErr w:type="spellEnd"/>
            <w:r w:rsidRPr="007D2F5C">
              <w:rPr>
                <w:rFonts w:ascii="Arial Narrow" w:hAnsi="Arial Narrow" w:cs="Segoe UI"/>
                <w:snapToGrid/>
                <w:sz w:val="20"/>
                <w:lang w:eastAsia="en-AU"/>
              </w:rPr>
              <w:t xml:space="preserve">, T. Goss, and Z. </w:t>
            </w:r>
            <w:proofErr w:type="spellStart"/>
            <w:r w:rsidRPr="007D2F5C">
              <w:rPr>
                <w:rFonts w:ascii="Arial Narrow" w:hAnsi="Arial Narrow" w:cs="Segoe UI"/>
                <w:snapToGrid/>
                <w:sz w:val="20"/>
                <w:lang w:eastAsia="en-AU"/>
              </w:rPr>
              <w:t>Younossi</w:t>
            </w:r>
            <w:proofErr w:type="spellEnd"/>
            <w:r w:rsidRPr="007D2F5C">
              <w:rPr>
                <w:rFonts w:ascii="Arial Narrow" w:hAnsi="Arial Narrow" w:cs="Segoe UI"/>
                <w:snapToGrid/>
                <w:sz w:val="20"/>
                <w:lang w:eastAsia="en-AU"/>
              </w:rPr>
              <w:t>. "Health-Related Quality of Life in Genotype 1 Treatment-Naive Chronic Hepatitis C Patients Receiving Telaprevir Combination Treatment in the Advance Study."</w:t>
            </w:r>
            <w:r w:rsidR="00263332" w:rsidRPr="000B5A25">
              <w:rPr>
                <w:rFonts w:ascii="Arial Narrow" w:hAnsi="Arial Narrow" w:cs="Segoe UI"/>
                <w:noProof/>
                <w:snapToGrid/>
                <w:sz w:val="20"/>
                <w:vertAlign w:val="superscript"/>
                <w:lang w:eastAsia="en-AU"/>
              </w:rPr>
              <w:t>12</w:t>
            </w:r>
          </w:p>
        </w:tc>
        <w:tc>
          <w:tcPr>
            <w:tcW w:w="1106" w:type="pct"/>
          </w:tcPr>
          <w:p w:rsidR="00EE5AF1" w:rsidRPr="007D2F5C" w:rsidRDefault="00EE5AF1" w:rsidP="00EE5AF1">
            <w:pPr>
              <w:jc w:val="left"/>
              <w:rPr>
                <w:rFonts w:ascii="Arial Narrow" w:hAnsi="Arial Narrow" w:cs="Segoe UI"/>
                <w:i/>
                <w:iCs/>
                <w:snapToGrid/>
                <w:sz w:val="20"/>
                <w:lang w:eastAsia="en-AU"/>
              </w:rPr>
            </w:pPr>
            <w:r w:rsidRPr="007D2F5C">
              <w:rPr>
                <w:rFonts w:ascii="Arial Narrow" w:hAnsi="Arial Narrow" w:cs="Segoe UI"/>
                <w:i/>
                <w:iCs/>
                <w:snapToGrid/>
                <w:sz w:val="20"/>
                <w:lang w:eastAsia="en-AU"/>
              </w:rPr>
              <w:t xml:space="preserve">Aliment </w:t>
            </w:r>
            <w:proofErr w:type="spellStart"/>
            <w:r w:rsidRPr="007D2F5C">
              <w:rPr>
                <w:rFonts w:ascii="Arial Narrow" w:hAnsi="Arial Narrow" w:cs="Segoe UI"/>
                <w:i/>
                <w:iCs/>
                <w:snapToGrid/>
                <w:sz w:val="20"/>
                <w:lang w:eastAsia="en-AU"/>
              </w:rPr>
              <w:t>Pharmacol</w:t>
            </w:r>
            <w:proofErr w:type="spellEnd"/>
            <w:r w:rsidRPr="007D2F5C">
              <w:rPr>
                <w:rFonts w:ascii="Arial Narrow" w:hAnsi="Arial Narrow" w:cs="Segoe UI"/>
                <w:i/>
                <w:iCs/>
                <w:snapToGrid/>
                <w:sz w:val="20"/>
                <w:lang w:eastAsia="en-AU"/>
              </w:rPr>
              <w:t xml:space="preserve"> </w:t>
            </w:r>
            <w:proofErr w:type="spellStart"/>
            <w:r w:rsidRPr="007D2F5C">
              <w:rPr>
                <w:rFonts w:ascii="Arial Narrow" w:hAnsi="Arial Narrow" w:cs="Segoe UI"/>
                <w:i/>
                <w:iCs/>
                <w:snapToGrid/>
                <w:sz w:val="20"/>
                <w:lang w:eastAsia="en-AU"/>
              </w:rPr>
              <w:t>Ther</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38, no. 2 (Jul 2013): 124-33.</w:t>
            </w:r>
          </w:p>
        </w:tc>
      </w:tr>
      <w:tr w:rsidR="00EE5AF1" w:rsidRPr="007D2F5C" w:rsidTr="00AF78AC">
        <w:trPr>
          <w:trHeight w:val="314"/>
        </w:trPr>
        <w:tc>
          <w:tcPr>
            <w:tcW w:w="735" w:type="pct"/>
            <w:vMerge w:val="restart"/>
          </w:tcPr>
          <w:p w:rsidR="00EE5AF1" w:rsidRPr="007D2F5C" w:rsidRDefault="00EE5AF1" w:rsidP="00EE5AF1">
            <w:pPr>
              <w:jc w:val="left"/>
              <w:rPr>
                <w:rFonts w:ascii="Arial Narrow" w:hAnsi="Arial Narrow"/>
                <w:b/>
                <w:sz w:val="20"/>
              </w:rPr>
            </w:pPr>
            <w:r w:rsidRPr="007D2F5C">
              <w:rPr>
                <w:rFonts w:ascii="Arial Narrow" w:hAnsi="Arial Narrow"/>
                <w:b/>
                <w:sz w:val="20"/>
              </w:rPr>
              <w:t>REALIZE</w:t>
            </w:r>
          </w:p>
          <w:p w:rsidR="00EE5AF1" w:rsidRPr="007D2F5C" w:rsidRDefault="00EE5AF1" w:rsidP="00EE5AF1">
            <w:pPr>
              <w:jc w:val="left"/>
              <w:rPr>
                <w:rFonts w:ascii="Arial Narrow" w:hAnsi="Arial Narrow"/>
                <w:sz w:val="20"/>
              </w:rPr>
            </w:pPr>
            <w:r w:rsidRPr="007D2F5C">
              <w:rPr>
                <w:rFonts w:ascii="Arial Narrow" w:hAnsi="Arial Narrow"/>
                <w:sz w:val="20"/>
              </w:rPr>
              <w:t>(telaprevir)</w:t>
            </w:r>
          </w:p>
          <w:p w:rsidR="00EE5AF1" w:rsidRPr="007D2F5C" w:rsidRDefault="00EE5AF1" w:rsidP="00EE5AF1">
            <w:pPr>
              <w:jc w:val="left"/>
              <w:rPr>
                <w:rFonts w:ascii="Arial Narrow" w:hAnsi="Arial Narrow"/>
                <w:sz w:val="20"/>
              </w:rPr>
            </w:pPr>
            <w:r w:rsidRPr="007D2F5C">
              <w:rPr>
                <w:rFonts w:ascii="Arial Narrow" w:hAnsi="Arial Narrow"/>
                <w:sz w:val="20"/>
              </w:rPr>
              <w:t>NCT00703118</w:t>
            </w:r>
          </w:p>
          <w:p w:rsidR="00EE5AF1" w:rsidRPr="007D2F5C" w:rsidRDefault="00EE5AF1" w:rsidP="00134998">
            <w:pPr>
              <w:jc w:val="left"/>
              <w:rPr>
                <w:rFonts w:ascii="Arial Narrow" w:hAnsi="Arial Narrow"/>
                <w:sz w:val="20"/>
              </w:rPr>
            </w:pPr>
            <w:proofErr w:type="spellStart"/>
            <w:r w:rsidRPr="007D2F5C">
              <w:rPr>
                <w:rFonts w:ascii="Arial Narrow" w:hAnsi="Arial Narrow"/>
                <w:sz w:val="20"/>
              </w:rPr>
              <w:t>Zeuzem</w:t>
            </w:r>
            <w:proofErr w:type="spellEnd"/>
            <w:r w:rsidRPr="007D2F5C">
              <w:rPr>
                <w:rFonts w:ascii="Arial Narrow" w:hAnsi="Arial Narrow"/>
                <w:sz w:val="20"/>
              </w:rPr>
              <w:t xml:space="preserve"> et al 2011</w:t>
            </w:r>
          </w:p>
        </w:tc>
        <w:tc>
          <w:tcPr>
            <w:tcW w:w="3159" w:type="pct"/>
          </w:tcPr>
          <w:p w:rsidR="00EE5AF1" w:rsidRPr="007D2F5C" w:rsidRDefault="00EE5AF1" w:rsidP="00EE5AF1">
            <w:pPr>
              <w:jc w:val="left"/>
              <w:rPr>
                <w:rFonts w:ascii="Arial Narrow" w:hAnsi="Arial Narrow" w:cs="Segoe UI"/>
                <w:b/>
                <w:snapToGrid/>
                <w:sz w:val="20"/>
                <w:lang w:eastAsia="en-AU"/>
              </w:rPr>
            </w:pPr>
            <w:r w:rsidRPr="007D2F5C">
              <w:rPr>
                <w:rFonts w:ascii="Arial Narrow" w:hAnsi="Arial Narrow" w:cs="Segoe UI"/>
                <w:b/>
                <w:snapToGrid/>
                <w:sz w:val="20"/>
                <w:lang w:eastAsia="en-AU"/>
              </w:rPr>
              <w:t>Primary publication</w:t>
            </w:r>
          </w:p>
          <w:p w:rsidR="00EE5AF1" w:rsidRPr="007D2F5C" w:rsidRDefault="00EE5AF1" w:rsidP="00EE5AF1">
            <w:pPr>
              <w:jc w:val="left"/>
              <w:rPr>
                <w:rFonts w:ascii="Arial Narrow" w:hAnsi="Arial Narrow"/>
                <w:b/>
                <w:sz w:val="20"/>
              </w:rPr>
            </w:pP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S., P. </w:t>
            </w:r>
            <w:proofErr w:type="spellStart"/>
            <w:r w:rsidRPr="007D2F5C">
              <w:rPr>
                <w:rFonts w:ascii="Arial Narrow" w:hAnsi="Arial Narrow" w:cs="Segoe UI"/>
                <w:snapToGrid/>
                <w:sz w:val="20"/>
                <w:lang w:eastAsia="en-AU"/>
              </w:rPr>
              <w:t>Andreone</w:t>
            </w:r>
            <w:proofErr w:type="spellEnd"/>
            <w:r w:rsidRPr="007D2F5C">
              <w:rPr>
                <w:rFonts w:ascii="Arial Narrow" w:hAnsi="Arial Narrow" w:cs="Segoe UI"/>
                <w:snapToGrid/>
                <w:sz w:val="20"/>
                <w:lang w:eastAsia="en-AU"/>
              </w:rPr>
              <w:t xml:space="preserve">, S. Pol, E.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M. </w:t>
            </w:r>
            <w:proofErr w:type="spellStart"/>
            <w:r w:rsidRPr="007D2F5C">
              <w:rPr>
                <w:rFonts w:ascii="Arial Narrow" w:hAnsi="Arial Narrow" w:cs="Segoe UI"/>
                <w:snapToGrid/>
                <w:sz w:val="20"/>
                <w:lang w:eastAsia="en-AU"/>
              </w:rPr>
              <w:t>Diago</w:t>
            </w:r>
            <w:proofErr w:type="spellEnd"/>
            <w:r w:rsidRPr="007D2F5C">
              <w:rPr>
                <w:rFonts w:ascii="Arial Narrow" w:hAnsi="Arial Narrow" w:cs="Segoe UI"/>
                <w:snapToGrid/>
                <w:sz w:val="20"/>
                <w:lang w:eastAsia="en-AU"/>
              </w:rPr>
              <w:t>, S. Roberts, R. Focaccia</w:t>
            </w:r>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"Telaprevir for Retreatment of H</w:t>
            </w:r>
            <w:r>
              <w:rPr>
                <w:rFonts w:ascii="Arial Narrow" w:hAnsi="Arial Narrow" w:cs="Segoe UI"/>
                <w:snapToGrid/>
                <w:sz w:val="20"/>
                <w:lang w:eastAsia="en-AU"/>
              </w:rPr>
              <w:t>CV</w:t>
            </w:r>
            <w:r w:rsidRPr="007D2F5C">
              <w:rPr>
                <w:rFonts w:ascii="Arial Narrow" w:hAnsi="Arial Narrow" w:cs="Segoe UI"/>
                <w:snapToGrid/>
                <w:sz w:val="20"/>
                <w:lang w:eastAsia="en-AU"/>
              </w:rPr>
              <w:t xml:space="preserve"> Infection." </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cs="Segoe UI"/>
                <w:i/>
                <w:iCs/>
                <w:snapToGrid/>
                <w:sz w:val="20"/>
                <w:lang w:eastAsia="en-AU"/>
              </w:rPr>
              <w:t xml:space="preserve">N </w:t>
            </w:r>
            <w:proofErr w:type="spellStart"/>
            <w:r w:rsidRPr="007D2F5C">
              <w:rPr>
                <w:rFonts w:ascii="Arial Narrow" w:hAnsi="Arial Narrow" w:cs="Segoe UI"/>
                <w:i/>
                <w:iCs/>
                <w:snapToGrid/>
                <w:sz w:val="20"/>
                <w:lang w:eastAsia="en-AU"/>
              </w:rPr>
              <w:t>Engl</w:t>
            </w:r>
            <w:proofErr w:type="spellEnd"/>
            <w:r w:rsidRPr="007D2F5C">
              <w:rPr>
                <w:rFonts w:ascii="Arial Narrow" w:hAnsi="Arial Narrow" w:cs="Segoe UI"/>
                <w:i/>
                <w:iCs/>
                <w:snapToGrid/>
                <w:sz w:val="20"/>
                <w:lang w:eastAsia="en-AU"/>
              </w:rPr>
              <w:t xml:space="preserve"> J Med </w:t>
            </w:r>
            <w:r w:rsidRPr="007D2F5C">
              <w:rPr>
                <w:rFonts w:ascii="Arial Narrow" w:hAnsi="Arial Narrow" w:cs="Segoe UI"/>
                <w:snapToGrid/>
                <w:sz w:val="20"/>
                <w:lang w:eastAsia="en-AU"/>
              </w:rPr>
              <w:t>364, no. 25 (Jun 23 2011): 2417-28.</w:t>
            </w:r>
          </w:p>
        </w:tc>
      </w:tr>
      <w:tr w:rsidR="00EE5AF1" w:rsidRPr="007D2F5C" w:rsidTr="00AF78AC">
        <w:trPr>
          <w:trHeight w:val="312"/>
        </w:trPr>
        <w:tc>
          <w:tcPr>
            <w:tcW w:w="735" w:type="pct"/>
            <w:vMerge/>
          </w:tcPr>
          <w:p w:rsidR="00EE5AF1" w:rsidRPr="007D2F5C" w:rsidRDefault="00EE5AF1" w:rsidP="00EE5AF1">
            <w:pPr>
              <w:jc w:val="left"/>
              <w:rPr>
                <w:rFonts w:ascii="Arial Narrow" w:hAnsi="Arial Narrow"/>
                <w:sz w:val="20"/>
              </w:rPr>
            </w:pPr>
          </w:p>
        </w:tc>
        <w:tc>
          <w:tcPr>
            <w:tcW w:w="3159" w:type="pct"/>
          </w:tcPr>
          <w:p w:rsidR="00EE5AF1" w:rsidRPr="007D2F5C" w:rsidRDefault="00EE5AF1" w:rsidP="00263332">
            <w:pPr>
              <w:jc w:val="left"/>
              <w:rPr>
                <w:rFonts w:ascii="Arial Narrow" w:hAnsi="Arial Narrow" w:cs="Segoe UI"/>
                <w:snapToGrid/>
                <w:sz w:val="20"/>
                <w:lang w:eastAsia="en-AU"/>
              </w:rPr>
            </w:pPr>
            <w:r w:rsidRPr="007D2F5C">
              <w:rPr>
                <w:rFonts w:ascii="Arial Narrow" w:hAnsi="Arial Narrow" w:cs="Segoe UI"/>
                <w:snapToGrid/>
                <w:sz w:val="20"/>
                <w:lang w:eastAsia="en-AU"/>
              </w:rPr>
              <w:t xml:space="preserve">Pol, S., J. </w:t>
            </w:r>
            <w:proofErr w:type="spellStart"/>
            <w:r w:rsidRPr="007D2F5C">
              <w:rPr>
                <w:rFonts w:ascii="Arial Narrow" w:hAnsi="Arial Narrow" w:cs="Segoe UI"/>
                <w:snapToGrid/>
                <w:sz w:val="20"/>
                <w:lang w:eastAsia="en-AU"/>
              </w:rPr>
              <w:t>Aerssens</w:t>
            </w:r>
            <w:proofErr w:type="spellEnd"/>
            <w:r w:rsidRPr="007D2F5C">
              <w:rPr>
                <w:rFonts w:ascii="Arial Narrow" w:hAnsi="Arial Narrow" w:cs="Segoe UI"/>
                <w:snapToGrid/>
                <w:sz w:val="20"/>
                <w:lang w:eastAsia="en-AU"/>
              </w:rPr>
              <w:t xml:space="preserve">, S. </w:t>
            </w: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P. </w:t>
            </w:r>
            <w:proofErr w:type="spellStart"/>
            <w:r w:rsidRPr="007D2F5C">
              <w:rPr>
                <w:rFonts w:ascii="Arial Narrow" w:hAnsi="Arial Narrow" w:cs="Segoe UI"/>
                <w:snapToGrid/>
                <w:sz w:val="20"/>
                <w:lang w:eastAsia="en-AU"/>
              </w:rPr>
              <w:t>Andreone</w:t>
            </w:r>
            <w:proofErr w:type="spellEnd"/>
            <w:r w:rsidRPr="007D2F5C">
              <w:rPr>
                <w:rFonts w:ascii="Arial Narrow" w:hAnsi="Arial Narrow" w:cs="Segoe UI"/>
                <w:snapToGrid/>
                <w:sz w:val="20"/>
                <w:lang w:eastAsia="en-AU"/>
              </w:rPr>
              <w:t xml:space="preserve">, E. J.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S. Roberts, Z. </w:t>
            </w:r>
            <w:proofErr w:type="spellStart"/>
            <w:r w:rsidRPr="007D2F5C">
              <w:rPr>
                <w:rFonts w:ascii="Arial Narrow" w:hAnsi="Arial Narrow" w:cs="Segoe UI"/>
                <w:snapToGrid/>
                <w:sz w:val="20"/>
                <w:lang w:eastAsia="en-AU"/>
              </w:rPr>
              <w:t>Younossi</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"Limited Impact of Il28b Genotype on Response Rates in Telaprevir-Treated Patients with Prior Treatment Failure."</w:t>
            </w:r>
            <w:r w:rsidR="00263332" w:rsidRPr="000B5A25">
              <w:rPr>
                <w:rFonts w:ascii="Arial Narrow" w:hAnsi="Arial Narrow" w:cs="Segoe UI"/>
                <w:noProof/>
                <w:snapToGrid/>
                <w:sz w:val="20"/>
                <w:vertAlign w:val="superscript"/>
                <w:lang w:eastAsia="en-AU"/>
              </w:rPr>
              <w:t>14</w:t>
            </w:r>
          </w:p>
        </w:tc>
        <w:tc>
          <w:tcPr>
            <w:tcW w:w="1106" w:type="pct"/>
          </w:tcPr>
          <w:p w:rsidR="00EE5AF1" w:rsidRPr="007D2F5C" w:rsidRDefault="00EE5AF1" w:rsidP="00EE5AF1">
            <w:pPr>
              <w:jc w:val="left"/>
              <w:rPr>
                <w:rFonts w:ascii="Arial Narrow" w:hAnsi="Arial Narrow" w:cs="Segoe UI"/>
                <w:i/>
                <w:iCs/>
                <w:snapToGrid/>
                <w:sz w:val="20"/>
                <w:lang w:eastAsia="en-AU"/>
              </w:rPr>
            </w:pPr>
            <w:r w:rsidRPr="007D2F5C">
              <w:rPr>
                <w:rFonts w:ascii="Arial Narrow" w:hAnsi="Arial Narrow" w:cs="Segoe UI"/>
                <w:i/>
                <w:iCs/>
                <w:snapToGrid/>
                <w:sz w:val="20"/>
                <w:lang w:eastAsia="en-AU"/>
              </w:rPr>
              <w:t xml:space="preserve">J </w:t>
            </w:r>
            <w:proofErr w:type="spellStart"/>
            <w:r w:rsidRPr="007D2F5C">
              <w:rPr>
                <w:rFonts w:ascii="Arial Narrow" w:hAnsi="Arial Narrow" w:cs="Segoe UI"/>
                <w:i/>
                <w:iCs/>
                <w:snapToGrid/>
                <w:sz w:val="20"/>
                <w:lang w:eastAsia="en-AU"/>
              </w:rPr>
              <w:t>Hepatol</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58, no. 5 (May 2013): 883-9.</w:t>
            </w:r>
          </w:p>
        </w:tc>
      </w:tr>
      <w:tr w:rsidR="00EE5AF1" w:rsidRPr="007D2F5C" w:rsidTr="00AF78AC">
        <w:trPr>
          <w:trHeight w:val="312"/>
        </w:trPr>
        <w:tc>
          <w:tcPr>
            <w:tcW w:w="735" w:type="pct"/>
            <w:vMerge/>
          </w:tcPr>
          <w:p w:rsidR="00EE5AF1" w:rsidRPr="007D2F5C" w:rsidRDefault="00EE5AF1" w:rsidP="00EE5AF1">
            <w:pPr>
              <w:jc w:val="left"/>
              <w:rPr>
                <w:rFonts w:ascii="Arial Narrow" w:hAnsi="Arial Narrow"/>
                <w:sz w:val="20"/>
              </w:rPr>
            </w:pPr>
          </w:p>
        </w:tc>
        <w:tc>
          <w:tcPr>
            <w:tcW w:w="3159" w:type="pct"/>
          </w:tcPr>
          <w:p w:rsidR="00EE5AF1" w:rsidRPr="007D2F5C" w:rsidRDefault="00EE5AF1" w:rsidP="00263332">
            <w:pPr>
              <w:jc w:val="left"/>
              <w:rPr>
                <w:rFonts w:ascii="Arial Narrow" w:hAnsi="Arial Narrow" w:cs="Segoe UI"/>
                <w:snapToGrid/>
                <w:sz w:val="20"/>
                <w:lang w:eastAsia="en-AU"/>
              </w:rPr>
            </w:pPr>
            <w:r w:rsidRPr="007D2F5C">
              <w:rPr>
                <w:rFonts w:ascii="Arial Narrow" w:hAnsi="Arial Narrow" w:cs="Segoe UI"/>
                <w:snapToGrid/>
                <w:sz w:val="20"/>
                <w:lang w:eastAsia="en-AU"/>
              </w:rPr>
              <w:t xml:space="preserve">De Meyer, S., I. </w:t>
            </w:r>
            <w:proofErr w:type="spellStart"/>
            <w:r w:rsidRPr="007D2F5C">
              <w:rPr>
                <w:rFonts w:ascii="Arial Narrow" w:hAnsi="Arial Narrow" w:cs="Segoe UI"/>
                <w:snapToGrid/>
                <w:sz w:val="20"/>
                <w:lang w:eastAsia="en-AU"/>
              </w:rPr>
              <w:t>Dierynck</w:t>
            </w:r>
            <w:proofErr w:type="spellEnd"/>
            <w:r w:rsidRPr="007D2F5C">
              <w:rPr>
                <w:rFonts w:ascii="Arial Narrow" w:hAnsi="Arial Narrow" w:cs="Segoe UI"/>
                <w:snapToGrid/>
                <w:sz w:val="20"/>
                <w:lang w:eastAsia="en-AU"/>
              </w:rPr>
              <w:t xml:space="preserve">, A. </w:t>
            </w:r>
            <w:proofErr w:type="spellStart"/>
            <w:r w:rsidRPr="007D2F5C">
              <w:rPr>
                <w:rFonts w:ascii="Arial Narrow" w:hAnsi="Arial Narrow" w:cs="Segoe UI"/>
                <w:snapToGrid/>
                <w:sz w:val="20"/>
                <w:lang w:eastAsia="en-AU"/>
              </w:rPr>
              <w:t>Ghys</w:t>
            </w:r>
            <w:proofErr w:type="spellEnd"/>
            <w:r w:rsidRPr="007D2F5C">
              <w:rPr>
                <w:rFonts w:ascii="Arial Narrow" w:hAnsi="Arial Narrow" w:cs="Segoe UI"/>
                <w:snapToGrid/>
                <w:sz w:val="20"/>
                <w:lang w:eastAsia="en-AU"/>
              </w:rPr>
              <w:t xml:space="preserve">, M. </w:t>
            </w:r>
            <w:proofErr w:type="spellStart"/>
            <w:r w:rsidRPr="007D2F5C">
              <w:rPr>
                <w:rFonts w:ascii="Arial Narrow" w:hAnsi="Arial Narrow" w:cs="Segoe UI"/>
                <w:snapToGrid/>
                <w:sz w:val="20"/>
                <w:lang w:eastAsia="en-AU"/>
              </w:rPr>
              <w:t>Beumont</w:t>
            </w:r>
            <w:proofErr w:type="spellEnd"/>
            <w:r w:rsidRPr="007D2F5C">
              <w:rPr>
                <w:rFonts w:ascii="Arial Narrow" w:hAnsi="Arial Narrow" w:cs="Segoe UI"/>
                <w:snapToGrid/>
                <w:sz w:val="20"/>
                <w:lang w:eastAsia="en-AU"/>
              </w:rPr>
              <w:t xml:space="preserve">, B. </w:t>
            </w:r>
            <w:proofErr w:type="spellStart"/>
            <w:r w:rsidRPr="007D2F5C">
              <w:rPr>
                <w:rFonts w:ascii="Arial Narrow" w:hAnsi="Arial Narrow" w:cs="Segoe UI"/>
                <w:snapToGrid/>
                <w:sz w:val="20"/>
                <w:lang w:eastAsia="en-AU"/>
              </w:rPr>
              <w:t>Daems</w:t>
            </w:r>
            <w:proofErr w:type="spellEnd"/>
            <w:r w:rsidRPr="007D2F5C">
              <w:rPr>
                <w:rFonts w:ascii="Arial Narrow" w:hAnsi="Arial Narrow" w:cs="Segoe UI"/>
                <w:snapToGrid/>
                <w:sz w:val="20"/>
                <w:lang w:eastAsia="en-AU"/>
              </w:rPr>
              <w:t xml:space="preserve">, B. Van </w:t>
            </w:r>
            <w:proofErr w:type="spellStart"/>
            <w:r w:rsidRPr="007D2F5C">
              <w:rPr>
                <w:rFonts w:ascii="Arial Narrow" w:hAnsi="Arial Narrow" w:cs="Segoe UI"/>
                <w:snapToGrid/>
                <w:sz w:val="20"/>
                <w:lang w:eastAsia="en-AU"/>
              </w:rPr>
              <w:t>Baelen</w:t>
            </w:r>
            <w:proofErr w:type="spellEnd"/>
            <w:r w:rsidRPr="007D2F5C">
              <w:rPr>
                <w:rFonts w:ascii="Arial Narrow" w:hAnsi="Arial Narrow" w:cs="Segoe UI"/>
                <w:snapToGrid/>
                <w:sz w:val="20"/>
                <w:lang w:eastAsia="en-AU"/>
              </w:rPr>
              <w:t>, J. C. Sullivan</w:t>
            </w:r>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"Characterization of Telaprevir Treatment Outcomes and Resistance in Patients with Prior Treatment Failure: Results from the Realize Trial."</w:t>
            </w:r>
            <w:r w:rsidR="00263332" w:rsidRPr="000B5A25">
              <w:rPr>
                <w:rFonts w:ascii="Arial Narrow" w:hAnsi="Arial Narrow" w:cs="Segoe UI"/>
                <w:noProof/>
                <w:snapToGrid/>
                <w:sz w:val="20"/>
                <w:vertAlign w:val="superscript"/>
                <w:lang w:eastAsia="en-AU"/>
              </w:rPr>
              <w:t>15</w:t>
            </w:r>
          </w:p>
        </w:tc>
        <w:tc>
          <w:tcPr>
            <w:tcW w:w="1106" w:type="pct"/>
          </w:tcPr>
          <w:p w:rsidR="00EE5AF1" w:rsidRPr="007D2F5C" w:rsidRDefault="00EE5AF1" w:rsidP="00EE5AF1">
            <w:pPr>
              <w:jc w:val="left"/>
              <w:rPr>
                <w:rFonts w:ascii="Arial Narrow" w:hAnsi="Arial Narrow" w:cs="Segoe UI"/>
                <w:i/>
                <w:iCs/>
                <w:snapToGrid/>
                <w:sz w:val="20"/>
                <w:lang w:eastAsia="en-AU"/>
              </w:rPr>
            </w:pPr>
            <w:proofErr w:type="spellStart"/>
            <w:r w:rsidRPr="007D2F5C">
              <w:rPr>
                <w:rFonts w:ascii="Arial Narrow" w:hAnsi="Arial Narrow" w:cs="Segoe UI"/>
                <w:i/>
                <w:iCs/>
                <w:snapToGrid/>
                <w:sz w:val="20"/>
                <w:lang w:eastAsia="en-AU"/>
              </w:rPr>
              <w:t>Hepatology</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56, no. 6 (Dec 2012): 2106-15.</w:t>
            </w:r>
          </w:p>
        </w:tc>
      </w:tr>
      <w:tr w:rsidR="00EE5AF1" w:rsidRPr="007D2F5C" w:rsidTr="00AF78AC">
        <w:trPr>
          <w:trHeight w:val="312"/>
        </w:trPr>
        <w:tc>
          <w:tcPr>
            <w:tcW w:w="735" w:type="pct"/>
            <w:vMerge/>
          </w:tcPr>
          <w:p w:rsidR="00EE5AF1" w:rsidRPr="007D2F5C" w:rsidRDefault="00EE5AF1" w:rsidP="00EE5AF1">
            <w:pPr>
              <w:jc w:val="left"/>
              <w:rPr>
                <w:rFonts w:ascii="Arial Narrow" w:hAnsi="Arial Narrow"/>
                <w:sz w:val="20"/>
              </w:rPr>
            </w:pPr>
          </w:p>
        </w:tc>
        <w:tc>
          <w:tcPr>
            <w:tcW w:w="3159" w:type="pct"/>
          </w:tcPr>
          <w:p w:rsidR="00EE5AF1" w:rsidRPr="007D2F5C" w:rsidRDefault="00EE5AF1" w:rsidP="00263332">
            <w:pPr>
              <w:jc w:val="left"/>
              <w:rPr>
                <w:rFonts w:ascii="Arial Narrow" w:hAnsi="Arial Narrow" w:cs="Segoe UI"/>
                <w:snapToGrid/>
                <w:sz w:val="20"/>
                <w:lang w:eastAsia="en-AU"/>
              </w:rPr>
            </w:pP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Stefan, Ralph </w:t>
            </w:r>
            <w:proofErr w:type="spellStart"/>
            <w:r w:rsidRPr="007D2F5C">
              <w:rPr>
                <w:rFonts w:ascii="Arial Narrow" w:hAnsi="Arial Narrow" w:cs="Segoe UI"/>
                <w:snapToGrid/>
                <w:sz w:val="20"/>
                <w:lang w:eastAsia="en-AU"/>
              </w:rPr>
              <w:t>DeMasi</w:t>
            </w:r>
            <w:proofErr w:type="spellEnd"/>
            <w:r w:rsidRPr="007D2F5C">
              <w:rPr>
                <w:rFonts w:ascii="Arial Narrow" w:hAnsi="Arial Narrow" w:cs="Segoe UI"/>
                <w:snapToGrid/>
                <w:sz w:val="20"/>
                <w:lang w:eastAsia="en-AU"/>
              </w:rPr>
              <w:t xml:space="preserve">, Alessandra </w:t>
            </w:r>
            <w:proofErr w:type="spellStart"/>
            <w:r w:rsidRPr="007D2F5C">
              <w:rPr>
                <w:rFonts w:ascii="Arial Narrow" w:hAnsi="Arial Narrow" w:cs="Segoe UI"/>
                <w:snapToGrid/>
                <w:sz w:val="20"/>
                <w:lang w:eastAsia="en-AU"/>
              </w:rPr>
              <w:t>Baldini</w:t>
            </w:r>
            <w:proofErr w:type="spellEnd"/>
            <w:r w:rsidRPr="007D2F5C">
              <w:rPr>
                <w:rFonts w:ascii="Arial Narrow" w:hAnsi="Arial Narrow" w:cs="Segoe UI"/>
                <w:snapToGrid/>
                <w:sz w:val="20"/>
                <w:lang w:eastAsia="en-AU"/>
              </w:rPr>
              <w:t xml:space="preserve">, Bruce </w:t>
            </w:r>
            <w:proofErr w:type="spellStart"/>
            <w:r w:rsidRPr="007D2F5C">
              <w:rPr>
                <w:rFonts w:ascii="Arial Narrow" w:hAnsi="Arial Narrow" w:cs="Segoe UI"/>
                <w:snapToGrid/>
                <w:sz w:val="20"/>
                <w:lang w:eastAsia="en-AU"/>
              </w:rPr>
              <w:t>Coate</w:t>
            </w:r>
            <w:proofErr w:type="spellEnd"/>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Donghan</w:t>
            </w:r>
            <w:proofErr w:type="spellEnd"/>
            <w:r w:rsidRPr="007D2F5C">
              <w:rPr>
                <w:rFonts w:ascii="Arial Narrow" w:hAnsi="Arial Narrow" w:cs="Segoe UI"/>
                <w:snapToGrid/>
                <w:sz w:val="20"/>
                <w:lang w:eastAsia="en-AU"/>
              </w:rPr>
              <w:t xml:space="preserve"> Luo, Joseph </w:t>
            </w:r>
            <w:proofErr w:type="spellStart"/>
            <w:r w:rsidRPr="007D2F5C">
              <w:rPr>
                <w:rFonts w:ascii="Arial Narrow" w:hAnsi="Arial Narrow" w:cs="Segoe UI"/>
                <w:snapToGrid/>
                <w:sz w:val="20"/>
                <w:lang w:eastAsia="en-AU"/>
              </w:rPr>
              <w:t>Mrus</w:t>
            </w:r>
            <w:proofErr w:type="spellEnd"/>
            <w:r w:rsidRPr="007D2F5C">
              <w:rPr>
                <w:rFonts w:ascii="Arial Narrow" w:hAnsi="Arial Narrow" w:cs="Segoe UI"/>
                <w:snapToGrid/>
                <w:sz w:val="20"/>
                <w:lang w:eastAsia="en-AU"/>
              </w:rPr>
              <w:t xml:space="preserve">, and James </w:t>
            </w:r>
            <w:proofErr w:type="spellStart"/>
            <w:r w:rsidRPr="007D2F5C">
              <w:rPr>
                <w:rFonts w:ascii="Arial Narrow" w:hAnsi="Arial Narrow" w:cs="Segoe UI"/>
                <w:snapToGrid/>
                <w:sz w:val="20"/>
                <w:lang w:eastAsia="en-AU"/>
              </w:rPr>
              <w:t>Witek</w:t>
            </w:r>
            <w:proofErr w:type="spellEnd"/>
            <w:r w:rsidRPr="007D2F5C">
              <w:rPr>
                <w:rFonts w:ascii="Arial Narrow" w:hAnsi="Arial Narrow" w:cs="Segoe UI"/>
                <w:snapToGrid/>
                <w:sz w:val="20"/>
                <w:lang w:eastAsia="en-AU"/>
              </w:rPr>
              <w:t xml:space="preserve">. "Risk Factors Predictive of </w:t>
            </w:r>
            <w:proofErr w:type="spellStart"/>
            <w:r w:rsidRPr="007D2F5C">
              <w:rPr>
                <w:rFonts w:ascii="Arial Narrow" w:hAnsi="Arial Narrow" w:cs="Segoe UI"/>
                <w:snapToGrid/>
                <w:sz w:val="20"/>
                <w:lang w:eastAsia="en-AU"/>
              </w:rPr>
              <w:t>Anemia</w:t>
            </w:r>
            <w:proofErr w:type="spellEnd"/>
            <w:r w:rsidRPr="007D2F5C">
              <w:rPr>
                <w:rFonts w:ascii="Arial Narrow" w:hAnsi="Arial Narrow" w:cs="Segoe UI"/>
                <w:snapToGrid/>
                <w:sz w:val="20"/>
                <w:lang w:eastAsia="en-AU"/>
              </w:rPr>
              <w:t xml:space="preserve"> Development During Telaprevir Plus </w:t>
            </w:r>
            <w:proofErr w:type="spellStart"/>
            <w:r w:rsidRPr="007D2F5C">
              <w:rPr>
                <w:rFonts w:ascii="Arial Narrow" w:hAnsi="Arial Narrow" w:cs="Segoe UI"/>
                <w:snapToGrid/>
                <w:sz w:val="20"/>
                <w:lang w:eastAsia="en-AU"/>
              </w:rPr>
              <w:t>Peginterferon</w:t>
            </w:r>
            <w:proofErr w:type="spellEnd"/>
            <w:r w:rsidRPr="007D2F5C">
              <w:rPr>
                <w:rFonts w:ascii="Arial Narrow" w:hAnsi="Arial Narrow" w:cs="Segoe UI"/>
                <w:snapToGrid/>
                <w:sz w:val="20"/>
                <w:lang w:eastAsia="en-AU"/>
              </w:rPr>
              <w:t>/Ribavirin Therapy in Treatment-Experienced Patients."</w:t>
            </w:r>
            <w:r w:rsidR="00263332" w:rsidRPr="000B5A25">
              <w:rPr>
                <w:rFonts w:ascii="Arial Narrow" w:hAnsi="Arial Narrow" w:cs="Segoe UI"/>
                <w:noProof/>
                <w:snapToGrid/>
                <w:sz w:val="20"/>
                <w:vertAlign w:val="superscript"/>
                <w:lang w:eastAsia="en-AU"/>
              </w:rPr>
              <w:t>16</w:t>
            </w:r>
          </w:p>
        </w:tc>
        <w:tc>
          <w:tcPr>
            <w:tcW w:w="1106" w:type="pct"/>
          </w:tcPr>
          <w:p w:rsidR="00EE5AF1" w:rsidRPr="007D2F5C" w:rsidRDefault="00EE5AF1" w:rsidP="00EE5AF1">
            <w:pPr>
              <w:jc w:val="left"/>
              <w:rPr>
                <w:rFonts w:ascii="Arial Narrow" w:hAnsi="Arial Narrow" w:cs="Segoe UI"/>
                <w:i/>
                <w:iCs/>
                <w:snapToGrid/>
                <w:sz w:val="20"/>
                <w:lang w:eastAsia="en-AU"/>
              </w:rPr>
            </w:pPr>
            <w:r w:rsidRPr="007D2F5C">
              <w:rPr>
                <w:rFonts w:ascii="Arial Narrow" w:hAnsi="Arial Narrow" w:cs="Segoe UI"/>
                <w:i/>
                <w:iCs/>
                <w:snapToGrid/>
                <w:sz w:val="20"/>
                <w:lang w:eastAsia="en-AU"/>
              </w:rPr>
              <w:t xml:space="preserve">Journal of </w:t>
            </w:r>
            <w:proofErr w:type="spellStart"/>
            <w:r w:rsidR="001B53E8">
              <w:rPr>
                <w:rFonts w:ascii="Arial Narrow" w:hAnsi="Arial Narrow" w:cs="Segoe UI"/>
                <w:i/>
                <w:iCs/>
                <w:snapToGrid/>
                <w:sz w:val="20"/>
                <w:lang w:eastAsia="en-AU"/>
              </w:rPr>
              <w:t>H</w:t>
            </w:r>
            <w:r w:rsidRPr="007D2F5C">
              <w:rPr>
                <w:rFonts w:ascii="Arial Narrow" w:hAnsi="Arial Narrow" w:cs="Segoe UI"/>
                <w:i/>
                <w:iCs/>
                <w:snapToGrid/>
                <w:sz w:val="20"/>
                <w:lang w:eastAsia="en-AU"/>
              </w:rPr>
              <w:t>epatology</w:t>
            </w:r>
            <w:proofErr w:type="spellEnd"/>
            <w:r w:rsidRPr="007D2F5C">
              <w:rPr>
                <w:rFonts w:ascii="Arial Narrow" w:hAnsi="Arial Narrow" w:cs="Segoe UI"/>
                <w:i/>
                <w:iCs/>
                <w:snapToGrid/>
                <w:sz w:val="20"/>
                <w:lang w:eastAsia="en-AU"/>
              </w:rPr>
              <w:t xml:space="preserve"> </w:t>
            </w:r>
            <w:r w:rsidRPr="007D2F5C">
              <w:rPr>
                <w:rFonts w:ascii="Arial Narrow" w:hAnsi="Arial Narrow" w:cs="Segoe UI"/>
                <w:snapToGrid/>
                <w:sz w:val="20"/>
                <w:lang w:eastAsia="en-AU"/>
              </w:rPr>
              <w:t>60, no. 6 (2014): 1112-17.</w:t>
            </w:r>
          </w:p>
        </w:tc>
      </w:tr>
      <w:tr w:rsidR="00EE5AF1" w:rsidRPr="007D2F5C" w:rsidTr="00AF78AC">
        <w:tc>
          <w:tcPr>
            <w:tcW w:w="735" w:type="pct"/>
          </w:tcPr>
          <w:p w:rsidR="00EE5AF1" w:rsidRPr="007D2F5C" w:rsidRDefault="00EE5AF1" w:rsidP="00EE5AF1">
            <w:pPr>
              <w:jc w:val="left"/>
              <w:rPr>
                <w:rFonts w:ascii="Arial Narrow" w:hAnsi="Arial Narrow"/>
                <w:b/>
                <w:sz w:val="20"/>
              </w:rPr>
            </w:pPr>
            <w:r w:rsidRPr="007D2F5C">
              <w:rPr>
                <w:rFonts w:ascii="Arial Narrow" w:hAnsi="Arial Narrow"/>
                <w:b/>
                <w:sz w:val="20"/>
              </w:rPr>
              <w:t>QUEST-1</w:t>
            </w:r>
          </w:p>
          <w:p w:rsidR="00EE5AF1" w:rsidRPr="007D2F5C" w:rsidRDefault="00EE5AF1" w:rsidP="00EE5AF1">
            <w:pPr>
              <w:jc w:val="left"/>
              <w:rPr>
                <w:rFonts w:ascii="Arial Narrow" w:hAnsi="Arial Narrow"/>
                <w:sz w:val="20"/>
              </w:rPr>
            </w:pPr>
            <w:r w:rsidRPr="007D2F5C">
              <w:rPr>
                <w:rFonts w:ascii="Arial Narrow" w:hAnsi="Arial Narrow"/>
                <w:sz w:val="20"/>
              </w:rPr>
              <w:t>(</w:t>
            </w:r>
            <w:proofErr w:type="spellStart"/>
            <w:r w:rsidRPr="007D2F5C">
              <w:rPr>
                <w:rFonts w:ascii="Arial Narrow" w:hAnsi="Arial Narrow"/>
                <w:sz w:val="20"/>
              </w:rPr>
              <w:t>simeprevir</w:t>
            </w:r>
            <w:proofErr w:type="spellEnd"/>
            <w:r w:rsidRPr="007D2F5C">
              <w:rPr>
                <w:rFonts w:ascii="Arial Narrow" w:hAnsi="Arial Narrow"/>
                <w:sz w:val="20"/>
              </w:rPr>
              <w:t>)</w:t>
            </w:r>
          </w:p>
          <w:p w:rsidR="00EE5AF1" w:rsidRPr="007D2F5C" w:rsidRDefault="00EE5AF1" w:rsidP="00EE5AF1">
            <w:pPr>
              <w:jc w:val="left"/>
              <w:rPr>
                <w:rFonts w:ascii="Arial Narrow" w:hAnsi="Arial Narrow"/>
                <w:sz w:val="20"/>
              </w:rPr>
            </w:pPr>
            <w:r w:rsidRPr="007D2F5C">
              <w:rPr>
                <w:rFonts w:ascii="Arial Narrow" w:hAnsi="Arial Narrow"/>
                <w:sz w:val="20"/>
              </w:rPr>
              <w:t>NCT01289782</w:t>
            </w:r>
          </w:p>
          <w:p w:rsidR="00EE5AF1" w:rsidRPr="007D2F5C" w:rsidRDefault="00EE5AF1" w:rsidP="00134998">
            <w:pPr>
              <w:jc w:val="left"/>
              <w:rPr>
                <w:rFonts w:ascii="Arial Narrow" w:hAnsi="Arial Narrow"/>
                <w:sz w:val="20"/>
              </w:rPr>
            </w:pPr>
            <w:r w:rsidRPr="007D2F5C">
              <w:rPr>
                <w:rFonts w:ascii="Arial Narrow" w:hAnsi="Arial Narrow"/>
                <w:sz w:val="20"/>
              </w:rPr>
              <w:t>Jacobson et al 2014</w:t>
            </w:r>
          </w:p>
        </w:tc>
        <w:tc>
          <w:tcPr>
            <w:tcW w:w="3159" w:type="pct"/>
          </w:tcPr>
          <w:p w:rsidR="00EE5AF1" w:rsidRPr="007D2F5C" w:rsidRDefault="00EE5AF1" w:rsidP="00EE5AF1">
            <w:pPr>
              <w:jc w:val="left"/>
              <w:rPr>
                <w:rFonts w:ascii="Arial Narrow" w:hAnsi="Arial Narrow" w:cs="Segoe UI"/>
                <w:b/>
                <w:snapToGrid/>
                <w:sz w:val="20"/>
                <w:lang w:eastAsia="en-AU"/>
              </w:rPr>
            </w:pPr>
            <w:r w:rsidRPr="007D2F5C">
              <w:rPr>
                <w:rFonts w:ascii="Arial Narrow" w:hAnsi="Arial Narrow" w:cs="Segoe UI"/>
                <w:b/>
                <w:snapToGrid/>
                <w:sz w:val="20"/>
                <w:lang w:eastAsia="en-AU"/>
              </w:rPr>
              <w:t>Primary publication</w:t>
            </w:r>
          </w:p>
          <w:p w:rsidR="00EE5AF1" w:rsidRPr="007D2F5C" w:rsidRDefault="00EE5AF1" w:rsidP="00EE5AF1">
            <w:pPr>
              <w:jc w:val="left"/>
              <w:rPr>
                <w:rFonts w:ascii="Arial Narrow" w:hAnsi="Arial Narrow"/>
                <w:b/>
                <w:sz w:val="20"/>
              </w:rPr>
            </w:pPr>
            <w:r w:rsidRPr="007D2F5C">
              <w:rPr>
                <w:rFonts w:ascii="Arial Narrow" w:hAnsi="Arial Narrow" w:cs="Segoe UI"/>
                <w:snapToGrid/>
                <w:sz w:val="20"/>
                <w:lang w:eastAsia="en-AU"/>
              </w:rPr>
              <w:t xml:space="preserve">Jacobson, I. M., G. J. Dore, G. R. Foster, M. W. Fried, M. </w:t>
            </w:r>
            <w:proofErr w:type="spellStart"/>
            <w:r w:rsidRPr="007D2F5C">
              <w:rPr>
                <w:rFonts w:ascii="Arial Narrow" w:hAnsi="Arial Narrow" w:cs="Segoe UI"/>
                <w:snapToGrid/>
                <w:sz w:val="20"/>
                <w:lang w:eastAsia="en-AU"/>
              </w:rPr>
              <w:t>Radu</w:t>
            </w:r>
            <w:proofErr w:type="spellEnd"/>
            <w:r w:rsidRPr="007D2F5C">
              <w:rPr>
                <w:rFonts w:ascii="Arial Narrow" w:hAnsi="Arial Narrow" w:cs="Segoe UI"/>
                <w:snapToGrid/>
                <w:sz w:val="20"/>
                <w:lang w:eastAsia="en-AU"/>
              </w:rPr>
              <w:t xml:space="preserve">, V. V. </w:t>
            </w:r>
            <w:proofErr w:type="spellStart"/>
            <w:r w:rsidRPr="007D2F5C">
              <w:rPr>
                <w:rFonts w:ascii="Arial Narrow" w:hAnsi="Arial Narrow" w:cs="Segoe UI"/>
                <w:snapToGrid/>
                <w:sz w:val="20"/>
                <w:lang w:eastAsia="en-AU"/>
              </w:rPr>
              <w:t>Rafalsky</w:t>
            </w:r>
            <w:proofErr w:type="spellEnd"/>
            <w:r w:rsidRPr="007D2F5C">
              <w:rPr>
                <w:rFonts w:ascii="Arial Narrow" w:hAnsi="Arial Narrow" w:cs="Segoe UI"/>
                <w:snapToGrid/>
                <w:sz w:val="20"/>
                <w:lang w:eastAsia="en-AU"/>
              </w:rPr>
              <w:t xml:space="preserve">, L. </w:t>
            </w:r>
            <w:proofErr w:type="spellStart"/>
            <w:r w:rsidRPr="007D2F5C">
              <w:rPr>
                <w:rFonts w:ascii="Arial Narrow" w:hAnsi="Arial Narrow" w:cs="Segoe UI"/>
                <w:snapToGrid/>
                <w:sz w:val="20"/>
                <w:lang w:eastAsia="en-AU"/>
              </w:rPr>
              <w:t>Moroz</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Simeprevir</w:t>
            </w:r>
            <w:proofErr w:type="spellEnd"/>
            <w:r w:rsidRPr="007D2F5C">
              <w:rPr>
                <w:rFonts w:ascii="Arial Narrow" w:hAnsi="Arial Narrow" w:cs="Segoe UI"/>
                <w:snapToGrid/>
                <w:sz w:val="20"/>
                <w:lang w:eastAsia="en-AU"/>
              </w:rPr>
              <w:t xml:space="preserve"> with </w:t>
            </w:r>
            <w:proofErr w:type="spellStart"/>
            <w:r w:rsidRPr="007D2F5C">
              <w:rPr>
                <w:rFonts w:ascii="Arial Narrow" w:hAnsi="Arial Narrow" w:cs="Segoe UI"/>
                <w:snapToGrid/>
                <w:sz w:val="20"/>
                <w:lang w:eastAsia="en-AU"/>
              </w:rPr>
              <w:t>Pegylated</w:t>
            </w:r>
            <w:proofErr w:type="spellEnd"/>
            <w:r w:rsidRPr="007D2F5C">
              <w:rPr>
                <w:rFonts w:ascii="Arial Narrow" w:hAnsi="Arial Narrow" w:cs="Segoe UI"/>
                <w:snapToGrid/>
                <w:sz w:val="20"/>
                <w:lang w:eastAsia="en-AU"/>
              </w:rPr>
              <w:t xml:space="preserve"> Interferon Alfa 2a Plus Ribavirin in Treatment-Naive Patients with Chronic Hepatitis C Virus Genotype 1 Infection (Quest-1): A Phase 3, Randomised, Double-Blind, Placebo-Controlled Trial." </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cs="Segoe UI"/>
                <w:i/>
                <w:iCs/>
                <w:snapToGrid/>
                <w:sz w:val="20"/>
                <w:lang w:eastAsia="en-AU"/>
              </w:rPr>
              <w:t xml:space="preserve">Lancet </w:t>
            </w:r>
            <w:r w:rsidRPr="007D2F5C">
              <w:rPr>
                <w:rFonts w:ascii="Arial Narrow" w:hAnsi="Arial Narrow" w:cs="Segoe UI"/>
                <w:snapToGrid/>
                <w:sz w:val="20"/>
                <w:lang w:eastAsia="en-AU"/>
              </w:rPr>
              <w:t>384, no. 9941 (Aug 2 2014): 403-13.</w:t>
            </w:r>
          </w:p>
        </w:tc>
      </w:tr>
      <w:tr w:rsidR="00EE5AF1" w:rsidRPr="007D2F5C" w:rsidTr="00AF78AC">
        <w:tc>
          <w:tcPr>
            <w:tcW w:w="735" w:type="pct"/>
          </w:tcPr>
          <w:p w:rsidR="00EE5AF1" w:rsidRPr="007D2F5C" w:rsidRDefault="00EE5AF1" w:rsidP="00EE5AF1">
            <w:pPr>
              <w:jc w:val="left"/>
              <w:rPr>
                <w:rFonts w:ascii="Arial Narrow" w:hAnsi="Arial Narrow"/>
                <w:b/>
                <w:sz w:val="20"/>
              </w:rPr>
            </w:pPr>
            <w:r w:rsidRPr="007D2F5C">
              <w:rPr>
                <w:rFonts w:ascii="Arial Narrow" w:hAnsi="Arial Narrow"/>
                <w:b/>
                <w:sz w:val="20"/>
              </w:rPr>
              <w:t>QUEST-2</w:t>
            </w:r>
          </w:p>
          <w:p w:rsidR="00EE5AF1" w:rsidRPr="007D2F5C" w:rsidRDefault="00EE5AF1" w:rsidP="00EE5AF1">
            <w:pPr>
              <w:jc w:val="left"/>
              <w:rPr>
                <w:rFonts w:ascii="Arial Narrow" w:hAnsi="Arial Narrow"/>
                <w:sz w:val="20"/>
              </w:rPr>
            </w:pPr>
            <w:r w:rsidRPr="007D2F5C">
              <w:rPr>
                <w:rFonts w:ascii="Arial Narrow" w:hAnsi="Arial Narrow"/>
                <w:sz w:val="20"/>
              </w:rPr>
              <w:t>(</w:t>
            </w:r>
            <w:proofErr w:type="spellStart"/>
            <w:r w:rsidRPr="007D2F5C">
              <w:rPr>
                <w:rFonts w:ascii="Arial Narrow" w:hAnsi="Arial Narrow"/>
                <w:sz w:val="20"/>
              </w:rPr>
              <w:t>simeprevir</w:t>
            </w:r>
            <w:proofErr w:type="spellEnd"/>
            <w:r w:rsidRPr="007D2F5C">
              <w:rPr>
                <w:rFonts w:ascii="Arial Narrow" w:hAnsi="Arial Narrow"/>
                <w:sz w:val="20"/>
              </w:rPr>
              <w:t>)</w:t>
            </w:r>
          </w:p>
          <w:p w:rsidR="00EE5AF1" w:rsidRPr="007D2F5C" w:rsidRDefault="00EE5AF1" w:rsidP="00EE5AF1">
            <w:pPr>
              <w:jc w:val="left"/>
              <w:rPr>
                <w:rFonts w:ascii="Arial Narrow" w:hAnsi="Arial Narrow"/>
                <w:sz w:val="20"/>
              </w:rPr>
            </w:pPr>
            <w:r w:rsidRPr="007D2F5C">
              <w:rPr>
                <w:rFonts w:ascii="Arial Narrow" w:hAnsi="Arial Narrow"/>
                <w:sz w:val="20"/>
              </w:rPr>
              <w:t>NCT01290679</w:t>
            </w:r>
          </w:p>
          <w:p w:rsidR="00EE5AF1" w:rsidRPr="007D2F5C" w:rsidRDefault="00EE5AF1" w:rsidP="00134998">
            <w:pPr>
              <w:jc w:val="left"/>
              <w:rPr>
                <w:rFonts w:ascii="Arial Narrow" w:hAnsi="Arial Narrow"/>
                <w:sz w:val="20"/>
              </w:rPr>
            </w:pPr>
            <w:proofErr w:type="spellStart"/>
            <w:r w:rsidRPr="007D2F5C">
              <w:rPr>
                <w:rFonts w:ascii="Arial Narrow" w:hAnsi="Arial Narrow"/>
                <w:sz w:val="20"/>
              </w:rPr>
              <w:t>Manns</w:t>
            </w:r>
            <w:proofErr w:type="spellEnd"/>
            <w:r w:rsidRPr="007D2F5C">
              <w:rPr>
                <w:rFonts w:ascii="Arial Narrow" w:hAnsi="Arial Narrow"/>
                <w:sz w:val="20"/>
              </w:rPr>
              <w:t xml:space="preserve"> et al 2014</w:t>
            </w:r>
          </w:p>
        </w:tc>
        <w:tc>
          <w:tcPr>
            <w:tcW w:w="3159" w:type="pct"/>
          </w:tcPr>
          <w:p w:rsidR="00EE5AF1" w:rsidRPr="007D2F5C" w:rsidRDefault="00EE5AF1" w:rsidP="00EE5AF1">
            <w:pPr>
              <w:jc w:val="left"/>
              <w:rPr>
                <w:rFonts w:ascii="Arial Narrow" w:hAnsi="Arial Narrow" w:cs="Segoe UI"/>
                <w:b/>
                <w:snapToGrid/>
                <w:sz w:val="20"/>
                <w:lang w:eastAsia="en-AU"/>
              </w:rPr>
            </w:pPr>
            <w:r w:rsidRPr="007D2F5C">
              <w:rPr>
                <w:rFonts w:ascii="Arial Narrow" w:hAnsi="Arial Narrow" w:cs="Segoe UI"/>
                <w:b/>
                <w:snapToGrid/>
                <w:sz w:val="20"/>
                <w:lang w:eastAsia="en-AU"/>
              </w:rPr>
              <w:t>Primary publication</w:t>
            </w:r>
          </w:p>
          <w:p w:rsidR="00EE5AF1" w:rsidRPr="007D2F5C" w:rsidRDefault="00EE5AF1" w:rsidP="00EE5AF1">
            <w:pPr>
              <w:jc w:val="left"/>
              <w:rPr>
                <w:rFonts w:ascii="Arial Narrow" w:hAnsi="Arial Narrow"/>
                <w:b/>
                <w:sz w:val="20"/>
              </w:rPr>
            </w:pPr>
            <w:proofErr w:type="spellStart"/>
            <w:r w:rsidRPr="007D2F5C">
              <w:rPr>
                <w:rFonts w:ascii="Arial Narrow" w:hAnsi="Arial Narrow" w:cs="Segoe UI"/>
                <w:snapToGrid/>
                <w:sz w:val="20"/>
                <w:lang w:eastAsia="en-AU"/>
              </w:rPr>
              <w:t>Manns</w:t>
            </w:r>
            <w:proofErr w:type="spellEnd"/>
            <w:r w:rsidRPr="007D2F5C">
              <w:rPr>
                <w:rFonts w:ascii="Arial Narrow" w:hAnsi="Arial Narrow" w:cs="Segoe UI"/>
                <w:snapToGrid/>
                <w:sz w:val="20"/>
                <w:lang w:eastAsia="en-AU"/>
              </w:rPr>
              <w:t xml:space="preserve">, M., P. </w:t>
            </w:r>
            <w:proofErr w:type="spellStart"/>
            <w:r w:rsidRPr="007D2F5C">
              <w:rPr>
                <w:rFonts w:ascii="Arial Narrow" w:hAnsi="Arial Narrow" w:cs="Segoe UI"/>
                <w:snapToGrid/>
                <w:sz w:val="20"/>
                <w:lang w:eastAsia="en-AU"/>
              </w:rPr>
              <w:t>Marcellin</w:t>
            </w:r>
            <w:proofErr w:type="spellEnd"/>
            <w:r w:rsidRPr="007D2F5C">
              <w:rPr>
                <w:rFonts w:ascii="Arial Narrow" w:hAnsi="Arial Narrow" w:cs="Segoe UI"/>
                <w:snapToGrid/>
                <w:sz w:val="20"/>
                <w:lang w:eastAsia="en-AU"/>
              </w:rPr>
              <w:t xml:space="preserve">, F. </w:t>
            </w:r>
            <w:proofErr w:type="spellStart"/>
            <w:r w:rsidRPr="007D2F5C">
              <w:rPr>
                <w:rFonts w:ascii="Arial Narrow" w:hAnsi="Arial Narrow" w:cs="Segoe UI"/>
                <w:snapToGrid/>
                <w:sz w:val="20"/>
                <w:lang w:eastAsia="en-AU"/>
              </w:rPr>
              <w:t>Poordad</w:t>
            </w:r>
            <w:proofErr w:type="spellEnd"/>
            <w:r w:rsidRPr="007D2F5C">
              <w:rPr>
                <w:rFonts w:ascii="Arial Narrow" w:hAnsi="Arial Narrow" w:cs="Segoe UI"/>
                <w:snapToGrid/>
                <w:sz w:val="20"/>
                <w:lang w:eastAsia="en-AU"/>
              </w:rPr>
              <w:t xml:space="preserve">, E. S. de Araujo, M. </w:t>
            </w:r>
            <w:proofErr w:type="spellStart"/>
            <w:r w:rsidRPr="007D2F5C">
              <w:rPr>
                <w:rFonts w:ascii="Arial Narrow" w:hAnsi="Arial Narrow" w:cs="Segoe UI"/>
                <w:snapToGrid/>
                <w:sz w:val="20"/>
                <w:lang w:eastAsia="en-AU"/>
              </w:rPr>
              <w:t>Buti</w:t>
            </w:r>
            <w:proofErr w:type="spellEnd"/>
            <w:r w:rsidRPr="007D2F5C">
              <w:rPr>
                <w:rFonts w:ascii="Arial Narrow" w:hAnsi="Arial Narrow" w:cs="Segoe UI"/>
                <w:snapToGrid/>
                <w:sz w:val="20"/>
                <w:lang w:eastAsia="en-AU"/>
              </w:rPr>
              <w:t xml:space="preserve">, Y. </w:t>
            </w:r>
            <w:proofErr w:type="spellStart"/>
            <w:r w:rsidRPr="007D2F5C">
              <w:rPr>
                <w:rFonts w:ascii="Arial Narrow" w:hAnsi="Arial Narrow" w:cs="Segoe UI"/>
                <w:snapToGrid/>
                <w:sz w:val="20"/>
                <w:lang w:eastAsia="en-AU"/>
              </w:rPr>
              <w:t>Horsmans</w:t>
            </w:r>
            <w:proofErr w:type="spellEnd"/>
            <w:r w:rsidRPr="007D2F5C">
              <w:rPr>
                <w:rFonts w:ascii="Arial Narrow" w:hAnsi="Arial Narrow" w:cs="Segoe UI"/>
                <w:snapToGrid/>
                <w:sz w:val="20"/>
                <w:lang w:eastAsia="en-AU"/>
              </w:rPr>
              <w:t xml:space="preserve">, E. </w:t>
            </w:r>
            <w:proofErr w:type="spellStart"/>
            <w:r w:rsidRPr="007D2F5C">
              <w:rPr>
                <w:rFonts w:ascii="Arial Narrow" w:hAnsi="Arial Narrow" w:cs="Segoe UI"/>
                <w:snapToGrid/>
                <w:sz w:val="20"/>
                <w:lang w:eastAsia="en-AU"/>
              </w:rPr>
              <w:t>Janczewska</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Simeprevir</w:t>
            </w:r>
            <w:proofErr w:type="spellEnd"/>
            <w:r w:rsidRPr="007D2F5C">
              <w:rPr>
                <w:rFonts w:ascii="Arial Narrow" w:hAnsi="Arial Narrow" w:cs="Segoe UI"/>
                <w:snapToGrid/>
                <w:sz w:val="20"/>
                <w:lang w:eastAsia="en-AU"/>
              </w:rPr>
              <w:t xml:space="preserve"> with </w:t>
            </w:r>
            <w:proofErr w:type="spellStart"/>
            <w:r w:rsidRPr="007D2F5C">
              <w:rPr>
                <w:rFonts w:ascii="Arial Narrow" w:hAnsi="Arial Narrow" w:cs="Segoe UI"/>
                <w:snapToGrid/>
                <w:sz w:val="20"/>
                <w:lang w:eastAsia="en-AU"/>
              </w:rPr>
              <w:t>Pegylated</w:t>
            </w:r>
            <w:proofErr w:type="spellEnd"/>
            <w:r w:rsidRPr="007D2F5C">
              <w:rPr>
                <w:rFonts w:ascii="Arial Narrow" w:hAnsi="Arial Narrow" w:cs="Segoe UI"/>
                <w:snapToGrid/>
                <w:sz w:val="20"/>
                <w:lang w:eastAsia="en-AU"/>
              </w:rPr>
              <w:t xml:space="preserve"> Interferon Alfa 2a or 2b Plus Ribavirin in Treatment-Naive Patients with Chronic Hepatitis C Virus Genotype 1 Infection (Quest-2): A Randomised, Double-Blind, Placebo-Controlled Phase 3 Trial." </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cs="Segoe UI"/>
                <w:i/>
                <w:iCs/>
                <w:snapToGrid/>
                <w:sz w:val="20"/>
                <w:lang w:eastAsia="en-AU"/>
              </w:rPr>
              <w:t xml:space="preserve">Lancet </w:t>
            </w:r>
            <w:r w:rsidRPr="007D2F5C">
              <w:rPr>
                <w:rFonts w:ascii="Arial Narrow" w:hAnsi="Arial Narrow" w:cs="Segoe UI"/>
                <w:snapToGrid/>
                <w:sz w:val="20"/>
                <w:lang w:eastAsia="en-AU"/>
              </w:rPr>
              <w:t>384, no. 9941 (Aug 2 2014): 414-26.</w:t>
            </w:r>
          </w:p>
        </w:tc>
      </w:tr>
      <w:tr w:rsidR="00EE5AF1" w:rsidRPr="007D2F5C" w:rsidTr="00AF78AC">
        <w:tc>
          <w:tcPr>
            <w:tcW w:w="735" w:type="pct"/>
          </w:tcPr>
          <w:p w:rsidR="00EE5AF1" w:rsidRPr="007D2F5C" w:rsidRDefault="00EE5AF1" w:rsidP="00EE5AF1">
            <w:pPr>
              <w:jc w:val="left"/>
              <w:rPr>
                <w:rFonts w:ascii="Arial Narrow" w:hAnsi="Arial Narrow"/>
                <w:b/>
                <w:sz w:val="20"/>
              </w:rPr>
            </w:pPr>
            <w:r w:rsidRPr="007D2F5C">
              <w:rPr>
                <w:rFonts w:ascii="Arial Narrow" w:hAnsi="Arial Narrow"/>
                <w:b/>
                <w:sz w:val="20"/>
              </w:rPr>
              <w:t>PROMISE</w:t>
            </w:r>
          </w:p>
          <w:p w:rsidR="00EE5AF1" w:rsidRPr="007D2F5C" w:rsidRDefault="00EE5AF1" w:rsidP="00EE5AF1">
            <w:pPr>
              <w:jc w:val="left"/>
              <w:rPr>
                <w:rFonts w:ascii="Arial Narrow" w:hAnsi="Arial Narrow"/>
                <w:sz w:val="20"/>
              </w:rPr>
            </w:pPr>
            <w:r w:rsidRPr="007D2F5C">
              <w:rPr>
                <w:rFonts w:ascii="Arial Narrow" w:hAnsi="Arial Narrow"/>
                <w:sz w:val="20"/>
              </w:rPr>
              <w:t>(</w:t>
            </w:r>
            <w:proofErr w:type="spellStart"/>
            <w:r w:rsidRPr="007D2F5C">
              <w:rPr>
                <w:rFonts w:ascii="Arial Narrow" w:hAnsi="Arial Narrow"/>
                <w:sz w:val="20"/>
              </w:rPr>
              <w:t>simeprevir</w:t>
            </w:r>
            <w:proofErr w:type="spellEnd"/>
            <w:r w:rsidRPr="007D2F5C">
              <w:rPr>
                <w:rFonts w:ascii="Arial Narrow" w:hAnsi="Arial Narrow"/>
                <w:sz w:val="20"/>
              </w:rPr>
              <w:t>)</w:t>
            </w:r>
          </w:p>
          <w:p w:rsidR="00EE5AF1" w:rsidRPr="007D2F5C" w:rsidRDefault="00EE5AF1" w:rsidP="00EE5AF1">
            <w:pPr>
              <w:jc w:val="left"/>
              <w:rPr>
                <w:rFonts w:ascii="Arial Narrow" w:hAnsi="Arial Narrow"/>
                <w:sz w:val="20"/>
              </w:rPr>
            </w:pPr>
            <w:r w:rsidRPr="007D2F5C">
              <w:rPr>
                <w:rFonts w:ascii="Arial Narrow" w:hAnsi="Arial Narrow"/>
                <w:sz w:val="20"/>
              </w:rPr>
              <w:t>NCT01281839</w:t>
            </w:r>
          </w:p>
          <w:p w:rsidR="00EE5AF1" w:rsidRPr="007D2F5C" w:rsidRDefault="00EE5AF1" w:rsidP="00134998">
            <w:pPr>
              <w:jc w:val="left"/>
              <w:rPr>
                <w:rFonts w:ascii="Arial Narrow" w:hAnsi="Arial Narrow"/>
                <w:sz w:val="20"/>
              </w:rPr>
            </w:pPr>
            <w:proofErr w:type="spellStart"/>
            <w:r w:rsidRPr="007D2F5C">
              <w:rPr>
                <w:rFonts w:ascii="Arial Narrow" w:hAnsi="Arial Narrow"/>
                <w:sz w:val="20"/>
              </w:rPr>
              <w:t>Forns</w:t>
            </w:r>
            <w:proofErr w:type="spellEnd"/>
            <w:r w:rsidRPr="007D2F5C">
              <w:rPr>
                <w:rFonts w:ascii="Arial Narrow" w:hAnsi="Arial Narrow"/>
                <w:sz w:val="20"/>
              </w:rPr>
              <w:t xml:space="preserve"> et al 2014</w:t>
            </w:r>
          </w:p>
        </w:tc>
        <w:tc>
          <w:tcPr>
            <w:tcW w:w="3159" w:type="pct"/>
          </w:tcPr>
          <w:p w:rsidR="00EE5AF1" w:rsidRPr="007D2F5C" w:rsidRDefault="00EE5AF1" w:rsidP="00EE5AF1">
            <w:pPr>
              <w:jc w:val="left"/>
              <w:rPr>
                <w:rFonts w:ascii="Arial Narrow" w:hAnsi="Arial Narrow" w:cs="Segoe UI"/>
                <w:b/>
                <w:snapToGrid/>
                <w:sz w:val="20"/>
                <w:lang w:eastAsia="en-AU"/>
              </w:rPr>
            </w:pPr>
            <w:r w:rsidRPr="007D2F5C">
              <w:rPr>
                <w:rFonts w:ascii="Arial Narrow" w:hAnsi="Arial Narrow" w:cs="Segoe UI"/>
                <w:b/>
                <w:snapToGrid/>
                <w:sz w:val="20"/>
                <w:lang w:eastAsia="en-AU"/>
              </w:rPr>
              <w:t>Primary publication</w:t>
            </w:r>
          </w:p>
          <w:p w:rsidR="00EE5AF1" w:rsidRPr="007D2F5C" w:rsidRDefault="00EE5AF1" w:rsidP="00EE5AF1">
            <w:pPr>
              <w:jc w:val="left"/>
              <w:rPr>
                <w:rFonts w:ascii="Arial Narrow" w:hAnsi="Arial Narrow"/>
                <w:b/>
                <w:sz w:val="20"/>
              </w:rPr>
            </w:pPr>
            <w:proofErr w:type="spellStart"/>
            <w:r w:rsidRPr="007D2F5C">
              <w:rPr>
                <w:rFonts w:ascii="Arial Narrow" w:hAnsi="Arial Narrow" w:cs="Segoe UI"/>
                <w:snapToGrid/>
                <w:sz w:val="20"/>
                <w:lang w:eastAsia="en-AU"/>
              </w:rPr>
              <w:t>Forns</w:t>
            </w:r>
            <w:proofErr w:type="spellEnd"/>
            <w:r w:rsidRPr="007D2F5C">
              <w:rPr>
                <w:rFonts w:ascii="Arial Narrow" w:hAnsi="Arial Narrow" w:cs="Segoe UI"/>
                <w:snapToGrid/>
                <w:sz w:val="20"/>
                <w:lang w:eastAsia="en-AU"/>
              </w:rPr>
              <w:t xml:space="preserve">, X., E. </w:t>
            </w:r>
            <w:proofErr w:type="spellStart"/>
            <w:r w:rsidRPr="007D2F5C">
              <w:rPr>
                <w:rFonts w:ascii="Arial Narrow" w:hAnsi="Arial Narrow" w:cs="Segoe UI"/>
                <w:snapToGrid/>
                <w:sz w:val="20"/>
                <w:lang w:eastAsia="en-AU"/>
              </w:rPr>
              <w:t>Lawitz</w:t>
            </w:r>
            <w:proofErr w:type="spellEnd"/>
            <w:r w:rsidRPr="007D2F5C">
              <w:rPr>
                <w:rFonts w:ascii="Arial Narrow" w:hAnsi="Arial Narrow" w:cs="Segoe UI"/>
                <w:snapToGrid/>
                <w:sz w:val="20"/>
                <w:lang w:eastAsia="en-AU"/>
              </w:rPr>
              <w:t xml:space="preserve">, S. </w:t>
            </w:r>
            <w:proofErr w:type="spellStart"/>
            <w:r w:rsidRPr="007D2F5C">
              <w:rPr>
                <w:rFonts w:ascii="Arial Narrow" w:hAnsi="Arial Narrow" w:cs="Segoe UI"/>
                <w:snapToGrid/>
                <w:sz w:val="20"/>
                <w:lang w:eastAsia="en-AU"/>
              </w:rPr>
              <w:t>Zeuzem</w:t>
            </w:r>
            <w:proofErr w:type="spellEnd"/>
            <w:r w:rsidRPr="007D2F5C">
              <w:rPr>
                <w:rFonts w:ascii="Arial Narrow" w:hAnsi="Arial Narrow" w:cs="Segoe UI"/>
                <w:snapToGrid/>
                <w:sz w:val="20"/>
                <w:lang w:eastAsia="en-AU"/>
              </w:rPr>
              <w:t xml:space="preserve">, E. </w:t>
            </w:r>
            <w:proofErr w:type="spellStart"/>
            <w:r w:rsidRPr="007D2F5C">
              <w:rPr>
                <w:rFonts w:ascii="Arial Narrow" w:hAnsi="Arial Narrow" w:cs="Segoe UI"/>
                <w:snapToGrid/>
                <w:sz w:val="20"/>
                <w:lang w:eastAsia="en-AU"/>
              </w:rPr>
              <w:t>Gane</w:t>
            </w:r>
            <w:proofErr w:type="spellEnd"/>
            <w:r w:rsidRPr="007D2F5C">
              <w:rPr>
                <w:rFonts w:ascii="Arial Narrow" w:hAnsi="Arial Narrow" w:cs="Segoe UI"/>
                <w:snapToGrid/>
                <w:sz w:val="20"/>
                <w:lang w:eastAsia="en-AU"/>
              </w:rPr>
              <w:t xml:space="preserve">, J. P. </w:t>
            </w:r>
            <w:proofErr w:type="spellStart"/>
            <w:r w:rsidRPr="007D2F5C">
              <w:rPr>
                <w:rFonts w:ascii="Arial Narrow" w:hAnsi="Arial Narrow" w:cs="Segoe UI"/>
                <w:snapToGrid/>
                <w:sz w:val="20"/>
                <w:lang w:eastAsia="en-AU"/>
              </w:rPr>
              <w:t>Bronowicki</w:t>
            </w:r>
            <w:proofErr w:type="spellEnd"/>
            <w:r w:rsidRPr="007D2F5C">
              <w:rPr>
                <w:rFonts w:ascii="Arial Narrow" w:hAnsi="Arial Narrow" w:cs="Segoe UI"/>
                <w:snapToGrid/>
                <w:sz w:val="20"/>
                <w:lang w:eastAsia="en-AU"/>
              </w:rPr>
              <w:t xml:space="preserve">, P. </w:t>
            </w:r>
            <w:proofErr w:type="spellStart"/>
            <w:r w:rsidRPr="007D2F5C">
              <w:rPr>
                <w:rFonts w:ascii="Arial Narrow" w:hAnsi="Arial Narrow" w:cs="Segoe UI"/>
                <w:snapToGrid/>
                <w:sz w:val="20"/>
                <w:lang w:eastAsia="en-AU"/>
              </w:rPr>
              <w:t>Andreone</w:t>
            </w:r>
            <w:proofErr w:type="spellEnd"/>
            <w:r w:rsidRPr="007D2F5C">
              <w:rPr>
                <w:rFonts w:ascii="Arial Narrow" w:hAnsi="Arial Narrow" w:cs="Segoe UI"/>
                <w:snapToGrid/>
                <w:sz w:val="20"/>
                <w:lang w:eastAsia="en-AU"/>
              </w:rPr>
              <w:t xml:space="preserve">, A. </w:t>
            </w:r>
            <w:proofErr w:type="spellStart"/>
            <w:r w:rsidRPr="007D2F5C">
              <w:rPr>
                <w:rFonts w:ascii="Arial Narrow" w:hAnsi="Arial Narrow" w:cs="Segoe UI"/>
                <w:snapToGrid/>
                <w:sz w:val="20"/>
                <w:lang w:eastAsia="en-AU"/>
              </w:rPr>
              <w:t>Horban</w:t>
            </w:r>
            <w:proofErr w:type="spellEnd"/>
            <w:r w:rsidRPr="007D2F5C">
              <w:rPr>
                <w:rFonts w:ascii="Arial Narrow" w:hAnsi="Arial Narrow" w:cs="Segoe UI"/>
                <w:i/>
                <w:iCs/>
                <w:snapToGrid/>
                <w:sz w:val="20"/>
                <w:lang w:eastAsia="en-AU"/>
              </w:rPr>
              <w:t>, et al.</w:t>
            </w:r>
            <w:r w:rsidRPr="007D2F5C">
              <w:rPr>
                <w:rFonts w:ascii="Arial Narrow" w:hAnsi="Arial Narrow" w:cs="Segoe UI"/>
                <w:snapToGrid/>
                <w:sz w:val="20"/>
                <w:lang w:eastAsia="en-AU"/>
              </w:rPr>
              <w:t xml:space="preserve"> "</w:t>
            </w:r>
            <w:proofErr w:type="spellStart"/>
            <w:r w:rsidRPr="007D2F5C">
              <w:rPr>
                <w:rFonts w:ascii="Arial Narrow" w:hAnsi="Arial Narrow" w:cs="Segoe UI"/>
                <w:snapToGrid/>
                <w:sz w:val="20"/>
                <w:lang w:eastAsia="en-AU"/>
              </w:rPr>
              <w:t>Simeprevir</w:t>
            </w:r>
            <w:proofErr w:type="spellEnd"/>
            <w:r w:rsidRPr="007D2F5C">
              <w:rPr>
                <w:rFonts w:ascii="Arial Narrow" w:hAnsi="Arial Narrow" w:cs="Segoe UI"/>
                <w:snapToGrid/>
                <w:sz w:val="20"/>
                <w:lang w:eastAsia="en-AU"/>
              </w:rPr>
              <w:t xml:space="preserve"> with </w:t>
            </w:r>
            <w:proofErr w:type="spellStart"/>
            <w:r w:rsidRPr="007D2F5C">
              <w:rPr>
                <w:rFonts w:ascii="Arial Narrow" w:hAnsi="Arial Narrow" w:cs="Segoe UI"/>
                <w:snapToGrid/>
                <w:sz w:val="20"/>
                <w:lang w:eastAsia="en-AU"/>
              </w:rPr>
              <w:t>Peginterferon</w:t>
            </w:r>
            <w:proofErr w:type="spellEnd"/>
            <w:r w:rsidRPr="007D2F5C">
              <w:rPr>
                <w:rFonts w:ascii="Arial Narrow" w:hAnsi="Arial Narrow" w:cs="Segoe UI"/>
                <w:snapToGrid/>
                <w:sz w:val="20"/>
                <w:lang w:eastAsia="en-AU"/>
              </w:rPr>
              <w:t xml:space="preserve"> and Ribavirin Leads to High Rates of S</w:t>
            </w:r>
            <w:r>
              <w:rPr>
                <w:rFonts w:ascii="Arial Narrow" w:hAnsi="Arial Narrow" w:cs="Segoe UI"/>
                <w:snapToGrid/>
                <w:sz w:val="20"/>
                <w:lang w:eastAsia="en-AU"/>
              </w:rPr>
              <w:t>VR</w:t>
            </w:r>
            <w:r w:rsidRPr="007D2F5C">
              <w:rPr>
                <w:rFonts w:ascii="Arial Narrow" w:hAnsi="Arial Narrow" w:cs="Segoe UI"/>
                <w:snapToGrid/>
                <w:sz w:val="20"/>
                <w:lang w:eastAsia="en-AU"/>
              </w:rPr>
              <w:t xml:space="preserve"> in Patients with H</w:t>
            </w:r>
            <w:r>
              <w:rPr>
                <w:rFonts w:ascii="Arial Narrow" w:hAnsi="Arial Narrow" w:cs="Segoe UI"/>
                <w:snapToGrid/>
                <w:sz w:val="20"/>
                <w:lang w:eastAsia="en-AU"/>
              </w:rPr>
              <w:t>CV</w:t>
            </w:r>
            <w:r w:rsidRPr="007D2F5C">
              <w:rPr>
                <w:rFonts w:ascii="Arial Narrow" w:hAnsi="Arial Narrow" w:cs="Segoe UI"/>
                <w:snapToGrid/>
                <w:sz w:val="20"/>
                <w:lang w:eastAsia="en-AU"/>
              </w:rPr>
              <w:t xml:space="preserve"> Genotype 1 Who Relapsed after Previous Therapy: A Phase 3 Trial."</w:t>
            </w:r>
          </w:p>
        </w:tc>
        <w:tc>
          <w:tcPr>
            <w:tcW w:w="1106" w:type="pct"/>
          </w:tcPr>
          <w:p w:rsidR="00EE5AF1" w:rsidRPr="007D2F5C" w:rsidRDefault="00EE5AF1" w:rsidP="00EE5AF1">
            <w:pPr>
              <w:jc w:val="left"/>
              <w:rPr>
                <w:rFonts w:ascii="Arial Narrow" w:hAnsi="Arial Narrow"/>
                <w:b/>
                <w:sz w:val="20"/>
              </w:rPr>
            </w:pPr>
            <w:r w:rsidRPr="007D2F5C">
              <w:rPr>
                <w:rFonts w:ascii="Arial Narrow" w:hAnsi="Arial Narrow" w:cs="Segoe UI"/>
                <w:i/>
                <w:iCs/>
                <w:snapToGrid/>
                <w:sz w:val="20"/>
                <w:lang w:eastAsia="en-AU"/>
              </w:rPr>
              <w:t xml:space="preserve">Gastroenterology </w:t>
            </w:r>
            <w:r w:rsidRPr="007D2F5C">
              <w:rPr>
                <w:rFonts w:ascii="Arial Narrow" w:hAnsi="Arial Narrow" w:cs="Segoe UI"/>
                <w:snapToGrid/>
                <w:sz w:val="20"/>
                <w:lang w:eastAsia="en-AU"/>
              </w:rPr>
              <w:t>146, no. 7 (Jun 2014): 1669-79 e3.</w:t>
            </w:r>
          </w:p>
        </w:tc>
      </w:tr>
    </w:tbl>
    <w:p w:rsidR="00EE5AF1" w:rsidRPr="004C6961" w:rsidRDefault="00EE5AF1" w:rsidP="00EE5AF1">
      <w:pPr>
        <w:pStyle w:val="TableFooter"/>
        <w:ind w:firstLine="720"/>
      </w:pPr>
      <w:r w:rsidRPr="004C6961">
        <w:t>Source: Table B-4, pp45-47 of the submission</w:t>
      </w:r>
    </w:p>
    <w:p w:rsidR="00EE5AF1" w:rsidRDefault="00EE5AF1" w:rsidP="00EE5AF1">
      <w:pPr>
        <w:pStyle w:val="ListParagraph"/>
        <w:widowControl/>
        <w:rPr>
          <w:szCs w:val="22"/>
        </w:rPr>
      </w:pPr>
    </w:p>
    <w:p w:rsidR="00EE5AF1" w:rsidRDefault="00EE5AF1" w:rsidP="00EE5AF1">
      <w:pPr>
        <w:pStyle w:val="ListParagraph"/>
        <w:widowControl/>
        <w:rPr>
          <w:szCs w:val="22"/>
        </w:rPr>
      </w:pPr>
      <w:r w:rsidRPr="00E47E6E">
        <w:rPr>
          <w:szCs w:val="22"/>
        </w:rPr>
        <w:t xml:space="preserve">All three LDV/SOF studies were Phase 3 randomised, open-label, multi-centre trials that compared </w:t>
      </w:r>
      <w:r w:rsidR="001B53E8" w:rsidRPr="00E47E6E">
        <w:rPr>
          <w:szCs w:val="22"/>
        </w:rPr>
        <w:t xml:space="preserve">different </w:t>
      </w:r>
      <w:r w:rsidRPr="00E47E6E">
        <w:rPr>
          <w:szCs w:val="22"/>
        </w:rPr>
        <w:t>LDV/</w:t>
      </w:r>
      <w:proofErr w:type="spellStart"/>
      <w:r w:rsidRPr="00E47E6E">
        <w:rPr>
          <w:szCs w:val="22"/>
        </w:rPr>
        <w:t>SOF±ribavirin</w:t>
      </w:r>
      <w:proofErr w:type="spellEnd"/>
      <w:r w:rsidRPr="00E47E6E">
        <w:rPr>
          <w:szCs w:val="22"/>
        </w:rPr>
        <w:t xml:space="preserve"> (RBV) treatment </w:t>
      </w:r>
      <w:r w:rsidR="001B53E8" w:rsidRPr="00E47E6E">
        <w:rPr>
          <w:szCs w:val="22"/>
        </w:rPr>
        <w:t xml:space="preserve">arms of </w:t>
      </w:r>
      <w:r w:rsidRPr="00E47E6E">
        <w:rPr>
          <w:szCs w:val="22"/>
        </w:rPr>
        <w:t xml:space="preserve">different durations in genotype 1 HCV patients. None of the studies included </w:t>
      </w:r>
      <w:r w:rsidR="001B53E8" w:rsidRPr="00E47E6E">
        <w:rPr>
          <w:szCs w:val="22"/>
        </w:rPr>
        <w:t>a</w:t>
      </w:r>
      <w:r w:rsidRPr="00E47E6E">
        <w:rPr>
          <w:szCs w:val="22"/>
        </w:rPr>
        <w:t xml:space="preserve"> relevant comparator. Therefore these studies were essentially </w:t>
      </w:r>
      <w:r w:rsidR="009C2115">
        <w:rPr>
          <w:szCs w:val="22"/>
        </w:rPr>
        <w:t>single are non-comparative</w:t>
      </w:r>
      <w:r w:rsidR="00B9639C" w:rsidRPr="00E47E6E">
        <w:rPr>
          <w:szCs w:val="22"/>
        </w:rPr>
        <w:t xml:space="preserve"> studies</w:t>
      </w:r>
      <w:r w:rsidRPr="00E47E6E">
        <w:rPr>
          <w:szCs w:val="22"/>
        </w:rPr>
        <w:t xml:space="preserve"> for the purpose of the submission.</w:t>
      </w:r>
      <w:r w:rsidRPr="00B9639C">
        <w:rPr>
          <w:szCs w:val="22"/>
        </w:rPr>
        <w:t xml:space="preserve"> </w:t>
      </w:r>
      <w:r w:rsidR="00B9639C">
        <w:rPr>
          <w:szCs w:val="22"/>
        </w:rPr>
        <w:t>The relevant trial arms and durations of treatment are summarised in the table, along with other key features.</w:t>
      </w:r>
    </w:p>
    <w:p w:rsidR="00206DD3" w:rsidRDefault="00206DD3" w:rsidP="00EE5AF1">
      <w:pPr>
        <w:pStyle w:val="ListParagraph"/>
        <w:widowControl/>
        <w:rPr>
          <w:rStyle w:val="CommentReference"/>
        </w:rPr>
      </w:pPr>
    </w:p>
    <w:p w:rsidR="00906032" w:rsidRDefault="00906032">
      <w:pPr>
        <w:widowControl/>
        <w:jc w:val="left"/>
        <w:rPr>
          <w:rStyle w:val="CommentReference"/>
          <w:b/>
        </w:rPr>
      </w:pPr>
      <w:r>
        <w:rPr>
          <w:rStyle w:val="CommentReference"/>
          <w:b/>
        </w:rPr>
        <w:br w:type="page"/>
      </w:r>
    </w:p>
    <w:p w:rsidR="00EE5AF1" w:rsidRPr="00797CA3" w:rsidRDefault="00EE5AF1" w:rsidP="00EE5AF1">
      <w:pPr>
        <w:pStyle w:val="ListParagraph"/>
        <w:widowControl/>
        <w:rPr>
          <w:rStyle w:val="CommentReference"/>
          <w:b/>
        </w:rPr>
      </w:pPr>
      <w:r w:rsidRPr="00797CA3">
        <w:rPr>
          <w:rStyle w:val="CommentReference"/>
          <w:b/>
        </w:rPr>
        <w:lastRenderedPageBreak/>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164"/>
        <w:gridCol w:w="704"/>
        <w:gridCol w:w="1838"/>
        <w:gridCol w:w="986"/>
        <w:gridCol w:w="1412"/>
        <w:gridCol w:w="1128"/>
        <w:gridCol w:w="1113"/>
      </w:tblGrid>
      <w:tr w:rsidR="00EE5AF1" w:rsidRPr="00E2771E" w:rsidTr="00EE5AF1">
        <w:tc>
          <w:tcPr>
            <w:tcW w:w="697" w:type="pct"/>
            <w:shd w:val="clear" w:color="auto" w:fill="auto"/>
            <w:vAlign w:val="center"/>
          </w:tcPr>
          <w:p w:rsidR="00EE5AF1" w:rsidRPr="00E2771E" w:rsidRDefault="00EE5AF1" w:rsidP="00EE5AF1">
            <w:pPr>
              <w:jc w:val="left"/>
              <w:rPr>
                <w:rFonts w:ascii="Arial Narrow" w:hAnsi="Arial Narrow"/>
                <w:b/>
                <w:sz w:val="20"/>
                <w:lang w:val="en-US"/>
              </w:rPr>
            </w:pPr>
            <w:r w:rsidRPr="00E2771E">
              <w:rPr>
                <w:rFonts w:ascii="Arial Narrow" w:hAnsi="Arial Narrow"/>
                <w:b/>
                <w:sz w:val="20"/>
                <w:lang w:val="en-US"/>
              </w:rPr>
              <w:t>Trial</w:t>
            </w:r>
          </w:p>
        </w:tc>
        <w:tc>
          <w:tcPr>
            <w:tcW w:w="422" w:type="pct"/>
            <w:shd w:val="clear" w:color="auto" w:fill="auto"/>
            <w:vAlign w:val="center"/>
          </w:tcPr>
          <w:p w:rsidR="00EE5AF1" w:rsidRPr="00E2771E" w:rsidRDefault="00EE5AF1" w:rsidP="00EE5AF1">
            <w:pPr>
              <w:jc w:val="center"/>
              <w:rPr>
                <w:rFonts w:ascii="Arial Narrow" w:hAnsi="Arial Narrow"/>
                <w:b/>
                <w:sz w:val="20"/>
                <w:lang w:val="en-US"/>
              </w:rPr>
            </w:pPr>
            <w:r w:rsidRPr="00E2771E">
              <w:rPr>
                <w:rFonts w:ascii="Arial Narrow" w:hAnsi="Arial Narrow"/>
                <w:b/>
                <w:sz w:val="20"/>
                <w:lang w:val="en-US"/>
              </w:rPr>
              <w:t>N</w:t>
            </w:r>
          </w:p>
        </w:tc>
        <w:tc>
          <w:tcPr>
            <w:tcW w:w="1101" w:type="pct"/>
            <w:shd w:val="clear" w:color="auto" w:fill="auto"/>
            <w:vAlign w:val="center"/>
          </w:tcPr>
          <w:p w:rsidR="00EE5AF1" w:rsidRPr="00E2771E" w:rsidRDefault="00EE5AF1" w:rsidP="00EE5AF1">
            <w:pPr>
              <w:jc w:val="center"/>
              <w:rPr>
                <w:rFonts w:ascii="Arial Narrow" w:hAnsi="Arial Narrow"/>
                <w:b/>
                <w:sz w:val="20"/>
                <w:lang w:val="en-US"/>
              </w:rPr>
            </w:pPr>
            <w:r w:rsidRPr="00E2771E">
              <w:rPr>
                <w:rFonts w:ascii="Arial Narrow" w:hAnsi="Arial Narrow"/>
                <w:b/>
                <w:sz w:val="20"/>
                <w:lang w:val="en-US"/>
              </w:rPr>
              <w:t>Design/ duration</w:t>
            </w:r>
          </w:p>
        </w:tc>
        <w:tc>
          <w:tcPr>
            <w:tcW w:w="591" w:type="pct"/>
            <w:shd w:val="clear" w:color="auto" w:fill="auto"/>
            <w:vAlign w:val="center"/>
          </w:tcPr>
          <w:p w:rsidR="00EE5AF1" w:rsidRPr="00E2771E" w:rsidRDefault="00EE5AF1" w:rsidP="00EE5AF1">
            <w:pPr>
              <w:jc w:val="center"/>
              <w:rPr>
                <w:rFonts w:ascii="Arial Narrow" w:hAnsi="Arial Narrow"/>
                <w:b/>
                <w:sz w:val="20"/>
                <w:lang w:val="en-US"/>
              </w:rPr>
            </w:pPr>
            <w:r w:rsidRPr="00E2771E">
              <w:rPr>
                <w:rFonts w:ascii="Arial Narrow" w:hAnsi="Arial Narrow"/>
                <w:b/>
                <w:sz w:val="20"/>
                <w:lang w:val="en-US"/>
              </w:rPr>
              <w:t xml:space="preserve">Risk of </w:t>
            </w:r>
            <w:proofErr w:type="spellStart"/>
            <w:r w:rsidRPr="00E2771E">
              <w:rPr>
                <w:rFonts w:ascii="Arial Narrow" w:hAnsi="Arial Narrow"/>
                <w:b/>
                <w:sz w:val="20"/>
                <w:lang w:val="en-US"/>
              </w:rPr>
              <w:t>bias</w:t>
            </w:r>
            <w:r w:rsidRPr="00BA11DB">
              <w:rPr>
                <w:rFonts w:ascii="Arial Narrow" w:hAnsi="Arial Narrow"/>
                <w:b/>
                <w:sz w:val="20"/>
                <w:vertAlign w:val="superscript"/>
                <w:lang w:val="en-US"/>
              </w:rPr>
              <w:t>a</w:t>
            </w:r>
            <w:proofErr w:type="spellEnd"/>
          </w:p>
        </w:tc>
        <w:tc>
          <w:tcPr>
            <w:tcW w:w="846" w:type="pct"/>
            <w:shd w:val="clear" w:color="auto" w:fill="auto"/>
            <w:vAlign w:val="center"/>
          </w:tcPr>
          <w:p w:rsidR="00EE5AF1" w:rsidRPr="00E2771E" w:rsidRDefault="00EE5AF1" w:rsidP="00EE5AF1">
            <w:pPr>
              <w:jc w:val="center"/>
              <w:rPr>
                <w:rFonts w:ascii="Arial Narrow" w:hAnsi="Arial Narrow"/>
                <w:b/>
                <w:sz w:val="20"/>
                <w:lang w:val="en-US"/>
              </w:rPr>
            </w:pPr>
            <w:r w:rsidRPr="00E2771E">
              <w:rPr>
                <w:rFonts w:ascii="Arial Narrow" w:hAnsi="Arial Narrow"/>
                <w:b/>
                <w:sz w:val="20"/>
                <w:lang w:val="en-US"/>
              </w:rPr>
              <w:t>Patient population</w:t>
            </w:r>
          </w:p>
        </w:tc>
        <w:tc>
          <w:tcPr>
            <w:tcW w:w="676" w:type="pct"/>
            <w:shd w:val="clear" w:color="auto" w:fill="auto"/>
            <w:vAlign w:val="center"/>
          </w:tcPr>
          <w:p w:rsidR="00EE5AF1" w:rsidRPr="00E2771E" w:rsidRDefault="00EE5AF1" w:rsidP="00EE5AF1">
            <w:pPr>
              <w:jc w:val="center"/>
              <w:rPr>
                <w:rFonts w:ascii="Arial Narrow" w:hAnsi="Arial Narrow"/>
                <w:b/>
                <w:sz w:val="20"/>
                <w:lang w:val="en-US"/>
              </w:rPr>
            </w:pPr>
            <w:r w:rsidRPr="00E2771E">
              <w:rPr>
                <w:rFonts w:ascii="Arial Narrow" w:hAnsi="Arial Narrow"/>
                <w:b/>
                <w:sz w:val="20"/>
                <w:lang w:val="en-US"/>
              </w:rPr>
              <w:t>Outcome</w:t>
            </w:r>
          </w:p>
        </w:tc>
        <w:tc>
          <w:tcPr>
            <w:tcW w:w="667" w:type="pct"/>
            <w:shd w:val="clear" w:color="auto" w:fill="auto"/>
            <w:vAlign w:val="center"/>
          </w:tcPr>
          <w:p w:rsidR="00EE5AF1" w:rsidRPr="00E2771E" w:rsidRDefault="00EE5AF1" w:rsidP="00EE5AF1">
            <w:pPr>
              <w:jc w:val="center"/>
              <w:rPr>
                <w:rFonts w:ascii="Arial Narrow" w:hAnsi="Arial Narrow"/>
                <w:b/>
                <w:sz w:val="20"/>
                <w:lang w:val="en-US"/>
              </w:rPr>
            </w:pPr>
            <w:r w:rsidRPr="00E2771E">
              <w:rPr>
                <w:rFonts w:ascii="Arial Narrow" w:hAnsi="Arial Narrow"/>
                <w:b/>
                <w:sz w:val="20"/>
                <w:lang w:val="en-US"/>
              </w:rPr>
              <w:t>Use in modelled evaluation</w:t>
            </w:r>
          </w:p>
        </w:tc>
      </w:tr>
      <w:tr w:rsidR="00EE5AF1" w:rsidRPr="00E2771E" w:rsidTr="007144BB">
        <w:tc>
          <w:tcPr>
            <w:tcW w:w="5000" w:type="pct"/>
            <w:gridSpan w:val="7"/>
            <w:shd w:val="clear" w:color="auto" w:fill="D9D9D9" w:themeFill="background1" w:themeFillShade="D9"/>
            <w:vAlign w:val="center"/>
          </w:tcPr>
          <w:p w:rsidR="00EE5AF1" w:rsidRPr="00E2771E" w:rsidRDefault="00EE5AF1" w:rsidP="00EE5AF1">
            <w:pPr>
              <w:jc w:val="left"/>
              <w:rPr>
                <w:rFonts w:ascii="Arial Narrow" w:hAnsi="Arial Narrow"/>
                <w:b/>
                <w:sz w:val="20"/>
                <w:lang w:val="en-US"/>
              </w:rPr>
            </w:pPr>
            <w:r>
              <w:rPr>
                <w:rFonts w:ascii="Arial Narrow" w:hAnsi="Arial Narrow"/>
                <w:b/>
                <w:sz w:val="20"/>
                <w:lang w:val="en-US"/>
              </w:rPr>
              <w:t>Treatment-naive</w:t>
            </w:r>
          </w:p>
        </w:tc>
      </w:tr>
      <w:tr w:rsidR="00EE5AF1" w:rsidRPr="00E2771E" w:rsidTr="00EE5AF1">
        <w:tc>
          <w:tcPr>
            <w:tcW w:w="5000" w:type="pct"/>
            <w:gridSpan w:val="7"/>
            <w:shd w:val="clear" w:color="auto" w:fill="auto"/>
            <w:vAlign w:val="center"/>
          </w:tcPr>
          <w:p w:rsidR="00EE5AF1" w:rsidRDefault="00EE5AF1" w:rsidP="00EE5AF1">
            <w:pPr>
              <w:jc w:val="left"/>
              <w:rPr>
                <w:rFonts w:ascii="Arial Narrow" w:hAnsi="Arial Narrow"/>
                <w:b/>
                <w:sz w:val="20"/>
                <w:lang w:val="en-US"/>
              </w:rPr>
            </w:pPr>
            <w:r>
              <w:rPr>
                <w:rFonts w:ascii="Arial Narrow" w:hAnsi="Arial Narrow"/>
                <w:b/>
                <w:sz w:val="20"/>
                <w:lang w:val="en-US"/>
              </w:rPr>
              <w:t>LDV/SOF</w:t>
            </w:r>
          </w:p>
        </w:tc>
      </w:tr>
      <w:tr w:rsidR="00EE5AF1" w:rsidRPr="00E2771E" w:rsidTr="00EE5AF1">
        <w:tc>
          <w:tcPr>
            <w:tcW w:w="697" w:type="pct"/>
            <w:shd w:val="clear" w:color="auto" w:fill="auto"/>
            <w:vAlign w:val="center"/>
          </w:tcPr>
          <w:p w:rsidR="00976140" w:rsidRDefault="00EE5AF1" w:rsidP="00EE5AF1">
            <w:pPr>
              <w:jc w:val="left"/>
              <w:rPr>
                <w:rFonts w:ascii="Arial Narrow" w:hAnsi="Arial Narrow"/>
                <w:sz w:val="20"/>
                <w:lang w:val="en-US"/>
              </w:rPr>
            </w:pPr>
            <w:r>
              <w:rPr>
                <w:rFonts w:ascii="Arial Narrow" w:hAnsi="Arial Narrow"/>
                <w:sz w:val="20"/>
                <w:lang w:val="en-US"/>
              </w:rPr>
              <w:t>ION-1</w:t>
            </w:r>
          </w:p>
          <w:p w:rsidR="00976140" w:rsidRDefault="00976140" w:rsidP="00EE5AF1">
            <w:pPr>
              <w:jc w:val="left"/>
              <w:rPr>
                <w:rFonts w:ascii="Arial Narrow" w:hAnsi="Arial Narrow"/>
                <w:sz w:val="20"/>
                <w:lang w:val="en-US"/>
              </w:rPr>
            </w:pPr>
          </w:p>
          <w:p w:rsidR="00B9639C" w:rsidRPr="00E2771E" w:rsidRDefault="00B9639C" w:rsidP="00EE5AF1">
            <w:pPr>
              <w:jc w:val="left"/>
              <w:rPr>
                <w:rFonts w:ascii="Arial Narrow" w:hAnsi="Arial Narrow"/>
                <w:sz w:val="20"/>
                <w:lang w:val="en-US"/>
              </w:rPr>
            </w:pPr>
            <w:r>
              <w:rPr>
                <w:rFonts w:ascii="Arial Narrow" w:hAnsi="Arial Narrow"/>
                <w:sz w:val="20"/>
                <w:lang w:val="en-US"/>
              </w:rPr>
              <w:t>LDV/SOF 12 weeks</w:t>
            </w:r>
          </w:p>
        </w:tc>
        <w:tc>
          <w:tcPr>
            <w:tcW w:w="422"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34</w:t>
            </w:r>
          </w:p>
        </w:tc>
        <w:tc>
          <w:tcPr>
            <w:tcW w:w="1101"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 xml:space="preserve">Single arm of </w:t>
            </w:r>
            <w:r w:rsidRPr="00E2771E">
              <w:rPr>
                <w:rFonts w:ascii="Arial Narrow" w:hAnsi="Arial Narrow"/>
                <w:sz w:val="20"/>
                <w:lang w:val="en-US"/>
              </w:rPr>
              <w:t xml:space="preserve">R, </w:t>
            </w:r>
            <w:r>
              <w:rPr>
                <w:rFonts w:ascii="Arial Narrow" w:hAnsi="Arial Narrow"/>
                <w:sz w:val="20"/>
                <w:lang w:val="en-US"/>
              </w:rPr>
              <w:t>OL</w:t>
            </w:r>
          </w:p>
          <w:p w:rsidR="00EE5AF1" w:rsidRPr="00E2771E" w:rsidRDefault="00976140" w:rsidP="00EE5AF1">
            <w:pPr>
              <w:jc w:val="center"/>
              <w:rPr>
                <w:rFonts w:ascii="Arial Narrow" w:hAnsi="Arial Narrow"/>
                <w:sz w:val="20"/>
                <w:lang w:val="en-US"/>
              </w:rPr>
            </w:pPr>
            <w:r>
              <w:rPr>
                <w:rFonts w:ascii="Arial Narrow" w:hAnsi="Arial Narrow"/>
                <w:sz w:val="20"/>
                <w:lang w:val="en-US"/>
              </w:rPr>
              <w:t xml:space="preserve">/ </w:t>
            </w:r>
            <w:r w:rsidR="00EE5AF1">
              <w:rPr>
                <w:rFonts w:ascii="Arial Narrow" w:hAnsi="Arial Narrow"/>
                <w:sz w:val="20"/>
                <w:lang w:val="en-US"/>
              </w:rPr>
              <w:t>12 weeks post treatment</w:t>
            </w:r>
          </w:p>
        </w:tc>
        <w:tc>
          <w:tcPr>
            <w:tcW w:w="591" w:type="pct"/>
            <w:shd w:val="clear" w:color="auto" w:fill="auto"/>
            <w:vAlign w:val="center"/>
          </w:tcPr>
          <w:p w:rsidR="00EE5AF1" w:rsidRPr="00BA11DB" w:rsidRDefault="00EE5AF1" w:rsidP="00EE5AF1">
            <w:pPr>
              <w:jc w:val="center"/>
              <w:rPr>
                <w:rFonts w:ascii="Arial Narrow" w:hAnsi="Arial Narrow"/>
                <w:sz w:val="20"/>
                <w:highlight w:val="yellow"/>
                <w:lang w:val="en-US"/>
              </w:rPr>
            </w:pPr>
            <w:r w:rsidRPr="00BA11DB">
              <w:rPr>
                <w:rFonts w:ascii="Arial Narrow" w:hAnsi="Arial Narrow"/>
                <w:sz w:val="20"/>
                <w:lang w:val="en-US"/>
              </w:rPr>
              <w:t>High/unclear</w:t>
            </w:r>
          </w:p>
        </w:tc>
        <w:tc>
          <w:tcPr>
            <w:tcW w:w="846"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Treatment-naïve cirrhotic</w:t>
            </w:r>
          </w:p>
        </w:tc>
        <w:tc>
          <w:tcPr>
            <w:tcW w:w="676"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SVR12</w:t>
            </w:r>
          </w:p>
        </w:tc>
        <w:tc>
          <w:tcPr>
            <w:tcW w:w="667" w:type="pct"/>
            <w:shd w:val="clear" w:color="auto" w:fill="auto"/>
            <w:vAlign w:val="center"/>
          </w:tcPr>
          <w:p w:rsidR="00EE5AF1" w:rsidRPr="00E2771E" w:rsidRDefault="00EE5AF1" w:rsidP="00EE5AF1">
            <w:pPr>
              <w:jc w:val="center"/>
              <w:rPr>
                <w:rFonts w:ascii="Arial Narrow" w:hAnsi="Arial Narrow"/>
                <w:sz w:val="20"/>
                <w:lang w:val="en-US"/>
              </w:rPr>
            </w:pPr>
            <w:r w:rsidRPr="00E2771E">
              <w:rPr>
                <w:rFonts w:ascii="Arial Narrow" w:hAnsi="Arial Narrow"/>
                <w:sz w:val="20"/>
                <w:lang w:val="en-US"/>
              </w:rPr>
              <w:t>used</w:t>
            </w:r>
          </w:p>
        </w:tc>
      </w:tr>
      <w:tr w:rsidR="00EE5AF1" w:rsidRPr="00E2771E" w:rsidTr="00EE5AF1">
        <w:tc>
          <w:tcPr>
            <w:tcW w:w="697" w:type="pct"/>
            <w:shd w:val="clear" w:color="auto" w:fill="auto"/>
            <w:vAlign w:val="center"/>
          </w:tcPr>
          <w:p w:rsidR="00976140" w:rsidRDefault="00EE5AF1" w:rsidP="00EE5AF1">
            <w:pPr>
              <w:jc w:val="left"/>
              <w:rPr>
                <w:rFonts w:ascii="Arial Narrow" w:hAnsi="Arial Narrow"/>
                <w:sz w:val="20"/>
                <w:lang w:val="en-US"/>
              </w:rPr>
            </w:pPr>
            <w:r>
              <w:rPr>
                <w:rFonts w:ascii="Arial Narrow" w:hAnsi="Arial Narrow"/>
                <w:sz w:val="20"/>
                <w:lang w:val="en-US"/>
              </w:rPr>
              <w:t xml:space="preserve">ION-3 </w:t>
            </w:r>
          </w:p>
          <w:p w:rsidR="00976140" w:rsidRDefault="00EE5AF1" w:rsidP="00EE5AF1">
            <w:pPr>
              <w:jc w:val="left"/>
              <w:rPr>
                <w:rFonts w:ascii="Arial Narrow" w:hAnsi="Arial Narrow"/>
                <w:sz w:val="20"/>
                <w:lang w:val="en-US"/>
              </w:rPr>
            </w:pPr>
            <w:r>
              <w:rPr>
                <w:rFonts w:ascii="Arial Narrow" w:hAnsi="Arial Narrow"/>
                <w:sz w:val="20"/>
                <w:lang w:val="en-US"/>
              </w:rPr>
              <w:br/>
            </w:r>
          </w:p>
          <w:p w:rsidR="00B9639C" w:rsidRPr="00E2771E" w:rsidRDefault="00B9639C" w:rsidP="00EE5AF1">
            <w:pPr>
              <w:jc w:val="left"/>
              <w:rPr>
                <w:rFonts w:ascii="Arial Narrow" w:hAnsi="Arial Narrow"/>
                <w:sz w:val="20"/>
                <w:lang w:val="en-US"/>
              </w:rPr>
            </w:pPr>
            <w:r>
              <w:rPr>
                <w:rFonts w:ascii="Arial Narrow" w:hAnsi="Arial Narrow"/>
                <w:sz w:val="20"/>
                <w:lang w:val="en-US"/>
              </w:rPr>
              <w:t>LDV/SOF 8 weeks</w:t>
            </w:r>
          </w:p>
        </w:tc>
        <w:tc>
          <w:tcPr>
            <w:tcW w:w="422"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215</w:t>
            </w:r>
          </w:p>
        </w:tc>
        <w:tc>
          <w:tcPr>
            <w:tcW w:w="1101"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 xml:space="preserve">Single arm of </w:t>
            </w:r>
            <w:r w:rsidRPr="00E2771E">
              <w:rPr>
                <w:rFonts w:ascii="Arial Narrow" w:hAnsi="Arial Narrow"/>
                <w:sz w:val="20"/>
                <w:lang w:val="en-US"/>
              </w:rPr>
              <w:t>R, OL</w:t>
            </w:r>
          </w:p>
          <w:p w:rsidR="00EE5AF1" w:rsidRPr="00E2771E" w:rsidRDefault="00976140" w:rsidP="00EE5AF1">
            <w:pPr>
              <w:jc w:val="center"/>
              <w:rPr>
                <w:rFonts w:ascii="Arial Narrow" w:hAnsi="Arial Narrow"/>
                <w:sz w:val="20"/>
                <w:lang w:val="en-US"/>
              </w:rPr>
            </w:pPr>
            <w:r>
              <w:rPr>
                <w:rFonts w:ascii="Arial Narrow" w:hAnsi="Arial Narrow"/>
                <w:sz w:val="20"/>
                <w:lang w:val="en-US"/>
              </w:rPr>
              <w:t xml:space="preserve">/ </w:t>
            </w:r>
            <w:r w:rsidR="00EE5AF1">
              <w:rPr>
                <w:rFonts w:ascii="Arial Narrow" w:hAnsi="Arial Narrow"/>
                <w:sz w:val="20"/>
                <w:lang w:val="en-US"/>
              </w:rPr>
              <w:t>12 weeks post treatment</w:t>
            </w:r>
          </w:p>
        </w:tc>
        <w:tc>
          <w:tcPr>
            <w:tcW w:w="591" w:type="pct"/>
            <w:shd w:val="clear" w:color="auto" w:fill="auto"/>
            <w:vAlign w:val="center"/>
          </w:tcPr>
          <w:p w:rsidR="00EE5AF1" w:rsidRPr="00BA11DB" w:rsidRDefault="00EE5AF1" w:rsidP="00EE5AF1">
            <w:pPr>
              <w:jc w:val="center"/>
              <w:rPr>
                <w:rFonts w:ascii="Arial Narrow" w:hAnsi="Arial Narrow"/>
                <w:sz w:val="20"/>
                <w:highlight w:val="yellow"/>
                <w:lang w:val="en-US"/>
              </w:rPr>
            </w:pPr>
            <w:r w:rsidRPr="00BA11DB">
              <w:rPr>
                <w:rFonts w:ascii="Arial Narrow" w:hAnsi="Arial Narrow"/>
                <w:sz w:val="20"/>
                <w:lang w:val="en-US"/>
              </w:rPr>
              <w:t>High/unclear</w:t>
            </w:r>
          </w:p>
        </w:tc>
        <w:tc>
          <w:tcPr>
            <w:tcW w:w="846" w:type="pct"/>
            <w:shd w:val="clear" w:color="auto" w:fill="auto"/>
            <w:vAlign w:val="center"/>
          </w:tcPr>
          <w:p w:rsidR="00EE5AF1" w:rsidRPr="00E2771E" w:rsidRDefault="00EE5AF1" w:rsidP="00EE5AF1">
            <w:pPr>
              <w:jc w:val="center"/>
              <w:rPr>
                <w:rFonts w:ascii="Arial Narrow" w:hAnsi="Arial Narrow"/>
                <w:sz w:val="20"/>
                <w:lang w:val="en-US"/>
              </w:rPr>
            </w:pPr>
            <w:r w:rsidRPr="00E2771E">
              <w:rPr>
                <w:rFonts w:ascii="Arial Narrow" w:hAnsi="Arial Narrow"/>
                <w:sz w:val="20"/>
                <w:lang w:val="en-US"/>
              </w:rPr>
              <w:t>Treatment</w:t>
            </w:r>
            <w:r>
              <w:rPr>
                <w:rFonts w:ascii="Arial Narrow" w:hAnsi="Arial Narrow"/>
                <w:sz w:val="20"/>
                <w:lang w:val="en-US"/>
              </w:rPr>
              <w:t>-</w:t>
            </w:r>
            <w:r w:rsidRPr="00E2771E">
              <w:rPr>
                <w:rFonts w:ascii="Arial Narrow" w:hAnsi="Arial Narrow"/>
                <w:sz w:val="20"/>
                <w:lang w:val="en-US"/>
              </w:rPr>
              <w:t>naïve</w:t>
            </w:r>
            <w:r>
              <w:rPr>
                <w:rFonts w:ascii="Arial Narrow" w:hAnsi="Arial Narrow"/>
                <w:sz w:val="20"/>
                <w:lang w:val="en-US"/>
              </w:rPr>
              <w:t>, non-cirrhotic</w:t>
            </w:r>
          </w:p>
        </w:tc>
        <w:tc>
          <w:tcPr>
            <w:tcW w:w="676"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SVR12</w:t>
            </w:r>
          </w:p>
        </w:tc>
        <w:tc>
          <w:tcPr>
            <w:tcW w:w="667" w:type="pct"/>
            <w:shd w:val="clear" w:color="auto" w:fill="auto"/>
            <w:vAlign w:val="center"/>
          </w:tcPr>
          <w:p w:rsidR="00EE5AF1" w:rsidRPr="00E2771E" w:rsidRDefault="00EE5AF1" w:rsidP="00EE5AF1">
            <w:pPr>
              <w:jc w:val="center"/>
              <w:rPr>
                <w:rFonts w:ascii="Arial Narrow" w:hAnsi="Arial Narrow"/>
                <w:sz w:val="20"/>
                <w:lang w:val="en-US"/>
              </w:rPr>
            </w:pPr>
            <w:r w:rsidRPr="00E2771E">
              <w:rPr>
                <w:rFonts w:ascii="Arial Narrow" w:hAnsi="Arial Narrow"/>
                <w:sz w:val="20"/>
                <w:lang w:val="en-US"/>
              </w:rPr>
              <w:t>used</w:t>
            </w:r>
          </w:p>
        </w:tc>
      </w:tr>
      <w:tr w:rsidR="00EE5AF1" w:rsidRPr="00E2771E" w:rsidTr="007144BB">
        <w:tc>
          <w:tcPr>
            <w:tcW w:w="5000" w:type="pct"/>
            <w:gridSpan w:val="7"/>
            <w:shd w:val="clear" w:color="auto" w:fill="D9D9D9" w:themeFill="background1" w:themeFillShade="D9"/>
            <w:vAlign w:val="center"/>
          </w:tcPr>
          <w:p w:rsidR="00EE5AF1" w:rsidRPr="00BA11DB" w:rsidRDefault="00EE5AF1" w:rsidP="00EE5AF1">
            <w:pPr>
              <w:jc w:val="left"/>
              <w:rPr>
                <w:rFonts w:ascii="Arial Narrow" w:hAnsi="Arial Narrow"/>
                <w:b/>
                <w:sz w:val="20"/>
                <w:lang w:val="en-US"/>
              </w:rPr>
            </w:pPr>
            <w:r w:rsidRPr="00BA11DB">
              <w:rPr>
                <w:rFonts w:ascii="Arial Narrow" w:hAnsi="Arial Narrow"/>
                <w:b/>
                <w:sz w:val="20"/>
                <w:lang w:val="en-US"/>
              </w:rPr>
              <w:t>Treatment-experienced</w:t>
            </w:r>
          </w:p>
        </w:tc>
      </w:tr>
      <w:tr w:rsidR="00EE5AF1" w:rsidRPr="00E2771E" w:rsidTr="00EE5AF1">
        <w:tc>
          <w:tcPr>
            <w:tcW w:w="5000" w:type="pct"/>
            <w:gridSpan w:val="7"/>
            <w:shd w:val="clear" w:color="auto" w:fill="auto"/>
            <w:vAlign w:val="center"/>
          </w:tcPr>
          <w:p w:rsidR="00EE5AF1" w:rsidRPr="00BA11DB" w:rsidRDefault="00EE5AF1" w:rsidP="00EE5AF1">
            <w:pPr>
              <w:jc w:val="left"/>
              <w:rPr>
                <w:rFonts w:ascii="Arial Narrow" w:hAnsi="Arial Narrow"/>
                <w:b/>
                <w:sz w:val="20"/>
                <w:lang w:val="en-US"/>
              </w:rPr>
            </w:pPr>
            <w:r w:rsidRPr="00BA11DB">
              <w:rPr>
                <w:rFonts w:ascii="Arial Narrow" w:hAnsi="Arial Narrow"/>
                <w:b/>
                <w:sz w:val="20"/>
                <w:lang w:val="en-US"/>
              </w:rPr>
              <w:t>LDV/SOF</w:t>
            </w:r>
          </w:p>
        </w:tc>
      </w:tr>
      <w:tr w:rsidR="00EE5AF1" w:rsidRPr="00E2771E" w:rsidTr="00EE5AF1">
        <w:tc>
          <w:tcPr>
            <w:tcW w:w="697" w:type="pct"/>
            <w:shd w:val="clear" w:color="auto" w:fill="auto"/>
            <w:vAlign w:val="center"/>
          </w:tcPr>
          <w:p w:rsidR="00EE5AF1" w:rsidRDefault="00EE5AF1" w:rsidP="00EE5AF1">
            <w:pPr>
              <w:jc w:val="left"/>
              <w:rPr>
                <w:rFonts w:ascii="Arial Narrow" w:hAnsi="Arial Narrow"/>
                <w:sz w:val="20"/>
                <w:lang w:val="en-US"/>
              </w:rPr>
            </w:pPr>
            <w:r>
              <w:rPr>
                <w:rFonts w:ascii="Arial Narrow" w:hAnsi="Arial Narrow"/>
                <w:sz w:val="20"/>
                <w:lang w:val="en-US"/>
              </w:rPr>
              <w:t>ION-2</w:t>
            </w:r>
          </w:p>
          <w:p w:rsidR="00976140" w:rsidRDefault="00976140" w:rsidP="00EE5AF1">
            <w:pPr>
              <w:jc w:val="left"/>
              <w:rPr>
                <w:rFonts w:ascii="Arial Narrow" w:hAnsi="Arial Narrow"/>
                <w:sz w:val="20"/>
                <w:lang w:val="en-US"/>
              </w:rPr>
            </w:pPr>
          </w:p>
          <w:p w:rsidR="00B9639C" w:rsidRPr="00E2771E" w:rsidRDefault="00B9639C" w:rsidP="00EE5AF1">
            <w:pPr>
              <w:jc w:val="left"/>
              <w:rPr>
                <w:rFonts w:ascii="Arial Narrow" w:hAnsi="Arial Narrow"/>
                <w:sz w:val="20"/>
                <w:lang w:val="en-US"/>
              </w:rPr>
            </w:pPr>
            <w:r>
              <w:rPr>
                <w:rFonts w:ascii="Arial Narrow" w:hAnsi="Arial Narrow"/>
                <w:sz w:val="20"/>
                <w:lang w:val="en-US"/>
              </w:rPr>
              <w:t>LDV/SOF 12 weeks</w:t>
            </w:r>
          </w:p>
        </w:tc>
        <w:tc>
          <w:tcPr>
            <w:tcW w:w="422"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109</w:t>
            </w:r>
          </w:p>
        </w:tc>
        <w:tc>
          <w:tcPr>
            <w:tcW w:w="1101" w:type="pct"/>
            <w:shd w:val="clear" w:color="auto" w:fill="auto"/>
            <w:vAlign w:val="center"/>
          </w:tcPr>
          <w:p w:rsidR="00EE5AF1" w:rsidRDefault="00EE5AF1" w:rsidP="00EE5AF1">
            <w:pPr>
              <w:jc w:val="center"/>
              <w:rPr>
                <w:rFonts w:ascii="Arial Narrow" w:hAnsi="Arial Narrow"/>
                <w:sz w:val="20"/>
                <w:lang w:val="en-US"/>
              </w:rPr>
            </w:pPr>
            <w:r>
              <w:rPr>
                <w:rFonts w:ascii="Arial Narrow" w:hAnsi="Arial Narrow"/>
                <w:sz w:val="20"/>
                <w:lang w:val="en-US"/>
              </w:rPr>
              <w:t>Single arm of R, OL</w:t>
            </w:r>
          </w:p>
          <w:p w:rsidR="00EE5AF1" w:rsidRPr="00E2771E" w:rsidRDefault="00976140" w:rsidP="00EE5AF1">
            <w:pPr>
              <w:jc w:val="center"/>
              <w:rPr>
                <w:rFonts w:ascii="Arial Narrow" w:hAnsi="Arial Narrow"/>
                <w:sz w:val="20"/>
                <w:lang w:val="en-US"/>
              </w:rPr>
            </w:pPr>
            <w:r>
              <w:rPr>
                <w:rFonts w:ascii="Arial Narrow" w:hAnsi="Arial Narrow"/>
                <w:sz w:val="20"/>
                <w:lang w:val="en-US"/>
              </w:rPr>
              <w:t xml:space="preserve">/ </w:t>
            </w:r>
            <w:r w:rsidR="00EE5AF1">
              <w:rPr>
                <w:rFonts w:ascii="Arial Narrow" w:hAnsi="Arial Narrow"/>
                <w:sz w:val="20"/>
                <w:lang w:val="en-US"/>
              </w:rPr>
              <w:t>12 weeks post treatment</w:t>
            </w:r>
          </w:p>
        </w:tc>
        <w:tc>
          <w:tcPr>
            <w:tcW w:w="591" w:type="pct"/>
            <w:shd w:val="clear" w:color="auto" w:fill="auto"/>
            <w:vAlign w:val="center"/>
          </w:tcPr>
          <w:p w:rsidR="00EE5AF1" w:rsidRPr="00BA11DB" w:rsidRDefault="00EE5AF1" w:rsidP="00EE5AF1">
            <w:pPr>
              <w:jc w:val="center"/>
              <w:rPr>
                <w:rFonts w:ascii="Arial Narrow" w:hAnsi="Arial Narrow"/>
                <w:sz w:val="20"/>
                <w:highlight w:val="yellow"/>
                <w:lang w:val="en-US"/>
              </w:rPr>
            </w:pPr>
            <w:r w:rsidRPr="00BA11DB">
              <w:rPr>
                <w:rFonts w:ascii="Arial Narrow" w:hAnsi="Arial Narrow"/>
                <w:sz w:val="20"/>
                <w:lang w:val="en-US"/>
              </w:rPr>
              <w:t>High/unclear</w:t>
            </w:r>
          </w:p>
        </w:tc>
        <w:tc>
          <w:tcPr>
            <w:tcW w:w="846"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Treatment-experienced (both non-cirrhotic and cirrhotic)</w:t>
            </w:r>
          </w:p>
        </w:tc>
        <w:tc>
          <w:tcPr>
            <w:tcW w:w="676"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SVR12</w:t>
            </w:r>
          </w:p>
        </w:tc>
        <w:tc>
          <w:tcPr>
            <w:tcW w:w="667" w:type="pct"/>
            <w:shd w:val="clear" w:color="auto" w:fill="auto"/>
            <w:vAlign w:val="center"/>
          </w:tcPr>
          <w:p w:rsidR="00EE5AF1" w:rsidRPr="00E2771E" w:rsidRDefault="00EE5AF1" w:rsidP="00EE5AF1">
            <w:pPr>
              <w:jc w:val="center"/>
              <w:rPr>
                <w:rFonts w:ascii="Arial Narrow" w:hAnsi="Arial Narrow"/>
                <w:sz w:val="20"/>
                <w:lang w:val="en-US"/>
              </w:rPr>
            </w:pPr>
            <w:r>
              <w:rPr>
                <w:rFonts w:ascii="Arial Narrow" w:hAnsi="Arial Narrow"/>
                <w:sz w:val="20"/>
                <w:lang w:val="en-US"/>
              </w:rPr>
              <w:t>used</w:t>
            </w:r>
          </w:p>
        </w:tc>
      </w:tr>
    </w:tbl>
    <w:p w:rsidR="00EE5AF1" w:rsidRDefault="00EE5AF1" w:rsidP="00EE5AF1">
      <w:pPr>
        <w:pStyle w:val="TableFooter"/>
        <w:ind w:left="720"/>
        <w:rPr>
          <w:rStyle w:val="CommentReference"/>
        </w:rPr>
      </w:pPr>
      <w:proofErr w:type="gramStart"/>
      <w:r w:rsidRPr="00BA11DB">
        <w:rPr>
          <w:rStyle w:val="CommentReference"/>
          <w:vertAlign w:val="superscript"/>
        </w:rPr>
        <w:t>a</w:t>
      </w:r>
      <w:proofErr w:type="gramEnd"/>
      <w:r>
        <w:rPr>
          <w:rStyle w:val="CommentReference"/>
        </w:rPr>
        <w:t xml:space="preserve"> refer</w:t>
      </w:r>
      <w:r w:rsidR="00976140">
        <w:rPr>
          <w:rStyle w:val="CommentReference"/>
        </w:rPr>
        <w:t>s</w:t>
      </w:r>
      <w:r>
        <w:rPr>
          <w:rStyle w:val="CommentReference"/>
        </w:rPr>
        <w:t xml:space="preserve"> to bias associated with indirect comparison between LDV/SOF and </w:t>
      </w:r>
      <w:r w:rsidR="00976140">
        <w:rPr>
          <w:rStyle w:val="CommentReference"/>
        </w:rPr>
        <w:t>each of active treatment</w:t>
      </w:r>
      <w:r>
        <w:rPr>
          <w:rStyle w:val="CommentReference"/>
        </w:rPr>
        <w:t xml:space="preserve"> or no treatment.</w:t>
      </w:r>
    </w:p>
    <w:p w:rsidR="00EE5AF1" w:rsidRPr="00B8147D" w:rsidRDefault="00EE5AF1" w:rsidP="00EE5AF1">
      <w:pPr>
        <w:pStyle w:val="TableFooter"/>
        <w:ind w:firstLine="720"/>
        <w:rPr>
          <w:rStyle w:val="CommentReference"/>
        </w:rPr>
      </w:pPr>
      <w:r w:rsidRPr="00B8147D">
        <w:rPr>
          <w:rStyle w:val="CommentReference"/>
        </w:rPr>
        <w:t xml:space="preserve">LDV/SOF = </w:t>
      </w:r>
      <w:proofErr w:type="spellStart"/>
      <w:r w:rsidRPr="00B8147D">
        <w:rPr>
          <w:rStyle w:val="CommentReference"/>
        </w:rPr>
        <w:t>ledipasvir</w:t>
      </w:r>
      <w:proofErr w:type="spellEnd"/>
      <w:r w:rsidRPr="00B8147D">
        <w:rPr>
          <w:rStyle w:val="CommentReference"/>
        </w:rPr>
        <w:t xml:space="preserve">/sofosbuvir; R = randomised; OL = open label; SVR = sustained </w:t>
      </w:r>
      <w:proofErr w:type="spellStart"/>
      <w:r w:rsidRPr="00B8147D">
        <w:rPr>
          <w:rStyle w:val="CommentReference"/>
        </w:rPr>
        <w:t>virologic</w:t>
      </w:r>
      <w:proofErr w:type="spellEnd"/>
      <w:r w:rsidRPr="00B8147D">
        <w:rPr>
          <w:rStyle w:val="CommentReference"/>
        </w:rPr>
        <w:t xml:space="preserve"> response.</w:t>
      </w:r>
    </w:p>
    <w:p w:rsidR="00EE5AF1" w:rsidRPr="00B8147D" w:rsidRDefault="00EE5AF1" w:rsidP="00EE5AF1">
      <w:pPr>
        <w:pStyle w:val="TableFooter"/>
        <w:ind w:firstLine="720"/>
        <w:rPr>
          <w:rStyle w:val="CommentReference"/>
        </w:rPr>
      </w:pPr>
      <w:r w:rsidRPr="00B8147D">
        <w:rPr>
          <w:rStyle w:val="CommentReference"/>
        </w:rPr>
        <w:t>Source: compiled during the evaluation.</w:t>
      </w:r>
    </w:p>
    <w:p w:rsidR="00EE5AF1" w:rsidRPr="00797CA3" w:rsidRDefault="00EE5AF1" w:rsidP="00EE5AF1">
      <w:pPr>
        <w:pStyle w:val="ListParagraph"/>
        <w:widowControl/>
        <w:rPr>
          <w:szCs w:val="22"/>
        </w:rPr>
      </w:pPr>
    </w:p>
    <w:p w:rsidR="00EE5AF1" w:rsidRPr="00E47E6E" w:rsidRDefault="00EE5AF1" w:rsidP="00B87E17">
      <w:pPr>
        <w:pStyle w:val="ListParagraph"/>
        <w:widowControl/>
        <w:numPr>
          <w:ilvl w:val="1"/>
          <w:numId w:val="3"/>
        </w:numPr>
        <w:rPr>
          <w:szCs w:val="22"/>
        </w:rPr>
      </w:pPr>
      <w:r w:rsidRPr="00E47E6E">
        <w:t>The comparison of LDV/SOF vs protease inhibitor +</w:t>
      </w:r>
      <w:r w:rsidR="00E2322B" w:rsidRPr="00E47E6E">
        <w:t xml:space="preserve"> </w:t>
      </w:r>
      <w:r w:rsidRPr="00E47E6E">
        <w:t xml:space="preserve">PR was performed by </w:t>
      </w:r>
      <w:r w:rsidRPr="0009217F">
        <w:t>comparing single arms (or pooled results of single arms) from studies that lack a common comparator, without any discussion about the exchangeability of the stud</w:t>
      </w:r>
      <w:r w:rsidR="00E2322B" w:rsidRPr="0009217F">
        <w:t>y populations</w:t>
      </w:r>
      <w:r w:rsidR="00134998">
        <w:t>.</w:t>
      </w:r>
      <w:r w:rsidRPr="00E47E6E">
        <w:t xml:space="preserve">  Comparisons were therefore unadjusted and indirect.  Overall, the risk of bias associated with such indirect comparisons was very high and resulted in substantial uncertainty in terms of the magnitude of any difference observed between </w:t>
      </w:r>
      <w:r w:rsidR="00E2322B" w:rsidRPr="00E47E6E">
        <w:t>trial arms</w:t>
      </w:r>
      <w:r w:rsidRPr="00E47E6E">
        <w:t xml:space="preserve">. </w:t>
      </w:r>
    </w:p>
    <w:p w:rsidR="00EE5AF1" w:rsidRPr="00E47E6E" w:rsidRDefault="00EE5AF1" w:rsidP="00EE5AF1">
      <w:pPr>
        <w:pStyle w:val="ListParagraph"/>
        <w:widowControl/>
        <w:rPr>
          <w:szCs w:val="22"/>
        </w:rPr>
      </w:pPr>
    </w:p>
    <w:p w:rsidR="00EE5AF1" w:rsidRPr="00797CA3" w:rsidRDefault="00EE5AF1" w:rsidP="00B87E17">
      <w:pPr>
        <w:pStyle w:val="ListParagraph"/>
        <w:widowControl/>
        <w:numPr>
          <w:ilvl w:val="1"/>
          <w:numId w:val="3"/>
        </w:numPr>
        <w:rPr>
          <w:szCs w:val="22"/>
        </w:rPr>
      </w:pPr>
      <w:r w:rsidRPr="00E47E6E">
        <w:t>The comparison of LDV/SOF vs no treatment, in terms of efficacy</w:t>
      </w:r>
      <w:r w:rsidR="00134998">
        <w:t xml:space="preserve"> (sustained </w:t>
      </w:r>
      <w:proofErr w:type="spellStart"/>
      <w:r w:rsidR="00134998">
        <w:t>virologic</w:t>
      </w:r>
      <w:proofErr w:type="spellEnd"/>
      <w:r w:rsidR="00134998">
        <w:t xml:space="preserve"> response, </w:t>
      </w:r>
      <w:r w:rsidRPr="00E47E6E">
        <w:t xml:space="preserve">SVR)) </w:t>
      </w:r>
      <w:r w:rsidR="00E2322B" w:rsidRPr="00E47E6E">
        <w:t>was</w:t>
      </w:r>
      <w:r w:rsidRPr="00E47E6E">
        <w:t xml:space="preserve"> less likely to be biased, provided that the study population</w:t>
      </w:r>
      <w:r w:rsidR="00E2322B" w:rsidRPr="00E47E6E">
        <w:t>s</w:t>
      </w:r>
      <w:r w:rsidRPr="00E47E6E">
        <w:t xml:space="preserve"> </w:t>
      </w:r>
      <w:r w:rsidR="00E2322B" w:rsidRPr="00E47E6E">
        <w:t xml:space="preserve">were </w:t>
      </w:r>
      <w:r w:rsidRPr="00E47E6E">
        <w:t xml:space="preserve">representative of the </w:t>
      </w:r>
      <w:r w:rsidR="00E2322B" w:rsidRPr="00E47E6E">
        <w:t xml:space="preserve">target PBS </w:t>
      </w:r>
      <w:r w:rsidRPr="00E47E6E">
        <w:t xml:space="preserve">population. However, it </w:t>
      </w:r>
      <w:r w:rsidR="00E2322B" w:rsidRPr="00E47E6E">
        <w:t>wa</w:t>
      </w:r>
      <w:r w:rsidRPr="00E47E6E">
        <w:t xml:space="preserve">s unclear whether the open label design of the studies would impact on the </w:t>
      </w:r>
      <w:r w:rsidR="00E2322B" w:rsidRPr="00E47E6E">
        <w:t xml:space="preserve">reported </w:t>
      </w:r>
      <w:r w:rsidRPr="00E47E6E">
        <w:t>safety.</w:t>
      </w:r>
      <w:r>
        <w:rPr>
          <w:i/>
        </w:rPr>
        <w:t xml:space="preserve"> </w:t>
      </w:r>
    </w:p>
    <w:p w:rsidR="003B7AC5" w:rsidRDefault="003B7AC5">
      <w:pPr>
        <w:widowControl/>
        <w:jc w:val="left"/>
      </w:pPr>
    </w:p>
    <w:p w:rsidR="00EE5AF1" w:rsidRPr="00B8483F" w:rsidRDefault="00EE5AF1" w:rsidP="00AF78AC">
      <w:pPr>
        <w:pStyle w:val="Heading2"/>
      </w:pPr>
      <w:bookmarkStart w:id="18" w:name="_Toc409530205"/>
      <w:r w:rsidRPr="00B8483F">
        <w:t>Comparative effectiveness</w:t>
      </w:r>
      <w:bookmarkEnd w:id="18"/>
    </w:p>
    <w:p w:rsidR="00EE5AF1" w:rsidRPr="00882085" w:rsidRDefault="00EE5AF1" w:rsidP="00EE5AF1">
      <w:pPr>
        <w:rPr>
          <w:szCs w:val="22"/>
        </w:rPr>
      </w:pPr>
    </w:p>
    <w:p w:rsidR="00EE5AF1" w:rsidRPr="00E47E6E" w:rsidRDefault="00EE5AF1" w:rsidP="00B87E17">
      <w:pPr>
        <w:pStyle w:val="ListParagraph"/>
        <w:widowControl/>
        <w:numPr>
          <w:ilvl w:val="1"/>
          <w:numId w:val="3"/>
        </w:numPr>
        <w:rPr>
          <w:szCs w:val="22"/>
        </w:rPr>
      </w:pPr>
      <w:r w:rsidRPr="00A901A5">
        <w:rPr>
          <w:szCs w:val="22"/>
        </w:rPr>
        <w:t xml:space="preserve">The </w:t>
      </w:r>
      <w:r>
        <w:rPr>
          <w:szCs w:val="22"/>
        </w:rPr>
        <w:t>SVR rates by study</w:t>
      </w:r>
      <w:r w:rsidR="00E2322B">
        <w:rPr>
          <w:szCs w:val="22"/>
        </w:rPr>
        <w:t>,</w:t>
      </w:r>
      <w:r>
        <w:rPr>
          <w:szCs w:val="22"/>
        </w:rPr>
        <w:t xml:space="preserve"> and </w:t>
      </w:r>
      <w:r w:rsidR="00E2322B">
        <w:rPr>
          <w:szCs w:val="22"/>
        </w:rPr>
        <w:t xml:space="preserve">in the </w:t>
      </w:r>
      <w:r>
        <w:rPr>
          <w:szCs w:val="22"/>
        </w:rPr>
        <w:t>presence or absence of cirrhosis</w:t>
      </w:r>
      <w:r w:rsidR="00E2322B">
        <w:rPr>
          <w:szCs w:val="22"/>
        </w:rPr>
        <w:t>,</w:t>
      </w:r>
      <w:r>
        <w:rPr>
          <w:szCs w:val="22"/>
        </w:rPr>
        <w:t xml:space="preserve"> are presented </w:t>
      </w:r>
      <w:r w:rsidR="007C2325">
        <w:rPr>
          <w:szCs w:val="22"/>
        </w:rPr>
        <w:t>in the table below</w:t>
      </w:r>
      <w:r>
        <w:rPr>
          <w:szCs w:val="22"/>
        </w:rPr>
        <w:t>.</w:t>
      </w:r>
      <w:r w:rsidR="002914EB">
        <w:rPr>
          <w:szCs w:val="22"/>
        </w:rPr>
        <w:t xml:space="preserve"> </w:t>
      </w:r>
      <w:r w:rsidR="002914EB" w:rsidRPr="00E47E6E">
        <w:rPr>
          <w:szCs w:val="22"/>
        </w:rPr>
        <w:t>Only the trial arms relevant to the proposed PBS listing are reproduced. SVR rates for cirrhotic and non-cirrhotic patients are presented separate</w:t>
      </w:r>
      <w:r w:rsidR="002B57D7" w:rsidRPr="00E47E6E">
        <w:rPr>
          <w:szCs w:val="22"/>
        </w:rPr>
        <w:t xml:space="preserve">ly </w:t>
      </w:r>
      <w:r w:rsidR="002914EB" w:rsidRPr="00E47E6E">
        <w:rPr>
          <w:szCs w:val="22"/>
        </w:rPr>
        <w:t>when relevant to the proposed listing and when the data were available.</w:t>
      </w:r>
    </w:p>
    <w:p w:rsidR="00AC071D" w:rsidRDefault="00AC071D">
      <w:pPr>
        <w:widowControl/>
        <w:jc w:val="left"/>
        <w:rPr>
          <w:szCs w:val="22"/>
        </w:rPr>
      </w:pPr>
      <w:r>
        <w:rPr>
          <w:szCs w:val="22"/>
        </w:rPr>
        <w:br w:type="page"/>
      </w:r>
    </w:p>
    <w:p w:rsidR="00EE5AF1" w:rsidRDefault="00EE5AF1" w:rsidP="00EE5AF1">
      <w:pPr>
        <w:widowControl/>
        <w:rPr>
          <w:szCs w:val="22"/>
        </w:rPr>
      </w:pPr>
    </w:p>
    <w:p w:rsidR="00EE5AF1" w:rsidRPr="00A901A5" w:rsidRDefault="00EE5AF1" w:rsidP="00EE5AF1">
      <w:pPr>
        <w:ind w:firstLine="720"/>
        <w:rPr>
          <w:rStyle w:val="CommentReference"/>
          <w:b/>
        </w:rPr>
      </w:pPr>
      <w:r w:rsidRPr="00A901A5">
        <w:rPr>
          <w:rStyle w:val="CommentReference"/>
          <w:b/>
        </w:rPr>
        <w:t>Results of SVR rates in the included studies</w:t>
      </w:r>
    </w:p>
    <w:tbl>
      <w:tblPr>
        <w:tblStyle w:val="TableGrid"/>
        <w:tblW w:w="0" w:type="auto"/>
        <w:tblInd w:w="850" w:type="dxa"/>
        <w:tblLayout w:type="fixed"/>
        <w:tblLook w:val="04A0" w:firstRow="1" w:lastRow="0" w:firstColumn="1" w:lastColumn="0" w:noHBand="0" w:noVBand="1"/>
        <w:tblCaption w:val="Comparative effectiveness"/>
      </w:tblPr>
      <w:tblGrid>
        <w:gridCol w:w="2021"/>
        <w:gridCol w:w="1531"/>
        <w:gridCol w:w="1589"/>
        <w:gridCol w:w="1589"/>
        <w:gridCol w:w="1590"/>
      </w:tblGrid>
      <w:tr w:rsidR="002B57D7" w:rsidRPr="00E2322B" w:rsidTr="002B57D7">
        <w:tc>
          <w:tcPr>
            <w:tcW w:w="2021" w:type="dxa"/>
            <w:shd w:val="clear" w:color="auto" w:fill="auto"/>
            <w:vAlign w:val="center"/>
          </w:tcPr>
          <w:p w:rsidR="002B57D7" w:rsidRPr="00E2322B" w:rsidRDefault="002B57D7" w:rsidP="00EE5AF1">
            <w:pPr>
              <w:jc w:val="center"/>
              <w:rPr>
                <w:rFonts w:ascii="Arial Narrow" w:hAnsi="Arial Narrow"/>
                <w:b/>
                <w:sz w:val="20"/>
              </w:rPr>
            </w:pPr>
            <w:r w:rsidRPr="00E2322B">
              <w:rPr>
                <w:rFonts w:ascii="Arial Narrow" w:hAnsi="Arial Narrow"/>
                <w:b/>
                <w:sz w:val="20"/>
              </w:rPr>
              <w:t>Trial</w:t>
            </w:r>
          </w:p>
        </w:tc>
        <w:tc>
          <w:tcPr>
            <w:tcW w:w="1531" w:type="dxa"/>
            <w:shd w:val="clear" w:color="auto" w:fill="auto"/>
            <w:vAlign w:val="center"/>
          </w:tcPr>
          <w:p w:rsidR="002B57D7" w:rsidRPr="00E2322B" w:rsidRDefault="002B57D7" w:rsidP="002914EB">
            <w:pPr>
              <w:ind w:right="34"/>
              <w:jc w:val="center"/>
              <w:rPr>
                <w:rFonts w:ascii="Arial Narrow" w:hAnsi="Arial Narrow"/>
                <w:b/>
                <w:sz w:val="20"/>
              </w:rPr>
            </w:pPr>
            <w:r w:rsidRPr="00E2322B">
              <w:rPr>
                <w:rFonts w:ascii="Arial Narrow" w:hAnsi="Arial Narrow"/>
                <w:b/>
                <w:sz w:val="20"/>
              </w:rPr>
              <w:t>Regimen</w:t>
            </w:r>
          </w:p>
        </w:tc>
        <w:tc>
          <w:tcPr>
            <w:tcW w:w="1589" w:type="dxa"/>
            <w:shd w:val="clear" w:color="auto" w:fill="auto"/>
            <w:vAlign w:val="center"/>
          </w:tcPr>
          <w:p w:rsidR="002B57D7" w:rsidRDefault="002B57D7" w:rsidP="002914EB">
            <w:pPr>
              <w:ind w:right="39"/>
              <w:jc w:val="center"/>
              <w:rPr>
                <w:rFonts w:ascii="Arial Narrow" w:hAnsi="Arial Narrow"/>
                <w:b/>
                <w:sz w:val="20"/>
              </w:rPr>
            </w:pPr>
            <w:r w:rsidRPr="00E2322B">
              <w:rPr>
                <w:rFonts w:ascii="Arial Narrow" w:hAnsi="Arial Narrow"/>
                <w:b/>
                <w:sz w:val="20"/>
              </w:rPr>
              <w:t>Non-cirrhotic</w:t>
            </w:r>
          </w:p>
          <w:p w:rsidR="002B57D7" w:rsidRPr="002B57D7" w:rsidRDefault="002B57D7" w:rsidP="002914EB">
            <w:pPr>
              <w:ind w:right="39"/>
              <w:jc w:val="center"/>
              <w:rPr>
                <w:rFonts w:ascii="Arial Narrow" w:hAnsi="Arial Narrow"/>
                <w:b/>
                <w:sz w:val="20"/>
                <w:vertAlign w:val="superscript"/>
              </w:rPr>
            </w:pPr>
            <w:r>
              <w:rPr>
                <w:rFonts w:ascii="Arial Narrow" w:hAnsi="Arial Narrow"/>
                <w:b/>
                <w:sz w:val="20"/>
              </w:rPr>
              <w:t>% (95%CI)</w:t>
            </w:r>
            <w:r w:rsidR="00BF5FFB" w:rsidRPr="00BF5FFB">
              <w:rPr>
                <w:rFonts w:ascii="Arial Narrow" w:hAnsi="Arial Narrow"/>
                <w:b/>
                <w:sz w:val="20"/>
                <w:vertAlign w:val="superscript"/>
              </w:rPr>
              <w:t>a</w:t>
            </w:r>
          </w:p>
        </w:tc>
        <w:tc>
          <w:tcPr>
            <w:tcW w:w="1589" w:type="dxa"/>
            <w:shd w:val="clear" w:color="auto" w:fill="auto"/>
            <w:vAlign w:val="center"/>
          </w:tcPr>
          <w:p w:rsidR="002B57D7" w:rsidRDefault="002B57D7" w:rsidP="002914EB">
            <w:pPr>
              <w:ind w:right="39"/>
              <w:jc w:val="center"/>
              <w:rPr>
                <w:rFonts w:ascii="Arial Narrow" w:hAnsi="Arial Narrow"/>
                <w:b/>
                <w:sz w:val="20"/>
              </w:rPr>
            </w:pPr>
            <w:r w:rsidRPr="00E2322B">
              <w:rPr>
                <w:rFonts w:ascii="Arial Narrow" w:hAnsi="Arial Narrow"/>
                <w:b/>
                <w:sz w:val="20"/>
              </w:rPr>
              <w:t>Cirrhotic</w:t>
            </w:r>
          </w:p>
          <w:p w:rsidR="002B57D7" w:rsidRPr="00E2322B" w:rsidRDefault="002B57D7" w:rsidP="002914EB">
            <w:pPr>
              <w:ind w:right="39"/>
              <w:jc w:val="center"/>
              <w:rPr>
                <w:rFonts w:ascii="Arial Narrow" w:hAnsi="Arial Narrow"/>
                <w:b/>
                <w:sz w:val="20"/>
              </w:rPr>
            </w:pPr>
            <w:r>
              <w:rPr>
                <w:rFonts w:ascii="Arial Narrow" w:hAnsi="Arial Narrow"/>
                <w:b/>
                <w:sz w:val="20"/>
              </w:rPr>
              <w:t>% (95%CI)</w:t>
            </w:r>
            <w:r w:rsidR="00BF5FFB" w:rsidRPr="00BF5FFB">
              <w:rPr>
                <w:rFonts w:ascii="Arial Narrow" w:hAnsi="Arial Narrow"/>
                <w:b/>
                <w:sz w:val="20"/>
                <w:vertAlign w:val="superscript"/>
              </w:rPr>
              <w:t>a</w:t>
            </w:r>
          </w:p>
        </w:tc>
        <w:tc>
          <w:tcPr>
            <w:tcW w:w="1590" w:type="dxa"/>
            <w:shd w:val="clear" w:color="auto" w:fill="auto"/>
            <w:vAlign w:val="center"/>
          </w:tcPr>
          <w:p w:rsidR="002B57D7" w:rsidRDefault="002B57D7" w:rsidP="002914EB">
            <w:pPr>
              <w:ind w:right="39"/>
              <w:jc w:val="center"/>
              <w:rPr>
                <w:rFonts w:ascii="Arial Narrow" w:hAnsi="Arial Narrow"/>
                <w:b/>
                <w:sz w:val="20"/>
              </w:rPr>
            </w:pPr>
            <w:r w:rsidRPr="00E2322B">
              <w:rPr>
                <w:rFonts w:ascii="Arial Narrow" w:hAnsi="Arial Narrow"/>
                <w:b/>
                <w:sz w:val="20"/>
              </w:rPr>
              <w:t>Total population</w:t>
            </w:r>
          </w:p>
          <w:p w:rsidR="002B57D7" w:rsidRPr="00E2322B" w:rsidRDefault="002B57D7" w:rsidP="002914EB">
            <w:pPr>
              <w:ind w:right="39"/>
              <w:jc w:val="center"/>
              <w:rPr>
                <w:rFonts w:ascii="Arial Narrow" w:hAnsi="Arial Narrow"/>
                <w:b/>
                <w:sz w:val="20"/>
              </w:rPr>
            </w:pPr>
            <w:r>
              <w:rPr>
                <w:rFonts w:ascii="Arial Narrow" w:hAnsi="Arial Narrow"/>
                <w:b/>
                <w:sz w:val="20"/>
              </w:rPr>
              <w:t>% (95%CI)</w:t>
            </w:r>
            <w:r w:rsidR="00BF5FFB" w:rsidRPr="00BF5FFB">
              <w:rPr>
                <w:rFonts w:ascii="Arial Narrow" w:hAnsi="Arial Narrow"/>
                <w:b/>
                <w:sz w:val="20"/>
                <w:vertAlign w:val="superscript"/>
              </w:rPr>
              <w:t>a</w:t>
            </w:r>
          </w:p>
        </w:tc>
      </w:tr>
      <w:tr w:rsidR="002B57D7" w:rsidRPr="00F07154" w:rsidTr="002B57D7">
        <w:tc>
          <w:tcPr>
            <w:tcW w:w="8320" w:type="dxa"/>
            <w:gridSpan w:val="5"/>
            <w:shd w:val="clear" w:color="auto" w:fill="D9D9D9" w:themeFill="background1" w:themeFillShade="D9"/>
            <w:vAlign w:val="center"/>
          </w:tcPr>
          <w:p w:rsidR="002B57D7" w:rsidRPr="00F07154" w:rsidRDefault="002B57D7" w:rsidP="002914EB">
            <w:pPr>
              <w:ind w:right="39"/>
              <w:jc w:val="left"/>
              <w:rPr>
                <w:rFonts w:ascii="Arial Narrow" w:hAnsi="Arial Narrow"/>
                <w:b/>
                <w:sz w:val="20"/>
              </w:rPr>
            </w:pPr>
            <w:r w:rsidRPr="00F07154">
              <w:rPr>
                <w:rFonts w:ascii="Arial Narrow" w:hAnsi="Arial Narrow"/>
                <w:b/>
                <w:sz w:val="20"/>
              </w:rPr>
              <w:t>Treatment naïve</w:t>
            </w: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ION-1</w:t>
            </w:r>
          </w:p>
        </w:tc>
        <w:tc>
          <w:tcPr>
            <w:tcW w:w="1531" w:type="dxa"/>
            <w:vAlign w:val="center"/>
          </w:tcPr>
          <w:p w:rsidR="002B57D7" w:rsidRPr="00A901A5" w:rsidRDefault="002B57D7" w:rsidP="002B57D7">
            <w:pPr>
              <w:ind w:right="34"/>
              <w:rPr>
                <w:rFonts w:ascii="Arial Narrow" w:hAnsi="Arial Narrow"/>
                <w:sz w:val="20"/>
              </w:rPr>
            </w:pPr>
            <w:r w:rsidRPr="00A901A5">
              <w:rPr>
                <w:rFonts w:ascii="Arial Narrow" w:hAnsi="Arial Narrow"/>
                <w:sz w:val="20"/>
              </w:rPr>
              <w:t>LDV/SOF12</w:t>
            </w:r>
          </w:p>
        </w:tc>
        <w:tc>
          <w:tcPr>
            <w:tcW w:w="1589" w:type="dxa"/>
            <w:vAlign w:val="center"/>
          </w:tcPr>
          <w:p w:rsidR="002B57D7" w:rsidRPr="00A901A5" w:rsidRDefault="002B57D7" w:rsidP="002914EB">
            <w:pPr>
              <w:ind w:right="39"/>
              <w:jc w:val="center"/>
              <w:rPr>
                <w:rFonts w:ascii="Arial Narrow" w:hAnsi="Arial Narrow"/>
                <w:sz w:val="20"/>
              </w:rPr>
            </w:pP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32/34</w:t>
            </w:r>
          </w:p>
          <w:p w:rsidR="002B57D7" w:rsidRPr="00A901A5" w:rsidRDefault="002B57D7" w:rsidP="002914EB">
            <w:pPr>
              <w:ind w:right="39"/>
              <w:jc w:val="center"/>
              <w:rPr>
                <w:rFonts w:ascii="Arial Narrow" w:hAnsi="Arial Narrow"/>
                <w:sz w:val="20"/>
              </w:rPr>
            </w:pPr>
            <w:r w:rsidRPr="00A901A5">
              <w:rPr>
                <w:rFonts w:ascii="Arial Narrow" w:hAnsi="Arial Narrow"/>
                <w:sz w:val="20"/>
              </w:rPr>
              <w:t>94.1%</w:t>
            </w:r>
          </w:p>
          <w:p w:rsidR="002B57D7" w:rsidRPr="00A901A5" w:rsidRDefault="002B57D7" w:rsidP="002914EB">
            <w:pPr>
              <w:ind w:right="39"/>
              <w:jc w:val="center"/>
              <w:rPr>
                <w:rFonts w:ascii="Arial Narrow" w:hAnsi="Arial Narrow"/>
                <w:sz w:val="20"/>
              </w:rPr>
            </w:pPr>
            <w:r w:rsidRPr="00A901A5">
              <w:rPr>
                <w:rFonts w:ascii="Arial Narrow" w:hAnsi="Arial Narrow"/>
                <w:sz w:val="20"/>
              </w:rPr>
              <w:t>(80.3%, 99.3%)</w:t>
            </w:r>
          </w:p>
        </w:tc>
        <w:tc>
          <w:tcPr>
            <w:tcW w:w="1590" w:type="dxa"/>
            <w:vAlign w:val="center"/>
          </w:tcPr>
          <w:p w:rsidR="002B57D7" w:rsidRPr="00A901A5" w:rsidRDefault="002B57D7" w:rsidP="002914EB">
            <w:pPr>
              <w:ind w:right="39"/>
              <w:jc w:val="center"/>
              <w:rPr>
                <w:rFonts w:ascii="Arial Narrow" w:hAnsi="Arial Narrow"/>
                <w:sz w:val="20"/>
              </w:rPr>
            </w:pP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ION-3</w:t>
            </w:r>
          </w:p>
        </w:tc>
        <w:tc>
          <w:tcPr>
            <w:tcW w:w="1531" w:type="dxa"/>
            <w:vAlign w:val="center"/>
          </w:tcPr>
          <w:p w:rsidR="002B57D7" w:rsidRPr="00A901A5" w:rsidRDefault="002B57D7" w:rsidP="002B57D7">
            <w:pPr>
              <w:ind w:right="34"/>
              <w:rPr>
                <w:rFonts w:ascii="Arial Narrow" w:hAnsi="Arial Narrow"/>
                <w:sz w:val="20"/>
              </w:rPr>
            </w:pPr>
            <w:r w:rsidRPr="00A901A5">
              <w:rPr>
                <w:rFonts w:ascii="Arial Narrow" w:hAnsi="Arial Narrow"/>
                <w:sz w:val="20"/>
              </w:rPr>
              <w:t>LDV/SOF8</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202/215</w:t>
            </w:r>
          </w:p>
          <w:p w:rsidR="002B57D7" w:rsidRPr="00A901A5" w:rsidRDefault="002B57D7" w:rsidP="002914EB">
            <w:pPr>
              <w:ind w:right="39"/>
              <w:jc w:val="center"/>
              <w:rPr>
                <w:rFonts w:ascii="Arial Narrow" w:hAnsi="Arial Narrow"/>
                <w:sz w:val="20"/>
              </w:rPr>
            </w:pPr>
            <w:r w:rsidRPr="00A901A5">
              <w:rPr>
                <w:rFonts w:ascii="Arial Narrow" w:hAnsi="Arial Narrow"/>
                <w:sz w:val="20"/>
              </w:rPr>
              <w:t>94%</w:t>
            </w:r>
          </w:p>
          <w:p w:rsidR="002B57D7" w:rsidRPr="00A901A5" w:rsidRDefault="002B57D7" w:rsidP="002914EB">
            <w:pPr>
              <w:ind w:right="39"/>
              <w:jc w:val="center"/>
              <w:rPr>
                <w:rFonts w:ascii="Arial Narrow" w:hAnsi="Arial Narrow"/>
                <w:sz w:val="20"/>
              </w:rPr>
            </w:pPr>
            <w:r w:rsidRPr="00A901A5">
              <w:rPr>
                <w:rFonts w:ascii="Arial Narrow" w:hAnsi="Arial Narrow"/>
                <w:sz w:val="20"/>
              </w:rPr>
              <w:t>(89.9%, 96.7%)</w:t>
            </w:r>
          </w:p>
        </w:tc>
        <w:tc>
          <w:tcPr>
            <w:tcW w:w="1589" w:type="dxa"/>
            <w:vAlign w:val="center"/>
          </w:tcPr>
          <w:p w:rsidR="002B57D7" w:rsidRPr="00A901A5" w:rsidRDefault="002B57D7" w:rsidP="002914EB">
            <w:pPr>
              <w:ind w:right="39"/>
              <w:jc w:val="center"/>
              <w:rPr>
                <w:rFonts w:ascii="Arial Narrow" w:hAnsi="Arial Narrow"/>
                <w:sz w:val="20"/>
              </w:rPr>
            </w:pPr>
          </w:p>
        </w:tc>
        <w:tc>
          <w:tcPr>
            <w:tcW w:w="1590" w:type="dxa"/>
            <w:vAlign w:val="center"/>
          </w:tcPr>
          <w:p w:rsidR="002B57D7" w:rsidRPr="00A901A5" w:rsidRDefault="002B57D7" w:rsidP="002914EB">
            <w:pPr>
              <w:ind w:right="39"/>
              <w:jc w:val="center"/>
              <w:rPr>
                <w:rFonts w:ascii="Arial Narrow" w:hAnsi="Arial Narrow"/>
                <w:sz w:val="20"/>
              </w:rPr>
            </w:pP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SPRINT-2 (ARM2)</w:t>
            </w:r>
          </w:p>
        </w:tc>
        <w:tc>
          <w:tcPr>
            <w:tcW w:w="1531" w:type="dxa"/>
            <w:vAlign w:val="center"/>
          </w:tcPr>
          <w:p w:rsidR="002B57D7" w:rsidRPr="00A901A5" w:rsidRDefault="002B57D7" w:rsidP="002914EB">
            <w:pPr>
              <w:ind w:right="34"/>
              <w:rPr>
                <w:rFonts w:ascii="Arial Narrow" w:hAnsi="Arial Narrow"/>
                <w:sz w:val="20"/>
              </w:rPr>
            </w:pPr>
            <w:r w:rsidRPr="00A901A5">
              <w:rPr>
                <w:rFonts w:ascii="Arial Narrow" w:hAnsi="Arial Narrow"/>
                <w:sz w:val="20"/>
              </w:rPr>
              <w:t>BOC24+PR28-48</w:t>
            </w:r>
          </w:p>
          <w:p w:rsidR="002B57D7" w:rsidRPr="00A901A5" w:rsidRDefault="002B57D7" w:rsidP="002914EB">
            <w:pPr>
              <w:ind w:right="34"/>
              <w:rPr>
                <w:rFonts w:ascii="Arial Narrow" w:hAnsi="Arial Narrow"/>
                <w:sz w:val="20"/>
              </w:rPr>
            </w:pPr>
            <w:r w:rsidRPr="00A901A5">
              <w:rPr>
                <w:rFonts w:ascii="Arial Narrow" w:hAnsi="Arial Narrow"/>
                <w:sz w:val="20"/>
              </w:rPr>
              <w:t>(RGT)</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222/337</w:t>
            </w:r>
          </w:p>
          <w:p w:rsidR="002B57D7" w:rsidRPr="00A901A5" w:rsidRDefault="002B57D7" w:rsidP="002914EB">
            <w:pPr>
              <w:ind w:right="39"/>
              <w:jc w:val="center"/>
              <w:rPr>
                <w:rFonts w:ascii="Arial Narrow" w:hAnsi="Arial Narrow"/>
                <w:sz w:val="20"/>
              </w:rPr>
            </w:pPr>
            <w:r w:rsidRPr="00A901A5">
              <w:rPr>
                <w:rFonts w:ascii="Arial Narrow" w:hAnsi="Arial Narrow"/>
                <w:sz w:val="20"/>
              </w:rPr>
              <w:t>65.9%</w:t>
            </w:r>
          </w:p>
          <w:p w:rsidR="002B57D7" w:rsidRPr="00A901A5" w:rsidRDefault="002B57D7" w:rsidP="002914EB">
            <w:pPr>
              <w:ind w:right="39"/>
              <w:jc w:val="center"/>
              <w:rPr>
                <w:rFonts w:ascii="Arial Narrow" w:hAnsi="Arial Narrow"/>
                <w:sz w:val="20"/>
              </w:rPr>
            </w:pPr>
            <w:r w:rsidRPr="00A901A5">
              <w:rPr>
                <w:rFonts w:ascii="Arial Narrow" w:hAnsi="Arial Narrow"/>
                <w:sz w:val="20"/>
              </w:rPr>
              <w:t>(60.5%, 70.9%)</w:t>
            </w:r>
          </w:p>
        </w:tc>
        <w:tc>
          <w:tcPr>
            <w:tcW w:w="1589" w:type="dxa"/>
            <w:vAlign w:val="center"/>
          </w:tcPr>
          <w:p w:rsidR="002B57D7" w:rsidRPr="00A901A5" w:rsidRDefault="002B57D7" w:rsidP="002914EB">
            <w:pPr>
              <w:ind w:right="39"/>
              <w:jc w:val="center"/>
              <w:rPr>
                <w:rFonts w:ascii="Arial Narrow" w:hAnsi="Arial Narrow"/>
                <w:sz w:val="20"/>
              </w:rPr>
            </w:pPr>
          </w:p>
        </w:tc>
        <w:tc>
          <w:tcPr>
            <w:tcW w:w="1590" w:type="dxa"/>
            <w:vAlign w:val="center"/>
          </w:tcPr>
          <w:p w:rsidR="002B57D7" w:rsidRPr="00A901A5" w:rsidRDefault="002B57D7" w:rsidP="002914EB">
            <w:pPr>
              <w:ind w:right="39"/>
              <w:jc w:val="center"/>
              <w:rPr>
                <w:rFonts w:ascii="Arial Narrow" w:hAnsi="Arial Narrow"/>
                <w:sz w:val="20"/>
              </w:rPr>
            </w:pP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SPRINT-2 (ARM3)</w:t>
            </w:r>
          </w:p>
        </w:tc>
        <w:tc>
          <w:tcPr>
            <w:tcW w:w="1531" w:type="dxa"/>
            <w:vAlign w:val="center"/>
          </w:tcPr>
          <w:p w:rsidR="002B57D7" w:rsidRPr="00A901A5" w:rsidRDefault="002B57D7" w:rsidP="002914EB">
            <w:pPr>
              <w:ind w:right="34"/>
              <w:rPr>
                <w:rFonts w:ascii="Arial Narrow" w:hAnsi="Arial Narrow"/>
                <w:sz w:val="20"/>
              </w:rPr>
            </w:pPr>
            <w:r w:rsidRPr="00A901A5">
              <w:rPr>
                <w:rFonts w:ascii="Arial Narrow" w:hAnsi="Arial Narrow"/>
                <w:sz w:val="20"/>
              </w:rPr>
              <w:t>BOC44+PR48</w:t>
            </w:r>
          </w:p>
        </w:tc>
        <w:tc>
          <w:tcPr>
            <w:tcW w:w="1589" w:type="dxa"/>
            <w:vAlign w:val="center"/>
          </w:tcPr>
          <w:p w:rsidR="002B57D7" w:rsidRPr="00A901A5" w:rsidRDefault="002B57D7" w:rsidP="002914EB">
            <w:pPr>
              <w:ind w:right="39"/>
              <w:jc w:val="center"/>
              <w:rPr>
                <w:rFonts w:ascii="Arial Narrow" w:hAnsi="Arial Narrow"/>
                <w:sz w:val="20"/>
              </w:rPr>
            </w:pP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10/24</w:t>
            </w:r>
          </w:p>
          <w:p w:rsidR="002B57D7" w:rsidRPr="00A901A5" w:rsidRDefault="002B57D7" w:rsidP="002914EB">
            <w:pPr>
              <w:ind w:right="39"/>
              <w:jc w:val="center"/>
              <w:rPr>
                <w:rFonts w:ascii="Arial Narrow" w:hAnsi="Arial Narrow"/>
                <w:sz w:val="20"/>
              </w:rPr>
            </w:pPr>
            <w:r w:rsidRPr="00A901A5">
              <w:rPr>
                <w:rFonts w:ascii="Arial Narrow" w:hAnsi="Arial Narrow"/>
                <w:sz w:val="20"/>
              </w:rPr>
              <w:t>41.7%</w:t>
            </w:r>
          </w:p>
          <w:p w:rsidR="002B57D7" w:rsidRPr="00A901A5" w:rsidRDefault="002B57D7" w:rsidP="002914EB">
            <w:pPr>
              <w:ind w:right="39"/>
              <w:jc w:val="center"/>
              <w:rPr>
                <w:rFonts w:ascii="Arial Narrow" w:hAnsi="Arial Narrow"/>
                <w:sz w:val="20"/>
              </w:rPr>
            </w:pPr>
            <w:r w:rsidRPr="00A901A5">
              <w:rPr>
                <w:rFonts w:ascii="Arial Narrow" w:hAnsi="Arial Narrow"/>
                <w:sz w:val="20"/>
              </w:rPr>
              <w:t>(22.1%, 63.4%)</w:t>
            </w:r>
          </w:p>
        </w:tc>
        <w:tc>
          <w:tcPr>
            <w:tcW w:w="1590" w:type="dxa"/>
            <w:vAlign w:val="center"/>
          </w:tcPr>
          <w:p w:rsidR="002B57D7" w:rsidRPr="00A901A5" w:rsidRDefault="002B57D7" w:rsidP="002914EB">
            <w:pPr>
              <w:ind w:right="39"/>
              <w:jc w:val="center"/>
              <w:rPr>
                <w:rFonts w:ascii="Arial Narrow" w:hAnsi="Arial Narrow"/>
                <w:sz w:val="20"/>
              </w:rPr>
            </w:pP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ADVANCE</w:t>
            </w:r>
          </w:p>
        </w:tc>
        <w:tc>
          <w:tcPr>
            <w:tcW w:w="1531" w:type="dxa"/>
            <w:vAlign w:val="center"/>
          </w:tcPr>
          <w:p w:rsidR="002B57D7" w:rsidRPr="00A901A5" w:rsidRDefault="00221E13" w:rsidP="002914EB">
            <w:pPr>
              <w:ind w:right="34"/>
              <w:rPr>
                <w:rFonts w:ascii="Arial Narrow" w:hAnsi="Arial Narrow"/>
                <w:sz w:val="20"/>
              </w:rPr>
            </w:pPr>
            <w:r>
              <w:rPr>
                <w:rFonts w:ascii="Arial Narrow" w:hAnsi="Arial Narrow"/>
                <w:sz w:val="20"/>
              </w:rPr>
              <w:t>TVR</w:t>
            </w:r>
            <w:r w:rsidR="002B57D7" w:rsidRPr="00A901A5">
              <w:rPr>
                <w:rFonts w:ascii="Arial Narrow" w:hAnsi="Arial Narrow"/>
                <w:sz w:val="20"/>
              </w:rPr>
              <w:t>12PR24-48</w:t>
            </w:r>
          </w:p>
          <w:p w:rsidR="002B57D7" w:rsidRPr="00A901A5" w:rsidRDefault="002B57D7" w:rsidP="002914EB">
            <w:pPr>
              <w:ind w:right="34"/>
              <w:rPr>
                <w:rFonts w:ascii="Arial Narrow" w:hAnsi="Arial Narrow"/>
                <w:sz w:val="20"/>
              </w:rPr>
            </w:pPr>
            <w:r w:rsidRPr="00A901A5">
              <w:rPr>
                <w:rFonts w:ascii="Arial Narrow" w:hAnsi="Arial Narrow"/>
                <w:sz w:val="20"/>
              </w:rPr>
              <w:t>(RGT)</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258/342</w:t>
            </w:r>
          </w:p>
          <w:p w:rsidR="002B57D7" w:rsidRPr="00A901A5" w:rsidRDefault="002B57D7" w:rsidP="002914EB">
            <w:pPr>
              <w:ind w:right="39"/>
              <w:jc w:val="center"/>
              <w:rPr>
                <w:rFonts w:ascii="Arial Narrow" w:hAnsi="Arial Narrow"/>
                <w:sz w:val="20"/>
              </w:rPr>
            </w:pPr>
            <w:r w:rsidRPr="00A901A5">
              <w:rPr>
                <w:rFonts w:ascii="Arial Narrow" w:hAnsi="Arial Narrow"/>
                <w:sz w:val="20"/>
              </w:rPr>
              <w:t>75.4%</w:t>
            </w:r>
          </w:p>
          <w:p w:rsidR="002B57D7" w:rsidRPr="00A901A5" w:rsidRDefault="002B57D7" w:rsidP="002914EB">
            <w:pPr>
              <w:ind w:right="39"/>
              <w:jc w:val="center"/>
              <w:rPr>
                <w:rFonts w:ascii="Arial Narrow" w:hAnsi="Arial Narrow"/>
                <w:sz w:val="20"/>
              </w:rPr>
            </w:pPr>
            <w:r w:rsidRPr="00A901A5">
              <w:rPr>
                <w:rFonts w:ascii="Arial Narrow" w:hAnsi="Arial Narrow"/>
                <w:sz w:val="20"/>
              </w:rPr>
              <w:t>(70.5%, 79.9%)</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13/21</w:t>
            </w:r>
          </w:p>
          <w:p w:rsidR="002B57D7" w:rsidRPr="00A901A5" w:rsidRDefault="002B57D7" w:rsidP="002914EB">
            <w:pPr>
              <w:ind w:right="39"/>
              <w:jc w:val="center"/>
              <w:rPr>
                <w:rFonts w:ascii="Arial Narrow" w:hAnsi="Arial Narrow"/>
                <w:sz w:val="20"/>
              </w:rPr>
            </w:pPr>
            <w:r w:rsidRPr="00A901A5">
              <w:rPr>
                <w:rFonts w:ascii="Arial Narrow" w:hAnsi="Arial Narrow"/>
                <w:sz w:val="20"/>
              </w:rPr>
              <w:t>61.9%</w:t>
            </w:r>
          </w:p>
          <w:p w:rsidR="002B57D7" w:rsidRPr="00A901A5" w:rsidRDefault="002B57D7" w:rsidP="002914EB">
            <w:pPr>
              <w:ind w:right="39"/>
              <w:jc w:val="center"/>
              <w:rPr>
                <w:rFonts w:ascii="Arial Narrow" w:hAnsi="Arial Narrow"/>
                <w:sz w:val="20"/>
              </w:rPr>
            </w:pPr>
            <w:r w:rsidRPr="00A901A5">
              <w:rPr>
                <w:rFonts w:ascii="Arial Narrow" w:hAnsi="Arial Narrow"/>
                <w:sz w:val="20"/>
              </w:rPr>
              <w:t>(38.4%, 81.9%)</w:t>
            </w:r>
          </w:p>
        </w:tc>
        <w:tc>
          <w:tcPr>
            <w:tcW w:w="1590"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271/363</w:t>
            </w:r>
          </w:p>
          <w:p w:rsidR="002B57D7" w:rsidRPr="00A901A5" w:rsidRDefault="002B57D7" w:rsidP="002914EB">
            <w:pPr>
              <w:ind w:right="39"/>
              <w:jc w:val="center"/>
              <w:rPr>
                <w:rFonts w:ascii="Arial Narrow" w:hAnsi="Arial Narrow"/>
                <w:sz w:val="20"/>
              </w:rPr>
            </w:pPr>
            <w:r w:rsidRPr="00A901A5">
              <w:rPr>
                <w:rFonts w:ascii="Arial Narrow" w:hAnsi="Arial Narrow"/>
                <w:sz w:val="20"/>
              </w:rPr>
              <w:t>74.7%</w:t>
            </w:r>
          </w:p>
          <w:p w:rsidR="002B57D7" w:rsidRPr="00A901A5" w:rsidRDefault="002B57D7" w:rsidP="002914EB">
            <w:pPr>
              <w:ind w:right="39"/>
              <w:jc w:val="center"/>
              <w:rPr>
                <w:rFonts w:ascii="Arial Narrow" w:hAnsi="Arial Narrow"/>
                <w:sz w:val="20"/>
              </w:rPr>
            </w:pPr>
            <w:r w:rsidRPr="00A901A5">
              <w:rPr>
                <w:rFonts w:ascii="Arial Narrow" w:hAnsi="Arial Narrow"/>
                <w:sz w:val="20"/>
              </w:rPr>
              <w:t>(69.9%, 79.1%)</w:t>
            </w: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QUEST-1</w:t>
            </w:r>
          </w:p>
        </w:tc>
        <w:tc>
          <w:tcPr>
            <w:tcW w:w="1531" w:type="dxa"/>
            <w:vAlign w:val="center"/>
          </w:tcPr>
          <w:p w:rsidR="002B57D7" w:rsidRPr="00A901A5" w:rsidRDefault="002B57D7" w:rsidP="002914EB">
            <w:pPr>
              <w:ind w:right="34"/>
              <w:rPr>
                <w:rFonts w:ascii="Arial Narrow" w:hAnsi="Arial Narrow"/>
                <w:sz w:val="20"/>
              </w:rPr>
            </w:pPr>
            <w:r w:rsidRPr="00A901A5">
              <w:rPr>
                <w:rFonts w:ascii="Arial Narrow" w:hAnsi="Arial Narrow"/>
                <w:sz w:val="20"/>
              </w:rPr>
              <w:t>SMV12+PR24-48</w:t>
            </w:r>
          </w:p>
          <w:p w:rsidR="002B57D7" w:rsidRPr="00A901A5" w:rsidRDefault="002B57D7" w:rsidP="002914EB">
            <w:pPr>
              <w:ind w:right="34"/>
              <w:rPr>
                <w:rFonts w:ascii="Arial Narrow" w:hAnsi="Arial Narrow"/>
                <w:sz w:val="20"/>
              </w:rPr>
            </w:pPr>
            <w:r w:rsidRPr="00A901A5">
              <w:rPr>
                <w:rFonts w:ascii="Arial Narrow" w:hAnsi="Arial Narrow"/>
                <w:sz w:val="20"/>
              </w:rPr>
              <w:t>(RGT)</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188/229</w:t>
            </w:r>
          </w:p>
          <w:p w:rsidR="002B57D7" w:rsidRPr="00A901A5" w:rsidRDefault="002B57D7" w:rsidP="002914EB">
            <w:pPr>
              <w:ind w:right="39"/>
              <w:jc w:val="center"/>
              <w:rPr>
                <w:rFonts w:ascii="Arial Narrow" w:hAnsi="Arial Narrow"/>
                <w:sz w:val="20"/>
              </w:rPr>
            </w:pPr>
            <w:r w:rsidRPr="00A901A5">
              <w:rPr>
                <w:rFonts w:ascii="Arial Narrow" w:hAnsi="Arial Narrow"/>
                <w:sz w:val="20"/>
              </w:rPr>
              <w:t>82.1%</w:t>
            </w:r>
          </w:p>
          <w:p w:rsidR="002B57D7" w:rsidRPr="00A901A5" w:rsidRDefault="002B57D7" w:rsidP="002914EB">
            <w:pPr>
              <w:ind w:right="39"/>
              <w:jc w:val="center"/>
              <w:rPr>
                <w:rFonts w:ascii="Arial Narrow" w:hAnsi="Arial Narrow"/>
                <w:sz w:val="20"/>
              </w:rPr>
            </w:pPr>
            <w:r w:rsidRPr="00A901A5">
              <w:rPr>
                <w:rFonts w:ascii="Arial Narrow" w:hAnsi="Arial Narrow"/>
                <w:sz w:val="20"/>
              </w:rPr>
              <w:t>(76.5%, 86.8%)</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18/31</w:t>
            </w:r>
          </w:p>
          <w:p w:rsidR="002B57D7" w:rsidRPr="00A901A5" w:rsidRDefault="002B57D7" w:rsidP="002914EB">
            <w:pPr>
              <w:ind w:right="39"/>
              <w:jc w:val="center"/>
              <w:rPr>
                <w:rFonts w:ascii="Arial Narrow" w:hAnsi="Arial Narrow"/>
                <w:sz w:val="20"/>
              </w:rPr>
            </w:pPr>
            <w:r w:rsidRPr="00A901A5">
              <w:rPr>
                <w:rFonts w:ascii="Arial Narrow" w:hAnsi="Arial Narrow"/>
                <w:sz w:val="20"/>
              </w:rPr>
              <w:t>58.1%</w:t>
            </w:r>
          </w:p>
          <w:p w:rsidR="002B57D7" w:rsidRPr="00A901A5" w:rsidRDefault="002B57D7" w:rsidP="002914EB">
            <w:pPr>
              <w:ind w:right="39"/>
              <w:jc w:val="center"/>
              <w:rPr>
                <w:rFonts w:ascii="Arial Narrow" w:hAnsi="Arial Narrow"/>
                <w:sz w:val="20"/>
              </w:rPr>
            </w:pPr>
            <w:r w:rsidRPr="00A901A5">
              <w:rPr>
                <w:rFonts w:ascii="Arial Narrow" w:hAnsi="Arial Narrow"/>
                <w:sz w:val="20"/>
              </w:rPr>
              <w:t>(39.1%, 75.5%)</w:t>
            </w:r>
          </w:p>
        </w:tc>
        <w:tc>
          <w:tcPr>
            <w:tcW w:w="1590"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210/264</w:t>
            </w:r>
          </w:p>
          <w:p w:rsidR="002B57D7" w:rsidRPr="00A901A5" w:rsidRDefault="002B57D7" w:rsidP="002914EB">
            <w:pPr>
              <w:ind w:right="39"/>
              <w:jc w:val="center"/>
              <w:rPr>
                <w:rFonts w:ascii="Arial Narrow" w:hAnsi="Arial Narrow"/>
                <w:sz w:val="20"/>
              </w:rPr>
            </w:pPr>
            <w:r w:rsidRPr="00A901A5">
              <w:rPr>
                <w:rFonts w:ascii="Arial Narrow" w:hAnsi="Arial Narrow"/>
                <w:sz w:val="20"/>
              </w:rPr>
              <w:t>79.5%</w:t>
            </w:r>
          </w:p>
          <w:p w:rsidR="002B57D7" w:rsidRPr="00A901A5" w:rsidRDefault="002B57D7" w:rsidP="002914EB">
            <w:pPr>
              <w:ind w:right="39"/>
              <w:jc w:val="center"/>
              <w:rPr>
                <w:rFonts w:ascii="Arial Narrow" w:hAnsi="Arial Narrow"/>
                <w:sz w:val="20"/>
              </w:rPr>
            </w:pPr>
            <w:r w:rsidRPr="00A901A5">
              <w:rPr>
                <w:rFonts w:ascii="Arial Narrow" w:hAnsi="Arial Narrow"/>
                <w:sz w:val="20"/>
              </w:rPr>
              <w:t>(74.2%, 84.2%)</w:t>
            </w: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QUEST-2</w:t>
            </w:r>
          </w:p>
        </w:tc>
        <w:tc>
          <w:tcPr>
            <w:tcW w:w="1531" w:type="dxa"/>
            <w:vAlign w:val="center"/>
          </w:tcPr>
          <w:p w:rsidR="002B57D7" w:rsidRPr="00A901A5" w:rsidRDefault="002B57D7" w:rsidP="002914EB">
            <w:pPr>
              <w:ind w:right="34"/>
              <w:rPr>
                <w:rFonts w:ascii="Arial Narrow" w:hAnsi="Arial Narrow"/>
                <w:sz w:val="20"/>
              </w:rPr>
            </w:pPr>
            <w:r w:rsidRPr="00A901A5">
              <w:rPr>
                <w:rFonts w:ascii="Arial Narrow" w:hAnsi="Arial Narrow"/>
                <w:sz w:val="20"/>
              </w:rPr>
              <w:t>SMV12+PR24-48</w:t>
            </w:r>
          </w:p>
          <w:p w:rsidR="002B57D7" w:rsidRPr="00A901A5" w:rsidRDefault="002B57D7" w:rsidP="002914EB">
            <w:pPr>
              <w:ind w:right="34"/>
              <w:rPr>
                <w:rFonts w:ascii="Arial Narrow" w:hAnsi="Arial Narrow"/>
                <w:sz w:val="20"/>
              </w:rPr>
            </w:pPr>
            <w:r w:rsidRPr="00A901A5">
              <w:rPr>
                <w:rFonts w:ascii="Arial Narrow" w:hAnsi="Arial Narrow"/>
                <w:sz w:val="20"/>
              </w:rPr>
              <w:t>(RGT)</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189/231</w:t>
            </w:r>
          </w:p>
          <w:p w:rsidR="002B57D7" w:rsidRPr="00A901A5" w:rsidRDefault="002B57D7" w:rsidP="002914EB">
            <w:pPr>
              <w:ind w:right="39"/>
              <w:jc w:val="center"/>
              <w:rPr>
                <w:rFonts w:ascii="Arial Narrow" w:hAnsi="Arial Narrow"/>
                <w:sz w:val="20"/>
              </w:rPr>
            </w:pPr>
            <w:r w:rsidRPr="00A901A5">
              <w:rPr>
                <w:rFonts w:ascii="Arial Narrow" w:hAnsi="Arial Narrow"/>
                <w:sz w:val="20"/>
              </w:rPr>
              <w:t>81.8%</w:t>
            </w:r>
          </w:p>
          <w:p w:rsidR="002B57D7" w:rsidRPr="00A901A5" w:rsidRDefault="002B57D7" w:rsidP="002914EB">
            <w:pPr>
              <w:ind w:right="39"/>
              <w:jc w:val="center"/>
              <w:rPr>
                <w:rFonts w:ascii="Arial Narrow" w:hAnsi="Arial Narrow"/>
                <w:sz w:val="20"/>
              </w:rPr>
            </w:pPr>
            <w:r w:rsidRPr="00A901A5">
              <w:rPr>
                <w:rFonts w:ascii="Arial Narrow" w:hAnsi="Arial Narrow"/>
                <w:sz w:val="20"/>
              </w:rPr>
              <w:t>(76.2%, 86.6%)</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11/17</w:t>
            </w:r>
          </w:p>
          <w:p w:rsidR="002B57D7" w:rsidRPr="00A901A5" w:rsidRDefault="002B57D7" w:rsidP="002914EB">
            <w:pPr>
              <w:ind w:right="39"/>
              <w:jc w:val="center"/>
              <w:rPr>
                <w:rFonts w:ascii="Arial Narrow" w:hAnsi="Arial Narrow"/>
                <w:sz w:val="20"/>
              </w:rPr>
            </w:pPr>
            <w:r w:rsidRPr="00A901A5">
              <w:rPr>
                <w:rFonts w:ascii="Arial Narrow" w:hAnsi="Arial Narrow"/>
                <w:sz w:val="20"/>
              </w:rPr>
              <w:t>64.7%</w:t>
            </w:r>
          </w:p>
          <w:p w:rsidR="002B57D7" w:rsidRPr="00A901A5" w:rsidRDefault="002B57D7" w:rsidP="002914EB">
            <w:pPr>
              <w:ind w:right="39"/>
              <w:jc w:val="center"/>
              <w:rPr>
                <w:rFonts w:ascii="Arial Narrow" w:hAnsi="Arial Narrow"/>
                <w:sz w:val="20"/>
              </w:rPr>
            </w:pPr>
            <w:r w:rsidRPr="00A901A5">
              <w:rPr>
                <w:rFonts w:ascii="Arial Narrow" w:hAnsi="Arial Narrow"/>
                <w:sz w:val="20"/>
              </w:rPr>
              <w:t>(38.3%, 85.8%)</w:t>
            </w:r>
          </w:p>
        </w:tc>
        <w:tc>
          <w:tcPr>
            <w:tcW w:w="1590"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209/257</w:t>
            </w:r>
          </w:p>
          <w:p w:rsidR="002B57D7" w:rsidRPr="00A901A5" w:rsidRDefault="002B57D7" w:rsidP="002914EB">
            <w:pPr>
              <w:ind w:right="39"/>
              <w:jc w:val="center"/>
              <w:rPr>
                <w:rFonts w:ascii="Arial Narrow" w:hAnsi="Arial Narrow"/>
                <w:sz w:val="20"/>
              </w:rPr>
            </w:pPr>
            <w:r w:rsidRPr="00A901A5">
              <w:rPr>
                <w:rFonts w:ascii="Arial Narrow" w:hAnsi="Arial Narrow"/>
                <w:sz w:val="20"/>
              </w:rPr>
              <w:t>81.3%</w:t>
            </w:r>
          </w:p>
          <w:p w:rsidR="002B57D7" w:rsidRPr="00A901A5" w:rsidRDefault="002B57D7" w:rsidP="002914EB">
            <w:pPr>
              <w:ind w:right="39"/>
              <w:jc w:val="center"/>
              <w:rPr>
                <w:rFonts w:ascii="Arial Narrow" w:hAnsi="Arial Narrow"/>
                <w:sz w:val="20"/>
              </w:rPr>
            </w:pPr>
            <w:r w:rsidRPr="00A901A5">
              <w:rPr>
                <w:rFonts w:ascii="Arial Narrow" w:hAnsi="Arial Narrow"/>
                <w:sz w:val="20"/>
              </w:rPr>
              <w:t>(76%, 85.9%)</w:t>
            </w:r>
          </w:p>
        </w:tc>
      </w:tr>
      <w:tr w:rsidR="002B57D7" w:rsidRPr="00F07154" w:rsidTr="002B57D7">
        <w:tc>
          <w:tcPr>
            <w:tcW w:w="8320" w:type="dxa"/>
            <w:gridSpan w:val="5"/>
            <w:shd w:val="clear" w:color="auto" w:fill="D9D9D9" w:themeFill="background1" w:themeFillShade="D9"/>
            <w:vAlign w:val="center"/>
          </w:tcPr>
          <w:p w:rsidR="002B57D7" w:rsidRPr="00F07154" w:rsidRDefault="002B57D7" w:rsidP="002914EB">
            <w:pPr>
              <w:ind w:right="39"/>
              <w:jc w:val="left"/>
              <w:rPr>
                <w:rFonts w:ascii="Arial Narrow" w:hAnsi="Arial Narrow"/>
                <w:b/>
                <w:sz w:val="20"/>
              </w:rPr>
            </w:pPr>
            <w:r w:rsidRPr="00F07154">
              <w:rPr>
                <w:rFonts w:ascii="Arial Narrow" w:hAnsi="Arial Narrow"/>
                <w:b/>
                <w:sz w:val="20"/>
              </w:rPr>
              <w:t>Treatment experienced</w:t>
            </w: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ION-2</w:t>
            </w:r>
          </w:p>
        </w:tc>
        <w:tc>
          <w:tcPr>
            <w:tcW w:w="1531" w:type="dxa"/>
            <w:vAlign w:val="center"/>
          </w:tcPr>
          <w:p w:rsidR="002B57D7" w:rsidRPr="002B57D7" w:rsidRDefault="002B57D7" w:rsidP="002B57D7">
            <w:pPr>
              <w:ind w:right="34"/>
              <w:rPr>
                <w:rFonts w:ascii="Arial Narrow" w:hAnsi="Arial Narrow"/>
                <w:sz w:val="20"/>
                <w:vertAlign w:val="superscript"/>
              </w:rPr>
            </w:pPr>
            <w:r w:rsidRPr="00A901A5">
              <w:rPr>
                <w:rFonts w:ascii="Arial Narrow" w:hAnsi="Arial Narrow"/>
                <w:sz w:val="20"/>
              </w:rPr>
              <w:t>LDV/SOF12</w:t>
            </w:r>
            <w:r>
              <w:rPr>
                <w:rFonts w:ascii="Arial Narrow" w:hAnsi="Arial Narrow"/>
                <w:sz w:val="20"/>
                <w:vertAlign w:val="superscript"/>
              </w:rPr>
              <w:t>b</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83/87</w:t>
            </w:r>
          </w:p>
          <w:p w:rsidR="002B57D7" w:rsidRPr="00A901A5" w:rsidRDefault="002B57D7" w:rsidP="002914EB">
            <w:pPr>
              <w:ind w:right="39"/>
              <w:jc w:val="center"/>
              <w:rPr>
                <w:rFonts w:ascii="Arial Narrow" w:hAnsi="Arial Narrow"/>
                <w:sz w:val="20"/>
              </w:rPr>
            </w:pPr>
            <w:r w:rsidRPr="00A901A5">
              <w:rPr>
                <w:rFonts w:ascii="Arial Narrow" w:hAnsi="Arial Narrow"/>
                <w:sz w:val="20"/>
              </w:rPr>
              <w:t>95.4%</w:t>
            </w:r>
          </w:p>
          <w:p w:rsidR="002B57D7" w:rsidRPr="00A901A5" w:rsidRDefault="002B57D7" w:rsidP="002914EB">
            <w:pPr>
              <w:ind w:right="39"/>
              <w:jc w:val="center"/>
              <w:rPr>
                <w:rFonts w:ascii="Arial Narrow" w:hAnsi="Arial Narrow"/>
                <w:sz w:val="20"/>
              </w:rPr>
            </w:pPr>
            <w:r w:rsidRPr="00A901A5">
              <w:rPr>
                <w:rFonts w:ascii="Arial Narrow" w:hAnsi="Arial Narrow"/>
                <w:sz w:val="20"/>
              </w:rPr>
              <w:t>(88.6%, 98.7%)</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19/22</w:t>
            </w:r>
          </w:p>
          <w:p w:rsidR="002B57D7" w:rsidRPr="00A901A5" w:rsidRDefault="002B57D7" w:rsidP="002914EB">
            <w:pPr>
              <w:ind w:right="39"/>
              <w:jc w:val="center"/>
              <w:rPr>
                <w:rFonts w:ascii="Arial Narrow" w:hAnsi="Arial Narrow"/>
                <w:sz w:val="20"/>
              </w:rPr>
            </w:pPr>
            <w:r w:rsidRPr="00A901A5">
              <w:rPr>
                <w:rFonts w:ascii="Arial Narrow" w:hAnsi="Arial Narrow"/>
                <w:sz w:val="20"/>
              </w:rPr>
              <w:t>86.4%</w:t>
            </w:r>
          </w:p>
          <w:p w:rsidR="002B57D7" w:rsidRPr="00A901A5" w:rsidRDefault="002B57D7" w:rsidP="002914EB">
            <w:pPr>
              <w:ind w:right="39"/>
              <w:jc w:val="center"/>
              <w:rPr>
                <w:rFonts w:ascii="Arial Narrow" w:hAnsi="Arial Narrow"/>
                <w:sz w:val="20"/>
              </w:rPr>
            </w:pPr>
            <w:r w:rsidRPr="00A901A5">
              <w:rPr>
                <w:rFonts w:ascii="Arial Narrow" w:hAnsi="Arial Narrow"/>
                <w:sz w:val="20"/>
              </w:rPr>
              <w:t>(65.1%, 97.1%)</w:t>
            </w:r>
          </w:p>
        </w:tc>
        <w:tc>
          <w:tcPr>
            <w:tcW w:w="1590"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102/109</w:t>
            </w:r>
          </w:p>
          <w:p w:rsidR="002B57D7" w:rsidRPr="00A901A5" w:rsidRDefault="002B57D7" w:rsidP="002914EB">
            <w:pPr>
              <w:ind w:right="39"/>
              <w:jc w:val="center"/>
              <w:rPr>
                <w:rFonts w:ascii="Arial Narrow" w:hAnsi="Arial Narrow"/>
                <w:sz w:val="20"/>
              </w:rPr>
            </w:pPr>
            <w:r w:rsidRPr="00A901A5">
              <w:rPr>
                <w:rFonts w:ascii="Arial Narrow" w:hAnsi="Arial Narrow"/>
                <w:sz w:val="20"/>
              </w:rPr>
              <w:t>93.6%</w:t>
            </w:r>
          </w:p>
          <w:p w:rsidR="002B57D7" w:rsidRPr="00A901A5" w:rsidRDefault="002B57D7" w:rsidP="002914EB">
            <w:pPr>
              <w:ind w:right="39"/>
              <w:jc w:val="center"/>
              <w:rPr>
                <w:rFonts w:ascii="Arial Narrow" w:hAnsi="Arial Narrow"/>
                <w:sz w:val="20"/>
              </w:rPr>
            </w:pPr>
            <w:r w:rsidRPr="00A901A5">
              <w:rPr>
                <w:rFonts w:ascii="Arial Narrow" w:hAnsi="Arial Narrow"/>
                <w:sz w:val="20"/>
              </w:rPr>
              <w:t>(87.2%, 97.4%)</w:t>
            </w: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RESPOND-2 (GROUP2)</w:t>
            </w:r>
          </w:p>
        </w:tc>
        <w:tc>
          <w:tcPr>
            <w:tcW w:w="1531" w:type="dxa"/>
            <w:vAlign w:val="center"/>
          </w:tcPr>
          <w:p w:rsidR="002B57D7" w:rsidRPr="00A901A5" w:rsidRDefault="002B57D7" w:rsidP="002914EB">
            <w:pPr>
              <w:ind w:right="34"/>
              <w:rPr>
                <w:rFonts w:ascii="Arial Narrow" w:hAnsi="Arial Narrow"/>
                <w:sz w:val="20"/>
              </w:rPr>
            </w:pPr>
            <w:r w:rsidRPr="00A901A5">
              <w:rPr>
                <w:rFonts w:ascii="Arial Narrow" w:hAnsi="Arial Narrow"/>
                <w:sz w:val="20"/>
              </w:rPr>
              <w:t>BOC32+PR36-48</w:t>
            </w:r>
          </w:p>
          <w:p w:rsidR="002B57D7" w:rsidRPr="00A901A5" w:rsidRDefault="002B57D7" w:rsidP="002914EB">
            <w:pPr>
              <w:ind w:right="34"/>
              <w:rPr>
                <w:rFonts w:ascii="Arial Narrow" w:hAnsi="Arial Narrow"/>
                <w:sz w:val="20"/>
              </w:rPr>
            </w:pPr>
            <w:r w:rsidRPr="00A901A5">
              <w:rPr>
                <w:rFonts w:ascii="Arial Narrow" w:hAnsi="Arial Narrow"/>
                <w:sz w:val="20"/>
              </w:rPr>
              <w:t>(RGT)</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85/132</w:t>
            </w:r>
          </w:p>
          <w:p w:rsidR="002B57D7" w:rsidRPr="00A901A5" w:rsidRDefault="002B57D7" w:rsidP="002914EB">
            <w:pPr>
              <w:ind w:right="39"/>
              <w:jc w:val="center"/>
              <w:rPr>
                <w:rFonts w:ascii="Arial Narrow" w:hAnsi="Arial Narrow"/>
                <w:sz w:val="20"/>
              </w:rPr>
            </w:pPr>
            <w:r w:rsidRPr="00A901A5">
              <w:rPr>
                <w:rFonts w:ascii="Arial Narrow" w:hAnsi="Arial Narrow"/>
                <w:sz w:val="20"/>
              </w:rPr>
              <w:t>64.4%</w:t>
            </w:r>
          </w:p>
          <w:p w:rsidR="002B57D7" w:rsidRPr="00A901A5" w:rsidRDefault="002B57D7" w:rsidP="002914EB">
            <w:pPr>
              <w:ind w:right="39"/>
              <w:jc w:val="center"/>
              <w:rPr>
                <w:rFonts w:ascii="Arial Narrow" w:hAnsi="Arial Narrow"/>
                <w:sz w:val="20"/>
              </w:rPr>
            </w:pPr>
            <w:r w:rsidRPr="00A901A5">
              <w:rPr>
                <w:rFonts w:ascii="Arial Narrow" w:hAnsi="Arial Narrow"/>
                <w:sz w:val="20"/>
              </w:rPr>
              <w:t>(55.6%, 72.5%)</w:t>
            </w:r>
          </w:p>
        </w:tc>
        <w:tc>
          <w:tcPr>
            <w:tcW w:w="1589" w:type="dxa"/>
            <w:vAlign w:val="center"/>
          </w:tcPr>
          <w:p w:rsidR="002B57D7" w:rsidRPr="00A901A5" w:rsidRDefault="002B57D7" w:rsidP="002914EB">
            <w:pPr>
              <w:ind w:right="39"/>
              <w:jc w:val="center"/>
              <w:rPr>
                <w:rFonts w:ascii="Arial Narrow" w:hAnsi="Arial Narrow"/>
                <w:sz w:val="20"/>
              </w:rPr>
            </w:pPr>
          </w:p>
        </w:tc>
        <w:tc>
          <w:tcPr>
            <w:tcW w:w="1590" w:type="dxa"/>
            <w:vAlign w:val="center"/>
          </w:tcPr>
          <w:p w:rsidR="002B57D7" w:rsidRPr="00A901A5" w:rsidRDefault="002B57D7" w:rsidP="002914EB">
            <w:pPr>
              <w:ind w:right="39"/>
              <w:jc w:val="center"/>
              <w:rPr>
                <w:rFonts w:ascii="Arial Narrow" w:hAnsi="Arial Narrow"/>
                <w:sz w:val="20"/>
              </w:rPr>
            </w:pP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RESPOND-2 (GROUP3)</w:t>
            </w:r>
          </w:p>
        </w:tc>
        <w:tc>
          <w:tcPr>
            <w:tcW w:w="1531" w:type="dxa"/>
            <w:vAlign w:val="center"/>
          </w:tcPr>
          <w:p w:rsidR="002B57D7" w:rsidRPr="002B57D7" w:rsidRDefault="002B57D7" w:rsidP="002914EB">
            <w:pPr>
              <w:ind w:right="34"/>
              <w:rPr>
                <w:rFonts w:ascii="Arial Narrow" w:hAnsi="Arial Narrow"/>
                <w:sz w:val="20"/>
                <w:vertAlign w:val="superscript"/>
              </w:rPr>
            </w:pPr>
            <w:r w:rsidRPr="00A901A5">
              <w:rPr>
                <w:rFonts w:ascii="Arial Narrow" w:hAnsi="Arial Narrow"/>
                <w:sz w:val="20"/>
              </w:rPr>
              <w:t>BOC44+PR48</w:t>
            </w:r>
            <w:r>
              <w:rPr>
                <w:rFonts w:ascii="Arial Narrow" w:hAnsi="Arial Narrow"/>
                <w:sz w:val="20"/>
                <w:vertAlign w:val="superscript"/>
              </w:rPr>
              <w:t>c</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85/128</w:t>
            </w:r>
          </w:p>
          <w:p w:rsidR="002B57D7" w:rsidRPr="00A901A5" w:rsidRDefault="002B57D7" w:rsidP="002914EB">
            <w:pPr>
              <w:ind w:right="39"/>
              <w:jc w:val="center"/>
              <w:rPr>
                <w:rFonts w:ascii="Arial Narrow" w:hAnsi="Arial Narrow"/>
                <w:sz w:val="20"/>
              </w:rPr>
            </w:pPr>
            <w:r w:rsidRPr="00A901A5">
              <w:rPr>
                <w:rFonts w:ascii="Arial Narrow" w:hAnsi="Arial Narrow"/>
                <w:sz w:val="20"/>
              </w:rPr>
              <w:t>66.4%</w:t>
            </w:r>
          </w:p>
          <w:p w:rsidR="002B57D7" w:rsidRPr="00A901A5" w:rsidRDefault="002B57D7" w:rsidP="002914EB">
            <w:pPr>
              <w:ind w:right="39"/>
              <w:jc w:val="center"/>
              <w:rPr>
                <w:rFonts w:ascii="Arial Narrow" w:hAnsi="Arial Narrow"/>
                <w:sz w:val="20"/>
              </w:rPr>
            </w:pPr>
            <w:r w:rsidRPr="00A901A5">
              <w:rPr>
                <w:rFonts w:ascii="Arial Narrow" w:hAnsi="Arial Narrow"/>
                <w:sz w:val="20"/>
              </w:rPr>
              <w:t>(57.5%, 74.5%)</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17/22</w:t>
            </w:r>
          </w:p>
          <w:p w:rsidR="002B57D7" w:rsidRPr="00A901A5" w:rsidRDefault="002B57D7" w:rsidP="002914EB">
            <w:pPr>
              <w:ind w:right="39"/>
              <w:jc w:val="center"/>
              <w:rPr>
                <w:rFonts w:ascii="Arial Narrow" w:hAnsi="Arial Narrow"/>
                <w:sz w:val="20"/>
              </w:rPr>
            </w:pPr>
            <w:r w:rsidRPr="00A901A5">
              <w:rPr>
                <w:rFonts w:ascii="Arial Narrow" w:hAnsi="Arial Narrow"/>
                <w:sz w:val="20"/>
              </w:rPr>
              <w:t>77.3%</w:t>
            </w:r>
          </w:p>
          <w:p w:rsidR="002B57D7" w:rsidRPr="00A901A5" w:rsidRDefault="002B57D7" w:rsidP="002914EB">
            <w:pPr>
              <w:ind w:right="39"/>
              <w:jc w:val="center"/>
              <w:rPr>
                <w:rFonts w:ascii="Arial Narrow" w:hAnsi="Arial Narrow"/>
                <w:sz w:val="20"/>
              </w:rPr>
            </w:pPr>
            <w:r w:rsidRPr="00A901A5">
              <w:rPr>
                <w:rFonts w:ascii="Arial Narrow" w:hAnsi="Arial Narrow"/>
                <w:sz w:val="20"/>
              </w:rPr>
              <w:t>(54.6%, 92.2%)</w:t>
            </w:r>
          </w:p>
        </w:tc>
        <w:tc>
          <w:tcPr>
            <w:tcW w:w="1590"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107/161</w:t>
            </w:r>
          </w:p>
          <w:p w:rsidR="002B57D7" w:rsidRPr="00A901A5" w:rsidRDefault="002B57D7" w:rsidP="002914EB">
            <w:pPr>
              <w:ind w:right="39"/>
              <w:jc w:val="center"/>
              <w:rPr>
                <w:rFonts w:ascii="Arial Narrow" w:hAnsi="Arial Narrow"/>
                <w:sz w:val="20"/>
              </w:rPr>
            </w:pPr>
            <w:r w:rsidRPr="00A901A5">
              <w:rPr>
                <w:rFonts w:ascii="Arial Narrow" w:hAnsi="Arial Narrow"/>
                <w:sz w:val="20"/>
              </w:rPr>
              <w:t>66.5%</w:t>
            </w:r>
          </w:p>
          <w:p w:rsidR="002B57D7" w:rsidRPr="00A901A5" w:rsidRDefault="002B57D7" w:rsidP="002914EB">
            <w:pPr>
              <w:ind w:right="39"/>
              <w:jc w:val="center"/>
              <w:rPr>
                <w:rFonts w:ascii="Arial Narrow" w:hAnsi="Arial Narrow"/>
                <w:sz w:val="20"/>
              </w:rPr>
            </w:pPr>
            <w:r w:rsidRPr="00A901A5">
              <w:rPr>
                <w:rFonts w:ascii="Arial Narrow" w:hAnsi="Arial Narrow"/>
                <w:sz w:val="20"/>
              </w:rPr>
              <w:t>(58.6%, 73.7%)</w:t>
            </w: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FLAMM 2013</w:t>
            </w:r>
          </w:p>
        </w:tc>
        <w:tc>
          <w:tcPr>
            <w:tcW w:w="1531" w:type="dxa"/>
            <w:vAlign w:val="center"/>
          </w:tcPr>
          <w:p w:rsidR="002B57D7" w:rsidRPr="00A901A5" w:rsidRDefault="002B57D7" w:rsidP="002914EB">
            <w:pPr>
              <w:ind w:right="34"/>
              <w:rPr>
                <w:rFonts w:ascii="Arial Narrow" w:hAnsi="Arial Narrow"/>
                <w:sz w:val="20"/>
              </w:rPr>
            </w:pPr>
            <w:r w:rsidRPr="00A901A5">
              <w:rPr>
                <w:rFonts w:ascii="Arial Narrow" w:hAnsi="Arial Narrow"/>
                <w:sz w:val="20"/>
              </w:rPr>
              <w:t>BOC44+PR48</w:t>
            </w:r>
          </w:p>
        </w:tc>
        <w:tc>
          <w:tcPr>
            <w:tcW w:w="1589" w:type="dxa"/>
            <w:vAlign w:val="center"/>
          </w:tcPr>
          <w:p w:rsidR="002B57D7" w:rsidRPr="00A901A5" w:rsidRDefault="002B57D7" w:rsidP="002914EB">
            <w:pPr>
              <w:ind w:right="39"/>
              <w:jc w:val="center"/>
              <w:rPr>
                <w:rFonts w:ascii="Arial Narrow" w:hAnsi="Arial Narrow"/>
                <w:sz w:val="20"/>
              </w:rPr>
            </w:pPr>
          </w:p>
        </w:tc>
        <w:tc>
          <w:tcPr>
            <w:tcW w:w="1589" w:type="dxa"/>
            <w:vAlign w:val="center"/>
          </w:tcPr>
          <w:p w:rsidR="002B57D7" w:rsidRPr="00A901A5" w:rsidRDefault="002B57D7" w:rsidP="002914EB">
            <w:pPr>
              <w:ind w:right="39"/>
              <w:jc w:val="center"/>
              <w:rPr>
                <w:rFonts w:ascii="Arial Narrow" w:hAnsi="Arial Narrow"/>
                <w:sz w:val="20"/>
              </w:rPr>
            </w:pPr>
          </w:p>
        </w:tc>
        <w:tc>
          <w:tcPr>
            <w:tcW w:w="1590"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86/134</w:t>
            </w:r>
          </w:p>
          <w:p w:rsidR="002B57D7" w:rsidRPr="00A901A5" w:rsidRDefault="002B57D7" w:rsidP="002914EB">
            <w:pPr>
              <w:ind w:right="39"/>
              <w:jc w:val="center"/>
              <w:rPr>
                <w:rFonts w:ascii="Arial Narrow" w:hAnsi="Arial Narrow"/>
                <w:sz w:val="20"/>
              </w:rPr>
            </w:pPr>
            <w:r w:rsidRPr="00A901A5">
              <w:rPr>
                <w:rFonts w:ascii="Arial Narrow" w:hAnsi="Arial Narrow"/>
                <w:sz w:val="20"/>
              </w:rPr>
              <w:t>64.2%</w:t>
            </w:r>
          </w:p>
          <w:p w:rsidR="002B57D7" w:rsidRPr="00A901A5" w:rsidRDefault="002B57D7" w:rsidP="002914EB">
            <w:pPr>
              <w:ind w:right="39"/>
              <w:jc w:val="center"/>
              <w:rPr>
                <w:rFonts w:ascii="Arial Narrow" w:hAnsi="Arial Narrow"/>
                <w:sz w:val="20"/>
              </w:rPr>
            </w:pPr>
            <w:r w:rsidRPr="00A901A5">
              <w:rPr>
                <w:rFonts w:ascii="Arial Narrow" w:hAnsi="Arial Narrow"/>
                <w:sz w:val="20"/>
              </w:rPr>
              <w:t>(55.4%, 72.3%)</w:t>
            </w:r>
          </w:p>
        </w:tc>
      </w:tr>
      <w:tr w:rsidR="002B57D7" w:rsidRPr="00A901A5" w:rsidTr="002B57D7">
        <w:tc>
          <w:tcPr>
            <w:tcW w:w="2021" w:type="dxa"/>
            <w:shd w:val="clear" w:color="auto" w:fill="F2F2F2" w:themeFill="background1" w:themeFillShade="F2"/>
            <w:vAlign w:val="center"/>
          </w:tcPr>
          <w:p w:rsidR="002B57D7" w:rsidRPr="00A901A5" w:rsidRDefault="002B57D7" w:rsidP="00EE5AF1">
            <w:pPr>
              <w:rPr>
                <w:rFonts w:ascii="Arial Narrow" w:hAnsi="Arial Narrow"/>
                <w:sz w:val="20"/>
              </w:rPr>
            </w:pPr>
            <w:r w:rsidRPr="00A901A5">
              <w:rPr>
                <w:rFonts w:ascii="Arial Narrow" w:hAnsi="Arial Narrow"/>
                <w:sz w:val="20"/>
              </w:rPr>
              <w:t>REALIZE</w:t>
            </w:r>
          </w:p>
        </w:tc>
        <w:tc>
          <w:tcPr>
            <w:tcW w:w="1531" w:type="dxa"/>
            <w:shd w:val="clear" w:color="auto" w:fill="F2F2F2" w:themeFill="background1" w:themeFillShade="F2"/>
            <w:vAlign w:val="center"/>
          </w:tcPr>
          <w:p w:rsidR="002B57D7" w:rsidRPr="00A901A5" w:rsidRDefault="00221E13" w:rsidP="002B57D7">
            <w:pPr>
              <w:ind w:right="34"/>
              <w:rPr>
                <w:rFonts w:ascii="Arial Narrow" w:hAnsi="Arial Narrow"/>
                <w:sz w:val="20"/>
              </w:rPr>
            </w:pPr>
            <w:r>
              <w:rPr>
                <w:rFonts w:ascii="Arial Narrow" w:hAnsi="Arial Narrow"/>
                <w:sz w:val="20"/>
              </w:rPr>
              <w:t>TVR</w:t>
            </w:r>
            <w:r w:rsidR="002B57D7" w:rsidRPr="00A901A5">
              <w:rPr>
                <w:rFonts w:ascii="Arial Narrow" w:hAnsi="Arial Narrow"/>
                <w:sz w:val="20"/>
              </w:rPr>
              <w:t>12+PR48</w:t>
            </w:r>
          </w:p>
        </w:tc>
        <w:tc>
          <w:tcPr>
            <w:tcW w:w="1589" w:type="dxa"/>
            <w:shd w:val="clear" w:color="auto" w:fill="F2F2F2" w:themeFill="background1" w:themeFillShade="F2"/>
            <w:vAlign w:val="center"/>
          </w:tcPr>
          <w:p w:rsidR="002B57D7" w:rsidRPr="00211254" w:rsidRDefault="002B57D7" w:rsidP="002914EB">
            <w:pPr>
              <w:ind w:right="39"/>
              <w:jc w:val="center"/>
              <w:rPr>
                <w:rFonts w:ascii="Arial Narrow" w:hAnsi="Arial Narrow"/>
                <w:sz w:val="20"/>
              </w:rPr>
            </w:pPr>
            <w:r w:rsidRPr="00211254">
              <w:rPr>
                <w:rFonts w:ascii="Arial Narrow" w:hAnsi="Arial Narrow"/>
                <w:sz w:val="20"/>
              </w:rPr>
              <w:t>94/134</w:t>
            </w:r>
          </w:p>
          <w:p w:rsidR="002B57D7" w:rsidRPr="00211254" w:rsidRDefault="002B57D7" w:rsidP="002914EB">
            <w:pPr>
              <w:ind w:right="39"/>
              <w:jc w:val="center"/>
              <w:rPr>
                <w:rFonts w:ascii="Arial Narrow" w:hAnsi="Arial Narrow"/>
                <w:sz w:val="20"/>
              </w:rPr>
            </w:pPr>
            <w:r w:rsidRPr="00211254">
              <w:rPr>
                <w:rFonts w:ascii="Arial Narrow" w:hAnsi="Arial Narrow"/>
                <w:sz w:val="20"/>
              </w:rPr>
              <w:t>70.1%</w:t>
            </w:r>
          </w:p>
          <w:p w:rsidR="002B57D7" w:rsidRPr="00211254" w:rsidRDefault="002B57D7" w:rsidP="002914EB">
            <w:pPr>
              <w:ind w:right="39"/>
              <w:jc w:val="center"/>
              <w:rPr>
                <w:rFonts w:ascii="Arial Narrow" w:hAnsi="Arial Narrow"/>
                <w:sz w:val="20"/>
                <w:vertAlign w:val="superscript"/>
              </w:rPr>
            </w:pPr>
            <w:r w:rsidRPr="00211254">
              <w:rPr>
                <w:rFonts w:ascii="Arial Narrow" w:hAnsi="Arial Narrow"/>
                <w:sz w:val="20"/>
              </w:rPr>
              <w:t>(61.6%, 77.7%)</w:t>
            </w:r>
            <w:r w:rsidRPr="00211254">
              <w:rPr>
                <w:rFonts w:ascii="Arial Narrow" w:hAnsi="Arial Narrow"/>
                <w:sz w:val="20"/>
                <w:vertAlign w:val="superscript"/>
              </w:rPr>
              <w:t>d</w:t>
            </w:r>
          </w:p>
        </w:tc>
        <w:tc>
          <w:tcPr>
            <w:tcW w:w="1589" w:type="dxa"/>
            <w:shd w:val="clear" w:color="auto" w:fill="F2F2F2" w:themeFill="background1" w:themeFillShade="F2"/>
            <w:vAlign w:val="center"/>
          </w:tcPr>
          <w:p w:rsidR="002B57D7" w:rsidRPr="00211254" w:rsidRDefault="002B57D7" w:rsidP="002914EB">
            <w:pPr>
              <w:ind w:right="39"/>
              <w:jc w:val="center"/>
              <w:rPr>
                <w:rFonts w:ascii="Arial Narrow" w:hAnsi="Arial Narrow"/>
                <w:sz w:val="20"/>
              </w:rPr>
            </w:pPr>
            <w:r w:rsidRPr="00211254">
              <w:rPr>
                <w:rFonts w:ascii="Arial Narrow" w:hAnsi="Arial Narrow"/>
                <w:sz w:val="20"/>
              </w:rPr>
              <w:t>77/132</w:t>
            </w:r>
          </w:p>
          <w:p w:rsidR="002B57D7" w:rsidRPr="00211254" w:rsidRDefault="002B57D7" w:rsidP="002914EB">
            <w:pPr>
              <w:ind w:right="39"/>
              <w:jc w:val="center"/>
              <w:rPr>
                <w:rFonts w:ascii="Arial Narrow" w:hAnsi="Arial Narrow"/>
                <w:sz w:val="20"/>
              </w:rPr>
            </w:pPr>
            <w:r w:rsidRPr="00211254">
              <w:rPr>
                <w:rFonts w:ascii="Arial Narrow" w:hAnsi="Arial Narrow"/>
                <w:sz w:val="20"/>
              </w:rPr>
              <w:t>58.3%</w:t>
            </w:r>
          </w:p>
          <w:p w:rsidR="002B57D7" w:rsidRPr="00211254" w:rsidRDefault="002B57D7" w:rsidP="002B57D7">
            <w:pPr>
              <w:ind w:right="-108"/>
              <w:jc w:val="center"/>
              <w:rPr>
                <w:rFonts w:ascii="Arial Narrow" w:hAnsi="Arial Narrow"/>
                <w:sz w:val="20"/>
                <w:vertAlign w:val="superscript"/>
              </w:rPr>
            </w:pPr>
            <w:r w:rsidRPr="00211254">
              <w:rPr>
                <w:rFonts w:ascii="Arial Narrow" w:hAnsi="Arial Narrow"/>
                <w:sz w:val="20"/>
              </w:rPr>
              <w:t>(49.4%, 66.8%)</w:t>
            </w:r>
            <w:r w:rsidRPr="00211254">
              <w:rPr>
                <w:rFonts w:ascii="Arial Narrow" w:hAnsi="Arial Narrow"/>
                <w:sz w:val="20"/>
                <w:vertAlign w:val="superscript"/>
              </w:rPr>
              <w:t>d</w:t>
            </w:r>
          </w:p>
        </w:tc>
        <w:tc>
          <w:tcPr>
            <w:tcW w:w="1590" w:type="dxa"/>
            <w:shd w:val="clear" w:color="auto" w:fill="F2F2F2" w:themeFill="background1" w:themeFillShade="F2"/>
            <w:vAlign w:val="center"/>
          </w:tcPr>
          <w:p w:rsidR="002B57D7" w:rsidRPr="00211254" w:rsidRDefault="002B57D7" w:rsidP="002914EB">
            <w:pPr>
              <w:ind w:right="39"/>
              <w:jc w:val="center"/>
              <w:rPr>
                <w:rFonts w:ascii="Arial Narrow" w:hAnsi="Arial Narrow"/>
                <w:sz w:val="20"/>
              </w:rPr>
            </w:pPr>
            <w:r w:rsidRPr="00211254">
              <w:rPr>
                <w:rFonts w:ascii="Arial Narrow" w:hAnsi="Arial Narrow"/>
                <w:sz w:val="20"/>
              </w:rPr>
              <w:t>171/266</w:t>
            </w:r>
          </w:p>
          <w:p w:rsidR="002B57D7" w:rsidRPr="00211254" w:rsidRDefault="002B57D7" w:rsidP="002914EB">
            <w:pPr>
              <w:ind w:right="39"/>
              <w:jc w:val="center"/>
              <w:rPr>
                <w:rFonts w:ascii="Arial Narrow" w:hAnsi="Arial Narrow"/>
                <w:sz w:val="20"/>
              </w:rPr>
            </w:pPr>
            <w:r w:rsidRPr="00211254">
              <w:rPr>
                <w:rFonts w:ascii="Arial Narrow" w:hAnsi="Arial Narrow"/>
                <w:sz w:val="20"/>
              </w:rPr>
              <w:t>64.3%</w:t>
            </w:r>
          </w:p>
          <w:p w:rsidR="002B57D7" w:rsidRPr="00211254" w:rsidRDefault="002B57D7" w:rsidP="002914EB">
            <w:pPr>
              <w:ind w:right="39"/>
              <w:jc w:val="center"/>
              <w:rPr>
                <w:rFonts w:ascii="Arial Narrow" w:hAnsi="Arial Narrow"/>
                <w:sz w:val="20"/>
              </w:rPr>
            </w:pPr>
            <w:r w:rsidRPr="00211254">
              <w:rPr>
                <w:rFonts w:ascii="Arial Narrow" w:hAnsi="Arial Narrow"/>
                <w:sz w:val="20"/>
              </w:rPr>
              <w:t>(58.2%, 70%)</w:t>
            </w:r>
          </w:p>
        </w:tc>
      </w:tr>
      <w:tr w:rsidR="002B57D7" w:rsidRPr="00A901A5" w:rsidTr="002B57D7">
        <w:tc>
          <w:tcPr>
            <w:tcW w:w="2021" w:type="dxa"/>
            <w:vAlign w:val="center"/>
          </w:tcPr>
          <w:p w:rsidR="002B57D7" w:rsidRPr="00A901A5" w:rsidRDefault="002B57D7" w:rsidP="00EE5AF1">
            <w:pPr>
              <w:rPr>
                <w:rFonts w:ascii="Arial Narrow" w:hAnsi="Arial Narrow"/>
                <w:sz w:val="20"/>
              </w:rPr>
            </w:pPr>
            <w:r w:rsidRPr="00A901A5">
              <w:rPr>
                <w:rFonts w:ascii="Arial Narrow" w:hAnsi="Arial Narrow"/>
                <w:sz w:val="20"/>
              </w:rPr>
              <w:t>PROMISE</w:t>
            </w:r>
          </w:p>
        </w:tc>
        <w:tc>
          <w:tcPr>
            <w:tcW w:w="1531" w:type="dxa"/>
            <w:vAlign w:val="center"/>
          </w:tcPr>
          <w:p w:rsidR="002B57D7" w:rsidRPr="00A901A5" w:rsidRDefault="002B57D7" w:rsidP="002914EB">
            <w:pPr>
              <w:ind w:right="34"/>
              <w:rPr>
                <w:rFonts w:ascii="Arial Narrow" w:hAnsi="Arial Narrow"/>
                <w:sz w:val="20"/>
              </w:rPr>
            </w:pPr>
            <w:r w:rsidRPr="00A901A5">
              <w:rPr>
                <w:rFonts w:ascii="Arial Narrow" w:hAnsi="Arial Narrow"/>
                <w:sz w:val="20"/>
              </w:rPr>
              <w:t>SMV12+PR24-48</w:t>
            </w:r>
          </w:p>
          <w:p w:rsidR="002B57D7" w:rsidRPr="00A901A5" w:rsidRDefault="002B57D7" w:rsidP="002914EB">
            <w:pPr>
              <w:ind w:right="34"/>
              <w:rPr>
                <w:rFonts w:ascii="Arial Narrow" w:hAnsi="Arial Narrow"/>
                <w:sz w:val="20"/>
              </w:rPr>
            </w:pPr>
            <w:r w:rsidRPr="00A901A5">
              <w:rPr>
                <w:rFonts w:ascii="Arial Narrow" w:hAnsi="Arial Narrow"/>
                <w:sz w:val="20"/>
              </w:rPr>
              <w:t>(RGT)</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169/211</w:t>
            </w:r>
          </w:p>
          <w:p w:rsidR="002B57D7" w:rsidRPr="00A901A5" w:rsidRDefault="002B57D7" w:rsidP="002914EB">
            <w:pPr>
              <w:ind w:right="39"/>
              <w:jc w:val="center"/>
              <w:rPr>
                <w:rFonts w:ascii="Arial Narrow" w:hAnsi="Arial Narrow"/>
                <w:sz w:val="20"/>
              </w:rPr>
            </w:pPr>
            <w:r w:rsidRPr="00A901A5">
              <w:rPr>
                <w:rFonts w:ascii="Arial Narrow" w:hAnsi="Arial Narrow"/>
                <w:sz w:val="20"/>
              </w:rPr>
              <w:t>80.1%</w:t>
            </w:r>
          </w:p>
          <w:p w:rsidR="002B57D7" w:rsidRPr="00A901A5" w:rsidRDefault="002B57D7" w:rsidP="002914EB">
            <w:pPr>
              <w:ind w:right="39"/>
              <w:jc w:val="center"/>
              <w:rPr>
                <w:rFonts w:ascii="Arial Narrow" w:hAnsi="Arial Narrow"/>
                <w:sz w:val="20"/>
              </w:rPr>
            </w:pPr>
            <w:r w:rsidRPr="00A901A5">
              <w:rPr>
                <w:rFonts w:ascii="Arial Narrow" w:hAnsi="Arial Narrow"/>
                <w:sz w:val="20"/>
              </w:rPr>
              <w:t>(74.1%, 85.3%)</w:t>
            </w:r>
          </w:p>
        </w:tc>
        <w:tc>
          <w:tcPr>
            <w:tcW w:w="1589"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29/39</w:t>
            </w:r>
          </w:p>
          <w:p w:rsidR="002B57D7" w:rsidRPr="00A901A5" w:rsidRDefault="002B57D7" w:rsidP="002914EB">
            <w:pPr>
              <w:ind w:right="39"/>
              <w:jc w:val="center"/>
              <w:rPr>
                <w:rFonts w:ascii="Arial Narrow" w:hAnsi="Arial Narrow"/>
                <w:sz w:val="20"/>
              </w:rPr>
            </w:pPr>
            <w:r w:rsidRPr="00A901A5">
              <w:rPr>
                <w:rFonts w:ascii="Arial Narrow" w:hAnsi="Arial Narrow"/>
                <w:sz w:val="20"/>
              </w:rPr>
              <w:t>74.4%</w:t>
            </w:r>
          </w:p>
          <w:p w:rsidR="002B57D7" w:rsidRPr="00A901A5" w:rsidRDefault="002B57D7" w:rsidP="002914EB">
            <w:pPr>
              <w:ind w:right="39"/>
              <w:jc w:val="center"/>
              <w:rPr>
                <w:rFonts w:ascii="Arial Narrow" w:hAnsi="Arial Narrow"/>
                <w:sz w:val="20"/>
              </w:rPr>
            </w:pPr>
            <w:r w:rsidRPr="00A901A5">
              <w:rPr>
                <w:rFonts w:ascii="Arial Narrow" w:hAnsi="Arial Narrow"/>
                <w:sz w:val="20"/>
              </w:rPr>
              <w:t>(57.9%, 87%)</w:t>
            </w:r>
          </w:p>
        </w:tc>
        <w:tc>
          <w:tcPr>
            <w:tcW w:w="1590" w:type="dxa"/>
            <w:vAlign w:val="center"/>
          </w:tcPr>
          <w:p w:rsidR="002B57D7" w:rsidRPr="00A901A5" w:rsidRDefault="002B57D7" w:rsidP="002914EB">
            <w:pPr>
              <w:ind w:right="39"/>
              <w:jc w:val="center"/>
              <w:rPr>
                <w:rFonts w:ascii="Arial Narrow" w:hAnsi="Arial Narrow"/>
                <w:sz w:val="20"/>
              </w:rPr>
            </w:pPr>
            <w:r w:rsidRPr="00A901A5">
              <w:rPr>
                <w:rFonts w:ascii="Arial Narrow" w:hAnsi="Arial Narrow"/>
                <w:sz w:val="20"/>
              </w:rPr>
              <w:t>206/260</w:t>
            </w:r>
          </w:p>
          <w:p w:rsidR="002B57D7" w:rsidRPr="00A901A5" w:rsidRDefault="002B57D7" w:rsidP="002914EB">
            <w:pPr>
              <w:ind w:right="39"/>
              <w:jc w:val="center"/>
              <w:rPr>
                <w:rFonts w:ascii="Arial Narrow" w:hAnsi="Arial Narrow"/>
                <w:sz w:val="20"/>
              </w:rPr>
            </w:pPr>
            <w:r w:rsidRPr="00A901A5">
              <w:rPr>
                <w:rFonts w:ascii="Arial Narrow" w:hAnsi="Arial Narrow"/>
                <w:sz w:val="20"/>
              </w:rPr>
              <w:t>79.2%</w:t>
            </w:r>
          </w:p>
          <w:p w:rsidR="002B57D7" w:rsidRPr="00A901A5" w:rsidRDefault="002B57D7" w:rsidP="002914EB">
            <w:pPr>
              <w:ind w:right="39"/>
              <w:jc w:val="center"/>
              <w:rPr>
                <w:rFonts w:ascii="Arial Narrow" w:hAnsi="Arial Narrow"/>
                <w:sz w:val="20"/>
              </w:rPr>
            </w:pPr>
            <w:r w:rsidRPr="00A901A5">
              <w:rPr>
                <w:rFonts w:ascii="Arial Narrow" w:hAnsi="Arial Narrow"/>
                <w:sz w:val="20"/>
              </w:rPr>
              <w:t>(73.8%, 84%)</w:t>
            </w:r>
          </w:p>
        </w:tc>
      </w:tr>
    </w:tbl>
    <w:p w:rsidR="00EE5AF1" w:rsidRPr="00211254" w:rsidRDefault="00EE5AF1" w:rsidP="00EE5AF1">
      <w:pPr>
        <w:pStyle w:val="TableFooter"/>
        <w:ind w:left="720"/>
      </w:pPr>
      <w:r w:rsidRPr="00211254">
        <w:rPr>
          <w:vertAlign w:val="superscript"/>
        </w:rPr>
        <w:t>a</w:t>
      </w:r>
      <w:r w:rsidRPr="00211254">
        <w:t>95% confidence intervals have been calculated during the evaluation using the confidence interval command (ci) in Stata.</w:t>
      </w:r>
    </w:p>
    <w:p w:rsidR="002B57D7" w:rsidRPr="00211254" w:rsidRDefault="002B57D7" w:rsidP="00EE5AF1">
      <w:pPr>
        <w:pStyle w:val="TableFooter"/>
        <w:ind w:left="720"/>
        <w:rPr>
          <w:sz w:val="20"/>
        </w:rPr>
      </w:pPr>
      <w:proofErr w:type="gramStart"/>
      <w:r w:rsidRPr="00211254">
        <w:rPr>
          <w:sz w:val="20"/>
          <w:vertAlign w:val="superscript"/>
        </w:rPr>
        <w:t>b</w:t>
      </w:r>
      <w:proofErr w:type="gramEnd"/>
      <w:r w:rsidRPr="00211254">
        <w:rPr>
          <w:sz w:val="20"/>
          <w:vertAlign w:val="superscript"/>
        </w:rPr>
        <w:t xml:space="preserve"> </w:t>
      </w:r>
      <w:r w:rsidRPr="00211254">
        <w:rPr>
          <w:sz w:val="20"/>
        </w:rPr>
        <w:t>The 24 week LDV/SOF arm achieved 100% (22/22) SVR rate in cirrhotic patients.  The FDA has recommended 24 weeks of LDV/SOF for treatment experienced patients who have cirrhosis</w:t>
      </w:r>
      <w:r w:rsidR="00400F59">
        <w:rPr>
          <w:sz w:val="20"/>
        </w:rPr>
        <w:t xml:space="preserve">. The PBAC noted </w:t>
      </w:r>
      <w:r w:rsidR="00134998">
        <w:rPr>
          <w:sz w:val="20"/>
        </w:rPr>
        <w:t>that the</w:t>
      </w:r>
      <w:r w:rsidR="005E0A78">
        <w:rPr>
          <w:sz w:val="20"/>
        </w:rPr>
        <w:t xml:space="preserve"> TGA evaluator has also recommended 24 weeks for treatment experienced patients.</w:t>
      </w:r>
    </w:p>
    <w:p w:rsidR="002B57D7" w:rsidRPr="00211254" w:rsidRDefault="002B57D7" w:rsidP="00EE5AF1">
      <w:pPr>
        <w:pStyle w:val="TableFooter"/>
        <w:ind w:left="720"/>
        <w:rPr>
          <w:sz w:val="20"/>
        </w:rPr>
      </w:pPr>
      <w:proofErr w:type="gramStart"/>
      <w:r w:rsidRPr="00211254">
        <w:rPr>
          <w:sz w:val="20"/>
          <w:vertAlign w:val="superscript"/>
        </w:rPr>
        <w:t>c</w:t>
      </w:r>
      <w:proofErr w:type="gramEnd"/>
      <w:r w:rsidRPr="00211254">
        <w:rPr>
          <w:sz w:val="20"/>
          <w:vertAlign w:val="superscript"/>
        </w:rPr>
        <w:t xml:space="preserve"> </w:t>
      </w:r>
      <w:r w:rsidRPr="00211254">
        <w:rPr>
          <w:sz w:val="20"/>
        </w:rPr>
        <w:t>Some non-cirrhotic patients may be treated longer in this arm than would be treated according to the PBS listing (depending upon type of responder).</w:t>
      </w:r>
    </w:p>
    <w:p w:rsidR="00BF5FFB" w:rsidRPr="00211254" w:rsidRDefault="002B57D7" w:rsidP="00EE5AF1">
      <w:pPr>
        <w:pStyle w:val="TableFooter"/>
        <w:ind w:left="720"/>
        <w:rPr>
          <w:sz w:val="20"/>
        </w:rPr>
      </w:pPr>
      <w:proofErr w:type="spellStart"/>
      <w:proofErr w:type="gramStart"/>
      <w:r w:rsidRPr="00211254">
        <w:rPr>
          <w:sz w:val="20"/>
          <w:vertAlign w:val="superscript"/>
        </w:rPr>
        <w:t>d</w:t>
      </w:r>
      <w:r w:rsidRPr="00211254">
        <w:rPr>
          <w:sz w:val="20"/>
        </w:rPr>
        <w:t>NOTE</w:t>
      </w:r>
      <w:proofErr w:type="spellEnd"/>
      <w:proofErr w:type="gramEnd"/>
      <w:r w:rsidRPr="00211254">
        <w:rPr>
          <w:sz w:val="20"/>
        </w:rPr>
        <w:t>: not presented by presence or absence of cirrhosis - figures are for F0-2 and F3-4.  As such, the SVR rates are likely higher for both categories than had they been reported for cirrhotic vs non-cirrhotic.</w:t>
      </w:r>
    </w:p>
    <w:p w:rsidR="00EE5AF1" w:rsidRPr="007814EE" w:rsidRDefault="00EE5AF1" w:rsidP="00EE5AF1">
      <w:pPr>
        <w:pStyle w:val="TableFooter"/>
        <w:ind w:left="720"/>
      </w:pPr>
      <w:r>
        <w:t xml:space="preserve">SVR = sustained </w:t>
      </w:r>
      <w:proofErr w:type="spellStart"/>
      <w:r>
        <w:t>virologic</w:t>
      </w:r>
      <w:proofErr w:type="spellEnd"/>
      <w:r>
        <w:t xml:space="preserve"> response; LDV/SOF = </w:t>
      </w:r>
      <w:proofErr w:type="spellStart"/>
      <w:r>
        <w:t>ledipasvir</w:t>
      </w:r>
      <w:proofErr w:type="spellEnd"/>
      <w:r>
        <w:t xml:space="preserve">/sofosbuvir; BOC = </w:t>
      </w:r>
      <w:proofErr w:type="spellStart"/>
      <w:r>
        <w:t>boceprevir</w:t>
      </w:r>
      <w:proofErr w:type="spellEnd"/>
      <w:r>
        <w:t xml:space="preserve">; PR = </w:t>
      </w:r>
      <w:proofErr w:type="spellStart"/>
      <w:r>
        <w:t>peginterferon</w:t>
      </w:r>
      <w:proofErr w:type="spellEnd"/>
      <w:r>
        <w:t xml:space="preserve"> and ribavirin; </w:t>
      </w:r>
      <w:r>
        <w:lastRenderedPageBreak/>
        <w:t xml:space="preserve">RGT = response guided therapy; </w:t>
      </w:r>
      <w:r w:rsidR="00221E13">
        <w:t>TVR</w:t>
      </w:r>
      <w:r>
        <w:t xml:space="preserve"> = telaprevir; SMV = </w:t>
      </w:r>
      <w:proofErr w:type="spellStart"/>
      <w:r>
        <w:t>simeprevir</w:t>
      </w:r>
      <w:proofErr w:type="spellEnd"/>
      <w:r>
        <w:t>.</w:t>
      </w:r>
    </w:p>
    <w:p w:rsidR="00EE5AF1" w:rsidRPr="007814EE" w:rsidRDefault="00EE5AF1" w:rsidP="00EE5AF1">
      <w:pPr>
        <w:pStyle w:val="TableFooter"/>
        <w:ind w:left="720"/>
      </w:pPr>
      <w:r w:rsidRPr="007814EE">
        <w:t>Source</w:t>
      </w:r>
      <w:r>
        <w:t xml:space="preserve">: in the submission, </w:t>
      </w:r>
      <w:r w:rsidRPr="007814EE">
        <w:t xml:space="preserve">ION-1, Table B-52, pp116-117; ION-3, Table B-53, pp117-118; SPRINT-2, Table B-54, p118 and </w:t>
      </w:r>
      <w:proofErr w:type="spellStart"/>
      <w:r w:rsidRPr="007814EE">
        <w:t>Poordad</w:t>
      </w:r>
      <w:proofErr w:type="spellEnd"/>
      <w:r w:rsidRPr="007814EE">
        <w:t xml:space="preserve"> et al 2011</w:t>
      </w:r>
      <w:r w:rsidR="00263332" w:rsidRPr="000B5A25">
        <w:rPr>
          <w:noProof/>
          <w:vertAlign w:val="superscript"/>
        </w:rPr>
        <w:t>5</w:t>
      </w:r>
      <w:r w:rsidRPr="007814EE">
        <w:t xml:space="preserve">; ADVANCE, Table B-55, pp118-119; QUEST-1, Table B-50, p115 and Table B-56, pp119-120; QUEST-2, Table B-51, p115 and Table B-57, p121; ION-2, Table B-80, pp141-142; RESPOND-2, Table B-81, p143; </w:t>
      </w:r>
      <w:proofErr w:type="spellStart"/>
      <w:r w:rsidRPr="007814EE">
        <w:t>Flamm</w:t>
      </w:r>
      <w:proofErr w:type="spellEnd"/>
      <w:r w:rsidRPr="007814EE">
        <w:t xml:space="preserve"> et al 2013, Table B-77, p139; REALIZE, Table B-82, p145; PROMISE, Table B-83, p146.</w:t>
      </w:r>
    </w:p>
    <w:p w:rsidR="00EE5AF1" w:rsidRDefault="00EE5AF1" w:rsidP="00EE5AF1">
      <w:pPr>
        <w:ind w:firstLine="720"/>
        <w:rPr>
          <w:rStyle w:val="CommentReference"/>
        </w:rPr>
      </w:pPr>
    </w:p>
    <w:p w:rsidR="00EE5AF1" w:rsidRPr="00211254" w:rsidRDefault="00EE5AF1" w:rsidP="00B87E17">
      <w:pPr>
        <w:pStyle w:val="ListParagraph"/>
        <w:widowControl/>
        <w:numPr>
          <w:ilvl w:val="1"/>
          <w:numId w:val="3"/>
        </w:numPr>
        <w:tabs>
          <w:tab w:val="left" w:pos="6096"/>
        </w:tabs>
        <w:rPr>
          <w:szCs w:val="22"/>
        </w:rPr>
      </w:pPr>
      <w:r w:rsidRPr="00E47E6E">
        <w:rPr>
          <w:szCs w:val="22"/>
        </w:rPr>
        <w:t xml:space="preserve">The number of cirrhotic patients in both ION-1 (n=34) and ION-2 (n=22) </w:t>
      </w:r>
      <w:r w:rsidR="009B45A8" w:rsidRPr="00E47E6E">
        <w:rPr>
          <w:szCs w:val="22"/>
        </w:rPr>
        <w:t>were</w:t>
      </w:r>
      <w:r w:rsidRPr="00E47E6E">
        <w:rPr>
          <w:szCs w:val="22"/>
        </w:rPr>
        <w:t xml:space="preserve"> too small to accurately estimate the SVR rates in these populations.</w:t>
      </w:r>
      <w:r w:rsidR="00FD1837" w:rsidRPr="00FD1837">
        <w:rPr>
          <w:i/>
          <w:szCs w:val="22"/>
        </w:rPr>
        <w:t xml:space="preserve"> </w:t>
      </w:r>
      <w:r w:rsidR="00FD1837" w:rsidRPr="00211254">
        <w:rPr>
          <w:szCs w:val="22"/>
        </w:rPr>
        <w:t>The ESC noted the numerically lower SVR among treatment experienced cirrhotic patients (19/22), and noted the FDA recommendation to treat for 24 weeks in this population, and the numerically higher SVR (74/77)</w:t>
      </w:r>
      <w:r w:rsidR="009C2115">
        <w:rPr>
          <w:szCs w:val="22"/>
        </w:rPr>
        <w:t xml:space="preserve"> observed</w:t>
      </w:r>
      <w:r w:rsidR="00FD1837" w:rsidRPr="00211254">
        <w:rPr>
          <w:szCs w:val="22"/>
        </w:rPr>
        <w:t xml:space="preserve"> with the addition of RBV (LDV/SOF12+R12, </w:t>
      </w:r>
      <w:r w:rsidR="006B2FCA" w:rsidRPr="00211254">
        <w:rPr>
          <w:szCs w:val="22"/>
        </w:rPr>
        <w:t xml:space="preserve">M. </w:t>
      </w:r>
      <w:proofErr w:type="spellStart"/>
      <w:r w:rsidR="00FD1837" w:rsidRPr="00211254">
        <w:rPr>
          <w:szCs w:val="22"/>
        </w:rPr>
        <w:t>Bou</w:t>
      </w:r>
      <w:r w:rsidR="006B2FCA" w:rsidRPr="00211254">
        <w:rPr>
          <w:szCs w:val="22"/>
        </w:rPr>
        <w:t>r</w:t>
      </w:r>
      <w:r w:rsidR="00FD1837" w:rsidRPr="00211254">
        <w:rPr>
          <w:szCs w:val="22"/>
        </w:rPr>
        <w:t>liere</w:t>
      </w:r>
      <w:proofErr w:type="spellEnd"/>
      <w:r w:rsidR="006B2FCA" w:rsidRPr="00211254">
        <w:rPr>
          <w:szCs w:val="22"/>
        </w:rPr>
        <w:t xml:space="preserve"> et al., Abstract LB-6,</w:t>
      </w:r>
      <w:r w:rsidR="00FD1837" w:rsidRPr="00211254">
        <w:rPr>
          <w:szCs w:val="22"/>
        </w:rPr>
        <w:t xml:space="preserve"> AASLD </w:t>
      </w:r>
      <w:r w:rsidR="006B2FCA" w:rsidRPr="00211254">
        <w:rPr>
          <w:szCs w:val="22"/>
        </w:rPr>
        <w:t xml:space="preserve">November, </w:t>
      </w:r>
      <w:r w:rsidR="00FD1837" w:rsidRPr="00211254">
        <w:rPr>
          <w:szCs w:val="22"/>
        </w:rPr>
        <w:t>2014).</w:t>
      </w:r>
    </w:p>
    <w:p w:rsidR="00EE5AF1" w:rsidRPr="00E47E6E" w:rsidRDefault="00EE5AF1" w:rsidP="00EE5AF1">
      <w:pPr>
        <w:pStyle w:val="ListParagraph"/>
        <w:widowControl/>
        <w:rPr>
          <w:szCs w:val="22"/>
        </w:rPr>
      </w:pPr>
    </w:p>
    <w:p w:rsidR="00EE5AF1" w:rsidRPr="00A901A5" w:rsidRDefault="009B45A8" w:rsidP="00B87E17">
      <w:pPr>
        <w:pStyle w:val="ListParagraph"/>
        <w:widowControl/>
        <w:numPr>
          <w:ilvl w:val="1"/>
          <w:numId w:val="3"/>
        </w:numPr>
        <w:tabs>
          <w:tab w:val="left" w:pos="6096"/>
        </w:tabs>
        <w:rPr>
          <w:szCs w:val="22"/>
        </w:rPr>
      </w:pPr>
      <w:r w:rsidRPr="00E47E6E">
        <w:rPr>
          <w:szCs w:val="22"/>
        </w:rPr>
        <w:t xml:space="preserve">Comparisons of SVR rates across studies, between </w:t>
      </w:r>
      <w:proofErr w:type="spellStart"/>
      <w:r w:rsidRPr="00E47E6E">
        <w:rPr>
          <w:szCs w:val="22"/>
        </w:rPr>
        <w:t>ledipasvir</w:t>
      </w:r>
      <w:proofErr w:type="spellEnd"/>
      <w:r w:rsidRPr="00E47E6E">
        <w:rPr>
          <w:szCs w:val="22"/>
        </w:rPr>
        <w:t xml:space="preserve">/sofosbuvir (LDV/SOF) and protease inhibitors + PR, were unadjusted indirect single arm comparisons.  It was unclear to what extent the differences in observed SVR rates between the studies were a result of the different efficacies of the treatment regimens, or due to non-exchangeable populations or biases introduced into the studies.  While the SVR rates for LDV/SOF were consistently higher than those for </w:t>
      </w:r>
      <w:proofErr w:type="spellStart"/>
      <w:r w:rsidRPr="00E47E6E">
        <w:rPr>
          <w:szCs w:val="22"/>
        </w:rPr>
        <w:t>boceprevir</w:t>
      </w:r>
      <w:proofErr w:type="spellEnd"/>
      <w:r w:rsidRPr="00E47E6E">
        <w:rPr>
          <w:szCs w:val="22"/>
        </w:rPr>
        <w:t xml:space="preserve">, telaprevir or </w:t>
      </w:r>
      <w:proofErr w:type="spellStart"/>
      <w:r w:rsidRPr="00E47E6E">
        <w:rPr>
          <w:szCs w:val="22"/>
        </w:rPr>
        <w:t>simeprevir</w:t>
      </w:r>
      <w:proofErr w:type="spellEnd"/>
      <w:r w:rsidRPr="00E47E6E">
        <w:rPr>
          <w:szCs w:val="22"/>
        </w:rPr>
        <w:t>, the magnitude of this difference was uncertain</w:t>
      </w:r>
      <w:r w:rsidR="003B4F55" w:rsidRPr="00E47E6E">
        <w:rPr>
          <w:szCs w:val="22"/>
        </w:rPr>
        <w:t>.</w:t>
      </w:r>
    </w:p>
    <w:p w:rsidR="00EE5AF1" w:rsidRPr="00882085" w:rsidRDefault="00EE5AF1" w:rsidP="00EE5AF1">
      <w:pPr>
        <w:rPr>
          <w:szCs w:val="22"/>
        </w:rPr>
      </w:pPr>
    </w:p>
    <w:p w:rsidR="00EE5AF1" w:rsidRPr="00B8483F" w:rsidRDefault="00EE5AF1" w:rsidP="00AF78AC">
      <w:pPr>
        <w:pStyle w:val="Heading2"/>
      </w:pPr>
      <w:bookmarkStart w:id="19" w:name="_Toc409530206"/>
      <w:r w:rsidRPr="00B8483F">
        <w:t>Comparative harms</w:t>
      </w:r>
      <w:bookmarkEnd w:id="19"/>
    </w:p>
    <w:p w:rsidR="00EE5AF1" w:rsidRPr="00882085" w:rsidRDefault="00EE5AF1" w:rsidP="00EE5AF1">
      <w:pPr>
        <w:ind w:left="720" w:hanging="720"/>
        <w:rPr>
          <w:szCs w:val="22"/>
        </w:rPr>
      </w:pPr>
    </w:p>
    <w:p w:rsidR="00EE5AF1" w:rsidRPr="005018A7" w:rsidRDefault="00EE5AF1" w:rsidP="00B87E17">
      <w:pPr>
        <w:pStyle w:val="ListParagraph"/>
        <w:widowControl/>
        <w:numPr>
          <w:ilvl w:val="1"/>
          <w:numId w:val="3"/>
        </w:numPr>
        <w:rPr>
          <w:szCs w:val="22"/>
        </w:rPr>
      </w:pPr>
      <w:r>
        <w:t>LDV/SOF related adverse events of grade 3 or worse were uncommon (3.2% or less in all treatment arms except LDV/SOF24 (9.2%) and LDV/SOF+</w:t>
      </w:r>
      <w:r w:rsidR="009B45A8">
        <w:t>R</w:t>
      </w:r>
      <w:r>
        <w:t>24 (7.2%) in ION-2).</w:t>
      </w:r>
    </w:p>
    <w:p w:rsidR="00EE5AF1" w:rsidRPr="009258D0" w:rsidRDefault="00EE5AF1" w:rsidP="00EE5AF1">
      <w:pPr>
        <w:pStyle w:val="ListParagraph"/>
        <w:widowControl/>
        <w:rPr>
          <w:szCs w:val="22"/>
        </w:rPr>
      </w:pPr>
    </w:p>
    <w:p w:rsidR="00EE5AF1" w:rsidRPr="00E47E6E" w:rsidRDefault="00EE5AF1" w:rsidP="00B87E17">
      <w:pPr>
        <w:pStyle w:val="ListParagraph"/>
        <w:widowControl/>
        <w:numPr>
          <w:ilvl w:val="1"/>
          <w:numId w:val="3"/>
        </w:numPr>
        <w:rPr>
          <w:szCs w:val="22"/>
        </w:rPr>
      </w:pPr>
      <w:r w:rsidRPr="00E47E6E">
        <w:t xml:space="preserve">The pooled safety data for the treatment arms relevant to </w:t>
      </w:r>
      <w:r w:rsidR="009B45A8" w:rsidRPr="00E47E6E">
        <w:t>the proposed LDV/SOF PBS listing</w:t>
      </w:r>
      <w:r w:rsidR="00432889" w:rsidRPr="00E47E6E">
        <w:t>,</w:t>
      </w:r>
      <w:r w:rsidR="009B45A8" w:rsidRPr="00E47E6E">
        <w:t xml:space="preserve"> as well as the </w:t>
      </w:r>
      <w:r w:rsidRPr="00E47E6E">
        <w:t>current PBS listing</w:t>
      </w:r>
      <w:r w:rsidR="009B45A8" w:rsidRPr="00E47E6E">
        <w:t>s</w:t>
      </w:r>
      <w:r w:rsidRPr="00E47E6E">
        <w:t xml:space="preserve"> of </w:t>
      </w:r>
      <w:r w:rsidR="009B45A8" w:rsidRPr="00E47E6E">
        <w:t xml:space="preserve">the </w:t>
      </w:r>
      <w:r w:rsidRPr="00E47E6E">
        <w:t>protease inhibitors</w:t>
      </w:r>
      <w:r w:rsidR="00432889" w:rsidRPr="00E47E6E">
        <w:t>,</w:t>
      </w:r>
      <w:r w:rsidRPr="00E47E6E">
        <w:t xml:space="preserve"> are summarised below.</w:t>
      </w:r>
    </w:p>
    <w:p w:rsidR="00EE5AF1" w:rsidRDefault="00EE5AF1" w:rsidP="00EE5AF1">
      <w:pPr>
        <w:pStyle w:val="ListParagraph"/>
        <w:widowControl/>
      </w:pPr>
    </w:p>
    <w:p w:rsidR="0071353B" w:rsidRDefault="0071353B">
      <w:pPr>
        <w:widowControl/>
        <w:jc w:val="left"/>
        <w:rPr>
          <w:rStyle w:val="CommentReference"/>
          <w:b/>
        </w:rPr>
      </w:pPr>
      <w:r>
        <w:rPr>
          <w:rStyle w:val="CommentReference"/>
          <w:b/>
        </w:rPr>
        <w:br w:type="page"/>
      </w:r>
    </w:p>
    <w:p w:rsidR="00EE5AF1" w:rsidRPr="002A398D" w:rsidRDefault="00EE5AF1" w:rsidP="002A398D">
      <w:pPr>
        <w:widowControl/>
        <w:ind w:firstLine="720"/>
        <w:jc w:val="left"/>
        <w:rPr>
          <w:rStyle w:val="CommentReference"/>
          <w:b/>
          <w:sz w:val="22"/>
        </w:rPr>
      </w:pPr>
      <w:r w:rsidRPr="002A398D">
        <w:rPr>
          <w:rStyle w:val="CommentReference"/>
          <w:b/>
        </w:rPr>
        <w:lastRenderedPageBreak/>
        <w:t xml:space="preserve">Pooled adverse event rates for the </w:t>
      </w:r>
      <w:r w:rsidR="00432889" w:rsidRPr="002A398D">
        <w:rPr>
          <w:rStyle w:val="CommentReference"/>
          <w:b/>
        </w:rPr>
        <w:t xml:space="preserve">relevant </w:t>
      </w:r>
      <w:r w:rsidRPr="002A398D">
        <w:rPr>
          <w:rStyle w:val="CommentReference"/>
          <w:b/>
        </w:rPr>
        <w:t xml:space="preserve">treatment arms </w:t>
      </w:r>
    </w:p>
    <w:tbl>
      <w:tblPr>
        <w:tblStyle w:val="TableGrid"/>
        <w:tblW w:w="0" w:type="auto"/>
        <w:tblInd w:w="864" w:type="dxa"/>
        <w:tblLook w:val="0620" w:firstRow="1" w:lastRow="0" w:firstColumn="0" w:lastColumn="0" w:noHBand="1" w:noVBand="1"/>
        <w:tblCaption w:val="Comparative harms"/>
      </w:tblPr>
      <w:tblGrid>
        <w:gridCol w:w="1238"/>
        <w:gridCol w:w="1787"/>
        <w:gridCol w:w="1787"/>
        <w:gridCol w:w="1784"/>
        <w:gridCol w:w="1782"/>
      </w:tblGrid>
      <w:tr w:rsidR="00EE5AF1" w:rsidRPr="00E47E6E" w:rsidTr="00AF78AC">
        <w:trPr>
          <w:tblHeader/>
        </w:trPr>
        <w:tc>
          <w:tcPr>
            <w:tcW w:w="1238" w:type="dxa"/>
            <w:tcBorders>
              <w:bottom w:val="single" w:sz="4" w:space="0" w:color="auto"/>
            </w:tcBorders>
            <w:shd w:val="clear" w:color="auto" w:fill="BFBFBF" w:themeFill="background1" w:themeFillShade="BF"/>
            <w:vAlign w:val="center"/>
          </w:tcPr>
          <w:p w:rsidR="00EE5AF1" w:rsidRPr="00E47E6E" w:rsidRDefault="00EE5AF1" w:rsidP="00EE5AF1">
            <w:pPr>
              <w:jc w:val="left"/>
              <w:rPr>
                <w:rFonts w:ascii="Arial Narrow" w:hAnsi="Arial Narrow"/>
                <w:sz w:val="20"/>
              </w:rPr>
            </w:pPr>
          </w:p>
        </w:tc>
        <w:tc>
          <w:tcPr>
            <w:tcW w:w="1787" w:type="dxa"/>
            <w:tcBorders>
              <w:bottom w:val="single" w:sz="4" w:space="0" w:color="auto"/>
            </w:tcBorders>
            <w:shd w:val="clear" w:color="auto" w:fill="BFBFBF" w:themeFill="background1" w:themeFillShade="BF"/>
            <w:vAlign w:val="center"/>
          </w:tcPr>
          <w:p w:rsidR="00EE5AF1" w:rsidRPr="00E47E6E" w:rsidRDefault="00EE5AF1" w:rsidP="00EE5AF1">
            <w:pPr>
              <w:rPr>
                <w:rFonts w:ascii="Arial Narrow" w:hAnsi="Arial Narrow"/>
                <w:b/>
                <w:sz w:val="20"/>
              </w:rPr>
            </w:pPr>
            <w:r w:rsidRPr="00E47E6E">
              <w:rPr>
                <w:rFonts w:ascii="Arial Narrow" w:hAnsi="Arial Narrow"/>
                <w:b/>
                <w:color w:val="000000"/>
                <w:sz w:val="20"/>
              </w:rPr>
              <w:t>LDV/SOF</w:t>
            </w:r>
          </w:p>
        </w:tc>
        <w:tc>
          <w:tcPr>
            <w:tcW w:w="1787" w:type="dxa"/>
            <w:tcBorders>
              <w:bottom w:val="single" w:sz="4" w:space="0" w:color="auto"/>
            </w:tcBorders>
            <w:shd w:val="clear" w:color="auto" w:fill="BFBFBF" w:themeFill="background1" w:themeFillShade="BF"/>
            <w:vAlign w:val="center"/>
          </w:tcPr>
          <w:p w:rsidR="00EE5AF1" w:rsidRPr="00E47E6E" w:rsidRDefault="00EE5AF1" w:rsidP="00EE5AF1">
            <w:pPr>
              <w:rPr>
                <w:rFonts w:ascii="Arial Narrow" w:hAnsi="Arial Narrow"/>
                <w:b/>
                <w:sz w:val="20"/>
              </w:rPr>
            </w:pPr>
            <w:r w:rsidRPr="00E47E6E">
              <w:rPr>
                <w:rFonts w:ascii="Arial Narrow" w:hAnsi="Arial Narrow"/>
                <w:b/>
                <w:color w:val="000000"/>
                <w:sz w:val="20"/>
              </w:rPr>
              <w:t>BOC+PR</w:t>
            </w:r>
          </w:p>
        </w:tc>
        <w:tc>
          <w:tcPr>
            <w:tcW w:w="1784" w:type="dxa"/>
            <w:tcBorders>
              <w:bottom w:val="single" w:sz="4" w:space="0" w:color="auto"/>
            </w:tcBorders>
            <w:shd w:val="clear" w:color="auto" w:fill="BFBFBF" w:themeFill="background1" w:themeFillShade="BF"/>
            <w:vAlign w:val="center"/>
          </w:tcPr>
          <w:p w:rsidR="00EE5AF1" w:rsidRPr="00E47E6E" w:rsidRDefault="00221E13" w:rsidP="00EE5AF1">
            <w:pPr>
              <w:rPr>
                <w:rFonts w:ascii="Arial Narrow" w:hAnsi="Arial Narrow"/>
                <w:b/>
                <w:sz w:val="20"/>
              </w:rPr>
            </w:pPr>
            <w:r w:rsidRPr="00E47E6E">
              <w:rPr>
                <w:rFonts w:ascii="Arial Narrow" w:hAnsi="Arial Narrow"/>
                <w:b/>
                <w:color w:val="000000"/>
                <w:sz w:val="20"/>
              </w:rPr>
              <w:t>TVR</w:t>
            </w:r>
            <w:r w:rsidR="00EE5AF1" w:rsidRPr="00E47E6E">
              <w:rPr>
                <w:rFonts w:ascii="Arial Narrow" w:hAnsi="Arial Narrow"/>
                <w:b/>
                <w:color w:val="000000"/>
                <w:sz w:val="20"/>
              </w:rPr>
              <w:t>+PR</w:t>
            </w:r>
          </w:p>
        </w:tc>
        <w:tc>
          <w:tcPr>
            <w:tcW w:w="1782" w:type="dxa"/>
            <w:tcBorders>
              <w:bottom w:val="single" w:sz="4" w:space="0" w:color="auto"/>
            </w:tcBorders>
            <w:shd w:val="clear" w:color="auto" w:fill="BFBFBF" w:themeFill="background1" w:themeFillShade="BF"/>
            <w:vAlign w:val="center"/>
          </w:tcPr>
          <w:p w:rsidR="00EE5AF1" w:rsidRPr="00E47E6E" w:rsidRDefault="00EE5AF1" w:rsidP="00EE5AF1">
            <w:pPr>
              <w:rPr>
                <w:rFonts w:ascii="Arial Narrow" w:hAnsi="Arial Narrow"/>
                <w:b/>
                <w:sz w:val="20"/>
              </w:rPr>
            </w:pPr>
            <w:r w:rsidRPr="00E47E6E">
              <w:rPr>
                <w:rFonts w:ascii="Arial Narrow" w:hAnsi="Arial Narrow"/>
                <w:b/>
                <w:color w:val="000000"/>
                <w:sz w:val="20"/>
              </w:rPr>
              <w:t>SMV+PR</w:t>
            </w:r>
          </w:p>
        </w:tc>
      </w:tr>
      <w:tr w:rsidR="00EE5AF1" w:rsidRPr="00E47E6E" w:rsidTr="00AF78AC">
        <w:tc>
          <w:tcPr>
            <w:tcW w:w="1238" w:type="dxa"/>
            <w:vMerge w:val="restart"/>
            <w:tcBorders>
              <w:bottom w:val="single" w:sz="4" w:space="0" w:color="auto"/>
              <w:right w:val="single" w:sz="4" w:space="0" w:color="auto"/>
            </w:tcBorders>
            <w:vAlign w:val="center"/>
          </w:tcPr>
          <w:p w:rsidR="00EE5AF1" w:rsidRPr="00E47E6E" w:rsidRDefault="00EE5AF1" w:rsidP="00EE5AF1">
            <w:pPr>
              <w:jc w:val="left"/>
              <w:rPr>
                <w:rFonts w:ascii="Arial Narrow" w:hAnsi="Arial Narrow"/>
                <w:b/>
                <w:sz w:val="20"/>
              </w:rPr>
            </w:pPr>
            <w:proofErr w:type="gramStart"/>
            <w:r w:rsidRPr="00E47E6E">
              <w:rPr>
                <w:rFonts w:ascii="Arial Narrow" w:hAnsi="Arial Narrow"/>
                <w:b/>
                <w:sz w:val="20"/>
              </w:rPr>
              <w:t>n/N</w:t>
            </w:r>
            <w:proofErr w:type="gramEnd"/>
            <w:r w:rsidRPr="00E47E6E">
              <w:rPr>
                <w:rFonts w:ascii="Arial Narrow" w:hAnsi="Arial Narrow"/>
                <w:b/>
                <w:sz w:val="20"/>
              </w:rPr>
              <w:t xml:space="preserve"> (%)</w:t>
            </w:r>
          </w:p>
        </w:tc>
        <w:tc>
          <w:tcPr>
            <w:tcW w:w="1787" w:type="dxa"/>
            <w:tcBorders>
              <w:left w:val="single" w:sz="4" w:space="0" w:color="auto"/>
              <w:bottom w:val="nil"/>
              <w:righ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ION-1</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LDV/SOF12</w:t>
            </w:r>
          </w:p>
        </w:tc>
        <w:tc>
          <w:tcPr>
            <w:tcW w:w="1787" w:type="dxa"/>
            <w:tcBorders>
              <w:left w:val="single" w:sz="4" w:space="0" w:color="auto"/>
              <w:bottom w:val="nil"/>
              <w:righ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SPRINT-2</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BOC+PR 24-48 RGT</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BOC+PR 48</w:t>
            </w:r>
          </w:p>
        </w:tc>
        <w:tc>
          <w:tcPr>
            <w:tcW w:w="1784" w:type="dxa"/>
            <w:tcBorders>
              <w:left w:val="single" w:sz="4" w:space="0" w:color="auto"/>
              <w:bottom w:val="nil"/>
              <w:righ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ADVANCE</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T12PR 24-48 RGT</w:t>
            </w:r>
          </w:p>
        </w:tc>
        <w:tc>
          <w:tcPr>
            <w:tcW w:w="1782" w:type="dxa"/>
            <w:tcBorders>
              <w:left w:val="single" w:sz="4" w:space="0" w:color="auto"/>
              <w:bottom w:val="nil"/>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QUEST-1</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SMV+PR 24-48 RGT</w:t>
            </w:r>
          </w:p>
        </w:tc>
      </w:tr>
      <w:tr w:rsidR="00EE5AF1" w:rsidRPr="00E47E6E" w:rsidTr="00AF78AC">
        <w:tc>
          <w:tcPr>
            <w:tcW w:w="1238" w:type="dxa"/>
            <w:vMerge/>
            <w:tcBorders>
              <w:top w:val="nil"/>
              <w:bottom w:val="single" w:sz="4" w:space="0" w:color="auto"/>
              <w:right w:val="single" w:sz="4" w:space="0" w:color="auto"/>
            </w:tcBorders>
            <w:vAlign w:val="center"/>
          </w:tcPr>
          <w:p w:rsidR="00EE5AF1" w:rsidRPr="00E47E6E" w:rsidRDefault="00EE5AF1" w:rsidP="00EE5AF1">
            <w:pPr>
              <w:jc w:val="left"/>
              <w:rPr>
                <w:rFonts w:ascii="Arial Narrow" w:hAnsi="Arial Narrow"/>
                <w:b/>
                <w:sz w:val="20"/>
              </w:rPr>
            </w:pPr>
          </w:p>
        </w:tc>
        <w:tc>
          <w:tcPr>
            <w:tcW w:w="1787" w:type="dxa"/>
            <w:tcBorders>
              <w:top w:val="nil"/>
              <w:left w:val="single" w:sz="4" w:space="0" w:color="auto"/>
              <w:bottom w:val="nil"/>
              <w:righ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ION-3</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LDV/SOF8</w:t>
            </w:r>
          </w:p>
        </w:tc>
        <w:tc>
          <w:tcPr>
            <w:tcW w:w="1787" w:type="dxa"/>
            <w:tcBorders>
              <w:top w:val="nil"/>
              <w:left w:val="single" w:sz="4" w:space="0" w:color="auto"/>
              <w:bottom w:val="nil"/>
              <w:righ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RESPOND-2</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BOC+PR 36-48 RGT</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BOC+PR 48</w:t>
            </w:r>
          </w:p>
        </w:tc>
        <w:tc>
          <w:tcPr>
            <w:tcW w:w="1784" w:type="dxa"/>
            <w:tcBorders>
              <w:top w:val="nil"/>
              <w:left w:val="single" w:sz="4" w:space="0" w:color="auto"/>
              <w:bottom w:val="nil"/>
              <w:righ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REALIZE</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T12PR48</w:t>
            </w:r>
          </w:p>
        </w:tc>
        <w:tc>
          <w:tcPr>
            <w:tcW w:w="1782" w:type="dxa"/>
            <w:tcBorders>
              <w:top w:val="nil"/>
              <w:left w:val="single" w:sz="4" w:space="0" w:color="auto"/>
              <w:bottom w:val="nil"/>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QUEST-2</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SMV+PR 24-48 RGT</w:t>
            </w:r>
          </w:p>
        </w:tc>
      </w:tr>
      <w:tr w:rsidR="00EE5AF1" w:rsidRPr="00E47E6E" w:rsidTr="00AF78AC">
        <w:tc>
          <w:tcPr>
            <w:tcW w:w="1238" w:type="dxa"/>
            <w:vMerge/>
            <w:tcBorders>
              <w:top w:val="nil"/>
              <w:right w:val="single" w:sz="4" w:space="0" w:color="auto"/>
            </w:tcBorders>
            <w:vAlign w:val="center"/>
          </w:tcPr>
          <w:p w:rsidR="00EE5AF1" w:rsidRPr="00E47E6E" w:rsidRDefault="00EE5AF1" w:rsidP="00EE5AF1">
            <w:pPr>
              <w:jc w:val="left"/>
              <w:rPr>
                <w:rFonts w:ascii="Arial Narrow" w:hAnsi="Arial Narrow"/>
                <w:b/>
                <w:sz w:val="20"/>
              </w:rPr>
            </w:pPr>
          </w:p>
        </w:tc>
        <w:tc>
          <w:tcPr>
            <w:tcW w:w="1787" w:type="dxa"/>
            <w:tcBorders>
              <w:top w:val="nil"/>
              <w:left w:val="single" w:sz="4" w:space="0" w:color="auto"/>
              <w:righ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ION-2</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LDV/SOF12</w:t>
            </w:r>
          </w:p>
        </w:tc>
        <w:tc>
          <w:tcPr>
            <w:tcW w:w="1787" w:type="dxa"/>
            <w:tcBorders>
              <w:top w:val="nil"/>
              <w:left w:val="single" w:sz="4" w:space="0" w:color="auto"/>
              <w:right w:val="single" w:sz="4" w:space="0" w:color="auto"/>
            </w:tcBorders>
            <w:vAlign w:val="center"/>
          </w:tcPr>
          <w:p w:rsidR="00EE5AF1" w:rsidRPr="00E47E6E" w:rsidRDefault="00EE5AF1" w:rsidP="00EE5AF1">
            <w:pPr>
              <w:rPr>
                <w:rFonts w:ascii="Arial Narrow" w:hAnsi="Arial Narrow"/>
                <w:color w:val="000000"/>
                <w:sz w:val="20"/>
                <w:u w:val="single"/>
              </w:rPr>
            </w:pPr>
            <w:proofErr w:type="spellStart"/>
            <w:r w:rsidRPr="00E47E6E">
              <w:rPr>
                <w:rFonts w:ascii="Arial Narrow" w:hAnsi="Arial Narrow"/>
                <w:color w:val="000000"/>
                <w:sz w:val="20"/>
                <w:u w:val="single"/>
              </w:rPr>
              <w:t>Flamm</w:t>
            </w:r>
            <w:proofErr w:type="spellEnd"/>
            <w:r w:rsidRPr="00E47E6E">
              <w:rPr>
                <w:rFonts w:ascii="Arial Narrow" w:hAnsi="Arial Narrow"/>
                <w:color w:val="000000"/>
                <w:sz w:val="20"/>
                <w:u w:val="single"/>
              </w:rPr>
              <w:t xml:space="preserve"> 2013</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BOC+PR 48</w:t>
            </w:r>
          </w:p>
        </w:tc>
        <w:tc>
          <w:tcPr>
            <w:tcW w:w="1784" w:type="dxa"/>
            <w:tcBorders>
              <w:top w:val="nil"/>
              <w:left w:val="single" w:sz="4" w:space="0" w:color="auto"/>
              <w:right w:val="single" w:sz="4" w:space="0" w:color="auto"/>
            </w:tcBorders>
            <w:vAlign w:val="center"/>
          </w:tcPr>
          <w:p w:rsidR="00EE5AF1" w:rsidRPr="00E47E6E" w:rsidRDefault="00EE5AF1" w:rsidP="00EE5AF1">
            <w:pPr>
              <w:rPr>
                <w:rFonts w:ascii="Arial Narrow" w:hAnsi="Arial Narrow"/>
                <w:color w:val="000000"/>
                <w:sz w:val="20"/>
              </w:rPr>
            </w:pPr>
          </w:p>
        </w:tc>
        <w:tc>
          <w:tcPr>
            <w:tcW w:w="1782" w:type="dxa"/>
            <w:tcBorders>
              <w:top w:val="nil"/>
              <w:left w:val="single" w:sz="4" w:space="0" w:color="auto"/>
            </w:tcBorders>
            <w:vAlign w:val="center"/>
          </w:tcPr>
          <w:p w:rsidR="00EE5AF1" w:rsidRPr="00E47E6E" w:rsidRDefault="00EE5AF1" w:rsidP="00EE5AF1">
            <w:pPr>
              <w:rPr>
                <w:rFonts w:ascii="Arial Narrow" w:hAnsi="Arial Narrow"/>
                <w:color w:val="000000"/>
                <w:sz w:val="20"/>
                <w:u w:val="single"/>
              </w:rPr>
            </w:pPr>
            <w:r w:rsidRPr="00E47E6E">
              <w:rPr>
                <w:rFonts w:ascii="Arial Narrow" w:hAnsi="Arial Narrow"/>
                <w:color w:val="000000"/>
                <w:sz w:val="20"/>
                <w:u w:val="single"/>
              </w:rPr>
              <w:t>PROMISE</w:t>
            </w:r>
          </w:p>
          <w:p w:rsidR="00EE5AF1" w:rsidRPr="00E47E6E" w:rsidRDefault="00EE5AF1" w:rsidP="00EE5AF1">
            <w:pPr>
              <w:rPr>
                <w:rFonts w:ascii="Arial Narrow" w:hAnsi="Arial Narrow"/>
                <w:color w:val="000000"/>
                <w:sz w:val="20"/>
              </w:rPr>
            </w:pPr>
            <w:r w:rsidRPr="00E47E6E">
              <w:rPr>
                <w:rFonts w:ascii="Arial Narrow" w:hAnsi="Arial Narrow"/>
                <w:color w:val="000000"/>
                <w:sz w:val="20"/>
              </w:rPr>
              <w:t>SMV+PR 48</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r w:rsidRPr="00E47E6E">
              <w:rPr>
                <w:rFonts w:ascii="Arial Narrow" w:hAnsi="Arial Narrow"/>
                <w:b/>
                <w:color w:val="000000"/>
                <w:sz w:val="20"/>
              </w:rPr>
              <w:t xml:space="preserve">Any AE </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386/538 (71.7%)</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1184/1191 (99.4%)</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621/629 (98.7%)</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757/781 (96.9%)</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r w:rsidRPr="00E47E6E">
              <w:rPr>
                <w:rFonts w:ascii="Arial Narrow" w:hAnsi="Arial Narrow"/>
                <w:b/>
                <w:color w:val="000000"/>
                <w:sz w:val="20"/>
              </w:rPr>
              <w:t>SAE</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6/538 (1.1%)</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144/1191 (12.1%)</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66/629 (10.5%)</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40/781 (5.1%)</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r w:rsidRPr="00E47E6E">
              <w:rPr>
                <w:rFonts w:ascii="Arial Narrow" w:hAnsi="Arial Narrow"/>
                <w:b/>
                <w:color w:val="000000"/>
                <w:sz w:val="20"/>
              </w:rPr>
              <w:t>Treatment discontinued due to AE</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0/538 (0%)</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161/1191 (13.5%)</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75/629 (11.9%)</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15/781 (1.9%)</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proofErr w:type="spellStart"/>
            <w:r w:rsidRPr="00E47E6E">
              <w:rPr>
                <w:rFonts w:ascii="Arial Narrow" w:hAnsi="Arial Narrow"/>
                <w:b/>
                <w:color w:val="000000"/>
                <w:sz w:val="20"/>
              </w:rPr>
              <w:t>Death</w:t>
            </w:r>
            <w:r w:rsidRPr="00E47E6E">
              <w:rPr>
                <w:rFonts w:ascii="Arial Narrow" w:hAnsi="Arial Narrow"/>
                <w:b/>
                <w:color w:val="000000"/>
                <w:sz w:val="20"/>
                <w:vertAlign w:val="superscript"/>
              </w:rPr>
              <w:t>a</w:t>
            </w:r>
            <w:proofErr w:type="spellEnd"/>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0/538 (0%)</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5/1191 (0.4%)</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0/363 (0%)</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2/521 (0.4%)</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r w:rsidRPr="00E47E6E">
              <w:rPr>
                <w:rFonts w:ascii="Arial Narrow" w:hAnsi="Arial Narrow"/>
                <w:b/>
                <w:color w:val="000000"/>
                <w:sz w:val="20"/>
              </w:rPr>
              <w:t>Anaemia</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2/538 (0.4%)</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572/1191 (48%)</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214/629 (34%)</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150/781 (19.2%)</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proofErr w:type="spellStart"/>
            <w:r w:rsidRPr="00E47E6E">
              <w:rPr>
                <w:rFonts w:ascii="Arial Narrow" w:hAnsi="Arial Narrow"/>
                <w:b/>
                <w:color w:val="000000"/>
                <w:sz w:val="20"/>
              </w:rPr>
              <w:t>Dysgeusia</w:t>
            </w:r>
            <w:r w:rsidRPr="00E47E6E">
              <w:rPr>
                <w:rFonts w:ascii="Arial Narrow" w:hAnsi="Arial Narrow"/>
                <w:b/>
                <w:color w:val="000000"/>
                <w:sz w:val="20"/>
                <w:vertAlign w:val="superscript"/>
              </w:rPr>
              <w:t>b</w:t>
            </w:r>
            <w:proofErr w:type="spellEnd"/>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6/538 (1.1%)</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486/1191 (40.8%)</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33/266 (12.4%)</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NR</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proofErr w:type="spellStart"/>
            <w:r w:rsidRPr="00E47E6E">
              <w:rPr>
                <w:rFonts w:ascii="Arial Narrow" w:hAnsi="Arial Narrow"/>
                <w:b/>
                <w:color w:val="000000"/>
                <w:sz w:val="20"/>
              </w:rPr>
              <w:t>Rash</w:t>
            </w:r>
            <w:r w:rsidRPr="00E47E6E">
              <w:rPr>
                <w:rFonts w:ascii="Arial Narrow" w:hAnsi="Arial Narrow"/>
                <w:b/>
                <w:color w:val="000000"/>
                <w:sz w:val="20"/>
                <w:vertAlign w:val="superscript"/>
              </w:rPr>
              <w:t>c</w:t>
            </w:r>
            <w:proofErr w:type="spellEnd"/>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21/538 (3.9%)</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79/457 (17.3%)</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232/629 (36.9%)</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218/781 (27.9%)</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r w:rsidRPr="00E47E6E">
              <w:rPr>
                <w:rFonts w:ascii="Arial Narrow" w:hAnsi="Arial Narrow"/>
                <w:b/>
                <w:color w:val="000000"/>
                <w:sz w:val="20"/>
              </w:rPr>
              <w:t>Fatigue</w:t>
            </w:r>
            <w:r w:rsidRPr="00E47E6E">
              <w:rPr>
                <w:rFonts w:ascii="Arial Narrow" w:hAnsi="Arial Narrow"/>
                <w:b/>
                <w:color w:val="000000"/>
                <w:sz w:val="20"/>
                <w:vertAlign w:val="superscript"/>
              </w:rPr>
              <w:t>d</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112/538 (20.8%)</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584/1057 (55.3%)</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352/629 (56%)</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178/517 (34.4%)</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proofErr w:type="spellStart"/>
            <w:r w:rsidRPr="00E47E6E">
              <w:rPr>
                <w:rFonts w:ascii="Arial Narrow" w:hAnsi="Arial Narrow"/>
                <w:b/>
                <w:color w:val="000000"/>
                <w:sz w:val="20"/>
              </w:rPr>
              <w:t>Headache</w:t>
            </w:r>
            <w:r w:rsidRPr="00E47E6E">
              <w:rPr>
                <w:rFonts w:ascii="Arial Narrow" w:hAnsi="Arial Narrow"/>
                <w:b/>
                <w:color w:val="000000"/>
                <w:sz w:val="20"/>
                <w:vertAlign w:val="superscript"/>
              </w:rPr>
              <w:t>d</w:t>
            </w:r>
            <w:proofErr w:type="spellEnd"/>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110/538 (20.4%)</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464/1057 (43.9%)</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260/629 (41.3%)</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186/517 (36%)</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proofErr w:type="spellStart"/>
            <w:r w:rsidRPr="00E47E6E">
              <w:rPr>
                <w:rFonts w:ascii="Arial Narrow" w:hAnsi="Arial Narrow"/>
                <w:b/>
                <w:color w:val="000000"/>
                <w:sz w:val="20"/>
              </w:rPr>
              <w:t>Nausea</w:t>
            </w:r>
            <w:r w:rsidRPr="00E47E6E">
              <w:rPr>
                <w:rFonts w:ascii="Arial Narrow" w:hAnsi="Arial Narrow"/>
                <w:b/>
                <w:color w:val="000000"/>
                <w:sz w:val="20"/>
                <w:vertAlign w:val="superscript"/>
              </w:rPr>
              <w:t>e</w:t>
            </w:r>
            <w:proofErr w:type="spellEnd"/>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52/538 (9.7%)</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468/1057 (44.3%)</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250/629 (39.7%)</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NR</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r w:rsidRPr="00E47E6E">
              <w:rPr>
                <w:rFonts w:ascii="Arial Narrow" w:hAnsi="Arial Narrow"/>
                <w:b/>
                <w:color w:val="000000"/>
                <w:sz w:val="20"/>
              </w:rPr>
              <w:t>Influenza</w:t>
            </w:r>
            <w:r w:rsidR="008E1EAF" w:rsidRPr="00E47E6E">
              <w:rPr>
                <w:rFonts w:ascii="Arial Narrow" w:hAnsi="Arial Narrow"/>
                <w:b/>
                <w:color w:val="000000"/>
                <w:sz w:val="20"/>
              </w:rPr>
              <w:t>-</w:t>
            </w:r>
            <w:r w:rsidRPr="00E47E6E">
              <w:rPr>
                <w:rFonts w:ascii="Arial Narrow" w:hAnsi="Arial Narrow"/>
                <w:b/>
                <w:color w:val="000000"/>
                <w:sz w:val="20"/>
              </w:rPr>
              <w:t xml:space="preserve"> like </w:t>
            </w:r>
            <w:proofErr w:type="spellStart"/>
            <w:r w:rsidRPr="00E47E6E">
              <w:rPr>
                <w:rFonts w:ascii="Arial Narrow" w:hAnsi="Arial Narrow"/>
                <w:b/>
                <w:color w:val="000000"/>
                <w:sz w:val="20"/>
              </w:rPr>
              <w:t>illness</w:t>
            </w:r>
            <w:r w:rsidRPr="00E47E6E">
              <w:rPr>
                <w:rFonts w:ascii="Arial Narrow" w:hAnsi="Arial Narrow"/>
                <w:b/>
                <w:color w:val="000000"/>
                <w:sz w:val="20"/>
                <w:vertAlign w:val="superscript"/>
              </w:rPr>
              <w:t>f</w:t>
            </w:r>
            <w:proofErr w:type="spellEnd"/>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6/538 (1.1%)</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75/323 (23.2%)</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187/629 (29.7%)</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144/517 (27.9%)</w:t>
            </w:r>
          </w:p>
        </w:tc>
      </w:tr>
      <w:tr w:rsidR="00EE5AF1" w:rsidRPr="00E47E6E" w:rsidTr="00AF78AC">
        <w:tc>
          <w:tcPr>
            <w:tcW w:w="1238" w:type="dxa"/>
            <w:vAlign w:val="center"/>
          </w:tcPr>
          <w:p w:rsidR="00EE5AF1" w:rsidRPr="00E47E6E" w:rsidRDefault="00EE5AF1" w:rsidP="00EE5AF1">
            <w:pPr>
              <w:jc w:val="left"/>
              <w:rPr>
                <w:rFonts w:ascii="Arial Narrow" w:hAnsi="Arial Narrow"/>
                <w:b/>
                <w:sz w:val="20"/>
              </w:rPr>
            </w:pPr>
            <w:proofErr w:type="spellStart"/>
            <w:r w:rsidRPr="00E47E6E">
              <w:rPr>
                <w:rFonts w:ascii="Arial Narrow" w:hAnsi="Arial Narrow"/>
                <w:b/>
                <w:color w:val="000000"/>
                <w:sz w:val="20"/>
              </w:rPr>
              <w:t>Neutropenia</w:t>
            </w:r>
            <w:r w:rsidRPr="00E47E6E">
              <w:rPr>
                <w:rFonts w:ascii="Arial Narrow" w:hAnsi="Arial Narrow"/>
                <w:b/>
                <w:color w:val="000000"/>
                <w:sz w:val="20"/>
                <w:vertAlign w:val="superscript"/>
              </w:rPr>
              <w:t>g</w:t>
            </w:r>
            <w:proofErr w:type="spellEnd"/>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NR</w:t>
            </w:r>
          </w:p>
        </w:tc>
        <w:tc>
          <w:tcPr>
            <w:tcW w:w="1787"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42/134 (31.3%)</w:t>
            </w:r>
          </w:p>
        </w:tc>
        <w:tc>
          <w:tcPr>
            <w:tcW w:w="1784" w:type="dxa"/>
            <w:vAlign w:val="center"/>
          </w:tcPr>
          <w:p w:rsidR="00EE5AF1" w:rsidRPr="00E47E6E" w:rsidRDefault="00EE5AF1" w:rsidP="00EE5AF1">
            <w:pPr>
              <w:jc w:val="center"/>
              <w:rPr>
                <w:rFonts w:ascii="Arial Narrow" w:hAnsi="Arial Narrow"/>
                <w:color w:val="000000"/>
                <w:sz w:val="20"/>
              </w:rPr>
            </w:pPr>
            <w:r w:rsidRPr="00E47E6E">
              <w:rPr>
                <w:rFonts w:ascii="Arial Narrow" w:hAnsi="Arial Narrow"/>
                <w:color w:val="000000"/>
                <w:sz w:val="20"/>
              </w:rPr>
              <w:t>89/629 (14.1%)</w:t>
            </w:r>
          </w:p>
        </w:tc>
        <w:tc>
          <w:tcPr>
            <w:tcW w:w="1782" w:type="dxa"/>
            <w:vAlign w:val="center"/>
          </w:tcPr>
          <w:p w:rsidR="00EE5AF1" w:rsidRPr="00E47E6E" w:rsidRDefault="00EE5AF1" w:rsidP="00EE5AF1">
            <w:pPr>
              <w:jc w:val="center"/>
              <w:rPr>
                <w:rFonts w:ascii="Arial Narrow" w:hAnsi="Arial Narrow"/>
                <w:sz w:val="20"/>
              </w:rPr>
            </w:pPr>
            <w:r w:rsidRPr="00E47E6E">
              <w:rPr>
                <w:rFonts w:ascii="Arial Narrow" w:hAnsi="Arial Narrow"/>
                <w:color w:val="000000"/>
                <w:sz w:val="20"/>
              </w:rPr>
              <w:t>164/781 (21%)</w:t>
            </w:r>
          </w:p>
        </w:tc>
      </w:tr>
    </w:tbl>
    <w:p w:rsidR="00EE5AF1" w:rsidRPr="00E47E6E" w:rsidRDefault="00EE5AF1" w:rsidP="00EE5AF1">
      <w:pPr>
        <w:pStyle w:val="TableFooter"/>
        <w:ind w:left="720"/>
      </w:pPr>
      <w:proofErr w:type="spellStart"/>
      <w:r w:rsidRPr="00E47E6E">
        <w:rPr>
          <w:vertAlign w:val="superscript"/>
        </w:rPr>
        <w:t>a</w:t>
      </w:r>
      <w:r w:rsidRPr="00E47E6E">
        <w:t>Death</w:t>
      </w:r>
      <w:proofErr w:type="spellEnd"/>
      <w:r w:rsidRPr="00E47E6E">
        <w:t xml:space="preserve"> was not reported for REALIZE or PROMISE; </w:t>
      </w:r>
      <w:proofErr w:type="spellStart"/>
      <w:r w:rsidRPr="00E47E6E">
        <w:rPr>
          <w:vertAlign w:val="superscript"/>
        </w:rPr>
        <w:t>b</w:t>
      </w:r>
      <w:r w:rsidRPr="00E47E6E">
        <w:t>Dysgeusia</w:t>
      </w:r>
      <w:proofErr w:type="spellEnd"/>
      <w:r w:rsidRPr="00E47E6E">
        <w:t xml:space="preserve"> was not reported for ADVANCE, QUEST-1, QUEST-2 or PROMISE; </w:t>
      </w:r>
      <w:proofErr w:type="spellStart"/>
      <w:r w:rsidRPr="00E47E6E">
        <w:rPr>
          <w:vertAlign w:val="superscript"/>
        </w:rPr>
        <w:t>c</w:t>
      </w:r>
      <w:r w:rsidRPr="00E47E6E">
        <w:t>Rash</w:t>
      </w:r>
      <w:proofErr w:type="spellEnd"/>
      <w:r w:rsidRPr="00E47E6E">
        <w:t xml:space="preserve"> was not reported for SPRINT-2; </w:t>
      </w:r>
      <w:proofErr w:type="spellStart"/>
      <w:r w:rsidRPr="00E47E6E">
        <w:rPr>
          <w:vertAlign w:val="superscript"/>
        </w:rPr>
        <w:t>d</w:t>
      </w:r>
      <w:r w:rsidRPr="00E47E6E">
        <w:t>Fatigue</w:t>
      </w:r>
      <w:proofErr w:type="spellEnd"/>
      <w:r w:rsidRPr="00E47E6E">
        <w:t xml:space="preserve"> and Headache were not reported for </w:t>
      </w:r>
      <w:proofErr w:type="spellStart"/>
      <w:r w:rsidRPr="00E47E6E">
        <w:t>Flamm</w:t>
      </w:r>
      <w:proofErr w:type="spellEnd"/>
      <w:r w:rsidRPr="00E47E6E">
        <w:t xml:space="preserve"> 2013 or QUEST-1; </w:t>
      </w:r>
      <w:proofErr w:type="spellStart"/>
      <w:r w:rsidRPr="00E47E6E">
        <w:rPr>
          <w:vertAlign w:val="superscript"/>
        </w:rPr>
        <w:t>e</w:t>
      </w:r>
      <w:r w:rsidRPr="00E47E6E">
        <w:t>Nausea</w:t>
      </w:r>
      <w:proofErr w:type="spellEnd"/>
      <w:r w:rsidRPr="00E47E6E">
        <w:t xml:space="preserve"> was not reported for </w:t>
      </w:r>
      <w:proofErr w:type="spellStart"/>
      <w:r w:rsidRPr="00E47E6E">
        <w:t>Flamm</w:t>
      </w:r>
      <w:proofErr w:type="spellEnd"/>
      <w:r w:rsidRPr="00E47E6E">
        <w:t xml:space="preserve"> 2013, QUEST-1, QUEST-2 or PROMISE; </w:t>
      </w:r>
      <w:proofErr w:type="spellStart"/>
      <w:r w:rsidRPr="00E47E6E">
        <w:rPr>
          <w:vertAlign w:val="superscript"/>
        </w:rPr>
        <w:t>f</w:t>
      </w:r>
      <w:r w:rsidRPr="00E47E6E">
        <w:t>Influenza</w:t>
      </w:r>
      <w:proofErr w:type="spellEnd"/>
      <w:r w:rsidR="008E1EAF" w:rsidRPr="00E47E6E">
        <w:t>-</w:t>
      </w:r>
      <w:r w:rsidRPr="00E47E6E">
        <w:t xml:space="preserve">like illness was not reported for SPRINT-2, </w:t>
      </w:r>
      <w:proofErr w:type="spellStart"/>
      <w:r w:rsidRPr="00E47E6E">
        <w:t>Flamm</w:t>
      </w:r>
      <w:proofErr w:type="spellEnd"/>
      <w:r w:rsidRPr="00E47E6E">
        <w:t xml:space="preserve"> 2013 and QUEST-1; </w:t>
      </w:r>
      <w:proofErr w:type="spellStart"/>
      <w:r w:rsidRPr="00E47E6E">
        <w:rPr>
          <w:vertAlign w:val="superscript"/>
        </w:rPr>
        <w:t>g</w:t>
      </w:r>
      <w:r w:rsidRPr="00E47E6E">
        <w:t>Neutropaenia</w:t>
      </w:r>
      <w:proofErr w:type="spellEnd"/>
      <w:r w:rsidRPr="00E47E6E">
        <w:t xml:space="preserve"> was not reported for ION-1, ION-2, ION-3, SPRINT-2 and RESPOND-2.  Denominators represent the pooled number of patients from the studies that reported a particular adverse event.</w:t>
      </w:r>
    </w:p>
    <w:p w:rsidR="00EE5AF1" w:rsidRPr="00E47E6E" w:rsidRDefault="00EE5AF1" w:rsidP="00EE5AF1">
      <w:pPr>
        <w:pStyle w:val="TableFooter"/>
        <w:ind w:left="720"/>
      </w:pPr>
      <w:r w:rsidRPr="00E47E6E">
        <w:t xml:space="preserve">AE= adverse event; SAE = serious adverse event; LDV/SOF = </w:t>
      </w:r>
      <w:proofErr w:type="spellStart"/>
      <w:r w:rsidRPr="00E47E6E">
        <w:t>ledipasvir</w:t>
      </w:r>
      <w:proofErr w:type="spellEnd"/>
      <w:r w:rsidRPr="00E47E6E">
        <w:t xml:space="preserve">/sofosbuvir; BOC = </w:t>
      </w:r>
      <w:proofErr w:type="spellStart"/>
      <w:r w:rsidRPr="00E47E6E">
        <w:t>boceprevir</w:t>
      </w:r>
      <w:proofErr w:type="spellEnd"/>
      <w:r w:rsidRPr="00E47E6E">
        <w:t xml:space="preserve">; PR = </w:t>
      </w:r>
      <w:proofErr w:type="spellStart"/>
      <w:r w:rsidRPr="00E47E6E">
        <w:t>peginterferon</w:t>
      </w:r>
      <w:proofErr w:type="spellEnd"/>
      <w:r w:rsidRPr="00E47E6E">
        <w:t xml:space="preserve"> and ribavirin; </w:t>
      </w:r>
      <w:r w:rsidR="00221E13" w:rsidRPr="00E47E6E">
        <w:t>TVR</w:t>
      </w:r>
      <w:r w:rsidRPr="00E47E6E">
        <w:t xml:space="preserve"> = telaprevir; SMV = </w:t>
      </w:r>
      <w:proofErr w:type="spellStart"/>
      <w:r w:rsidRPr="00E47E6E">
        <w:t>simeprevir</w:t>
      </w:r>
      <w:proofErr w:type="spellEnd"/>
      <w:r w:rsidRPr="00E47E6E">
        <w:t>; RGT = response guided therapy.</w:t>
      </w:r>
    </w:p>
    <w:p w:rsidR="00EE5AF1" w:rsidRPr="00E47E6E" w:rsidRDefault="00EE5AF1" w:rsidP="00EE5AF1">
      <w:pPr>
        <w:pStyle w:val="TableFooter"/>
        <w:ind w:left="720"/>
      </w:pPr>
      <w:r w:rsidRPr="00E47E6E">
        <w:t>Source: generated during the evaluation - adapted from Table B-118, p178 of the submission.  Only the treatment arms relevant to the submission have been included.</w:t>
      </w:r>
    </w:p>
    <w:p w:rsidR="00EE5AF1" w:rsidRPr="00123217" w:rsidRDefault="00EE5AF1" w:rsidP="00EE5AF1">
      <w:pPr>
        <w:pStyle w:val="ListParagraph"/>
        <w:widowControl/>
        <w:rPr>
          <w:i/>
          <w:szCs w:val="22"/>
        </w:rPr>
      </w:pPr>
    </w:p>
    <w:p w:rsidR="00EE5AF1" w:rsidRDefault="00EE5AF1" w:rsidP="00EE5AF1">
      <w:pPr>
        <w:pStyle w:val="ListParagraph"/>
        <w:ind w:left="0"/>
        <w:rPr>
          <w:szCs w:val="22"/>
        </w:rPr>
      </w:pPr>
    </w:p>
    <w:p w:rsidR="00EE5AF1" w:rsidRPr="00B8483F" w:rsidRDefault="00EE5AF1" w:rsidP="00AF78AC">
      <w:pPr>
        <w:pStyle w:val="Heading2"/>
      </w:pPr>
      <w:bookmarkStart w:id="20" w:name="_Toc409530207"/>
      <w:r w:rsidRPr="00B8483F">
        <w:t>Benefits/harms</w:t>
      </w:r>
      <w:bookmarkEnd w:id="20"/>
    </w:p>
    <w:p w:rsidR="00EE5AF1" w:rsidRPr="007F1017" w:rsidRDefault="00EE5AF1" w:rsidP="00EE5AF1">
      <w:pPr>
        <w:pStyle w:val="ListParagraph"/>
        <w:ind w:left="0"/>
        <w:rPr>
          <w:szCs w:val="22"/>
        </w:rPr>
      </w:pPr>
    </w:p>
    <w:p w:rsidR="00EE5AF1" w:rsidRPr="003966CB" w:rsidRDefault="00EE5AF1" w:rsidP="00B87E17">
      <w:pPr>
        <w:pStyle w:val="ListParagraph"/>
        <w:widowControl/>
        <w:numPr>
          <w:ilvl w:val="1"/>
          <w:numId w:val="3"/>
        </w:numPr>
        <w:jc w:val="left"/>
        <w:rPr>
          <w:szCs w:val="22"/>
        </w:rPr>
      </w:pPr>
      <w:r w:rsidRPr="003966CB">
        <w:t xml:space="preserve">From the evidence in the submission, the following </w:t>
      </w:r>
      <w:r w:rsidRPr="003966CB">
        <w:rPr>
          <w:szCs w:val="22"/>
        </w:rPr>
        <w:t xml:space="preserve">comparative benefits and harms </w:t>
      </w:r>
      <w:r w:rsidR="008E1EAF" w:rsidRPr="003966CB">
        <w:rPr>
          <w:szCs w:val="22"/>
        </w:rPr>
        <w:t xml:space="preserve">of LDV/SOF, relative to ‘no treatment’, </w:t>
      </w:r>
      <w:r w:rsidRPr="003966CB">
        <w:rPr>
          <w:szCs w:val="22"/>
        </w:rPr>
        <w:t>were estimated.</w:t>
      </w:r>
      <w:r w:rsidR="008E1EAF" w:rsidRPr="003966CB">
        <w:rPr>
          <w:szCs w:val="22"/>
        </w:rPr>
        <w:t xml:space="preserve"> When compared to protease inhibitors + PR</w:t>
      </w:r>
      <w:r w:rsidR="0005437D" w:rsidRPr="003966CB">
        <w:rPr>
          <w:szCs w:val="22"/>
        </w:rPr>
        <w:t>, LDV/SOF wa</w:t>
      </w:r>
      <w:r w:rsidR="008E1EAF" w:rsidRPr="003966CB">
        <w:rPr>
          <w:szCs w:val="22"/>
        </w:rPr>
        <w:t xml:space="preserve">s likely to have </w:t>
      </w:r>
      <w:proofErr w:type="gramStart"/>
      <w:r w:rsidR="008E1EAF" w:rsidRPr="003966CB">
        <w:rPr>
          <w:szCs w:val="22"/>
        </w:rPr>
        <w:t>fewer harms</w:t>
      </w:r>
      <w:proofErr w:type="gramEnd"/>
      <w:r w:rsidR="008E1EAF" w:rsidRPr="003966CB">
        <w:rPr>
          <w:szCs w:val="22"/>
        </w:rPr>
        <w:t xml:space="preserve"> (</w:t>
      </w:r>
      <w:r w:rsidR="007C2325">
        <w:rPr>
          <w:szCs w:val="22"/>
        </w:rPr>
        <w:t>see the table above</w:t>
      </w:r>
      <w:r w:rsidR="008E1EAF" w:rsidRPr="003966CB">
        <w:rPr>
          <w:szCs w:val="22"/>
        </w:rPr>
        <w:t xml:space="preserve">). </w:t>
      </w:r>
    </w:p>
    <w:p w:rsidR="00EE5AF1" w:rsidRDefault="00EE5AF1" w:rsidP="00EE5AF1">
      <w:pPr>
        <w:widowControl/>
        <w:ind w:left="709"/>
        <w:rPr>
          <w:szCs w:val="22"/>
        </w:rPr>
      </w:pPr>
    </w:p>
    <w:p w:rsidR="0071353B" w:rsidRDefault="0071353B">
      <w:pPr>
        <w:widowControl/>
        <w:jc w:val="left"/>
        <w:rPr>
          <w:rStyle w:val="CommentReference"/>
          <w:b/>
        </w:rPr>
      </w:pPr>
      <w:r>
        <w:rPr>
          <w:rStyle w:val="CommentReference"/>
          <w:b/>
        </w:rPr>
        <w:br w:type="page"/>
      </w:r>
    </w:p>
    <w:p w:rsidR="00EE5AF1" w:rsidRPr="00782EDA" w:rsidRDefault="00EE5AF1" w:rsidP="00EE5AF1">
      <w:pPr>
        <w:widowControl/>
        <w:ind w:left="709"/>
        <w:rPr>
          <w:rStyle w:val="CommentReference"/>
          <w:b/>
        </w:rPr>
      </w:pPr>
      <w:r w:rsidRPr="00782EDA">
        <w:rPr>
          <w:rStyle w:val="CommentReference"/>
          <w:b/>
        </w:rPr>
        <w:lastRenderedPageBreak/>
        <w:t>The benefit/harm of LDV/SOF compared with no treatment</w:t>
      </w:r>
    </w:p>
    <w:tbl>
      <w:tblPr>
        <w:tblStyle w:val="TableGrid"/>
        <w:tblW w:w="0" w:type="auto"/>
        <w:tblInd w:w="817" w:type="dxa"/>
        <w:tblLook w:val="04A0" w:firstRow="1" w:lastRow="0" w:firstColumn="1" w:lastColumn="0" w:noHBand="0" w:noVBand="1"/>
        <w:tblDescription w:val="benefits/harms comparison for patient group"/>
      </w:tblPr>
      <w:tblGrid>
        <w:gridCol w:w="1418"/>
        <w:gridCol w:w="2693"/>
        <w:gridCol w:w="4314"/>
      </w:tblGrid>
      <w:tr w:rsidR="00EE5AF1" w:rsidRPr="00A350C1" w:rsidTr="00EE5AF1">
        <w:trPr>
          <w:tblHeader/>
        </w:trPr>
        <w:tc>
          <w:tcPr>
            <w:tcW w:w="1418" w:type="dxa"/>
          </w:tcPr>
          <w:p w:rsidR="00EE5AF1" w:rsidRPr="00A350C1" w:rsidRDefault="00EE5AF1" w:rsidP="00EE5AF1">
            <w:pPr>
              <w:widowControl/>
              <w:rPr>
                <w:rFonts w:ascii="Arial Narrow" w:hAnsi="Arial Narrow"/>
                <w:b/>
                <w:snapToGrid/>
                <w:sz w:val="20"/>
                <w:lang w:eastAsia="en-AU"/>
              </w:rPr>
            </w:pPr>
            <w:r w:rsidRPr="00A350C1">
              <w:rPr>
                <w:rFonts w:ascii="Arial Narrow" w:hAnsi="Arial Narrow"/>
                <w:b/>
                <w:snapToGrid/>
                <w:sz w:val="20"/>
                <w:lang w:eastAsia="en-AU"/>
              </w:rPr>
              <w:t>Patient group</w:t>
            </w:r>
          </w:p>
        </w:tc>
        <w:tc>
          <w:tcPr>
            <w:tcW w:w="2693" w:type="dxa"/>
          </w:tcPr>
          <w:p w:rsidR="00EE5AF1" w:rsidRPr="00A350C1" w:rsidRDefault="0005437D" w:rsidP="00EE5AF1">
            <w:pPr>
              <w:widowControl/>
              <w:rPr>
                <w:rFonts w:ascii="Arial Narrow" w:hAnsi="Arial Narrow"/>
                <w:b/>
                <w:snapToGrid/>
                <w:sz w:val="20"/>
                <w:lang w:eastAsia="en-AU"/>
              </w:rPr>
            </w:pPr>
            <w:r>
              <w:rPr>
                <w:rFonts w:ascii="Arial Narrow" w:hAnsi="Arial Narrow"/>
                <w:b/>
                <w:snapToGrid/>
                <w:sz w:val="20"/>
                <w:lang w:eastAsia="en-AU"/>
              </w:rPr>
              <w:t>C</w:t>
            </w:r>
            <w:r w:rsidR="00EE5AF1" w:rsidRPr="00A350C1">
              <w:rPr>
                <w:rFonts w:ascii="Arial Narrow" w:hAnsi="Arial Narrow"/>
                <w:b/>
                <w:snapToGrid/>
                <w:sz w:val="20"/>
                <w:lang w:eastAsia="en-AU"/>
              </w:rPr>
              <w:t>omparison</w:t>
            </w:r>
          </w:p>
        </w:tc>
        <w:tc>
          <w:tcPr>
            <w:tcW w:w="4314" w:type="dxa"/>
          </w:tcPr>
          <w:p w:rsidR="00EE5AF1" w:rsidRPr="00A350C1" w:rsidRDefault="00EE5AF1" w:rsidP="00EE5AF1">
            <w:pPr>
              <w:widowControl/>
              <w:rPr>
                <w:rFonts w:ascii="Arial Narrow" w:hAnsi="Arial Narrow"/>
                <w:b/>
                <w:snapToGrid/>
                <w:sz w:val="20"/>
                <w:lang w:eastAsia="en-AU"/>
              </w:rPr>
            </w:pPr>
            <w:r w:rsidRPr="00A350C1">
              <w:rPr>
                <w:rFonts w:ascii="Arial Narrow" w:hAnsi="Arial Narrow"/>
                <w:b/>
                <w:snapToGrid/>
                <w:sz w:val="20"/>
                <w:lang w:eastAsia="en-AU"/>
              </w:rPr>
              <w:t>Benefits/harms</w:t>
            </w:r>
          </w:p>
        </w:tc>
      </w:tr>
      <w:tr w:rsidR="00EE5AF1" w:rsidRPr="00A350C1" w:rsidTr="00EE5AF1">
        <w:trPr>
          <w:trHeight w:val="1098"/>
        </w:trPr>
        <w:tc>
          <w:tcPr>
            <w:tcW w:w="1418" w:type="dxa"/>
          </w:tcPr>
          <w:p w:rsidR="00EE5AF1" w:rsidRPr="00A350C1" w:rsidRDefault="00EE5AF1" w:rsidP="0005437D">
            <w:pPr>
              <w:widowControl/>
              <w:jc w:val="left"/>
              <w:rPr>
                <w:rFonts w:ascii="Arial Narrow" w:hAnsi="Arial Narrow"/>
                <w:b/>
                <w:snapToGrid/>
                <w:sz w:val="20"/>
                <w:lang w:eastAsia="en-AU"/>
              </w:rPr>
            </w:pPr>
            <w:r w:rsidRPr="00A350C1">
              <w:rPr>
                <w:rFonts w:ascii="Arial Narrow" w:hAnsi="Arial Narrow"/>
                <w:b/>
                <w:snapToGrid/>
                <w:sz w:val="20"/>
                <w:lang w:eastAsia="en-AU"/>
              </w:rPr>
              <w:t xml:space="preserve">Genotype 1, treatment naïve, </w:t>
            </w:r>
            <w:r>
              <w:rPr>
                <w:rFonts w:ascii="Arial Narrow" w:hAnsi="Arial Narrow"/>
                <w:b/>
                <w:snapToGrid/>
                <w:sz w:val="20"/>
                <w:lang w:eastAsia="en-AU"/>
              </w:rPr>
              <w:t>non-cirrhotic patients</w:t>
            </w:r>
          </w:p>
        </w:tc>
        <w:tc>
          <w:tcPr>
            <w:tcW w:w="2693" w:type="dxa"/>
          </w:tcPr>
          <w:p w:rsidR="00EE5AF1" w:rsidRPr="00A350C1" w:rsidRDefault="00EE5AF1" w:rsidP="00EE5AF1">
            <w:pPr>
              <w:widowControl/>
              <w:jc w:val="left"/>
              <w:rPr>
                <w:rFonts w:ascii="Arial Narrow" w:hAnsi="Arial Narrow"/>
                <w:snapToGrid/>
                <w:sz w:val="20"/>
                <w:lang w:eastAsia="en-AU"/>
              </w:rPr>
            </w:pPr>
            <w:r w:rsidRPr="00A350C1">
              <w:rPr>
                <w:rFonts w:ascii="Arial Narrow" w:hAnsi="Arial Narrow"/>
                <w:snapToGrid/>
                <w:sz w:val="20"/>
                <w:lang w:eastAsia="en-AU"/>
              </w:rPr>
              <w:t xml:space="preserve">for every 100 patients treated with </w:t>
            </w:r>
            <w:r>
              <w:rPr>
                <w:rFonts w:ascii="Arial Narrow" w:hAnsi="Arial Narrow"/>
                <w:snapToGrid/>
                <w:sz w:val="20"/>
                <w:lang w:eastAsia="en-AU"/>
              </w:rPr>
              <w:t>LDV/SOF for 8 weeks</w:t>
            </w:r>
            <w:r w:rsidRPr="00A350C1">
              <w:rPr>
                <w:rFonts w:ascii="Arial Narrow" w:hAnsi="Arial Narrow"/>
                <w:snapToGrid/>
                <w:sz w:val="20"/>
                <w:lang w:eastAsia="en-AU"/>
              </w:rPr>
              <w:t xml:space="preserve"> in comparison to </w:t>
            </w:r>
            <w:r>
              <w:rPr>
                <w:rFonts w:ascii="Arial Narrow" w:hAnsi="Arial Narrow"/>
                <w:snapToGrid/>
                <w:sz w:val="20"/>
                <w:u w:val="single"/>
                <w:lang w:eastAsia="en-AU"/>
              </w:rPr>
              <w:t>no treatment</w:t>
            </w:r>
          </w:p>
        </w:tc>
        <w:tc>
          <w:tcPr>
            <w:tcW w:w="4314" w:type="dxa"/>
          </w:tcPr>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A350C1">
              <w:rPr>
                <w:rFonts w:ascii="Arial Narrow" w:hAnsi="Arial Narrow"/>
                <w:snapToGrid/>
                <w:sz w:val="20"/>
                <w:lang w:eastAsia="en-AU"/>
              </w:rPr>
              <w:t xml:space="preserve">Approximately </w:t>
            </w:r>
            <w:r>
              <w:rPr>
                <w:rFonts w:ascii="Arial Narrow" w:hAnsi="Arial Narrow"/>
                <w:snapToGrid/>
                <w:sz w:val="20"/>
                <w:lang w:eastAsia="en-AU"/>
              </w:rPr>
              <w:t>94</w:t>
            </w:r>
            <w:r w:rsidRPr="00A350C1">
              <w:rPr>
                <w:rFonts w:ascii="Arial Narrow" w:hAnsi="Arial Narrow"/>
                <w:snapToGrid/>
                <w:sz w:val="20"/>
                <w:lang w:eastAsia="en-AU"/>
              </w:rPr>
              <w:t xml:space="preserve"> additional patients would be expected to achieve an SVR;</w:t>
            </w:r>
            <w:r>
              <w:rPr>
                <w:rFonts w:ascii="Arial Narrow" w:hAnsi="Arial Narrow"/>
                <w:snapToGrid/>
                <w:sz w:val="20"/>
                <w:lang w:eastAsia="en-AU"/>
              </w:rPr>
              <w:t xml:space="preserve"> and</w:t>
            </w:r>
          </w:p>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A350C1">
              <w:rPr>
                <w:rFonts w:ascii="Arial Narrow" w:hAnsi="Arial Narrow"/>
                <w:snapToGrid/>
                <w:sz w:val="20"/>
                <w:lang w:eastAsia="en-AU"/>
              </w:rPr>
              <w:t xml:space="preserve">Approximately </w:t>
            </w:r>
            <w:r>
              <w:rPr>
                <w:rFonts w:ascii="Arial Narrow" w:hAnsi="Arial Narrow"/>
                <w:snapToGrid/>
                <w:sz w:val="20"/>
                <w:lang w:eastAsia="en-AU"/>
              </w:rPr>
              <w:t>1</w:t>
            </w:r>
            <w:r w:rsidRPr="00A350C1">
              <w:rPr>
                <w:rFonts w:ascii="Arial Narrow" w:hAnsi="Arial Narrow"/>
                <w:snapToGrid/>
                <w:sz w:val="20"/>
                <w:lang w:eastAsia="en-AU"/>
              </w:rPr>
              <w:t xml:space="preserve"> </w:t>
            </w:r>
            <w:r>
              <w:rPr>
                <w:rFonts w:ascii="Arial Narrow" w:hAnsi="Arial Narrow"/>
                <w:snapToGrid/>
                <w:sz w:val="20"/>
                <w:lang w:eastAsia="en-AU"/>
              </w:rPr>
              <w:t>additional patient</w:t>
            </w:r>
            <w:r w:rsidRPr="00A350C1">
              <w:rPr>
                <w:rFonts w:ascii="Arial Narrow" w:hAnsi="Arial Narrow"/>
                <w:snapToGrid/>
                <w:sz w:val="20"/>
                <w:lang w:eastAsia="en-AU"/>
              </w:rPr>
              <w:t xml:space="preserve"> would exp</w:t>
            </w:r>
            <w:r>
              <w:rPr>
                <w:rFonts w:ascii="Arial Narrow" w:hAnsi="Arial Narrow"/>
                <w:snapToGrid/>
                <w:sz w:val="20"/>
                <w:lang w:eastAsia="en-AU"/>
              </w:rPr>
              <w:t>erience a serious adverse event.</w:t>
            </w:r>
          </w:p>
        </w:tc>
      </w:tr>
      <w:tr w:rsidR="00EE5AF1" w:rsidRPr="00A350C1" w:rsidTr="00EE5AF1">
        <w:trPr>
          <w:trHeight w:val="1213"/>
        </w:trPr>
        <w:tc>
          <w:tcPr>
            <w:tcW w:w="1418" w:type="dxa"/>
          </w:tcPr>
          <w:p w:rsidR="00EE5AF1" w:rsidRPr="00A350C1" w:rsidRDefault="00EE5AF1" w:rsidP="00EE5AF1">
            <w:pPr>
              <w:keepNext/>
              <w:keepLines/>
              <w:widowControl/>
              <w:spacing w:before="200"/>
              <w:jc w:val="left"/>
              <w:outlineLvl w:val="2"/>
              <w:rPr>
                <w:rFonts w:ascii="Arial Narrow" w:eastAsiaTheme="majorEastAsia" w:hAnsi="Arial Narrow"/>
                <w:b/>
                <w:bCs/>
                <w:snapToGrid/>
                <w:sz w:val="20"/>
                <w:lang w:eastAsia="en-AU"/>
              </w:rPr>
            </w:pPr>
            <w:r w:rsidRPr="00A350C1">
              <w:rPr>
                <w:rFonts w:ascii="Arial Narrow" w:eastAsiaTheme="majorEastAsia" w:hAnsi="Arial Narrow"/>
                <w:b/>
                <w:bCs/>
                <w:snapToGrid/>
                <w:sz w:val="20"/>
                <w:lang w:eastAsia="en-AU"/>
              </w:rPr>
              <w:t xml:space="preserve">Genotype </w:t>
            </w:r>
            <w:r>
              <w:rPr>
                <w:rFonts w:ascii="Arial Narrow" w:eastAsiaTheme="majorEastAsia" w:hAnsi="Arial Narrow"/>
                <w:b/>
                <w:bCs/>
                <w:snapToGrid/>
                <w:sz w:val="20"/>
                <w:lang w:eastAsia="en-AU"/>
              </w:rPr>
              <w:t>1</w:t>
            </w:r>
            <w:r w:rsidRPr="00A350C1">
              <w:rPr>
                <w:rFonts w:ascii="Arial Narrow" w:eastAsiaTheme="majorEastAsia" w:hAnsi="Arial Narrow"/>
                <w:b/>
                <w:bCs/>
                <w:snapToGrid/>
                <w:sz w:val="20"/>
                <w:lang w:eastAsia="en-AU"/>
              </w:rPr>
              <w:t xml:space="preserve">, treatment naïve, </w:t>
            </w:r>
            <w:r>
              <w:rPr>
                <w:rFonts w:ascii="Arial Narrow" w:eastAsiaTheme="majorEastAsia" w:hAnsi="Arial Narrow"/>
                <w:b/>
                <w:bCs/>
                <w:snapToGrid/>
                <w:sz w:val="20"/>
                <w:lang w:eastAsia="en-AU"/>
              </w:rPr>
              <w:t>cirrhotic patients</w:t>
            </w:r>
          </w:p>
        </w:tc>
        <w:tc>
          <w:tcPr>
            <w:tcW w:w="2693" w:type="dxa"/>
          </w:tcPr>
          <w:p w:rsidR="00EE5AF1" w:rsidRPr="00A350C1" w:rsidRDefault="00EE5AF1" w:rsidP="00EE5AF1">
            <w:pPr>
              <w:widowControl/>
              <w:rPr>
                <w:rFonts w:ascii="Arial Narrow" w:hAnsi="Arial Narrow"/>
                <w:snapToGrid/>
                <w:sz w:val="20"/>
                <w:lang w:eastAsia="en-AU"/>
              </w:rPr>
            </w:pPr>
            <w:r w:rsidRPr="00A350C1">
              <w:rPr>
                <w:rFonts w:ascii="Arial Narrow" w:hAnsi="Arial Narrow"/>
                <w:snapToGrid/>
                <w:sz w:val="20"/>
                <w:lang w:eastAsia="en-AU"/>
              </w:rPr>
              <w:t xml:space="preserve">for every 100 patients treated with </w:t>
            </w:r>
            <w:r>
              <w:rPr>
                <w:rFonts w:ascii="Arial Narrow" w:hAnsi="Arial Narrow"/>
                <w:snapToGrid/>
                <w:sz w:val="20"/>
                <w:lang w:eastAsia="en-AU"/>
              </w:rPr>
              <w:t>LDV/SOF for 12 weeks</w:t>
            </w:r>
            <w:r w:rsidRPr="00A350C1">
              <w:rPr>
                <w:rFonts w:ascii="Arial Narrow" w:hAnsi="Arial Narrow"/>
                <w:snapToGrid/>
                <w:sz w:val="20"/>
                <w:lang w:eastAsia="en-AU"/>
              </w:rPr>
              <w:t xml:space="preserve"> in comparison to</w:t>
            </w:r>
            <w:r w:rsidRPr="00A350C1">
              <w:rPr>
                <w:rFonts w:ascii="Arial Narrow" w:hAnsi="Arial Narrow"/>
                <w:snapToGrid/>
                <w:sz w:val="20"/>
                <w:u w:val="single"/>
                <w:lang w:eastAsia="en-AU"/>
              </w:rPr>
              <w:t xml:space="preserve"> </w:t>
            </w:r>
            <w:r>
              <w:rPr>
                <w:rFonts w:ascii="Arial Narrow" w:hAnsi="Arial Narrow"/>
                <w:snapToGrid/>
                <w:sz w:val="20"/>
                <w:u w:val="single"/>
                <w:lang w:eastAsia="en-AU"/>
              </w:rPr>
              <w:t>no treatment</w:t>
            </w:r>
            <w:r w:rsidRPr="00A350C1">
              <w:rPr>
                <w:rFonts w:ascii="Arial Narrow" w:hAnsi="Arial Narrow"/>
                <w:snapToGrid/>
                <w:sz w:val="20"/>
                <w:lang w:eastAsia="en-AU"/>
              </w:rPr>
              <w:t>:</w:t>
            </w:r>
          </w:p>
        </w:tc>
        <w:tc>
          <w:tcPr>
            <w:tcW w:w="4314" w:type="dxa"/>
          </w:tcPr>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A350C1">
              <w:rPr>
                <w:rFonts w:ascii="Arial Narrow" w:hAnsi="Arial Narrow"/>
                <w:snapToGrid/>
                <w:sz w:val="20"/>
                <w:lang w:eastAsia="en-AU"/>
              </w:rPr>
              <w:t xml:space="preserve">Approximately </w:t>
            </w:r>
            <w:r>
              <w:rPr>
                <w:rFonts w:ascii="Arial Narrow" w:hAnsi="Arial Narrow"/>
                <w:snapToGrid/>
                <w:sz w:val="20"/>
                <w:lang w:eastAsia="en-AU"/>
              </w:rPr>
              <w:t>94</w:t>
            </w:r>
            <w:r w:rsidRPr="00A350C1">
              <w:rPr>
                <w:rFonts w:ascii="Arial Narrow" w:hAnsi="Arial Narrow"/>
                <w:snapToGrid/>
                <w:sz w:val="20"/>
                <w:lang w:eastAsia="en-AU"/>
              </w:rPr>
              <w:t xml:space="preserve"> additional patients w</w:t>
            </w:r>
            <w:r>
              <w:rPr>
                <w:rFonts w:ascii="Arial Narrow" w:hAnsi="Arial Narrow"/>
                <w:snapToGrid/>
                <w:sz w:val="20"/>
                <w:lang w:eastAsia="en-AU"/>
              </w:rPr>
              <w:t xml:space="preserve">ould be expected to achieve SVR; and </w:t>
            </w:r>
          </w:p>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515EA0">
              <w:rPr>
                <w:rFonts w:ascii="Arial Narrow" w:hAnsi="Arial Narrow"/>
                <w:snapToGrid/>
                <w:sz w:val="20"/>
                <w:lang w:eastAsia="en-AU"/>
              </w:rPr>
              <w:t>A</w:t>
            </w:r>
            <w:r w:rsidRPr="00A350C1">
              <w:rPr>
                <w:rFonts w:ascii="Arial Narrow" w:hAnsi="Arial Narrow"/>
                <w:snapToGrid/>
                <w:sz w:val="20"/>
                <w:lang w:eastAsia="en-AU"/>
              </w:rPr>
              <w:t xml:space="preserve">pproximately </w:t>
            </w:r>
            <w:r w:rsidRPr="00515EA0">
              <w:rPr>
                <w:rFonts w:ascii="Arial Narrow" w:hAnsi="Arial Narrow"/>
                <w:snapToGrid/>
                <w:sz w:val="20"/>
                <w:lang w:eastAsia="en-AU"/>
              </w:rPr>
              <w:t>1</w:t>
            </w:r>
            <w:r w:rsidRPr="00A350C1">
              <w:rPr>
                <w:rFonts w:ascii="Arial Narrow" w:hAnsi="Arial Narrow"/>
                <w:snapToGrid/>
                <w:sz w:val="20"/>
                <w:lang w:eastAsia="en-AU"/>
              </w:rPr>
              <w:t xml:space="preserve"> </w:t>
            </w:r>
            <w:r w:rsidRPr="00515EA0">
              <w:rPr>
                <w:rFonts w:ascii="Arial Narrow" w:hAnsi="Arial Narrow"/>
                <w:snapToGrid/>
                <w:sz w:val="20"/>
                <w:lang w:eastAsia="en-AU"/>
              </w:rPr>
              <w:t>additional patient</w:t>
            </w:r>
            <w:r w:rsidRPr="00A350C1">
              <w:rPr>
                <w:rFonts w:ascii="Arial Narrow" w:hAnsi="Arial Narrow"/>
                <w:snapToGrid/>
                <w:sz w:val="20"/>
                <w:lang w:eastAsia="en-AU"/>
              </w:rPr>
              <w:t xml:space="preserve"> would exp</w:t>
            </w:r>
            <w:r w:rsidRPr="00515EA0">
              <w:rPr>
                <w:rFonts w:ascii="Arial Narrow" w:hAnsi="Arial Narrow"/>
                <w:snapToGrid/>
                <w:sz w:val="20"/>
                <w:lang w:eastAsia="en-AU"/>
              </w:rPr>
              <w:t>erience a serious adverse event.</w:t>
            </w:r>
          </w:p>
        </w:tc>
      </w:tr>
      <w:tr w:rsidR="00EE5AF1" w:rsidRPr="00A350C1" w:rsidTr="00EE5AF1">
        <w:tc>
          <w:tcPr>
            <w:tcW w:w="1418" w:type="dxa"/>
          </w:tcPr>
          <w:p w:rsidR="00EE5AF1" w:rsidRPr="00A350C1" w:rsidRDefault="00EE5AF1" w:rsidP="00EE5AF1">
            <w:pPr>
              <w:keepNext/>
              <w:keepLines/>
              <w:widowControl/>
              <w:spacing w:before="200"/>
              <w:jc w:val="left"/>
              <w:outlineLvl w:val="2"/>
              <w:rPr>
                <w:rFonts w:ascii="Arial Narrow" w:hAnsi="Arial Narrow"/>
                <w:b/>
                <w:snapToGrid/>
                <w:sz w:val="20"/>
                <w:lang w:eastAsia="en-AU"/>
              </w:rPr>
            </w:pPr>
            <w:r w:rsidRPr="00A350C1">
              <w:rPr>
                <w:rFonts w:ascii="Arial Narrow" w:eastAsiaTheme="majorEastAsia" w:hAnsi="Arial Narrow"/>
                <w:b/>
                <w:bCs/>
                <w:snapToGrid/>
                <w:sz w:val="20"/>
                <w:lang w:eastAsia="en-AU"/>
              </w:rPr>
              <w:t xml:space="preserve">Genotype 1, treatment </w:t>
            </w:r>
            <w:r>
              <w:rPr>
                <w:rFonts w:ascii="Arial Narrow" w:eastAsiaTheme="majorEastAsia" w:hAnsi="Arial Narrow"/>
                <w:b/>
                <w:bCs/>
                <w:snapToGrid/>
                <w:sz w:val="20"/>
                <w:lang w:eastAsia="en-AU"/>
              </w:rPr>
              <w:t>experienced</w:t>
            </w:r>
            <w:r w:rsidRPr="00A350C1">
              <w:rPr>
                <w:rFonts w:ascii="Arial Narrow" w:eastAsiaTheme="majorEastAsia" w:hAnsi="Arial Narrow"/>
                <w:b/>
                <w:bCs/>
                <w:snapToGrid/>
                <w:sz w:val="20"/>
                <w:lang w:eastAsia="en-AU"/>
              </w:rPr>
              <w:t xml:space="preserve">, </w:t>
            </w:r>
            <w:r>
              <w:rPr>
                <w:rFonts w:ascii="Arial Narrow" w:eastAsiaTheme="majorEastAsia" w:hAnsi="Arial Narrow"/>
                <w:b/>
                <w:bCs/>
                <w:snapToGrid/>
                <w:sz w:val="20"/>
                <w:lang w:eastAsia="en-AU"/>
              </w:rPr>
              <w:t>non-cirrhotic patients</w:t>
            </w:r>
          </w:p>
        </w:tc>
        <w:tc>
          <w:tcPr>
            <w:tcW w:w="2693" w:type="dxa"/>
          </w:tcPr>
          <w:p w:rsidR="00EE5AF1" w:rsidRPr="00A350C1" w:rsidRDefault="00EE5AF1" w:rsidP="00EE5AF1">
            <w:pPr>
              <w:widowControl/>
              <w:jc w:val="left"/>
              <w:rPr>
                <w:rFonts w:ascii="Arial Narrow" w:hAnsi="Arial Narrow"/>
                <w:snapToGrid/>
                <w:sz w:val="20"/>
                <w:lang w:eastAsia="en-AU"/>
              </w:rPr>
            </w:pPr>
            <w:r w:rsidRPr="00A350C1">
              <w:rPr>
                <w:rFonts w:ascii="Arial Narrow" w:hAnsi="Arial Narrow"/>
                <w:snapToGrid/>
                <w:sz w:val="20"/>
                <w:lang w:eastAsia="en-AU"/>
              </w:rPr>
              <w:t xml:space="preserve">for every 100 patients treated with </w:t>
            </w:r>
            <w:r>
              <w:rPr>
                <w:rFonts w:ascii="Arial Narrow" w:hAnsi="Arial Narrow"/>
                <w:snapToGrid/>
                <w:sz w:val="20"/>
                <w:lang w:eastAsia="en-AU"/>
              </w:rPr>
              <w:t>LDV/SOF for 12 weeks</w:t>
            </w:r>
            <w:r w:rsidRPr="00A350C1">
              <w:rPr>
                <w:rFonts w:ascii="Arial Narrow" w:hAnsi="Arial Narrow"/>
                <w:snapToGrid/>
                <w:sz w:val="20"/>
                <w:lang w:eastAsia="en-AU"/>
              </w:rPr>
              <w:t xml:space="preserve"> in comparison to </w:t>
            </w:r>
            <w:r w:rsidRPr="00A350C1">
              <w:rPr>
                <w:rFonts w:ascii="Arial Narrow" w:hAnsi="Arial Narrow"/>
                <w:snapToGrid/>
                <w:sz w:val="20"/>
                <w:u w:val="single"/>
                <w:lang w:eastAsia="en-AU"/>
              </w:rPr>
              <w:t>no treatment</w:t>
            </w:r>
            <w:r w:rsidRPr="00A350C1">
              <w:rPr>
                <w:rFonts w:ascii="Arial Narrow" w:hAnsi="Arial Narrow"/>
                <w:snapToGrid/>
                <w:sz w:val="20"/>
                <w:lang w:eastAsia="en-AU"/>
              </w:rPr>
              <w:t>:</w:t>
            </w:r>
          </w:p>
          <w:p w:rsidR="00EE5AF1" w:rsidRPr="00A350C1" w:rsidRDefault="00EE5AF1" w:rsidP="00EE5AF1">
            <w:pPr>
              <w:widowControl/>
              <w:rPr>
                <w:rFonts w:ascii="Arial Narrow" w:hAnsi="Arial Narrow"/>
                <w:snapToGrid/>
                <w:sz w:val="20"/>
                <w:lang w:eastAsia="en-AU"/>
              </w:rPr>
            </w:pPr>
          </w:p>
        </w:tc>
        <w:tc>
          <w:tcPr>
            <w:tcW w:w="4314" w:type="dxa"/>
          </w:tcPr>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A350C1">
              <w:rPr>
                <w:rFonts w:ascii="Arial Narrow" w:hAnsi="Arial Narrow"/>
                <w:snapToGrid/>
                <w:sz w:val="20"/>
                <w:lang w:eastAsia="en-AU"/>
              </w:rPr>
              <w:t xml:space="preserve">Approximately </w:t>
            </w:r>
            <w:r>
              <w:rPr>
                <w:rFonts w:ascii="Arial Narrow" w:hAnsi="Arial Narrow"/>
                <w:snapToGrid/>
                <w:sz w:val="20"/>
                <w:lang w:eastAsia="en-AU"/>
              </w:rPr>
              <w:t>95</w:t>
            </w:r>
            <w:r w:rsidRPr="00A350C1">
              <w:rPr>
                <w:rFonts w:ascii="Arial Narrow" w:hAnsi="Arial Narrow"/>
                <w:snapToGrid/>
                <w:sz w:val="20"/>
                <w:lang w:eastAsia="en-AU"/>
              </w:rPr>
              <w:t xml:space="preserve"> additional patients would be expected to achieve an SVR</w:t>
            </w:r>
            <w:r>
              <w:rPr>
                <w:rFonts w:ascii="Arial Narrow" w:hAnsi="Arial Narrow"/>
                <w:snapToGrid/>
                <w:sz w:val="20"/>
                <w:lang w:eastAsia="en-AU"/>
              </w:rPr>
              <w:t>, and</w:t>
            </w:r>
          </w:p>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A350C1">
              <w:rPr>
                <w:rFonts w:ascii="Arial Narrow" w:hAnsi="Arial Narrow"/>
                <w:snapToGrid/>
                <w:sz w:val="20"/>
                <w:lang w:eastAsia="en-AU"/>
              </w:rPr>
              <w:t xml:space="preserve">Approximately </w:t>
            </w:r>
            <w:r>
              <w:rPr>
                <w:rFonts w:ascii="Arial Narrow" w:hAnsi="Arial Narrow"/>
                <w:snapToGrid/>
                <w:sz w:val="20"/>
                <w:lang w:eastAsia="en-AU"/>
              </w:rPr>
              <w:t>1</w:t>
            </w:r>
            <w:r w:rsidRPr="00A350C1">
              <w:rPr>
                <w:rFonts w:ascii="Arial Narrow" w:hAnsi="Arial Narrow"/>
                <w:snapToGrid/>
                <w:sz w:val="20"/>
                <w:lang w:eastAsia="en-AU"/>
              </w:rPr>
              <w:t xml:space="preserve"> </w:t>
            </w:r>
            <w:r>
              <w:rPr>
                <w:rFonts w:ascii="Arial Narrow" w:hAnsi="Arial Narrow"/>
                <w:snapToGrid/>
                <w:sz w:val="20"/>
                <w:lang w:eastAsia="en-AU"/>
              </w:rPr>
              <w:t>additional patient</w:t>
            </w:r>
            <w:r w:rsidRPr="00A350C1">
              <w:rPr>
                <w:rFonts w:ascii="Arial Narrow" w:hAnsi="Arial Narrow"/>
                <w:snapToGrid/>
                <w:sz w:val="20"/>
                <w:lang w:eastAsia="en-AU"/>
              </w:rPr>
              <w:t xml:space="preserve"> would exp</w:t>
            </w:r>
            <w:r>
              <w:rPr>
                <w:rFonts w:ascii="Arial Narrow" w:hAnsi="Arial Narrow"/>
                <w:snapToGrid/>
                <w:sz w:val="20"/>
                <w:lang w:eastAsia="en-AU"/>
              </w:rPr>
              <w:t>erience a serious adverse event</w:t>
            </w:r>
            <w:r w:rsidRPr="00A350C1">
              <w:rPr>
                <w:rFonts w:ascii="Arial Narrow" w:hAnsi="Arial Narrow"/>
                <w:snapToGrid/>
                <w:sz w:val="20"/>
                <w:lang w:eastAsia="en-AU"/>
              </w:rPr>
              <w:t>.</w:t>
            </w:r>
          </w:p>
        </w:tc>
      </w:tr>
      <w:tr w:rsidR="00EE5AF1" w:rsidRPr="00A350C1" w:rsidTr="00EE5AF1">
        <w:tc>
          <w:tcPr>
            <w:tcW w:w="1418" w:type="dxa"/>
          </w:tcPr>
          <w:p w:rsidR="00EE5AF1" w:rsidRPr="00A350C1" w:rsidRDefault="00EE5AF1" w:rsidP="00EE5AF1">
            <w:pPr>
              <w:keepNext/>
              <w:keepLines/>
              <w:widowControl/>
              <w:spacing w:before="200"/>
              <w:jc w:val="left"/>
              <w:outlineLvl w:val="2"/>
              <w:rPr>
                <w:rFonts w:ascii="Arial Narrow" w:eastAsiaTheme="majorEastAsia" w:hAnsi="Arial Narrow"/>
                <w:b/>
                <w:bCs/>
                <w:snapToGrid/>
                <w:sz w:val="20"/>
                <w:lang w:eastAsia="en-AU"/>
              </w:rPr>
            </w:pPr>
            <w:r w:rsidRPr="00A350C1">
              <w:rPr>
                <w:rFonts w:ascii="Arial Narrow" w:eastAsiaTheme="majorEastAsia" w:hAnsi="Arial Narrow"/>
                <w:b/>
                <w:bCs/>
                <w:snapToGrid/>
                <w:sz w:val="20"/>
                <w:lang w:eastAsia="en-AU"/>
              </w:rPr>
              <w:t xml:space="preserve">Genotype 1, treatment </w:t>
            </w:r>
            <w:r>
              <w:rPr>
                <w:rFonts w:ascii="Arial Narrow" w:eastAsiaTheme="majorEastAsia" w:hAnsi="Arial Narrow"/>
                <w:b/>
                <w:bCs/>
                <w:snapToGrid/>
                <w:sz w:val="20"/>
                <w:lang w:eastAsia="en-AU"/>
              </w:rPr>
              <w:t>experienced</w:t>
            </w:r>
            <w:r w:rsidRPr="00A350C1">
              <w:rPr>
                <w:rFonts w:ascii="Arial Narrow" w:eastAsiaTheme="majorEastAsia" w:hAnsi="Arial Narrow"/>
                <w:b/>
                <w:bCs/>
                <w:snapToGrid/>
                <w:sz w:val="20"/>
                <w:lang w:eastAsia="en-AU"/>
              </w:rPr>
              <w:t xml:space="preserve">, </w:t>
            </w:r>
            <w:r>
              <w:rPr>
                <w:rFonts w:ascii="Arial Narrow" w:eastAsiaTheme="majorEastAsia" w:hAnsi="Arial Narrow"/>
                <w:b/>
                <w:bCs/>
                <w:snapToGrid/>
                <w:sz w:val="20"/>
                <w:lang w:eastAsia="en-AU"/>
              </w:rPr>
              <w:t>cirrhotic patients</w:t>
            </w:r>
          </w:p>
        </w:tc>
        <w:tc>
          <w:tcPr>
            <w:tcW w:w="2693" w:type="dxa"/>
          </w:tcPr>
          <w:p w:rsidR="00EE5AF1" w:rsidRPr="00A350C1" w:rsidRDefault="00EE5AF1" w:rsidP="00EE5AF1">
            <w:pPr>
              <w:widowControl/>
              <w:jc w:val="left"/>
              <w:rPr>
                <w:rFonts w:ascii="Arial Narrow" w:hAnsi="Arial Narrow"/>
                <w:snapToGrid/>
                <w:sz w:val="20"/>
                <w:lang w:eastAsia="en-AU"/>
              </w:rPr>
            </w:pPr>
            <w:r w:rsidRPr="00A350C1">
              <w:rPr>
                <w:rFonts w:ascii="Arial Narrow" w:hAnsi="Arial Narrow"/>
                <w:snapToGrid/>
                <w:sz w:val="20"/>
                <w:lang w:eastAsia="en-AU"/>
              </w:rPr>
              <w:t xml:space="preserve">for every 100 patients treated with </w:t>
            </w:r>
            <w:r>
              <w:rPr>
                <w:rFonts w:ascii="Arial Narrow" w:hAnsi="Arial Narrow"/>
                <w:snapToGrid/>
                <w:sz w:val="20"/>
                <w:lang w:eastAsia="en-AU"/>
              </w:rPr>
              <w:t>LDV/SOF for 12 weeks</w:t>
            </w:r>
            <w:r w:rsidRPr="00A350C1">
              <w:rPr>
                <w:rFonts w:ascii="Arial Narrow" w:hAnsi="Arial Narrow"/>
                <w:snapToGrid/>
                <w:sz w:val="20"/>
                <w:lang w:eastAsia="en-AU"/>
              </w:rPr>
              <w:t xml:space="preserve"> in comparison to </w:t>
            </w:r>
            <w:r w:rsidRPr="00A350C1">
              <w:rPr>
                <w:rFonts w:ascii="Arial Narrow" w:hAnsi="Arial Narrow"/>
                <w:snapToGrid/>
                <w:sz w:val="20"/>
                <w:u w:val="single"/>
                <w:lang w:eastAsia="en-AU"/>
              </w:rPr>
              <w:t>no treatment</w:t>
            </w:r>
            <w:r w:rsidRPr="00A350C1">
              <w:rPr>
                <w:rFonts w:ascii="Arial Narrow" w:hAnsi="Arial Narrow"/>
                <w:snapToGrid/>
                <w:sz w:val="20"/>
                <w:lang w:eastAsia="en-AU"/>
              </w:rPr>
              <w:t>:</w:t>
            </w:r>
          </w:p>
          <w:p w:rsidR="00EE5AF1" w:rsidRPr="00A350C1" w:rsidRDefault="00EE5AF1" w:rsidP="00EE5AF1">
            <w:pPr>
              <w:widowControl/>
              <w:jc w:val="left"/>
              <w:rPr>
                <w:rFonts w:ascii="Arial Narrow" w:hAnsi="Arial Narrow"/>
                <w:snapToGrid/>
                <w:sz w:val="20"/>
                <w:lang w:eastAsia="en-AU"/>
              </w:rPr>
            </w:pPr>
          </w:p>
        </w:tc>
        <w:tc>
          <w:tcPr>
            <w:tcW w:w="4314" w:type="dxa"/>
          </w:tcPr>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A350C1">
              <w:rPr>
                <w:rFonts w:ascii="Arial Narrow" w:hAnsi="Arial Narrow"/>
                <w:snapToGrid/>
                <w:sz w:val="20"/>
                <w:lang w:eastAsia="en-AU"/>
              </w:rPr>
              <w:t xml:space="preserve">Approximately </w:t>
            </w:r>
            <w:r>
              <w:rPr>
                <w:rFonts w:ascii="Arial Narrow" w:hAnsi="Arial Narrow"/>
                <w:snapToGrid/>
                <w:sz w:val="20"/>
                <w:lang w:eastAsia="en-AU"/>
              </w:rPr>
              <w:t>86</w:t>
            </w:r>
            <w:r w:rsidRPr="00A350C1">
              <w:rPr>
                <w:rFonts w:ascii="Arial Narrow" w:hAnsi="Arial Narrow"/>
                <w:snapToGrid/>
                <w:sz w:val="20"/>
                <w:lang w:eastAsia="en-AU"/>
              </w:rPr>
              <w:t xml:space="preserve"> additional patients would be expected to achieve an SVR</w:t>
            </w:r>
            <w:r>
              <w:rPr>
                <w:rFonts w:ascii="Arial Narrow" w:hAnsi="Arial Narrow"/>
                <w:snapToGrid/>
                <w:sz w:val="20"/>
                <w:lang w:eastAsia="en-AU"/>
              </w:rPr>
              <w:t>, and</w:t>
            </w:r>
          </w:p>
          <w:p w:rsidR="00EE5AF1" w:rsidRPr="00A350C1" w:rsidRDefault="00EE5AF1" w:rsidP="00B87E17">
            <w:pPr>
              <w:widowControl/>
              <w:numPr>
                <w:ilvl w:val="0"/>
                <w:numId w:val="6"/>
              </w:numPr>
              <w:ind w:left="218" w:hanging="142"/>
              <w:contextualSpacing/>
              <w:jc w:val="left"/>
              <w:rPr>
                <w:rFonts w:ascii="Arial Narrow" w:hAnsi="Arial Narrow"/>
                <w:snapToGrid/>
                <w:sz w:val="20"/>
                <w:lang w:eastAsia="en-AU"/>
              </w:rPr>
            </w:pPr>
            <w:r w:rsidRPr="00A350C1">
              <w:rPr>
                <w:rFonts w:ascii="Arial Narrow" w:hAnsi="Arial Narrow"/>
                <w:snapToGrid/>
                <w:sz w:val="20"/>
                <w:lang w:eastAsia="en-AU"/>
              </w:rPr>
              <w:t xml:space="preserve">Approximately </w:t>
            </w:r>
            <w:r>
              <w:rPr>
                <w:rFonts w:ascii="Arial Narrow" w:hAnsi="Arial Narrow"/>
                <w:snapToGrid/>
                <w:sz w:val="20"/>
                <w:lang w:eastAsia="en-AU"/>
              </w:rPr>
              <w:t>1</w:t>
            </w:r>
            <w:r w:rsidRPr="00A350C1">
              <w:rPr>
                <w:rFonts w:ascii="Arial Narrow" w:hAnsi="Arial Narrow"/>
                <w:snapToGrid/>
                <w:sz w:val="20"/>
                <w:lang w:eastAsia="en-AU"/>
              </w:rPr>
              <w:t xml:space="preserve"> </w:t>
            </w:r>
            <w:r>
              <w:rPr>
                <w:rFonts w:ascii="Arial Narrow" w:hAnsi="Arial Narrow"/>
                <w:snapToGrid/>
                <w:sz w:val="20"/>
                <w:lang w:eastAsia="en-AU"/>
              </w:rPr>
              <w:t>additional patient</w:t>
            </w:r>
            <w:r w:rsidRPr="00A350C1">
              <w:rPr>
                <w:rFonts w:ascii="Arial Narrow" w:hAnsi="Arial Narrow"/>
                <w:snapToGrid/>
                <w:sz w:val="20"/>
                <w:lang w:eastAsia="en-AU"/>
              </w:rPr>
              <w:t xml:space="preserve"> would exp</w:t>
            </w:r>
            <w:r>
              <w:rPr>
                <w:rFonts w:ascii="Arial Narrow" w:hAnsi="Arial Narrow"/>
                <w:snapToGrid/>
                <w:sz w:val="20"/>
                <w:lang w:eastAsia="en-AU"/>
              </w:rPr>
              <w:t>erience a serious adverse event</w:t>
            </w:r>
          </w:p>
        </w:tc>
      </w:tr>
    </w:tbl>
    <w:p w:rsidR="00EE5AF1" w:rsidRDefault="00EE5AF1" w:rsidP="00EE5AF1">
      <w:pPr>
        <w:pStyle w:val="TableFooter"/>
      </w:pPr>
      <w:r>
        <w:tab/>
        <w:t xml:space="preserve">LDV/SOF = </w:t>
      </w:r>
      <w:proofErr w:type="spellStart"/>
      <w:r>
        <w:t>ledipasvir</w:t>
      </w:r>
      <w:proofErr w:type="spellEnd"/>
      <w:r>
        <w:t xml:space="preserve">/sofosbuvir; SVR = sustained </w:t>
      </w:r>
      <w:proofErr w:type="spellStart"/>
      <w:r>
        <w:t>virologic</w:t>
      </w:r>
      <w:proofErr w:type="spellEnd"/>
      <w:r>
        <w:t xml:space="preserve"> response.</w:t>
      </w:r>
    </w:p>
    <w:p w:rsidR="00EE5AF1" w:rsidRPr="008E1EAF" w:rsidRDefault="00EE5AF1" w:rsidP="00EE5AF1">
      <w:pPr>
        <w:pStyle w:val="TableFooter"/>
        <w:rPr>
          <w:i/>
        </w:rPr>
      </w:pPr>
      <w:r>
        <w:tab/>
      </w:r>
      <w:r w:rsidRPr="008E1EAF">
        <w:rPr>
          <w:i/>
        </w:rPr>
        <w:t>Source: Compiled during the evaluation</w:t>
      </w:r>
    </w:p>
    <w:p w:rsidR="00EE5AF1" w:rsidRPr="00882085" w:rsidRDefault="00EE5AF1" w:rsidP="00EE5AF1"/>
    <w:p w:rsidR="00EE5AF1" w:rsidRPr="00B8483F" w:rsidRDefault="00EE5AF1" w:rsidP="00AF78AC">
      <w:pPr>
        <w:pStyle w:val="Heading2"/>
      </w:pPr>
      <w:bookmarkStart w:id="21" w:name="_Toc409530208"/>
      <w:r w:rsidRPr="00B8483F">
        <w:t>Clinical claim</w:t>
      </w:r>
      <w:bookmarkEnd w:id="21"/>
    </w:p>
    <w:p w:rsidR="00EE5AF1" w:rsidRPr="00882085" w:rsidRDefault="00EE5AF1" w:rsidP="00EE5AF1">
      <w:pPr>
        <w:ind w:left="720" w:hanging="720"/>
        <w:rPr>
          <w:szCs w:val="22"/>
        </w:rPr>
      </w:pPr>
    </w:p>
    <w:p w:rsidR="00EE5AF1" w:rsidRPr="00FF3106" w:rsidRDefault="00EE5AF1" w:rsidP="00B87E17">
      <w:pPr>
        <w:pStyle w:val="ListParagraph"/>
        <w:widowControl/>
        <w:numPr>
          <w:ilvl w:val="1"/>
          <w:numId w:val="3"/>
        </w:numPr>
      </w:pPr>
      <w:r>
        <w:t xml:space="preserve">The submission described </w:t>
      </w:r>
      <w:r w:rsidRPr="00FF3106">
        <w:t xml:space="preserve">LDV/SOF </w:t>
      </w:r>
      <w:r>
        <w:t>as</w:t>
      </w:r>
      <w:r w:rsidRPr="00FF3106">
        <w:t xml:space="preserve">: </w:t>
      </w:r>
    </w:p>
    <w:p w:rsidR="00EE5AF1" w:rsidRPr="00FF3106" w:rsidRDefault="00EE5AF1" w:rsidP="00B87E17">
      <w:pPr>
        <w:pStyle w:val="ListParagraph"/>
        <w:widowControl/>
        <w:numPr>
          <w:ilvl w:val="0"/>
          <w:numId w:val="7"/>
        </w:numPr>
      </w:pPr>
      <w:r>
        <w:t>s</w:t>
      </w:r>
      <w:r w:rsidRPr="00FF3106">
        <w:t xml:space="preserve">uperior </w:t>
      </w:r>
      <w:r>
        <w:t>in terms of</w:t>
      </w:r>
      <w:r w:rsidRPr="00FF3106">
        <w:t xml:space="preserve"> efficacy and safety to the nominated comparator of a </w:t>
      </w:r>
      <w:r>
        <w:t>protease inhibitor</w:t>
      </w:r>
      <w:r w:rsidRPr="00FF3106">
        <w:t xml:space="preserve"> +PR; and</w:t>
      </w:r>
    </w:p>
    <w:p w:rsidR="00EE5AF1" w:rsidRPr="00FF3106" w:rsidRDefault="00EE5AF1" w:rsidP="00B87E17">
      <w:pPr>
        <w:pStyle w:val="ListParagraph"/>
        <w:widowControl/>
        <w:numPr>
          <w:ilvl w:val="0"/>
          <w:numId w:val="7"/>
        </w:numPr>
        <w:rPr>
          <w:szCs w:val="22"/>
        </w:rPr>
      </w:pPr>
      <w:proofErr w:type="gramStart"/>
      <w:r>
        <w:t>s</w:t>
      </w:r>
      <w:r w:rsidRPr="00FF3106">
        <w:t>uperior</w:t>
      </w:r>
      <w:proofErr w:type="gramEnd"/>
      <w:r w:rsidRPr="00FF3106">
        <w:t xml:space="preserve"> in terms of efficacy and </w:t>
      </w:r>
      <w:r>
        <w:t xml:space="preserve">with an </w:t>
      </w:r>
      <w:r w:rsidRPr="00FF3106">
        <w:t>acceptable safety profile compared with</w:t>
      </w:r>
      <w:r>
        <w:t xml:space="preserve"> no treatment.</w:t>
      </w:r>
    </w:p>
    <w:p w:rsidR="00EE5AF1" w:rsidRPr="00FF3106" w:rsidRDefault="00EE5AF1" w:rsidP="00EE5AF1">
      <w:pPr>
        <w:pStyle w:val="ListParagraph"/>
        <w:widowControl/>
        <w:ind w:left="1440"/>
        <w:rPr>
          <w:szCs w:val="22"/>
        </w:rPr>
      </w:pPr>
    </w:p>
    <w:p w:rsidR="00EE5AF1" w:rsidRPr="00E47E6E" w:rsidRDefault="004E54D9" w:rsidP="00B87E17">
      <w:pPr>
        <w:pStyle w:val="ListParagraph"/>
        <w:widowControl/>
        <w:numPr>
          <w:ilvl w:val="1"/>
          <w:numId w:val="3"/>
        </w:numPr>
        <w:rPr>
          <w:szCs w:val="22"/>
        </w:rPr>
      </w:pPr>
      <w:r w:rsidRPr="00211254">
        <w:t>The ESC considered that</w:t>
      </w:r>
      <w:r>
        <w:rPr>
          <w:i/>
        </w:rPr>
        <w:t xml:space="preserve"> </w:t>
      </w:r>
      <w:r>
        <w:t>t</w:t>
      </w:r>
      <w:r w:rsidR="00EE5AF1" w:rsidRPr="00E47E6E">
        <w:t>he submission’s claim was reasonable, although the magnitude of differences in terms of SVR rates or rates of adverse events was uncertain due to reliance on the single arm trials, some of which involved a small number of patients.</w:t>
      </w:r>
    </w:p>
    <w:p w:rsidR="00EE5AF1" w:rsidRPr="00E47E6E" w:rsidRDefault="00EE5AF1" w:rsidP="00EE5AF1">
      <w:pPr>
        <w:pStyle w:val="ListParagraph"/>
        <w:widowControl/>
        <w:rPr>
          <w:szCs w:val="22"/>
        </w:rPr>
      </w:pPr>
    </w:p>
    <w:p w:rsidR="00EE5AF1" w:rsidRPr="007867E5" w:rsidRDefault="00EE5AF1" w:rsidP="00B87E17">
      <w:pPr>
        <w:pStyle w:val="ListParagraph"/>
        <w:widowControl/>
        <w:numPr>
          <w:ilvl w:val="1"/>
          <w:numId w:val="3"/>
        </w:numPr>
        <w:rPr>
          <w:szCs w:val="22"/>
        </w:rPr>
      </w:pPr>
      <w:r w:rsidRPr="00E47E6E">
        <w:t xml:space="preserve">Compared with no treatment, LDV/SOF </w:t>
      </w:r>
      <w:r w:rsidR="0005437D" w:rsidRPr="00E47E6E">
        <w:t>wa</w:t>
      </w:r>
      <w:r w:rsidRPr="00E47E6E">
        <w:t>s likely to be inferior in terms of safety.</w:t>
      </w:r>
    </w:p>
    <w:p w:rsidR="007867E5" w:rsidRPr="007867E5" w:rsidRDefault="007867E5" w:rsidP="007867E5">
      <w:pPr>
        <w:pStyle w:val="ListParagraph"/>
        <w:rPr>
          <w:szCs w:val="22"/>
        </w:rPr>
      </w:pPr>
    </w:p>
    <w:p w:rsidR="007867E5" w:rsidRPr="004D29D0" w:rsidRDefault="007867E5" w:rsidP="00B87E17">
      <w:pPr>
        <w:pStyle w:val="ListParagraph"/>
        <w:widowControl/>
        <w:numPr>
          <w:ilvl w:val="1"/>
          <w:numId w:val="3"/>
        </w:numPr>
        <w:rPr>
          <w:szCs w:val="22"/>
        </w:rPr>
      </w:pPr>
      <w:r w:rsidRPr="007867E5">
        <w:rPr>
          <w:szCs w:val="22"/>
        </w:rPr>
        <w:t>The PBAC considered that the claim of superior comparative effectiveness and inferior comparative safety to no treatment was reasonably support</w:t>
      </w:r>
      <w:r w:rsidR="00B82F59">
        <w:rPr>
          <w:szCs w:val="22"/>
        </w:rPr>
        <w:t>ed</w:t>
      </w:r>
      <w:r w:rsidRPr="007867E5">
        <w:rPr>
          <w:szCs w:val="22"/>
        </w:rPr>
        <w:t xml:space="preserve"> by the data in the submission for GT1 naïve and experienced cirrhotic/non-cirrhotic patients.</w:t>
      </w:r>
    </w:p>
    <w:p w:rsidR="004D29D0" w:rsidRPr="004D29D0" w:rsidRDefault="004D29D0" w:rsidP="004D29D0">
      <w:pPr>
        <w:pStyle w:val="ListParagraph"/>
        <w:rPr>
          <w:szCs w:val="22"/>
        </w:rPr>
      </w:pPr>
    </w:p>
    <w:p w:rsidR="004D29D0" w:rsidRPr="00E47E6E" w:rsidRDefault="004D29D0" w:rsidP="004D29D0">
      <w:pPr>
        <w:pStyle w:val="ListParagraph"/>
        <w:widowControl/>
        <w:rPr>
          <w:szCs w:val="22"/>
        </w:rPr>
      </w:pPr>
      <w:r w:rsidRPr="007867E5">
        <w:rPr>
          <w:i/>
          <w:szCs w:val="22"/>
        </w:rPr>
        <w:t>For more detail on PBAC’s view, see section 7 “PBAC outcome”</w:t>
      </w:r>
    </w:p>
    <w:p w:rsidR="00117E32" w:rsidRPr="00882085" w:rsidRDefault="00117E32" w:rsidP="00117E32">
      <w:pPr>
        <w:ind w:left="720" w:hanging="720"/>
        <w:rPr>
          <w:szCs w:val="22"/>
        </w:rPr>
      </w:pPr>
    </w:p>
    <w:p w:rsidR="00117E32" w:rsidRPr="00B8483F" w:rsidRDefault="00117E32" w:rsidP="00AF78AC">
      <w:pPr>
        <w:pStyle w:val="Heading2"/>
      </w:pPr>
      <w:bookmarkStart w:id="22" w:name="_Toc409530209"/>
      <w:r w:rsidRPr="00B8483F">
        <w:t>Economic analysis</w:t>
      </w:r>
      <w:bookmarkEnd w:id="22"/>
      <w:r w:rsidRPr="00B8483F">
        <w:t xml:space="preserve"> </w:t>
      </w:r>
    </w:p>
    <w:p w:rsidR="00117E32" w:rsidRPr="00882085" w:rsidRDefault="00117E32" w:rsidP="00117E32">
      <w:pPr>
        <w:ind w:left="720" w:hanging="720"/>
        <w:rPr>
          <w:szCs w:val="22"/>
        </w:rPr>
      </w:pPr>
    </w:p>
    <w:p w:rsidR="00117E32" w:rsidRPr="00B50DB8" w:rsidRDefault="00117E32" w:rsidP="00B87E17">
      <w:pPr>
        <w:pStyle w:val="ListParagraph"/>
        <w:widowControl/>
        <w:numPr>
          <w:ilvl w:val="1"/>
          <w:numId w:val="3"/>
        </w:numPr>
        <w:rPr>
          <w:szCs w:val="22"/>
        </w:rPr>
      </w:pPr>
      <w:r w:rsidRPr="00ED4C18">
        <w:rPr>
          <w:szCs w:val="22"/>
        </w:rPr>
        <w:t>The submission present</w:t>
      </w:r>
      <w:r>
        <w:rPr>
          <w:szCs w:val="22"/>
        </w:rPr>
        <w:t>ed</w:t>
      </w:r>
      <w:r w:rsidRPr="00ED4C18">
        <w:rPr>
          <w:szCs w:val="22"/>
        </w:rPr>
        <w:t xml:space="preserve"> a modelled economic evaluation based on an unadjusted comparison of results from single arms of different studies. The evaluation is </w:t>
      </w:r>
      <w:r w:rsidRPr="00ED4C18">
        <w:rPr>
          <w:szCs w:val="22"/>
        </w:rPr>
        <w:lastRenderedPageBreak/>
        <w:t>structured as a Markov state-transition model with nine health states, that describes the progression of disease over the lifetime. The model captures both on-treatment and off-treatment phases.</w:t>
      </w:r>
    </w:p>
    <w:p w:rsidR="00117E32" w:rsidRDefault="00117E32" w:rsidP="00117E32">
      <w:pPr>
        <w:widowControl/>
        <w:rPr>
          <w:szCs w:val="22"/>
        </w:rPr>
      </w:pPr>
    </w:p>
    <w:p w:rsidR="00117E32" w:rsidRPr="00782EDA" w:rsidRDefault="00117E32" w:rsidP="00117E32">
      <w:pPr>
        <w:ind w:firstLine="720"/>
        <w:rPr>
          <w:rStyle w:val="CommentReference"/>
          <w:b/>
        </w:rPr>
      </w:pPr>
      <w:r w:rsidRPr="00782EDA">
        <w:rPr>
          <w:rStyle w:val="CommentReference"/>
          <w:b/>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2552"/>
        <w:gridCol w:w="5793"/>
      </w:tblGrid>
      <w:tr w:rsidR="00117E32" w:rsidRPr="00E47E6E" w:rsidTr="00117E32">
        <w:tc>
          <w:tcPr>
            <w:tcW w:w="1529" w:type="pct"/>
            <w:shd w:val="clear" w:color="auto" w:fill="auto"/>
          </w:tcPr>
          <w:p w:rsidR="00117E32" w:rsidRPr="00E47E6E" w:rsidRDefault="00117E32" w:rsidP="00117E32">
            <w:pPr>
              <w:jc w:val="left"/>
              <w:rPr>
                <w:rFonts w:ascii="Arial Narrow" w:hAnsi="Arial Narrow"/>
                <w:b/>
                <w:sz w:val="20"/>
              </w:rPr>
            </w:pPr>
            <w:r w:rsidRPr="00E47E6E">
              <w:rPr>
                <w:rFonts w:ascii="Arial Narrow" w:hAnsi="Arial Narrow"/>
                <w:sz w:val="20"/>
              </w:rPr>
              <w:t>Time horizon</w:t>
            </w:r>
          </w:p>
        </w:tc>
        <w:tc>
          <w:tcPr>
            <w:tcW w:w="3471" w:type="pct"/>
            <w:shd w:val="clear" w:color="auto" w:fill="auto"/>
          </w:tcPr>
          <w:p w:rsidR="00117E32" w:rsidRPr="00E47E6E" w:rsidRDefault="00117E32" w:rsidP="00117E32">
            <w:pPr>
              <w:jc w:val="left"/>
              <w:rPr>
                <w:rFonts w:ascii="Arial Narrow" w:hAnsi="Arial Narrow"/>
                <w:b/>
                <w:sz w:val="20"/>
              </w:rPr>
            </w:pPr>
            <w:r w:rsidRPr="00E47E6E">
              <w:rPr>
                <w:rFonts w:ascii="Arial Narrow" w:hAnsi="Arial Narrow"/>
                <w:sz w:val="20"/>
              </w:rPr>
              <w:t>30 years. This is consistent with PBAC Advice (Para 7.10, Item 5.17 Sofosbuvir Public Summary Document, July 2014 PBAC meeting).</w:t>
            </w:r>
          </w:p>
        </w:tc>
      </w:tr>
      <w:tr w:rsidR="00117E32" w:rsidRPr="00E47E6E" w:rsidTr="00117E32">
        <w:tc>
          <w:tcPr>
            <w:tcW w:w="1529"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Outcomes</w:t>
            </w:r>
          </w:p>
        </w:tc>
        <w:tc>
          <w:tcPr>
            <w:tcW w:w="3471"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Life years gained (LYG) and quality adjusted life years (QALYs).</w:t>
            </w:r>
          </w:p>
        </w:tc>
      </w:tr>
      <w:tr w:rsidR="00117E32" w:rsidRPr="00E47E6E" w:rsidTr="00117E32">
        <w:tc>
          <w:tcPr>
            <w:tcW w:w="1529"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Methods used to generate results</w:t>
            </w:r>
          </w:p>
        </w:tc>
        <w:tc>
          <w:tcPr>
            <w:tcW w:w="3471"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State-transition Markov model with two distinct phases (on and off treatment) and nine mutually exclusive health states describing progression of the disease over a lifetime. Cohort expected value analysis.</w:t>
            </w:r>
          </w:p>
        </w:tc>
      </w:tr>
      <w:tr w:rsidR="00117E32" w:rsidRPr="00E47E6E" w:rsidTr="00117E32">
        <w:tc>
          <w:tcPr>
            <w:tcW w:w="1529"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Cycle length</w:t>
            </w:r>
          </w:p>
        </w:tc>
        <w:tc>
          <w:tcPr>
            <w:tcW w:w="3471"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Three monthly cycles for the first two years, followed by yearly cycles.</w:t>
            </w:r>
          </w:p>
        </w:tc>
      </w:tr>
      <w:tr w:rsidR="00117E32" w:rsidRPr="00E47E6E" w:rsidTr="00117E32">
        <w:tc>
          <w:tcPr>
            <w:tcW w:w="1529"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Transition probabilities</w:t>
            </w:r>
          </w:p>
        </w:tc>
        <w:tc>
          <w:tcPr>
            <w:tcW w:w="3471" w:type="pct"/>
            <w:shd w:val="clear" w:color="auto" w:fill="auto"/>
          </w:tcPr>
          <w:p w:rsidR="00117E32" w:rsidRPr="00E47E6E" w:rsidRDefault="00117E32" w:rsidP="00590D19">
            <w:pPr>
              <w:jc w:val="left"/>
              <w:rPr>
                <w:rFonts w:ascii="Arial Narrow" w:hAnsi="Arial Narrow"/>
                <w:sz w:val="20"/>
              </w:rPr>
            </w:pPr>
            <w:r w:rsidRPr="00E47E6E">
              <w:rPr>
                <w:rFonts w:ascii="Arial Narrow" w:hAnsi="Arial Narrow"/>
                <w:sz w:val="20"/>
              </w:rPr>
              <w:t xml:space="preserve">Based on literature review. A number of these transition probabilities differed from those in the concurrent sofosbuvir re-submission. The LDV/SOF submission did not </w:t>
            </w:r>
            <w:r w:rsidR="00AF6FED" w:rsidRPr="00E47E6E">
              <w:rPr>
                <w:rFonts w:ascii="Arial Narrow" w:hAnsi="Arial Narrow"/>
                <w:sz w:val="20"/>
              </w:rPr>
              <w:t xml:space="preserve">justify </w:t>
            </w:r>
            <w:r w:rsidRPr="00E47E6E">
              <w:rPr>
                <w:rFonts w:ascii="Arial Narrow" w:hAnsi="Arial Narrow"/>
                <w:sz w:val="20"/>
              </w:rPr>
              <w:t xml:space="preserve">the use of these variables. </w:t>
            </w:r>
          </w:p>
        </w:tc>
      </w:tr>
      <w:tr w:rsidR="00117E32" w:rsidRPr="00E47E6E" w:rsidTr="00117E32">
        <w:tc>
          <w:tcPr>
            <w:tcW w:w="1529"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Discount rate</w:t>
            </w:r>
          </w:p>
        </w:tc>
        <w:tc>
          <w:tcPr>
            <w:tcW w:w="3471"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5% for costs and outcomes</w:t>
            </w:r>
          </w:p>
        </w:tc>
      </w:tr>
      <w:tr w:rsidR="00117E32" w:rsidRPr="00E47E6E" w:rsidTr="00117E32">
        <w:tc>
          <w:tcPr>
            <w:tcW w:w="1529"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Software package</w:t>
            </w:r>
          </w:p>
        </w:tc>
        <w:tc>
          <w:tcPr>
            <w:tcW w:w="3471" w:type="pct"/>
            <w:shd w:val="clear" w:color="auto" w:fill="auto"/>
          </w:tcPr>
          <w:p w:rsidR="00117E32" w:rsidRPr="00E47E6E" w:rsidRDefault="00117E32" w:rsidP="00117E32">
            <w:pPr>
              <w:jc w:val="left"/>
              <w:rPr>
                <w:rFonts w:ascii="Arial Narrow" w:hAnsi="Arial Narrow"/>
                <w:sz w:val="20"/>
              </w:rPr>
            </w:pPr>
            <w:r w:rsidRPr="00E47E6E">
              <w:rPr>
                <w:rFonts w:ascii="Arial Narrow" w:hAnsi="Arial Narrow"/>
                <w:sz w:val="20"/>
              </w:rPr>
              <w:t>Microsoft Excel 2013.</w:t>
            </w:r>
          </w:p>
        </w:tc>
      </w:tr>
    </w:tbl>
    <w:p w:rsidR="00117E32" w:rsidRPr="00E47E6E" w:rsidRDefault="00117E32" w:rsidP="00117E32">
      <w:pPr>
        <w:pStyle w:val="TableFooter"/>
        <w:ind w:firstLine="720"/>
      </w:pPr>
      <w:r w:rsidRPr="00E47E6E">
        <w:t>Source: compiled during the evaluation</w:t>
      </w:r>
    </w:p>
    <w:p w:rsidR="00117E32" w:rsidRPr="00275C5A" w:rsidRDefault="00117E32" w:rsidP="00117E32">
      <w:pPr>
        <w:widowControl/>
        <w:rPr>
          <w:szCs w:val="22"/>
        </w:rPr>
      </w:pPr>
    </w:p>
    <w:p w:rsidR="00117E32" w:rsidRPr="00134998" w:rsidRDefault="00117E32" w:rsidP="00B87E17">
      <w:pPr>
        <w:pStyle w:val="ListParagraph"/>
        <w:widowControl/>
        <w:numPr>
          <w:ilvl w:val="1"/>
          <w:numId w:val="3"/>
        </w:numPr>
        <w:rPr>
          <w:szCs w:val="22"/>
        </w:rPr>
      </w:pPr>
      <w:r w:rsidRPr="00E47E6E">
        <w:rPr>
          <w:szCs w:val="22"/>
        </w:rPr>
        <w:t xml:space="preserve">A number </w:t>
      </w:r>
      <w:r w:rsidRPr="008317FF">
        <w:rPr>
          <w:szCs w:val="22"/>
        </w:rPr>
        <w:t xml:space="preserve">of SVR rates used in the model could not be verified and differed from </w:t>
      </w:r>
      <w:r w:rsidR="00AF6FED" w:rsidRPr="008317FF">
        <w:rPr>
          <w:szCs w:val="22"/>
        </w:rPr>
        <w:t xml:space="preserve">those </w:t>
      </w:r>
      <w:r w:rsidRPr="008317FF">
        <w:rPr>
          <w:szCs w:val="22"/>
        </w:rPr>
        <w:t>reported in Section B</w:t>
      </w:r>
      <w:r w:rsidR="00590D19" w:rsidRPr="008317FF">
        <w:rPr>
          <w:szCs w:val="22"/>
        </w:rPr>
        <w:t xml:space="preserve"> of the submission</w:t>
      </w:r>
      <w:r w:rsidRPr="008317FF">
        <w:rPr>
          <w:szCs w:val="22"/>
        </w:rPr>
        <w:t>. Most notably,</w:t>
      </w:r>
      <w:r w:rsidR="00DC2244" w:rsidRPr="008317FF">
        <w:rPr>
          <w:szCs w:val="22"/>
        </w:rPr>
        <w:t xml:space="preserve"> for</w:t>
      </w:r>
      <w:r w:rsidRPr="008317FF">
        <w:rPr>
          <w:szCs w:val="22"/>
        </w:rPr>
        <w:t xml:space="preserve"> the SVR rate for treatment experienced patients who received treatment with </w:t>
      </w:r>
      <w:proofErr w:type="spellStart"/>
      <w:r w:rsidRPr="008317FF">
        <w:rPr>
          <w:szCs w:val="22"/>
        </w:rPr>
        <w:t>boceprevir</w:t>
      </w:r>
      <w:r w:rsidRPr="00E47E6E">
        <w:rPr>
          <w:szCs w:val="22"/>
        </w:rPr>
        <w:t>+PR</w:t>
      </w:r>
      <w:proofErr w:type="spellEnd"/>
      <w:r w:rsidRPr="00E47E6E">
        <w:rPr>
          <w:szCs w:val="22"/>
        </w:rPr>
        <w:t>, the SVR rate from the relevant trial (</w:t>
      </w:r>
      <w:r w:rsidRPr="00134998">
        <w:rPr>
          <w:szCs w:val="22"/>
        </w:rPr>
        <w:t xml:space="preserve">RESPOND Group 3) was 77.3%, while the SVR used in the model was 35.3%. The SVR rate for LDV/SOF observed from ION-3 was 94%, while the model used a SVR of 97.10%. </w:t>
      </w:r>
    </w:p>
    <w:p w:rsidR="00117E32" w:rsidRPr="00134998" w:rsidRDefault="00117E32" w:rsidP="00117E32">
      <w:pPr>
        <w:pStyle w:val="ListParagraph"/>
        <w:widowControl/>
        <w:rPr>
          <w:szCs w:val="22"/>
        </w:rPr>
      </w:pPr>
    </w:p>
    <w:p w:rsidR="00117E32" w:rsidRPr="00134998" w:rsidRDefault="0005437D" w:rsidP="00B87E17">
      <w:pPr>
        <w:pStyle w:val="ListParagraph"/>
        <w:widowControl/>
        <w:numPr>
          <w:ilvl w:val="1"/>
          <w:numId w:val="3"/>
        </w:numPr>
        <w:rPr>
          <w:szCs w:val="22"/>
        </w:rPr>
      </w:pPr>
      <w:r w:rsidRPr="00134998">
        <w:rPr>
          <w:szCs w:val="22"/>
        </w:rPr>
        <w:t xml:space="preserve">Transition probabilities describing the natural history of genotype 1 HCV differed between the LDV/SOF model and the model in the sofosbuvir </w:t>
      </w:r>
      <w:r w:rsidR="00134998">
        <w:rPr>
          <w:szCs w:val="22"/>
        </w:rPr>
        <w:t>re-</w:t>
      </w:r>
      <w:r w:rsidRPr="00134998">
        <w:rPr>
          <w:szCs w:val="22"/>
        </w:rPr>
        <w:t>submission for the same population. The submission failed to justify the use of these transition probabilities. The transition probabilities in the LDV/SOF model were consistently higher than those used in the sofosbuvir model and biased the results of the economic evaluation in favour of LDV/SOF</w:t>
      </w:r>
      <w:r w:rsidR="00B87E17" w:rsidRPr="00134998">
        <w:rPr>
          <w:szCs w:val="22"/>
        </w:rPr>
        <w:t xml:space="preserve">. </w:t>
      </w:r>
    </w:p>
    <w:p w:rsidR="00B87E17" w:rsidRPr="00B87E17" w:rsidRDefault="00B87E17" w:rsidP="00B87E17">
      <w:pPr>
        <w:pStyle w:val="PBACHeading1"/>
        <w:numPr>
          <w:ilvl w:val="0"/>
          <w:numId w:val="0"/>
        </w:numPr>
      </w:pPr>
    </w:p>
    <w:p w:rsidR="00117E32" w:rsidRPr="00F66B8B" w:rsidRDefault="00F66B8B" w:rsidP="00B87E17">
      <w:pPr>
        <w:pStyle w:val="ListParagraph"/>
        <w:widowControl/>
        <w:numPr>
          <w:ilvl w:val="1"/>
          <w:numId w:val="3"/>
        </w:numPr>
        <w:rPr>
          <w:szCs w:val="22"/>
        </w:rPr>
      </w:pPr>
      <w:r w:rsidRPr="00F66B8B">
        <w:t xml:space="preserve">Key drivers of the model are summarised in </w:t>
      </w:r>
      <w:r w:rsidR="007C2325">
        <w:t>the table below</w:t>
      </w:r>
      <w:r w:rsidRPr="00F66B8B">
        <w:t>.</w:t>
      </w:r>
      <w:r w:rsidRPr="00F66B8B">
        <w:rPr>
          <w:szCs w:val="22"/>
        </w:rPr>
        <w:t xml:space="preserve"> </w:t>
      </w:r>
    </w:p>
    <w:p w:rsidR="00117E32" w:rsidRPr="00F66B8B" w:rsidRDefault="00117E32" w:rsidP="00117E32">
      <w:pPr>
        <w:widowControl/>
        <w:rPr>
          <w:szCs w:val="22"/>
        </w:rPr>
      </w:pPr>
    </w:p>
    <w:p w:rsidR="0071353B" w:rsidRDefault="0071353B">
      <w:pPr>
        <w:widowControl/>
        <w:jc w:val="left"/>
        <w:rPr>
          <w:rStyle w:val="CommentReference"/>
          <w:b/>
        </w:rPr>
      </w:pPr>
      <w:r>
        <w:rPr>
          <w:rStyle w:val="CommentReference"/>
          <w:b/>
        </w:rPr>
        <w:br w:type="page"/>
      </w:r>
    </w:p>
    <w:p w:rsidR="00F66B8B" w:rsidRPr="00F66B8B" w:rsidRDefault="00F66B8B" w:rsidP="00F66B8B">
      <w:pPr>
        <w:keepNext/>
        <w:ind w:firstLine="720"/>
        <w:rPr>
          <w:rStyle w:val="CommentReference"/>
          <w:b/>
        </w:rPr>
      </w:pPr>
      <w:bookmarkStart w:id="23" w:name="_GoBack"/>
      <w:bookmarkEnd w:id="23"/>
      <w:r w:rsidRPr="00F66B8B">
        <w:rPr>
          <w:rStyle w:val="CommentReference"/>
          <w:b/>
        </w:rPr>
        <w:lastRenderedPageBreak/>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552"/>
        <w:gridCol w:w="3543"/>
        <w:gridCol w:w="2250"/>
      </w:tblGrid>
      <w:tr w:rsidR="00F66B8B" w:rsidRPr="00E47E6E" w:rsidTr="002B012C">
        <w:trPr>
          <w:tblHeader/>
        </w:trPr>
        <w:tc>
          <w:tcPr>
            <w:tcW w:w="1529" w:type="pct"/>
            <w:shd w:val="clear" w:color="auto" w:fill="auto"/>
            <w:vAlign w:val="center"/>
          </w:tcPr>
          <w:p w:rsidR="00F66B8B" w:rsidRPr="00E47E6E" w:rsidRDefault="00F66B8B" w:rsidP="002B012C">
            <w:pPr>
              <w:jc w:val="left"/>
              <w:rPr>
                <w:rFonts w:ascii="Arial Narrow" w:hAnsi="Arial Narrow"/>
                <w:b/>
                <w:sz w:val="20"/>
                <w:lang w:val="en-US"/>
              </w:rPr>
            </w:pPr>
            <w:r w:rsidRPr="00E47E6E">
              <w:rPr>
                <w:rFonts w:ascii="Arial Narrow" w:hAnsi="Arial Narrow"/>
                <w:b/>
                <w:sz w:val="20"/>
                <w:lang w:val="en-US"/>
              </w:rPr>
              <w:t>Description</w:t>
            </w:r>
          </w:p>
        </w:tc>
        <w:tc>
          <w:tcPr>
            <w:tcW w:w="2123" w:type="pct"/>
            <w:shd w:val="clear" w:color="auto" w:fill="auto"/>
            <w:vAlign w:val="center"/>
          </w:tcPr>
          <w:p w:rsidR="00F66B8B" w:rsidRPr="00E47E6E" w:rsidRDefault="00F66B8B" w:rsidP="0006794E">
            <w:pPr>
              <w:ind w:left="113"/>
              <w:jc w:val="center"/>
              <w:rPr>
                <w:rFonts w:ascii="Arial Narrow" w:hAnsi="Arial Narrow"/>
                <w:b/>
                <w:sz w:val="20"/>
                <w:lang w:val="en-US"/>
              </w:rPr>
            </w:pPr>
            <w:r w:rsidRPr="00E47E6E">
              <w:rPr>
                <w:rFonts w:ascii="Arial Narrow" w:hAnsi="Arial Narrow"/>
                <w:b/>
                <w:sz w:val="20"/>
                <w:lang w:val="en-US"/>
              </w:rPr>
              <w:t>Method/Value</w:t>
            </w:r>
          </w:p>
        </w:tc>
        <w:tc>
          <w:tcPr>
            <w:tcW w:w="1348" w:type="pct"/>
            <w:shd w:val="clear" w:color="auto" w:fill="auto"/>
            <w:vAlign w:val="center"/>
          </w:tcPr>
          <w:p w:rsidR="00F66B8B" w:rsidRPr="00E47E6E" w:rsidRDefault="00F66B8B" w:rsidP="002B012C">
            <w:pPr>
              <w:jc w:val="center"/>
              <w:rPr>
                <w:rFonts w:ascii="Arial Narrow" w:hAnsi="Arial Narrow"/>
                <w:b/>
                <w:sz w:val="20"/>
                <w:lang w:val="en-US"/>
              </w:rPr>
            </w:pPr>
            <w:r w:rsidRPr="00E47E6E">
              <w:rPr>
                <w:rFonts w:ascii="Arial Narrow" w:hAnsi="Arial Narrow"/>
                <w:b/>
                <w:sz w:val="20"/>
                <w:lang w:val="en-US"/>
              </w:rPr>
              <w:t>Impact</w:t>
            </w:r>
          </w:p>
        </w:tc>
      </w:tr>
      <w:tr w:rsidR="00F66B8B" w:rsidRPr="00E47E6E" w:rsidTr="002B012C">
        <w:tc>
          <w:tcPr>
            <w:tcW w:w="1529" w:type="pct"/>
            <w:shd w:val="clear" w:color="auto" w:fill="auto"/>
            <w:vAlign w:val="center"/>
          </w:tcPr>
          <w:p w:rsidR="00F66B8B" w:rsidRPr="00E47E6E" w:rsidRDefault="00F66B8B" w:rsidP="00F66B8B">
            <w:pPr>
              <w:jc w:val="left"/>
              <w:rPr>
                <w:rFonts w:ascii="Arial Narrow" w:hAnsi="Arial Narrow"/>
                <w:sz w:val="20"/>
                <w:lang w:val="en-US"/>
              </w:rPr>
            </w:pPr>
            <w:r w:rsidRPr="00E47E6E">
              <w:rPr>
                <w:rFonts w:ascii="Arial Narrow" w:hAnsi="Arial Narrow"/>
                <w:sz w:val="20"/>
                <w:lang w:val="en-US"/>
              </w:rPr>
              <w:t>Time horizon</w:t>
            </w:r>
          </w:p>
        </w:tc>
        <w:tc>
          <w:tcPr>
            <w:tcW w:w="2123" w:type="pct"/>
            <w:shd w:val="clear" w:color="auto" w:fill="auto"/>
            <w:vAlign w:val="center"/>
          </w:tcPr>
          <w:p w:rsidR="00F66B8B" w:rsidRPr="00E47E6E" w:rsidRDefault="00F66B8B" w:rsidP="0006794E">
            <w:pPr>
              <w:ind w:left="113"/>
              <w:jc w:val="left"/>
              <w:rPr>
                <w:rFonts w:ascii="Arial Narrow" w:hAnsi="Arial Narrow"/>
                <w:sz w:val="20"/>
                <w:lang w:val="en-US"/>
              </w:rPr>
            </w:pPr>
            <w:r w:rsidRPr="00E47E6E">
              <w:rPr>
                <w:rFonts w:ascii="Arial Narrow" w:hAnsi="Arial Narrow"/>
                <w:sz w:val="20"/>
                <w:lang w:val="en-US"/>
              </w:rPr>
              <w:t>30 years, consistent with PBAC recommendations</w:t>
            </w:r>
          </w:p>
        </w:tc>
        <w:tc>
          <w:tcPr>
            <w:tcW w:w="1348" w:type="pct"/>
            <w:shd w:val="clear" w:color="auto" w:fill="auto"/>
            <w:vAlign w:val="center"/>
          </w:tcPr>
          <w:p w:rsidR="00F66B8B" w:rsidRPr="00E47E6E" w:rsidRDefault="00F66B8B" w:rsidP="002B012C">
            <w:pPr>
              <w:jc w:val="center"/>
              <w:rPr>
                <w:rFonts w:ascii="Arial Narrow" w:hAnsi="Arial Narrow"/>
                <w:sz w:val="20"/>
                <w:lang w:val="en-US"/>
              </w:rPr>
            </w:pPr>
            <w:r w:rsidRPr="00E47E6E">
              <w:rPr>
                <w:rFonts w:ascii="Arial Narrow" w:hAnsi="Arial Narrow"/>
                <w:sz w:val="20"/>
                <w:lang w:val="en-US"/>
              </w:rPr>
              <w:t>High,</w:t>
            </w:r>
            <w:r w:rsidR="00E53DAA" w:rsidRPr="00E47E6E">
              <w:rPr>
                <w:rFonts w:ascii="Arial Narrow" w:hAnsi="Arial Narrow"/>
                <w:sz w:val="20"/>
                <w:lang w:val="en-US"/>
              </w:rPr>
              <w:t xml:space="preserve"> longer time horizon</w:t>
            </w:r>
            <w:r w:rsidRPr="00E47E6E">
              <w:rPr>
                <w:rFonts w:ascii="Arial Narrow" w:hAnsi="Arial Narrow"/>
                <w:sz w:val="20"/>
                <w:lang w:val="en-US"/>
              </w:rPr>
              <w:t xml:space="preserve"> </w:t>
            </w:r>
            <w:proofErr w:type="spellStart"/>
            <w:r w:rsidRPr="00E47E6E">
              <w:rPr>
                <w:rFonts w:ascii="Arial Narrow" w:hAnsi="Arial Narrow"/>
                <w:sz w:val="20"/>
                <w:lang w:val="en-US"/>
              </w:rPr>
              <w:t>favours</w:t>
            </w:r>
            <w:proofErr w:type="spellEnd"/>
            <w:r w:rsidRPr="00E47E6E">
              <w:rPr>
                <w:rFonts w:ascii="Arial Narrow" w:hAnsi="Arial Narrow"/>
                <w:sz w:val="20"/>
                <w:lang w:val="en-US"/>
              </w:rPr>
              <w:t xml:space="preserve"> LDV/SOF</w:t>
            </w:r>
          </w:p>
        </w:tc>
      </w:tr>
      <w:tr w:rsidR="00F66B8B" w:rsidRPr="00E47E6E" w:rsidTr="002B012C">
        <w:tc>
          <w:tcPr>
            <w:tcW w:w="1529" w:type="pct"/>
            <w:shd w:val="clear" w:color="auto" w:fill="auto"/>
            <w:vAlign w:val="center"/>
          </w:tcPr>
          <w:p w:rsidR="0006794E" w:rsidRPr="00E47E6E" w:rsidRDefault="00F66B8B" w:rsidP="00F66B8B">
            <w:pPr>
              <w:jc w:val="left"/>
              <w:rPr>
                <w:rFonts w:ascii="Arial Narrow" w:hAnsi="Arial Narrow"/>
                <w:sz w:val="20"/>
                <w:lang w:val="en-US"/>
              </w:rPr>
            </w:pPr>
            <w:r w:rsidRPr="00E47E6E">
              <w:rPr>
                <w:rFonts w:ascii="Arial Narrow" w:hAnsi="Arial Narrow"/>
                <w:sz w:val="20"/>
                <w:lang w:val="en-US"/>
              </w:rPr>
              <w:t>Transition probabilities particularly for</w:t>
            </w:r>
            <w:r w:rsidR="0006794E" w:rsidRPr="00E47E6E">
              <w:rPr>
                <w:rFonts w:ascii="Arial Narrow" w:hAnsi="Arial Narrow"/>
                <w:sz w:val="20"/>
                <w:lang w:val="en-US"/>
              </w:rPr>
              <w:t>:</w:t>
            </w:r>
          </w:p>
          <w:p w:rsidR="0006794E" w:rsidRPr="00E47E6E" w:rsidRDefault="00F66B8B" w:rsidP="00B87E17">
            <w:pPr>
              <w:pStyle w:val="ListParagraph"/>
              <w:numPr>
                <w:ilvl w:val="0"/>
                <w:numId w:val="8"/>
              </w:numPr>
              <w:ind w:left="256" w:hanging="256"/>
              <w:jc w:val="left"/>
              <w:rPr>
                <w:rFonts w:ascii="Arial Narrow" w:hAnsi="Arial Narrow"/>
                <w:sz w:val="20"/>
                <w:lang w:val="en-US"/>
              </w:rPr>
            </w:pPr>
            <w:r w:rsidRPr="00E47E6E">
              <w:rPr>
                <w:rFonts w:ascii="Arial Narrow" w:hAnsi="Arial Narrow"/>
                <w:sz w:val="20"/>
                <w:lang w:val="en-US"/>
              </w:rPr>
              <w:t>non-cirrhotic disease to compensated cirrhosis</w:t>
            </w:r>
            <w:r w:rsidR="0006794E" w:rsidRPr="00E47E6E">
              <w:rPr>
                <w:rFonts w:ascii="Arial Narrow" w:hAnsi="Arial Narrow"/>
                <w:sz w:val="20"/>
                <w:lang w:val="en-US"/>
              </w:rPr>
              <w:t>,</w:t>
            </w:r>
            <w:r w:rsidRPr="00E47E6E">
              <w:rPr>
                <w:rFonts w:ascii="Arial Narrow" w:hAnsi="Arial Narrow"/>
                <w:sz w:val="20"/>
                <w:lang w:val="en-US"/>
              </w:rPr>
              <w:t xml:space="preserve"> and</w:t>
            </w:r>
          </w:p>
          <w:p w:rsidR="00F66B8B" w:rsidRPr="00E47E6E" w:rsidRDefault="00F66B8B" w:rsidP="00B87E17">
            <w:pPr>
              <w:pStyle w:val="ListParagraph"/>
              <w:numPr>
                <w:ilvl w:val="0"/>
                <w:numId w:val="8"/>
              </w:numPr>
              <w:ind w:left="256" w:hanging="256"/>
              <w:jc w:val="left"/>
              <w:rPr>
                <w:rFonts w:ascii="Arial Narrow" w:hAnsi="Arial Narrow"/>
                <w:sz w:val="20"/>
                <w:lang w:val="en-US"/>
              </w:rPr>
            </w:pPr>
            <w:proofErr w:type="gramStart"/>
            <w:r w:rsidRPr="00E47E6E">
              <w:rPr>
                <w:rFonts w:ascii="Arial Narrow" w:hAnsi="Arial Narrow"/>
                <w:sz w:val="20"/>
                <w:lang w:val="en-US"/>
              </w:rPr>
              <w:t>compensated</w:t>
            </w:r>
            <w:proofErr w:type="gramEnd"/>
            <w:r w:rsidRPr="00E47E6E">
              <w:rPr>
                <w:rFonts w:ascii="Arial Narrow" w:hAnsi="Arial Narrow"/>
                <w:sz w:val="20"/>
                <w:lang w:val="en-US"/>
              </w:rPr>
              <w:t xml:space="preserve"> cirrhosis to decompensated cirrhosis and hepatocellular carcinoma.</w:t>
            </w:r>
          </w:p>
        </w:tc>
        <w:tc>
          <w:tcPr>
            <w:tcW w:w="2123" w:type="pct"/>
            <w:shd w:val="clear" w:color="auto" w:fill="auto"/>
            <w:vAlign w:val="center"/>
          </w:tcPr>
          <w:p w:rsidR="00F66B8B" w:rsidRPr="00E47E6E" w:rsidRDefault="00F66B8B" w:rsidP="0006794E">
            <w:pPr>
              <w:ind w:left="113"/>
              <w:jc w:val="left"/>
              <w:rPr>
                <w:rFonts w:ascii="Arial Narrow" w:hAnsi="Arial Narrow"/>
                <w:sz w:val="20"/>
                <w:lang w:val="en-US"/>
              </w:rPr>
            </w:pPr>
            <w:r w:rsidRPr="00E47E6E">
              <w:rPr>
                <w:rFonts w:ascii="Arial Narrow" w:hAnsi="Arial Narrow"/>
                <w:sz w:val="20"/>
                <w:lang w:val="en-US"/>
              </w:rPr>
              <w:t xml:space="preserve">These transition probabilities were consistently higher than those used in the concurrent sofosbuvir re-submission. The use of these </w:t>
            </w:r>
            <w:r w:rsidRPr="008317FF">
              <w:rPr>
                <w:rFonts w:ascii="Arial Narrow" w:hAnsi="Arial Narrow"/>
                <w:sz w:val="20"/>
                <w:lang w:val="en-US"/>
              </w:rPr>
              <w:t xml:space="preserve">transition probabilities was not justified, and some could not be verified based on the source provided in the submission. See Section D.4 </w:t>
            </w:r>
            <w:r w:rsidR="008317FF" w:rsidRPr="008317FF">
              <w:rPr>
                <w:rFonts w:ascii="Arial Narrow" w:hAnsi="Arial Narrow"/>
                <w:sz w:val="20"/>
                <w:lang w:val="en-US"/>
              </w:rPr>
              <w:t>of the commentary</w:t>
            </w:r>
            <w:r w:rsidR="008317FF">
              <w:rPr>
                <w:rFonts w:ascii="Arial Narrow" w:hAnsi="Arial Narrow"/>
                <w:sz w:val="20"/>
                <w:lang w:val="en-US"/>
              </w:rPr>
              <w:t xml:space="preserve"> </w:t>
            </w:r>
            <w:r w:rsidRPr="008317FF">
              <w:rPr>
                <w:rFonts w:ascii="Arial Narrow" w:hAnsi="Arial Narrow"/>
                <w:sz w:val="20"/>
                <w:lang w:val="en-US"/>
              </w:rPr>
              <w:t>(Transition Probabilities).</w:t>
            </w:r>
          </w:p>
        </w:tc>
        <w:tc>
          <w:tcPr>
            <w:tcW w:w="1348" w:type="pct"/>
            <w:shd w:val="clear" w:color="auto" w:fill="auto"/>
            <w:vAlign w:val="center"/>
          </w:tcPr>
          <w:p w:rsidR="00F66B8B" w:rsidRPr="00E47E6E" w:rsidRDefault="00F66B8B" w:rsidP="002B012C">
            <w:pPr>
              <w:jc w:val="center"/>
              <w:rPr>
                <w:rFonts w:ascii="Arial Narrow" w:hAnsi="Arial Narrow"/>
                <w:sz w:val="20"/>
                <w:lang w:val="en-US"/>
              </w:rPr>
            </w:pPr>
            <w:r w:rsidRPr="00E47E6E">
              <w:rPr>
                <w:rFonts w:ascii="Arial Narrow" w:hAnsi="Arial Narrow"/>
                <w:sz w:val="20"/>
                <w:lang w:val="en-US"/>
              </w:rPr>
              <w:t xml:space="preserve">High, </w:t>
            </w:r>
            <w:proofErr w:type="spellStart"/>
            <w:r w:rsidRPr="00E47E6E">
              <w:rPr>
                <w:rFonts w:ascii="Arial Narrow" w:hAnsi="Arial Narrow"/>
                <w:sz w:val="20"/>
                <w:lang w:val="en-US"/>
              </w:rPr>
              <w:t>favours</w:t>
            </w:r>
            <w:proofErr w:type="spellEnd"/>
            <w:r w:rsidRPr="00E47E6E">
              <w:rPr>
                <w:rFonts w:ascii="Arial Narrow" w:hAnsi="Arial Narrow"/>
                <w:sz w:val="20"/>
                <w:lang w:val="en-US"/>
              </w:rPr>
              <w:t xml:space="preserve"> LDV/SOF</w:t>
            </w:r>
          </w:p>
        </w:tc>
      </w:tr>
      <w:tr w:rsidR="00F66B8B" w:rsidRPr="00E47E6E" w:rsidTr="002B012C">
        <w:tc>
          <w:tcPr>
            <w:tcW w:w="1529" w:type="pct"/>
            <w:shd w:val="clear" w:color="auto" w:fill="auto"/>
            <w:vAlign w:val="center"/>
          </w:tcPr>
          <w:p w:rsidR="00F66B8B" w:rsidRPr="00E47E6E" w:rsidRDefault="00F66B8B" w:rsidP="00F66B8B">
            <w:pPr>
              <w:jc w:val="left"/>
              <w:rPr>
                <w:rFonts w:ascii="Arial Narrow" w:hAnsi="Arial Narrow"/>
                <w:sz w:val="20"/>
                <w:lang w:val="en-US"/>
              </w:rPr>
            </w:pPr>
            <w:r w:rsidRPr="00E47E6E">
              <w:rPr>
                <w:rFonts w:ascii="Arial Narrow" w:hAnsi="Arial Narrow"/>
                <w:sz w:val="20"/>
                <w:lang w:val="en-US"/>
              </w:rPr>
              <w:t>SVR Rates</w:t>
            </w:r>
          </w:p>
        </w:tc>
        <w:tc>
          <w:tcPr>
            <w:tcW w:w="2123" w:type="pct"/>
            <w:shd w:val="clear" w:color="auto" w:fill="auto"/>
            <w:vAlign w:val="center"/>
          </w:tcPr>
          <w:p w:rsidR="00F66B8B" w:rsidRPr="00E47E6E" w:rsidRDefault="00F66B8B" w:rsidP="0006794E">
            <w:pPr>
              <w:ind w:left="113"/>
              <w:jc w:val="left"/>
              <w:rPr>
                <w:rFonts w:ascii="Arial Narrow" w:hAnsi="Arial Narrow"/>
                <w:sz w:val="20"/>
                <w:lang w:val="en-US"/>
              </w:rPr>
            </w:pPr>
            <w:r w:rsidRPr="00E47E6E">
              <w:rPr>
                <w:rFonts w:ascii="Arial Narrow" w:hAnsi="Arial Narrow"/>
                <w:sz w:val="20"/>
                <w:lang w:val="en-US"/>
              </w:rPr>
              <w:t>Based on an unadjusted single arm comparison. Concerns remain regarding the applicability of these results to the proposed population.</w:t>
            </w:r>
          </w:p>
        </w:tc>
        <w:tc>
          <w:tcPr>
            <w:tcW w:w="1348" w:type="pct"/>
            <w:shd w:val="clear" w:color="auto" w:fill="auto"/>
            <w:vAlign w:val="center"/>
          </w:tcPr>
          <w:p w:rsidR="00F66B8B" w:rsidRPr="00E47E6E" w:rsidRDefault="00F66B8B" w:rsidP="002B012C">
            <w:pPr>
              <w:jc w:val="center"/>
              <w:rPr>
                <w:rFonts w:ascii="Arial Narrow" w:hAnsi="Arial Narrow"/>
                <w:sz w:val="20"/>
                <w:lang w:val="en-US"/>
              </w:rPr>
            </w:pPr>
            <w:r w:rsidRPr="00E47E6E">
              <w:rPr>
                <w:rFonts w:ascii="Arial Narrow" w:hAnsi="Arial Narrow"/>
                <w:sz w:val="20"/>
                <w:lang w:val="en-US"/>
              </w:rPr>
              <w:t>Moderate – High, unclear</w:t>
            </w:r>
          </w:p>
        </w:tc>
      </w:tr>
      <w:tr w:rsidR="00F66B8B" w:rsidRPr="00E47E6E" w:rsidTr="002B012C">
        <w:tc>
          <w:tcPr>
            <w:tcW w:w="1529" w:type="pct"/>
            <w:shd w:val="clear" w:color="auto" w:fill="auto"/>
            <w:vAlign w:val="center"/>
          </w:tcPr>
          <w:p w:rsidR="00F66B8B" w:rsidRPr="00E47E6E" w:rsidRDefault="00F66B8B" w:rsidP="00F66B8B">
            <w:pPr>
              <w:jc w:val="left"/>
              <w:rPr>
                <w:rFonts w:ascii="Arial Narrow" w:hAnsi="Arial Narrow"/>
                <w:sz w:val="20"/>
                <w:lang w:val="en-US"/>
              </w:rPr>
            </w:pPr>
            <w:r w:rsidRPr="00E47E6E">
              <w:rPr>
                <w:rFonts w:ascii="Arial Narrow" w:hAnsi="Arial Narrow"/>
                <w:sz w:val="20"/>
                <w:lang w:val="en-US"/>
              </w:rPr>
              <w:t>Utility increment associated with SVR</w:t>
            </w:r>
          </w:p>
        </w:tc>
        <w:tc>
          <w:tcPr>
            <w:tcW w:w="2123" w:type="pct"/>
            <w:shd w:val="clear" w:color="auto" w:fill="auto"/>
            <w:vAlign w:val="center"/>
          </w:tcPr>
          <w:p w:rsidR="00F66B8B" w:rsidRPr="00E47E6E" w:rsidRDefault="00F66B8B" w:rsidP="00F854DE">
            <w:pPr>
              <w:ind w:left="113"/>
              <w:jc w:val="left"/>
              <w:rPr>
                <w:rFonts w:ascii="Arial Narrow" w:hAnsi="Arial Narrow"/>
                <w:sz w:val="20"/>
                <w:lang w:val="en-US"/>
              </w:rPr>
            </w:pPr>
            <w:r w:rsidRPr="00E47E6E">
              <w:rPr>
                <w:rFonts w:ascii="Arial Narrow" w:hAnsi="Arial Narrow"/>
                <w:sz w:val="20"/>
                <w:lang w:val="en-US"/>
              </w:rPr>
              <w:t>This value was consistent with the utility increment related to SVR applied in other economic evaluations of CHC infection. However, given the large incremental difference in SVR between sofosbuvir regimens and no treatment (assumed to be 0%), this assumption had a substantial impact. The</w:t>
            </w:r>
            <w:r w:rsidR="0006794E" w:rsidRPr="00E47E6E">
              <w:rPr>
                <w:rFonts w:ascii="Arial Narrow" w:hAnsi="Arial Narrow"/>
                <w:sz w:val="20"/>
                <w:lang w:val="en-US"/>
              </w:rPr>
              <w:t xml:space="preserve"> u</w:t>
            </w:r>
            <w:r w:rsidRPr="00E47E6E">
              <w:rPr>
                <w:rFonts w:ascii="Arial Narrow" w:hAnsi="Arial Narrow"/>
                <w:sz w:val="20"/>
                <w:lang w:val="en-US"/>
              </w:rPr>
              <w:t xml:space="preserve">tility increment associated with obtaining SVR in the LDV/SOF model (0.041) was more conservative than in the sofosbuvir </w:t>
            </w:r>
            <w:r w:rsidR="00134998">
              <w:rPr>
                <w:rFonts w:ascii="Arial Narrow" w:hAnsi="Arial Narrow"/>
                <w:sz w:val="20"/>
                <w:lang w:val="en-US"/>
              </w:rPr>
              <w:t>re-</w:t>
            </w:r>
            <w:r w:rsidRPr="00E47E6E">
              <w:rPr>
                <w:rFonts w:ascii="Arial Narrow" w:hAnsi="Arial Narrow"/>
                <w:sz w:val="20"/>
                <w:lang w:val="en-US"/>
              </w:rPr>
              <w:t xml:space="preserve">submission (0.05). </w:t>
            </w:r>
          </w:p>
        </w:tc>
        <w:tc>
          <w:tcPr>
            <w:tcW w:w="1348" w:type="pct"/>
            <w:shd w:val="clear" w:color="auto" w:fill="auto"/>
            <w:vAlign w:val="center"/>
          </w:tcPr>
          <w:p w:rsidR="00F66B8B" w:rsidRPr="00E47E6E" w:rsidRDefault="006546EA" w:rsidP="002B012C">
            <w:pPr>
              <w:jc w:val="center"/>
              <w:rPr>
                <w:rFonts w:ascii="Arial Narrow" w:hAnsi="Arial Narrow"/>
                <w:sz w:val="20"/>
                <w:lang w:val="en-US"/>
              </w:rPr>
            </w:pPr>
            <w:r w:rsidRPr="00E47E6E">
              <w:rPr>
                <w:rFonts w:ascii="Arial Narrow" w:hAnsi="Arial Narrow"/>
                <w:sz w:val="20"/>
                <w:lang w:val="en-US"/>
              </w:rPr>
              <w:t xml:space="preserve">Moderate, </w:t>
            </w:r>
            <w:proofErr w:type="spellStart"/>
            <w:r w:rsidRPr="00E47E6E">
              <w:rPr>
                <w:rFonts w:ascii="Arial Narrow" w:hAnsi="Arial Narrow"/>
                <w:sz w:val="20"/>
                <w:lang w:val="en-US"/>
              </w:rPr>
              <w:t>f</w:t>
            </w:r>
            <w:r w:rsidR="00F66B8B" w:rsidRPr="00E47E6E">
              <w:rPr>
                <w:rFonts w:ascii="Arial Narrow" w:hAnsi="Arial Narrow"/>
                <w:sz w:val="20"/>
                <w:lang w:val="en-US"/>
              </w:rPr>
              <w:t>avours</w:t>
            </w:r>
            <w:proofErr w:type="spellEnd"/>
            <w:r w:rsidR="00F66B8B" w:rsidRPr="00E47E6E">
              <w:rPr>
                <w:rFonts w:ascii="Arial Narrow" w:hAnsi="Arial Narrow"/>
                <w:sz w:val="20"/>
                <w:lang w:val="en-US"/>
              </w:rPr>
              <w:t xml:space="preserve"> LDV/SOF</w:t>
            </w:r>
          </w:p>
        </w:tc>
      </w:tr>
    </w:tbl>
    <w:p w:rsidR="00117E32" w:rsidRPr="00E47E6E" w:rsidRDefault="00117E32" w:rsidP="00117E32">
      <w:pPr>
        <w:pStyle w:val="TableFooter"/>
        <w:ind w:firstLine="720"/>
      </w:pPr>
      <w:r w:rsidRPr="00E47E6E">
        <w:t>Source: compiled during the evaluation</w:t>
      </w:r>
    </w:p>
    <w:p w:rsidR="00117E32" w:rsidRPr="00275C5A" w:rsidRDefault="00117E32" w:rsidP="00117E32">
      <w:pPr>
        <w:widowControl/>
        <w:rPr>
          <w:szCs w:val="22"/>
        </w:rPr>
      </w:pPr>
    </w:p>
    <w:p w:rsidR="00F52E36" w:rsidRPr="00E47E6E" w:rsidRDefault="00F52E36" w:rsidP="00B87E17">
      <w:pPr>
        <w:pStyle w:val="ListParagraph"/>
        <w:widowControl/>
        <w:numPr>
          <w:ilvl w:val="1"/>
          <w:numId w:val="3"/>
        </w:numPr>
        <w:rPr>
          <w:szCs w:val="22"/>
        </w:rPr>
      </w:pPr>
      <w:r w:rsidRPr="00E47E6E">
        <w:t>The economic model provided by the submission contained the following referencing errors:</w:t>
      </w:r>
    </w:p>
    <w:p w:rsidR="00F52E36" w:rsidRPr="00E47E6E" w:rsidRDefault="00F52E36" w:rsidP="00B87E17">
      <w:pPr>
        <w:pStyle w:val="ListParagraph"/>
        <w:widowControl/>
        <w:numPr>
          <w:ilvl w:val="0"/>
          <w:numId w:val="8"/>
        </w:numPr>
        <w:ind w:left="1134"/>
        <w:rPr>
          <w:szCs w:val="22"/>
        </w:rPr>
      </w:pPr>
      <w:r w:rsidRPr="00E47E6E">
        <w:t xml:space="preserve"> The outcomes for treatment naïve non-cirrhotic patients incorrectly referenced the treatment naïve compensated cirrhosis Markov trace. </w:t>
      </w:r>
    </w:p>
    <w:p w:rsidR="00F52E36" w:rsidRPr="00E47E6E" w:rsidRDefault="00F52E36" w:rsidP="00B87E17">
      <w:pPr>
        <w:pStyle w:val="ListParagraph"/>
        <w:widowControl/>
        <w:numPr>
          <w:ilvl w:val="0"/>
          <w:numId w:val="8"/>
        </w:numPr>
        <w:ind w:left="1134"/>
        <w:rPr>
          <w:szCs w:val="22"/>
        </w:rPr>
      </w:pPr>
      <w:r w:rsidRPr="00E47E6E">
        <w:t xml:space="preserve">The outcomes for treatment naïve compensated cirrhosis patients incorrectly referenced the treatment experienced non-cirrhotic Markov trace. </w:t>
      </w:r>
    </w:p>
    <w:p w:rsidR="00BB4846" w:rsidRPr="00E47E6E" w:rsidRDefault="00F52E36" w:rsidP="00B87E17">
      <w:pPr>
        <w:pStyle w:val="ListParagraph"/>
        <w:widowControl/>
        <w:numPr>
          <w:ilvl w:val="0"/>
          <w:numId w:val="8"/>
        </w:numPr>
        <w:ind w:left="1134"/>
        <w:rPr>
          <w:szCs w:val="22"/>
        </w:rPr>
      </w:pPr>
      <w:r w:rsidRPr="00E47E6E">
        <w:t>The Markov trace for treatment-experienced non-cirrhotic referenced the SVR rate for treatment-naïve patients with compensated cirrhosis.</w:t>
      </w:r>
    </w:p>
    <w:p w:rsidR="00F52E36" w:rsidRPr="00E47E6E" w:rsidRDefault="00F52E36" w:rsidP="00F52E36">
      <w:pPr>
        <w:widowControl/>
        <w:ind w:left="774"/>
        <w:rPr>
          <w:szCs w:val="22"/>
        </w:rPr>
      </w:pPr>
      <w:r w:rsidRPr="00E47E6E">
        <w:rPr>
          <w:szCs w:val="22"/>
        </w:rPr>
        <w:t>These referencing errors were corrected during the evaluation.</w:t>
      </w:r>
    </w:p>
    <w:p w:rsidR="006706F1" w:rsidRPr="00E47E6E" w:rsidRDefault="006706F1" w:rsidP="006706F1">
      <w:pPr>
        <w:pStyle w:val="ListParagraph"/>
        <w:widowControl/>
        <w:rPr>
          <w:szCs w:val="22"/>
        </w:rPr>
      </w:pPr>
    </w:p>
    <w:p w:rsidR="00117E32" w:rsidRPr="00211254" w:rsidRDefault="00117E32" w:rsidP="00B87E17">
      <w:pPr>
        <w:pStyle w:val="ListParagraph"/>
        <w:widowControl/>
        <w:numPr>
          <w:ilvl w:val="1"/>
          <w:numId w:val="3"/>
        </w:numPr>
        <w:rPr>
          <w:szCs w:val="22"/>
        </w:rPr>
      </w:pPr>
      <w:r w:rsidRPr="007C1A32">
        <w:t xml:space="preserve">The submission assumed that the duration of treatment with LDV/SOF for treatment naïve non-cirrhotic patients was 10 weeks. During the evaluation, this </w:t>
      </w:r>
      <w:r w:rsidR="00BB4846" w:rsidRPr="007C1A32">
        <w:t>w</w:t>
      </w:r>
      <w:r w:rsidRPr="007C1A32">
        <w:t xml:space="preserve">as adjusted to 8 weeks, consistent with the proposed PBS listing. In addition, the SVR rates that were reported in the clinical studies in Section B were incorporated in the updated model during the evaluation. The </w:t>
      </w:r>
      <w:r w:rsidR="00DC2244" w:rsidRPr="007C1A32">
        <w:t>adjusted</w:t>
      </w:r>
      <w:r w:rsidRPr="007C1A32">
        <w:t xml:space="preserve"> results of the economic evaluation are summarised below. Results </w:t>
      </w:r>
      <w:r w:rsidR="00B82F59">
        <w:t xml:space="preserve">were </w:t>
      </w:r>
      <w:r w:rsidRPr="007C1A32">
        <w:t xml:space="preserve">presented against the comparators of </w:t>
      </w:r>
      <w:proofErr w:type="spellStart"/>
      <w:r w:rsidRPr="007C1A32">
        <w:t>simeprevir</w:t>
      </w:r>
      <w:proofErr w:type="spellEnd"/>
      <w:r w:rsidRPr="007C1A32">
        <w:t xml:space="preserve">, sofosbuvir and no treatment for treatment-naïve patients and </w:t>
      </w:r>
      <w:proofErr w:type="spellStart"/>
      <w:r w:rsidRPr="007C1A32">
        <w:t>simeprevir</w:t>
      </w:r>
      <w:proofErr w:type="spellEnd"/>
      <w:r w:rsidRPr="007C1A32">
        <w:t xml:space="preserve"> and no treatment for treatment-experienced patients.</w:t>
      </w:r>
      <w:r w:rsidR="007C4F61">
        <w:t xml:space="preserve"> </w:t>
      </w:r>
      <w:r w:rsidR="007C4F61" w:rsidRPr="00211254">
        <w:t>The ESC noted the sponsor’s correction of the referencing errors, SVR rates, and treatment duration (from 10 to 8 weeks) in the PSCR.  One refere</w:t>
      </w:r>
      <w:r w:rsidR="00FC1468">
        <w:t>ncing error was not identified and the detail of the error was</w:t>
      </w:r>
      <w:r w:rsidR="007C4F61" w:rsidRPr="00211254">
        <w:t xml:space="preserve"> presented </w:t>
      </w:r>
      <w:r w:rsidR="00FC1468">
        <w:t>in the ESC Advice for this item.</w:t>
      </w:r>
    </w:p>
    <w:p w:rsidR="007C4F61" w:rsidRPr="00211254" w:rsidRDefault="007C4F61" w:rsidP="007C4F61">
      <w:pPr>
        <w:pStyle w:val="PBACHeading1"/>
        <w:numPr>
          <w:ilvl w:val="0"/>
          <w:numId w:val="0"/>
        </w:numPr>
        <w:ind w:left="720" w:hanging="720"/>
      </w:pPr>
    </w:p>
    <w:p w:rsidR="00117E32" w:rsidRPr="00211254" w:rsidRDefault="00117E32" w:rsidP="007C4F61">
      <w:pPr>
        <w:widowControl/>
        <w:ind w:left="709"/>
        <w:jc w:val="left"/>
        <w:rPr>
          <w:rStyle w:val="CommentReference"/>
          <w:b/>
        </w:rPr>
      </w:pPr>
      <w:r w:rsidRPr="00211254">
        <w:rPr>
          <w:rStyle w:val="CommentReference"/>
          <w:b/>
        </w:rPr>
        <w:lastRenderedPageBreak/>
        <w:t>Results of the economic evaluation of LDV/SOF compared with no treatment, SOF+PR and SMV+PR</w:t>
      </w:r>
      <w:r w:rsidR="00BE0566" w:rsidRPr="00211254">
        <w:rPr>
          <w:rStyle w:val="CommentReference"/>
          <w:b/>
        </w:rPr>
        <w:t xml:space="preserve"> using transition probabilities from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2268"/>
        <w:gridCol w:w="1133"/>
        <w:gridCol w:w="1135"/>
        <w:gridCol w:w="1966"/>
      </w:tblGrid>
      <w:tr w:rsidR="00117E32" w:rsidRPr="00E47E6E" w:rsidTr="007144BB">
        <w:tc>
          <w:tcPr>
            <w:tcW w:w="5000" w:type="pct"/>
            <w:gridSpan w:val="5"/>
            <w:shd w:val="clear" w:color="auto" w:fill="D9D9D9" w:themeFill="background1" w:themeFillShade="D9"/>
          </w:tcPr>
          <w:p w:rsidR="00117E32" w:rsidRPr="00E47E6E" w:rsidRDefault="00117E32" w:rsidP="00117E32">
            <w:pPr>
              <w:pStyle w:val="TableHeading"/>
              <w:widowControl w:val="0"/>
              <w:spacing w:before="0" w:after="0"/>
              <w:rPr>
                <w:snapToGrid w:val="0"/>
              </w:rPr>
            </w:pPr>
            <w:r w:rsidRPr="00E47E6E">
              <w:rPr>
                <w:snapToGrid w:val="0"/>
              </w:rPr>
              <w:t>Treatment-naïve</w:t>
            </w:r>
          </w:p>
        </w:tc>
      </w:tr>
      <w:tr w:rsidR="00117E32" w:rsidRPr="00E47E6E" w:rsidTr="00117E32">
        <w:trPr>
          <w:trHeight w:val="280"/>
        </w:trPr>
        <w:tc>
          <w:tcPr>
            <w:tcW w:w="1104" w:type="pct"/>
          </w:tcPr>
          <w:p w:rsidR="00117E32" w:rsidRPr="00E47E6E" w:rsidRDefault="00117E32" w:rsidP="00117E32">
            <w:pPr>
              <w:pStyle w:val="Tabletext"/>
              <w:widowControl w:val="0"/>
              <w:spacing w:after="0"/>
              <w:jc w:val="center"/>
              <w:rPr>
                <w:rFonts w:ascii="Arial Narrow" w:hAnsi="Arial Narrow"/>
                <w:b/>
              </w:rPr>
            </w:pPr>
          </w:p>
        </w:tc>
        <w:tc>
          <w:tcPr>
            <w:tcW w:w="3896" w:type="pct"/>
            <w:gridSpan w:val="4"/>
            <w:vAlign w:val="center"/>
          </w:tcPr>
          <w:p w:rsidR="00117E32" w:rsidRPr="00E47E6E" w:rsidRDefault="00117E32" w:rsidP="00117E32">
            <w:pPr>
              <w:pStyle w:val="Tabletext"/>
              <w:widowControl w:val="0"/>
              <w:spacing w:after="0"/>
              <w:jc w:val="center"/>
              <w:rPr>
                <w:rFonts w:ascii="Arial Narrow" w:hAnsi="Arial Narrow"/>
              </w:rPr>
            </w:pPr>
            <w:r w:rsidRPr="00E47E6E">
              <w:rPr>
                <w:rFonts w:ascii="Arial Narrow" w:hAnsi="Arial Narrow"/>
                <w:b/>
              </w:rPr>
              <w:t>Comparator</w:t>
            </w:r>
          </w:p>
        </w:tc>
      </w:tr>
      <w:tr w:rsidR="00117E32" w:rsidRPr="00E47E6E" w:rsidTr="00117E32">
        <w:trPr>
          <w:trHeight w:val="279"/>
        </w:trPr>
        <w:tc>
          <w:tcPr>
            <w:tcW w:w="1104" w:type="pct"/>
          </w:tcPr>
          <w:p w:rsidR="00117E32" w:rsidRPr="00E47E6E" w:rsidRDefault="00117E32" w:rsidP="00117E32">
            <w:pPr>
              <w:pStyle w:val="Tabletext"/>
              <w:widowControl w:val="0"/>
              <w:spacing w:after="0"/>
              <w:rPr>
                <w:rFonts w:ascii="Arial Narrow" w:hAnsi="Arial Narrow"/>
                <w:b/>
              </w:rPr>
            </w:pPr>
          </w:p>
        </w:tc>
        <w:tc>
          <w:tcPr>
            <w:tcW w:w="1359" w:type="pct"/>
            <w:vAlign w:val="center"/>
          </w:tcPr>
          <w:p w:rsidR="00117E32" w:rsidRPr="00E47E6E" w:rsidRDefault="00117E32" w:rsidP="00117E32">
            <w:pPr>
              <w:pStyle w:val="Tabletext"/>
              <w:widowControl w:val="0"/>
              <w:spacing w:after="0"/>
              <w:jc w:val="center"/>
              <w:rPr>
                <w:rFonts w:ascii="Arial Narrow" w:hAnsi="Arial Narrow"/>
                <w:b/>
              </w:rPr>
            </w:pPr>
            <w:r w:rsidRPr="00E47E6E">
              <w:rPr>
                <w:rFonts w:ascii="Arial Narrow" w:hAnsi="Arial Narrow"/>
                <w:b/>
              </w:rPr>
              <w:t>No Treatment</w:t>
            </w:r>
          </w:p>
        </w:tc>
        <w:tc>
          <w:tcPr>
            <w:tcW w:w="1359" w:type="pct"/>
            <w:gridSpan w:val="2"/>
            <w:vAlign w:val="center"/>
          </w:tcPr>
          <w:p w:rsidR="00117E32" w:rsidRPr="00E47E6E" w:rsidRDefault="00117E32" w:rsidP="00117E32">
            <w:pPr>
              <w:pStyle w:val="Tabletext"/>
              <w:widowControl w:val="0"/>
              <w:spacing w:after="0"/>
              <w:jc w:val="center"/>
              <w:rPr>
                <w:rFonts w:ascii="Arial Narrow" w:hAnsi="Arial Narrow"/>
                <w:b/>
              </w:rPr>
            </w:pPr>
            <w:r w:rsidRPr="00E47E6E">
              <w:rPr>
                <w:rFonts w:ascii="Arial Narrow" w:hAnsi="Arial Narrow"/>
                <w:b/>
              </w:rPr>
              <w:t>SOF+PR</w:t>
            </w:r>
          </w:p>
        </w:tc>
        <w:tc>
          <w:tcPr>
            <w:tcW w:w="1178" w:type="pct"/>
            <w:vAlign w:val="center"/>
          </w:tcPr>
          <w:p w:rsidR="00117E32" w:rsidRPr="00E47E6E" w:rsidRDefault="00117E32" w:rsidP="00117E32">
            <w:pPr>
              <w:pStyle w:val="Tabletext"/>
              <w:widowControl w:val="0"/>
              <w:spacing w:after="0"/>
              <w:jc w:val="center"/>
              <w:rPr>
                <w:rFonts w:ascii="Arial Narrow" w:hAnsi="Arial Narrow"/>
                <w:b/>
              </w:rPr>
            </w:pPr>
            <w:r w:rsidRPr="00E47E6E">
              <w:rPr>
                <w:rFonts w:ascii="Arial Narrow" w:hAnsi="Arial Narrow"/>
                <w:b/>
              </w:rPr>
              <w:t>SMV+PR</w:t>
            </w:r>
          </w:p>
        </w:tc>
      </w:tr>
      <w:tr w:rsidR="00117E32" w:rsidRPr="00E47E6E" w:rsidTr="00117E32">
        <w:tc>
          <w:tcPr>
            <w:tcW w:w="1104" w:type="pct"/>
          </w:tcPr>
          <w:p w:rsidR="00117E32" w:rsidRPr="00E47E6E" w:rsidRDefault="00117E32" w:rsidP="00117E32">
            <w:pPr>
              <w:pStyle w:val="TableHeading"/>
              <w:widowControl w:val="0"/>
              <w:spacing w:before="0" w:after="0"/>
              <w:rPr>
                <w:b w:val="0"/>
                <w:snapToGrid w:val="0"/>
              </w:rPr>
            </w:pPr>
            <w:r w:rsidRPr="00E47E6E">
              <w:rPr>
                <w:b w:val="0"/>
                <w:snapToGrid w:val="0"/>
              </w:rPr>
              <w:t>Incremental cost</w:t>
            </w:r>
          </w:p>
        </w:tc>
        <w:tc>
          <w:tcPr>
            <w:tcW w:w="1359" w:type="pct"/>
            <w:vAlign w:val="center"/>
          </w:tcPr>
          <w:p w:rsidR="00117E32" w:rsidRPr="00E47E6E" w:rsidRDefault="00117E32" w:rsidP="00117E32">
            <w:pPr>
              <w:pStyle w:val="TableHeading"/>
              <w:widowControl w:val="0"/>
              <w:spacing w:before="0" w:after="0"/>
              <w:jc w:val="right"/>
              <w:rPr>
                <w:b w:val="0"/>
                <w:snapToGrid w:val="0"/>
              </w:rPr>
            </w:pPr>
            <w:r w:rsidRPr="00E47E6E">
              <w:rPr>
                <w:b w:val="0"/>
                <w:snapToGrid w:val="0"/>
              </w:rPr>
              <w:t>$</w:t>
            </w:r>
            <w:r w:rsidR="009F4C82">
              <w:rPr>
                <w:b w:val="0"/>
                <w:noProof/>
                <w:snapToGrid w:val="0"/>
                <w:color w:val="000000"/>
                <w:highlight w:val="black"/>
              </w:rPr>
              <w:t>''''''''''''''''</w:t>
            </w:r>
          </w:p>
        </w:tc>
        <w:tc>
          <w:tcPr>
            <w:tcW w:w="1359" w:type="pct"/>
            <w:gridSpan w:val="2"/>
            <w:vAlign w:val="center"/>
          </w:tcPr>
          <w:p w:rsidR="00117E32" w:rsidRPr="00E47E6E" w:rsidRDefault="009F4C82" w:rsidP="00117E32">
            <w:pPr>
              <w:pStyle w:val="TableHeading"/>
              <w:widowControl w:val="0"/>
              <w:spacing w:before="0" w:after="0"/>
              <w:jc w:val="right"/>
              <w:rPr>
                <w:b w:val="0"/>
                <w:snapToGrid w:val="0"/>
              </w:rPr>
            </w:pPr>
            <w:r>
              <w:rPr>
                <w:b w:val="0"/>
                <w:noProof/>
                <w:snapToGrid w:val="0"/>
                <w:color w:val="000000"/>
                <w:highlight w:val="black"/>
              </w:rPr>
              <w:t>''</w:t>
            </w:r>
            <w:r w:rsidR="00117E32" w:rsidRPr="00E47E6E">
              <w:rPr>
                <w:b w:val="0"/>
                <w:snapToGrid w:val="0"/>
              </w:rPr>
              <w:t>$</w:t>
            </w:r>
            <w:r>
              <w:rPr>
                <w:b w:val="0"/>
                <w:noProof/>
                <w:snapToGrid w:val="0"/>
                <w:color w:val="000000"/>
                <w:highlight w:val="black"/>
              </w:rPr>
              <w:t>'''''''''''''''</w:t>
            </w:r>
          </w:p>
        </w:tc>
        <w:tc>
          <w:tcPr>
            <w:tcW w:w="1178" w:type="pct"/>
            <w:vAlign w:val="center"/>
          </w:tcPr>
          <w:p w:rsidR="00117E32" w:rsidRPr="00E47E6E" w:rsidRDefault="00117E32" w:rsidP="00117E32">
            <w:pPr>
              <w:pStyle w:val="TableHeading"/>
              <w:widowControl w:val="0"/>
              <w:spacing w:before="0" w:after="0"/>
              <w:jc w:val="right"/>
              <w:rPr>
                <w:b w:val="0"/>
                <w:snapToGrid w:val="0"/>
              </w:rPr>
            </w:pPr>
            <w:r w:rsidRPr="00E47E6E">
              <w:rPr>
                <w:b w:val="0"/>
                <w:snapToGrid w:val="0"/>
              </w:rPr>
              <w:t>$</w:t>
            </w:r>
            <w:r w:rsidR="009F4C82">
              <w:rPr>
                <w:b w:val="0"/>
                <w:noProof/>
                <w:snapToGrid w:val="0"/>
                <w:color w:val="000000"/>
                <w:highlight w:val="black"/>
              </w:rPr>
              <w:t>'''''''''''''''</w:t>
            </w:r>
          </w:p>
        </w:tc>
      </w:tr>
      <w:tr w:rsidR="00117E32" w:rsidRPr="00E47E6E" w:rsidTr="00117E32">
        <w:tc>
          <w:tcPr>
            <w:tcW w:w="1104" w:type="pct"/>
          </w:tcPr>
          <w:p w:rsidR="00117E32" w:rsidRPr="00E47E6E" w:rsidRDefault="00117E32" w:rsidP="00117E32">
            <w:pPr>
              <w:jc w:val="left"/>
              <w:rPr>
                <w:rFonts w:ascii="Arial Narrow" w:hAnsi="Arial Narrow"/>
                <w:sz w:val="20"/>
              </w:rPr>
            </w:pPr>
            <w:r w:rsidRPr="00E47E6E">
              <w:rPr>
                <w:rFonts w:ascii="Arial Narrow" w:hAnsi="Arial Narrow"/>
                <w:sz w:val="20"/>
              </w:rPr>
              <w:t>Incremental QALYs</w:t>
            </w:r>
          </w:p>
        </w:tc>
        <w:tc>
          <w:tcPr>
            <w:tcW w:w="1359" w:type="pct"/>
            <w:vAlign w:val="center"/>
          </w:tcPr>
          <w:p w:rsidR="00117E32" w:rsidRPr="00E47E6E" w:rsidRDefault="00117E32" w:rsidP="00117E32">
            <w:pPr>
              <w:jc w:val="center"/>
              <w:rPr>
                <w:rFonts w:ascii="Arial Narrow" w:hAnsi="Arial Narrow"/>
                <w:sz w:val="20"/>
              </w:rPr>
            </w:pPr>
            <w:r w:rsidRPr="00E47E6E">
              <w:rPr>
                <w:rFonts w:ascii="Arial Narrow" w:hAnsi="Arial Narrow"/>
                <w:sz w:val="20"/>
              </w:rPr>
              <w:t>1.4999</w:t>
            </w:r>
          </w:p>
        </w:tc>
        <w:tc>
          <w:tcPr>
            <w:tcW w:w="1359" w:type="pct"/>
            <w:gridSpan w:val="2"/>
            <w:vAlign w:val="center"/>
          </w:tcPr>
          <w:p w:rsidR="00117E32" w:rsidRPr="00E47E6E" w:rsidRDefault="00117E32" w:rsidP="00117E32">
            <w:pPr>
              <w:jc w:val="center"/>
              <w:rPr>
                <w:rFonts w:ascii="Arial Narrow" w:hAnsi="Arial Narrow"/>
                <w:sz w:val="20"/>
              </w:rPr>
            </w:pPr>
            <w:r w:rsidRPr="00E47E6E">
              <w:rPr>
                <w:rFonts w:ascii="Arial Narrow" w:hAnsi="Arial Narrow"/>
                <w:sz w:val="20"/>
              </w:rPr>
              <w:t>0.1349</w:t>
            </w:r>
          </w:p>
        </w:tc>
        <w:tc>
          <w:tcPr>
            <w:tcW w:w="1178" w:type="pct"/>
            <w:vAlign w:val="center"/>
          </w:tcPr>
          <w:p w:rsidR="00117E32" w:rsidRPr="00E47E6E" w:rsidRDefault="00117E32" w:rsidP="00117E32">
            <w:pPr>
              <w:jc w:val="center"/>
              <w:rPr>
                <w:rFonts w:ascii="Arial Narrow" w:hAnsi="Arial Narrow"/>
                <w:sz w:val="20"/>
              </w:rPr>
            </w:pPr>
            <w:r w:rsidRPr="00E47E6E">
              <w:rPr>
                <w:rFonts w:ascii="Arial Narrow" w:hAnsi="Arial Narrow"/>
                <w:sz w:val="20"/>
              </w:rPr>
              <w:t>0.3670</w:t>
            </w:r>
          </w:p>
        </w:tc>
      </w:tr>
      <w:tr w:rsidR="00117E32" w:rsidRPr="00E47E6E" w:rsidTr="00117E32">
        <w:tc>
          <w:tcPr>
            <w:tcW w:w="1104" w:type="pct"/>
          </w:tcPr>
          <w:p w:rsidR="00117E32" w:rsidRPr="00E47E6E" w:rsidRDefault="00117E32" w:rsidP="00117E32">
            <w:pPr>
              <w:jc w:val="left"/>
              <w:rPr>
                <w:rFonts w:ascii="Arial Narrow" w:hAnsi="Arial Narrow"/>
                <w:sz w:val="20"/>
              </w:rPr>
            </w:pPr>
            <w:r w:rsidRPr="00E47E6E">
              <w:rPr>
                <w:rFonts w:ascii="Arial Narrow" w:hAnsi="Arial Narrow"/>
                <w:sz w:val="20"/>
              </w:rPr>
              <w:t>ICER</w:t>
            </w:r>
          </w:p>
        </w:tc>
        <w:tc>
          <w:tcPr>
            <w:tcW w:w="1359" w:type="pct"/>
            <w:vAlign w:val="center"/>
          </w:tcPr>
          <w:p w:rsidR="00117E32" w:rsidRPr="00E47E6E" w:rsidRDefault="00117E32" w:rsidP="00117E32">
            <w:pPr>
              <w:jc w:val="right"/>
              <w:rPr>
                <w:rFonts w:ascii="Arial Narrow" w:hAnsi="Arial Narrow"/>
                <w:sz w:val="20"/>
              </w:rPr>
            </w:pPr>
            <w:r w:rsidRPr="00E47E6E">
              <w:rPr>
                <w:rFonts w:ascii="Arial Narrow" w:hAnsi="Arial Narrow"/>
                <w:sz w:val="20"/>
              </w:rPr>
              <w:t>$</w:t>
            </w:r>
            <w:r w:rsidR="009F4C82">
              <w:rPr>
                <w:rFonts w:ascii="Arial Narrow" w:hAnsi="Arial Narrow"/>
                <w:noProof/>
                <w:color w:val="000000"/>
                <w:sz w:val="20"/>
                <w:highlight w:val="black"/>
              </w:rPr>
              <w:t>''''''''''''''''</w:t>
            </w:r>
          </w:p>
        </w:tc>
        <w:tc>
          <w:tcPr>
            <w:tcW w:w="1359" w:type="pct"/>
            <w:gridSpan w:val="2"/>
            <w:vAlign w:val="center"/>
          </w:tcPr>
          <w:p w:rsidR="00117E32" w:rsidRPr="009F4C82" w:rsidRDefault="009F4C82" w:rsidP="00117E32">
            <w:pPr>
              <w:jc w:val="right"/>
              <w:rPr>
                <w:rFonts w:ascii="Arial Narrow" w:hAnsi="Arial Narrow"/>
                <w:sz w:val="20"/>
                <w:highlight w:val="black"/>
              </w:rPr>
            </w:pPr>
            <w:r>
              <w:rPr>
                <w:rFonts w:ascii="Arial Narrow" w:hAnsi="Arial Narrow"/>
                <w:noProof/>
                <w:color w:val="000000"/>
                <w:sz w:val="20"/>
                <w:highlight w:val="black"/>
              </w:rPr>
              <w:t>'''''''''''''''''''''''' '''''''''''''''''''''''''' '''''''''''''''''''''</w:t>
            </w:r>
          </w:p>
        </w:tc>
        <w:tc>
          <w:tcPr>
            <w:tcW w:w="1178" w:type="pct"/>
            <w:vAlign w:val="center"/>
          </w:tcPr>
          <w:p w:rsidR="00117E32" w:rsidRPr="00E47E6E" w:rsidRDefault="00117E32" w:rsidP="00117E32">
            <w:pPr>
              <w:jc w:val="right"/>
              <w:rPr>
                <w:rFonts w:ascii="Arial Narrow" w:hAnsi="Arial Narrow"/>
                <w:sz w:val="20"/>
              </w:rPr>
            </w:pPr>
            <w:r w:rsidRPr="00E47E6E">
              <w:rPr>
                <w:rFonts w:ascii="Arial Narrow" w:hAnsi="Arial Narrow"/>
                <w:sz w:val="20"/>
              </w:rPr>
              <w:t>$</w:t>
            </w:r>
            <w:r w:rsidR="009F4C82">
              <w:rPr>
                <w:rFonts w:ascii="Arial Narrow" w:hAnsi="Arial Narrow"/>
                <w:noProof/>
                <w:color w:val="000000"/>
                <w:sz w:val="20"/>
                <w:highlight w:val="black"/>
              </w:rPr>
              <w:t>''''''''''''''''</w:t>
            </w:r>
          </w:p>
        </w:tc>
      </w:tr>
      <w:tr w:rsidR="00117E32" w:rsidRPr="00E47E6E" w:rsidTr="007144BB">
        <w:tc>
          <w:tcPr>
            <w:tcW w:w="5000" w:type="pct"/>
            <w:gridSpan w:val="5"/>
            <w:shd w:val="clear" w:color="auto" w:fill="D9D9D9" w:themeFill="background1" w:themeFillShade="D9"/>
          </w:tcPr>
          <w:p w:rsidR="00117E32" w:rsidRPr="00E47E6E" w:rsidRDefault="00117E32" w:rsidP="00117E32">
            <w:pPr>
              <w:pStyle w:val="TableHeading"/>
              <w:widowControl w:val="0"/>
              <w:spacing w:before="0" w:after="0"/>
              <w:rPr>
                <w:snapToGrid w:val="0"/>
              </w:rPr>
            </w:pPr>
            <w:r w:rsidRPr="00E47E6E">
              <w:rPr>
                <w:snapToGrid w:val="0"/>
              </w:rPr>
              <w:t>Treatment-experienced</w:t>
            </w:r>
          </w:p>
        </w:tc>
      </w:tr>
      <w:tr w:rsidR="00117E32" w:rsidRPr="00E47E6E" w:rsidTr="00117E32">
        <w:trPr>
          <w:trHeight w:val="280"/>
        </w:trPr>
        <w:tc>
          <w:tcPr>
            <w:tcW w:w="1104" w:type="pct"/>
          </w:tcPr>
          <w:p w:rsidR="00117E32" w:rsidRPr="00E47E6E" w:rsidRDefault="00117E32" w:rsidP="00117E32">
            <w:pPr>
              <w:pStyle w:val="Tabletext"/>
              <w:widowControl w:val="0"/>
              <w:spacing w:after="0"/>
              <w:jc w:val="center"/>
              <w:rPr>
                <w:rFonts w:ascii="Arial Narrow" w:hAnsi="Arial Narrow"/>
                <w:b/>
              </w:rPr>
            </w:pPr>
          </w:p>
        </w:tc>
        <w:tc>
          <w:tcPr>
            <w:tcW w:w="3896" w:type="pct"/>
            <w:gridSpan w:val="4"/>
            <w:vAlign w:val="center"/>
          </w:tcPr>
          <w:p w:rsidR="00117E32" w:rsidRPr="00E47E6E" w:rsidRDefault="00117E32" w:rsidP="00117E32">
            <w:pPr>
              <w:pStyle w:val="Tabletext"/>
              <w:widowControl w:val="0"/>
              <w:spacing w:after="0"/>
              <w:jc w:val="center"/>
              <w:rPr>
                <w:rFonts w:ascii="Arial Narrow" w:hAnsi="Arial Narrow"/>
              </w:rPr>
            </w:pPr>
            <w:r w:rsidRPr="00E47E6E">
              <w:rPr>
                <w:rFonts w:ascii="Arial Narrow" w:hAnsi="Arial Narrow"/>
                <w:b/>
              </w:rPr>
              <w:t>Comparator</w:t>
            </w:r>
          </w:p>
        </w:tc>
      </w:tr>
      <w:tr w:rsidR="00117E32" w:rsidRPr="00E47E6E" w:rsidTr="00117E32">
        <w:trPr>
          <w:trHeight w:val="279"/>
        </w:trPr>
        <w:tc>
          <w:tcPr>
            <w:tcW w:w="1104" w:type="pct"/>
          </w:tcPr>
          <w:p w:rsidR="00117E32" w:rsidRPr="00E47E6E" w:rsidRDefault="00117E32" w:rsidP="00117E32">
            <w:pPr>
              <w:pStyle w:val="Tabletext"/>
              <w:widowControl w:val="0"/>
              <w:spacing w:after="0"/>
              <w:rPr>
                <w:rFonts w:ascii="Arial Narrow" w:hAnsi="Arial Narrow"/>
                <w:b/>
              </w:rPr>
            </w:pPr>
          </w:p>
        </w:tc>
        <w:tc>
          <w:tcPr>
            <w:tcW w:w="2038" w:type="pct"/>
            <w:gridSpan w:val="2"/>
            <w:vAlign w:val="center"/>
          </w:tcPr>
          <w:p w:rsidR="00117E32" w:rsidRPr="00E47E6E" w:rsidRDefault="00DC2244" w:rsidP="00117E32">
            <w:pPr>
              <w:pStyle w:val="Tabletext"/>
              <w:widowControl w:val="0"/>
              <w:spacing w:after="0"/>
              <w:jc w:val="center"/>
              <w:rPr>
                <w:rFonts w:ascii="Arial Narrow" w:hAnsi="Arial Narrow"/>
                <w:b/>
              </w:rPr>
            </w:pPr>
            <w:r w:rsidRPr="00E47E6E">
              <w:rPr>
                <w:rFonts w:ascii="Arial Narrow" w:hAnsi="Arial Narrow"/>
                <w:b/>
              </w:rPr>
              <w:t>No treatment</w:t>
            </w:r>
          </w:p>
        </w:tc>
        <w:tc>
          <w:tcPr>
            <w:tcW w:w="1857" w:type="pct"/>
            <w:gridSpan w:val="2"/>
            <w:vAlign w:val="center"/>
          </w:tcPr>
          <w:p w:rsidR="00117E32" w:rsidRPr="00E47E6E" w:rsidRDefault="00117E32" w:rsidP="00117E32">
            <w:pPr>
              <w:pStyle w:val="Tabletext"/>
              <w:widowControl w:val="0"/>
              <w:spacing w:after="0"/>
              <w:jc w:val="center"/>
              <w:rPr>
                <w:rFonts w:ascii="Arial Narrow" w:hAnsi="Arial Narrow"/>
                <w:b/>
              </w:rPr>
            </w:pPr>
            <w:r w:rsidRPr="00E47E6E">
              <w:rPr>
                <w:rFonts w:ascii="Arial Narrow" w:hAnsi="Arial Narrow"/>
                <w:b/>
              </w:rPr>
              <w:t>SMV+PR</w:t>
            </w:r>
          </w:p>
        </w:tc>
      </w:tr>
      <w:tr w:rsidR="00117E32" w:rsidRPr="00E47E6E" w:rsidTr="00117E32">
        <w:tc>
          <w:tcPr>
            <w:tcW w:w="1104" w:type="pct"/>
          </w:tcPr>
          <w:p w:rsidR="00117E32" w:rsidRPr="00E47E6E" w:rsidRDefault="00117E32" w:rsidP="00117E32">
            <w:pPr>
              <w:pStyle w:val="TableHeading"/>
              <w:widowControl w:val="0"/>
              <w:spacing w:before="0" w:after="0"/>
              <w:rPr>
                <w:b w:val="0"/>
                <w:snapToGrid w:val="0"/>
              </w:rPr>
            </w:pPr>
            <w:r w:rsidRPr="00E47E6E">
              <w:rPr>
                <w:b w:val="0"/>
                <w:snapToGrid w:val="0"/>
              </w:rPr>
              <w:t>Incremental cost</w:t>
            </w:r>
          </w:p>
        </w:tc>
        <w:tc>
          <w:tcPr>
            <w:tcW w:w="2038" w:type="pct"/>
            <w:gridSpan w:val="2"/>
            <w:vAlign w:val="center"/>
          </w:tcPr>
          <w:p w:rsidR="00117E32" w:rsidRPr="00E47E6E" w:rsidRDefault="00F52E36" w:rsidP="00117E32">
            <w:pPr>
              <w:pStyle w:val="TableHeading"/>
              <w:widowControl w:val="0"/>
              <w:spacing w:before="0" w:after="0"/>
              <w:jc w:val="right"/>
              <w:rPr>
                <w:b w:val="0"/>
                <w:snapToGrid w:val="0"/>
              </w:rPr>
            </w:pPr>
            <w:r w:rsidRPr="00E47E6E">
              <w:rPr>
                <w:b w:val="0"/>
                <w:snapToGrid w:val="0"/>
              </w:rPr>
              <w:t>$</w:t>
            </w:r>
            <w:r w:rsidR="009F4C82">
              <w:rPr>
                <w:b w:val="0"/>
                <w:noProof/>
                <w:snapToGrid w:val="0"/>
                <w:color w:val="000000"/>
                <w:highlight w:val="black"/>
              </w:rPr>
              <w:t>'''''''''''''''''</w:t>
            </w:r>
          </w:p>
        </w:tc>
        <w:tc>
          <w:tcPr>
            <w:tcW w:w="1857" w:type="pct"/>
            <w:gridSpan w:val="2"/>
            <w:vAlign w:val="center"/>
          </w:tcPr>
          <w:p w:rsidR="00117E32" w:rsidRPr="00E47E6E" w:rsidRDefault="00F52E36" w:rsidP="00117E32">
            <w:pPr>
              <w:pStyle w:val="TableHeading"/>
              <w:widowControl w:val="0"/>
              <w:spacing w:before="0" w:after="0"/>
              <w:jc w:val="right"/>
              <w:rPr>
                <w:b w:val="0"/>
                <w:snapToGrid w:val="0"/>
              </w:rPr>
            </w:pPr>
            <w:r w:rsidRPr="00E47E6E">
              <w:rPr>
                <w:b w:val="0"/>
                <w:snapToGrid w:val="0"/>
              </w:rPr>
              <w:t>$</w:t>
            </w:r>
            <w:r w:rsidR="009F4C82">
              <w:rPr>
                <w:b w:val="0"/>
                <w:noProof/>
                <w:snapToGrid w:val="0"/>
                <w:color w:val="000000"/>
                <w:highlight w:val="black"/>
              </w:rPr>
              <w:t>''''''''''''''''</w:t>
            </w:r>
          </w:p>
        </w:tc>
      </w:tr>
      <w:tr w:rsidR="00117E32" w:rsidRPr="00E47E6E" w:rsidTr="00117E32">
        <w:tc>
          <w:tcPr>
            <w:tcW w:w="1104" w:type="pct"/>
          </w:tcPr>
          <w:p w:rsidR="00117E32" w:rsidRPr="00E47E6E" w:rsidRDefault="00117E32" w:rsidP="00117E32">
            <w:pPr>
              <w:jc w:val="left"/>
              <w:rPr>
                <w:rFonts w:ascii="Arial Narrow" w:hAnsi="Arial Narrow"/>
                <w:sz w:val="20"/>
              </w:rPr>
            </w:pPr>
            <w:r w:rsidRPr="00E47E6E">
              <w:rPr>
                <w:rFonts w:ascii="Arial Narrow" w:hAnsi="Arial Narrow"/>
                <w:sz w:val="20"/>
              </w:rPr>
              <w:t>Incremental QALYs</w:t>
            </w:r>
          </w:p>
        </w:tc>
        <w:tc>
          <w:tcPr>
            <w:tcW w:w="2038" w:type="pct"/>
            <w:gridSpan w:val="2"/>
            <w:vAlign w:val="center"/>
          </w:tcPr>
          <w:p w:rsidR="00117E32" w:rsidRPr="00E47E6E" w:rsidRDefault="00F52E36" w:rsidP="00117E32">
            <w:pPr>
              <w:jc w:val="center"/>
              <w:rPr>
                <w:rFonts w:ascii="Arial Narrow" w:hAnsi="Arial Narrow"/>
                <w:sz w:val="20"/>
              </w:rPr>
            </w:pPr>
            <w:r w:rsidRPr="00E47E6E">
              <w:rPr>
                <w:rFonts w:ascii="Arial Narrow" w:hAnsi="Arial Narrow"/>
                <w:sz w:val="20"/>
              </w:rPr>
              <w:t>1.4802</w:t>
            </w:r>
          </w:p>
        </w:tc>
        <w:tc>
          <w:tcPr>
            <w:tcW w:w="1857" w:type="pct"/>
            <w:gridSpan w:val="2"/>
            <w:vAlign w:val="center"/>
          </w:tcPr>
          <w:p w:rsidR="00117E32" w:rsidRPr="00E47E6E" w:rsidRDefault="00F52E36" w:rsidP="00117E32">
            <w:pPr>
              <w:jc w:val="center"/>
              <w:rPr>
                <w:rFonts w:ascii="Arial Narrow" w:hAnsi="Arial Narrow"/>
                <w:sz w:val="20"/>
              </w:rPr>
            </w:pPr>
            <w:r w:rsidRPr="00E47E6E">
              <w:rPr>
                <w:rFonts w:ascii="Arial Narrow" w:hAnsi="Arial Narrow"/>
                <w:sz w:val="20"/>
              </w:rPr>
              <w:t>0.3496</w:t>
            </w:r>
          </w:p>
        </w:tc>
      </w:tr>
      <w:tr w:rsidR="00117E32" w:rsidRPr="00E47E6E" w:rsidTr="00117E32">
        <w:tc>
          <w:tcPr>
            <w:tcW w:w="1104" w:type="pct"/>
          </w:tcPr>
          <w:p w:rsidR="00117E32" w:rsidRPr="00E47E6E" w:rsidRDefault="00117E32" w:rsidP="00117E32">
            <w:pPr>
              <w:jc w:val="left"/>
              <w:rPr>
                <w:rFonts w:ascii="Arial Narrow" w:hAnsi="Arial Narrow"/>
                <w:sz w:val="20"/>
              </w:rPr>
            </w:pPr>
            <w:r w:rsidRPr="00E47E6E">
              <w:rPr>
                <w:rFonts w:ascii="Arial Narrow" w:hAnsi="Arial Narrow"/>
                <w:sz w:val="20"/>
              </w:rPr>
              <w:t>ICER</w:t>
            </w:r>
          </w:p>
        </w:tc>
        <w:tc>
          <w:tcPr>
            <w:tcW w:w="2038" w:type="pct"/>
            <w:gridSpan w:val="2"/>
            <w:vAlign w:val="center"/>
          </w:tcPr>
          <w:p w:rsidR="00117E32" w:rsidRPr="00E47E6E" w:rsidRDefault="00F52E36" w:rsidP="00117E32">
            <w:pPr>
              <w:jc w:val="right"/>
              <w:rPr>
                <w:rFonts w:ascii="Arial Narrow" w:hAnsi="Arial Narrow"/>
                <w:sz w:val="20"/>
              </w:rPr>
            </w:pPr>
            <w:r w:rsidRPr="00E47E6E">
              <w:rPr>
                <w:rFonts w:ascii="Arial Narrow" w:hAnsi="Arial Narrow"/>
                <w:sz w:val="20"/>
              </w:rPr>
              <w:t>$</w:t>
            </w:r>
            <w:r w:rsidR="009F4C82">
              <w:rPr>
                <w:rFonts w:ascii="Arial Narrow" w:hAnsi="Arial Narrow"/>
                <w:noProof/>
                <w:color w:val="000000"/>
                <w:sz w:val="20"/>
                <w:highlight w:val="black"/>
              </w:rPr>
              <w:t>''''''''''''''''</w:t>
            </w:r>
          </w:p>
        </w:tc>
        <w:tc>
          <w:tcPr>
            <w:tcW w:w="1857" w:type="pct"/>
            <w:gridSpan w:val="2"/>
            <w:vAlign w:val="center"/>
          </w:tcPr>
          <w:p w:rsidR="00117E32" w:rsidRPr="00E47E6E" w:rsidRDefault="00F52E36" w:rsidP="00117E32">
            <w:pPr>
              <w:jc w:val="right"/>
              <w:rPr>
                <w:rFonts w:ascii="Arial Narrow" w:hAnsi="Arial Narrow"/>
                <w:sz w:val="20"/>
              </w:rPr>
            </w:pPr>
            <w:r w:rsidRPr="00E47E6E">
              <w:rPr>
                <w:rFonts w:ascii="Arial Narrow" w:hAnsi="Arial Narrow"/>
                <w:sz w:val="20"/>
              </w:rPr>
              <w:t>$</w:t>
            </w:r>
            <w:r w:rsidR="009F4C82">
              <w:rPr>
                <w:rFonts w:ascii="Arial Narrow" w:hAnsi="Arial Narrow"/>
                <w:noProof/>
                <w:color w:val="000000"/>
                <w:sz w:val="20"/>
                <w:highlight w:val="black"/>
              </w:rPr>
              <w:t>''''''''''''''''</w:t>
            </w:r>
          </w:p>
        </w:tc>
      </w:tr>
    </w:tbl>
    <w:p w:rsidR="00117E32" w:rsidRDefault="00117E32" w:rsidP="00117E32">
      <w:pPr>
        <w:pStyle w:val="TableFooter"/>
        <w:ind w:left="720"/>
      </w:pPr>
      <w:r>
        <w:t xml:space="preserve">LDV/SOF = </w:t>
      </w:r>
      <w:proofErr w:type="spellStart"/>
      <w:r>
        <w:t>ledipasvir</w:t>
      </w:r>
      <w:proofErr w:type="spellEnd"/>
      <w:r>
        <w:t xml:space="preserve">/sofosbuvir; SOF = sofosbuvir; PR = </w:t>
      </w:r>
      <w:proofErr w:type="spellStart"/>
      <w:r>
        <w:t>peginterferon</w:t>
      </w:r>
      <w:proofErr w:type="spellEnd"/>
      <w:r>
        <w:t xml:space="preserve"> and ribavirin; SMV = </w:t>
      </w:r>
      <w:proofErr w:type="spellStart"/>
      <w:r>
        <w:t>simeprevir</w:t>
      </w:r>
      <w:proofErr w:type="spellEnd"/>
      <w:r>
        <w:t>; QALY = quality-adjusted life year; ICER = incremental cost effectiveness ratio</w:t>
      </w:r>
    </w:p>
    <w:p w:rsidR="00117E32" w:rsidRDefault="00117E32" w:rsidP="00117E32">
      <w:pPr>
        <w:pStyle w:val="TableFooter"/>
        <w:ind w:firstLine="720"/>
      </w:pPr>
      <w:r>
        <w:t>Proportion of patients entering the model with cirrhosis assumed to be 14%.</w:t>
      </w:r>
    </w:p>
    <w:p w:rsidR="00117E32" w:rsidRPr="00E47E6E" w:rsidRDefault="00117E32" w:rsidP="00117E32">
      <w:pPr>
        <w:pStyle w:val="TableFooter"/>
        <w:ind w:firstLine="720"/>
      </w:pPr>
      <w:r w:rsidRPr="00E47E6E">
        <w:t>Source: Compiled during the evaluation</w:t>
      </w:r>
    </w:p>
    <w:p w:rsidR="00117E32" w:rsidRPr="00D110BD" w:rsidRDefault="00117E32" w:rsidP="00117E32">
      <w:pPr>
        <w:widowControl/>
        <w:rPr>
          <w:szCs w:val="22"/>
        </w:rPr>
      </w:pPr>
    </w:p>
    <w:p w:rsidR="0080711D" w:rsidRPr="00211254" w:rsidRDefault="00117E32" w:rsidP="00A0531B">
      <w:pPr>
        <w:pStyle w:val="ListParagraph"/>
        <w:numPr>
          <w:ilvl w:val="0"/>
          <w:numId w:val="1"/>
        </w:numPr>
        <w:ind w:right="113"/>
        <w:rPr>
          <w:snapToGrid/>
          <w:szCs w:val="22"/>
          <w:lang w:eastAsia="en-AU"/>
        </w:rPr>
      </w:pPr>
      <w:r w:rsidRPr="00E47E6E">
        <w:t>During the evaluation, the incremental cost</w:t>
      </w:r>
      <w:r w:rsidR="00DC2244" w:rsidRPr="00E47E6E">
        <w:t>-</w:t>
      </w:r>
      <w:r w:rsidRPr="00E47E6E">
        <w:t xml:space="preserve">effectiveness of LDV/SOF in comparison with no treatment was re-calculated </w:t>
      </w:r>
      <w:r w:rsidR="0080711D">
        <w:t xml:space="preserve">with </w:t>
      </w:r>
      <w:r w:rsidRPr="00E47E6E">
        <w:t xml:space="preserve">the transition probabilities </w:t>
      </w:r>
      <w:r w:rsidR="0080711D">
        <w:t xml:space="preserve">used </w:t>
      </w:r>
      <w:r w:rsidRPr="00E47E6E">
        <w:t xml:space="preserve">in </w:t>
      </w:r>
      <w:r w:rsidR="00BB4846" w:rsidRPr="00E47E6E">
        <w:t xml:space="preserve">the </w:t>
      </w:r>
      <w:r w:rsidRPr="00E47E6E">
        <w:t xml:space="preserve">sofosbuvir </w:t>
      </w:r>
      <w:r w:rsidR="0017331C">
        <w:t>re</w:t>
      </w:r>
      <w:r w:rsidRPr="00E47E6E">
        <w:t>submission</w:t>
      </w:r>
      <w:r w:rsidR="0009217F">
        <w:t xml:space="preserve">. </w:t>
      </w:r>
      <w:r w:rsidR="0080711D" w:rsidRPr="00211254">
        <w:t>The ICERs for different subgroups are presented in the table below, a</w:t>
      </w:r>
      <w:r w:rsidR="0017331C" w:rsidRPr="00211254">
        <w:t xml:space="preserve">djusting the following transition probabilities: </w:t>
      </w:r>
    </w:p>
    <w:p w:rsidR="0080711D" w:rsidRPr="00211254" w:rsidRDefault="0080711D" w:rsidP="0080711D">
      <w:pPr>
        <w:pStyle w:val="ListParagraph"/>
        <w:numPr>
          <w:ilvl w:val="1"/>
          <w:numId w:val="1"/>
        </w:numPr>
        <w:ind w:right="113"/>
        <w:rPr>
          <w:snapToGrid/>
          <w:szCs w:val="22"/>
          <w:lang w:eastAsia="en-AU"/>
        </w:rPr>
      </w:pPr>
      <w:r w:rsidRPr="00211254">
        <w:t>n</w:t>
      </w:r>
      <w:r w:rsidR="0017331C" w:rsidRPr="00211254">
        <w:t xml:space="preserve">on-cirrhotic to compensated cirrhosis (0.016 to 0.010); </w:t>
      </w:r>
    </w:p>
    <w:p w:rsidR="0080711D" w:rsidRPr="00211254" w:rsidRDefault="0017331C" w:rsidP="0080711D">
      <w:pPr>
        <w:pStyle w:val="ListParagraph"/>
        <w:numPr>
          <w:ilvl w:val="1"/>
          <w:numId w:val="1"/>
        </w:numPr>
        <w:ind w:right="113"/>
        <w:rPr>
          <w:snapToGrid/>
          <w:szCs w:val="22"/>
          <w:lang w:eastAsia="en-AU"/>
        </w:rPr>
      </w:pPr>
      <w:r w:rsidRPr="00211254">
        <w:t xml:space="preserve">Compensated cirrhosis to decompensated cirrhosis (0.0438 to 0.039); </w:t>
      </w:r>
    </w:p>
    <w:p w:rsidR="0080711D" w:rsidRPr="00211254" w:rsidRDefault="0017331C" w:rsidP="0080711D">
      <w:pPr>
        <w:pStyle w:val="ListParagraph"/>
        <w:numPr>
          <w:ilvl w:val="1"/>
          <w:numId w:val="1"/>
        </w:numPr>
        <w:ind w:right="113"/>
        <w:rPr>
          <w:snapToGrid/>
          <w:szCs w:val="22"/>
          <w:lang w:eastAsia="en-AU"/>
        </w:rPr>
      </w:pPr>
      <w:proofErr w:type="gramStart"/>
      <w:r w:rsidRPr="00211254">
        <w:t>compensated</w:t>
      </w:r>
      <w:proofErr w:type="gramEnd"/>
      <w:r w:rsidRPr="00211254">
        <w:t xml:space="preserve"> cirrhosis to hepatocellular carcinoma (0.0631 to 0.014). </w:t>
      </w:r>
    </w:p>
    <w:p w:rsidR="0080711D" w:rsidRPr="0080711D" w:rsidRDefault="0080711D" w:rsidP="0080711D">
      <w:pPr>
        <w:pStyle w:val="ListParagraph"/>
        <w:ind w:right="113"/>
        <w:rPr>
          <w:i/>
          <w:snapToGrid/>
          <w:szCs w:val="22"/>
          <w:lang w:eastAsia="en-AU"/>
        </w:rPr>
      </w:pPr>
    </w:p>
    <w:p w:rsidR="00C7471B" w:rsidRPr="00211254" w:rsidRDefault="00815268" w:rsidP="00B87E17">
      <w:pPr>
        <w:pStyle w:val="ListParagraph"/>
        <w:numPr>
          <w:ilvl w:val="0"/>
          <w:numId w:val="1"/>
        </w:numPr>
        <w:ind w:right="113"/>
        <w:rPr>
          <w:szCs w:val="22"/>
        </w:rPr>
      </w:pPr>
      <w:r w:rsidRPr="00211254">
        <w:t xml:space="preserve">The ESC noted that </w:t>
      </w:r>
      <w:r w:rsidR="0040407D" w:rsidRPr="00211254">
        <w:t>transition</w:t>
      </w:r>
      <w:r w:rsidRPr="00211254">
        <w:t xml:space="preserve"> probabilities </w:t>
      </w:r>
      <w:r w:rsidR="0080711D" w:rsidRPr="00211254">
        <w:t xml:space="preserve">chosen </w:t>
      </w:r>
      <w:r w:rsidR="0017331C" w:rsidRPr="00211254">
        <w:t xml:space="preserve">in the submission </w:t>
      </w:r>
      <w:r w:rsidRPr="00211254">
        <w:t xml:space="preserve">were less conservative than those used in the SOF </w:t>
      </w:r>
      <w:r w:rsidR="0017331C" w:rsidRPr="00211254">
        <w:t>re</w:t>
      </w:r>
      <w:r w:rsidRPr="00211254">
        <w:t xml:space="preserve">submission. The ESC also noted the sponsor’s response in the PSCR that the proposed </w:t>
      </w:r>
      <w:r w:rsidR="00B87E17">
        <w:t>t</w:t>
      </w:r>
      <w:r w:rsidR="00B87E17" w:rsidRPr="00B87E17">
        <w:t xml:space="preserve">ransition probabilities </w:t>
      </w:r>
      <w:r w:rsidR="00B87E17">
        <w:t>m</w:t>
      </w:r>
      <w:r w:rsidRPr="00211254">
        <w:t xml:space="preserve">ay better reflect </w:t>
      </w:r>
      <w:r w:rsidR="00B87E17">
        <w:t>t</w:t>
      </w:r>
      <w:r w:rsidR="00B87E17" w:rsidRPr="00B87E17">
        <w:t>ransition probabilities</w:t>
      </w:r>
      <w:r w:rsidRPr="00211254">
        <w:t xml:space="preserve"> for an older treatment cohort</w:t>
      </w:r>
      <w:r w:rsidR="00BE0566" w:rsidRPr="00211254">
        <w:t xml:space="preserve">. The ESC disagreed with this interpretation as both models (LDV/SOF and SOF) applied 47 years as the average age of treatment. </w:t>
      </w:r>
      <w:r w:rsidR="00BE0566" w:rsidRPr="00211254">
        <w:rPr>
          <w:szCs w:val="22"/>
        </w:rPr>
        <w:t>The ESC considered that the same transition probabilities should be used in both the LDV/SOF model and the SOF model. The ESC considered that it was appropriate to use the more conservative values used in the SOF model to inform the base case analysis.</w:t>
      </w:r>
      <w:r w:rsidR="0017331C" w:rsidRPr="00211254">
        <w:rPr>
          <w:szCs w:val="22"/>
        </w:rPr>
        <w:t xml:space="preserve"> The ESC noted</w:t>
      </w:r>
      <w:r w:rsidR="00B87E17">
        <w:rPr>
          <w:szCs w:val="22"/>
        </w:rPr>
        <w:t xml:space="preserve">, using the corrected </w:t>
      </w:r>
      <w:r w:rsidR="00B87E17">
        <w:t>t</w:t>
      </w:r>
      <w:r w:rsidR="00B87E17" w:rsidRPr="00B87E17">
        <w:t>ransition probabilities</w:t>
      </w:r>
      <w:r w:rsidR="00B87E17">
        <w:t>,</w:t>
      </w:r>
      <w:r w:rsidR="0017331C" w:rsidRPr="00211254">
        <w:rPr>
          <w:szCs w:val="22"/>
        </w:rPr>
        <w:t xml:space="preserve"> for treatment-naïve patients</w:t>
      </w:r>
      <w:r w:rsidR="00C04159" w:rsidRPr="00211254">
        <w:rPr>
          <w:szCs w:val="22"/>
        </w:rPr>
        <w:t xml:space="preserve"> against no treatment,</w:t>
      </w:r>
      <w:r w:rsidR="0017331C" w:rsidRPr="00211254">
        <w:rPr>
          <w:szCs w:val="22"/>
        </w:rPr>
        <w:t xml:space="preserve"> the ICER increased from </w:t>
      </w:r>
      <w:r w:rsidR="00576268">
        <w:rPr>
          <w:snapToGrid/>
          <w:szCs w:val="22"/>
          <w:lang w:eastAsia="en-AU"/>
        </w:rPr>
        <w:t>$15,000/QALY -</w:t>
      </w:r>
      <w:r w:rsidR="00A51844">
        <w:rPr>
          <w:snapToGrid/>
          <w:szCs w:val="22"/>
          <w:lang w:eastAsia="en-AU"/>
        </w:rPr>
        <w:t xml:space="preserve"> </w:t>
      </w:r>
      <w:r w:rsidR="00576268">
        <w:rPr>
          <w:snapToGrid/>
          <w:szCs w:val="22"/>
          <w:lang w:eastAsia="en-AU"/>
        </w:rPr>
        <w:t xml:space="preserve">$45,000/QALY </w:t>
      </w:r>
      <w:r w:rsidR="0017331C" w:rsidRPr="00211254">
        <w:rPr>
          <w:snapToGrid/>
          <w:szCs w:val="22"/>
          <w:lang w:eastAsia="en-AU"/>
        </w:rPr>
        <w:t xml:space="preserve">to </w:t>
      </w:r>
      <w:r w:rsidR="00576268">
        <w:rPr>
          <w:snapToGrid/>
          <w:szCs w:val="22"/>
          <w:lang w:eastAsia="en-AU"/>
        </w:rPr>
        <w:t>$15,000/QALY -</w:t>
      </w:r>
      <w:r w:rsidR="00A51844">
        <w:rPr>
          <w:snapToGrid/>
          <w:szCs w:val="22"/>
          <w:lang w:eastAsia="en-AU"/>
        </w:rPr>
        <w:t xml:space="preserve"> </w:t>
      </w:r>
      <w:r w:rsidR="00576268">
        <w:rPr>
          <w:snapToGrid/>
          <w:szCs w:val="22"/>
          <w:lang w:eastAsia="en-AU"/>
        </w:rPr>
        <w:t xml:space="preserve">$45,000/QALY </w:t>
      </w:r>
      <w:r w:rsidR="0017331C" w:rsidRPr="00211254">
        <w:rPr>
          <w:snapToGrid/>
          <w:szCs w:val="22"/>
          <w:lang w:eastAsia="en-AU"/>
        </w:rPr>
        <w:t xml:space="preserve">(non-cirrhotic) and </w:t>
      </w:r>
      <w:r w:rsidR="00576268">
        <w:rPr>
          <w:snapToGrid/>
          <w:szCs w:val="22"/>
          <w:lang w:eastAsia="en-AU"/>
        </w:rPr>
        <w:t>$15,000/QALY -</w:t>
      </w:r>
      <w:r w:rsidR="00A51844">
        <w:rPr>
          <w:snapToGrid/>
          <w:szCs w:val="22"/>
          <w:lang w:eastAsia="en-AU"/>
        </w:rPr>
        <w:t xml:space="preserve"> </w:t>
      </w:r>
      <w:r w:rsidR="00576268">
        <w:rPr>
          <w:snapToGrid/>
          <w:szCs w:val="22"/>
          <w:lang w:eastAsia="en-AU"/>
        </w:rPr>
        <w:t xml:space="preserve">$45,000/QALY </w:t>
      </w:r>
      <w:r w:rsidR="0017331C" w:rsidRPr="00211254">
        <w:rPr>
          <w:snapToGrid/>
          <w:szCs w:val="22"/>
          <w:lang w:eastAsia="en-AU"/>
        </w:rPr>
        <w:t xml:space="preserve">to </w:t>
      </w:r>
      <w:r w:rsidR="00576268">
        <w:rPr>
          <w:snapToGrid/>
          <w:szCs w:val="22"/>
          <w:lang w:eastAsia="en-AU"/>
        </w:rPr>
        <w:t>$15,000/QALY -</w:t>
      </w:r>
      <w:r w:rsidR="00A51844">
        <w:rPr>
          <w:snapToGrid/>
          <w:szCs w:val="22"/>
          <w:lang w:eastAsia="en-AU"/>
        </w:rPr>
        <w:t xml:space="preserve"> </w:t>
      </w:r>
      <w:r w:rsidR="00576268">
        <w:rPr>
          <w:snapToGrid/>
          <w:szCs w:val="22"/>
          <w:lang w:eastAsia="en-AU"/>
        </w:rPr>
        <w:t xml:space="preserve">$45,000/QALY </w:t>
      </w:r>
      <w:r w:rsidR="0017331C" w:rsidRPr="00211254">
        <w:rPr>
          <w:snapToGrid/>
          <w:szCs w:val="22"/>
          <w:lang w:eastAsia="en-AU"/>
        </w:rPr>
        <w:t xml:space="preserve">(cirrhotic). </w:t>
      </w:r>
    </w:p>
    <w:p w:rsidR="00BE0566" w:rsidRPr="00033CD8" w:rsidRDefault="00BE0566" w:rsidP="007C4F61">
      <w:pPr>
        <w:pStyle w:val="ListParagraph"/>
        <w:widowControl/>
        <w:ind w:hanging="360"/>
        <w:rPr>
          <w:i/>
          <w:szCs w:val="22"/>
        </w:rPr>
      </w:pPr>
    </w:p>
    <w:p w:rsidR="00AC071D" w:rsidRDefault="00AC071D">
      <w:pPr>
        <w:widowControl/>
        <w:jc w:val="left"/>
        <w:rPr>
          <w:rStyle w:val="CommentReference"/>
          <w:b/>
          <w:bCs/>
          <w:i/>
        </w:rPr>
      </w:pPr>
      <w:bookmarkStart w:id="24" w:name="_Ref408145029"/>
      <w:r>
        <w:rPr>
          <w:rStyle w:val="CommentReference"/>
          <w:b/>
          <w:bCs/>
          <w:i/>
        </w:rPr>
        <w:br w:type="page"/>
      </w:r>
    </w:p>
    <w:p w:rsidR="002A398D" w:rsidRDefault="002A398D">
      <w:pPr>
        <w:widowControl/>
        <w:jc w:val="left"/>
        <w:rPr>
          <w:rStyle w:val="CommentReference"/>
          <w:b/>
          <w:bCs/>
          <w:i/>
        </w:rPr>
      </w:pPr>
    </w:p>
    <w:bookmarkEnd w:id="24"/>
    <w:p w:rsidR="00BE0566" w:rsidRPr="00211254" w:rsidRDefault="00BE0566" w:rsidP="007C4F61">
      <w:pPr>
        <w:pStyle w:val="Caption"/>
        <w:keepNext/>
        <w:spacing w:after="0"/>
        <w:ind w:left="851"/>
        <w:rPr>
          <w:rStyle w:val="CommentReference"/>
        </w:rPr>
      </w:pPr>
      <w:r w:rsidRPr="00211254">
        <w:rPr>
          <w:rStyle w:val="CommentReference"/>
        </w:rPr>
        <w:t xml:space="preserve">Adjusted results for using transition probabilities from this submission and the sofosbuvir </w:t>
      </w:r>
      <w:r w:rsidR="0017331C" w:rsidRPr="00211254">
        <w:rPr>
          <w:rStyle w:val="CommentReference"/>
        </w:rPr>
        <w:t>re</w:t>
      </w:r>
      <w:r w:rsidRPr="00211254">
        <w:rPr>
          <w:rStyle w:val="CommentReference"/>
        </w:rPr>
        <w:t>submission</w:t>
      </w:r>
    </w:p>
    <w:tbl>
      <w:tblPr>
        <w:tblW w:w="4374" w:type="pct"/>
        <w:tblInd w:w="972" w:type="dxa"/>
        <w:tblLayout w:type="fixed"/>
        <w:tblLook w:val="04A0" w:firstRow="1" w:lastRow="0" w:firstColumn="1" w:lastColumn="0" w:noHBand="0" w:noVBand="1"/>
      </w:tblPr>
      <w:tblGrid>
        <w:gridCol w:w="1812"/>
        <w:gridCol w:w="1538"/>
        <w:gridCol w:w="1535"/>
        <w:gridCol w:w="640"/>
        <w:gridCol w:w="894"/>
        <w:gridCol w:w="1666"/>
      </w:tblGrid>
      <w:tr w:rsidR="00BE0566" w:rsidRPr="00211254" w:rsidTr="007C4F61">
        <w:trPr>
          <w:trHeight w:val="300"/>
        </w:trPr>
        <w:tc>
          <w:tcPr>
            <w:tcW w:w="112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566" w:rsidRPr="00211254" w:rsidRDefault="00BE0566" w:rsidP="00BC762D">
            <w:pPr>
              <w:jc w:val="center"/>
              <w:rPr>
                <w:rFonts w:ascii="Arial Narrow" w:hAnsi="Arial Narrow"/>
                <w:b/>
                <w:snapToGrid/>
                <w:sz w:val="20"/>
                <w:lang w:eastAsia="en-AU"/>
              </w:rPr>
            </w:pPr>
            <w:r w:rsidRPr="00211254">
              <w:rPr>
                <w:rFonts w:ascii="Arial Narrow" w:hAnsi="Arial Narrow"/>
                <w:b/>
                <w:snapToGrid/>
                <w:sz w:val="20"/>
                <w:lang w:eastAsia="en-AU"/>
              </w:rPr>
              <w:t>Comparator</w:t>
            </w:r>
          </w:p>
        </w:tc>
        <w:tc>
          <w:tcPr>
            <w:tcW w:w="3879" w:type="pct"/>
            <w:gridSpan w:val="5"/>
            <w:tcBorders>
              <w:top w:val="single" w:sz="4" w:space="0" w:color="auto"/>
              <w:left w:val="nil"/>
              <w:bottom w:val="single" w:sz="4" w:space="0" w:color="auto"/>
              <w:right w:val="single" w:sz="4" w:space="0" w:color="auto"/>
            </w:tcBorders>
            <w:shd w:val="clear" w:color="auto" w:fill="auto"/>
            <w:noWrap/>
            <w:vAlign w:val="bottom"/>
            <w:hideMark/>
          </w:tcPr>
          <w:p w:rsidR="00BE0566" w:rsidRPr="00211254" w:rsidRDefault="00BE0566" w:rsidP="00BC762D">
            <w:pPr>
              <w:jc w:val="center"/>
              <w:rPr>
                <w:rFonts w:ascii="Arial Narrow" w:hAnsi="Arial Narrow"/>
                <w:b/>
                <w:snapToGrid/>
                <w:sz w:val="20"/>
                <w:lang w:eastAsia="en-AU"/>
              </w:rPr>
            </w:pPr>
            <w:r w:rsidRPr="00211254">
              <w:rPr>
                <w:rFonts w:ascii="Arial Narrow" w:hAnsi="Arial Narrow"/>
                <w:b/>
                <w:snapToGrid/>
                <w:sz w:val="20"/>
                <w:lang w:eastAsia="en-AU"/>
              </w:rPr>
              <w:t>ICER</w:t>
            </w:r>
          </w:p>
        </w:tc>
      </w:tr>
      <w:tr w:rsidR="0056640C" w:rsidRPr="00211254" w:rsidTr="007C4F61">
        <w:trPr>
          <w:trHeight w:val="300"/>
        </w:trPr>
        <w:tc>
          <w:tcPr>
            <w:tcW w:w="1121" w:type="pct"/>
            <w:vMerge/>
            <w:tcBorders>
              <w:top w:val="single" w:sz="4" w:space="0" w:color="auto"/>
              <w:left w:val="single" w:sz="4" w:space="0" w:color="auto"/>
              <w:bottom w:val="single" w:sz="4" w:space="0" w:color="auto"/>
              <w:right w:val="single" w:sz="4" w:space="0" w:color="auto"/>
            </w:tcBorders>
            <w:vAlign w:val="center"/>
            <w:hideMark/>
          </w:tcPr>
          <w:p w:rsidR="0056640C" w:rsidRPr="00211254" w:rsidRDefault="0056640C" w:rsidP="00BC762D">
            <w:pPr>
              <w:jc w:val="center"/>
              <w:rPr>
                <w:rFonts w:ascii="Arial Narrow" w:hAnsi="Arial Narrow"/>
                <w:b/>
                <w:snapToGrid/>
                <w:sz w:val="20"/>
                <w:lang w:eastAsia="en-AU"/>
              </w:rPr>
            </w:pPr>
          </w:p>
        </w:tc>
        <w:tc>
          <w:tcPr>
            <w:tcW w:w="951"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center"/>
              <w:rPr>
                <w:rFonts w:ascii="Arial Narrow" w:hAnsi="Arial Narrow"/>
                <w:b/>
                <w:snapToGrid/>
                <w:sz w:val="20"/>
                <w:lang w:eastAsia="en-AU"/>
              </w:rPr>
            </w:pPr>
            <w:r w:rsidRPr="00211254">
              <w:rPr>
                <w:rFonts w:ascii="Arial Narrow" w:hAnsi="Arial Narrow"/>
                <w:b/>
                <w:snapToGrid/>
                <w:sz w:val="20"/>
                <w:lang w:eastAsia="en-AU"/>
              </w:rPr>
              <w:t>TNNC</w:t>
            </w:r>
          </w:p>
        </w:tc>
        <w:tc>
          <w:tcPr>
            <w:tcW w:w="94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center"/>
              <w:rPr>
                <w:rFonts w:ascii="Arial Narrow" w:hAnsi="Arial Narrow"/>
                <w:b/>
                <w:snapToGrid/>
                <w:sz w:val="20"/>
                <w:lang w:eastAsia="en-AU"/>
              </w:rPr>
            </w:pPr>
            <w:r w:rsidRPr="00211254">
              <w:rPr>
                <w:rFonts w:ascii="Arial Narrow" w:hAnsi="Arial Narrow"/>
                <w:b/>
                <w:snapToGrid/>
                <w:sz w:val="20"/>
                <w:lang w:eastAsia="en-AU"/>
              </w:rPr>
              <w:t>TNCC</w:t>
            </w:r>
          </w:p>
        </w:tc>
        <w:tc>
          <w:tcPr>
            <w:tcW w:w="949" w:type="pct"/>
            <w:gridSpan w:val="2"/>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center"/>
              <w:rPr>
                <w:rFonts w:ascii="Arial Narrow" w:hAnsi="Arial Narrow"/>
                <w:b/>
                <w:snapToGrid/>
                <w:sz w:val="20"/>
                <w:lang w:eastAsia="en-AU"/>
              </w:rPr>
            </w:pPr>
            <w:r w:rsidRPr="00211254">
              <w:rPr>
                <w:rFonts w:ascii="Arial Narrow" w:hAnsi="Arial Narrow"/>
                <w:b/>
                <w:snapToGrid/>
                <w:sz w:val="20"/>
                <w:lang w:eastAsia="en-AU"/>
              </w:rPr>
              <w:t>TENC</w:t>
            </w:r>
          </w:p>
        </w:tc>
        <w:tc>
          <w:tcPr>
            <w:tcW w:w="102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center"/>
              <w:rPr>
                <w:rFonts w:ascii="Arial Narrow" w:hAnsi="Arial Narrow"/>
                <w:b/>
                <w:snapToGrid/>
                <w:sz w:val="20"/>
                <w:lang w:eastAsia="en-AU"/>
              </w:rPr>
            </w:pPr>
            <w:r w:rsidRPr="00211254">
              <w:rPr>
                <w:rFonts w:ascii="Arial Narrow" w:hAnsi="Arial Narrow"/>
                <w:b/>
                <w:snapToGrid/>
                <w:sz w:val="20"/>
                <w:lang w:eastAsia="en-AU"/>
              </w:rPr>
              <w:t>TECC</w:t>
            </w:r>
          </w:p>
        </w:tc>
      </w:tr>
      <w:tr w:rsidR="0056640C" w:rsidRPr="00211254" w:rsidTr="007C4F61">
        <w:trPr>
          <w:trHeight w:val="300"/>
        </w:trPr>
        <w:tc>
          <w:tcPr>
            <w:tcW w:w="34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FB40EF">
            <w:pPr>
              <w:jc w:val="left"/>
              <w:rPr>
                <w:rFonts w:ascii="Arial Narrow" w:hAnsi="Arial Narrow"/>
                <w:b/>
                <w:snapToGrid/>
                <w:sz w:val="20"/>
                <w:lang w:eastAsia="en-AU"/>
              </w:rPr>
            </w:pPr>
            <w:r w:rsidRPr="00211254">
              <w:rPr>
                <w:rFonts w:ascii="Arial Narrow" w:hAnsi="Arial Narrow"/>
                <w:b/>
                <w:snapToGrid/>
                <w:sz w:val="20"/>
                <w:lang w:eastAsia="en-AU"/>
              </w:rPr>
              <w:t>Using transition probabilities (LDV/SOF model)</w:t>
            </w:r>
          </w:p>
        </w:tc>
        <w:tc>
          <w:tcPr>
            <w:tcW w:w="15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640C" w:rsidRPr="00211254" w:rsidRDefault="0056640C" w:rsidP="00FB40EF">
            <w:pPr>
              <w:jc w:val="left"/>
              <w:rPr>
                <w:rFonts w:ascii="Arial Narrow" w:hAnsi="Arial Narrow"/>
                <w:b/>
                <w:snapToGrid/>
                <w:sz w:val="20"/>
                <w:lang w:eastAsia="en-AU"/>
              </w:rPr>
            </w:pPr>
          </w:p>
        </w:tc>
      </w:tr>
      <w:tr w:rsidR="0056640C" w:rsidRPr="00211254" w:rsidTr="007C4F61">
        <w:trPr>
          <w:trHeight w:val="300"/>
        </w:trPr>
        <w:tc>
          <w:tcPr>
            <w:tcW w:w="1121" w:type="pct"/>
            <w:tcBorders>
              <w:top w:val="nil"/>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BC762D">
            <w:pPr>
              <w:jc w:val="left"/>
              <w:rPr>
                <w:rFonts w:ascii="Arial Narrow" w:hAnsi="Arial Narrow"/>
                <w:snapToGrid/>
                <w:sz w:val="20"/>
                <w:lang w:eastAsia="en-AU"/>
              </w:rPr>
            </w:pPr>
            <w:r w:rsidRPr="00211254">
              <w:rPr>
                <w:rFonts w:ascii="Arial Narrow" w:hAnsi="Arial Narrow"/>
                <w:snapToGrid/>
                <w:sz w:val="20"/>
                <w:lang w:eastAsia="en-AU"/>
              </w:rPr>
              <w:t>No Treatment</w:t>
            </w:r>
          </w:p>
        </w:tc>
        <w:tc>
          <w:tcPr>
            <w:tcW w:w="951"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gridSpan w:val="2"/>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102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r>
      <w:tr w:rsidR="0056640C" w:rsidRPr="00211254" w:rsidTr="007C4F61">
        <w:trPr>
          <w:trHeight w:val="300"/>
        </w:trPr>
        <w:tc>
          <w:tcPr>
            <w:tcW w:w="1121" w:type="pct"/>
            <w:tcBorders>
              <w:top w:val="nil"/>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BC762D">
            <w:pPr>
              <w:jc w:val="left"/>
              <w:rPr>
                <w:rFonts w:ascii="Arial Narrow" w:hAnsi="Arial Narrow"/>
                <w:snapToGrid/>
                <w:sz w:val="20"/>
                <w:lang w:eastAsia="en-AU"/>
              </w:rPr>
            </w:pPr>
            <w:r w:rsidRPr="00211254">
              <w:rPr>
                <w:rFonts w:ascii="Arial Narrow" w:hAnsi="Arial Narrow"/>
                <w:snapToGrid/>
                <w:sz w:val="20"/>
                <w:lang w:eastAsia="en-AU"/>
              </w:rPr>
              <w:t>SOF+PEG+RBV</w:t>
            </w:r>
          </w:p>
        </w:tc>
        <w:tc>
          <w:tcPr>
            <w:tcW w:w="951" w:type="pct"/>
            <w:tcBorders>
              <w:top w:val="nil"/>
              <w:left w:val="nil"/>
              <w:bottom w:val="single" w:sz="4" w:space="0" w:color="auto"/>
              <w:right w:val="single" w:sz="4" w:space="0" w:color="auto"/>
            </w:tcBorders>
            <w:shd w:val="clear" w:color="auto" w:fill="auto"/>
            <w:noWrap/>
            <w:vAlign w:val="bottom"/>
            <w:hideMark/>
          </w:tcPr>
          <w:p w:rsidR="0056640C" w:rsidRPr="009F4C82" w:rsidRDefault="009F4C82" w:rsidP="00BC762D">
            <w:pPr>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 '' '''''''''''' '''''''''''''''''''''</w:t>
            </w:r>
          </w:p>
        </w:tc>
        <w:tc>
          <w:tcPr>
            <w:tcW w:w="949" w:type="pct"/>
            <w:tcBorders>
              <w:top w:val="nil"/>
              <w:left w:val="nil"/>
              <w:bottom w:val="single" w:sz="4" w:space="0" w:color="auto"/>
              <w:right w:val="single" w:sz="4" w:space="0" w:color="auto"/>
            </w:tcBorders>
            <w:shd w:val="clear" w:color="auto" w:fill="auto"/>
            <w:noWrap/>
            <w:vAlign w:val="bottom"/>
            <w:hideMark/>
          </w:tcPr>
          <w:p w:rsidR="0056640C" w:rsidRPr="009F4C82" w:rsidRDefault="009F4C82" w:rsidP="00BC762D">
            <w:pPr>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 '' '''''''''''' '''''''''''''''''''''</w:t>
            </w:r>
          </w:p>
        </w:tc>
        <w:tc>
          <w:tcPr>
            <w:tcW w:w="949" w:type="pct"/>
            <w:gridSpan w:val="2"/>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102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r>
      <w:tr w:rsidR="0056640C" w:rsidRPr="00211254" w:rsidTr="007C4F61">
        <w:trPr>
          <w:trHeight w:val="300"/>
        </w:trPr>
        <w:tc>
          <w:tcPr>
            <w:tcW w:w="1121" w:type="pct"/>
            <w:tcBorders>
              <w:top w:val="nil"/>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BC762D">
            <w:pPr>
              <w:jc w:val="left"/>
              <w:rPr>
                <w:rFonts w:ascii="Arial Narrow" w:hAnsi="Arial Narrow"/>
                <w:snapToGrid/>
                <w:sz w:val="20"/>
                <w:lang w:eastAsia="en-AU"/>
              </w:rPr>
            </w:pPr>
            <w:r w:rsidRPr="00211254">
              <w:rPr>
                <w:rFonts w:ascii="Arial Narrow" w:hAnsi="Arial Narrow"/>
                <w:snapToGrid/>
                <w:sz w:val="20"/>
                <w:lang w:eastAsia="en-AU"/>
              </w:rPr>
              <w:t>SMV+PEG+RBV</w:t>
            </w:r>
          </w:p>
        </w:tc>
        <w:tc>
          <w:tcPr>
            <w:tcW w:w="951"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gridSpan w:val="2"/>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102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r>
      <w:tr w:rsidR="0056640C" w:rsidRPr="00211254" w:rsidTr="007C4F61">
        <w:trPr>
          <w:trHeight w:val="300"/>
        </w:trPr>
        <w:tc>
          <w:tcPr>
            <w:tcW w:w="5000" w:type="pct"/>
            <w:gridSpan w:val="6"/>
            <w:tcBorders>
              <w:top w:val="nil"/>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BC762D">
            <w:pPr>
              <w:jc w:val="left"/>
              <w:rPr>
                <w:rFonts w:ascii="Arial Narrow" w:hAnsi="Arial Narrow"/>
                <w:b/>
                <w:snapToGrid/>
                <w:sz w:val="20"/>
                <w:lang w:eastAsia="en-AU"/>
              </w:rPr>
            </w:pPr>
            <w:r w:rsidRPr="00211254">
              <w:rPr>
                <w:rFonts w:ascii="Arial Narrow" w:hAnsi="Arial Narrow"/>
                <w:b/>
                <w:snapToGrid/>
                <w:sz w:val="20"/>
                <w:lang w:eastAsia="en-AU"/>
              </w:rPr>
              <w:t>Using transition probabilities (SOF model)</w:t>
            </w:r>
          </w:p>
        </w:tc>
      </w:tr>
      <w:tr w:rsidR="0056640C" w:rsidRPr="00211254" w:rsidTr="007C4F61">
        <w:trPr>
          <w:trHeight w:val="300"/>
        </w:trPr>
        <w:tc>
          <w:tcPr>
            <w:tcW w:w="1121" w:type="pct"/>
            <w:tcBorders>
              <w:top w:val="nil"/>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BC762D">
            <w:pPr>
              <w:jc w:val="left"/>
              <w:rPr>
                <w:rFonts w:ascii="Arial Narrow" w:hAnsi="Arial Narrow"/>
                <w:snapToGrid/>
                <w:sz w:val="20"/>
                <w:lang w:eastAsia="en-AU"/>
              </w:rPr>
            </w:pPr>
            <w:r w:rsidRPr="00211254">
              <w:rPr>
                <w:rFonts w:ascii="Arial Narrow" w:hAnsi="Arial Narrow"/>
                <w:snapToGrid/>
                <w:sz w:val="20"/>
                <w:lang w:eastAsia="en-AU"/>
              </w:rPr>
              <w:t>No Treatment</w:t>
            </w:r>
          </w:p>
        </w:tc>
        <w:tc>
          <w:tcPr>
            <w:tcW w:w="951"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gridSpan w:val="2"/>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102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r>
      <w:tr w:rsidR="0056640C" w:rsidRPr="00211254" w:rsidTr="007C4F61">
        <w:trPr>
          <w:trHeight w:val="300"/>
        </w:trPr>
        <w:tc>
          <w:tcPr>
            <w:tcW w:w="1121" w:type="pct"/>
            <w:tcBorders>
              <w:top w:val="nil"/>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BC762D">
            <w:pPr>
              <w:jc w:val="left"/>
              <w:rPr>
                <w:rFonts w:ascii="Arial Narrow" w:hAnsi="Arial Narrow"/>
                <w:snapToGrid/>
                <w:sz w:val="20"/>
                <w:lang w:eastAsia="en-AU"/>
              </w:rPr>
            </w:pPr>
            <w:r w:rsidRPr="00211254">
              <w:rPr>
                <w:rFonts w:ascii="Arial Narrow" w:hAnsi="Arial Narrow"/>
                <w:snapToGrid/>
                <w:sz w:val="20"/>
                <w:lang w:eastAsia="en-AU"/>
              </w:rPr>
              <w:t>SOF+PEG+RBV</w:t>
            </w:r>
          </w:p>
        </w:tc>
        <w:tc>
          <w:tcPr>
            <w:tcW w:w="951" w:type="pct"/>
            <w:tcBorders>
              <w:top w:val="nil"/>
              <w:left w:val="nil"/>
              <w:bottom w:val="single" w:sz="4" w:space="0" w:color="auto"/>
              <w:right w:val="single" w:sz="4" w:space="0" w:color="auto"/>
            </w:tcBorders>
            <w:shd w:val="clear" w:color="auto" w:fill="auto"/>
            <w:noWrap/>
            <w:vAlign w:val="bottom"/>
            <w:hideMark/>
          </w:tcPr>
          <w:p w:rsidR="0056640C" w:rsidRPr="009F4C82" w:rsidRDefault="009F4C82" w:rsidP="00BC762D">
            <w:pPr>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 ''''''''''''''''''''''</w:t>
            </w:r>
          </w:p>
        </w:tc>
        <w:tc>
          <w:tcPr>
            <w:tcW w:w="949" w:type="pct"/>
            <w:tcBorders>
              <w:top w:val="nil"/>
              <w:left w:val="nil"/>
              <w:bottom w:val="single" w:sz="4" w:space="0" w:color="auto"/>
              <w:right w:val="single" w:sz="4" w:space="0" w:color="auto"/>
            </w:tcBorders>
            <w:shd w:val="clear" w:color="auto" w:fill="auto"/>
            <w:noWrap/>
            <w:vAlign w:val="bottom"/>
            <w:hideMark/>
          </w:tcPr>
          <w:p w:rsidR="0056640C" w:rsidRPr="009F4C82" w:rsidRDefault="009F4C82" w:rsidP="00BC762D">
            <w:pPr>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 '''''''''''''''''''''''</w:t>
            </w:r>
          </w:p>
        </w:tc>
        <w:tc>
          <w:tcPr>
            <w:tcW w:w="949" w:type="pct"/>
            <w:gridSpan w:val="2"/>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1029" w:type="pct"/>
            <w:tcBorders>
              <w:top w:val="nil"/>
              <w:left w:val="nil"/>
              <w:bottom w:val="single" w:sz="4" w:space="0" w:color="auto"/>
              <w:right w:val="single" w:sz="4" w:space="0" w:color="auto"/>
            </w:tcBorders>
            <w:shd w:val="clear" w:color="auto" w:fill="auto"/>
            <w:noWrap/>
            <w:vAlign w:val="bottom"/>
            <w:hideMark/>
          </w:tcPr>
          <w:p w:rsidR="0056640C" w:rsidRPr="009F4C82" w:rsidRDefault="009F4C82" w:rsidP="00BC762D">
            <w:pPr>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 '''''''''''''''''''''''</w:t>
            </w:r>
          </w:p>
        </w:tc>
      </w:tr>
      <w:tr w:rsidR="0056640C" w:rsidRPr="00211254" w:rsidTr="007C4F61">
        <w:trPr>
          <w:trHeight w:val="300"/>
        </w:trPr>
        <w:tc>
          <w:tcPr>
            <w:tcW w:w="1121" w:type="pct"/>
            <w:tcBorders>
              <w:top w:val="nil"/>
              <w:left w:val="single" w:sz="4" w:space="0" w:color="auto"/>
              <w:bottom w:val="single" w:sz="4" w:space="0" w:color="auto"/>
              <w:right w:val="single" w:sz="4" w:space="0" w:color="auto"/>
            </w:tcBorders>
            <w:shd w:val="clear" w:color="auto" w:fill="auto"/>
            <w:noWrap/>
            <w:vAlign w:val="bottom"/>
            <w:hideMark/>
          </w:tcPr>
          <w:p w:rsidR="0056640C" w:rsidRPr="00211254" w:rsidRDefault="0056640C" w:rsidP="00BC762D">
            <w:pPr>
              <w:jc w:val="left"/>
              <w:rPr>
                <w:rFonts w:ascii="Arial Narrow" w:hAnsi="Arial Narrow"/>
                <w:snapToGrid/>
                <w:sz w:val="20"/>
                <w:lang w:eastAsia="en-AU"/>
              </w:rPr>
            </w:pPr>
            <w:r w:rsidRPr="00211254">
              <w:rPr>
                <w:rFonts w:ascii="Arial Narrow" w:hAnsi="Arial Narrow"/>
                <w:snapToGrid/>
                <w:sz w:val="20"/>
                <w:lang w:eastAsia="en-AU"/>
              </w:rPr>
              <w:t>SMV+PEG+RBV</w:t>
            </w:r>
          </w:p>
        </w:tc>
        <w:tc>
          <w:tcPr>
            <w:tcW w:w="951"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949" w:type="pct"/>
            <w:gridSpan w:val="2"/>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c>
          <w:tcPr>
            <w:tcW w:w="1029" w:type="pct"/>
            <w:tcBorders>
              <w:top w:val="nil"/>
              <w:left w:val="nil"/>
              <w:bottom w:val="single" w:sz="4" w:space="0" w:color="auto"/>
              <w:right w:val="single" w:sz="4" w:space="0" w:color="auto"/>
            </w:tcBorders>
            <w:shd w:val="clear" w:color="auto" w:fill="auto"/>
            <w:noWrap/>
            <w:vAlign w:val="bottom"/>
            <w:hideMark/>
          </w:tcPr>
          <w:p w:rsidR="0056640C" w:rsidRPr="00211254" w:rsidRDefault="0056640C" w:rsidP="00BC762D">
            <w:pPr>
              <w:jc w:val="right"/>
              <w:rPr>
                <w:rFonts w:ascii="Arial Narrow" w:hAnsi="Arial Narrow"/>
                <w:snapToGrid/>
                <w:sz w:val="20"/>
                <w:lang w:eastAsia="en-AU"/>
              </w:rPr>
            </w:pPr>
            <w:r w:rsidRPr="00211254">
              <w:rPr>
                <w:rFonts w:ascii="Arial Narrow" w:hAnsi="Arial Narrow"/>
                <w:snapToGrid/>
                <w:sz w:val="20"/>
                <w:lang w:eastAsia="en-AU"/>
              </w:rPr>
              <w:t>$</w:t>
            </w:r>
            <w:r w:rsidR="009F4C82">
              <w:rPr>
                <w:rFonts w:ascii="Arial Narrow" w:hAnsi="Arial Narrow"/>
                <w:noProof/>
                <w:snapToGrid/>
                <w:color w:val="000000"/>
                <w:sz w:val="20"/>
                <w:highlight w:val="black"/>
                <w:lang w:eastAsia="en-AU"/>
              </w:rPr>
              <w:t>''''''''''''''''</w:t>
            </w:r>
          </w:p>
        </w:tc>
      </w:tr>
    </w:tbl>
    <w:p w:rsidR="00BE0566" w:rsidRPr="00211254" w:rsidRDefault="00BE0566" w:rsidP="007C4F61">
      <w:pPr>
        <w:pStyle w:val="TableFooter"/>
        <w:ind w:left="851"/>
      </w:pPr>
      <w:r w:rsidRPr="00211254">
        <w:t>TNNC=treatment-naïve non-cirrhotic; TNCC=treatment-naïve compensated cirrhosis; TENC=treatment-experienced non-cirrhotic; TECC=treatment-experienced compensated cirrhosis; TN=treatment-naïve; TE=treatment-experienced</w:t>
      </w:r>
    </w:p>
    <w:p w:rsidR="00BE0566" w:rsidRPr="00211254" w:rsidRDefault="00BE0566" w:rsidP="007C4F61">
      <w:pPr>
        <w:pStyle w:val="TableFooter"/>
        <w:ind w:left="851"/>
      </w:pPr>
      <w:r w:rsidRPr="00211254">
        <w:t xml:space="preserve">^Proposed PBS listing for SOF does not include treatment experienced genotype 1 patients </w:t>
      </w:r>
    </w:p>
    <w:p w:rsidR="00BE0566" w:rsidRPr="00211254" w:rsidRDefault="00BE0566" w:rsidP="007C4F61">
      <w:pPr>
        <w:pStyle w:val="TableFooter"/>
        <w:ind w:left="851"/>
      </w:pPr>
      <w:r w:rsidRPr="00211254">
        <w:t xml:space="preserve">Source: Table D.6.1 of the Commentary </w:t>
      </w:r>
    </w:p>
    <w:p w:rsidR="00596848" w:rsidRDefault="00596848">
      <w:pPr>
        <w:widowControl/>
        <w:jc w:val="left"/>
        <w:rPr>
          <w:i/>
          <w:szCs w:val="22"/>
        </w:rPr>
      </w:pPr>
    </w:p>
    <w:p w:rsidR="00117E32" w:rsidRPr="00211254" w:rsidRDefault="0017331C" w:rsidP="00B87E17">
      <w:pPr>
        <w:pStyle w:val="ListParagraph"/>
        <w:widowControl/>
        <w:numPr>
          <w:ilvl w:val="1"/>
          <w:numId w:val="3"/>
        </w:numPr>
        <w:rPr>
          <w:szCs w:val="22"/>
        </w:rPr>
      </w:pPr>
      <w:r w:rsidRPr="008317FF">
        <w:t xml:space="preserve">Sensitivity </w:t>
      </w:r>
      <w:r w:rsidR="00117E32" w:rsidRPr="008317FF">
        <w:t>analyses were performed using the 95% confidence interval of SVR rates observed from the respective studies</w:t>
      </w:r>
      <w:r w:rsidR="00815268" w:rsidRPr="008317FF">
        <w:rPr>
          <w:i/>
        </w:rPr>
        <w:t xml:space="preserve"> </w:t>
      </w:r>
      <w:r w:rsidR="00815268" w:rsidRPr="00B82F59">
        <w:t xml:space="preserve">and the transmission probabilities in the </w:t>
      </w:r>
      <w:r w:rsidRPr="00B82F59">
        <w:t>SOF re</w:t>
      </w:r>
      <w:r w:rsidR="00815268" w:rsidRPr="00B82F59">
        <w:t>submission</w:t>
      </w:r>
      <w:r w:rsidR="00117E32" w:rsidRPr="008317FF">
        <w:t>.  Results are presented</w:t>
      </w:r>
      <w:r w:rsidR="00815268" w:rsidRPr="008317FF">
        <w:t xml:space="preserve"> in </w:t>
      </w:r>
      <w:r w:rsidR="007C2325">
        <w:t>the figure below</w:t>
      </w:r>
      <w:r w:rsidR="00815268" w:rsidRPr="008317FF">
        <w:t xml:space="preserve">. </w:t>
      </w:r>
      <w:r w:rsidR="00815268" w:rsidRPr="00211254">
        <w:t xml:space="preserve">The ESC noted that </w:t>
      </w:r>
      <w:r w:rsidR="00C7471B" w:rsidRPr="00211254">
        <w:t>the upper 95%</w:t>
      </w:r>
      <w:r w:rsidR="00815268" w:rsidRPr="00211254">
        <w:t>CI for the ICER</w:t>
      </w:r>
      <w:r w:rsidR="00C7471B" w:rsidRPr="00211254">
        <w:t>s</w:t>
      </w:r>
      <w:r w:rsidR="00815268" w:rsidRPr="00211254">
        <w:t xml:space="preserve"> </w:t>
      </w:r>
      <w:r w:rsidR="00C7471B" w:rsidRPr="00211254">
        <w:t>was</w:t>
      </w:r>
      <w:r w:rsidR="00815268" w:rsidRPr="00211254">
        <w:t xml:space="preserve"> highest for non-cirrhotic treatment experienced patients</w:t>
      </w:r>
    </w:p>
    <w:p w:rsidR="00117E32" w:rsidRPr="008317FF" w:rsidRDefault="00117E32" w:rsidP="00117E32">
      <w:pPr>
        <w:pStyle w:val="ListParagraph"/>
        <w:widowControl/>
        <w:rPr>
          <w:i/>
        </w:rPr>
      </w:pPr>
    </w:p>
    <w:p w:rsidR="00A7414E" w:rsidRDefault="00396F13" w:rsidP="006706F1">
      <w:pPr>
        <w:pStyle w:val="ListParagraph"/>
        <w:widowControl/>
        <w:rPr>
          <w:rStyle w:val="CommentReference"/>
        </w:rPr>
      </w:pPr>
      <w:r w:rsidRPr="008317FF">
        <w:rPr>
          <w:rStyle w:val="CommentReference"/>
        </w:rPr>
        <w:t xml:space="preserve">Results of the sensitivity analyses: Using the lower and upper 95% confidence intervals for SVR Rates, LDV/SOF vs No Treatment, using transition probabilities from the SOF </w:t>
      </w:r>
      <w:r w:rsidR="00597060" w:rsidRPr="008317FF">
        <w:rPr>
          <w:rStyle w:val="CommentReference"/>
        </w:rPr>
        <w:t>re-</w:t>
      </w:r>
      <w:r w:rsidRPr="008317FF">
        <w:rPr>
          <w:rStyle w:val="CommentReference"/>
        </w:rPr>
        <w:t>submission</w:t>
      </w:r>
    </w:p>
    <w:p w:rsidR="00117E32" w:rsidRPr="008317FF" w:rsidRDefault="00396F13" w:rsidP="006706F1">
      <w:pPr>
        <w:pStyle w:val="ListParagraph"/>
        <w:widowControl/>
        <w:rPr>
          <w:b/>
          <w:sz w:val="20"/>
        </w:rPr>
      </w:pPr>
      <w:r w:rsidRPr="008317FF" w:rsidDel="00396F13">
        <w:rPr>
          <w:rStyle w:val="CommentReference"/>
          <w:b/>
        </w:rPr>
        <w:t xml:space="preserve"> </w:t>
      </w:r>
      <w:r w:rsidR="007C1A32" w:rsidRPr="00A51844">
        <w:rPr>
          <w:noProof/>
          <w:lang w:eastAsia="en-AU"/>
        </w:rPr>
        <w:drawing>
          <wp:inline distT="0" distB="0" distL="0" distR="0" wp14:anchorId="4927A559" wp14:editId="10FF1BC8">
            <wp:extent cx="5067725" cy="2661314"/>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239" cy="2661059"/>
                    </a:xfrm>
                    <a:prstGeom prst="rect">
                      <a:avLst/>
                    </a:prstGeom>
                    <a:noFill/>
                    <a:ln>
                      <a:noFill/>
                    </a:ln>
                  </pic:spPr>
                </pic:pic>
              </a:graphicData>
            </a:graphic>
          </wp:inline>
        </w:drawing>
      </w:r>
    </w:p>
    <w:p w:rsidR="00117E32" w:rsidRPr="00FC1468" w:rsidRDefault="00117E32" w:rsidP="00117E32">
      <w:pPr>
        <w:pStyle w:val="TableFooter"/>
      </w:pPr>
      <w:r w:rsidRPr="008317FF">
        <w:tab/>
      </w:r>
      <w:r w:rsidR="006706F1" w:rsidRPr="00FC1468">
        <w:t>Total w</w:t>
      </w:r>
      <w:r w:rsidRPr="00FC1468">
        <w:t>eighted by 14% cirrhotic patients and 86% non-cirrhotic patients</w:t>
      </w:r>
    </w:p>
    <w:p w:rsidR="00117E32" w:rsidRPr="00FC1468" w:rsidRDefault="00117E32" w:rsidP="00117E32">
      <w:pPr>
        <w:pStyle w:val="TableFooter"/>
      </w:pPr>
      <w:r w:rsidRPr="00FC1468">
        <w:tab/>
        <w:t xml:space="preserve">Source: </w:t>
      </w:r>
      <w:r w:rsidR="007C1A32" w:rsidRPr="00FC1468">
        <w:t xml:space="preserve">Figure.D.6.4 of the commentary. </w:t>
      </w:r>
    </w:p>
    <w:p w:rsidR="00117E32" w:rsidRPr="008317FF" w:rsidRDefault="00117E32" w:rsidP="00117E32">
      <w:pPr>
        <w:widowControl/>
        <w:rPr>
          <w:szCs w:val="22"/>
        </w:rPr>
      </w:pPr>
    </w:p>
    <w:p w:rsidR="00320968" w:rsidRPr="008317FF" w:rsidRDefault="00320968" w:rsidP="00B87E17">
      <w:pPr>
        <w:pStyle w:val="ListParagraph"/>
        <w:widowControl/>
        <w:numPr>
          <w:ilvl w:val="1"/>
          <w:numId w:val="3"/>
        </w:numPr>
      </w:pPr>
      <w:r w:rsidRPr="008317FF">
        <w:lastRenderedPageBreak/>
        <w:t xml:space="preserve">The </w:t>
      </w:r>
      <w:r w:rsidR="00F15938" w:rsidRPr="008317FF">
        <w:t>Food and Drug Administration</w:t>
      </w:r>
      <w:r w:rsidRPr="008317FF">
        <w:t xml:space="preserve"> </w:t>
      </w:r>
      <w:r w:rsidR="00F15938" w:rsidRPr="008317FF">
        <w:t xml:space="preserve">(FDA) </w:t>
      </w:r>
      <w:r w:rsidRPr="008317FF">
        <w:t xml:space="preserve">have recommended LDV/SOF regimens that differ </w:t>
      </w:r>
      <w:r w:rsidR="0080711D" w:rsidRPr="008317FF">
        <w:t>to</w:t>
      </w:r>
      <w:r w:rsidRPr="008317FF">
        <w:t xml:space="preserve"> the proposed </w:t>
      </w:r>
      <w:r w:rsidR="0080711D" w:rsidRPr="008317FF">
        <w:t xml:space="preserve">PBS </w:t>
      </w:r>
      <w:r w:rsidRPr="008317FF">
        <w:t>listing:</w:t>
      </w:r>
    </w:p>
    <w:p w:rsidR="00320968" w:rsidRPr="008317FF" w:rsidRDefault="00320968" w:rsidP="00B87E17">
      <w:pPr>
        <w:pStyle w:val="ListParagraph"/>
        <w:numPr>
          <w:ilvl w:val="0"/>
          <w:numId w:val="2"/>
        </w:numPr>
      </w:pPr>
      <w:r w:rsidRPr="008317FF">
        <w:t>Treatment-naïve non-cirrhotic patients: LDV/SOF 12 weeks, compared to LDV/SOF 8 weeks in the proposed listing; and</w:t>
      </w:r>
    </w:p>
    <w:p w:rsidR="00163170" w:rsidRPr="008317FF" w:rsidRDefault="00320968" w:rsidP="00163170">
      <w:pPr>
        <w:pStyle w:val="ListParagraph"/>
        <w:numPr>
          <w:ilvl w:val="0"/>
          <w:numId w:val="2"/>
        </w:numPr>
      </w:pPr>
      <w:r w:rsidRPr="008317FF">
        <w:t xml:space="preserve">Treatment-experienced cirrhotic patients: LDV/SOF 24 weeks, compared to LDV/SOF 12 weeks in the proposed listing. </w:t>
      </w:r>
    </w:p>
    <w:p w:rsidR="00721E2A" w:rsidRPr="002644D5" w:rsidRDefault="00163170" w:rsidP="00B607C0">
      <w:pPr>
        <w:pStyle w:val="ListParagraph"/>
        <w:numPr>
          <w:ilvl w:val="0"/>
          <w:numId w:val="1"/>
        </w:numPr>
        <w:ind w:right="113"/>
      </w:pPr>
      <w:r w:rsidRPr="008317FF">
        <w:t xml:space="preserve">During the evaluation, a sensitivity analysis was conducted using the proposed treatment regimen and the </w:t>
      </w:r>
      <w:r w:rsidR="00F15938" w:rsidRPr="008317FF">
        <w:t>FDA</w:t>
      </w:r>
      <w:r w:rsidRPr="008317FF">
        <w:t xml:space="preserve"> recommended </w:t>
      </w:r>
      <w:r w:rsidRPr="00211254">
        <w:t>treatment regimen for these two subpopulations. For example, if 100% of treatment-naïve non-cirrhotic patients were treated with LDV/SOF for 12 weeks</w:t>
      </w:r>
      <w:r w:rsidR="00B607C0" w:rsidRPr="00211254">
        <w:t xml:space="preserve"> applying the transition probabilities from the SOF resubmission</w:t>
      </w:r>
      <w:r w:rsidRPr="00211254">
        <w:t xml:space="preserve">, the ICER was </w:t>
      </w:r>
      <w:r w:rsidR="00B7583D" w:rsidRPr="00B7583D">
        <w:t>$45,000/QALY - $75,000/QALY</w:t>
      </w:r>
      <w:r w:rsidRPr="00211254">
        <w:t xml:space="preserve">. </w:t>
      </w:r>
      <w:r w:rsidR="00563987" w:rsidRPr="00211254">
        <w:t xml:space="preserve"> </w:t>
      </w:r>
      <w:r w:rsidR="00563987" w:rsidRPr="00211254">
        <w:rPr>
          <w:szCs w:val="22"/>
        </w:rPr>
        <w:t>The ESC considered that there is the potential for many treatment naïve high-grade fibrosis patients to be treated like cirrhosis patients, that is</w:t>
      </w:r>
      <w:r w:rsidR="00B82F59">
        <w:rPr>
          <w:szCs w:val="22"/>
        </w:rPr>
        <w:t>,</w:t>
      </w:r>
      <w:r w:rsidR="00563987" w:rsidRPr="00211254">
        <w:rPr>
          <w:szCs w:val="22"/>
        </w:rPr>
        <w:t xml:space="preserve"> with LDV12/SOF12 instead of LDV8/SOF8 (in line with U</w:t>
      </w:r>
      <w:r w:rsidR="00134998">
        <w:rPr>
          <w:szCs w:val="22"/>
        </w:rPr>
        <w:t xml:space="preserve">nited </w:t>
      </w:r>
      <w:r w:rsidR="00563987" w:rsidRPr="00211254">
        <w:rPr>
          <w:szCs w:val="22"/>
        </w:rPr>
        <w:t>S</w:t>
      </w:r>
      <w:r w:rsidR="00134998">
        <w:rPr>
          <w:szCs w:val="22"/>
        </w:rPr>
        <w:t>tates</w:t>
      </w:r>
      <w:r w:rsidR="00563987" w:rsidRPr="00211254">
        <w:rPr>
          <w:szCs w:val="22"/>
        </w:rPr>
        <w:t xml:space="preserve"> guidelines). In that case the ICER will have been underestimated.</w:t>
      </w:r>
    </w:p>
    <w:p w:rsidR="002644D5" w:rsidRPr="002644D5" w:rsidRDefault="002644D5" w:rsidP="002644D5">
      <w:pPr>
        <w:ind w:right="113"/>
      </w:pPr>
    </w:p>
    <w:p w:rsidR="00B929D4" w:rsidRDefault="00B929D4" w:rsidP="00B87E17">
      <w:pPr>
        <w:pStyle w:val="ListParagraph"/>
        <w:widowControl/>
        <w:numPr>
          <w:ilvl w:val="1"/>
          <w:numId w:val="3"/>
        </w:numPr>
      </w:pPr>
      <w:r>
        <w:t>The ESC noted that the PSCR contained typographical errors:</w:t>
      </w:r>
    </w:p>
    <w:p w:rsidR="00B929D4" w:rsidRDefault="00B929D4" w:rsidP="00B929D4">
      <w:pPr>
        <w:pStyle w:val="ListParagraph"/>
        <w:widowControl/>
      </w:pPr>
    </w:p>
    <w:p w:rsidR="00B929D4" w:rsidRDefault="00B929D4" w:rsidP="00B929D4">
      <w:pPr>
        <w:pStyle w:val="ListParagraph"/>
        <w:widowControl/>
      </w:pPr>
      <w:r>
        <w:t>•</w:t>
      </w:r>
      <w:r>
        <w:tab/>
        <w:t>The transition probability for compensated cirrhosis to decompensated cirrhosis was incorrectly identified as 0.04075 for the LDV/SOF model and 0.0438 in the SOF model. The LDV/SOF model has used 0.0438 (Cardoso et al, 2010), while the SOF model has used 0.039 (</w:t>
      </w:r>
      <w:proofErr w:type="spellStart"/>
      <w:r>
        <w:t>Fattovitch</w:t>
      </w:r>
      <w:proofErr w:type="spellEnd"/>
      <w:r>
        <w:t>, 1997). ,</w:t>
      </w:r>
    </w:p>
    <w:p w:rsidR="00B929D4" w:rsidRDefault="00B929D4" w:rsidP="00B929D4">
      <w:pPr>
        <w:pStyle w:val="ListParagraph"/>
        <w:widowControl/>
      </w:pPr>
      <w:r>
        <w:t>•</w:t>
      </w:r>
      <w:r>
        <w:tab/>
        <w:t>The transition probability from compensated cirrhosis to hepatocellular carcinoma was incorrectly identified as 0.016 in the LDV/SOF model and 0.010 in the SOF model. The LDV/SOF model uses 0.0631 (Cardoso, et al, 2010) while the SOF model uses 0.014 (</w:t>
      </w:r>
      <w:proofErr w:type="spellStart"/>
      <w:r>
        <w:t>Fattovitch</w:t>
      </w:r>
      <w:proofErr w:type="spellEnd"/>
      <w:r>
        <w:t>, 1997).</w:t>
      </w:r>
    </w:p>
    <w:p w:rsidR="00B929D4" w:rsidRDefault="00B929D4" w:rsidP="00B929D4">
      <w:pPr>
        <w:pStyle w:val="ListParagraph"/>
        <w:widowControl/>
      </w:pPr>
    </w:p>
    <w:p w:rsidR="003F51AD" w:rsidRPr="007E3538" w:rsidRDefault="003F51AD" w:rsidP="003F51AD">
      <w:pPr>
        <w:pStyle w:val="ListParagraph"/>
        <w:widowControl/>
        <w:numPr>
          <w:ilvl w:val="1"/>
          <w:numId w:val="3"/>
        </w:numPr>
      </w:pPr>
      <w:r w:rsidRPr="007E3538">
        <w:t>The ESC made the following general comments about the direct-acting antiviral</w:t>
      </w:r>
      <w:r>
        <w:t>s</w:t>
      </w:r>
      <w:r w:rsidRPr="007E3538">
        <w:t xml:space="preserve"> (DAA) for the treatment of Hepatitis C: </w:t>
      </w:r>
    </w:p>
    <w:p w:rsidR="003F51AD" w:rsidRPr="005606B4" w:rsidRDefault="003F51AD" w:rsidP="003F51AD">
      <w:pPr>
        <w:pStyle w:val="Heading3"/>
        <w:numPr>
          <w:ilvl w:val="0"/>
          <w:numId w:val="11"/>
        </w:numPr>
        <w:rPr>
          <w:szCs w:val="22"/>
          <w:u w:val="none"/>
        </w:rPr>
      </w:pPr>
      <w:r>
        <w:rPr>
          <w:szCs w:val="22"/>
          <w:u w:val="none"/>
        </w:rPr>
        <w:t>T</w:t>
      </w:r>
      <w:r w:rsidRPr="005606B4">
        <w:rPr>
          <w:szCs w:val="22"/>
          <w:u w:val="none"/>
        </w:rPr>
        <w:t>he most appropriate scenario for decision</w:t>
      </w:r>
      <w:r>
        <w:rPr>
          <w:szCs w:val="22"/>
          <w:u w:val="none"/>
        </w:rPr>
        <w:t>-</w:t>
      </w:r>
      <w:r w:rsidRPr="005606B4">
        <w:rPr>
          <w:szCs w:val="22"/>
          <w:u w:val="none"/>
        </w:rPr>
        <w:t>making in the Australian context was the treatment of patients infected with Genotype 1 and 3 hepatitis C virus compared to no treatment. This reiterated the view of the PBAC at the July 2014 Meeting.</w:t>
      </w:r>
      <w:r w:rsidRPr="005606B4">
        <w:rPr>
          <w:b/>
          <w:szCs w:val="22"/>
          <w:u w:val="none"/>
        </w:rPr>
        <w:t xml:space="preserve"> </w:t>
      </w:r>
      <w:r w:rsidRPr="005606B4">
        <w:rPr>
          <w:szCs w:val="22"/>
          <w:u w:val="none"/>
        </w:rPr>
        <w:t>(Sofosbuvir PSD, July 2014). The ESC considered that the treatments</w:t>
      </w:r>
      <w:r>
        <w:rPr>
          <w:szCs w:val="22"/>
          <w:u w:val="none"/>
        </w:rPr>
        <w:t xml:space="preserve"> (submitted to the PBAC March 2015 meeting)</w:t>
      </w:r>
      <w:r w:rsidRPr="005606B4">
        <w:rPr>
          <w:szCs w:val="22"/>
          <w:u w:val="none"/>
        </w:rPr>
        <w:t xml:space="preserve"> were clinically effective in providing a SVR12 against hepatitis C. The ESC also considered that over time GT1 and GT3 treatment naïve non-cirrhotic patients are likely to become the predominant treatment populations, and therefore ICERs for this group should be most influential for decision-making.</w:t>
      </w:r>
    </w:p>
    <w:p w:rsidR="003F51AD" w:rsidRPr="00AD4335" w:rsidRDefault="003F51AD" w:rsidP="003F51AD">
      <w:pPr>
        <w:pStyle w:val="ListParagraph"/>
        <w:numPr>
          <w:ilvl w:val="0"/>
          <w:numId w:val="11"/>
        </w:numPr>
        <w:rPr>
          <w:szCs w:val="22"/>
        </w:rPr>
      </w:pPr>
      <w:r w:rsidRPr="005606B4">
        <w:rPr>
          <w:szCs w:val="22"/>
        </w:rPr>
        <w:t>In the economic analysis, when 100% of treated patients were assumed to be cirrhotic</w:t>
      </w:r>
      <w:r>
        <w:rPr>
          <w:szCs w:val="22"/>
        </w:rPr>
        <w:t>,</w:t>
      </w:r>
      <w:r w:rsidRPr="005606B4">
        <w:rPr>
          <w:szCs w:val="22"/>
        </w:rPr>
        <w:t xml:space="preserve"> the ICER was lower than </w:t>
      </w:r>
      <w:r w:rsidRPr="005606B4">
        <w:t>when 100% of treated patients were assumed to be non-cirrhotic</w:t>
      </w:r>
      <w:r w:rsidRPr="005606B4">
        <w:rPr>
          <w:szCs w:val="22"/>
        </w:rPr>
        <w:t>. Despite a smaller treatment effect (i.e. a lower SVR)</w:t>
      </w:r>
      <w:proofErr w:type="gramStart"/>
      <w:r w:rsidRPr="005606B4">
        <w:rPr>
          <w:szCs w:val="22"/>
        </w:rPr>
        <w:t>,</w:t>
      </w:r>
      <w:proofErr w:type="gramEnd"/>
      <w:r w:rsidRPr="005606B4">
        <w:rPr>
          <w:szCs w:val="22"/>
        </w:rPr>
        <w:t xml:space="preserve"> the ESC noted that this ICER differen</w:t>
      </w:r>
      <w:r>
        <w:rPr>
          <w:szCs w:val="22"/>
        </w:rPr>
        <w:t>ce</w:t>
      </w:r>
      <w:r w:rsidRPr="005606B4">
        <w:rPr>
          <w:szCs w:val="22"/>
        </w:rPr>
        <w:t xml:space="preserve"> was driven by the delay of outcomes such as decompensated cirrhosis, hepatocellular carcinoma and mortality which generally were more likely to occur, and to occur sooner, in an untreated cirrhotic population.</w:t>
      </w:r>
    </w:p>
    <w:p w:rsidR="003F51AD" w:rsidRPr="005606B4" w:rsidRDefault="003F51AD" w:rsidP="003F51AD">
      <w:pPr>
        <w:pStyle w:val="ListParagraph"/>
        <w:numPr>
          <w:ilvl w:val="0"/>
          <w:numId w:val="11"/>
        </w:numPr>
        <w:rPr>
          <w:szCs w:val="22"/>
        </w:rPr>
      </w:pPr>
      <w:r>
        <w:rPr>
          <w:szCs w:val="22"/>
        </w:rPr>
        <w:t>I</w:t>
      </w:r>
      <w:r w:rsidRPr="005606B4">
        <w:rPr>
          <w:szCs w:val="22"/>
        </w:rPr>
        <w:t>n the economic models</w:t>
      </w:r>
      <w:r>
        <w:rPr>
          <w:szCs w:val="22"/>
        </w:rPr>
        <w:t>,</w:t>
      </w:r>
      <w:r w:rsidRPr="005606B4">
        <w:rPr>
          <w:szCs w:val="22"/>
        </w:rPr>
        <w:t xml:space="preserve"> it was more reasonable to assume that a cirrhotic patient with a SVR still had cirrhotic disease, and therefore would likely have an on-going risk of complications and mortality closer to that of an untreated cirrhotic patient than to that of the background population.  On the other hand, a SVR in a patient without cirrhosis is likely to avoid liver complications and associated disease due to viral eradication. </w:t>
      </w:r>
    </w:p>
    <w:p w:rsidR="003F51AD" w:rsidRPr="005606B4" w:rsidRDefault="003F51AD" w:rsidP="003F51AD">
      <w:pPr>
        <w:pStyle w:val="ListParagraph"/>
        <w:numPr>
          <w:ilvl w:val="0"/>
          <w:numId w:val="11"/>
        </w:numPr>
        <w:jc w:val="left"/>
        <w:rPr>
          <w:szCs w:val="22"/>
        </w:rPr>
      </w:pPr>
      <w:r>
        <w:rPr>
          <w:szCs w:val="22"/>
        </w:rPr>
        <w:lastRenderedPageBreak/>
        <w:t>T</w:t>
      </w:r>
      <w:r w:rsidRPr="005606B4">
        <w:rPr>
          <w:szCs w:val="22"/>
        </w:rPr>
        <w:t xml:space="preserve">he listing of the new treatment for hepatitis C should not be restricted </w:t>
      </w:r>
      <w:r>
        <w:rPr>
          <w:szCs w:val="22"/>
        </w:rPr>
        <w:t>by stage of</w:t>
      </w:r>
      <w:r w:rsidRPr="005606B4">
        <w:rPr>
          <w:szCs w:val="22"/>
        </w:rPr>
        <w:t xml:space="preserve"> hepatic fibrosis. However in clinical practice, the ESC considered that higher risk patients, such a patients with cirrhosis, are likely to be treated sooner following listing of interferon-free treatments. The ESC noted preliminary data from the ongoing, longitudinal, observational HCV-TARGET study (clinicialtrails.gov NCT01474811) showed that 45-60% of patients treated with interferon-free regiments were cirrhotic. (http://www.natap.org/2014/AASLDEASL/AASLDEASL_01.htm). However, the ESC considered that with the availability of highly effective and well-tolerated therapy, over time the predominant treatment population would be treatment naïve GT1 and GT3 patients without cirrhosis.</w:t>
      </w:r>
    </w:p>
    <w:p w:rsidR="003F51AD" w:rsidRPr="005606B4" w:rsidRDefault="003F51AD" w:rsidP="003F51AD">
      <w:pPr>
        <w:pStyle w:val="ListParagraph"/>
        <w:numPr>
          <w:ilvl w:val="0"/>
          <w:numId w:val="11"/>
        </w:numPr>
        <w:rPr>
          <w:szCs w:val="22"/>
        </w:rPr>
      </w:pPr>
      <w:r w:rsidRPr="005606B4">
        <w:rPr>
          <w:szCs w:val="22"/>
        </w:rPr>
        <w:t xml:space="preserve">A consequence of this treatment pattern would be the rapid reduction of the pool of infected patients with cirrhosis. The ESC noted that all submissions assumed in the economic analysis that the proportion of patients with cirrhosis was greater than the figure of 5.9% (distribution of hepatic fibrosis stage F4) cited in the Recommendations from the Australian Liver Association (ALA). While the proportion of patients with cirrhosis would not reach zero, due to the current system capacity, the ESC considered that the assumption of a static and high prevalence of cirrhotic patients in the analysis favours the treatment arm in the medium to long term, and does not reflect the cost-effectiveness of overall treatment in the short term following the listing of these treatments.  The ESC considered that it was more informative to present the ICER for non-cirrhotic and cirrhotic patients separately to see the extremes of the cost-effectiveness. </w:t>
      </w:r>
    </w:p>
    <w:p w:rsidR="003F51AD" w:rsidRPr="005606B4" w:rsidRDefault="003F51AD" w:rsidP="003F51AD">
      <w:pPr>
        <w:pStyle w:val="ListParagraph"/>
        <w:numPr>
          <w:ilvl w:val="0"/>
          <w:numId w:val="11"/>
        </w:numPr>
        <w:rPr>
          <w:szCs w:val="22"/>
        </w:rPr>
      </w:pPr>
      <w:r w:rsidRPr="005606B4">
        <w:rPr>
          <w:szCs w:val="22"/>
        </w:rPr>
        <w:t xml:space="preserve">During the discussion, the ESC recalled the consideration of sofosbuvir at the July PBAC 2014 meeting. The ESC noted that the PBAC recalled that for the submissions for </w:t>
      </w:r>
      <w:proofErr w:type="spellStart"/>
      <w:r w:rsidRPr="005606B4">
        <w:rPr>
          <w:szCs w:val="22"/>
        </w:rPr>
        <w:t>boceprevir</w:t>
      </w:r>
      <w:proofErr w:type="spellEnd"/>
      <w:r w:rsidRPr="005606B4">
        <w:rPr>
          <w:szCs w:val="22"/>
        </w:rPr>
        <w:t xml:space="preserve"> and telaprevir the ICER range accepted was $15,000- $45,000/QALY. The PBAC considered that trying to value sofos</w:t>
      </w:r>
      <w:r w:rsidR="00577A7C">
        <w:rPr>
          <w:szCs w:val="22"/>
        </w:rPr>
        <w:t>buvir with a weighted ICER was</w:t>
      </w:r>
      <w:r w:rsidRPr="005606B4">
        <w:rPr>
          <w:szCs w:val="22"/>
        </w:rPr>
        <w:t xml:space="preserve"> inappropriate when the ICER for some treatment groups was substantially higher than this range. The PBAC was also concerned that the weightings that underpin the weighted value for each treatment group, were uncertain due to the number of assumptions made about the proportion of patients with prior treatment/cirrhosis/IFN eligibility and genotype. (PSD, July 2014). In addition,</w:t>
      </w:r>
      <w:r w:rsidRPr="005606B4" w:rsidDel="00DB10D0">
        <w:rPr>
          <w:szCs w:val="22"/>
        </w:rPr>
        <w:t xml:space="preserve"> </w:t>
      </w:r>
      <w:r w:rsidRPr="005606B4">
        <w:rPr>
          <w:szCs w:val="22"/>
        </w:rPr>
        <w:t xml:space="preserve">the ESC noted that a weighted ICER should be generated by weighting costs and weighting benefits, before calculating the ratio. </w:t>
      </w:r>
    </w:p>
    <w:p w:rsidR="003F51AD" w:rsidRPr="00C709E1" w:rsidRDefault="003F51AD" w:rsidP="003F51AD">
      <w:pPr>
        <w:pStyle w:val="ListParagraph"/>
        <w:numPr>
          <w:ilvl w:val="0"/>
          <w:numId w:val="11"/>
        </w:numPr>
        <w:rPr>
          <w:szCs w:val="22"/>
        </w:rPr>
      </w:pPr>
      <w:r w:rsidRPr="005606B4">
        <w:t>The ESC noted the very large opportunity cost of the new medicines for the treatment Hepatitis C, if listed at the price proposed. A consequence of a significant opportunity cost to the health care system is the</w:t>
      </w:r>
      <w:r>
        <w:t xml:space="preserve"> potential for reduced</w:t>
      </w:r>
      <w:r w:rsidRPr="005606B4">
        <w:t xml:space="preserve"> access to future cost-effective medicines. The ESC considered that in this situation, it would be appropriate and necessary for the PBAC to expect that the ICERs that would define potentially </w:t>
      </w:r>
      <w:r w:rsidRPr="00C709E1">
        <w:rPr>
          <w:szCs w:val="22"/>
        </w:rPr>
        <w:t>acceptable cost-effectiveness should be at the lower end of the range previously accepted for interventions for this disease.</w:t>
      </w:r>
    </w:p>
    <w:p w:rsidR="002644D5" w:rsidRDefault="002644D5" w:rsidP="002644D5"/>
    <w:p w:rsidR="00400F59" w:rsidRDefault="00400F59" w:rsidP="00B87E17">
      <w:pPr>
        <w:pStyle w:val="ListParagraph"/>
        <w:widowControl/>
        <w:numPr>
          <w:ilvl w:val="1"/>
          <w:numId w:val="3"/>
        </w:numPr>
        <w:rPr>
          <w:szCs w:val="22"/>
        </w:rPr>
      </w:pPr>
      <w:r w:rsidRPr="00526E68">
        <w:rPr>
          <w:szCs w:val="22"/>
        </w:rPr>
        <w:t xml:space="preserve">The </w:t>
      </w:r>
      <w:r w:rsidRPr="00A2255E">
        <w:rPr>
          <w:szCs w:val="22"/>
        </w:rPr>
        <w:t xml:space="preserve">PBAC reiterated the view that trying to value a treatment with a weighted ICER was inappropriate when the ICERs for some treatment groups were substantially higher than the accepted cost-effectiveness ratio range.  </w:t>
      </w:r>
      <w:r w:rsidRPr="00571EE1">
        <w:rPr>
          <w:szCs w:val="22"/>
        </w:rPr>
        <w:t>.</w:t>
      </w:r>
    </w:p>
    <w:p w:rsidR="00400F59" w:rsidRPr="00A42A29" w:rsidRDefault="00400F59" w:rsidP="00400F59">
      <w:pPr>
        <w:pStyle w:val="ListParagraph"/>
        <w:rPr>
          <w:szCs w:val="22"/>
        </w:rPr>
      </w:pPr>
    </w:p>
    <w:p w:rsidR="00400F59" w:rsidRPr="00A42A29" w:rsidRDefault="00400F59" w:rsidP="00B87E17">
      <w:pPr>
        <w:pStyle w:val="ListParagraph"/>
        <w:widowControl/>
        <w:numPr>
          <w:ilvl w:val="1"/>
          <w:numId w:val="3"/>
        </w:numPr>
        <w:rPr>
          <w:szCs w:val="22"/>
        </w:rPr>
      </w:pPr>
      <w:r w:rsidRPr="00A42A29">
        <w:rPr>
          <w:szCs w:val="22"/>
        </w:rPr>
        <w:t xml:space="preserve">The PBAC </w:t>
      </w:r>
      <w:r w:rsidR="00F854DE">
        <w:rPr>
          <w:szCs w:val="22"/>
        </w:rPr>
        <w:t>accepted</w:t>
      </w:r>
      <w:r w:rsidRPr="00A42A29">
        <w:rPr>
          <w:szCs w:val="22"/>
        </w:rPr>
        <w:t xml:space="preserve"> the revised base case presented in the ESC. The PBAC agreed with ESC that the economic models to inform the analysis of SOF and LDV/SOF should use the same transition probabilities. </w:t>
      </w:r>
    </w:p>
    <w:p w:rsidR="00400F59" w:rsidRPr="00400F59" w:rsidRDefault="00400F59" w:rsidP="00400F59">
      <w:pPr>
        <w:pStyle w:val="ListParagraph"/>
        <w:rPr>
          <w:szCs w:val="22"/>
        </w:rPr>
      </w:pPr>
    </w:p>
    <w:p w:rsidR="00400F59" w:rsidRPr="00A42A29" w:rsidRDefault="00A42A29" w:rsidP="00A42A29">
      <w:pPr>
        <w:pStyle w:val="ListParagraph"/>
        <w:widowControl/>
        <w:numPr>
          <w:ilvl w:val="1"/>
          <w:numId w:val="3"/>
        </w:numPr>
      </w:pPr>
      <w:r w:rsidRPr="00A2255E">
        <w:rPr>
          <w:szCs w:val="22"/>
        </w:rPr>
        <w:lastRenderedPageBreak/>
        <w:t xml:space="preserve">The </w:t>
      </w:r>
      <w:r w:rsidRPr="00C209AB">
        <w:rPr>
          <w:szCs w:val="22"/>
        </w:rPr>
        <w:t xml:space="preserve">PBAC </w:t>
      </w:r>
      <w:r w:rsidRPr="008A2200">
        <w:rPr>
          <w:szCs w:val="22"/>
        </w:rPr>
        <w:t xml:space="preserve">recalled that for the submissions for </w:t>
      </w:r>
      <w:proofErr w:type="spellStart"/>
      <w:r w:rsidRPr="008A2200">
        <w:rPr>
          <w:szCs w:val="22"/>
        </w:rPr>
        <w:t>boceprevi</w:t>
      </w:r>
      <w:r>
        <w:rPr>
          <w:szCs w:val="22"/>
        </w:rPr>
        <w:t>r</w:t>
      </w:r>
      <w:proofErr w:type="spellEnd"/>
      <w:r>
        <w:rPr>
          <w:szCs w:val="22"/>
        </w:rPr>
        <w:t xml:space="preserve"> and telaprevir the ICER range</w:t>
      </w:r>
      <w:r w:rsidRPr="008A2200">
        <w:rPr>
          <w:szCs w:val="22"/>
        </w:rPr>
        <w:t xml:space="preserve"> presented for a time horizon </w:t>
      </w:r>
      <w:r w:rsidR="00134998">
        <w:rPr>
          <w:szCs w:val="22"/>
        </w:rPr>
        <w:t>of</w:t>
      </w:r>
      <w:r w:rsidRPr="008A2200">
        <w:rPr>
          <w:szCs w:val="22"/>
        </w:rPr>
        <w:t xml:space="preserve"> 30 years was </w:t>
      </w:r>
      <w:r w:rsidR="00906032">
        <w:rPr>
          <w:szCs w:val="22"/>
        </w:rPr>
        <w:t>$15,000 - $45,000.</w:t>
      </w:r>
      <w:r w:rsidRPr="008A2200">
        <w:rPr>
          <w:szCs w:val="22"/>
        </w:rPr>
        <w:t xml:space="preserve"> The PBAC noted, though the prevalent CHC population was approximately 230</w:t>
      </w:r>
      <w:r w:rsidR="00906032">
        <w:rPr>
          <w:szCs w:val="22"/>
        </w:rPr>
        <w:t>,</w:t>
      </w:r>
      <w:r w:rsidRPr="008A2200">
        <w:rPr>
          <w:szCs w:val="22"/>
        </w:rPr>
        <w:t>000 patients, that approximately 60 000 patients could be treated within the estimated health system capacity over 5 years. The PBAC noted that the treatment of this proportion of the prevalent population of patients would represent a high opportunity cost to the h</w:t>
      </w:r>
      <w:r>
        <w:rPr>
          <w:szCs w:val="22"/>
        </w:rPr>
        <w:t>ealth care system</w:t>
      </w:r>
      <w:r w:rsidRPr="008A2200">
        <w:rPr>
          <w:szCs w:val="22"/>
        </w:rPr>
        <w:t xml:space="preserve">. The PBAC recalled that the threshold of incremental QALYs gained for treatments with large patient populations, such as population preventative interventions including lipid-lowering, anti-hypertensive drugs and </w:t>
      </w:r>
      <w:r w:rsidRPr="00FB4B4C">
        <w:rPr>
          <w:szCs w:val="22"/>
        </w:rPr>
        <w:t>vaccines was at the lower end of the ICER range that PBAC has accepted because these treatments typically have a high opportunity cost</w:t>
      </w:r>
      <w:r w:rsidR="009C2115">
        <w:rPr>
          <w:szCs w:val="22"/>
        </w:rPr>
        <w:t>.</w:t>
      </w:r>
      <w:r w:rsidRPr="00FB4B4C">
        <w:rPr>
          <w:szCs w:val="22"/>
        </w:rPr>
        <w:t xml:space="preserve"> Though not completely analogous to </w:t>
      </w:r>
      <w:r w:rsidR="00134998">
        <w:rPr>
          <w:szCs w:val="22"/>
        </w:rPr>
        <w:t>a</w:t>
      </w:r>
      <w:r w:rsidRPr="00FB4B4C">
        <w:rPr>
          <w:szCs w:val="22"/>
        </w:rPr>
        <w:t xml:space="preserve"> </w:t>
      </w:r>
      <w:r w:rsidRPr="008A2200">
        <w:rPr>
          <w:szCs w:val="22"/>
        </w:rPr>
        <w:t>vaccination program such as against Human Papillomavirus (HPV), the PBAC considered that subsidisation of CHC treatment, like the HPV vaccine, would provide both direct benefits to the treated individual and wider benefits to society with reductions in subsequent diseases such as CHC-related cancer and reduction in the prevalence of infection over time (as modelled in the publication by Sievert el al, 2014). The PBAC noted that the ESC Advice stated ‘as in the consideration of all medicines with a potential high financial impact, there is a significant opportunity cost to the health care system, such as the access to future cost-effective medicines’. The PBAC considered that the acceptable ICER/QALY for Hepatitis C treatment should be at the low end of the range previously accepted for these other population preventative interventions because of the extraordinarily large opportunity cost associated with the treatment of CHC</w:t>
      </w:r>
      <w:r>
        <w:rPr>
          <w:szCs w:val="22"/>
        </w:rPr>
        <w:t>.</w:t>
      </w:r>
    </w:p>
    <w:p w:rsidR="00A42A29" w:rsidRPr="00A2255E" w:rsidRDefault="00A42A29" w:rsidP="00A42A29">
      <w:pPr>
        <w:pStyle w:val="PBACHeading1"/>
        <w:numPr>
          <w:ilvl w:val="0"/>
          <w:numId w:val="0"/>
        </w:numPr>
        <w:ind w:left="720" w:hanging="720"/>
      </w:pPr>
    </w:p>
    <w:p w:rsidR="00400F59" w:rsidRDefault="00400F59" w:rsidP="00B87E17">
      <w:pPr>
        <w:pStyle w:val="ListParagraph"/>
        <w:widowControl/>
        <w:numPr>
          <w:ilvl w:val="1"/>
          <w:numId w:val="3"/>
        </w:numPr>
        <w:rPr>
          <w:szCs w:val="22"/>
        </w:rPr>
      </w:pPr>
      <w:r w:rsidRPr="00A2255E">
        <w:rPr>
          <w:szCs w:val="22"/>
        </w:rPr>
        <w:t xml:space="preserve">The PBAC considered that a price reduction for the cost of the entire treatment course would be required to give an ICER no greater than $15,000/QALY based on the model presented in the SOF </w:t>
      </w:r>
      <w:r w:rsidR="00013137">
        <w:rPr>
          <w:szCs w:val="22"/>
        </w:rPr>
        <w:t>re</w:t>
      </w:r>
      <w:r w:rsidR="00134998">
        <w:rPr>
          <w:szCs w:val="22"/>
        </w:rPr>
        <w:t>-</w:t>
      </w:r>
      <w:r w:rsidRPr="00A2255E">
        <w:rPr>
          <w:szCs w:val="22"/>
        </w:rPr>
        <w:t xml:space="preserve">submission.  </w:t>
      </w:r>
      <w:r w:rsidR="002935B6">
        <w:rPr>
          <w:szCs w:val="22"/>
        </w:rPr>
        <w:t>The PBAC noted that there were some differences in assumptions and inputs between the models in the SOF</w:t>
      </w:r>
      <w:r w:rsidR="00134998">
        <w:rPr>
          <w:szCs w:val="22"/>
        </w:rPr>
        <w:t xml:space="preserve"> re-submission and LDV/SOF submission</w:t>
      </w:r>
      <w:r w:rsidR="002935B6">
        <w:rPr>
          <w:szCs w:val="22"/>
        </w:rPr>
        <w:t xml:space="preserve">. Overall, the PBAC preferred valuing the cost-effectiveness of SOF-containing treatments using the model provided in the SOF resubmission. </w:t>
      </w:r>
      <w:r w:rsidRPr="00A2255E">
        <w:rPr>
          <w:szCs w:val="22"/>
        </w:rPr>
        <w:t xml:space="preserve">The PBAC noted the small proportion of all patients with CHC that had cirrhotic disease (approximately 6%, advice from the ALA). The PBAC </w:t>
      </w:r>
      <w:r w:rsidRPr="00526E68">
        <w:rPr>
          <w:szCs w:val="22"/>
        </w:rPr>
        <w:t xml:space="preserve">considered that the most appropriate scenario to determine the cost of a treatment would be based on the largest groups of the total prevalent population, namely treatment naïve non-cirrhotic Genotype 1 patients treated with LDV/SOF 8 weeks as a proxy for all Genotype 1 patients and treatment naïve non-cirrhotic Genotype 3 patients (weighing less than 75kg) treated with SOF+ RBV 24 weeks as a proxy for all Genotype 3, 2, 4, 5 and 6 patients. This cost of the entire treatment course should include the wholesale and pharmacy mark ups and dispensing fees associated with a General Schedule listing. </w:t>
      </w:r>
      <w:r w:rsidRPr="00400F59">
        <w:rPr>
          <w:szCs w:val="22"/>
        </w:rPr>
        <w:t xml:space="preserve">The PBAC noted that at a $15,000/QALY, the cost of LDV/SOF </w:t>
      </w:r>
      <w:r w:rsidR="009C2115">
        <w:rPr>
          <w:szCs w:val="22"/>
        </w:rPr>
        <w:t xml:space="preserve">for </w:t>
      </w:r>
      <w:r w:rsidRPr="00400F59">
        <w:rPr>
          <w:szCs w:val="22"/>
        </w:rPr>
        <w:t xml:space="preserve">8 weeks in the revised base case LDV/SOF model was lower than derived from the SOF model. </w:t>
      </w:r>
    </w:p>
    <w:p w:rsidR="00400F59" w:rsidRPr="00400F59" w:rsidRDefault="00400F59" w:rsidP="00400F59">
      <w:pPr>
        <w:pStyle w:val="ListParagraph"/>
        <w:rPr>
          <w:szCs w:val="22"/>
        </w:rPr>
      </w:pPr>
    </w:p>
    <w:p w:rsidR="00320968" w:rsidRDefault="00400F59" w:rsidP="00117E32">
      <w:pPr>
        <w:pStyle w:val="ListParagraph"/>
        <w:widowControl/>
        <w:numPr>
          <w:ilvl w:val="1"/>
          <w:numId w:val="3"/>
        </w:numPr>
        <w:rPr>
          <w:szCs w:val="22"/>
        </w:rPr>
      </w:pPr>
      <w:r w:rsidRPr="00A134C0">
        <w:rPr>
          <w:szCs w:val="22"/>
        </w:rPr>
        <w:t xml:space="preserve">The PBAC noted in the pre-PBAC response that treatment durations in the Product information </w:t>
      </w:r>
      <w:r w:rsidR="000D58D6" w:rsidRPr="00A134C0">
        <w:rPr>
          <w:szCs w:val="22"/>
        </w:rPr>
        <w:t>might</w:t>
      </w:r>
      <w:r w:rsidRPr="00A134C0">
        <w:rPr>
          <w:szCs w:val="22"/>
        </w:rPr>
        <w:t xml:space="preserve"> be different to those proposed in the submission.</w:t>
      </w:r>
      <w:r w:rsidR="000D58D6" w:rsidRPr="00A134C0">
        <w:rPr>
          <w:szCs w:val="22"/>
        </w:rPr>
        <w:t xml:space="preserve"> </w:t>
      </w:r>
      <w:r w:rsidR="00A134C0" w:rsidRPr="00A134C0">
        <w:rPr>
          <w:szCs w:val="22"/>
        </w:rPr>
        <w:t xml:space="preserve">The PBAC recommended that the cost to achieve a SVR12 should be independent of the treatment duration (such as LDV/SOF 8 weeks, 12 week or 24 weeks) considered to be appropriate to achieve a SVR in patients </w:t>
      </w:r>
    </w:p>
    <w:p w:rsidR="006D64D8" w:rsidRDefault="006D64D8" w:rsidP="006D64D8">
      <w:pPr>
        <w:widowControl/>
        <w:rPr>
          <w:szCs w:val="22"/>
        </w:rPr>
      </w:pPr>
    </w:p>
    <w:p w:rsidR="006D64D8" w:rsidRPr="006D64D8" w:rsidRDefault="006D64D8" w:rsidP="006D64D8">
      <w:pPr>
        <w:widowControl/>
        <w:rPr>
          <w:szCs w:val="22"/>
        </w:rPr>
      </w:pPr>
    </w:p>
    <w:p w:rsidR="00117E32" w:rsidRPr="00B8483F" w:rsidRDefault="00117E32" w:rsidP="00AF78AC">
      <w:pPr>
        <w:pStyle w:val="Heading2"/>
      </w:pPr>
      <w:bookmarkStart w:id="25" w:name="_Toc409530210"/>
      <w:r w:rsidRPr="00B8483F">
        <w:lastRenderedPageBreak/>
        <w:t>Drug cost/patient</w:t>
      </w:r>
      <w:r w:rsidR="006546EA" w:rsidRPr="00B8483F">
        <w:t>/course</w:t>
      </w:r>
      <w:bookmarkEnd w:id="25"/>
      <w:r w:rsidRPr="00B8483F">
        <w:t xml:space="preserve"> </w:t>
      </w:r>
    </w:p>
    <w:p w:rsidR="00117E32" w:rsidRPr="00C25D9C" w:rsidRDefault="00117E32" w:rsidP="00117E32">
      <w:pPr>
        <w:widowControl/>
        <w:rPr>
          <w:szCs w:val="22"/>
        </w:rPr>
      </w:pPr>
    </w:p>
    <w:p w:rsidR="0073399F" w:rsidRDefault="0073399F" w:rsidP="00B87E17">
      <w:pPr>
        <w:pStyle w:val="ListParagraph"/>
        <w:widowControl/>
        <w:numPr>
          <w:ilvl w:val="1"/>
          <w:numId w:val="3"/>
        </w:numPr>
      </w:pPr>
      <w:r w:rsidRPr="0073399F">
        <w:t xml:space="preserve">LDV/SOF 8 Week regimen (treatment-naïve non-cirrhotic): $ </w:t>
      </w:r>
      <w:r w:rsidR="009F4C82">
        <w:rPr>
          <w:noProof/>
          <w:color w:val="000000"/>
          <w:highlight w:val="black"/>
        </w:rPr>
        <w:t xml:space="preserve">''''''''''''''''''''''' </w:t>
      </w:r>
    </w:p>
    <w:p w:rsidR="0073399F" w:rsidRPr="0073399F" w:rsidRDefault="0073399F" w:rsidP="0073399F">
      <w:pPr>
        <w:pStyle w:val="ListParagraph"/>
        <w:widowControl/>
      </w:pPr>
    </w:p>
    <w:p w:rsidR="00117E32" w:rsidRDefault="0073399F" w:rsidP="00B87E17">
      <w:pPr>
        <w:pStyle w:val="ListParagraph"/>
        <w:widowControl/>
        <w:numPr>
          <w:ilvl w:val="1"/>
          <w:numId w:val="3"/>
        </w:numPr>
      </w:pPr>
      <w:r w:rsidRPr="0073399F">
        <w:t xml:space="preserve">LDV/SOF 12 week regimen (treatment-naïve cirrhotic and treatment experienced patients): $ </w:t>
      </w:r>
      <w:r w:rsidR="009F4C82">
        <w:rPr>
          <w:noProof/>
          <w:color w:val="000000"/>
          <w:highlight w:val="black"/>
        </w:rPr>
        <w:t>''''''''''''''''''''''''</w:t>
      </w:r>
      <w:r w:rsidRPr="0073399F">
        <w:t xml:space="preserve"> </w:t>
      </w:r>
    </w:p>
    <w:p w:rsidR="00DA2A6B" w:rsidRDefault="00DA2A6B" w:rsidP="00DA2A6B">
      <w:pPr>
        <w:pStyle w:val="ListParagraph"/>
      </w:pPr>
    </w:p>
    <w:p w:rsidR="00117E32" w:rsidRPr="001E2B1E" w:rsidRDefault="00117E32" w:rsidP="00117E32">
      <w:pPr>
        <w:rPr>
          <w:szCs w:val="22"/>
        </w:rPr>
      </w:pPr>
    </w:p>
    <w:p w:rsidR="00117E32" w:rsidRPr="00B8483F" w:rsidRDefault="00117E32" w:rsidP="00AF78AC">
      <w:pPr>
        <w:pStyle w:val="Heading2"/>
      </w:pPr>
      <w:bookmarkStart w:id="26" w:name="_Toc409530211"/>
      <w:r w:rsidRPr="00B8483F">
        <w:t>Estimated PBS usage &amp; financial implications</w:t>
      </w:r>
      <w:bookmarkEnd w:id="26"/>
    </w:p>
    <w:p w:rsidR="00117E32" w:rsidRPr="00882085" w:rsidRDefault="00117E32" w:rsidP="00117E32">
      <w:pPr>
        <w:ind w:left="720" w:hanging="720"/>
        <w:rPr>
          <w:b/>
          <w:i/>
          <w:szCs w:val="22"/>
        </w:rPr>
      </w:pPr>
    </w:p>
    <w:p w:rsidR="00117E32" w:rsidRPr="00577E40" w:rsidRDefault="0004344D" w:rsidP="00B87E17">
      <w:pPr>
        <w:pStyle w:val="ListParagraph"/>
        <w:widowControl/>
        <w:numPr>
          <w:ilvl w:val="1"/>
          <w:numId w:val="3"/>
        </w:numPr>
        <w:rPr>
          <w:szCs w:val="22"/>
        </w:rPr>
      </w:pPr>
      <w:r w:rsidRPr="00577E40">
        <w:t>The submission was considered by the Drug Utilisation Sub-Committee (DUSC)</w:t>
      </w:r>
      <w:r w:rsidR="00577E40" w:rsidRPr="00577E40">
        <w:t xml:space="preserve">. </w:t>
      </w:r>
    </w:p>
    <w:p w:rsidR="00577E40" w:rsidRPr="00577E40" w:rsidRDefault="00577E40" w:rsidP="00577E40">
      <w:pPr>
        <w:pStyle w:val="PBACHeading1"/>
        <w:numPr>
          <w:ilvl w:val="0"/>
          <w:numId w:val="0"/>
        </w:numPr>
        <w:ind w:left="720" w:hanging="720"/>
      </w:pPr>
    </w:p>
    <w:p w:rsidR="0004344D" w:rsidRPr="00577E40" w:rsidRDefault="0004344D" w:rsidP="00B87E17">
      <w:pPr>
        <w:pStyle w:val="ListParagraph"/>
        <w:widowControl/>
        <w:numPr>
          <w:ilvl w:val="1"/>
          <w:numId w:val="3"/>
        </w:numPr>
        <w:rPr>
          <w:szCs w:val="22"/>
        </w:rPr>
      </w:pPr>
      <w:r w:rsidRPr="00577E40">
        <w:rPr>
          <w:szCs w:val="22"/>
        </w:rPr>
        <w:t>The following estimates of PBS usage and financial implications were presented in the submission.</w:t>
      </w:r>
      <w:r w:rsidR="00577E40">
        <w:rPr>
          <w:szCs w:val="22"/>
        </w:rPr>
        <w:t xml:space="preserve"> </w:t>
      </w:r>
      <w:r w:rsidR="00577E40" w:rsidRPr="00577E40">
        <w:rPr>
          <w:szCs w:val="22"/>
        </w:rPr>
        <w:t xml:space="preserve">At year 5, the estimated number of patients was </w:t>
      </w:r>
      <w:r w:rsidR="00B7583D">
        <w:rPr>
          <w:szCs w:val="22"/>
        </w:rPr>
        <w:t xml:space="preserve">less than 10,000 </w:t>
      </w:r>
      <w:r w:rsidR="00577E40" w:rsidRPr="00577E40">
        <w:rPr>
          <w:szCs w:val="22"/>
        </w:rPr>
        <w:t>and the net cost to the PBS would be</w:t>
      </w:r>
      <w:r w:rsidR="00A51844" w:rsidRPr="00A51844">
        <w:rPr>
          <w:szCs w:val="22"/>
        </w:rPr>
        <w:t xml:space="preserve"> </w:t>
      </w:r>
      <w:r w:rsidR="00B7583D" w:rsidRPr="00B7583D">
        <w:rPr>
          <w:szCs w:val="22"/>
        </w:rPr>
        <w:t>more than $100 million</w:t>
      </w:r>
      <w:r w:rsidR="00577E40">
        <w:rPr>
          <w:szCs w:val="22"/>
        </w:rPr>
        <w:t xml:space="preserve">. </w:t>
      </w:r>
    </w:p>
    <w:p w:rsidR="0004344D" w:rsidRPr="00AC071D" w:rsidRDefault="0004344D" w:rsidP="00AC071D">
      <w:pPr>
        <w:widowControl/>
        <w:jc w:val="left"/>
        <w:rPr>
          <w:szCs w:val="22"/>
        </w:rPr>
      </w:pPr>
    </w:p>
    <w:p w:rsidR="0004344D" w:rsidRPr="00577E40" w:rsidRDefault="0004344D" w:rsidP="009F1109">
      <w:pPr>
        <w:ind w:left="709"/>
        <w:rPr>
          <w:sz w:val="20"/>
        </w:rPr>
      </w:pPr>
      <w:r w:rsidRPr="00577E40">
        <w:rPr>
          <w:b/>
          <w:sz w:val="20"/>
        </w:rPr>
        <w:t xml:space="preserve">Estimated number of patients treated / year with </w:t>
      </w:r>
      <w:proofErr w:type="spellStart"/>
      <w:r w:rsidRPr="00577E40">
        <w:rPr>
          <w:b/>
          <w:sz w:val="20"/>
        </w:rPr>
        <w:t>ledipasvir</w:t>
      </w:r>
      <w:proofErr w:type="spellEnd"/>
      <w:r w:rsidRPr="00577E40">
        <w:rPr>
          <w:b/>
          <w:sz w:val="20"/>
        </w:rPr>
        <w:t>/sofosbuvir</w:t>
      </w:r>
    </w:p>
    <w:tbl>
      <w:tblPr>
        <w:tblStyle w:val="TableGrid1"/>
        <w:tblW w:w="4524" w:type="pct"/>
        <w:tblInd w:w="817" w:type="dxa"/>
        <w:tblLayout w:type="fixed"/>
        <w:tblLook w:val="04A0" w:firstRow="1" w:lastRow="0" w:firstColumn="1" w:lastColumn="0" w:noHBand="0" w:noVBand="1"/>
        <w:tblCaption w:val="Estimated PBS usage &amp; financial implications"/>
        <w:tblDescription w:val="Year 1 to 5"/>
      </w:tblPr>
      <w:tblGrid>
        <w:gridCol w:w="4580"/>
        <w:gridCol w:w="767"/>
        <w:gridCol w:w="768"/>
        <w:gridCol w:w="768"/>
        <w:gridCol w:w="768"/>
        <w:gridCol w:w="711"/>
      </w:tblGrid>
      <w:tr w:rsidR="0004344D" w:rsidRPr="00577E40" w:rsidTr="009F1109">
        <w:tc>
          <w:tcPr>
            <w:tcW w:w="2739" w:type="pct"/>
            <w:noWrap/>
            <w:vAlign w:val="bottom"/>
            <w:hideMark/>
          </w:tcPr>
          <w:p w:rsidR="0004344D" w:rsidRPr="00577E40" w:rsidRDefault="0004344D" w:rsidP="0004344D">
            <w:pPr>
              <w:jc w:val="left"/>
              <w:rPr>
                <w:rFonts w:ascii="Arial Narrow" w:hAnsi="Arial Narrow" w:cs="Times New Roman"/>
                <w:b/>
                <w:snapToGrid/>
                <w:sz w:val="20"/>
                <w:lang w:eastAsia="en-AU"/>
              </w:rPr>
            </w:pPr>
            <w:r w:rsidRPr="00577E40">
              <w:rPr>
                <w:rFonts w:ascii="Arial Narrow" w:hAnsi="Arial Narrow" w:cs="Times New Roman"/>
                <w:b/>
                <w:snapToGrid/>
                <w:sz w:val="20"/>
                <w:lang w:eastAsia="en-AU"/>
              </w:rPr>
              <w:t>Population</w:t>
            </w:r>
          </w:p>
        </w:tc>
        <w:tc>
          <w:tcPr>
            <w:tcW w:w="459" w:type="pct"/>
            <w:noWrap/>
            <w:vAlign w:val="bottom"/>
            <w:hideMark/>
          </w:tcPr>
          <w:p w:rsidR="0004344D" w:rsidRPr="00577E40" w:rsidRDefault="0004344D" w:rsidP="0004344D">
            <w:pPr>
              <w:rPr>
                <w:rFonts w:ascii="Arial Narrow" w:hAnsi="Arial Narrow" w:cs="Times New Roman"/>
                <w:b/>
                <w:snapToGrid/>
                <w:sz w:val="20"/>
                <w:lang w:eastAsia="en-AU"/>
              </w:rPr>
            </w:pPr>
            <w:r w:rsidRPr="00577E40">
              <w:rPr>
                <w:rFonts w:ascii="Arial Narrow" w:hAnsi="Arial Narrow" w:cs="Times New Roman"/>
                <w:b/>
                <w:snapToGrid/>
                <w:sz w:val="20"/>
                <w:lang w:eastAsia="en-AU"/>
              </w:rPr>
              <w:t>Year 1</w:t>
            </w:r>
          </w:p>
        </w:tc>
        <w:tc>
          <w:tcPr>
            <w:tcW w:w="459" w:type="pct"/>
            <w:noWrap/>
            <w:vAlign w:val="bottom"/>
            <w:hideMark/>
          </w:tcPr>
          <w:p w:rsidR="0004344D" w:rsidRPr="00577E40" w:rsidRDefault="0004344D" w:rsidP="0004344D">
            <w:pPr>
              <w:rPr>
                <w:rFonts w:ascii="Arial Narrow" w:hAnsi="Arial Narrow" w:cs="Times New Roman"/>
                <w:b/>
                <w:snapToGrid/>
                <w:sz w:val="20"/>
                <w:lang w:eastAsia="en-AU"/>
              </w:rPr>
            </w:pPr>
            <w:r w:rsidRPr="00577E40">
              <w:rPr>
                <w:rFonts w:ascii="Arial Narrow" w:hAnsi="Arial Narrow" w:cs="Times New Roman"/>
                <w:b/>
                <w:snapToGrid/>
                <w:sz w:val="20"/>
                <w:lang w:eastAsia="en-AU"/>
              </w:rPr>
              <w:t>Year 2</w:t>
            </w:r>
          </w:p>
        </w:tc>
        <w:tc>
          <w:tcPr>
            <w:tcW w:w="459" w:type="pct"/>
            <w:noWrap/>
            <w:vAlign w:val="bottom"/>
            <w:hideMark/>
          </w:tcPr>
          <w:p w:rsidR="0004344D" w:rsidRPr="00577E40" w:rsidRDefault="0004344D" w:rsidP="0004344D">
            <w:pPr>
              <w:rPr>
                <w:rFonts w:ascii="Arial Narrow" w:hAnsi="Arial Narrow" w:cs="Times New Roman"/>
                <w:b/>
                <w:snapToGrid/>
                <w:sz w:val="20"/>
                <w:lang w:eastAsia="en-AU"/>
              </w:rPr>
            </w:pPr>
            <w:r w:rsidRPr="00577E40">
              <w:rPr>
                <w:rFonts w:ascii="Arial Narrow" w:hAnsi="Arial Narrow" w:cs="Times New Roman"/>
                <w:b/>
                <w:snapToGrid/>
                <w:sz w:val="20"/>
                <w:lang w:eastAsia="en-AU"/>
              </w:rPr>
              <w:t>Year 3</w:t>
            </w:r>
          </w:p>
        </w:tc>
        <w:tc>
          <w:tcPr>
            <w:tcW w:w="459" w:type="pct"/>
            <w:noWrap/>
            <w:vAlign w:val="bottom"/>
            <w:hideMark/>
          </w:tcPr>
          <w:p w:rsidR="0004344D" w:rsidRPr="00577E40" w:rsidRDefault="0004344D" w:rsidP="0004344D">
            <w:pPr>
              <w:rPr>
                <w:rFonts w:ascii="Arial Narrow" w:hAnsi="Arial Narrow" w:cs="Times New Roman"/>
                <w:b/>
                <w:snapToGrid/>
                <w:sz w:val="20"/>
                <w:lang w:eastAsia="en-AU"/>
              </w:rPr>
            </w:pPr>
            <w:r w:rsidRPr="00577E40">
              <w:rPr>
                <w:rFonts w:ascii="Arial Narrow" w:hAnsi="Arial Narrow" w:cs="Times New Roman"/>
                <w:b/>
                <w:snapToGrid/>
                <w:sz w:val="20"/>
                <w:lang w:eastAsia="en-AU"/>
              </w:rPr>
              <w:t>Year 4</w:t>
            </w:r>
          </w:p>
        </w:tc>
        <w:tc>
          <w:tcPr>
            <w:tcW w:w="424" w:type="pct"/>
            <w:noWrap/>
            <w:vAlign w:val="bottom"/>
            <w:hideMark/>
          </w:tcPr>
          <w:p w:rsidR="0004344D" w:rsidRPr="00577E40" w:rsidRDefault="0004344D" w:rsidP="0004344D">
            <w:pPr>
              <w:rPr>
                <w:rFonts w:ascii="Arial Narrow" w:hAnsi="Arial Narrow" w:cs="Times New Roman"/>
                <w:b/>
                <w:snapToGrid/>
                <w:sz w:val="20"/>
                <w:lang w:eastAsia="en-AU"/>
              </w:rPr>
            </w:pPr>
            <w:r w:rsidRPr="00577E40">
              <w:rPr>
                <w:rFonts w:ascii="Arial Narrow" w:hAnsi="Arial Narrow" w:cs="Times New Roman"/>
                <w:b/>
                <w:snapToGrid/>
                <w:sz w:val="20"/>
                <w:lang w:eastAsia="en-AU"/>
              </w:rPr>
              <w:t>Year 5</w:t>
            </w:r>
          </w:p>
        </w:tc>
      </w:tr>
      <w:tr w:rsidR="0004344D" w:rsidRPr="00577E40" w:rsidTr="009F1109">
        <w:tc>
          <w:tcPr>
            <w:tcW w:w="5000" w:type="pct"/>
            <w:gridSpan w:val="6"/>
            <w:noWrap/>
            <w:vAlign w:val="bottom"/>
            <w:hideMark/>
          </w:tcPr>
          <w:p w:rsidR="0004344D" w:rsidRPr="00577E40" w:rsidRDefault="0004344D" w:rsidP="0004344D">
            <w:pPr>
              <w:jc w:val="left"/>
              <w:rPr>
                <w:rFonts w:ascii="Arial Narrow" w:hAnsi="Arial Narrow" w:cs="Times New Roman"/>
                <w:b/>
                <w:bCs/>
                <w:snapToGrid/>
                <w:sz w:val="20"/>
                <w:lang w:eastAsia="en-AU"/>
              </w:rPr>
            </w:pPr>
            <w:r w:rsidRPr="00577E40">
              <w:rPr>
                <w:rFonts w:ascii="Arial Narrow" w:hAnsi="Arial Narrow" w:cs="Times New Roman"/>
                <w:b/>
                <w:bCs/>
                <w:snapToGrid/>
                <w:sz w:val="20"/>
                <w:lang w:eastAsia="en-AU"/>
              </w:rPr>
              <w:t xml:space="preserve">Treated with </w:t>
            </w:r>
            <w:proofErr w:type="spellStart"/>
            <w:r w:rsidRPr="00577E40">
              <w:rPr>
                <w:rFonts w:ascii="Arial Narrow" w:hAnsi="Arial Narrow" w:cs="Times New Roman"/>
                <w:b/>
                <w:bCs/>
                <w:snapToGrid/>
                <w:sz w:val="20"/>
                <w:lang w:eastAsia="en-AU"/>
              </w:rPr>
              <w:t>ledipasvir</w:t>
            </w:r>
            <w:proofErr w:type="spellEnd"/>
            <w:r w:rsidRPr="00577E40">
              <w:rPr>
                <w:rFonts w:ascii="Arial Narrow" w:hAnsi="Arial Narrow" w:cs="Times New Roman"/>
                <w:b/>
                <w:bCs/>
                <w:snapToGrid/>
                <w:sz w:val="20"/>
                <w:lang w:eastAsia="en-AU"/>
              </w:rPr>
              <w:t>/Sofosbuvir</w:t>
            </w:r>
          </w:p>
        </w:tc>
      </w:tr>
      <w:tr w:rsidR="0004344D" w:rsidRPr="00577E40" w:rsidTr="009F1109">
        <w:tc>
          <w:tcPr>
            <w:tcW w:w="5000" w:type="pct"/>
            <w:gridSpan w:val="6"/>
            <w:noWrap/>
            <w:vAlign w:val="bottom"/>
            <w:hideMark/>
          </w:tcPr>
          <w:p w:rsidR="0004344D" w:rsidRPr="00577E40" w:rsidRDefault="0004344D" w:rsidP="0004344D">
            <w:pPr>
              <w:jc w:val="left"/>
              <w:rPr>
                <w:rFonts w:ascii="Arial Narrow" w:hAnsi="Arial Narrow" w:cs="Times New Roman"/>
                <w:snapToGrid/>
                <w:sz w:val="20"/>
                <w:lang w:eastAsia="en-AU"/>
              </w:rPr>
            </w:pPr>
            <w:r w:rsidRPr="00577E40">
              <w:rPr>
                <w:rFonts w:ascii="Arial Narrow" w:hAnsi="Arial Narrow" w:cs="Times New Roman"/>
                <w:snapToGrid/>
                <w:sz w:val="20"/>
                <w:lang w:eastAsia="en-AU"/>
              </w:rPr>
              <w:t>Treatment naïve</w:t>
            </w:r>
          </w:p>
        </w:tc>
      </w:tr>
      <w:tr w:rsidR="0004344D" w:rsidRPr="00577E40" w:rsidTr="009F1109">
        <w:tc>
          <w:tcPr>
            <w:tcW w:w="2739" w:type="pct"/>
            <w:noWrap/>
            <w:vAlign w:val="bottom"/>
            <w:hideMark/>
          </w:tcPr>
          <w:p w:rsidR="0004344D" w:rsidRPr="00577E40" w:rsidRDefault="0004344D" w:rsidP="0004344D">
            <w:pPr>
              <w:ind w:left="284"/>
              <w:jc w:val="left"/>
              <w:rPr>
                <w:rFonts w:ascii="Arial Narrow" w:hAnsi="Arial Narrow" w:cs="Times New Roman"/>
                <w:snapToGrid/>
                <w:sz w:val="20"/>
                <w:lang w:eastAsia="en-AU"/>
              </w:rPr>
            </w:pPr>
            <w:r w:rsidRPr="00577E40">
              <w:rPr>
                <w:rFonts w:ascii="Arial Narrow" w:hAnsi="Arial Narrow" w:cs="Times New Roman"/>
                <w:snapToGrid/>
                <w:sz w:val="20"/>
                <w:lang w:eastAsia="en-AU"/>
              </w:rPr>
              <w:t>Cirrhotic</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24"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r>
      <w:tr w:rsidR="0004344D" w:rsidRPr="00577E40" w:rsidTr="009F1109">
        <w:tc>
          <w:tcPr>
            <w:tcW w:w="2739" w:type="pct"/>
            <w:noWrap/>
            <w:vAlign w:val="bottom"/>
            <w:hideMark/>
          </w:tcPr>
          <w:p w:rsidR="0004344D" w:rsidRPr="00577E40" w:rsidRDefault="0004344D" w:rsidP="0004344D">
            <w:pPr>
              <w:ind w:left="284"/>
              <w:jc w:val="left"/>
              <w:rPr>
                <w:rFonts w:ascii="Arial Narrow" w:hAnsi="Arial Narrow" w:cs="Times New Roman"/>
                <w:snapToGrid/>
                <w:sz w:val="20"/>
                <w:lang w:eastAsia="en-AU"/>
              </w:rPr>
            </w:pPr>
            <w:r w:rsidRPr="00577E40">
              <w:rPr>
                <w:rFonts w:ascii="Arial Narrow" w:hAnsi="Arial Narrow" w:cs="Times New Roman"/>
                <w:snapToGrid/>
                <w:sz w:val="20"/>
                <w:lang w:eastAsia="en-AU"/>
              </w:rPr>
              <w:t>Non Cirrhotic</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24"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r>
      <w:tr w:rsidR="0004344D" w:rsidRPr="00577E40" w:rsidTr="009F1109">
        <w:tc>
          <w:tcPr>
            <w:tcW w:w="5000" w:type="pct"/>
            <w:gridSpan w:val="6"/>
            <w:noWrap/>
            <w:vAlign w:val="bottom"/>
            <w:hideMark/>
          </w:tcPr>
          <w:p w:rsidR="0004344D" w:rsidRPr="00577E40" w:rsidRDefault="0004344D" w:rsidP="0004344D">
            <w:pPr>
              <w:jc w:val="left"/>
              <w:rPr>
                <w:rFonts w:ascii="Arial Narrow" w:hAnsi="Arial Narrow" w:cs="Times New Roman"/>
                <w:snapToGrid/>
                <w:sz w:val="20"/>
                <w:lang w:eastAsia="en-AU"/>
              </w:rPr>
            </w:pPr>
            <w:r w:rsidRPr="00577E40">
              <w:rPr>
                <w:rFonts w:ascii="Arial Narrow" w:hAnsi="Arial Narrow" w:cs="Times New Roman"/>
                <w:snapToGrid/>
                <w:sz w:val="20"/>
                <w:lang w:eastAsia="en-AU"/>
              </w:rPr>
              <w:t>Treatment experienced</w:t>
            </w:r>
          </w:p>
        </w:tc>
      </w:tr>
      <w:tr w:rsidR="0004344D" w:rsidRPr="00577E40" w:rsidTr="009F1109">
        <w:tc>
          <w:tcPr>
            <w:tcW w:w="2739" w:type="pct"/>
            <w:noWrap/>
            <w:vAlign w:val="bottom"/>
            <w:hideMark/>
          </w:tcPr>
          <w:p w:rsidR="0004344D" w:rsidRPr="00577E40" w:rsidRDefault="0004344D" w:rsidP="0004344D">
            <w:pPr>
              <w:ind w:left="284"/>
              <w:jc w:val="left"/>
              <w:rPr>
                <w:rFonts w:ascii="Arial Narrow" w:hAnsi="Arial Narrow" w:cs="Times New Roman"/>
                <w:snapToGrid/>
                <w:sz w:val="20"/>
                <w:lang w:eastAsia="en-AU"/>
              </w:rPr>
            </w:pPr>
            <w:r w:rsidRPr="00B7583D">
              <w:rPr>
                <w:rFonts w:ascii="Arial Narrow" w:hAnsi="Arial Narrow" w:cs="Times New Roman"/>
                <w:snapToGrid/>
                <w:sz w:val="20"/>
                <w:lang w:eastAsia="en-AU"/>
              </w:rPr>
              <w:t>Cirrhotic</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24"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r>
      <w:tr w:rsidR="0004344D" w:rsidRPr="00577E40" w:rsidTr="009F1109">
        <w:tc>
          <w:tcPr>
            <w:tcW w:w="2739" w:type="pct"/>
            <w:noWrap/>
            <w:vAlign w:val="bottom"/>
            <w:hideMark/>
          </w:tcPr>
          <w:p w:rsidR="0004344D" w:rsidRPr="00577E40" w:rsidRDefault="0004344D" w:rsidP="0004344D">
            <w:pPr>
              <w:ind w:left="284"/>
              <w:jc w:val="left"/>
              <w:rPr>
                <w:rFonts w:ascii="Arial Narrow" w:hAnsi="Arial Narrow" w:cs="Times New Roman"/>
                <w:snapToGrid/>
                <w:sz w:val="20"/>
                <w:lang w:eastAsia="en-AU"/>
              </w:rPr>
            </w:pPr>
            <w:r w:rsidRPr="00577E40">
              <w:rPr>
                <w:rFonts w:ascii="Arial Narrow" w:hAnsi="Arial Narrow" w:cs="Times New Roman"/>
                <w:snapToGrid/>
                <w:sz w:val="20"/>
                <w:lang w:eastAsia="en-AU"/>
              </w:rPr>
              <w:t>Non Cirrhotic</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24"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r>
      <w:tr w:rsidR="0004344D" w:rsidRPr="00577E40" w:rsidTr="009F1109">
        <w:tc>
          <w:tcPr>
            <w:tcW w:w="2739" w:type="pct"/>
            <w:noWrap/>
            <w:vAlign w:val="bottom"/>
            <w:hideMark/>
          </w:tcPr>
          <w:p w:rsidR="0004344D" w:rsidRPr="00577E40" w:rsidRDefault="0004344D" w:rsidP="0004344D">
            <w:pPr>
              <w:jc w:val="left"/>
              <w:rPr>
                <w:rFonts w:ascii="Arial Narrow" w:hAnsi="Arial Narrow" w:cs="Times New Roman"/>
                <w:snapToGrid/>
                <w:sz w:val="20"/>
                <w:lang w:eastAsia="en-AU"/>
              </w:rPr>
            </w:pPr>
            <w:r w:rsidRPr="00577E40">
              <w:rPr>
                <w:rFonts w:ascii="Arial Narrow" w:hAnsi="Arial Narrow" w:cs="Times New Roman"/>
                <w:snapToGrid/>
                <w:sz w:val="20"/>
                <w:lang w:eastAsia="en-AU"/>
              </w:rPr>
              <w:t>Total</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59"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c>
          <w:tcPr>
            <w:tcW w:w="424" w:type="pct"/>
            <w:noWrap/>
            <w:vAlign w:val="bottom"/>
            <w:hideMark/>
          </w:tcPr>
          <w:p w:rsidR="0004344D" w:rsidRPr="009F4C82" w:rsidRDefault="009F4C82" w:rsidP="0004344D">
            <w:pPr>
              <w:jc w:val="right"/>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 xml:space="preserve">''''''''''''' </w:t>
            </w:r>
          </w:p>
        </w:tc>
      </w:tr>
    </w:tbl>
    <w:p w:rsidR="00721E2A" w:rsidRPr="009F1109" w:rsidRDefault="0004344D" w:rsidP="009F1109">
      <w:pPr>
        <w:pStyle w:val="ListParagraph"/>
        <w:widowControl/>
        <w:ind w:left="709"/>
        <w:rPr>
          <w:rFonts w:ascii="Arial Narrow" w:hAnsi="Arial Narrow" w:cs="Times New Roman"/>
          <w:sz w:val="18"/>
          <w:szCs w:val="16"/>
        </w:rPr>
      </w:pPr>
      <w:r w:rsidRPr="009F1109">
        <w:rPr>
          <w:rFonts w:ascii="Arial Narrow" w:hAnsi="Arial Narrow" w:cs="Times New Roman"/>
          <w:sz w:val="18"/>
          <w:szCs w:val="16"/>
        </w:rPr>
        <w:t>Source: compiled during the evaluation from attachment ‘Section E workbook – LDVSOF_Final.xlsm’.</w:t>
      </w:r>
    </w:p>
    <w:p w:rsidR="0004344D" w:rsidRPr="00577E40" w:rsidRDefault="0004344D" w:rsidP="0004344D">
      <w:pPr>
        <w:pStyle w:val="ListParagraph"/>
        <w:widowControl/>
        <w:ind w:left="0"/>
        <w:rPr>
          <w:rFonts w:ascii="Arial Narrow" w:hAnsi="Arial Narrow" w:cs="Times New Roman"/>
          <w:b/>
          <w:sz w:val="18"/>
          <w:szCs w:val="16"/>
        </w:rPr>
      </w:pPr>
    </w:p>
    <w:p w:rsidR="009F1109" w:rsidRPr="007C2325" w:rsidRDefault="009F1109">
      <w:pPr>
        <w:widowControl/>
        <w:jc w:val="left"/>
        <w:rPr>
          <w:b/>
          <w:sz w:val="20"/>
        </w:rPr>
      </w:pPr>
    </w:p>
    <w:p w:rsidR="009F1109" w:rsidRPr="007C2325" w:rsidRDefault="009F1109" w:rsidP="009F1109">
      <w:pPr>
        <w:ind w:firstLine="709"/>
        <w:rPr>
          <w:b/>
          <w:sz w:val="20"/>
        </w:rPr>
      </w:pPr>
      <w:r w:rsidRPr="007C2325">
        <w:rPr>
          <w:b/>
          <w:sz w:val="20"/>
        </w:rPr>
        <w:t>Estimated net cost to the PBS/RPBS</w:t>
      </w:r>
    </w:p>
    <w:tbl>
      <w:tblPr>
        <w:tblStyle w:val="TableGrid1"/>
        <w:tblW w:w="0" w:type="auto"/>
        <w:tblInd w:w="817" w:type="dxa"/>
        <w:tblLook w:val="04A0" w:firstRow="1" w:lastRow="0" w:firstColumn="1" w:lastColumn="0" w:noHBand="0" w:noVBand="1"/>
        <w:tblCaption w:val="Estimated net cost to the PBS/RPBS"/>
        <w:tblDescription w:val="Year 1 to 5"/>
      </w:tblPr>
      <w:tblGrid>
        <w:gridCol w:w="1702"/>
        <w:gridCol w:w="1300"/>
        <w:gridCol w:w="1314"/>
        <w:gridCol w:w="1314"/>
        <w:gridCol w:w="1283"/>
        <w:gridCol w:w="1512"/>
      </w:tblGrid>
      <w:tr w:rsidR="009F1109" w:rsidRPr="009F1109" w:rsidTr="009F1109">
        <w:tc>
          <w:tcPr>
            <w:tcW w:w="1702" w:type="dxa"/>
            <w:vAlign w:val="bottom"/>
          </w:tcPr>
          <w:p w:rsidR="009F1109" w:rsidRPr="009F1109" w:rsidRDefault="009F1109" w:rsidP="009F1109">
            <w:pPr>
              <w:jc w:val="center"/>
              <w:rPr>
                <w:rFonts w:ascii="Arial Narrow" w:hAnsi="Arial Narrow" w:cs="Times New Roman"/>
                <w:sz w:val="20"/>
                <w:szCs w:val="16"/>
              </w:rPr>
            </w:pPr>
          </w:p>
        </w:tc>
        <w:tc>
          <w:tcPr>
            <w:tcW w:w="1300" w:type="dxa"/>
            <w:vAlign w:val="bottom"/>
          </w:tcPr>
          <w:p w:rsidR="009F1109" w:rsidRPr="009F1109" w:rsidRDefault="009F1109" w:rsidP="009F1109">
            <w:pPr>
              <w:jc w:val="center"/>
              <w:rPr>
                <w:rFonts w:ascii="Arial Narrow" w:hAnsi="Arial Narrow" w:cs="Times New Roman"/>
                <w:sz w:val="20"/>
                <w:szCs w:val="16"/>
              </w:rPr>
            </w:pPr>
            <w:r w:rsidRPr="009F1109">
              <w:rPr>
                <w:rFonts w:ascii="Arial Narrow" w:hAnsi="Arial Narrow" w:cs="Times New Roman"/>
                <w:b/>
                <w:sz w:val="20"/>
                <w:szCs w:val="16"/>
              </w:rPr>
              <w:t>Year 1</w:t>
            </w:r>
          </w:p>
        </w:tc>
        <w:tc>
          <w:tcPr>
            <w:tcW w:w="1293" w:type="dxa"/>
            <w:vAlign w:val="bottom"/>
          </w:tcPr>
          <w:p w:rsidR="009F1109" w:rsidRPr="009F1109" w:rsidRDefault="009F1109" w:rsidP="009F1109">
            <w:pPr>
              <w:jc w:val="center"/>
              <w:rPr>
                <w:rFonts w:ascii="Arial Narrow" w:hAnsi="Arial Narrow" w:cs="Times New Roman"/>
                <w:sz w:val="20"/>
                <w:szCs w:val="16"/>
              </w:rPr>
            </w:pPr>
            <w:r w:rsidRPr="009F1109">
              <w:rPr>
                <w:rFonts w:ascii="Arial Narrow" w:hAnsi="Arial Narrow" w:cs="Times New Roman"/>
                <w:b/>
                <w:sz w:val="20"/>
                <w:szCs w:val="16"/>
              </w:rPr>
              <w:t>Year 2</w:t>
            </w:r>
          </w:p>
        </w:tc>
        <w:tc>
          <w:tcPr>
            <w:tcW w:w="1275" w:type="dxa"/>
            <w:vAlign w:val="bottom"/>
          </w:tcPr>
          <w:p w:rsidR="009F1109" w:rsidRPr="009F1109" w:rsidRDefault="009F1109" w:rsidP="009F1109">
            <w:pPr>
              <w:jc w:val="center"/>
              <w:rPr>
                <w:rFonts w:ascii="Arial Narrow" w:hAnsi="Arial Narrow" w:cs="Times New Roman"/>
                <w:sz w:val="20"/>
                <w:szCs w:val="16"/>
              </w:rPr>
            </w:pPr>
            <w:r w:rsidRPr="009F1109">
              <w:rPr>
                <w:rFonts w:ascii="Arial Narrow" w:hAnsi="Arial Narrow" w:cs="Times New Roman"/>
                <w:b/>
                <w:sz w:val="20"/>
              </w:rPr>
              <w:t>Year 3</w:t>
            </w:r>
          </w:p>
        </w:tc>
        <w:tc>
          <w:tcPr>
            <w:tcW w:w="1275" w:type="dxa"/>
            <w:vAlign w:val="bottom"/>
          </w:tcPr>
          <w:p w:rsidR="009F1109" w:rsidRPr="009F1109" w:rsidRDefault="009F1109" w:rsidP="009F1109">
            <w:pPr>
              <w:jc w:val="center"/>
              <w:rPr>
                <w:rFonts w:ascii="Arial Narrow" w:hAnsi="Arial Narrow" w:cs="Times New Roman"/>
                <w:sz w:val="20"/>
                <w:szCs w:val="16"/>
              </w:rPr>
            </w:pPr>
            <w:r w:rsidRPr="009F1109">
              <w:rPr>
                <w:rFonts w:ascii="Arial Narrow" w:hAnsi="Arial Narrow" w:cs="Times New Roman"/>
                <w:b/>
                <w:sz w:val="20"/>
              </w:rPr>
              <w:t>Year 4</w:t>
            </w:r>
          </w:p>
        </w:tc>
        <w:tc>
          <w:tcPr>
            <w:tcW w:w="1518" w:type="dxa"/>
            <w:vAlign w:val="bottom"/>
          </w:tcPr>
          <w:p w:rsidR="009F1109" w:rsidRPr="009F1109" w:rsidRDefault="009F1109" w:rsidP="009F1109">
            <w:pPr>
              <w:jc w:val="center"/>
              <w:rPr>
                <w:rFonts w:ascii="Arial Narrow" w:hAnsi="Arial Narrow" w:cs="Times New Roman"/>
                <w:sz w:val="20"/>
                <w:szCs w:val="16"/>
              </w:rPr>
            </w:pPr>
            <w:r w:rsidRPr="009F1109">
              <w:rPr>
                <w:rFonts w:ascii="Arial Narrow" w:hAnsi="Arial Narrow" w:cs="Times New Roman"/>
                <w:b/>
                <w:sz w:val="20"/>
              </w:rPr>
              <w:t>Year 5</w:t>
            </w:r>
          </w:p>
        </w:tc>
      </w:tr>
      <w:tr w:rsidR="009F1109" w:rsidRPr="009F1109" w:rsidTr="009F1109">
        <w:tc>
          <w:tcPr>
            <w:tcW w:w="8363" w:type="dxa"/>
            <w:gridSpan w:val="6"/>
            <w:vAlign w:val="bottom"/>
          </w:tcPr>
          <w:p w:rsidR="009F1109" w:rsidRPr="009F1109" w:rsidRDefault="009F1109" w:rsidP="009F1109">
            <w:pPr>
              <w:rPr>
                <w:rFonts w:ascii="Arial Narrow" w:hAnsi="Arial Narrow" w:cs="Times New Roman"/>
                <w:b/>
                <w:sz w:val="20"/>
              </w:rPr>
            </w:pPr>
            <w:r w:rsidRPr="009F1109">
              <w:rPr>
                <w:rFonts w:ascii="Arial Narrow" w:hAnsi="Arial Narrow" w:cs="Times New Roman"/>
                <w:b/>
                <w:sz w:val="20"/>
              </w:rPr>
              <w:t>HCV genotype 1 treated population</w:t>
            </w:r>
          </w:p>
        </w:tc>
      </w:tr>
      <w:tr w:rsidR="009F1109" w:rsidRPr="009F1109" w:rsidTr="009F1109">
        <w:tc>
          <w:tcPr>
            <w:tcW w:w="1702" w:type="dxa"/>
            <w:vAlign w:val="bottom"/>
          </w:tcPr>
          <w:p w:rsidR="009F1109" w:rsidRPr="009F1109" w:rsidRDefault="009F1109" w:rsidP="009F1109">
            <w:pPr>
              <w:rPr>
                <w:rFonts w:ascii="Arial Narrow" w:hAnsi="Arial Narrow" w:cs="Times New Roman"/>
                <w:sz w:val="20"/>
              </w:rPr>
            </w:pPr>
            <w:r w:rsidRPr="009F1109">
              <w:rPr>
                <w:rFonts w:ascii="Arial Narrow" w:hAnsi="Arial Narrow" w:cs="Times New Roman"/>
                <w:sz w:val="20"/>
              </w:rPr>
              <w:t>With LDV/SOF</w:t>
            </w:r>
          </w:p>
        </w:tc>
        <w:tc>
          <w:tcPr>
            <w:tcW w:w="1300"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293"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275"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275"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518"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r>
      <w:tr w:rsidR="009F1109" w:rsidRPr="009F1109" w:rsidTr="009F1109">
        <w:tc>
          <w:tcPr>
            <w:tcW w:w="1702" w:type="dxa"/>
            <w:vAlign w:val="bottom"/>
          </w:tcPr>
          <w:p w:rsidR="009F1109" w:rsidRPr="009F1109" w:rsidRDefault="009F1109" w:rsidP="009F1109">
            <w:pPr>
              <w:rPr>
                <w:rFonts w:ascii="Arial Narrow" w:hAnsi="Arial Narrow" w:cs="Times New Roman"/>
                <w:sz w:val="20"/>
              </w:rPr>
            </w:pPr>
            <w:r w:rsidRPr="009F1109">
              <w:rPr>
                <w:rFonts w:ascii="Arial Narrow" w:hAnsi="Arial Narrow" w:cs="Times New Roman"/>
                <w:sz w:val="20"/>
              </w:rPr>
              <w:t>Without LDV/SOF</w:t>
            </w:r>
          </w:p>
        </w:tc>
        <w:tc>
          <w:tcPr>
            <w:tcW w:w="1300"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293"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275"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275"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c>
          <w:tcPr>
            <w:tcW w:w="1518" w:type="dxa"/>
            <w:vAlign w:val="bottom"/>
          </w:tcPr>
          <w:p w:rsidR="009F1109" w:rsidRPr="009F4C82" w:rsidRDefault="009F4C82" w:rsidP="009F1109">
            <w:pPr>
              <w:jc w:val="right"/>
              <w:rPr>
                <w:rFonts w:ascii="Arial Narrow" w:hAnsi="Arial Narrow" w:cs="Times New Roman"/>
                <w:sz w:val="20"/>
                <w:highlight w:val="black"/>
              </w:rPr>
            </w:pPr>
            <w:r>
              <w:rPr>
                <w:rFonts w:ascii="Arial Narrow" w:hAnsi="Arial Narrow" w:cs="Times New Roman"/>
                <w:noProof/>
                <w:color w:val="000000"/>
                <w:sz w:val="20"/>
                <w:highlight w:val="black"/>
              </w:rPr>
              <w:t xml:space="preserve"> '''''''''''''' </w:t>
            </w:r>
          </w:p>
        </w:tc>
      </w:tr>
      <w:tr w:rsidR="009F1109" w:rsidRPr="009F1109" w:rsidTr="009F1109">
        <w:tc>
          <w:tcPr>
            <w:tcW w:w="8363" w:type="dxa"/>
            <w:gridSpan w:val="6"/>
            <w:vAlign w:val="bottom"/>
          </w:tcPr>
          <w:p w:rsidR="009F1109" w:rsidRPr="009F1109" w:rsidRDefault="009F1109" w:rsidP="009F1109">
            <w:pPr>
              <w:rPr>
                <w:rFonts w:ascii="Arial Narrow" w:hAnsi="Arial Narrow" w:cs="Times New Roman"/>
                <w:b/>
                <w:sz w:val="20"/>
              </w:rPr>
            </w:pPr>
            <w:r w:rsidRPr="009F1109">
              <w:rPr>
                <w:rFonts w:ascii="Arial Narrow" w:hAnsi="Arial Narrow" w:cs="Times New Roman"/>
                <w:b/>
                <w:sz w:val="20"/>
              </w:rPr>
              <w:t>Cost implications of PBS listing of LDV/SOF</w:t>
            </w:r>
          </w:p>
        </w:tc>
      </w:tr>
      <w:tr w:rsidR="009F1109" w:rsidRPr="009F1109" w:rsidTr="009F1109">
        <w:tc>
          <w:tcPr>
            <w:tcW w:w="1702" w:type="dxa"/>
            <w:vAlign w:val="bottom"/>
          </w:tcPr>
          <w:p w:rsidR="009F1109" w:rsidRPr="009F1109" w:rsidRDefault="009F1109" w:rsidP="009F1109">
            <w:pPr>
              <w:jc w:val="left"/>
              <w:rPr>
                <w:rFonts w:ascii="Arial Narrow" w:hAnsi="Arial Narrow" w:cs="Times New Roman"/>
                <w:sz w:val="20"/>
              </w:rPr>
            </w:pPr>
            <w:r w:rsidRPr="009F1109">
              <w:rPr>
                <w:rFonts w:ascii="Arial Narrow" w:hAnsi="Arial Narrow" w:cs="Times New Roman"/>
                <w:sz w:val="20"/>
              </w:rPr>
              <w:t xml:space="preserve">Cost of </w:t>
            </w:r>
            <w:proofErr w:type="spellStart"/>
            <w:r w:rsidRPr="009F1109">
              <w:rPr>
                <w:rFonts w:ascii="Arial Narrow" w:hAnsi="Arial Narrow" w:cs="Times New Roman"/>
                <w:sz w:val="20"/>
              </w:rPr>
              <w:t>ledipasvir</w:t>
            </w:r>
            <w:proofErr w:type="spellEnd"/>
            <w:r w:rsidRPr="009F1109">
              <w:rPr>
                <w:rFonts w:ascii="Arial Narrow" w:hAnsi="Arial Narrow" w:cs="Times New Roman"/>
                <w:sz w:val="20"/>
              </w:rPr>
              <w:t>/sofosbuvir</w:t>
            </w:r>
          </w:p>
        </w:tc>
        <w:tc>
          <w:tcPr>
            <w:tcW w:w="1300"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 xml:space="preserve"> $</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93"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 xml:space="preserve"> $</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75"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75"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518"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r>
      <w:tr w:rsidR="009F1109" w:rsidRPr="009F1109" w:rsidTr="009F1109">
        <w:tc>
          <w:tcPr>
            <w:tcW w:w="1702" w:type="dxa"/>
            <w:vAlign w:val="bottom"/>
          </w:tcPr>
          <w:p w:rsidR="009F1109" w:rsidRPr="009F1109" w:rsidRDefault="009F1109" w:rsidP="009F1109">
            <w:pPr>
              <w:jc w:val="left"/>
              <w:rPr>
                <w:rFonts w:ascii="Arial Narrow" w:hAnsi="Arial Narrow" w:cs="Times New Roman"/>
                <w:sz w:val="20"/>
              </w:rPr>
            </w:pPr>
            <w:r w:rsidRPr="009F1109">
              <w:rPr>
                <w:rFonts w:ascii="Arial Narrow" w:hAnsi="Arial Narrow" w:cs="Times New Roman"/>
                <w:sz w:val="20"/>
              </w:rPr>
              <w:t>Savings due to reduced use of superseded treatment</w:t>
            </w:r>
          </w:p>
        </w:tc>
        <w:tc>
          <w:tcPr>
            <w:tcW w:w="1300" w:type="dxa"/>
            <w:vAlign w:val="bottom"/>
          </w:tcPr>
          <w:p w:rsidR="009F1109" w:rsidRPr="009F1109" w:rsidRDefault="009F4C82" w:rsidP="009F1109">
            <w:pPr>
              <w:jc w:val="right"/>
              <w:rPr>
                <w:rFonts w:ascii="Arial Narrow" w:hAnsi="Arial Narrow" w:cs="Times New Roman"/>
                <w:sz w:val="20"/>
              </w:rPr>
            </w:pPr>
            <w:r>
              <w:rPr>
                <w:rFonts w:ascii="Arial Narrow" w:hAnsi="Arial Narrow" w:cs="Times New Roman"/>
                <w:noProof/>
                <w:color w:val="000000"/>
                <w:sz w:val="20"/>
                <w:highlight w:val="black"/>
              </w:rPr>
              <w:t>'''</w:t>
            </w:r>
            <w:r w:rsidR="009F1109" w:rsidRPr="009F1109">
              <w:rPr>
                <w:rFonts w:ascii="Arial Narrow" w:hAnsi="Arial Narrow" w:cs="Times New Roman"/>
                <w:sz w:val="20"/>
              </w:rPr>
              <w:t>$</w:t>
            </w:r>
            <w:r>
              <w:rPr>
                <w:rFonts w:ascii="Arial Narrow" w:hAnsi="Arial Narrow" w:cs="Times New Roman"/>
                <w:noProof/>
                <w:color w:val="000000"/>
                <w:sz w:val="20"/>
                <w:highlight w:val="black"/>
              </w:rPr>
              <w:t>'''''''''''''''''''''''''</w:t>
            </w:r>
            <w:r w:rsidR="009F1109" w:rsidRPr="009F1109">
              <w:rPr>
                <w:rFonts w:ascii="Arial Narrow" w:hAnsi="Arial Narrow" w:cs="Times New Roman"/>
                <w:sz w:val="20"/>
              </w:rPr>
              <w:t xml:space="preserve"> </w:t>
            </w:r>
          </w:p>
        </w:tc>
        <w:tc>
          <w:tcPr>
            <w:tcW w:w="1293" w:type="dxa"/>
            <w:vAlign w:val="bottom"/>
          </w:tcPr>
          <w:p w:rsidR="009F1109" w:rsidRPr="009F1109" w:rsidRDefault="009F4C82" w:rsidP="009F1109">
            <w:pPr>
              <w:jc w:val="right"/>
              <w:rPr>
                <w:rFonts w:ascii="Arial Narrow" w:hAnsi="Arial Narrow" w:cs="Times New Roman"/>
                <w:sz w:val="20"/>
              </w:rPr>
            </w:pPr>
            <w:r>
              <w:rPr>
                <w:rFonts w:ascii="Arial Narrow" w:hAnsi="Arial Narrow" w:cs="Times New Roman"/>
                <w:noProof/>
                <w:color w:val="000000"/>
                <w:sz w:val="20"/>
                <w:highlight w:val="black"/>
              </w:rPr>
              <w:t>''</w:t>
            </w:r>
            <w:r w:rsidR="009F1109" w:rsidRPr="009F1109">
              <w:rPr>
                <w:rFonts w:ascii="Arial Narrow" w:hAnsi="Arial Narrow" w:cs="Times New Roman"/>
                <w:sz w:val="20"/>
              </w:rPr>
              <w:t>$</w:t>
            </w:r>
            <w:r>
              <w:rPr>
                <w:rFonts w:ascii="Arial Narrow" w:hAnsi="Arial Narrow" w:cs="Times New Roman"/>
                <w:noProof/>
                <w:color w:val="000000"/>
                <w:sz w:val="20"/>
                <w:highlight w:val="black"/>
              </w:rPr>
              <w:t>''''''''''''''''''''''''''</w:t>
            </w:r>
            <w:r w:rsidR="009F1109" w:rsidRPr="009F1109">
              <w:rPr>
                <w:rFonts w:ascii="Arial Narrow" w:hAnsi="Arial Narrow" w:cs="Times New Roman"/>
                <w:sz w:val="20"/>
              </w:rPr>
              <w:t xml:space="preserve"> </w:t>
            </w:r>
          </w:p>
        </w:tc>
        <w:tc>
          <w:tcPr>
            <w:tcW w:w="1275" w:type="dxa"/>
            <w:vAlign w:val="bottom"/>
          </w:tcPr>
          <w:p w:rsidR="009F1109" w:rsidRPr="009F1109" w:rsidRDefault="009F4C82" w:rsidP="009F1109">
            <w:pPr>
              <w:jc w:val="right"/>
              <w:rPr>
                <w:rFonts w:ascii="Arial Narrow" w:hAnsi="Arial Narrow" w:cs="Times New Roman"/>
                <w:sz w:val="20"/>
              </w:rPr>
            </w:pPr>
            <w:r>
              <w:rPr>
                <w:rFonts w:ascii="Arial Narrow" w:hAnsi="Arial Narrow" w:cs="Times New Roman"/>
                <w:noProof/>
                <w:color w:val="000000"/>
                <w:sz w:val="20"/>
                <w:highlight w:val="black"/>
              </w:rPr>
              <w:t>'''</w:t>
            </w:r>
            <w:r w:rsidR="009F1109" w:rsidRPr="009F1109">
              <w:rPr>
                <w:rFonts w:ascii="Arial Narrow" w:hAnsi="Arial Narrow" w:cs="Times New Roman"/>
                <w:sz w:val="20"/>
              </w:rPr>
              <w:t>$</w:t>
            </w:r>
            <w:r>
              <w:rPr>
                <w:rFonts w:ascii="Arial Narrow" w:hAnsi="Arial Narrow" w:cs="Times New Roman"/>
                <w:noProof/>
                <w:color w:val="000000"/>
                <w:sz w:val="20"/>
                <w:highlight w:val="black"/>
              </w:rPr>
              <w:t>''''''''''''''''''''''''''</w:t>
            </w:r>
            <w:r w:rsidR="009F1109" w:rsidRPr="009F1109">
              <w:rPr>
                <w:rFonts w:ascii="Arial Narrow" w:hAnsi="Arial Narrow" w:cs="Times New Roman"/>
                <w:sz w:val="20"/>
              </w:rPr>
              <w:t xml:space="preserve"> </w:t>
            </w:r>
          </w:p>
        </w:tc>
        <w:tc>
          <w:tcPr>
            <w:tcW w:w="1275" w:type="dxa"/>
            <w:vAlign w:val="bottom"/>
          </w:tcPr>
          <w:p w:rsidR="009F1109" w:rsidRPr="009F1109" w:rsidRDefault="009F4C82" w:rsidP="009F1109">
            <w:pPr>
              <w:jc w:val="right"/>
              <w:rPr>
                <w:rFonts w:ascii="Arial Narrow" w:hAnsi="Arial Narrow" w:cs="Times New Roman"/>
                <w:sz w:val="20"/>
              </w:rPr>
            </w:pPr>
            <w:r>
              <w:rPr>
                <w:rFonts w:ascii="Arial Narrow" w:hAnsi="Arial Narrow" w:cs="Times New Roman"/>
                <w:noProof/>
                <w:color w:val="000000"/>
                <w:sz w:val="20"/>
                <w:highlight w:val="black"/>
              </w:rPr>
              <w:t>'''</w:t>
            </w:r>
            <w:r w:rsidR="009F1109" w:rsidRPr="009F1109">
              <w:rPr>
                <w:rFonts w:ascii="Arial Narrow" w:hAnsi="Arial Narrow" w:cs="Times New Roman"/>
                <w:sz w:val="20"/>
              </w:rPr>
              <w:t>$</w:t>
            </w:r>
            <w:r>
              <w:rPr>
                <w:rFonts w:ascii="Arial Narrow" w:hAnsi="Arial Narrow" w:cs="Times New Roman"/>
                <w:noProof/>
                <w:color w:val="000000"/>
                <w:sz w:val="20"/>
                <w:highlight w:val="black"/>
              </w:rPr>
              <w:t>'''''''''''''''''''''''''</w:t>
            </w:r>
            <w:r w:rsidR="009F1109" w:rsidRPr="009F1109">
              <w:rPr>
                <w:rFonts w:ascii="Arial Narrow" w:hAnsi="Arial Narrow" w:cs="Times New Roman"/>
                <w:sz w:val="20"/>
              </w:rPr>
              <w:t xml:space="preserve"> </w:t>
            </w:r>
          </w:p>
        </w:tc>
        <w:tc>
          <w:tcPr>
            <w:tcW w:w="1518" w:type="dxa"/>
            <w:vAlign w:val="bottom"/>
          </w:tcPr>
          <w:p w:rsidR="009F1109" w:rsidRPr="009F1109" w:rsidRDefault="009F4C82" w:rsidP="009F1109">
            <w:pPr>
              <w:jc w:val="right"/>
              <w:rPr>
                <w:rFonts w:ascii="Arial Narrow" w:hAnsi="Arial Narrow" w:cs="Times New Roman"/>
                <w:sz w:val="20"/>
              </w:rPr>
            </w:pPr>
            <w:r>
              <w:rPr>
                <w:rFonts w:ascii="Arial Narrow" w:hAnsi="Arial Narrow" w:cs="Times New Roman"/>
                <w:noProof/>
                <w:color w:val="000000"/>
                <w:sz w:val="20"/>
                <w:highlight w:val="black"/>
              </w:rPr>
              <w:t>'''</w:t>
            </w:r>
            <w:r w:rsidR="009F1109" w:rsidRPr="009F1109">
              <w:rPr>
                <w:rFonts w:ascii="Arial Narrow" w:hAnsi="Arial Narrow" w:cs="Times New Roman"/>
                <w:sz w:val="20"/>
              </w:rPr>
              <w:t>$</w:t>
            </w:r>
            <w:r>
              <w:rPr>
                <w:rFonts w:ascii="Arial Narrow" w:hAnsi="Arial Narrow" w:cs="Times New Roman"/>
                <w:noProof/>
                <w:color w:val="000000"/>
                <w:sz w:val="20"/>
                <w:highlight w:val="black"/>
              </w:rPr>
              <w:t>''''''''''''''''''''''''''</w:t>
            </w:r>
            <w:r w:rsidR="009F1109" w:rsidRPr="009F1109">
              <w:rPr>
                <w:rFonts w:ascii="Arial Narrow" w:hAnsi="Arial Narrow" w:cs="Times New Roman"/>
                <w:sz w:val="20"/>
              </w:rPr>
              <w:t xml:space="preserve"> </w:t>
            </w:r>
          </w:p>
        </w:tc>
      </w:tr>
      <w:tr w:rsidR="009F1109" w:rsidRPr="009F1109" w:rsidTr="009F1109">
        <w:tc>
          <w:tcPr>
            <w:tcW w:w="1702" w:type="dxa"/>
            <w:vAlign w:val="bottom"/>
          </w:tcPr>
          <w:p w:rsidR="009F1109" w:rsidRPr="009F1109" w:rsidRDefault="009F1109" w:rsidP="009F1109">
            <w:pPr>
              <w:rPr>
                <w:rFonts w:ascii="Arial Narrow" w:hAnsi="Arial Narrow" w:cs="Times New Roman"/>
                <w:b/>
                <w:sz w:val="20"/>
              </w:rPr>
            </w:pPr>
            <w:r w:rsidRPr="009F1109">
              <w:rPr>
                <w:rFonts w:ascii="Arial Narrow" w:hAnsi="Arial Narrow" w:cs="Times New Roman"/>
                <w:b/>
                <w:sz w:val="20"/>
              </w:rPr>
              <w:t>Total net cost</w:t>
            </w:r>
          </w:p>
        </w:tc>
        <w:tc>
          <w:tcPr>
            <w:tcW w:w="1300" w:type="dxa"/>
            <w:vAlign w:val="bottom"/>
          </w:tcPr>
          <w:p w:rsidR="009F1109" w:rsidRPr="009F1109" w:rsidRDefault="009F1109" w:rsidP="009F1109">
            <w:pPr>
              <w:jc w:val="right"/>
              <w:rPr>
                <w:rFonts w:ascii="Arial Narrow" w:hAnsi="Arial Narrow" w:cs="Times New Roman"/>
                <w:b/>
                <w:sz w:val="20"/>
              </w:rPr>
            </w:pPr>
            <w:r w:rsidRPr="003F0A8D">
              <w:rPr>
                <w:rFonts w:ascii="Arial Narrow" w:hAnsi="Arial Narrow" w:cs="Times New Roman"/>
                <w:b/>
                <w:sz w:val="20"/>
              </w:rPr>
              <w:t xml:space="preserve"> </w:t>
            </w:r>
            <w:r w:rsidRPr="009F1109">
              <w:rPr>
                <w:rFonts w:ascii="Arial Narrow" w:hAnsi="Arial Narrow" w:cs="Times New Roman"/>
                <w:b/>
                <w:sz w:val="20"/>
              </w:rPr>
              <w:t>$</w:t>
            </w:r>
            <w:r w:rsidR="009F4C82">
              <w:rPr>
                <w:rFonts w:ascii="Arial Narrow" w:hAnsi="Arial Narrow" w:cs="Times New Roman"/>
                <w:b/>
                <w:noProof/>
                <w:color w:val="000000"/>
                <w:sz w:val="20"/>
                <w:highlight w:val="black"/>
              </w:rPr>
              <w:t>'''''''''''''''''''''''''</w:t>
            </w:r>
            <w:r w:rsidRPr="009F1109">
              <w:rPr>
                <w:rFonts w:ascii="Arial Narrow" w:hAnsi="Arial Narrow" w:cs="Times New Roman"/>
                <w:b/>
                <w:sz w:val="20"/>
              </w:rPr>
              <w:t xml:space="preserve"> </w:t>
            </w:r>
          </w:p>
        </w:tc>
        <w:tc>
          <w:tcPr>
            <w:tcW w:w="1293" w:type="dxa"/>
            <w:vAlign w:val="bottom"/>
          </w:tcPr>
          <w:p w:rsidR="009F1109" w:rsidRPr="009F1109" w:rsidRDefault="009F1109" w:rsidP="009F1109">
            <w:pPr>
              <w:jc w:val="right"/>
              <w:rPr>
                <w:rFonts w:ascii="Arial Narrow" w:hAnsi="Arial Narrow" w:cs="Times New Roman"/>
                <w:b/>
                <w:sz w:val="20"/>
              </w:rPr>
            </w:pPr>
            <w:r w:rsidRPr="003F0A8D">
              <w:rPr>
                <w:rFonts w:ascii="Arial Narrow" w:hAnsi="Arial Narrow" w:cs="Times New Roman"/>
                <w:b/>
                <w:sz w:val="20"/>
              </w:rPr>
              <w:t xml:space="preserve"> </w:t>
            </w:r>
            <w:r w:rsidRPr="009F1109">
              <w:rPr>
                <w:rFonts w:ascii="Arial Narrow" w:hAnsi="Arial Narrow" w:cs="Times New Roman"/>
                <w:b/>
                <w:sz w:val="20"/>
              </w:rPr>
              <w:t>$</w:t>
            </w:r>
            <w:r w:rsidR="009F4C82">
              <w:rPr>
                <w:rFonts w:ascii="Arial Narrow" w:hAnsi="Arial Narrow" w:cs="Times New Roman"/>
                <w:b/>
                <w:noProof/>
                <w:color w:val="000000"/>
                <w:sz w:val="20"/>
                <w:highlight w:val="black"/>
              </w:rPr>
              <w:t>''''''''''''''''''''''</w:t>
            </w:r>
            <w:r w:rsidRPr="009F1109">
              <w:rPr>
                <w:rFonts w:ascii="Arial Narrow" w:hAnsi="Arial Narrow" w:cs="Times New Roman"/>
                <w:b/>
                <w:sz w:val="20"/>
              </w:rPr>
              <w:t xml:space="preserve"> </w:t>
            </w:r>
          </w:p>
        </w:tc>
        <w:tc>
          <w:tcPr>
            <w:tcW w:w="1275" w:type="dxa"/>
            <w:vAlign w:val="bottom"/>
          </w:tcPr>
          <w:p w:rsidR="009F1109" w:rsidRPr="009F1109" w:rsidRDefault="009F1109" w:rsidP="009F1109">
            <w:pPr>
              <w:jc w:val="right"/>
              <w:rPr>
                <w:rFonts w:ascii="Arial Narrow" w:hAnsi="Arial Narrow" w:cs="Times New Roman"/>
                <w:b/>
                <w:sz w:val="20"/>
              </w:rPr>
            </w:pPr>
            <w:r w:rsidRPr="009F1109">
              <w:rPr>
                <w:rFonts w:ascii="Arial Narrow" w:hAnsi="Arial Narrow" w:cs="Times New Roman"/>
                <w:b/>
                <w:sz w:val="20"/>
              </w:rPr>
              <w:t>$</w:t>
            </w:r>
            <w:r w:rsidR="009F4C82">
              <w:rPr>
                <w:rFonts w:ascii="Arial Narrow" w:hAnsi="Arial Narrow" w:cs="Times New Roman"/>
                <w:b/>
                <w:noProof/>
                <w:color w:val="000000"/>
                <w:sz w:val="20"/>
                <w:highlight w:val="black"/>
              </w:rPr>
              <w:t>'''''''''''''''''''''''''</w:t>
            </w:r>
            <w:r w:rsidRPr="009F1109">
              <w:rPr>
                <w:rFonts w:ascii="Arial Narrow" w:hAnsi="Arial Narrow" w:cs="Times New Roman"/>
                <w:b/>
                <w:sz w:val="20"/>
              </w:rPr>
              <w:t xml:space="preserve"> </w:t>
            </w:r>
          </w:p>
        </w:tc>
        <w:tc>
          <w:tcPr>
            <w:tcW w:w="1275" w:type="dxa"/>
            <w:vAlign w:val="bottom"/>
          </w:tcPr>
          <w:p w:rsidR="009F1109" w:rsidRPr="009F1109" w:rsidRDefault="009F1109" w:rsidP="009F1109">
            <w:pPr>
              <w:jc w:val="right"/>
              <w:rPr>
                <w:rFonts w:ascii="Arial Narrow" w:hAnsi="Arial Narrow" w:cs="Times New Roman"/>
                <w:b/>
                <w:sz w:val="20"/>
              </w:rPr>
            </w:pPr>
            <w:r w:rsidRPr="009F1109">
              <w:rPr>
                <w:rFonts w:ascii="Arial Narrow" w:hAnsi="Arial Narrow" w:cs="Times New Roman"/>
                <w:b/>
                <w:sz w:val="20"/>
              </w:rPr>
              <w:t>$</w:t>
            </w:r>
            <w:r w:rsidR="009F4C82">
              <w:rPr>
                <w:rFonts w:ascii="Arial Narrow" w:hAnsi="Arial Narrow" w:cs="Times New Roman"/>
                <w:b/>
                <w:noProof/>
                <w:color w:val="000000"/>
                <w:sz w:val="20"/>
                <w:highlight w:val="black"/>
              </w:rPr>
              <w:t>''''''''''''''''''''''''</w:t>
            </w:r>
            <w:r w:rsidRPr="009F1109">
              <w:rPr>
                <w:rFonts w:ascii="Arial Narrow" w:hAnsi="Arial Narrow" w:cs="Times New Roman"/>
                <w:b/>
                <w:sz w:val="20"/>
              </w:rPr>
              <w:t xml:space="preserve"> </w:t>
            </w:r>
          </w:p>
        </w:tc>
        <w:tc>
          <w:tcPr>
            <w:tcW w:w="1518" w:type="dxa"/>
            <w:vAlign w:val="bottom"/>
          </w:tcPr>
          <w:p w:rsidR="009F1109" w:rsidRPr="009F1109" w:rsidRDefault="009F1109" w:rsidP="009F1109">
            <w:pPr>
              <w:jc w:val="right"/>
              <w:rPr>
                <w:rFonts w:ascii="Arial Narrow" w:hAnsi="Arial Narrow" w:cs="Times New Roman"/>
                <w:b/>
                <w:sz w:val="20"/>
              </w:rPr>
            </w:pPr>
            <w:r w:rsidRPr="009F1109">
              <w:rPr>
                <w:rFonts w:ascii="Arial Narrow" w:hAnsi="Arial Narrow" w:cs="Times New Roman"/>
                <w:b/>
                <w:sz w:val="20"/>
              </w:rPr>
              <w:t>$</w:t>
            </w:r>
            <w:r w:rsidR="009F4C82">
              <w:rPr>
                <w:rFonts w:ascii="Arial Narrow" w:hAnsi="Arial Narrow" w:cs="Times New Roman"/>
                <w:b/>
                <w:noProof/>
                <w:color w:val="000000"/>
                <w:sz w:val="20"/>
                <w:highlight w:val="black"/>
              </w:rPr>
              <w:t>'''''''''''''''''''''''</w:t>
            </w:r>
            <w:r w:rsidRPr="009F1109">
              <w:rPr>
                <w:rFonts w:ascii="Arial Narrow" w:hAnsi="Arial Narrow" w:cs="Times New Roman"/>
                <w:b/>
                <w:sz w:val="20"/>
              </w:rPr>
              <w:t xml:space="preserve"> </w:t>
            </w:r>
          </w:p>
        </w:tc>
      </w:tr>
      <w:tr w:rsidR="009F1109" w:rsidRPr="009F1109" w:rsidTr="009F1109">
        <w:trPr>
          <w:trHeight w:val="70"/>
        </w:trPr>
        <w:tc>
          <w:tcPr>
            <w:tcW w:w="1702" w:type="dxa"/>
            <w:vAlign w:val="bottom"/>
          </w:tcPr>
          <w:p w:rsidR="009F1109" w:rsidRPr="009F1109" w:rsidRDefault="009F1109" w:rsidP="009F1109">
            <w:pPr>
              <w:rPr>
                <w:rFonts w:ascii="Arial Narrow" w:hAnsi="Arial Narrow" w:cs="Times New Roman"/>
                <w:sz w:val="20"/>
              </w:rPr>
            </w:pPr>
            <w:r w:rsidRPr="009F1109">
              <w:rPr>
                <w:rFonts w:ascii="Arial Narrow" w:hAnsi="Arial Narrow" w:cs="Times New Roman"/>
                <w:sz w:val="20"/>
              </w:rPr>
              <w:t>PBS component</w:t>
            </w:r>
          </w:p>
        </w:tc>
        <w:tc>
          <w:tcPr>
            <w:tcW w:w="1300" w:type="dxa"/>
            <w:vAlign w:val="bottom"/>
          </w:tcPr>
          <w:p w:rsidR="009F1109" w:rsidRPr="009F1109" w:rsidRDefault="009F1109" w:rsidP="009F1109">
            <w:pPr>
              <w:jc w:val="right"/>
              <w:rPr>
                <w:rFonts w:ascii="Arial Narrow" w:hAnsi="Arial Narrow" w:cs="Times New Roman"/>
                <w:sz w:val="20"/>
              </w:rPr>
            </w:pPr>
            <w:r w:rsidRPr="003F0A8D">
              <w:rPr>
                <w:rFonts w:ascii="Arial Narrow" w:hAnsi="Arial Narrow" w:cs="Times New Roman"/>
                <w:sz w:val="20"/>
              </w:rPr>
              <w:t xml:space="preserve"> </w:t>
            </w: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93" w:type="dxa"/>
            <w:vAlign w:val="bottom"/>
          </w:tcPr>
          <w:p w:rsidR="009F1109" w:rsidRPr="009F1109" w:rsidRDefault="009F1109" w:rsidP="009F1109">
            <w:pPr>
              <w:jc w:val="right"/>
              <w:rPr>
                <w:rFonts w:ascii="Arial Narrow" w:hAnsi="Arial Narrow" w:cs="Times New Roman"/>
                <w:sz w:val="20"/>
              </w:rPr>
            </w:pPr>
            <w:r w:rsidRPr="003F0A8D">
              <w:rPr>
                <w:rFonts w:ascii="Arial Narrow" w:hAnsi="Arial Narrow" w:cs="Times New Roman"/>
                <w:sz w:val="20"/>
              </w:rPr>
              <w:t xml:space="preserve"> </w:t>
            </w: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75" w:type="dxa"/>
            <w:vAlign w:val="bottom"/>
          </w:tcPr>
          <w:p w:rsidR="009F1109" w:rsidRPr="009F1109" w:rsidRDefault="009F1109" w:rsidP="009F1109">
            <w:pPr>
              <w:jc w:val="right"/>
              <w:rPr>
                <w:rFonts w:ascii="Arial Narrow" w:hAnsi="Arial Narrow" w:cs="Times New Roman"/>
                <w:sz w:val="20"/>
              </w:rPr>
            </w:pPr>
            <w:r w:rsidRPr="003F0A8D">
              <w:rPr>
                <w:rFonts w:ascii="Arial Narrow" w:hAnsi="Arial Narrow" w:cs="Times New Roman"/>
                <w:sz w:val="20"/>
              </w:rPr>
              <w:t xml:space="preserve"> </w:t>
            </w: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75" w:type="dxa"/>
            <w:vAlign w:val="bottom"/>
          </w:tcPr>
          <w:p w:rsidR="009F1109" w:rsidRPr="009F1109" w:rsidRDefault="009F1109" w:rsidP="009F1109">
            <w:pPr>
              <w:jc w:val="right"/>
              <w:rPr>
                <w:rFonts w:ascii="Arial Narrow" w:hAnsi="Arial Narrow" w:cs="Times New Roman"/>
                <w:sz w:val="20"/>
              </w:rPr>
            </w:pPr>
            <w:r w:rsidRPr="003F0A8D">
              <w:rPr>
                <w:rFonts w:ascii="Arial Narrow" w:hAnsi="Arial Narrow" w:cs="Times New Roman"/>
                <w:sz w:val="20"/>
              </w:rPr>
              <w:t xml:space="preserve"> </w:t>
            </w: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518" w:type="dxa"/>
            <w:vAlign w:val="bottom"/>
          </w:tcPr>
          <w:p w:rsidR="009F1109" w:rsidRPr="009F1109" w:rsidRDefault="009F1109" w:rsidP="009F1109">
            <w:pPr>
              <w:jc w:val="right"/>
              <w:rPr>
                <w:rFonts w:ascii="Arial Narrow" w:hAnsi="Arial Narrow" w:cs="Times New Roman"/>
                <w:sz w:val="20"/>
              </w:rPr>
            </w:pPr>
            <w:r w:rsidRPr="003F0A8D">
              <w:rPr>
                <w:rFonts w:ascii="Arial Narrow" w:hAnsi="Arial Narrow" w:cs="Times New Roman"/>
                <w:sz w:val="20"/>
              </w:rPr>
              <w:t xml:space="preserve"> </w:t>
            </w:r>
            <w:r w:rsidRPr="009F1109">
              <w:rPr>
                <w:rFonts w:ascii="Arial Narrow" w:hAnsi="Arial Narrow" w:cs="Times New Roman"/>
                <w:sz w:val="20"/>
              </w:rPr>
              <w:t>$</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r>
      <w:tr w:rsidR="009F1109" w:rsidRPr="009F1109" w:rsidTr="009F1109">
        <w:tc>
          <w:tcPr>
            <w:tcW w:w="1702" w:type="dxa"/>
            <w:vAlign w:val="bottom"/>
          </w:tcPr>
          <w:p w:rsidR="009F1109" w:rsidRPr="009F1109" w:rsidRDefault="009F1109" w:rsidP="009F1109">
            <w:pPr>
              <w:rPr>
                <w:rFonts w:ascii="Arial Narrow" w:hAnsi="Arial Narrow" w:cs="Times New Roman"/>
                <w:sz w:val="20"/>
              </w:rPr>
            </w:pPr>
            <w:r w:rsidRPr="009F1109">
              <w:rPr>
                <w:rFonts w:ascii="Arial Narrow" w:hAnsi="Arial Narrow" w:cs="Times New Roman"/>
                <w:sz w:val="20"/>
              </w:rPr>
              <w:t>RPBS component</w:t>
            </w:r>
          </w:p>
        </w:tc>
        <w:tc>
          <w:tcPr>
            <w:tcW w:w="1300"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 xml:space="preserve"> $</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93"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 xml:space="preserve"> $</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75"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 xml:space="preserve"> $</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275"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 xml:space="preserve"> $</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c>
          <w:tcPr>
            <w:tcW w:w="1518" w:type="dxa"/>
            <w:vAlign w:val="bottom"/>
          </w:tcPr>
          <w:p w:rsidR="009F1109" w:rsidRPr="009F1109" w:rsidRDefault="009F1109" w:rsidP="009F1109">
            <w:pPr>
              <w:jc w:val="right"/>
              <w:rPr>
                <w:rFonts w:ascii="Arial Narrow" w:hAnsi="Arial Narrow" w:cs="Times New Roman"/>
                <w:sz w:val="20"/>
              </w:rPr>
            </w:pPr>
            <w:r w:rsidRPr="009F1109">
              <w:rPr>
                <w:rFonts w:ascii="Arial Narrow" w:hAnsi="Arial Narrow" w:cs="Times New Roman"/>
                <w:sz w:val="20"/>
              </w:rPr>
              <w:t xml:space="preserve"> $</w:t>
            </w:r>
            <w:r w:rsidR="009F4C82">
              <w:rPr>
                <w:rFonts w:ascii="Arial Narrow" w:hAnsi="Arial Narrow" w:cs="Times New Roman"/>
                <w:noProof/>
                <w:color w:val="000000"/>
                <w:sz w:val="20"/>
                <w:highlight w:val="black"/>
              </w:rPr>
              <w:t>''''''''''''''''''</w:t>
            </w:r>
            <w:r w:rsidRPr="009F1109">
              <w:rPr>
                <w:rFonts w:ascii="Arial Narrow" w:hAnsi="Arial Narrow" w:cs="Times New Roman"/>
                <w:sz w:val="20"/>
              </w:rPr>
              <w:t xml:space="preserve"> </w:t>
            </w:r>
          </w:p>
        </w:tc>
      </w:tr>
    </w:tbl>
    <w:p w:rsidR="0004344D" w:rsidRPr="009F1109" w:rsidRDefault="009F1109" w:rsidP="009F1109">
      <w:pPr>
        <w:pStyle w:val="ListParagraph"/>
        <w:widowControl/>
        <w:ind w:left="709"/>
        <w:rPr>
          <w:rFonts w:ascii="Arial Narrow" w:hAnsi="Arial Narrow"/>
          <w:sz w:val="18"/>
          <w:szCs w:val="18"/>
        </w:rPr>
      </w:pPr>
      <w:r w:rsidRPr="009F1109">
        <w:rPr>
          <w:rFonts w:ascii="Arial Narrow" w:hAnsi="Arial Narrow" w:cs="Times New Roman"/>
          <w:sz w:val="18"/>
          <w:szCs w:val="18"/>
        </w:rPr>
        <w:t xml:space="preserve">Source: Commentary on the Main Submission, Table </w:t>
      </w:r>
      <w:r w:rsidRPr="009F1109">
        <w:rPr>
          <w:rFonts w:ascii="Arial Narrow" w:hAnsi="Arial Narrow" w:cs="Times New Roman"/>
          <w:bCs/>
          <w:sz w:val="18"/>
          <w:szCs w:val="18"/>
        </w:rPr>
        <w:t>E.4.</w:t>
      </w:r>
      <w:r w:rsidR="00906032">
        <w:rPr>
          <w:rFonts w:ascii="Arial Narrow" w:hAnsi="Arial Narrow" w:cs="Times New Roman"/>
          <w:bCs/>
          <w:noProof/>
          <w:sz w:val="18"/>
          <w:szCs w:val="18"/>
        </w:rPr>
        <w:t>1</w:t>
      </w:r>
      <w:r w:rsidRPr="009F1109">
        <w:rPr>
          <w:rFonts w:ascii="Arial Narrow" w:hAnsi="Arial Narrow" w:cs="Times New Roman"/>
          <w:bCs/>
          <w:sz w:val="18"/>
          <w:szCs w:val="18"/>
        </w:rPr>
        <w:t xml:space="preserve"> p87</w:t>
      </w:r>
      <w:r>
        <w:rPr>
          <w:rFonts w:ascii="Arial Narrow" w:hAnsi="Arial Narrow" w:cs="Times New Roman"/>
          <w:bCs/>
          <w:sz w:val="18"/>
          <w:szCs w:val="18"/>
        </w:rPr>
        <w:t>.</w:t>
      </w:r>
    </w:p>
    <w:p w:rsidR="00F33418" w:rsidRPr="00577E40" w:rsidRDefault="00F33418" w:rsidP="0004344D">
      <w:pPr>
        <w:pStyle w:val="ListParagraph"/>
        <w:widowControl/>
        <w:ind w:left="0"/>
        <w:rPr>
          <w:rFonts w:ascii="Arial Narrow" w:hAnsi="Arial Narrow"/>
          <w:sz w:val="18"/>
        </w:rPr>
      </w:pPr>
    </w:p>
    <w:p w:rsidR="00F33418" w:rsidRDefault="00F33418" w:rsidP="00F33418">
      <w:pPr>
        <w:pStyle w:val="ListParagraph"/>
        <w:widowControl/>
        <w:numPr>
          <w:ilvl w:val="1"/>
          <w:numId w:val="3"/>
        </w:numPr>
        <w:rPr>
          <w:szCs w:val="22"/>
        </w:rPr>
      </w:pPr>
      <w:r w:rsidRPr="00134998">
        <w:rPr>
          <w:szCs w:val="22"/>
        </w:rPr>
        <w:t xml:space="preserve">The DUSC considered that the estimates presented in the submission to be underestimated. The submission assumed a maximum treatment capacity of </w:t>
      </w:r>
      <w:r w:rsidR="003F0A8D" w:rsidRPr="003F0A8D">
        <w:rPr>
          <w:szCs w:val="22"/>
        </w:rPr>
        <w:t xml:space="preserve">less than 10,000 </w:t>
      </w:r>
      <w:r w:rsidRPr="00134998">
        <w:rPr>
          <w:szCs w:val="22"/>
        </w:rPr>
        <w:t>patients with genotype 1 per year</w:t>
      </w:r>
      <w:r w:rsidR="000D58D6" w:rsidRPr="00134998">
        <w:rPr>
          <w:szCs w:val="22"/>
        </w:rPr>
        <w:t>,</w:t>
      </w:r>
      <w:r w:rsidRPr="00134998">
        <w:rPr>
          <w:szCs w:val="22"/>
        </w:rPr>
        <w:t xml:space="preserve"> which is projected to be reached by Year 3 of listing and capped at this level over the remaining forward estimates period. </w:t>
      </w:r>
      <w:r w:rsidRPr="00134998">
        <w:rPr>
          <w:szCs w:val="22"/>
        </w:rPr>
        <w:lastRenderedPageBreak/>
        <w:t xml:space="preserve">DUSC considered that the uptake of </w:t>
      </w:r>
      <w:proofErr w:type="spellStart"/>
      <w:r w:rsidRPr="00134998">
        <w:rPr>
          <w:szCs w:val="22"/>
        </w:rPr>
        <w:t>ledipasvir</w:t>
      </w:r>
      <w:proofErr w:type="spellEnd"/>
      <w:r w:rsidRPr="00134998">
        <w:rPr>
          <w:szCs w:val="22"/>
        </w:rPr>
        <w:t xml:space="preserve"> with sofosbuvir would be expected to be higher, noting that the capacity of the health system to treat </w:t>
      </w:r>
      <w:r w:rsidR="00134998" w:rsidRPr="00134998">
        <w:rPr>
          <w:szCs w:val="22"/>
        </w:rPr>
        <w:t xml:space="preserve">any </w:t>
      </w:r>
      <w:r w:rsidRPr="00134998">
        <w:rPr>
          <w:szCs w:val="22"/>
        </w:rPr>
        <w:t xml:space="preserve">HCV </w:t>
      </w:r>
      <w:r w:rsidR="00134998" w:rsidRPr="00134998">
        <w:rPr>
          <w:szCs w:val="22"/>
        </w:rPr>
        <w:t xml:space="preserve">genotype </w:t>
      </w:r>
      <w:r w:rsidRPr="00134998">
        <w:rPr>
          <w:szCs w:val="22"/>
        </w:rPr>
        <w:t xml:space="preserve">through specialist liver centres with interferon-free regimens was estimated to be up to 15,000 at the February 2014 HCV Stakeholder Meeting. </w:t>
      </w:r>
    </w:p>
    <w:p w:rsidR="00134998" w:rsidRPr="00134998" w:rsidRDefault="00134998" w:rsidP="00134998">
      <w:pPr>
        <w:pStyle w:val="PBACHeading1"/>
        <w:numPr>
          <w:ilvl w:val="0"/>
          <w:numId w:val="0"/>
        </w:numPr>
        <w:ind w:left="720" w:hanging="720"/>
      </w:pPr>
    </w:p>
    <w:p w:rsidR="00F33418" w:rsidRPr="00577E40" w:rsidRDefault="00F33418" w:rsidP="00B87E17">
      <w:pPr>
        <w:pStyle w:val="ListParagraph"/>
        <w:widowControl/>
        <w:numPr>
          <w:ilvl w:val="1"/>
          <w:numId w:val="3"/>
        </w:numPr>
        <w:rPr>
          <w:szCs w:val="22"/>
        </w:rPr>
      </w:pPr>
      <w:r w:rsidRPr="00577E40">
        <w:rPr>
          <w:szCs w:val="22"/>
        </w:rPr>
        <w:t xml:space="preserve">The DUSC considered that using </w:t>
      </w:r>
      <w:proofErr w:type="spellStart"/>
      <w:r w:rsidRPr="00577E40">
        <w:rPr>
          <w:szCs w:val="22"/>
        </w:rPr>
        <w:t>Gidding</w:t>
      </w:r>
      <w:proofErr w:type="spellEnd"/>
      <w:r w:rsidRPr="00577E40">
        <w:rPr>
          <w:szCs w:val="22"/>
        </w:rPr>
        <w:t xml:space="preserve"> et al. (2012) to estimate the proportion of treated patients who are genotype 1 potentially underestimates the size of this population compared to a more recent estimate from </w:t>
      </w:r>
      <w:proofErr w:type="spellStart"/>
      <w:r w:rsidRPr="00577E40">
        <w:rPr>
          <w:szCs w:val="22"/>
        </w:rPr>
        <w:t>Bruggmann</w:t>
      </w:r>
      <w:proofErr w:type="spellEnd"/>
      <w:r w:rsidRPr="00577E40">
        <w:rPr>
          <w:szCs w:val="22"/>
        </w:rPr>
        <w:t xml:space="preserve"> et al. (2014), (49.6% vs. 54.5%, respectively). </w:t>
      </w:r>
    </w:p>
    <w:p w:rsidR="00F33418" w:rsidRPr="00577E40" w:rsidRDefault="00F33418" w:rsidP="00F33418">
      <w:pPr>
        <w:pStyle w:val="ListParagraph"/>
        <w:rPr>
          <w:szCs w:val="22"/>
        </w:rPr>
      </w:pPr>
    </w:p>
    <w:p w:rsidR="00F33418" w:rsidRPr="00577E40" w:rsidRDefault="00F33418" w:rsidP="00B87E17">
      <w:pPr>
        <w:pStyle w:val="ListParagraph"/>
        <w:widowControl/>
        <w:numPr>
          <w:ilvl w:val="1"/>
          <w:numId w:val="3"/>
        </w:numPr>
        <w:rPr>
          <w:szCs w:val="22"/>
        </w:rPr>
      </w:pPr>
      <w:r w:rsidRPr="00577E40">
        <w:rPr>
          <w:szCs w:val="22"/>
        </w:rPr>
        <w:t>The DUSC considered the financial estimates are sensitive to the assumption for cirrhotic patients who receive LDV+SOF as this patient group requires an additional 4 weeks of treatment with an associated higher regimen cost. Should LDV+SOF be prioritised initially on the basis of clinical need to cirrhotic patients, this may increase the net cost of LDV + SOF during the initial years of listing.</w:t>
      </w:r>
    </w:p>
    <w:p w:rsidR="00F33418" w:rsidRPr="00577E40" w:rsidRDefault="00F33418" w:rsidP="00F33418">
      <w:pPr>
        <w:pStyle w:val="ListParagraph"/>
        <w:rPr>
          <w:szCs w:val="22"/>
        </w:rPr>
      </w:pPr>
    </w:p>
    <w:p w:rsidR="00F33418" w:rsidRPr="00577E40" w:rsidRDefault="00F33418" w:rsidP="00B87E17">
      <w:pPr>
        <w:pStyle w:val="ListParagraph"/>
        <w:widowControl/>
        <w:numPr>
          <w:ilvl w:val="1"/>
          <w:numId w:val="3"/>
        </w:numPr>
        <w:rPr>
          <w:szCs w:val="22"/>
        </w:rPr>
      </w:pPr>
      <w:r w:rsidRPr="00577E40">
        <w:rPr>
          <w:szCs w:val="22"/>
        </w:rPr>
        <w:t xml:space="preserve">Taking account of the proposed drug prices, treatment targets in the Fourth National Hepatitis C Strategy and assuming that care continues to be delivered through specialist treatment centres, DUSC estimated the following number of patients of all genotypes would be treated over the first five years of listing at a net cost to the PBS/RPBS of </w:t>
      </w:r>
      <w:r w:rsidR="00134998">
        <w:rPr>
          <w:szCs w:val="22"/>
        </w:rPr>
        <w:t xml:space="preserve">approximately </w:t>
      </w:r>
      <w:r w:rsidRPr="00577E40">
        <w:rPr>
          <w:szCs w:val="22"/>
        </w:rPr>
        <w:t>$3 billion over five years.</w:t>
      </w:r>
    </w:p>
    <w:p w:rsidR="00F33418" w:rsidRPr="00577E40" w:rsidRDefault="00F33418" w:rsidP="00F33418">
      <w:pPr>
        <w:pStyle w:val="ListParagraph"/>
        <w:rPr>
          <w:szCs w:val="22"/>
        </w:rPr>
      </w:pPr>
    </w:p>
    <w:tbl>
      <w:tblPr>
        <w:tblStyle w:val="TableGrid"/>
        <w:tblW w:w="0" w:type="auto"/>
        <w:tblInd w:w="817" w:type="dxa"/>
        <w:tblLook w:val="04A0" w:firstRow="1" w:lastRow="0" w:firstColumn="1" w:lastColumn="0" w:noHBand="0" w:noVBand="1"/>
      </w:tblPr>
      <w:tblGrid>
        <w:gridCol w:w="1464"/>
        <w:gridCol w:w="1695"/>
        <w:gridCol w:w="1695"/>
        <w:gridCol w:w="1695"/>
        <w:gridCol w:w="1814"/>
      </w:tblGrid>
      <w:tr w:rsidR="00F33418" w:rsidRPr="00577E40" w:rsidTr="009F1109">
        <w:tc>
          <w:tcPr>
            <w:tcW w:w="1464" w:type="dxa"/>
          </w:tcPr>
          <w:p w:rsidR="00F33418" w:rsidRPr="00577E40" w:rsidRDefault="00F33418" w:rsidP="00F33418">
            <w:pPr>
              <w:jc w:val="center"/>
              <w:rPr>
                <w:rFonts w:cs="Times New Roman"/>
                <w:b/>
                <w:sz w:val="20"/>
              </w:rPr>
            </w:pPr>
            <w:r w:rsidRPr="00577E40">
              <w:rPr>
                <w:rFonts w:cs="Times New Roman"/>
                <w:b/>
                <w:sz w:val="20"/>
              </w:rPr>
              <w:t>Year 1</w:t>
            </w:r>
          </w:p>
        </w:tc>
        <w:tc>
          <w:tcPr>
            <w:tcW w:w="1695" w:type="dxa"/>
          </w:tcPr>
          <w:p w:rsidR="00F33418" w:rsidRPr="00577E40" w:rsidRDefault="00F33418" w:rsidP="00F33418">
            <w:pPr>
              <w:jc w:val="center"/>
              <w:rPr>
                <w:rFonts w:cs="Times New Roman"/>
                <w:b/>
                <w:sz w:val="20"/>
              </w:rPr>
            </w:pPr>
            <w:r w:rsidRPr="00577E40">
              <w:rPr>
                <w:rFonts w:cs="Times New Roman"/>
                <w:b/>
                <w:sz w:val="20"/>
              </w:rPr>
              <w:t>Year 2</w:t>
            </w:r>
          </w:p>
        </w:tc>
        <w:tc>
          <w:tcPr>
            <w:tcW w:w="1695" w:type="dxa"/>
          </w:tcPr>
          <w:p w:rsidR="00F33418" w:rsidRPr="00577E40" w:rsidRDefault="00F33418" w:rsidP="00F33418">
            <w:pPr>
              <w:jc w:val="center"/>
              <w:rPr>
                <w:rFonts w:cs="Times New Roman"/>
                <w:b/>
                <w:sz w:val="20"/>
              </w:rPr>
            </w:pPr>
            <w:r w:rsidRPr="00577E40">
              <w:rPr>
                <w:rFonts w:cs="Times New Roman"/>
                <w:b/>
                <w:sz w:val="20"/>
              </w:rPr>
              <w:t>Year 3</w:t>
            </w:r>
          </w:p>
        </w:tc>
        <w:tc>
          <w:tcPr>
            <w:tcW w:w="1695" w:type="dxa"/>
          </w:tcPr>
          <w:p w:rsidR="00F33418" w:rsidRPr="00577E40" w:rsidRDefault="00F33418" w:rsidP="00F33418">
            <w:pPr>
              <w:jc w:val="center"/>
              <w:rPr>
                <w:rFonts w:cs="Times New Roman"/>
                <w:b/>
                <w:sz w:val="20"/>
              </w:rPr>
            </w:pPr>
            <w:r w:rsidRPr="00577E40">
              <w:rPr>
                <w:rFonts w:cs="Times New Roman"/>
                <w:b/>
                <w:sz w:val="20"/>
              </w:rPr>
              <w:t>Year 4</w:t>
            </w:r>
          </w:p>
        </w:tc>
        <w:tc>
          <w:tcPr>
            <w:tcW w:w="1814" w:type="dxa"/>
          </w:tcPr>
          <w:p w:rsidR="00F33418" w:rsidRPr="00577E40" w:rsidRDefault="00F33418" w:rsidP="00F33418">
            <w:pPr>
              <w:jc w:val="center"/>
              <w:rPr>
                <w:rFonts w:cs="Times New Roman"/>
                <w:b/>
                <w:sz w:val="20"/>
              </w:rPr>
            </w:pPr>
            <w:r w:rsidRPr="00577E40">
              <w:rPr>
                <w:rFonts w:cs="Times New Roman"/>
                <w:b/>
                <w:sz w:val="20"/>
              </w:rPr>
              <w:t>Year 5</w:t>
            </w:r>
          </w:p>
        </w:tc>
      </w:tr>
      <w:tr w:rsidR="00F33418" w:rsidRPr="00577E40" w:rsidTr="009F1109">
        <w:tc>
          <w:tcPr>
            <w:tcW w:w="1464" w:type="dxa"/>
          </w:tcPr>
          <w:p w:rsidR="00F33418" w:rsidRPr="00577E40" w:rsidRDefault="00F33418" w:rsidP="00F33418">
            <w:pPr>
              <w:jc w:val="center"/>
              <w:rPr>
                <w:rFonts w:cs="Times New Roman"/>
                <w:sz w:val="20"/>
              </w:rPr>
            </w:pPr>
            <w:r w:rsidRPr="00577E40">
              <w:rPr>
                <w:rFonts w:cs="Times New Roman"/>
                <w:sz w:val="20"/>
              </w:rPr>
              <w:t>6,600</w:t>
            </w:r>
          </w:p>
        </w:tc>
        <w:tc>
          <w:tcPr>
            <w:tcW w:w="1695" w:type="dxa"/>
          </w:tcPr>
          <w:p w:rsidR="00F33418" w:rsidRPr="00577E40" w:rsidRDefault="00F33418" w:rsidP="00F33418">
            <w:pPr>
              <w:jc w:val="center"/>
              <w:rPr>
                <w:rFonts w:cs="Times New Roman"/>
                <w:sz w:val="20"/>
              </w:rPr>
            </w:pPr>
            <w:r w:rsidRPr="00577E40">
              <w:rPr>
                <w:rFonts w:cs="Times New Roman"/>
                <w:sz w:val="20"/>
              </w:rPr>
              <w:t>9,900</w:t>
            </w:r>
          </w:p>
        </w:tc>
        <w:tc>
          <w:tcPr>
            <w:tcW w:w="1695" w:type="dxa"/>
          </w:tcPr>
          <w:p w:rsidR="00F33418" w:rsidRPr="00577E40" w:rsidRDefault="00F33418" w:rsidP="00F33418">
            <w:pPr>
              <w:jc w:val="center"/>
              <w:rPr>
                <w:rFonts w:cs="Times New Roman"/>
                <w:sz w:val="20"/>
              </w:rPr>
            </w:pPr>
            <w:r w:rsidRPr="00577E40">
              <w:rPr>
                <w:rFonts w:cs="Times New Roman"/>
                <w:sz w:val="20"/>
              </w:rPr>
              <w:t>15,000</w:t>
            </w:r>
          </w:p>
        </w:tc>
        <w:tc>
          <w:tcPr>
            <w:tcW w:w="1695" w:type="dxa"/>
          </w:tcPr>
          <w:p w:rsidR="00F33418" w:rsidRPr="00577E40" w:rsidRDefault="00F33418" w:rsidP="00F33418">
            <w:pPr>
              <w:jc w:val="center"/>
              <w:rPr>
                <w:rFonts w:cs="Times New Roman"/>
                <w:sz w:val="20"/>
              </w:rPr>
            </w:pPr>
            <w:r w:rsidRPr="00577E40">
              <w:rPr>
                <w:rFonts w:cs="Times New Roman"/>
                <w:sz w:val="20"/>
              </w:rPr>
              <w:t>15,000</w:t>
            </w:r>
          </w:p>
        </w:tc>
        <w:tc>
          <w:tcPr>
            <w:tcW w:w="1814" w:type="dxa"/>
          </w:tcPr>
          <w:p w:rsidR="00F33418" w:rsidRPr="00577E40" w:rsidRDefault="00F33418" w:rsidP="00F33418">
            <w:pPr>
              <w:jc w:val="center"/>
              <w:rPr>
                <w:rFonts w:cs="Times New Roman"/>
                <w:sz w:val="20"/>
              </w:rPr>
            </w:pPr>
            <w:r w:rsidRPr="00577E40">
              <w:rPr>
                <w:rFonts w:cs="Times New Roman"/>
                <w:sz w:val="20"/>
              </w:rPr>
              <w:t>15,000</w:t>
            </w:r>
          </w:p>
        </w:tc>
      </w:tr>
    </w:tbl>
    <w:p w:rsidR="00F33418" w:rsidRDefault="00F33418" w:rsidP="00F33418">
      <w:pPr>
        <w:pStyle w:val="ListParagraph"/>
        <w:keepNext/>
        <w:tabs>
          <w:tab w:val="left" w:pos="7920"/>
        </w:tabs>
        <w:ind w:left="360"/>
        <w:rPr>
          <w:szCs w:val="22"/>
        </w:rPr>
      </w:pPr>
    </w:p>
    <w:p w:rsidR="00013137" w:rsidRPr="00650851" w:rsidRDefault="00013137" w:rsidP="00013137">
      <w:pPr>
        <w:pStyle w:val="ListParagraph"/>
        <w:widowControl/>
        <w:numPr>
          <w:ilvl w:val="1"/>
          <w:numId w:val="3"/>
        </w:numPr>
      </w:pPr>
      <w:r w:rsidRPr="00650851">
        <w:rPr>
          <w:rFonts w:ascii="Arial Narrow" w:hAnsi="Arial Narrow"/>
          <w:bCs/>
          <w:sz w:val="24"/>
        </w:rPr>
        <w:t xml:space="preserve">The </w:t>
      </w:r>
      <w:r w:rsidRPr="00650851">
        <w:rPr>
          <w:bCs/>
          <w:szCs w:val="22"/>
        </w:rPr>
        <w:t xml:space="preserve">PBAC noted the DUSC advice on the item. The PBAC was of the view that the DUSC estimates for patients likely to be treated were appropriate. At year 1, the estimated number of patients with any HCV genotype was </w:t>
      </w:r>
      <w:r w:rsidRPr="003F0A8D">
        <w:rPr>
          <w:bCs/>
          <w:szCs w:val="22"/>
        </w:rPr>
        <w:t>6,660</w:t>
      </w:r>
      <w:r w:rsidRPr="00650851">
        <w:rPr>
          <w:bCs/>
          <w:szCs w:val="22"/>
        </w:rPr>
        <w:t xml:space="preserve"> and the net cost to the PBS would be approximately </w:t>
      </w:r>
      <w:r w:rsidR="003F0A8D" w:rsidRPr="003F0A8D">
        <w:rPr>
          <w:bCs/>
          <w:szCs w:val="22"/>
        </w:rPr>
        <w:t>more than $100 million</w:t>
      </w:r>
      <w:r w:rsidRPr="00650851">
        <w:rPr>
          <w:bCs/>
          <w:szCs w:val="22"/>
        </w:rPr>
        <w:t xml:space="preserve">, if based on the cost per treatment considered cost-effective by the PBAC. At year 5, the estimated number of patients was 15,000 and the net cost to the PBS would be approximately </w:t>
      </w:r>
      <w:r w:rsidR="00BE3497" w:rsidRPr="003F0A8D">
        <w:rPr>
          <w:bCs/>
          <w:szCs w:val="22"/>
        </w:rPr>
        <w:t>more than $100 million</w:t>
      </w:r>
      <w:r w:rsidRPr="00650851">
        <w:rPr>
          <w:bCs/>
          <w:szCs w:val="22"/>
        </w:rPr>
        <w:t xml:space="preserve">. Over 5 years, it is estimated that approximately 61 500 patients would be treated, and the net cost would be </w:t>
      </w:r>
      <w:r w:rsidR="000C2DE5" w:rsidRPr="000C2DE5">
        <w:rPr>
          <w:bCs/>
          <w:szCs w:val="22"/>
        </w:rPr>
        <w:t>more than $100 million</w:t>
      </w:r>
      <w:r w:rsidRPr="00650851">
        <w:rPr>
          <w:bCs/>
          <w:szCs w:val="22"/>
        </w:rPr>
        <w:t>. The PBAC noted that currently approximately $87.5 million is spent on treatments for CHC, while, if the health system had the capacity, to treat all CHC patients over 5 years, the cost would be over $5,000 million.</w:t>
      </w:r>
      <w:r w:rsidRPr="00650851">
        <w:rPr>
          <w:rFonts w:ascii="Arial Narrow" w:hAnsi="Arial Narrow"/>
          <w:bCs/>
          <w:sz w:val="24"/>
        </w:rPr>
        <w:t xml:space="preserve"> </w:t>
      </w:r>
    </w:p>
    <w:p w:rsidR="00400F59" w:rsidRDefault="00400F59" w:rsidP="00400F59">
      <w:pPr>
        <w:pStyle w:val="PBACHeading1"/>
        <w:numPr>
          <w:ilvl w:val="0"/>
          <w:numId w:val="0"/>
        </w:numPr>
        <w:ind w:left="720" w:hanging="720"/>
      </w:pPr>
    </w:p>
    <w:p w:rsidR="00400F59" w:rsidRPr="00B8483F" w:rsidRDefault="00400F59" w:rsidP="00AF78AC">
      <w:pPr>
        <w:pStyle w:val="Heading2"/>
      </w:pPr>
      <w:bookmarkStart w:id="27" w:name="_Toc409521740"/>
      <w:r w:rsidRPr="00B8483F">
        <w:t>Financial Management – Special Pricing and Risk Sharing Arrangements</w:t>
      </w:r>
      <w:bookmarkEnd w:id="27"/>
    </w:p>
    <w:p w:rsidR="00400F59" w:rsidRPr="002D56FF" w:rsidRDefault="00400F59" w:rsidP="00400F59">
      <w:pPr>
        <w:pStyle w:val="PBACheading10"/>
        <w:ind w:left="0" w:firstLine="0"/>
      </w:pPr>
    </w:p>
    <w:p w:rsidR="00400F59" w:rsidRDefault="00400F59" w:rsidP="00B87E17">
      <w:pPr>
        <w:pStyle w:val="ListParagraph"/>
        <w:widowControl/>
        <w:numPr>
          <w:ilvl w:val="1"/>
          <w:numId w:val="3"/>
        </w:numPr>
      </w:pPr>
      <w:r>
        <w:t xml:space="preserve">The PBAC noted the estimates of patients being treated presented in the DUSC advice, based on treatment targets in the Fourth National Hepatitis C Strategy 2014-2017 and assuming that care continues to be delivered through specialist treatment centres. The PBAC noted initiatives to support a greater role of primary care in the prescribing. Though the magnitude of this uptake is unknown, the PBAC considered that it was reasonable to assume that the estimates from DUSC over the next 5 years would remain appropriate in the context of a General Schedule listing, given that treatment would initially continue in specialist treatment centres; and that the uptake by general practitioners to become accredited to manage HCV may be low as noted in the NSW Hepatitis C Strategy 2014-2020. The PBAC recommended a Risk Share Arrangement (RSA). </w:t>
      </w:r>
    </w:p>
    <w:p w:rsidR="00400F59" w:rsidRDefault="00400F59" w:rsidP="00400F59">
      <w:pPr>
        <w:pStyle w:val="PBACheading10"/>
        <w:ind w:left="0" w:firstLine="0"/>
      </w:pPr>
    </w:p>
    <w:p w:rsidR="00AC071D" w:rsidRPr="00135412" w:rsidRDefault="00400F59" w:rsidP="00135412">
      <w:pPr>
        <w:pStyle w:val="ListParagraph"/>
        <w:widowControl/>
        <w:numPr>
          <w:ilvl w:val="1"/>
          <w:numId w:val="3"/>
        </w:numPr>
        <w:rPr>
          <w:szCs w:val="22"/>
        </w:rPr>
      </w:pPr>
      <w:r>
        <w:t xml:space="preserve">The PBAC recommended that the RSA should consist of a cap on expenditure, with a 100% rebate for budget certainty. The cap on expenditure should be based on the DUSC estimates. The PBAC considered that the advice received from the Australian Liver Association, namely </w:t>
      </w:r>
      <w:proofErr w:type="spellStart"/>
      <w:r>
        <w:t>Bruggmann</w:t>
      </w:r>
      <w:proofErr w:type="spellEnd"/>
      <w:r>
        <w:t xml:space="preserve"> et al. (2014), was the most appropriate the source of HCV genotype distribution in Australia.  The Committee recommended that the Department negotiate RSAs based on DUSC estimates of the patient population and treatment course per patient for each medicine, in a manner that can be implemented and managed by the Department.  The PBAC emphasised the importance of ensuring that these arrangements can be implemented in a way that would manage the overall cost to the Commonwealth for these medicines. Currently, the sponsors of SOF, LDV/SOF, and other sponsors of HCV treatments used in combination with SOF would be part of such agreement.</w:t>
      </w:r>
    </w:p>
    <w:p w:rsidR="00117E32" w:rsidRDefault="00117E32" w:rsidP="00117E32">
      <w:pPr>
        <w:widowControl/>
        <w:rPr>
          <w:szCs w:val="22"/>
        </w:rPr>
      </w:pPr>
    </w:p>
    <w:p w:rsidR="00B8483F" w:rsidRPr="00211254" w:rsidRDefault="00B8483F" w:rsidP="00117E32">
      <w:pPr>
        <w:widowControl/>
        <w:rPr>
          <w:szCs w:val="22"/>
        </w:rPr>
      </w:pPr>
    </w:p>
    <w:p w:rsidR="00211254" w:rsidRPr="0025173A" w:rsidRDefault="00211254" w:rsidP="00211254">
      <w:pPr>
        <w:pStyle w:val="PBACHeading1"/>
      </w:pPr>
      <w:r w:rsidRPr="0025173A">
        <w:t xml:space="preserve">PBAC Outcome </w:t>
      </w:r>
    </w:p>
    <w:p w:rsidR="00211254" w:rsidRPr="0025173A" w:rsidRDefault="00211254" w:rsidP="00211254">
      <w:pPr>
        <w:widowControl/>
        <w:rPr>
          <w:rFonts w:cs="Times New Roman"/>
          <w:b/>
          <w:snapToGrid/>
          <w:szCs w:val="22"/>
          <w:lang w:eastAsia="en-AU"/>
        </w:rPr>
      </w:pPr>
    </w:p>
    <w:p w:rsidR="00400F59" w:rsidRPr="004B3386" w:rsidRDefault="00400F59" w:rsidP="00EF3365">
      <w:pPr>
        <w:pStyle w:val="ListParagraph"/>
        <w:widowControl/>
        <w:numPr>
          <w:ilvl w:val="1"/>
          <w:numId w:val="3"/>
        </w:numPr>
        <w:rPr>
          <w:lang w:val="en-GB"/>
        </w:rPr>
      </w:pPr>
      <w:r w:rsidRPr="004B3386">
        <w:rPr>
          <w:bCs/>
          <w:szCs w:val="22"/>
          <w:lang w:val="en-GB"/>
        </w:rPr>
        <w:t xml:space="preserve">The PBAC recommended the </w:t>
      </w:r>
      <w:r w:rsidRPr="004B3386">
        <w:rPr>
          <w:szCs w:val="22"/>
        </w:rPr>
        <w:t xml:space="preserve">Authority </w:t>
      </w:r>
      <w:proofErr w:type="gramStart"/>
      <w:r w:rsidRPr="004B3386">
        <w:rPr>
          <w:szCs w:val="22"/>
        </w:rPr>
        <w:t>Required</w:t>
      </w:r>
      <w:proofErr w:type="gramEnd"/>
      <w:r w:rsidRPr="004B3386">
        <w:rPr>
          <w:szCs w:val="22"/>
        </w:rPr>
        <w:t xml:space="preserve"> listing</w:t>
      </w:r>
      <w:r w:rsidRPr="004B3386">
        <w:rPr>
          <w:bCs/>
          <w:szCs w:val="22"/>
          <w:lang w:val="en-GB"/>
        </w:rPr>
        <w:t xml:space="preserve"> of </w:t>
      </w:r>
      <w:proofErr w:type="spellStart"/>
      <w:r w:rsidRPr="004B3386">
        <w:rPr>
          <w:bCs/>
          <w:szCs w:val="22"/>
          <w:lang w:val="en-GB"/>
        </w:rPr>
        <w:t>ledipasvir</w:t>
      </w:r>
      <w:proofErr w:type="spellEnd"/>
      <w:r w:rsidRPr="004B3386">
        <w:rPr>
          <w:bCs/>
          <w:szCs w:val="22"/>
          <w:lang w:val="en-GB"/>
        </w:rPr>
        <w:t>/Sofosbuvir for the treatment of Genotype 1 chronic hepatitis C (CHC) on the basis of cost-effectiveness of the treatment over no treatment.</w:t>
      </w:r>
    </w:p>
    <w:p w:rsidR="00EF3365" w:rsidRPr="004B3386" w:rsidRDefault="00EF3365" w:rsidP="00EF3365">
      <w:pPr>
        <w:pStyle w:val="PBACHeading1"/>
        <w:numPr>
          <w:ilvl w:val="0"/>
          <w:numId w:val="0"/>
        </w:numPr>
        <w:ind w:left="720" w:hanging="720"/>
        <w:rPr>
          <w:lang w:val="en-GB"/>
        </w:rPr>
      </w:pPr>
    </w:p>
    <w:p w:rsidR="00400F59" w:rsidRPr="004B3386" w:rsidRDefault="00400F59" w:rsidP="00EF3365">
      <w:pPr>
        <w:pStyle w:val="ListParagraph"/>
        <w:widowControl/>
        <w:numPr>
          <w:ilvl w:val="1"/>
          <w:numId w:val="3"/>
        </w:numPr>
        <w:rPr>
          <w:bCs/>
          <w:szCs w:val="22"/>
          <w:lang w:val="en-GB"/>
        </w:rPr>
      </w:pPr>
      <w:r w:rsidRPr="004B3386">
        <w:rPr>
          <w:szCs w:val="22"/>
        </w:rPr>
        <w:t>The PBAC</w:t>
      </w:r>
      <w:r w:rsidR="00EF3365" w:rsidRPr="004B3386">
        <w:rPr>
          <w:szCs w:val="22"/>
        </w:rPr>
        <w:t xml:space="preserve"> reiterated that the Committee recognised that new treatments of HCV resulted in high rates of sustained virological response, where the HCV virus could not be detected in the blood of patients 12 weeks after treatment commenced. The PBAC noted that the large number of comments and presentations from patients, health care professionals and organisations highlighted the benefits of the availability of new treatments, particularly IFN-free regimens. </w:t>
      </w:r>
    </w:p>
    <w:p w:rsidR="00400F59" w:rsidRPr="004B3386" w:rsidRDefault="00400F59" w:rsidP="00400F59">
      <w:pPr>
        <w:pStyle w:val="PBACheading10"/>
        <w:rPr>
          <w:lang w:val="en-GB"/>
        </w:rPr>
      </w:pPr>
    </w:p>
    <w:p w:rsidR="00400F59" w:rsidRPr="004B3386" w:rsidRDefault="00400F59" w:rsidP="00B87E17">
      <w:pPr>
        <w:pStyle w:val="ListParagraph"/>
        <w:widowControl/>
        <w:numPr>
          <w:ilvl w:val="1"/>
          <w:numId w:val="3"/>
        </w:numPr>
        <w:rPr>
          <w:bCs/>
          <w:szCs w:val="22"/>
          <w:lang w:val="en-GB"/>
        </w:rPr>
      </w:pPr>
      <w:r w:rsidRPr="004B3386">
        <w:rPr>
          <w:bCs/>
          <w:szCs w:val="22"/>
        </w:rPr>
        <w:t xml:space="preserve">The PBAC recalled the discussion at the Stakeholder meeting (February 2014) about the setting patients should be treated in. The PBAC considered that it was appropriate that the new all oral treatment to be listed in the General Schedule, to facilitated the longer term objectives for access to treatment, increase treatment rates and outcomes and acknowledging initiatives such as </w:t>
      </w:r>
      <w:r w:rsidRPr="004B3386">
        <w:rPr>
          <w:szCs w:val="22"/>
        </w:rPr>
        <w:t>The Fourth National Hepatitis C Strategy 2014-2017 and NSW Hepatitis C Strategy 2014-2020 to support a greater role of primary care in the prescribing and monitoring of the newer generation of antivirals, that have reduced side effects and more simplified dosing schedules</w:t>
      </w:r>
      <w:r w:rsidRPr="004B3386">
        <w:rPr>
          <w:bCs/>
          <w:szCs w:val="22"/>
        </w:rPr>
        <w:t xml:space="preserve">. The PBAC noted that treatment of patients would initially remain in tertiary settings but expand as clinician experience grows. The PBAC considered that that the Department in consultation with clinical experts should explore if prescribing should be available to practitioners who have gained accreditation (as occurs currently for Section 100 prescribing) or in a Share Care Model (namely, in consultation with a clinician with experience of prescribing treatment for CHC, such as a </w:t>
      </w:r>
      <w:proofErr w:type="spellStart"/>
      <w:r w:rsidRPr="004B3386">
        <w:rPr>
          <w:bCs/>
          <w:szCs w:val="22"/>
        </w:rPr>
        <w:t>hepatologist</w:t>
      </w:r>
      <w:proofErr w:type="spellEnd"/>
      <w:r w:rsidRPr="004B3386">
        <w:rPr>
          <w:bCs/>
          <w:szCs w:val="22"/>
        </w:rPr>
        <w:t xml:space="preserve"> or infectious disease physician). The PBAC considered that an Authority </w:t>
      </w:r>
      <w:proofErr w:type="gramStart"/>
      <w:r w:rsidRPr="004B3386">
        <w:rPr>
          <w:bCs/>
          <w:szCs w:val="22"/>
        </w:rPr>
        <w:t>Required</w:t>
      </w:r>
      <w:proofErr w:type="gramEnd"/>
      <w:r w:rsidRPr="004B3386">
        <w:rPr>
          <w:bCs/>
          <w:szCs w:val="22"/>
        </w:rPr>
        <w:t xml:space="preserve"> listing was appropriate, but whether this Authority is written, telephone or streamlined remains to be finalised.</w:t>
      </w:r>
      <w:r w:rsidR="007765E8">
        <w:rPr>
          <w:bCs/>
          <w:szCs w:val="22"/>
        </w:rPr>
        <w:t xml:space="preserve"> The conditions of the listing would also depend on the final registered Product Information.</w:t>
      </w:r>
    </w:p>
    <w:p w:rsidR="00400F59" w:rsidRPr="004B3386" w:rsidRDefault="00400F59" w:rsidP="00400F59">
      <w:pPr>
        <w:pStyle w:val="PBACheading10"/>
        <w:rPr>
          <w:lang w:val="en-GB"/>
        </w:rPr>
      </w:pPr>
    </w:p>
    <w:p w:rsidR="00400F59" w:rsidRPr="004B3386" w:rsidRDefault="00400F59" w:rsidP="00B87E17">
      <w:pPr>
        <w:pStyle w:val="ListParagraph"/>
        <w:widowControl/>
        <w:numPr>
          <w:ilvl w:val="1"/>
          <w:numId w:val="3"/>
        </w:numPr>
        <w:rPr>
          <w:bCs/>
          <w:szCs w:val="22"/>
          <w:lang w:val="en-GB"/>
        </w:rPr>
      </w:pPr>
      <w:r w:rsidRPr="004B3386">
        <w:rPr>
          <w:bCs/>
          <w:szCs w:val="22"/>
        </w:rPr>
        <w:t xml:space="preserve">The submissions proposed the current active treatments as the comparator. The PBAC reiterated their view that the appropriate comparator, when the submission </w:t>
      </w:r>
      <w:r w:rsidRPr="004B3386">
        <w:rPr>
          <w:bCs/>
          <w:szCs w:val="22"/>
        </w:rPr>
        <w:lastRenderedPageBreak/>
        <w:t xml:space="preserve">was lodged, was no treatment in view of the broader context of infected individuals whose treatment preference is interferon-free therapies. </w:t>
      </w:r>
    </w:p>
    <w:p w:rsidR="00400F59" w:rsidRPr="004B3386" w:rsidRDefault="00400F59" w:rsidP="00400F59">
      <w:pPr>
        <w:pStyle w:val="PBACheading10"/>
        <w:ind w:left="0" w:firstLine="0"/>
        <w:rPr>
          <w:lang w:val="en-GB"/>
        </w:rPr>
      </w:pPr>
    </w:p>
    <w:p w:rsidR="00400F59" w:rsidRPr="004B3386" w:rsidRDefault="00400F59" w:rsidP="00B87E17">
      <w:pPr>
        <w:pStyle w:val="ListParagraph"/>
        <w:widowControl/>
        <w:numPr>
          <w:ilvl w:val="1"/>
          <w:numId w:val="3"/>
        </w:numPr>
        <w:rPr>
          <w:bCs/>
          <w:szCs w:val="22"/>
          <w:lang w:val="en-GB"/>
        </w:rPr>
      </w:pPr>
      <w:r w:rsidRPr="004B3386">
        <w:rPr>
          <w:bCs/>
          <w:szCs w:val="22"/>
        </w:rPr>
        <w:t xml:space="preserve">The PBAC considered that the comparative magnitude of the benefit (SVR12) of the treatment presented in the submission was uncertain due to the reliance on single arm trials, some of which involved small number of patients. The PBAC </w:t>
      </w:r>
      <w:r w:rsidR="00134998">
        <w:rPr>
          <w:bCs/>
          <w:szCs w:val="22"/>
        </w:rPr>
        <w:t>was of</w:t>
      </w:r>
      <w:r w:rsidRPr="004B3386">
        <w:rPr>
          <w:bCs/>
          <w:szCs w:val="22"/>
        </w:rPr>
        <w:t xml:space="preserve"> the view that the evidence provided in the submission was the best available as the development programs of DAA has been based predominately on single arm trials.</w:t>
      </w:r>
    </w:p>
    <w:p w:rsidR="006F7F29" w:rsidRPr="004B3386" w:rsidRDefault="006F7F29" w:rsidP="006F7F29">
      <w:pPr>
        <w:widowControl/>
        <w:rPr>
          <w:bCs/>
          <w:szCs w:val="22"/>
          <w:lang w:val="en-GB"/>
        </w:rPr>
      </w:pPr>
    </w:p>
    <w:p w:rsidR="00400F59" w:rsidRPr="004B3386" w:rsidRDefault="00400F59" w:rsidP="00B87E17">
      <w:pPr>
        <w:pStyle w:val="ListParagraph"/>
        <w:widowControl/>
        <w:numPr>
          <w:ilvl w:val="1"/>
          <w:numId w:val="3"/>
        </w:numPr>
        <w:rPr>
          <w:bCs/>
          <w:szCs w:val="22"/>
          <w:lang w:val="en-GB"/>
        </w:rPr>
      </w:pPr>
      <w:r w:rsidRPr="004B3386">
        <w:rPr>
          <w:szCs w:val="22"/>
        </w:rPr>
        <w:t xml:space="preserve">The PBAC considered that the claim of superior comparative effectiveness and inferior comparative safety to no treatment was reasonably support by the data in the submission </w:t>
      </w:r>
    </w:p>
    <w:p w:rsidR="00400F59" w:rsidRPr="004B3386" w:rsidRDefault="00400F59" w:rsidP="00400F59">
      <w:pPr>
        <w:pStyle w:val="PBACheading10"/>
        <w:rPr>
          <w:lang w:val="en-GB"/>
        </w:rPr>
      </w:pPr>
    </w:p>
    <w:p w:rsidR="00400F59" w:rsidRPr="004B3386" w:rsidRDefault="00400F59" w:rsidP="00B87E17">
      <w:pPr>
        <w:pStyle w:val="ListParagraph"/>
        <w:widowControl/>
        <w:numPr>
          <w:ilvl w:val="1"/>
          <w:numId w:val="3"/>
        </w:numPr>
        <w:rPr>
          <w:bCs/>
          <w:szCs w:val="22"/>
          <w:lang w:val="en-GB"/>
        </w:rPr>
      </w:pPr>
      <w:r w:rsidRPr="004B3386">
        <w:rPr>
          <w:bCs/>
          <w:szCs w:val="22"/>
        </w:rPr>
        <w:t>The PBAC accepted the structure of the economic model presented in the submission but considered that the base case should be respecified to that suggested by the ESC.</w:t>
      </w:r>
    </w:p>
    <w:p w:rsidR="00400F59" w:rsidRPr="004B3386" w:rsidRDefault="00400F59" w:rsidP="00400F59">
      <w:pPr>
        <w:pStyle w:val="PBACheading10"/>
        <w:ind w:left="0" w:firstLine="0"/>
        <w:rPr>
          <w:lang w:val="en-GB"/>
        </w:rPr>
      </w:pPr>
    </w:p>
    <w:p w:rsidR="00400F59" w:rsidRPr="004B3386" w:rsidRDefault="00400F59" w:rsidP="00B87E17">
      <w:pPr>
        <w:pStyle w:val="ListParagraph"/>
        <w:widowControl/>
        <w:numPr>
          <w:ilvl w:val="1"/>
          <w:numId w:val="3"/>
        </w:numPr>
        <w:rPr>
          <w:bCs/>
          <w:szCs w:val="22"/>
          <w:lang w:val="en-GB"/>
        </w:rPr>
      </w:pPr>
      <w:r w:rsidRPr="004B3386">
        <w:rPr>
          <w:bCs/>
          <w:szCs w:val="22"/>
        </w:rPr>
        <w:t xml:space="preserve"> The PBAC noted the DUSC advice on the item. The PBAC accepted the estimates of patient numbers. Based on the cost per treatment in the acceptable range of cost-effectiveness:  At year 1, the estimated number of patients was 6,660 and the net cost to the PBS would be approximately </w:t>
      </w:r>
      <w:r w:rsidR="00986563" w:rsidRPr="000C2DE5">
        <w:rPr>
          <w:bCs/>
          <w:szCs w:val="22"/>
        </w:rPr>
        <w:t>more than $100 million</w:t>
      </w:r>
      <w:r w:rsidRPr="004B3386">
        <w:rPr>
          <w:bCs/>
          <w:szCs w:val="22"/>
        </w:rPr>
        <w:t xml:space="preserve">. At year 5, the estimated number of patients was 15,000 and the net cost to the PBS would be approximately </w:t>
      </w:r>
      <w:r w:rsidR="00986563" w:rsidRPr="000C2DE5">
        <w:rPr>
          <w:bCs/>
          <w:szCs w:val="22"/>
        </w:rPr>
        <w:t>more than $100 million</w:t>
      </w:r>
      <w:r w:rsidRPr="004B3386">
        <w:rPr>
          <w:bCs/>
          <w:szCs w:val="22"/>
        </w:rPr>
        <w:t xml:space="preserve">. Over 5 year, it is estimated that approximately 61 500 patients would be treated, and the net cost would be </w:t>
      </w:r>
      <w:r w:rsidR="00986563" w:rsidRPr="000C2DE5">
        <w:rPr>
          <w:bCs/>
          <w:szCs w:val="22"/>
        </w:rPr>
        <w:t>more than $100 million</w:t>
      </w:r>
      <w:r w:rsidRPr="004B3386">
        <w:rPr>
          <w:bCs/>
          <w:szCs w:val="22"/>
        </w:rPr>
        <w:t xml:space="preserve">. </w:t>
      </w:r>
    </w:p>
    <w:p w:rsidR="00400F59" w:rsidRPr="004B3386" w:rsidRDefault="00400F59" w:rsidP="00400F59">
      <w:pPr>
        <w:pStyle w:val="PBACheading10"/>
        <w:ind w:left="0" w:firstLine="0"/>
        <w:rPr>
          <w:lang w:val="en-GB"/>
        </w:rPr>
      </w:pPr>
    </w:p>
    <w:p w:rsidR="00400F59" w:rsidRPr="009C2115" w:rsidRDefault="00400F59" w:rsidP="009C2115">
      <w:pPr>
        <w:pStyle w:val="ListParagraph"/>
        <w:widowControl/>
        <w:numPr>
          <w:ilvl w:val="1"/>
          <w:numId w:val="3"/>
        </w:numPr>
        <w:rPr>
          <w:lang w:val="en-GB"/>
        </w:rPr>
      </w:pPr>
      <w:r w:rsidRPr="009C2115">
        <w:rPr>
          <w:bCs/>
          <w:szCs w:val="22"/>
        </w:rPr>
        <w:t>The PBAC noted that</w:t>
      </w:r>
      <w:r w:rsidR="009C2115">
        <w:rPr>
          <w:bCs/>
          <w:szCs w:val="22"/>
        </w:rPr>
        <w:t xml:space="preserve">, of the all oral treatments, </w:t>
      </w:r>
      <w:r w:rsidRPr="009C2115">
        <w:rPr>
          <w:bCs/>
          <w:szCs w:val="22"/>
        </w:rPr>
        <w:t>as a single-sponsor combination</w:t>
      </w:r>
      <w:r w:rsidR="009C2115">
        <w:rPr>
          <w:bCs/>
          <w:szCs w:val="22"/>
        </w:rPr>
        <w:t xml:space="preserve"> treatment </w:t>
      </w:r>
      <w:proofErr w:type="spellStart"/>
      <w:r w:rsidR="003B4821">
        <w:rPr>
          <w:bCs/>
          <w:szCs w:val="22"/>
        </w:rPr>
        <w:t>ledipasvir</w:t>
      </w:r>
      <w:proofErr w:type="spellEnd"/>
      <w:r w:rsidR="003B4821">
        <w:rPr>
          <w:bCs/>
          <w:szCs w:val="22"/>
        </w:rPr>
        <w:t>/</w:t>
      </w:r>
      <w:r w:rsidR="003B4821" w:rsidRPr="004B3386">
        <w:rPr>
          <w:bCs/>
          <w:szCs w:val="22"/>
        </w:rPr>
        <w:t xml:space="preserve">sofosbuvir </w:t>
      </w:r>
      <w:r w:rsidR="009C2115">
        <w:rPr>
          <w:bCs/>
          <w:szCs w:val="22"/>
        </w:rPr>
        <w:t xml:space="preserve">is likely to </w:t>
      </w:r>
      <w:r w:rsidRPr="009C2115">
        <w:rPr>
          <w:bCs/>
          <w:szCs w:val="22"/>
        </w:rPr>
        <w:t xml:space="preserve">be the first treatment to be negotiated for listing on the PBS. </w:t>
      </w:r>
    </w:p>
    <w:p w:rsidR="009C2115" w:rsidRPr="009C2115" w:rsidRDefault="009C2115" w:rsidP="009C2115">
      <w:pPr>
        <w:pStyle w:val="ListParagraph"/>
        <w:widowControl/>
        <w:ind w:left="0"/>
        <w:rPr>
          <w:lang w:val="en-GB"/>
        </w:rPr>
      </w:pPr>
    </w:p>
    <w:p w:rsidR="00400F59" w:rsidRPr="004B3386" w:rsidRDefault="00400F59" w:rsidP="00B87E17">
      <w:pPr>
        <w:pStyle w:val="ListParagraph"/>
        <w:widowControl/>
        <w:numPr>
          <w:ilvl w:val="1"/>
          <w:numId w:val="3"/>
        </w:numPr>
        <w:rPr>
          <w:bCs/>
          <w:szCs w:val="22"/>
          <w:lang w:val="en-GB"/>
        </w:rPr>
      </w:pPr>
      <w:r w:rsidRPr="004B3386">
        <w:rPr>
          <w:bCs/>
          <w:szCs w:val="22"/>
        </w:rPr>
        <w:t xml:space="preserve"> </w:t>
      </w:r>
      <w:r w:rsidRPr="004B3386">
        <w:rPr>
          <w:szCs w:val="22"/>
        </w:rPr>
        <w:t xml:space="preserve">In accordance with subsection 101(3BA) of the National Health Act 1953, the PBAC </w:t>
      </w:r>
      <w:r w:rsidRPr="009C2115">
        <w:rPr>
          <w:bCs/>
          <w:szCs w:val="22"/>
        </w:rPr>
        <w:t>advised</w:t>
      </w:r>
      <w:r w:rsidRPr="004B3386">
        <w:rPr>
          <w:szCs w:val="22"/>
        </w:rPr>
        <w:t xml:space="preserve"> that the Committee is of the opinion that, on the basis of the material available at the March 2015 meeting, </w:t>
      </w:r>
      <w:proofErr w:type="spellStart"/>
      <w:r w:rsidR="003B4821">
        <w:rPr>
          <w:bCs/>
          <w:szCs w:val="22"/>
        </w:rPr>
        <w:t>ledipasvir</w:t>
      </w:r>
      <w:proofErr w:type="spellEnd"/>
      <w:r w:rsidR="003B4821">
        <w:rPr>
          <w:bCs/>
          <w:szCs w:val="22"/>
        </w:rPr>
        <w:t>/</w:t>
      </w:r>
      <w:r w:rsidR="003B4821" w:rsidRPr="004B3386">
        <w:rPr>
          <w:bCs/>
          <w:szCs w:val="22"/>
        </w:rPr>
        <w:t xml:space="preserve">sofosbuvir </w:t>
      </w:r>
      <w:r w:rsidR="003B4821">
        <w:rPr>
          <w:szCs w:val="22"/>
        </w:rPr>
        <w:t>should not be treated as interchangeable with other recommended treatments of CHC</w:t>
      </w:r>
      <w:r w:rsidR="00134998">
        <w:rPr>
          <w:szCs w:val="22"/>
        </w:rPr>
        <w:t xml:space="preserve"> on an individual patient basis</w:t>
      </w:r>
      <w:r w:rsidRPr="004B3386">
        <w:rPr>
          <w:szCs w:val="22"/>
        </w:rPr>
        <w:t>.</w:t>
      </w:r>
    </w:p>
    <w:p w:rsidR="00400F59" w:rsidRPr="004B3386" w:rsidRDefault="00400F59" w:rsidP="00400F59">
      <w:pPr>
        <w:pStyle w:val="PBACheading10"/>
        <w:ind w:left="0" w:firstLine="0"/>
        <w:rPr>
          <w:lang w:val="en-GB"/>
        </w:rPr>
      </w:pPr>
    </w:p>
    <w:p w:rsidR="00400F59" w:rsidRPr="004B3386" w:rsidRDefault="006F7F29" w:rsidP="00B87E17">
      <w:pPr>
        <w:pStyle w:val="ListParagraph"/>
        <w:widowControl/>
        <w:numPr>
          <w:ilvl w:val="1"/>
          <w:numId w:val="3"/>
        </w:numPr>
        <w:rPr>
          <w:bCs/>
          <w:szCs w:val="22"/>
          <w:lang w:val="en-GB"/>
        </w:rPr>
      </w:pPr>
      <w:r w:rsidRPr="004B3386">
        <w:rPr>
          <w:bCs/>
          <w:szCs w:val="22"/>
        </w:rPr>
        <w:t xml:space="preserve">The PBAC noted that suitability of prescribing </w:t>
      </w:r>
      <w:proofErr w:type="spellStart"/>
      <w:r w:rsidR="000D6F9E">
        <w:rPr>
          <w:bCs/>
          <w:szCs w:val="22"/>
        </w:rPr>
        <w:t>ledipasvir</w:t>
      </w:r>
      <w:proofErr w:type="spellEnd"/>
      <w:r w:rsidR="000D6F9E">
        <w:rPr>
          <w:bCs/>
          <w:szCs w:val="22"/>
        </w:rPr>
        <w:t>/</w:t>
      </w:r>
      <w:r w:rsidRPr="004B3386">
        <w:rPr>
          <w:bCs/>
          <w:szCs w:val="22"/>
        </w:rPr>
        <w:t xml:space="preserve">sofosbuvir by nurse practitioners would depend on the final listing conditions of </w:t>
      </w:r>
      <w:proofErr w:type="spellStart"/>
      <w:r w:rsidR="000D6F9E">
        <w:rPr>
          <w:bCs/>
          <w:szCs w:val="22"/>
        </w:rPr>
        <w:t>ledipasvir</w:t>
      </w:r>
      <w:proofErr w:type="spellEnd"/>
      <w:r w:rsidR="000D6F9E">
        <w:rPr>
          <w:bCs/>
          <w:szCs w:val="22"/>
        </w:rPr>
        <w:t>/</w:t>
      </w:r>
      <w:r w:rsidRPr="004B3386">
        <w:rPr>
          <w:bCs/>
          <w:szCs w:val="22"/>
        </w:rPr>
        <w:t>sofosbuvir. The PBAC were of a mind that in principle nurse practitioners prescribing was likely to be suitable in the context of a share care model.</w:t>
      </w:r>
      <w:r w:rsidR="00400F59" w:rsidRPr="004B3386">
        <w:rPr>
          <w:szCs w:val="22"/>
        </w:rPr>
        <w:t xml:space="preserve"> </w:t>
      </w:r>
    </w:p>
    <w:p w:rsidR="00400F59" w:rsidRPr="004B3386" w:rsidRDefault="00400F59" w:rsidP="00400F59">
      <w:pPr>
        <w:pStyle w:val="PBACheading10"/>
        <w:ind w:left="0" w:firstLine="0"/>
        <w:rPr>
          <w:lang w:val="en-GB"/>
        </w:rPr>
      </w:pPr>
    </w:p>
    <w:p w:rsidR="00400F59" w:rsidRPr="004B3386" w:rsidRDefault="00400F59" w:rsidP="00B87E17">
      <w:pPr>
        <w:pStyle w:val="ListParagraph"/>
        <w:widowControl/>
        <w:numPr>
          <w:ilvl w:val="1"/>
          <w:numId w:val="3"/>
        </w:numPr>
        <w:rPr>
          <w:bCs/>
          <w:szCs w:val="22"/>
          <w:lang w:val="en-GB"/>
        </w:rPr>
      </w:pPr>
      <w:r w:rsidRPr="004B3386">
        <w:rPr>
          <w:bCs/>
          <w:szCs w:val="22"/>
        </w:rPr>
        <w:t xml:space="preserve">The PBAC recommended that the Safety Net 20 Day Rule should not apply. </w:t>
      </w:r>
    </w:p>
    <w:p w:rsidR="00400F59" w:rsidRPr="004B3386" w:rsidRDefault="00400F59" w:rsidP="00400F59">
      <w:pPr>
        <w:pStyle w:val="PBACheading10"/>
        <w:ind w:left="0" w:firstLine="0"/>
        <w:rPr>
          <w:lang w:val="en-GB"/>
        </w:rPr>
      </w:pPr>
    </w:p>
    <w:p w:rsidR="00400F59" w:rsidRPr="00991494" w:rsidRDefault="00400F59" w:rsidP="00B87E17">
      <w:pPr>
        <w:pStyle w:val="ListParagraph"/>
        <w:widowControl/>
        <w:numPr>
          <w:ilvl w:val="1"/>
          <w:numId w:val="3"/>
        </w:numPr>
        <w:rPr>
          <w:bCs/>
          <w:szCs w:val="22"/>
          <w:lang w:val="en-GB"/>
        </w:rPr>
      </w:pPr>
      <w:r w:rsidRPr="00991494">
        <w:rPr>
          <w:bCs/>
          <w:szCs w:val="22"/>
        </w:rPr>
        <w:t>The resubmission is not eligible for an Independent  Review, because the PBAC made a positive recommendation</w:t>
      </w:r>
    </w:p>
    <w:p w:rsidR="00400F59" w:rsidRPr="00991494" w:rsidRDefault="00400F59" w:rsidP="00400F59">
      <w:pPr>
        <w:widowControl/>
        <w:rPr>
          <w:b/>
          <w:snapToGrid/>
          <w:szCs w:val="22"/>
          <w:lang w:eastAsia="en-AU"/>
        </w:rPr>
      </w:pPr>
    </w:p>
    <w:p w:rsidR="00527193" w:rsidRDefault="00527193" w:rsidP="00527193">
      <w:pPr>
        <w:pStyle w:val="ListParagraph"/>
        <w:widowControl/>
        <w:numPr>
          <w:ilvl w:val="1"/>
          <w:numId w:val="3"/>
        </w:numPr>
        <w:rPr>
          <w:szCs w:val="22"/>
        </w:rPr>
      </w:pPr>
      <w:r w:rsidRPr="00991494">
        <w:rPr>
          <w:szCs w:val="22"/>
        </w:rPr>
        <w:t xml:space="preserve">The PBAC acknowledged that there was a high clinical need for more effective and tolerable treatment for HCV. The PBAC noted that there is a large number (around 230,000) of patients with the chronic HCV who are untreated and that the utilisation of existing listings was low as patients were contraindicated or unwilling to take interferon. Based on the prevalence of HCV and the financial estimate presented in </w:t>
      </w:r>
      <w:r w:rsidRPr="00991494">
        <w:rPr>
          <w:szCs w:val="22"/>
        </w:rPr>
        <w:lastRenderedPageBreak/>
        <w:t xml:space="preserve">the submission, the PBAC considered that there would be a significant opportunity cost to the Commonwealth of listing oral treatments as their uptake would be substantially higher than currently subsidised medicines. The PBAC reiterated its view that the clinical management of individuals with HCV is moving so rapidly that a broader Government and community approach is needed to maximise the clinical outcomes and patient access to treatment. As well as subsidising new </w:t>
      </w:r>
      <w:r w:rsidRPr="00D3497A">
        <w:rPr>
          <w:szCs w:val="22"/>
        </w:rPr>
        <w:t xml:space="preserve">treatment on the PBS, other factors that increase the capacity to treat patients need to be explored. </w:t>
      </w:r>
    </w:p>
    <w:p w:rsidR="00527193" w:rsidRDefault="00527193" w:rsidP="00527193">
      <w:pPr>
        <w:pStyle w:val="ListParagraph"/>
        <w:widowControl/>
        <w:rPr>
          <w:szCs w:val="22"/>
        </w:rPr>
      </w:pPr>
    </w:p>
    <w:p w:rsidR="00527193" w:rsidRPr="0098265F" w:rsidRDefault="00527193" w:rsidP="00527193">
      <w:pPr>
        <w:pStyle w:val="ListParagraph"/>
        <w:widowControl/>
        <w:numPr>
          <w:ilvl w:val="1"/>
          <w:numId w:val="3"/>
        </w:numPr>
        <w:rPr>
          <w:szCs w:val="22"/>
        </w:rPr>
      </w:pPr>
      <w:r w:rsidRPr="0098265F">
        <w:rPr>
          <w:szCs w:val="22"/>
        </w:rPr>
        <w:t>The PBAC wished to advise the Minister that:</w:t>
      </w:r>
    </w:p>
    <w:p w:rsidR="00527193" w:rsidRPr="0098265F" w:rsidRDefault="00527193" w:rsidP="00527193">
      <w:pPr>
        <w:pStyle w:val="ListParagraph"/>
        <w:widowControl/>
        <w:numPr>
          <w:ilvl w:val="0"/>
          <w:numId w:val="13"/>
        </w:numPr>
        <w:spacing w:after="200"/>
        <w:ind w:left="714" w:hanging="357"/>
        <w:jc w:val="left"/>
        <w:rPr>
          <w:szCs w:val="22"/>
        </w:rPr>
      </w:pPr>
      <w:r>
        <w:rPr>
          <w:szCs w:val="22"/>
        </w:rPr>
        <w:t>While interferon</w:t>
      </w:r>
      <w:r w:rsidRPr="00D3497A">
        <w:rPr>
          <w:szCs w:val="22"/>
        </w:rPr>
        <w:t xml:space="preserve">-free oral direct acting antiviral (DAA) agents provide safe and </w:t>
      </w:r>
      <w:r>
        <w:rPr>
          <w:szCs w:val="22"/>
        </w:rPr>
        <w:t>effective</w:t>
      </w:r>
      <w:r w:rsidRPr="00D3497A">
        <w:rPr>
          <w:szCs w:val="22"/>
        </w:rPr>
        <w:t xml:space="preserve"> treatment options for patients with CHC</w:t>
      </w:r>
      <w:r>
        <w:rPr>
          <w:szCs w:val="22"/>
        </w:rPr>
        <w:t>, t</w:t>
      </w:r>
      <w:r w:rsidRPr="0098265F">
        <w:rPr>
          <w:szCs w:val="22"/>
        </w:rPr>
        <w:t xml:space="preserve">here is a substantial opportunity cost associated with </w:t>
      </w:r>
      <w:r>
        <w:rPr>
          <w:szCs w:val="22"/>
        </w:rPr>
        <w:t xml:space="preserve">the potential </w:t>
      </w:r>
      <w:r w:rsidRPr="0098265F">
        <w:rPr>
          <w:szCs w:val="22"/>
        </w:rPr>
        <w:t xml:space="preserve">listing of </w:t>
      </w:r>
      <w:r>
        <w:rPr>
          <w:szCs w:val="22"/>
        </w:rPr>
        <w:t xml:space="preserve">these </w:t>
      </w:r>
      <w:r w:rsidRPr="004B00B5">
        <w:rPr>
          <w:szCs w:val="22"/>
        </w:rPr>
        <w:t xml:space="preserve">medicines. The lower estimate of this opportunity cost is more than $3 billion over 5 years, at </w:t>
      </w:r>
      <w:r>
        <w:rPr>
          <w:szCs w:val="22"/>
        </w:rPr>
        <w:t xml:space="preserve">the </w:t>
      </w:r>
      <w:r w:rsidRPr="004B00B5">
        <w:rPr>
          <w:szCs w:val="22"/>
        </w:rPr>
        <w:t>price</w:t>
      </w:r>
      <w:r>
        <w:rPr>
          <w:szCs w:val="22"/>
        </w:rPr>
        <w:t>s</w:t>
      </w:r>
      <w:r w:rsidRPr="004B00B5">
        <w:rPr>
          <w:szCs w:val="22"/>
        </w:rPr>
        <w:t xml:space="preserve"> proposed in the submissions</w:t>
      </w:r>
      <w:r>
        <w:rPr>
          <w:szCs w:val="22"/>
        </w:rPr>
        <w:t>.</w:t>
      </w:r>
      <w:r w:rsidRPr="004B00B5">
        <w:rPr>
          <w:bCs/>
          <w:szCs w:val="22"/>
        </w:rPr>
        <w:t xml:space="preserve"> </w:t>
      </w:r>
      <w:r w:rsidRPr="004B00B5">
        <w:rPr>
          <w:szCs w:val="22"/>
        </w:rPr>
        <w:t xml:space="preserve">Given this </w:t>
      </w:r>
      <w:r>
        <w:rPr>
          <w:szCs w:val="22"/>
        </w:rPr>
        <w:t xml:space="preserve">large </w:t>
      </w:r>
      <w:r w:rsidRPr="004B00B5">
        <w:rPr>
          <w:szCs w:val="22"/>
        </w:rPr>
        <w:t xml:space="preserve">opportunity cost, the cost of a course of treatment should be set irrespective of the duration, and that other pricing policies </w:t>
      </w:r>
      <w:proofErr w:type="gramStart"/>
      <w:r w:rsidRPr="004B00B5">
        <w:rPr>
          <w:szCs w:val="22"/>
        </w:rPr>
        <w:t>be</w:t>
      </w:r>
      <w:proofErr w:type="gramEnd"/>
      <w:r w:rsidRPr="004B00B5">
        <w:rPr>
          <w:szCs w:val="22"/>
        </w:rPr>
        <w:t xml:space="preserve"> considered</w:t>
      </w:r>
      <w:r>
        <w:rPr>
          <w:szCs w:val="22"/>
        </w:rPr>
        <w:t>.</w:t>
      </w:r>
    </w:p>
    <w:p w:rsidR="00527193" w:rsidRDefault="00527193" w:rsidP="00527193">
      <w:pPr>
        <w:pStyle w:val="ListParagraph"/>
        <w:widowControl/>
        <w:numPr>
          <w:ilvl w:val="0"/>
          <w:numId w:val="13"/>
        </w:numPr>
        <w:spacing w:after="200"/>
        <w:ind w:left="714" w:hanging="357"/>
        <w:jc w:val="left"/>
        <w:rPr>
          <w:szCs w:val="22"/>
        </w:rPr>
      </w:pPr>
      <w:r>
        <w:rPr>
          <w:szCs w:val="22"/>
        </w:rPr>
        <w:t>T</w:t>
      </w:r>
      <w:r w:rsidRPr="00D3497A">
        <w:rPr>
          <w:szCs w:val="22"/>
        </w:rPr>
        <w:t xml:space="preserve">he impact of the new antivirals on </w:t>
      </w:r>
      <w:r>
        <w:rPr>
          <w:szCs w:val="22"/>
        </w:rPr>
        <w:t xml:space="preserve">patients currently infected has been modelled by </w:t>
      </w:r>
      <w:r w:rsidRPr="00D3497A">
        <w:rPr>
          <w:szCs w:val="22"/>
        </w:rPr>
        <w:t>Sievert et al. (2014)</w:t>
      </w:r>
      <w:r>
        <w:rPr>
          <w:szCs w:val="22"/>
        </w:rPr>
        <w:t>. This modelling shows</w:t>
      </w:r>
      <w:r w:rsidRPr="00D3497A">
        <w:rPr>
          <w:szCs w:val="22"/>
        </w:rPr>
        <w:t xml:space="preserve"> that the numbe</w:t>
      </w:r>
      <w:r>
        <w:rPr>
          <w:szCs w:val="22"/>
        </w:rPr>
        <w:t>r of people with chronic hepatitis C (CHC) will be</w:t>
      </w:r>
      <w:r w:rsidRPr="00D3497A">
        <w:rPr>
          <w:szCs w:val="22"/>
        </w:rPr>
        <w:t xml:space="preserve"> reduced by 60% in 2030 compared to the base case of current treatment</w:t>
      </w:r>
      <w:r>
        <w:rPr>
          <w:szCs w:val="22"/>
        </w:rPr>
        <w:t>. The assumptions in the model include</w:t>
      </w:r>
      <w:r w:rsidRPr="00D3497A">
        <w:rPr>
          <w:szCs w:val="22"/>
        </w:rPr>
        <w:t xml:space="preserve"> up to 13,500 people (including all fibrosis stages) are treated annually by 2018</w:t>
      </w:r>
      <w:r>
        <w:rPr>
          <w:szCs w:val="22"/>
        </w:rPr>
        <w:t xml:space="preserve"> and the DAA </w:t>
      </w:r>
      <w:r w:rsidRPr="00D3497A">
        <w:rPr>
          <w:szCs w:val="22"/>
        </w:rPr>
        <w:t xml:space="preserve">agents </w:t>
      </w:r>
      <w:r>
        <w:rPr>
          <w:szCs w:val="22"/>
        </w:rPr>
        <w:t xml:space="preserve">are expected to have rates of </w:t>
      </w:r>
      <w:r w:rsidRPr="00DB78F8">
        <w:rPr>
          <w:szCs w:val="22"/>
        </w:rPr>
        <w:t xml:space="preserve">sustained </w:t>
      </w:r>
      <w:proofErr w:type="spellStart"/>
      <w:r w:rsidRPr="00DB78F8">
        <w:rPr>
          <w:szCs w:val="22"/>
        </w:rPr>
        <w:t>virologic</w:t>
      </w:r>
      <w:proofErr w:type="spellEnd"/>
      <w:r w:rsidRPr="00DB78F8">
        <w:rPr>
          <w:szCs w:val="22"/>
        </w:rPr>
        <w:t xml:space="preserve"> response </w:t>
      </w:r>
      <w:r>
        <w:rPr>
          <w:szCs w:val="22"/>
        </w:rPr>
        <w:t>(</w:t>
      </w:r>
      <w:r w:rsidRPr="00DB78F8">
        <w:rPr>
          <w:szCs w:val="22"/>
        </w:rPr>
        <w:t>measured at 12 weeks</w:t>
      </w:r>
      <w:r>
        <w:rPr>
          <w:szCs w:val="22"/>
        </w:rPr>
        <w:t xml:space="preserve">, </w:t>
      </w:r>
      <w:r w:rsidRPr="001F512E">
        <w:rPr>
          <w:szCs w:val="22"/>
        </w:rPr>
        <w:t>SVR12</w:t>
      </w:r>
      <w:r>
        <w:rPr>
          <w:szCs w:val="22"/>
        </w:rPr>
        <w:t xml:space="preserve">) up </w:t>
      </w:r>
      <w:r w:rsidRPr="00D3497A">
        <w:rPr>
          <w:szCs w:val="22"/>
        </w:rPr>
        <w:t>to 90% for genotype 1 and 80% for genotype 3 by 2016</w:t>
      </w:r>
      <w:r>
        <w:rPr>
          <w:szCs w:val="22"/>
        </w:rPr>
        <w:t xml:space="preserve">.  </w:t>
      </w:r>
      <w:r w:rsidRPr="00D3497A">
        <w:rPr>
          <w:szCs w:val="22"/>
        </w:rPr>
        <w:t xml:space="preserve">The analyses accounted for mortality but did not consider re-infection. </w:t>
      </w:r>
    </w:p>
    <w:p w:rsidR="00527193" w:rsidRPr="009D0D03" w:rsidRDefault="00527193" w:rsidP="00527193">
      <w:pPr>
        <w:pStyle w:val="ListParagraph"/>
        <w:numPr>
          <w:ilvl w:val="0"/>
          <w:numId w:val="13"/>
        </w:numPr>
        <w:rPr>
          <w:szCs w:val="22"/>
        </w:rPr>
      </w:pPr>
      <w:r w:rsidRPr="009D0D03">
        <w:rPr>
          <w:szCs w:val="22"/>
        </w:rPr>
        <w:t xml:space="preserve">Advice from the </w:t>
      </w:r>
      <w:r w:rsidRPr="005606B4">
        <w:rPr>
          <w:szCs w:val="22"/>
        </w:rPr>
        <w:t>Australian Liver Association (ALA)</w:t>
      </w:r>
      <w:r>
        <w:rPr>
          <w:szCs w:val="22"/>
        </w:rPr>
        <w:t xml:space="preserve"> </w:t>
      </w:r>
      <w:r w:rsidRPr="009D0D03">
        <w:rPr>
          <w:szCs w:val="22"/>
        </w:rPr>
        <w:t xml:space="preserve">indicated that of the estimated 233,000 people living with </w:t>
      </w:r>
      <w:r>
        <w:rPr>
          <w:szCs w:val="22"/>
        </w:rPr>
        <w:t>Hepatitis C virus (</w:t>
      </w:r>
      <w:r w:rsidRPr="009D0D03">
        <w:rPr>
          <w:szCs w:val="22"/>
        </w:rPr>
        <w:t>HCV</w:t>
      </w:r>
      <w:r>
        <w:rPr>
          <w:szCs w:val="22"/>
        </w:rPr>
        <w:t>)</w:t>
      </w:r>
      <w:r w:rsidRPr="009D0D03">
        <w:rPr>
          <w:szCs w:val="22"/>
        </w:rPr>
        <w:t>, 193,000 patients have been</w:t>
      </w:r>
      <w:r>
        <w:rPr>
          <w:szCs w:val="22"/>
        </w:rPr>
        <w:t xml:space="preserve"> diagnosed. Listing of oral DAA </w:t>
      </w:r>
      <w:r w:rsidRPr="00D3497A">
        <w:rPr>
          <w:szCs w:val="22"/>
        </w:rPr>
        <w:t xml:space="preserve">agents </w:t>
      </w:r>
      <w:r w:rsidRPr="009D0D03">
        <w:rPr>
          <w:szCs w:val="22"/>
        </w:rPr>
        <w:t xml:space="preserve">may increase public and clinician awareness of the disease potentially leading to increased testing and diagnosis. </w:t>
      </w:r>
    </w:p>
    <w:p w:rsidR="00527193" w:rsidRPr="009D0D03" w:rsidRDefault="00527193" w:rsidP="00527193">
      <w:pPr>
        <w:pStyle w:val="ListParagraph"/>
        <w:numPr>
          <w:ilvl w:val="0"/>
          <w:numId w:val="13"/>
        </w:numPr>
        <w:rPr>
          <w:szCs w:val="22"/>
        </w:rPr>
      </w:pPr>
      <w:r>
        <w:rPr>
          <w:szCs w:val="22"/>
        </w:rPr>
        <w:t>T</w:t>
      </w:r>
      <w:r w:rsidRPr="009D0D03">
        <w:rPr>
          <w:szCs w:val="22"/>
        </w:rPr>
        <w:t>he DUSC analysis</w:t>
      </w:r>
      <w:r>
        <w:rPr>
          <w:szCs w:val="22"/>
        </w:rPr>
        <w:t xml:space="preserve"> shows</w:t>
      </w:r>
      <w:r w:rsidRPr="009D0D03">
        <w:rPr>
          <w:szCs w:val="22"/>
        </w:rPr>
        <w:t xml:space="preserve"> that </w:t>
      </w:r>
      <w:r w:rsidRPr="009D0D03">
        <w:rPr>
          <w:bCs/>
          <w:szCs w:val="22"/>
        </w:rPr>
        <w:t xml:space="preserve">approximately 60 000 patients would be treated </w:t>
      </w:r>
      <w:r>
        <w:rPr>
          <w:szCs w:val="22"/>
        </w:rPr>
        <w:t xml:space="preserve">over 5 years, </w:t>
      </w:r>
      <w:r w:rsidRPr="009D0D03">
        <w:rPr>
          <w:szCs w:val="22"/>
        </w:rPr>
        <w:t>based on treatment targets in the Fourth National Hepatitis C Strategy 2014-2017, together with the advice from the ALA and February 2014 Stakeholder meeting</w:t>
      </w:r>
      <w:r>
        <w:rPr>
          <w:szCs w:val="22"/>
        </w:rPr>
        <w:t xml:space="preserve"> (</w:t>
      </w:r>
      <w:r w:rsidRPr="00DF7455">
        <w:rPr>
          <w:szCs w:val="22"/>
        </w:rPr>
        <w:t>New oral antivirals for the Treatment of Hepatitis C</w:t>
      </w:r>
      <w:r>
        <w:rPr>
          <w:szCs w:val="22"/>
        </w:rPr>
        <w:t>)</w:t>
      </w:r>
      <w:r w:rsidRPr="009D0D03">
        <w:rPr>
          <w:szCs w:val="22"/>
        </w:rPr>
        <w:t>. However,</w:t>
      </w:r>
      <w:r>
        <w:rPr>
          <w:szCs w:val="22"/>
        </w:rPr>
        <w:t xml:space="preserve"> it is not clear how many people living with CHC</w:t>
      </w:r>
      <w:r w:rsidRPr="009D0D03">
        <w:rPr>
          <w:szCs w:val="22"/>
        </w:rPr>
        <w:t xml:space="preserve"> will seek treatment,</w:t>
      </w:r>
      <w:r>
        <w:rPr>
          <w:szCs w:val="22"/>
        </w:rPr>
        <w:t xml:space="preserve"> particularly if patients have to be seen in specialist </w:t>
      </w:r>
      <w:r w:rsidRPr="009D0D03">
        <w:rPr>
          <w:szCs w:val="22"/>
        </w:rPr>
        <w:t xml:space="preserve">liver clinics or </w:t>
      </w:r>
      <w:r>
        <w:rPr>
          <w:szCs w:val="22"/>
        </w:rPr>
        <w:t>wait</w:t>
      </w:r>
      <w:r w:rsidRPr="009D0D03">
        <w:rPr>
          <w:szCs w:val="22"/>
        </w:rPr>
        <w:t xml:space="preserve"> for a refe</w:t>
      </w:r>
      <w:r>
        <w:rPr>
          <w:szCs w:val="22"/>
        </w:rPr>
        <w:t>rral to a liver clinic. Prescribing is</w:t>
      </w:r>
      <w:r w:rsidRPr="009D0D03">
        <w:rPr>
          <w:szCs w:val="22"/>
        </w:rPr>
        <w:t xml:space="preserve"> likely to continue to be delivered through specialist clinics in the sh</w:t>
      </w:r>
      <w:r>
        <w:rPr>
          <w:szCs w:val="22"/>
        </w:rPr>
        <w:t xml:space="preserve">ort-term until clinicians in other settings have learned how to use the DAA </w:t>
      </w:r>
      <w:r w:rsidRPr="00D3497A">
        <w:rPr>
          <w:szCs w:val="22"/>
        </w:rPr>
        <w:t>agents</w:t>
      </w:r>
      <w:r>
        <w:rPr>
          <w:szCs w:val="22"/>
        </w:rPr>
        <w:t>.</w:t>
      </w:r>
      <w:r w:rsidRPr="009D0D03">
        <w:rPr>
          <w:szCs w:val="22"/>
        </w:rPr>
        <w:t xml:space="preserve"> Patients may still be required to go through the hospital system as pa</w:t>
      </w:r>
      <w:r>
        <w:rPr>
          <w:szCs w:val="22"/>
        </w:rPr>
        <w:t>rt of their clinical management,</w:t>
      </w:r>
      <w:r w:rsidRPr="009D0D03">
        <w:rPr>
          <w:szCs w:val="22"/>
        </w:rPr>
        <w:t xml:space="preserve"> which could be a limiting factor to uptake.</w:t>
      </w:r>
    </w:p>
    <w:p w:rsidR="00527193" w:rsidRPr="001F512E" w:rsidRDefault="00527193" w:rsidP="00527193">
      <w:pPr>
        <w:pStyle w:val="ListParagraph"/>
        <w:numPr>
          <w:ilvl w:val="0"/>
          <w:numId w:val="13"/>
        </w:numPr>
        <w:rPr>
          <w:szCs w:val="22"/>
        </w:rPr>
      </w:pPr>
      <w:r>
        <w:rPr>
          <w:szCs w:val="22"/>
        </w:rPr>
        <w:t>Given the very large</w:t>
      </w:r>
      <w:r w:rsidRPr="001F512E">
        <w:rPr>
          <w:szCs w:val="22"/>
        </w:rPr>
        <w:t xml:space="preserve"> opportunity cost, one option would be to restrict access to treatment to those </w:t>
      </w:r>
      <w:r>
        <w:rPr>
          <w:szCs w:val="22"/>
        </w:rPr>
        <w:t>with the highest clinical need. T</w:t>
      </w:r>
      <w:r w:rsidRPr="001F512E">
        <w:rPr>
          <w:szCs w:val="22"/>
        </w:rPr>
        <w:t>he PBAC considered that it was inappropriate to restrict access</w:t>
      </w:r>
      <w:r>
        <w:rPr>
          <w:szCs w:val="22"/>
        </w:rPr>
        <w:t>, given the likely benefit of the DAA agents across the full spectrum of patients with CHC, from those with early disease to those</w:t>
      </w:r>
      <w:r w:rsidRPr="001F512E">
        <w:rPr>
          <w:bCs/>
          <w:szCs w:val="22"/>
        </w:rPr>
        <w:t xml:space="preserve"> patients with </w:t>
      </w:r>
      <w:r>
        <w:rPr>
          <w:bCs/>
          <w:szCs w:val="22"/>
        </w:rPr>
        <w:t xml:space="preserve">existing </w:t>
      </w:r>
      <w:r w:rsidRPr="001F512E">
        <w:rPr>
          <w:bCs/>
          <w:szCs w:val="22"/>
        </w:rPr>
        <w:t>liver cirrhosis and severe portal hypertension, decompensated liver disease, or patients post liver transplant</w:t>
      </w:r>
      <w:r w:rsidRPr="001F512E">
        <w:rPr>
          <w:szCs w:val="22"/>
        </w:rPr>
        <w:t>.</w:t>
      </w:r>
      <w:r>
        <w:rPr>
          <w:szCs w:val="22"/>
        </w:rPr>
        <w:t xml:space="preserve"> The benefits in terms of </w:t>
      </w:r>
      <w:r w:rsidRPr="00D3497A">
        <w:rPr>
          <w:szCs w:val="22"/>
        </w:rPr>
        <w:t>avoidance or delay of decompensated cirrhosis, hepatocellular carcinoma and morbidity</w:t>
      </w:r>
      <w:r>
        <w:rPr>
          <w:szCs w:val="22"/>
        </w:rPr>
        <w:t xml:space="preserve"> are likely to be seen earlier in the most severely ill, but population benefits, such as reduction in transmission of the disease, are likely to occur with wide access to treatment. </w:t>
      </w:r>
      <w:r w:rsidRPr="001F512E">
        <w:rPr>
          <w:szCs w:val="22"/>
        </w:rPr>
        <w:t xml:space="preserve">This and other benefits may be also realised via other community-based programmes and </w:t>
      </w:r>
      <w:r w:rsidRPr="001F512E">
        <w:rPr>
          <w:szCs w:val="22"/>
        </w:rPr>
        <w:lastRenderedPageBreak/>
        <w:t>strategies, such as those described in the Fourth National H</w:t>
      </w:r>
      <w:r>
        <w:rPr>
          <w:szCs w:val="22"/>
        </w:rPr>
        <w:t>epatitis C Strategy 2014-2017.</w:t>
      </w:r>
    </w:p>
    <w:p w:rsidR="00527193" w:rsidRPr="001F512E" w:rsidRDefault="00527193" w:rsidP="00527193">
      <w:pPr>
        <w:pStyle w:val="ListParagraph"/>
        <w:numPr>
          <w:ilvl w:val="0"/>
          <w:numId w:val="13"/>
        </w:numPr>
        <w:rPr>
          <w:szCs w:val="22"/>
        </w:rPr>
      </w:pPr>
      <w:r>
        <w:rPr>
          <w:szCs w:val="22"/>
        </w:rPr>
        <w:t>T</w:t>
      </w:r>
      <w:r w:rsidRPr="001F512E">
        <w:rPr>
          <w:szCs w:val="22"/>
        </w:rPr>
        <w:t xml:space="preserve">he high </w:t>
      </w:r>
      <w:r>
        <w:rPr>
          <w:szCs w:val="22"/>
        </w:rPr>
        <w:t>response (</w:t>
      </w:r>
      <w:r w:rsidRPr="00DB78F8">
        <w:rPr>
          <w:szCs w:val="22"/>
        </w:rPr>
        <w:t xml:space="preserve">sustained </w:t>
      </w:r>
      <w:proofErr w:type="spellStart"/>
      <w:r w:rsidRPr="00DB78F8">
        <w:rPr>
          <w:szCs w:val="22"/>
        </w:rPr>
        <w:t>virologic</w:t>
      </w:r>
      <w:proofErr w:type="spellEnd"/>
      <w:r w:rsidRPr="00DB78F8">
        <w:rPr>
          <w:szCs w:val="22"/>
        </w:rPr>
        <w:t xml:space="preserve"> response measured at 12 weeks</w:t>
      </w:r>
      <w:r>
        <w:rPr>
          <w:szCs w:val="22"/>
        </w:rPr>
        <w:t xml:space="preserve">, </w:t>
      </w:r>
      <w:r w:rsidRPr="001F512E">
        <w:rPr>
          <w:szCs w:val="22"/>
        </w:rPr>
        <w:t>SVR12</w:t>
      </w:r>
      <w:r>
        <w:rPr>
          <w:szCs w:val="22"/>
        </w:rPr>
        <w:t>)</w:t>
      </w:r>
      <w:r w:rsidRPr="001F512E">
        <w:rPr>
          <w:szCs w:val="22"/>
        </w:rPr>
        <w:t xml:space="preserve"> observed in the clinical trials may only be realised if the adherence of patients in Australia to treatment is similar to those in the clinical trials. </w:t>
      </w:r>
      <w:r>
        <w:rPr>
          <w:szCs w:val="22"/>
        </w:rPr>
        <w:t>W</w:t>
      </w:r>
      <w:r w:rsidRPr="001F512E">
        <w:rPr>
          <w:szCs w:val="22"/>
        </w:rPr>
        <w:t>hile there is a patient preference for shorter treatments</w:t>
      </w:r>
      <w:r>
        <w:rPr>
          <w:szCs w:val="22"/>
        </w:rPr>
        <w:t xml:space="preserve">, and new shorter treatment regimens are currently being tested, for some patients, </w:t>
      </w:r>
      <w:r w:rsidRPr="001F512E">
        <w:rPr>
          <w:szCs w:val="22"/>
        </w:rPr>
        <w:t>24 weeks of treatment</w:t>
      </w:r>
      <w:r>
        <w:rPr>
          <w:szCs w:val="22"/>
        </w:rPr>
        <w:t xml:space="preserve"> are necessary. Therefore it is critical that appropriate prescribing education be put in place to ensure that the benefits to the Australian community are maximised.</w:t>
      </w:r>
    </w:p>
    <w:p w:rsidR="00527193" w:rsidRPr="001F512E" w:rsidRDefault="00527193" w:rsidP="00527193">
      <w:pPr>
        <w:pStyle w:val="ListParagraph"/>
        <w:numPr>
          <w:ilvl w:val="0"/>
          <w:numId w:val="13"/>
        </w:numPr>
        <w:rPr>
          <w:szCs w:val="22"/>
        </w:rPr>
      </w:pPr>
      <w:r w:rsidRPr="001F512E">
        <w:rPr>
          <w:szCs w:val="22"/>
        </w:rPr>
        <w:t>The treatment landscape of HCV treatment is changing rapidly, as new DAA agents or new combinations or DAA agents become available and treatment guidelines are regularly updated</w:t>
      </w:r>
      <w:r>
        <w:rPr>
          <w:szCs w:val="22"/>
        </w:rPr>
        <w:t xml:space="preserve">. It is likely that new DAA </w:t>
      </w:r>
      <w:r w:rsidRPr="00D3497A">
        <w:rPr>
          <w:szCs w:val="22"/>
        </w:rPr>
        <w:t>agents</w:t>
      </w:r>
      <w:r>
        <w:rPr>
          <w:szCs w:val="22"/>
        </w:rPr>
        <w:t xml:space="preserve"> will be produced over the next 2 to 3 years that may further increase treatment options.</w:t>
      </w:r>
      <w:r w:rsidRPr="001F512E">
        <w:rPr>
          <w:szCs w:val="22"/>
        </w:rPr>
        <w:t xml:space="preserve"> </w:t>
      </w:r>
    </w:p>
    <w:p w:rsidR="00527193" w:rsidRPr="001F512E" w:rsidRDefault="00527193" w:rsidP="00527193">
      <w:pPr>
        <w:pStyle w:val="ListParagraph"/>
        <w:numPr>
          <w:ilvl w:val="0"/>
          <w:numId w:val="13"/>
        </w:numPr>
        <w:rPr>
          <w:szCs w:val="22"/>
        </w:rPr>
      </w:pPr>
      <w:r>
        <w:rPr>
          <w:szCs w:val="22"/>
        </w:rPr>
        <w:t xml:space="preserve">In this context, </w:t>
      </w:r>
      <w:r w:rsidRPr="001F512E">
        <w:rPr>
          <w:szCs w:val="22"/>
        </w:rPr>
        <w:t xml:space="preserve">the current treatment for CHC, such as </w:t>
      </w:r>
      <w:proofErr w:type="spellStart"/>
      <w:r w:rsidRPr="001F512E">
        <w:rPr>
          <w:szCs w:val="22"/>
        </w:rPr>
        <w:t>peginterferon</w:t>
      </w:r>
      <w:proofErr w:type="spellEnd"/>
      <w:r w:rsidRPr="001F512E">
        <w:rPr>
          <w:szCs w:val="22"/>
        </w:rPr>
        <w:t xml:space="preserve"> and ribavirin alone and in combination with telaprevir, </w:t>
      </w:r>
      <w:proofErr w:type="spellStart"/>
      <w:r w:rsidRPr="001F512E">
        <w:rPr>
          <w:szCs w:val="22"/>
        </w:rPr>
        <w:t>boceprevir</w:t>
      </w:r>
      <w:proofErr w:type="spellEnd"/>
      <w:r w:rsidRPr="001F512E">
        <w:rPr>
          <w:szCs w:val="22"/>
        </w:rPr>
        <w:t xml:space="preserve"> or </w:t>
      </w:r>
      <w:proofErr w:type="spellStart"/>
      <w:r w:rsidRPr="001F512E">
        <w:rPr>
          <w:szCs w:val="22"/>
        </w:rPr>
        <w:t>simeprevir</w:t>
      </w:r>
      <w:proofErr w:type="spellEnd"/>
      <w:r w:rsidRPr="001F512E">
        <w:rPr>
          <w:szCs w:val="22"/>
        </w:rPr>
        <w:t>, are no longer cost-effective as currently listed</w:t>
      </w:r>
      <w:r>
        <w:rPr>
          <w:szCs w:val="22"/>
        </w:rPr>
        <w:t xml:space="preserve"> especially </w:t>
      </w:r>
      <w:r w:rsidRPr="001F512E">
        <w:rPr>
          <w:szCs w:val="22"/>
        </w:rPr>
        <w:t xml:space="preserve">given the higher rate of adverse effects observed in clinical practice for some treatment combinations compared to those observed in the clinical trials. The Minister may wish to review the listing of these products. The PBAC advised the Department to bring this consideration to the attention of the sponsor of these products. The Commonwealth currently pay approximately $87 million for these treatments. </w:t>
      </w:r>
    </w:p>
    <w:p w:rsidR="00400F59" w:rsidRPr="001A6C09" w:rsidRDefault="00400F59" w:rsidP="00400F59">
      <w:pPr>
        <w:widowControl/>
        <w:rPr>
          <w:rFonts w:cs="Times New Roman"/>
          <w:snapToGrid/>
          <w:szCs w:val="22"/>
          <w:lang w:eastAsia="en-AU"/>
        </w:rPr>
      </w:pPr>
    </w:p>
    <w:p w:rsidR="00400F59" w:rsidRPr="001A6C09" w:rsidRDefault="00400F59" w:rsidP="00400F59">
      <w:pPr>
        <w:widowControl/>
        <w:rPr>
          <w:rFonts w:cs="Times New Roman"/>
          <w:b/>
          <w:snapToGrid/>
          <w:szCs w:val="22"/>
          <w:lang w:eastAsia="en-AU"/>
        </w:rPr>
      </w:pPr>
      <w:r w:rsidRPr="001A6C09">
        <w:rPr>
          <w:rFonts w:cs="Times New Roman"/>
          <w:b/>
          <w:snapToGrid/>
          <w:szCs w:val="22"/>
          <w:lang w:eastAsia="en-AU"/>
        </w:rPr>
        <w:t>Outcome:</w:t>
      </w:r>
      <w:r w:rsidRPr="00C209AB">
        <w:rPr>
          <w:rFonts w:ascii="Arial Narrow" w:hAnsi="Arial Narrow"/>
          <w:b/>
          <w:color w:val="FF0000"/>
          <w:sz w:val="24"/>
        </w:rPr>
        <w:t xml:space="preserve"> </w:t>
      </w:r>
    </w:p>
    <w:p w:rsidR="00400F59" w:rsidRPr="001A6C09" w:rsidRDefault="00400F59" w:rsidP="00400F59">
      <w:pPr>
        <w:widowControl/>
        <w:rPr>
          <w:rFonts w:cs="Times New Roman"/>
          <w:snapToGrid/>
          <w:szCs w:val="22"/>
          <w:lang w:eastAsia="en-AU"/>
        </w:rPr>
      </w:pPr>
      <w:r>
        <w:rPr>
          <w:rFonts w:cs="Times New Roman"/>
          <w:snapToGrid/>
          <w:szCs w:val="22"/>
          <w:lang w:eastAsia="en-AU"/>
        </w:rPr>
        <w:t xml:space="preserve">Recommended </w:t>
      </w:r>
    </w:p>
    <w:p w:rsidR="00400F59" w:rsidRPr="001A6C09" w:rsidRDefault="00400F59" w:rsidP="00400F59">
      <w:pPr>
        <w:widowControl/>
        <w:rPr>
          <w:rFonts w:cs="Times New Roman"/>
          <w:snapToGrid/>
          <w:szCs w:val="22"/>
          <w:lang w:eastAsia="en-AU"/>
        </w:rPr>
      </w:pPr>
    </w:p>
    <w:p w:rsidR="00400F59" w:rsidRPr="0025173A" w:rsidRDefault="00400F59" w:rsidP="00400F59">
      <w:pPr>
        <w:pStyle w:val="PBACHeading1"/>
        <w:rPr>
          <w:rFonts w:cs="Times New Roman"/>
          <w:i/>
          <w:snapToGrid/>
          <w:lang w:eastAsia="en-AU"/>
        </w:rPr>
      </w:pPr>
      <w:r w:rsidRPr="0025173A">
        <w:rPr>
          <w:snapToGrid/>
          <w:lang w:eastAsia="en-AU"/>
        </w:rPr>
        <w:t>Recommended listing</w:t>
      </w:r>
    </w:p>
    <w:p w:rsidR="00400F59" w:rsidRPr="001A6C09" w:rsidRDefault="00400F59" w:rsidP="00400F59">
      <w:pPr>
        <w:widowControl/>
        <w:rPr>
          <w:rFonts w:cs="Times New Roman"/>
          <w:snapToGrid/>
          <w:szCs w:val="22"/>
          <w:lang w:eastAsia="en-AU"/>
        </w:rPr>
      </w:pPr>
    </w:p>
    <w:p w:rsidR="00400F59" w:rsidRDefault="00400F59" w:rsidP="00B87E17">
      <w:pPr>
        <w:widowControl/>
        <w:numPr>
          <w:ilvl w:val="1"/>
          <w:numId w:val="3"/>
        </w:numPr>
        <w:ind w:left="709"/>
        <w:contextualSpacing/>
        <w:rPr>
          <w:rFonts w:cs="Times New Roman"/>
          <w:snapToGrid/>
          <w:szCs w:val="22"/>
          <w:lang w:eastAsia="en-AU"/>
        </w:rPr>
      </w:pPr>
      <w:r w:rsidRPr="002C6B0B">
        <w:rPr>
          <w:rFonts w:cs="Times New Roman"/>
          <w:snapToGrid/>
          <w:szCs w:val="22"/>
          <w:lang w:eastAsia="en-AU"/>
        </w:rPr>
        <w:t>Add new item:</w:t>
      </w:r>
    </w:p>
    <w:p w:rsidR="00BF20EA" w:rsidRDefault="00BF20EA" w:rsidP="00BF20EA">
      <w:pPr>
        <w:widowControl/>
        <w:ind w:left="709"/>
        <w:contextualSpacing/>
        <w:rPr>
          <w:rFonts w:cs="Times New Roman"/>
          <w:snapToGrid/>
          <w:szCs w:val="22"/>
          <w:lang w:eastAsia="en-AU"/>
        </w:rPr>
      </w:pPr>
      <w:r>
        <w:rPr>
          <w:rFonts w:cs="Times New Roman"/>
          <w:snapToGrid/>
          <w:szCs w:val="22"/>
          <w:lang w:eastAsia="en-AU"/>
        </w:rPr>
        <w:t>Restriction to be finalised</w:t>
      </w:r>
    </w:p>
    <w:p w:rsidR="0040290B" w:rsidRDefault="0040290B" w:rsidP="0040290B">
      <w:pPr>
        <w:widowControl/>
      </w:pPr>
    </w:p>
    <w:p w:rsidR="0040290B" w:rsidRPr="00D4207D" w:rsidRDefault="0040290B" w:rsidP="0040290B">
      <w:pPr>
        <w:pStyle w:val="PBACHeading1"/>
      </w:pPr>
      <w:r w:rsidRPr="00D4207D">
        <w:t>Context for Decision</w:t>
      </w:r>
    </w:p>
    <w:p w:rsidR="0040290B" w:rsidRPr="00D4420F" w:rsidRDefault="0040290B" w:rsidP="0040290B">
      <w:pPr>
        <w:pStyle w:val="ListParagraph"/>
        <w:rPr>
          <w:b/>
        </w:rPr>
      </w:pPr>
    </w:p>
    <w:p w:rsidR="0040290B" w:rsidRPr="00D4207D" w:rsidRDefault="0040290B" w:rsidP="0040290B">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0290B" w:rsidRPr="00D4420F" w:rsidRDefault="0040290B" w:rsidP="0040290B"/>
    <w:p w:rsidR="0040290B" w:rsidRPr="00D4207D" w:rsidRDefault="0040290B" w:rsidP="0040290B">
      <w:pPr>
        <w:pStyle w:val="PBACHeading1"/>
      </w:pPr>
      <w:r w:rsidRPr="00D4207D">
        <w:t>Sponsor’s Comment</w:t>
      </w:r>
    </w:p>
    <w:p w:rsidR="00117E32" w:rsidRDefault="00117E32" w:rsidP="00400F59">
      <w:pPr>
        <w:pStyle w:val="ListParagraph"/>
        <w:widowControl/>
        <w:jc w:val="left"/>
        <w:rPr>
          <w:b/>
        </w:rPr>
      </w:pPr>
    </w:p>
    <w:p w:rsidR="00906032" w:rsidRPr="00906032" w:rsidRDefault="00906032" w:rsidP="00400F59">
      <w:pPr>
        <w:pStyle w:val="ListParagraph"/>
        <w:widowControl/>
        <w:jc w:val="left"/>
      </w:pPr>
      <w:r>
        <w:t xml:space="preserve">The Sponsor had no comment. </w:t>
      </w:r>
    </w:p>
    <w:sectPr w:rsidR="00906032" w:rsidRPr="00906032" w:rsidSect="00E47E6E">
      <w:headerReference w:type="default" r:id="rId10"/>
      <w:footerReference w:type="default" r:id="rId11"/>
      <w:footnotePr>
        <w:numFmt w:val="lowerLetter"/>
      </w:footnotePr>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5E5B2" w15:done="0"/>
  <w15:commentEx w15:paraId="3466E5DA" w15:done="0"/>
  <w15:commentEx w15:paraId="4F72C403" w15:done="0"/>
  <w15:commentEx w15:paraId="5CBA700A" w15:done="0"/>
  <w15:commentEx w15:paraId="16F0E52C" w15:done="0"/>
  <w15:commentEx w15:paraId="0E70BF9C" w15:done="0"/>
  <w15:commentEx w15:paraId="7D88583B" w15:done="0"/>
  <w15:commentEx w15:paraId="659FC98C" w15:done="0"/>
  <w15:commentEx w15:paraId="1746717C" w15:done="0"/>
  <w15:commentEx w15:paraId="26EC3B43" w15:done="0"/>
  <w15:commentEx w15:paraId="62D857EF" w15:done="0"/>
  <w15:commentEx w15:paraId="2B3C6EEF" w15:done="0"/>
  <w15:commentEx w15:paraId="34B0416C" w15:done="0"/>
  <w15:commentEx w15:paraId="62C47BF3" w15:done="0"/>
  <w15:commentEx w15:paraId="4DF37F1F" w15:done="0"/>
  <w15:commentEx w15:paraId="5F2CAB75" w15:done="0"/>
  <w15:commentEx w15:paraId="510EF40C" w15:done="0"/>
  <w15:commentEx w15:paraId="1441D247" w15:done="0"/>
  <w15:commentEx w15:paraId="03B9D00F" w15:done="0"/>
  <w15:commentEx w15:paraId="11C0A139" w15:done="0"/>
  <w15:commentEx w15:paraId="33BC5ECF" w15:done="0"/>
  <w15:commentEx w15:paraId="6A5B6395" w15:done="0"/>
  <w15:commentEx w15:paraId="1FCBDA28" w15:done="0"/>
  <w15:commentEx w15:paraId="64F3042A" w15:done="0"/>
  <w15:commentEx w15:paraId="689366A9" w15:done="0"/>
  <w15:commentEx w15:paraId="4699C5FD" w15:done="0"/>
  <w15:commentEx w15:paraId="68BB99AF" w15:done="0"/>
  <w15:commentEx w15:paraId="39AF41FA" w15:done="0"/>
  <w15:commentEx w15:paraId="3DAF3009" w15:done="0"/>
  <w15:commentEx w15:paraId="7E828EDD" w15:done="0"/>
  <w15:commentEx w15:paraId="7406112F" w15:done="0"/>
  <w15:commentEx w15:paraId="17D06235" w15:done="0"/>
  <w15:commentEx w15:paraId="3CC210CD" w15:done="0"/>
  <w15:commentEx w15:paraId="65F5E92A" w15:done="0"/>
  <w15:commentEx w15:paraId="255C42A9" w15:done="0"/>
  <w15:commentEx w15:paraId="40D7C177" w15:done="0"/>
  <w15:commentEx w15:paraId="04523AA4" w15:done="0"/>
  <w15:commentEx w15:paraId="31A44DB9" w15:done="0"/>
  <w15:commentEx w15:paraId="338671DC" w15:done="0"/>
  <w15:commentEx w15:paraId="07D72FF0" w15:done="0"/>
  <w15:commentEx w15:paraId="1E6B5309" w15:done="0"/>
  <w15:commentEx w15:paraId="0581FE9E" w15:done="0"/>
  <w15:commentEx w15:paraId="594DABCC" w15:done="0"/>
  <w15:commentEx w15:paraId="5E97FE09" w15:done="0"/>
  <w15:commentEx w15:paraId="333E8776" w15:done="0"/>
  <w15:commentEx w15:paraId="0DFCEEA5" w15:done="0"/>
  <w15:commentEx w15:paraId="3BF35668" w15:done="0"/>
  <w15:commentEx w15:paraId="259D8252" w15:done="0"/>
  <w15:commentEx w15:paraId="48FA277F" w15:done="0"/>
  <w15:commentEx w15:paraId="0C2039D8" w15:done="0"/>
  <w15:commentEx w15:paraId="5895C360" w15:done="0"/>
  <w15:commentEx w15:paraId="0E60CC19" w15:done="0"/>
  <w15:commentEx w15:paraId="668AF6CD" w15:done="0"/>
  <w15:commentEx w15:paraId="4B7F1CAE" w15:done="0"/>
  <w15:commentEx w15:paraId="376A39B6" w15:done="0"/>
  <w15:commentEx w15:paraId="42E5B92D" w15:done="0"/>
  <w15:commentEx w15:paraId="4D861B1F" w15:done="0"/>
  <w15:commentEx w15:paraId="61F10FB6" w15:done="0"/>
  <w15:commentEx w15:paraId="0811EAFC" w15:done="0"/>
  <w15:commentEx w15:paraId="4E6984E5" w15:done="0"/>
  <w15:commentEx w15:paraId="5505EA03" w15:done="0"/>
  <w15:commentEx w15:paraId="5382B7B6" w15:done="0"/>
  <w15:commentEx w15:paraId="21E9A146" w15:done="0"/>
  <w15:commentEx w15:paraId="0936892D" w15:done="0"/>
  <w15:commentEx w15:paraId="4B181C37" w15:done="0"/>
  <w15:commentEx w15:paraId="15A2EBFB" w15:done="0"/>
  <w15:commentEx w15:paraId="43039BFA" w15:done="0"/>
  <w15:commentEx w15:paraId="78EF7B78" w15:done="0"/>
  <w15:commentEx w15:paraId="5323E246" w15:done="0"/>
  <w15:commentEx w15:paraId="73592F7E" w15:done="0"/>
  <w15:commentEx w15:paraId="050A31CE" w15:done="0"/>
  <w15:commentEx w15:paraId="418E72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82" w:rsidRDefault="009F4C82" w:rsidP="00124A51">
      <w:r>
        <w:separator/>
      </w:r>
    </w:p>
  </w:endnote>
  <w:endnote w:type="continuationSeparator" w:id="0">
    <w:p w:rsidR="009F4C82" w:rsidRDefault="009F4C82" w:rsidP="00124A51">
      <w:r>
        <w:continuationSeparator/>
      </w:r>
    </w:p>
  </w:endnote>
  <w:endnote w:type="continuationNotice" w:id="1">
    <w:p w:rsidR="009F4C82" w:rsidRDefault="009F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0B" w:rsidRDefault="0040290B">
    <w:pPr>
      <w:pStyle w:val="Footer"/>
      <w:jc w:val="center"/>
    </w:pPr>
  </w:p>
  <w:p w:rsidR="0040290B" w:rsidRDefault="0071353B">
    <w:pPr>
      <w:pStyle w:val="Footer"/>
      <w:jc w:val="center"/>
    </w:pPr>
    <w:sdt>
      <w:sdtPr>
        <w:id w:val="1830936918"/>
        <w:docPartObj>
          <w:docPartGallery w:val="Page Numbers (Bottom of Page)"/>
          <w:docPartUnique/>
        </w:docPartObj>
      </w:sdtPr>
      <w:sdtEndPr>
        <w:rPr>
          <w:noProof/>
        </w:rPr>
      </w:sdtEndPr>
      <w:sdtContent>
        <w:r w:rsidR="0040290B">
          <w:fldChar w:fldCharType="begin"/>
        </w:r>
        <w:r w:rsidR="0040290B">
          <w:instrText xml:space="preserve"> PAGE   \* MERGEFORMAT </w:instrText>
        </w:r>
        <w:r w:rsidR="0040290B">
          <w:fldChar w:fldCharType="separate"/>
        </w:r>
        <w:r>
          <w:rPr>
            <w:noProof/>
          </w:rPr>
          <w:t>29</w:t>
        </w:r>
        <w:r w:rsidR="0040290B">
          <w:rPr>
            <w:noProof/>
          </w:rPr>
          <w:fldChar w:fldCharType="end"/>
        </w:r>
      </w:sdtContent>
    </w:sdt>
  </w:p>
  <w:p w:rsidR="0040290B" w:rsidRPr="00714C5C" w:rsidRDefault="0040290B" w:rsidP="00714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82" w:rsidRDefault="009F4C82" w:rsidP="00124A51">
      <w:r>
        <w:separator/>
      </w:r>
    </w:p>
  </w:footnote>
  <w:footnote w:type="continuationSeparator" w:id="0">
    <w:p w:rsidR="009F4C82" w:rsidRDefault="009F4C82" w:rsidP="00124A51">
      <w:r>
        <w:continuationSeparator/>
      </w:r>
    </w:p>
  </w:footnote>
  <w:footnote w:type="continuationNotice" w:id="1">
    <w:p w:rsidR="009F4C82" w:rsidRDefault="009F4C82"/>
  </w:footnote>
  <w:footnote w:id="2">
    <w:p w:rsidR="0040290B" w:rsidRDefault="0040290B">
      <w:pPr>
        <w:pStyle w:val="FootnoteText"/>
      </w:pPr>
      <w:r>
        <w:rPr>
          <w:rStyle w:val="FootnoteReference"/>
        </w:rPr>
        <w:footnoteRef/>
      </w:r>
      <w:r>
        <w:t xml:space="preserve"> </w:t>
      </w:r>
      <w:r w:rsidRPr="00D70C07">
        <w:rPr>
          <w:sz w:val="16"/>
        </w:rPr>
        <w:t xml:space="preserve">M. </w:t>
      </w:r>
      <w:proofErr w:type="spellStart"/>
      <w:r w:rsidRPr="00D70C07">
        <w:rPr>
          <w:sz w:val="16"/>
        </w:rPr>
        <w:t>Bourlière</w:t>
      </w:r>
      <w:proofErr w:type="spellEnd"/>
      <w:r w:rsidRPr="00D70C07">
        <w:rPr>
          <w:sz w:val="16"/>
        </w:rPr>
        <w:t xml:space="preserve">, J-P </w:t>
      </w:r>
      <w:proofErr w:type="spellStart"/>
      <w:r w:rsidRPr="00D70C07">
        <w:rPr>
          <w:sz w:val="16"/>
        </w:rPr>
        <w:t>Bronowicki</w:t>
      </w:r>
      <w:proofErr w:type="spellEnd"/>
      <w:r w:rsidRPr="00D70C07">
        <w:rPr>
          <w:sz w:val="16"/>
        </w:rPr>
        <w:t xml:space="preserve">, V de </w:t>
      </w:r>
      <w:proofErr w:type="spellStart"/>
      <w:r w:rsidRPr="00D70C07">
        <w:rPr>
          <w:sz w:val="16"/>
        </w:rPr>
        <w:t>Ledinghen</w:t>
      </w:r>
      <w:proofErr w:type="spellEnd"/>
      <w:r w:rsidRPr="00D70C07">
        <w:rPr>
          <w:sz w:val="16"/>
        </w:rPr>
        <w:t xml:space="preserve">, et al. </w:t>
      </w:r>
      <w:proofErr w:type="spellStart"/>
      <w:r w:rsidRPr="00D70C07">
        <w:rPr>
          <w:sz w:val="16"/>
        </w:rPr>
        <w:t>Ledipasvir</w:t>
      </w:r>
      <w:proofErr w:type="spellEnd"/>
      <w:r w:rsidRPr="00D70C07">
        <w:rPr>
          <w:sz w:val="16"/>
        </w:rPr>
        <w:t xml:space="preserve">/Sofosbuvir Fixed Dose Combination is Safe and Efficacious in Cirrhotic Patients Who Have Previously Failed Protease-Inhibitor Based Triple Therapy. </w:t>
      </w:r>
      <w:proofErr w:type="gramStart"/>
      <w:r w:rsidRPr="00D70C07">
        <w:rPr>
          <w:sz w:val="16"/>
        </w:rPr>
        <w:t>American Association for the Study of Liver Diseases (AASLD) Liver Meeting.</w:t>
      </w:r>
      <w:proofErr w:type="gramEnd"/>
      <w:r w:rsidRPr="00D70C07">
        <w:rPr>
          <w:sz w:val="16"/>
        </w:rPr>
        <w:t xml:space="preserve"> Boston, November 7-12, 2014. </w:t>
      </w:r>
      <w:proofErr w:type="gramStart"/>
      <w:r w:rsidRPr="00D70C07">
        <w:rPr>
          <w:sz w:val="16"/>
        </w:rPr>
        <w:t>Abstract LB-6.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0B" w:rsidRDefault="0040290B" w:rsidP="00A66F53">
    <w:pPr>
      <w:pStyle w:val="Header"/>
      <w:ind w:left="360"/>
      <w:jc w:val="center"/>
      <w:rPr>
        <w:i/>
        <w:color w:val="808080"/>
      </w:rPr>
    </w:pPr>
    <w:r>
      <w:rPr>
        <w:i/>
        <w:color w:val="808080"/>
      </w:rPr>
      <w:t>Public Summary Document – March 2015 PBAC Meeting</w:t>
    </w:r>
  </w:p>
  <w:p w:rsidR="0040290B" w:rsidRPr="00EE07D3" w:rsidRDefault="0040290B">
    <w:pPr>
      <w:pStyle w:val="Header"/>
      <w:rPr>
        <w:color w:val="D9D9D9" w:themeColor="background1" w:theme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BFD"/>
    <w:multiLevelType w:val="hybridMultilevel"/>
    <w:tmpl w:val="3140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C00186"/>
    <w:multiLevelType w:val="hybridMultilevel"/>
    <w:tmpl w:val="5EF8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5757A5"/>
    <w:multiLevelType w:val="hybridMultilevel"/>
    <w:tmpl w:val="4ADC4B2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nsid w:val="26AE0CAD"/>
    <w:multiLevelType w:val="multilevel"/>
    <w:tmpl w:val="08503A2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5">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0B6ECC"/>
    <w:multiLevelType w:val="hybridMultilevel"/>
    <w:tmpl w:val="C23E7B90"/>
    <w:lvl w:ilvl="0" w:tplc="1B3645DE">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7">
    <w:nsid w:val="5CD7619B"/>
    <w:multiLevelType w:val="hybridMultilevel"/>
    <w:tmpl w:val="A86CDE48"/>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D00A85"/>
    <w:multiLevelType w:val="hybridMultilevel"/>
    <w:tmpl w:val="D0560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1DC736E"/>
    <w:multiLevelType w:val="hybridMultilevel"/>
    <w:tmpl w:val="0C5A5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4B7409"/>
    <w:multiLevelType w:val="hybridMultilevel"/>
    <w:tmpl w:val="9550C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784D033C"/>
    <w:multiLevelType w:val="multilevel"/>
    <w:tmpl w:val="8CD8D65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AA25AD4"/>
    <w:multiLevelType w:val="hybridMultilevel"/>
    <w:tmpl w:val="7CFE9AE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4">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9"/>
  </w:num>
  <w:num w:numId="5">
    <w:abstractNumId w:val="6"/>
  </w:num>
  <w:num w:numId="6">
    <w:abstractNumId w:val="14"/>
  </w:num>
  <w:num w:numId="7">
    <w:abstractNumId w:val="11"/>
  </w:num>
  <w:num w:numId="8">
    <w:abstractNumId w:val="13"/>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1"/>
  </w:num>
  <w:num w:numId="14">
    <w:abstractNumId w:val="2"/>
  </w:num>
  <w:num w:numId="15">
    <w:abstractNumId w:val="3"/>
  </w:num>
  <w:num w:numId="16">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TA">
    <w15:presenceInfo w15:providerId="None" w15:userId="AH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numFmt w:val="lowerLette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5t905xaxr2eke9vaqxw5xre5f9wpsx9dzx&quot;&gt;LDVSOF 2014&lt;record-ids&gt;&lt;item&gt;2&lt;/item&gt;&lt;item&gt;7&lt;/item&gt;&lt;item&gt;123&lt;/item&gt;&lt;item&gt;125&lt;/item&gt;&lt;item&gt;158&lt;/item&gt;&lt;item&gt;159&lt;/item&gt;&lt;item&gt;160&lt;/item&gt;&lt;item&gt;171&lt;/item&gt;&lt;item&gt;190&lt;/item&gt;&lt;item&gt;193&lt;/item&gt;&lt;item&gt;194&lt;/item&gt;&lt;item&gt;195&lt;/item&gt;&lt;item&gt;199&lt;/item&gt;&lt;item&gt;200&lt;/item&gt;&lt;item&gt;201&lt;/item&gt;&lt;item&gt;203&lt;/item&gt;&lt;item&gt;204&lt;/item&gt;&lt;item&gt;206&lt;/item&gt;&lt;item&gt;207&lt;/item&gt;&lt;item&gt;209&lt;/item&gt;&lt;item&gt;210&lt;/item&gt;&lt;item&gt;212&lt;/item&gt;&lt;item&gt;213&lt;/item&gt;&lt;item&gt;214&lt;/item&gt;&lt;item&gt;215&lt;/item&gt;&lt;item&gt;216&lt;/item&gt;&lt;item&gt;217&lt;/item&gt;&lt;item&gt;218&lt;/item&gt;&lt;item&gt;221&lt;/item&gt;&lt;item&gt;224&lt;/item&gt;&lt;item&gt;226&lt;/item&gt;&lt;item&gt;227&lt;/item&gt;&lt;item&gt;228&lt;/item&gt;&lt;item&gt;232&lt;/item&gt;&lt;item&gt;233&lt;/item&gt;&lt;item&gt;234&lt;/item&gt;&lt;item&gt;235&lt;/item&gt;&lt;item&gt;236&lt;/item&gt;&lt;item&gt;240&lt;/item&gt;&lt;item&gt;243&lt;/item&gt;&lt;item&gt;249&lt;/item&gt;&lt;item&gt;250&lt;/item&gt;&lt;/record-ids&gt;&lt;/item&gt;&lt;/Libraries&gt;"/>
  </w:docVars>
  <w:rsids>
    <w:rsidRoot w:val="00E65E79"/>
    <w:rsid w:val="00000790"/>
    <w:rsid w:val="0000110B"/>
    <w:rsid w:val="0000323C"/>
    <w:rsid w:val="00003499"/>
    <w:rsid w:val="000059C0"/>
    <w:rsid w:val="00005BB8"/>
    <w:rsid w:val="00012C8F"/>
    <w:rsid w:val="00013137"/>
    <w:rsid w:val="00013247"/>
    <w:rsid w:val="00015886"/>
    <w:rsid w:val="000162EF"/>
    <w:rsid w:val="0001767D"/>
    <w:rsid w:val="00021A36"/>
    <w:rsid w:val="00021F56"/>
    <w:rsid w:val="0002225F"/>
    <w:rsid w:val="00023763"/>
    <w:rsid w:val="000245B8"/>
    <w:rsid w:val="00026CAB"/>
    <w:rsid w:val="000275FC"/>
    <w:rsid w:val="00027E4C"/>
    <w:rsid w:val="0003148D"/>
    <w:rsid w:val="00033CD8"/>
    <w:rsid w:val="00034431"/>
    <w:rsid w:val="00040895"/>
    <w:rsid w:val="00041968"/>
    <w:rsid w:val="0004344D"/>
    <w:rsid w:val="00043C37"/>
    <w:rsid w:val="000441FC"/>
    <w:rsid w:val="00051071"/>
    <w:rsid w:val="00051816"/>
    <w:rsid w:val="00053889"/>
    <w:rsid w:val="0005437D"/>
    <w:rsid w:val="000546D7"/>
    <w:rsid w:val="000611FE"/>
    <w:rsid w:val="00061CD8"/>
    <w:rsid w:val="0006427C"/>
    <w:rsid w:val="0006487B"/>
    <w:rsid w:val="000651E2"/>
    <w:rsid w:val="0006794E"/>
    <w:rsid w:val="00071248"/>
    <w:rsid w:val="00071B7E"/>
    <w:rsid w:val="00071FDA"/>
    <w:rsid w:val="000720B9"/>
    <w:rsid w:val="000748C8"/>
    <w:rsid w:val="0007517D"/>
    <w:rsid w:val="00077DBC"/>
    <w:rsid w:val="000812CA"/>
    <w:rsid w:val="00081E42"/>
    <w:rsid w:val="000841D1"/>
    <w:rsid w:val="000878D8"/>
    <w:rsid w:val="000909D4"/>
    <w:rsid w:val="00090C7E"/>
    <w:rsid w:val="0009217F"/>
    <w:rsid w:val="00092CD1"/>
    <w:rsid w:val="00093DA8"/>
    <w:rsid w:val="00094A66"/>
    <w:rsid w:val="000A5032"/>
    <w:rsid w:val="000B2ABF"/>
    <w:rsid w:val="000B2FDC"/>
    <w:rsid w:val="000B3015"/>
    <w:rsid w:val="000B4262"/>
    <w:rsid w:val="000B5A25"/>
    <w:rsid w:val="000C1CD5"/>
    <w:rsid w:val="000C2310"/>
    <w:rsid w:val="000C28A9"/>
    <w:rsid w:val="000C2DE5"/>
    <w:rsid w:val="000D1BFC"/>
    <w:rsid w:val="000D2CB7"/>
    <w:rsid w:val="000D58D6"/>
    <w:rsid w:val="000D6F9E"/>
    <w:rsid w:val="000D7EAB"/>
    <w:rsid w:val="000E0B7F"/>
    <w:rsid w:val="000E14FE"/>
    <w:rsid w:val="000E2279"/>
    <w:rsid w:val="000F4BB8"/>
    <w:rsid w:val="000F50B4"/>
    <w:rsid w:val="000F7127"/>
    <w:rsid w:val="00100F8A"/>
    <w:rsid w:val="00101767"/>
    <w:rsid w:val="00103CAE"/>
    <w:rsid w:val="0011032E"/>
    <w:rsid w:val="001127EC"/>
    <w:rsid w:val="0011348B"/>
    <w:rsid w:val="00117E32"/>
    <w:rsid w:val="00120273"/>
    <w:rsid w:val="00121799"/>
    <w:rsid w:val="001222FC"/>
    <w:rsid w:val="00122BAD"/>
    <w:rsid w:val="00122CA1"/>
    <w:rsid w:val="00123EAC"/>
    <w:rsid w:val="00124A51"/>
    <w:rsid w:val="00126621"/>
    <w:rsid w:val="00126ABF"/>
    <w:rsid w:val="001301E9"/>
    <w:rsid w:val="00130400"/>
    <w:rsid w:val="00132110"/>
    <w:rsid w:val="00134998"/>
    <w:rsid w:val="001349DD"/>
    <w:rsid w:val="00135412"/>
    <w:rsid w:val="00136468"/>
    <w:rsid w:val="00137645"/>
    <w:rsid w:val="0014015A"/>
    <w:rsid w:val="00140E99"/>
    <w:rsid w:val="00141B48"/>
    <w:rsid w:val="001421FD"/>
    <w:rsid w:val="00145540"/>
    <w:rsid w:val="00145542"/>
    <w:rsid w:val="001456B0"/>
    <w:rsid w:val="001509F4"/>
    <w:rsid w:val="00151BE3"/>
    <w:rsid w:val="00153B16"/>
    <w:rsid w:val="00154331"/>
    <w:rsid w:val="00157130"/>
    <w:rsid w:val="00162913"/>
    <w:rsid w:val="00163170"/>
    <w:rsid w:val="001637C3"/>
    <w:rsid w:val="00163EFF"/>
    <w:rsid w:val="00165032"/>
    <w:rsid w:val="00165FEE"/>
    <w:rsid w:val="001661FB"/>
    <w:rsid w:val="001724DE"/>
    <w:rsid w:val="0017331C"/>
    <w:rsid w:val="00176B6C"/>
    <w:rsid w:val="00177818"/>
    <w:rsid w:val="00177868"/>
    <w:rsid w:val="00177C63"/>
    <w:rsid w:val="00183B9F"/>
    <w:rsid w:val="00185E3F"/>
    <w:rsid w:val="00186BB7"/>
    <w:rsid w:val="0018752F"/>
    <w:rsid w:val="00191294"/>
    <w:rsid w:val="00195222"/>
    <w:rsid w:val="00195B7A"/>
    <w:rsid w:val="001969AA"/>
    <w:rsid w:val="00197538"/>
    <w:rsid w:val="001975D8"/>
    <w:rsid w:val="001A1EE8"/>
    <w:rsid w:val="001A2636"/>
    <w:rsid w:val="001A4A08"/>
    <w:rsid w:val="001A562F"/>
    <w:rsid w:val="001B3443"/>
    <w:rsid w:val="001B410F"/>
    <w:rsid w:val="001B4317"/>
    <w:rsid w:val="001B53E8"/>
    <w:rsid w:val="001B645D"/>
    <w:rsid w:val="001B663A"/>
    <w:rsid w:val="001C04F6"/>
    <w:rsid w:val="001C2E4F"/>
    <w:rsid w:val="001C6E66"/>
    <w:rsid w:val="001C7B66"/>
    <w:rsid w:val="001D44DB"/>
    <w:rsid w:val="001D4DDD"/>
    <w:rsid w:val="001E238E"/>
    <w:rsid w:val="001E2403"/>
    <w:rsid w:val="001E2796"/>
    <w:rsid w:val="001E27E8"/>
    <w:rsid w:val="001E2B1E"/>
    <w:rsid w:val="001E3D06"/>
    <w:rsid w:val="001E4E5C"/>
    <w:rsid w:val="001E527C"/>
    <w:rsid w:val="001E52EB"/>
    <w:rsid w:val="001E740C"/>
    <w:rsid w:val="001F1235"/>
    <w:rsid w:val="001F1CB3"/>
    <w:rsid w:val="001F26B3"/>
    <w:rsid w:val="001F7361"/>
    <w:rsid w:val="00202723"/>
    <w:rsid w:val="0020385F"/>
    <w:rsid w:val="00206DD3"/>
    <w:rsid w:val="00207021"/>
    <w:rsid w:val="00207B61"/>
    <w:rsid w:val="00207D00"/>
    <w:rsid w:val="002105C1"/>
    <w:rsid w:val="00211254"/>
    <w:rsid w:val="00214473"/>
    <w:rsid w:val="00216C0D"/>
    <w:rsid w:val="00217811"/>
    <w:rsid w:val="00221E13"/>
    <w:rsid w:val="00223B49"/>
    <w:rsid w:val="00223ED2"/>
    <w:rsid w:val="00224DD4"/>
    <w:rsid w:val="00230323"/>
    <w:rsid w:val="002309CC"/>
    <w:rsid w:val="00232CF4"/>
    <w:rsid w:val="002362D2"/>
    <w:rsid w:val="00240106"/>
    <w:rsid w:val="0024170A"/>
    <w:rsid w:val="002438EE"/>
    <w:rsid w:val="0024600E"/>
    <w:rsid w:val="0025049D"/>
    <w:rsid w:val="0025240A"/>
    <w:rsid w:val="00254352"/>
    <w:rsid w:val="00254DCF"/>
    <w:rsid w:val="0025534B"/>
    <w:rsid w:val="00255BB7"/>
    <w:rsid w:val="002608DA"/>
    <w:rsid w:val="00262A87"/>
    <w:rsid w:val="00263332"/>
    <w:rsid w:val="002636DB"/>
    <w:rsid w:val="002644D5"/>
    <w:rsid w:val="002653CE"/>
    <w:rsid w:val="00270360"/>
    <w:rsid w:val="0027076C"/>
    <w:rsid w:val="002711B0"/>
    <w:rsid w:val="00271279"/>
    <w:rsid w:val="00273CCE"/>
    <w:rsid w:val="00275C5A"/>
    <w:rsid w:val="00281014"/>
    <w:rsid w:val="0028151B"/>
    <w:rsid w:val="00282221"/>
    <w:rsid w:val="002848B2"/>
    <w:rsid w:val="00285BF4"/>
    <w:rsid w:val="002914EB"/>
    <w:rsid w:val="00291505"/>
    <w:rsid w:val="00292661"/>
    <w:rsid w:val="002928CC"/>
    <w:rsid w:val="002935B6"/>
    <w:rsid w:val="002A14AB"/>
    <w:rsid w:val="002A398D"/>
    <w:rsid w:val="002B012C"/>
    <w:rsid w:val="002B1C1F"/>
    <w:rsid w:val="002B432F"/>
    <w:rsid w:val="002B46A1"/>
    <w:rsid w:val="002B4C2A"/>
    <w:rsid w:val="002B57D7"/>
    <w:rsid w:val="002B6CCE"/>
    <w:rsid w:val="002B7465"/>
    <w:rsid w:val="002B756E"/>
    <w:rsid w:val="002B7F76"/>
    <w:rsid w:val="002C103D"/>
    <w:rsid w:val="002C26E5"/>
    <w:rsid w:val="002C2775"/>
    <w:rsid w:val="002C27C1"/>
    <w:rsid w:val="002C2EC0"/>
    <w:rsid w:val="002C6721"/>
    <w:rsid w:val="002D0B23"/>
    <w:rsid w:val="002D12C8"/>
    <w:rsid w:val="002D3093"/>
    <w:rsid w:val="002D592E"/>
    <w:rsid w:val="002D748A"/>
    <w:rsid w:val="002D7B4A"/>
    <w:rsid w:val="002D7B71"/>
    <w:rsid w:val="002E1C30"/>
    <w:rsid w:val="002E258C"/>
    <w:rsid w:val="002E6507"/>
    <w:rsid w:val="002E747A"/>
    <w:rsid w:val="002F079A"/>
    <w:rsid w:val="002F484B"/>
    <w:rsid w:val="002F55B3"/>
    <w:rsid w:val="00301017"/>
    <w:rsid w:val="0030194C"/>
    <w:rsid w:val="0030266F"/>
    <w:rsid w:val="0030378E"/>
    <w:rsid w:val="00305579"/>
    <w:rsid w:val="0030786C"/>
    <w:rsid w:val="0031031A"/>
    <w:rsid w:val="00310981"/>
    <w:rsid w:val="003119B3"/>
    <w:rsid w:val="003125F0"/>
    <w:rsid w:val="00315498"/>
    <w:rsid w:val="00320968"/>
    <w:rsid w:val="00323A3E"/>
    <w:rsid w:val="00323CC9"/>
    <w:rsid w:val="003241B8"/>
    <w:rsid w:val="0032439F"/>
    <w:rsid w:val="0032567F"/>
    <w:rsid w:val="00331047"/>
    <w:rsid w:val="00332DD1"/>
    <w:rsid w:val="003357F8"/>
    <w:rsid w:val="00335A0E"/>
    <w:rsid w:val="003363C4"/>
    <w:rsid w:val="003366C9"/>
    <w:rsid w:val="003371B0"/>
    <w:rsid w:val="00343125"/>
    <w:rsid w:val="003448DF"/>
    <w:rsid w:val="00344EF6"/>
    <w:rsid w:val="00346809"/>
    <w:rsid w:val="00355CE9"/>
    <w:rsid w:val="0035620E"/>
    <w:rsid w:val="00361A8E"/>
    <w:rsid w:val="0036716E"/>
    <w:rsid w:val="00371755"/>
    <w:rsid w:val="00377949"/>
    <w:rsid w:val="00381DBE"/>
    <w:rsid w:val="003835FD"/>
    <w:rsid w:val="0038365C"/>
    <w:rsid w:val="00384B28"/>
    <w:rsid w:val="003901FE"/>
    <w:rsid w:val="003910AC"/>
    <w:rsid w:val="00395F35"/>
    <w:rsid w:val="003966CB"/>
    <w:rsid w:val="00396F13"/>
    <w:rsid w:val="00396FD0"/>
    <w:rsid w:val="003A104E"/>
    <w:rsid w:val="003A1A7A"/>
    <w:rsid w:val="003A4935"/>
    <w:rsid w:val="003B4694"/>
    <w:rsid w:val="003B4821"/>
    <w:rsid w:val="003B4F55"/>
    <w:rsid w:val="003B59F2"/>
    <w:rsid w:val="003B67E9"/>
    <w:rsid w:val="003B7AC5"/>
    <w:rsid w:val="003C062D"/>
    <w:rsid w:val="003D111A"/>
    <w:rsid w:val="003D13B8"/>
    <w:rsid w:val="003D1828"/>
    <w:rsid w:val="003D23E1"/>
    <w:rsid w:val="003D2422"/>
    <w:rsid w:val="003D2E9B"/>
    <w:rsid w:val="003D3B95"/>
    <w:rsid w:val="003D4348"/>
    <w:rsid w:val="003D7015"/>
    <w:rsid w:val="003D7B92"/>
    <w:rsid w:val="003E742D"/>
    <w:rsid w:val="003F0248"/>
    <w:rsid w:val="003F0A8D"/>
    <w:rsid w:val="003F21D1"/>
    <w:rsid w:val="003F349A"/>
    <w:rsid w:val="003F4156"/>
    <w:rsid w:val="003F51AD"/>
    <w:rsid w:val="00400205"/>
    <w:rsid w:val="00400F59"/>
    <w:rsid w:val="004023AE"/>
    <w:rsid w:val="0040290B"/>
    <w:rsid w:val="00402AB8"/>
    <w:rsid w:val="0040407D"/>
    <w:rsid w:val="004054D3"/>
    <w:rsid w:val="004101E5"/>
    <w:rsid w:val="00410708"/>
    <w:rsid w:val="00410EC7"/>
    <w:rsid w:val="004110C2"/>
    <w:rsid w:val="00414476"/>
    <w:rsid w:val="00416622"/>
    <w:rsid w:val="00420B9F"/>
    <w:rsid w:val="0042452F"/>
    <w:rsid w:val="00424C88"/>
    <w:rsid w:val="004319F8"/>
    <w:rsid w:val="00432889"/>
    <w:rsid w:val="00433044"/>
    <w:rsid w:val="004339A2"/>
    <w:rsid w:val="00435FC8"/>
    <w:rsid w:val="00437278"/>
    <w:rsid w:val="004404D4"/>
    <w:rsid w:val="0044121B"/>
    <w:rsid w:val="004431DD"/>
    <w:rsid w:val="004443A7"/>
    <w:rsid w:val="004464EB"/>
    <w:rsid w:val="004477B9"/>
    <w:rsid w:val="004545B5"/>
    <w:rsid w:val="00455A07"/>
    <w:rsid w:val="00455D45"/>
    <w:rsid w:val="00456764"/>
    <w:rsid w:val="00462D82"/>
    <w:rsid w:val="00464595"/>
    <w:rsid w:val="004668AA"/>
    <w:rsid w:val="0048192B"/>
    <w:rsid w:val="004820FB"/>
    <w:rsid w:val="004841CE"/>
    <w:rsid w:val="00485426"/>
    <w:rsid w:val="00485DA6"/>
    <w:rsid w:val="004867E2"/>
    <w:rsid w:val="00487D89"/>
    <w:rsid w:val="00487F27"/>
    <w:rsid w:val="00490728"/>
    <w:rsid w:val="00491B3A"/>
    <w:rsid w:val="00492CFD"/>
    <w:rsid w:val="004962D2"/>
    <w:rsid w:val="004A0DA1"/>
    <w:rsid w:val="004A6113"/>
    <w:rsid w:val="004A6597"/>
    <w:rsid w:val="004B0BF4"/>
    <w:rsid w:val="004B1CB4"/>
    <w:rsid w:val="004B2F18"/>
    <w:rsid w:val="004B3386"/>
    <w:rsid w:val="004B3DDB"/>
    <w:rsid w:val="004B44FD"/>
    <w:rsid w:val="004B459E"/>
    <w:rsid w:val="004B4DFB"/>
    <w:rsid w:val="004B5CFC"/>
    <w:rsid w:val="004B7595"/>
    <w:rsid w:val="004C1DFB"/>
    <w:rsid w:val="004C4AED"/>
    <w:rsid w:val="004C6961"/>
    <w:rsid w:val="004C7CEC"/>
    <w:rsid w:val="004D29D0"/>
    <w:rsid w:val="004E0EB8"/>
    <w:rsid w:val="004E2409"/>
    <w:rsid w:val="004E2ADC"/>
    <w:rsid w:val="004E43B2"/>
    <w:rsid w:val="004E54D9"/>
    <w:rsid w:val="004F0711"/>
    <w:rsid w:val="004F1D02"/>
    <w:rsid w:val="004F2679"/>
    <w:rsid w:val="004F7865"/>
    <w:rsid w:val="00501749"/>
    <w:rsid w:val="00502E09"/>
    <w:rsid w:val="00502F97"/>
    <w:rsid w:val="00506928"/>
    <w:rsid w:val="005107F6"/>
    <w:rsid w:val="00510D18"/>
    <w:rsid w:val="00510E30"/>
    <w:rsid w:val="00511ECB"/>
    <w:rsid w:val="005130D4"/>
    <w:rsid w:val="005152B5"/>
    <w:rsid w:val="00520AA0"/>
    <w:rsid w:val="00521319"/>
    <w:rsid w:val="00522290"/>
    <w:rsid w:val="00523C28"/>
    <w:rsid w:val="00527193"/>
    <w:rsid w:val="0052733D"/>
    <w:rsid w:val="00531BB5"/>
    <w:rsid w:val="00532A9C"/>
    <w:rsid w:val="00532EF5"/>
    <w:rsid w:val="00533D84"/>
    <w:rsid w:val="00534933"/>
    <w:rsid w:val="00536B65"/>
    <w:rsid w:val="00537DE2"/>
    <w:rsid w:val="00545836"/>
    <w:rsid w:val="005512E1"/>
    <w:rsid w:val="00552BD3"/>
    <w:rsid w:val="00554B46"/>
    <w:rsid w:val="00555109"/>
    <w:rsid w:val="00560F58"/>
    <w:rsid w:val="00561218"/>
    <w:rsid w:val="00561712"/>
    <w:rsid w:val="00563987"/>
    <w:rsid w:val="00563D68"/>
    <w:rsid w:val="005643DC"/>
    <w:rsid w:val="00566206"/>
    <w:rsid w:val="0056640C"/>
    <w:rsid w:val="0056696F"/>
    <w:rsid w:val="00570376"/>
    <w:rsid w:val="0057106D"/>
    <w:rsid w:val="00575D8D"/>
    <w:rsid w:val="00576268"/>
    <w:rsid w:val="00576972"/>
    <w:rsid w:val="005769ED"/>
    <w:rsid w:val="005775D3"/>
    <w:rsid w:val="00577A7C"/>
    <w:rsid w:val="00577DA6"/>
    <w:rsid w:val="00577E40"/>
    <w:rsid w:val="0058194A"/>
    <w:rsid w:val="00583699"/>
    <w:rsid w:val="005874D3"/>
    <w:rsid w:val="00590952"/>
    <w:rsid w:val="00590D19"/>
    <w:rsid w:val="0059341C"/>
    <w:rsid w:val="00596848"/>
    <w:rsid w:val="00597060"/>
    <w:rsid w:val="005A0957"/>
    <w:rsid w:val="005A21BC"/>
    <w:rsid w:val="005A4249"/>
    <w:rsid w:val="005A6B67"/>
    <w:rsid w:val="005A78C9"/>
    <w:rsid w:val="005B363D"/>
    <w:rsid w:val="005B5857"/>
    <w:rsid w:val="005B5E72"/>
    <w:rsid w:val="005C1B83"/>
    <w:rsid w:val="005C346B"/>
    <w:rsid w:val="005C37D1"/>
    <w:rsid w:val="005C4883"/>
    <w:rsid w:val="005C50EA"/>
    <w:rsid w:val="005C73A9"/>
    <w:rsid w:val="005D044D"/>
    <w:rsid w:val="005D18AD"/>
    <w:rsid w:val="005D411F"/>
    <w:rsid w:val="005D46D1"/>
    <w:rsid w:val="005D530D"/>
    <w:rsid w:val="005E0A78"/>
    <w:rsid w:val="005E70F6"/>
    <w:rsid w:val="005E73C0"/>
    <w:rsid w:val="005F13B1"/>
    <w:rsid w:val="005F1A05"/>
    <w:rsid w:val="005F2706"/>
    <w:rsid w:val="005F48AB"/>
    <w:rsid w:val="005F6A8F"/>
    <w:rsid w:val="005F72CF"/>
    <w:rsid w:val="00605091"/>
    <w:rsid w:val="00605B67"/>
    <w:rsid w:val="0060661C"/>
    <w:rsid w:val="00607308"/>
    <w:rsid w:val="00607669"/>
    <w:rsid w:val="006120DE"/>
    <w:rsid w:val="00612F97"/>
    <w:rsid w:val="00615135"/>
    <w:rsid w:val="006157AA"/>
    <w:rsid w:val="00616802"/>
    <w:rsid w:val="00617E12"/>
    <w:rsid w:val="00621477"/>
    <w:rsid w:val="0062206A"/>
    <w:rsid w:val="00630B1E"/>
    <w:rsid w:val="00631D6B"/>
    <w:rsid w:val="00632336"/>
    <w:rsid w:val="0063479F"/>
    <w:rsid w:val="006364A1"/>
    <w:rsid w:val="00637BFD"/>
    <w:rsid w:val="00641BA2"/>
    <w:rsid w:val="006471AF"/>
    <w:rsid w:val="006471CC"/>
    <w:rsid w:val="00647E34"/>
    <w:rsid w:val="0065079F"/>
    <w:rsid w:val="0065086F"/>
    <w:rsid w:val="006511B5"/>
    <w:rsid w:val="006546EA"/>
    <w:rsid w:val="00654B3D"/>
    <w:rsid w:val="0066649C"/>
    <w:rsid w:val="006706F1"/>
    <w:rsid w:val="0067237C"/>
    <w:rsid w:val="00672B86"/>
    <w:rsid w:val="00673FC1"/>
    <w:rsid w:val="00674E42"/>
    <w:rsid w:val="0067649C"/>
    <w:rsid w:val="00682112"/>
    <w:rsid w:val="0068259B"/>
    <w:rsid w:val="00684A33"/>
    <w:rsid w:val="006872BA"/>
    <w:rsid w:val="00687C64"/>
    <w:rsid w:val="0069005F"/>
    <w:rsid w:val="00691763"/>
    <w:rsid w:val="006917D7"/>
    <w:rsid w:val="00692108"/>
    <w:rsid w:val="006930DB"/>
    <w:rsid w:val="00694F44"/>
    <w:rsid w:val="0069556E"/>
    <w:rsid w:val="006961C1"/>
    <w:rsid w:val="006A050C"/>
    <w:rsid w:val="006A51B8"/>
    <w:rsid w:val="006B2FCA"/>
    <w:rsid w:val="006B349D"/>
    <w:rsid w:val="006B45A1"/>
    <w:rsid w:val="006B5782"/>
    <w:rsid w:val="006B62C0"/>
    <w:rsid w:val="006C2A8E"/>
    <w:rsid w:val="006C5C78"/>
    <w:rsid w:val="006C5E57"/>
    <w:rsid w:val="006D0209"/>
    <w:rsid w:val="006D1721"/>
    <w:rsid w:val="006D2807"/>
    <w:rsid w:val="006D3C7D"/>
    <w:rsid w:val="006D5D5F"/>
    <w:rsid w:val="006D64D8"/>
    <w:rsid w:val="006D7462"/>
    <w:rsid w:val="006E5F92"/>
    <w:rsid w:val="006E64B7"/>
    <w:rsid w:val="006F1951"/>
    <w:rsid w:val="006F5B7E"/>
    <w:rsid w:val="006F61AE"/>
    <w:rsid w:val="006F63A5"/>
    <w:rsid w:val="006F7F29"/>
    <w:rsid w:val="00700708"/>
    <w:rsid w:val="00702005"/>
    <w:rsid w:val="0070276E"/>
    <w:rsid w:val="00702F8F"/>
    <w:rsid w:val="00704437"/>
    <w:rsid w:val="00704BC5"/>
    <w:rsid w:val="007101D5"/>
    <w:rsid w:val="00710F61"/>
    <w:rsid w:val="00711A36"/>
    <w:rsid w:val="0071223E"/>
    <w:rsid w:val="0071353B"/>
    <w:rsid w:val="007144BB"/>
    <w:rsid w:val="00714C5C"/>
    <w:rsid w:val="0071556E"/>
    <w:rsid w:val="007172AD"/>
    <w:rsid w:val="00721E2A"/>
    <w:rsid w:val="0072416F"/>
    <w:rsid w:val="007256A5"/>
    <w:rsid w:val="00725C6C"/>
    <w:rsid w:val="0072620A"/>
    <w:rsid w:val="007271D4"/>
    <w:rsid w:val="0073122A"/>
    <w:rsid w:val="0073399F"/>
    <w:rsid w:val="00735328"/>
    <w:rsid w:val="0073685B"/>
    <w:rsid w:val="00737968"/>
    <w:rsid w:val="00742360"/>
    <w:rsid w:val="0074354A"/>
    <w:rsid w:val="0074469B"/>
    <w:rsid w:val="007451D7"/>
    <w:rsid w:val="0075334E"/>
    <w:rsid w:val="00756B1B"/>
    <w:rsid w:val="00756E6A"/>
    <w:rsid w:val="007633BE"/>
    <w:rsid w:val="00765638"/>
    <w:rsid w:val="007659A4"/>
    <w:rsid w:val="007720FE"/>
    <w:rsid w:val="0077392E"/>
    <w:rsid w:val="007765E8"/>
    <w:rsid w:val="007814EE"/>
    <w:rsid w:val="00784656"/>
    <w:rsid w:val="00784BA8"/>
    <w:rsid w:val="007867E5"/>
    <w:rsid w:val="00787363"/>
    <w:rsid w:val="00787810"/>
    <w:rsid w:val="0079418B"/>
    <w:rsid w:val="00794BA5"/>
    <w:rsid w:val="007A0A12"/>
    <w:rsid w:val="007A0FE0"/>
    <w:rsid w:val="007A3907"/>
    <w:rsid w:val="007B251D"/>
    <w:rsid w:val="007B2653"/>
    <w:rsid w:val="007B77D1"/>
    <w:rsid w:val="007C0A09"/>
    <w:rsid w:val="007C1A32"/>
    <w:rsid w:val="007C2325"/>
    <w:rsid w:val="007C361D"/>
    <w:rsid w:val="007C4F61"/>
    <w:rsid w:val="007D0B38"/>
    <w:rsid w:val="007D3B83"/>
    <w:rsid w:val="007D4F30"/>
    <w:rsid w:val="007D56B1"/>
    <w:rsid w:val="007D5ED4"/>
    <w:rsid w:val="007D7717"/>
    <w:rsid w:val="007D7E79"/>
    <w:rsid w:val="007E0B1D"/>
    <w:rsid w:val="007E4FFA"/>
    <w:rsid w:val="007E53EE"/>
    <w:rsid w:val="007E5ADD"/>
    <w:rsid w:val="007E5EE0"/>
    <w:rsid w:val="007F1017"/>
    <w:rsid w:val="007F2456"/>
    <w:rsid w:val="007F4A3F"/>
    <w:rsid w:val="007F4C79"/>
    <w:rsid w:val="007F4E5B"/>
    <w:rsid w:val="007F624C"/>
    <w:rsid w:val="007F6454"/>
    <w:rsid w:val="007F7E9C"/>
    <w:rsid w:val="00805142"/>
    <w:rsid w:val="0080711D"/>
    <w:rsid w:val="00807A8B"/>
    <w:rsid w:val="00812149"/>
    <w:rsid w:val="008151E9"/>
    <w:rsid w:val="00815268"/>
    <w:rsid w:val="008166EF"/>
    <w:rsid w:val="00824061"/>
    <w:rsid w:val="00824555"/>
    <w:rsid w:val="008254BC"/>
    <w:rsid w:val="008264EB"/>
    <w:rsid w:val="008270BC"/>
    <w:rsid w:val="008317FF"/>
    <w:rsid w:val="00831DE3"/>
    <w:rsid w:val="00833A62"/>
    <w:rsid w:val="00833B05"/>
    <w:rsid w:val="00835283"/>
    <w:rsid w:val="00840CA2"/>
    <w:rsid w:val="00840FBF"/>
    <w:rsid w:val="008438F5"/>
    <w:rsid w:val="008443AE"/>
    <w:rsid w:val="0084798A"/>
    <w:rsid w:val="008479F9"/>
    <w:rsid w:val="00853BAA"/>
    <w:rsid w:val="0085608F"/>
    <w:rsid w:val="0085684C"/>
    <w:rsid w:val="00856E9A"/>
    <w:rsid w:val="00862207"/>
    <w:rsid w:val="00862502"/>
    <w:rsid w:val="008675D6"/>
    <w:rsid w:val="00867B77"/>
    <w:rsid w:val="00867C4E"/>
    <w:rsid w:val="00872824"/>
    <w:rsid w:val="008728DE"/>
    <w:rsid w:val="00874630"/>
    <w:rsid w:val="00874AEE"/>
    <w:rsid w:val="00880032"/>
    <w:rsid w:val="00882874"/>
    <w:rsid w:val="00883787"/>
    <w:rsid w:val="008900DA"/>
    <w:rsid w:val="0089370B"/>
    <w:rsid w:val="00894489"/>
    <w:rsid w:val="00896287"/>
    <w:rsid w:val="008963A5"/>
    <w:rsid w:val="00897A36"/>
    <w:rsid w:val="00897FD8"/>
    <w:rsid w:val="008A0395"/>
    <w:rsid w:val="008A12AC"/>
    <w:rsid w:val="008A1B2B"/>
    <w:rsid w:val="008A27CE"/>
    <w:rsid w:val="008A3ABC"/>
    <w:rsid w:val="008A3C3E"/>
    <w:rsid w:val="008A3DFA"/>
    <w:rsid w:val="008A4C60"/>
    <w:rsid w:val="008A79DE"/>
    <w:rsid w:val="008B116D"/>
    <w:rsid w:val="008B1223"/>
    <w:rsid w:val="008B4B79"/>
    <w:rsid w:val="008B7D7E"/>
    <w:rsid w:val="008C1E56"/>
    <w:rsid w:val="008C221D"/>
    <w:rsid w:val="008C4A59"/>
    <w:rsid w:val="008C7ECB"/>
    <w:rsid w:val="008E1B9E"/>
    <w:rsid w:val="008E1EAF"/>
    <w:rsid w:val="008E1F31"/>
    <w:rsid w:val="008E2803"/>
    <w:rsid w:val="008E2FD9"/>
    <w:rsid w:val="008E6599"/>
    <w:rsid w:val="008E7ECE"/>
    <w:rsid w:val="008F120A"/>
    <w:rsid w:val="008F365D"/>
    <w:rsid w:val="008F48EB"/>
    <w:rsid w:val="008F4F0B"/>
    <w:rsid w:val="00906032"/>
    <w:rsid w:val="009062A5"/>
    <w:rsid w:val="00911272"/>
    <w:rsid w:val="009132AF"/>
    <w:rsid w:val="00913DB9"/>
    <w:rsid w:val="00922D1C"/>
    <w:rsid w:val="009241D6"/>
    <w:rsid w:val="009253D3"/>
    <w:rsid w:val="00935351"/>
    <w:rsid w:val="00935AF6"/>
    <w:rsid w:val="0094520F"/>
    <w:rsid w:val="00946264"/>
    <w:rsid w:val="00947055"/>
    <w:rsid w:val="00947A3F"/>
    <w:rsid w:val="009553E9"/>
    <w:rsid w:val="00962CB9"/>
    <w:rsid w:val="00964312"/>
    <w:rsid w:val="009675F0"/>
    <w:rsid w:val="00970B02"/>
    <w:rsid w:val="009712D5"/>
    <w:rsid w:val="0097283E"/>
    <w:rsid w:val="00975080"/>
    <w:rsid w:val="00975FBF"/>
    <w:rsid w:val="00976140"/>
    <w:rsid w:val="0097689D"/>
    <w:rsid w:val="009769E6"/>
    <w:rsid w:val="00980E23"/>
    <w:rsid w:val="0098247E"/>
    <w:rsid w:val="00983E57"/>
    <w:rsid w:val="00986563"/>
    <w:rsid w:val="00986BC6"/>
    <w:rsid w:val="00990372"/>
    <w:rsid w:val="009948A6"/>
    <w:rsid w:val="00996B1A"/>
    <w:rsid w:val="009A0FAE"/>
    <w:rsid w:val="009A3F54"/>
    <w:rsid w:val="009A541C"/>
    <w:rsid w:val="009A5A74"/>
    <w:rsid w:val="009A647B"/>
    <w:rsid w:val="009B0762"/>
    <w:rsid w:val="009B3E26"/>
    <w:rsid w:val="009B45A8"/>
    <w:rsid w:val="009B7A6E"/>
    <w:rsid w:val="009C2115"/>
    <w:rsid w:val="009C34BD"/>
    <w:rsid w:val="009C4041"/>
    <w:rsid w:val="009C669D"/>
    <w:rsid w:val="009C6E14"/>
    <w:rsid w:val="009C777B"/>
    <w:rsid w:val="009C7A4F"/>
    <w:rsid w:val="009D053D"/>
    <w:rsid w:val="009D0598"/>
    <w:rsid w:val="009D34C0"/>
    <w:rsid w:val="009D36DF"/>
    <w:rsid w:val="009D3F26"/>
    <w:rsid w:val="009D5B91"/>
    <w:rsid w:val="009D704A"/>
    <w:rsid w:val="009E0476"/>
    <w:rsid w:val="009E1D81"/>
    <w:rsid w:val="009E2608"/>
    <w:rsid w:val="009E4C07"/>
    <w:rsid w:val="009F1109"/>
    <w:rsid w:val="009F4C82"/>
    <w:rsid w:val="009F55C0"/>
    <w:rsid w:val="009F5D68"/>
    <w:rsid w:val="00A025D6"/>
    <w:rsid w:val="00A03D43"/>
    <w:rsid w:val="00A04380"/>
    <w:rsid w:val="00A0531B"/>
    <w:rsid w:val="00A05415"/>
    <w:rsid w:val="00A05EC3"/>
    <w:rsid w:val="00A06886"/>
    <w:rsid w:val="00A12E63"/>
    <w:rsid w:val="00A134C0"/>
    <w:rsid w:val="00A13948"/>
    <w:rsid w:val="00A1689D"/>
    <w:rsid w:val="00A27AEC"/>
    <w:rsid w:val="00A31840"/>
    <w:rsid w:val="00A32761"/>
    <w:rsid w:val="00A35D16"/>
    <w:rsid w:val="00A40405"/>
    <w:rsid w:val="00A40B32"/>
    <w:rsid w:val="00A42017"/>
    <w:rsid w:val="00A42668"/>
    <w:rsid w:val="00A42A29"/>
    <w:rsid w:val="00A43C59"/>
    <w:rsid w:val="00A4415E"/>
    <w:rsid w:val="00A4424E"/>
    <w:rsid w:val="00A466E2"/>
    <w:rsid w:val="00A46E5B"/>
    <w:rsid w:val="00A476ED"/>
    <w:rsid w:val="00A50ECD"/>
    <w:rsid w:val="00A51844"/>
    <w:rsid w:val="00A52729"/>
    <w:rsid w:val="00A52E8E"/>
    <w:rsid w:val="00A53675"/>
    <w:rsid w:val="00A56B6A"/>
    <w:rsid w:val="00A578DC"/>
    <w:rsid w:val="00A62109"/>
    <w:rsid w:val="00A650B4"/>
    <w:rsid w:val="00A66F53"/>
    <w:rsid w:val="00A6725B"/>
    <w:rsid w:val="00A7183E"/>
    <w:rsid w:val="00A7414E"/>
    <w:rsid w:val="00A745C0"/>
    <w:rsid w:val="00A76ED3"/>
    <w:rsid w:val="00A85FE2"/>
    <w:rsid w:val="00A86E8B"/>
    <w:rsid w:val="00A873E2"/>
    <w:rsid w:val="00A93072"/>
    <w:rsid w:val="00A93797"/>
    <w:rsid w:val="00A959D8"/>
    <w:rsid w:val="00A96086"/>
    <w:rsid w:val="00A96818"/>
    <w:rsid w:val="00AA1B75"/>
    <w:rsid w:val="00AA3745"/>
    <w:rsid w:val="00AB042A"/>
    <w:rsid w:val="00AB2BF6"/>
    <w:rsid w:val="00AB2D34"/>
    <w:rsid w:val="00AB3430"/>
    <w:rsid w:val="00AB6DED"/>
    <w:rsid w:val="00AB6F20"/>
    <w:rsid w:val="00AB76BE"/>
    <w:rsid w:val="00AB7CFA"/>
    <w:rsid w:val="00AC071D"/>
    <w:rsid w:val="00AC07AD"/>
    <w:rsid w:val="00AC241A"/>
    <w:rsid w:val="00AD24FE"/>
    <w:rsid w:val="00AD3DC7"/>
    <w:rsid w:val="00AD55F8"/>
    <w:rsid w:val="00AD5667"/>
    <w:rsid w:val="00AD61C1"/>
    <w:rsid w:val="00AD6B29"/>
    <w:rsid w:val="00AE14EE"/>
    <w:rsid w:val="00AE1F54"/>
    <w:rsid w:val="00AE2885"/>
    <w:rsid w:val="00AE49C3"/>
    <w:rsid w:val="00AF63C5"/>
    <w:rsid w:val="00AF64E1"/>
    <w:rsid w:val="00AF6FED"/>
    <w:rsid w:val="00AF78AC"/>
    <w:rsid w:val="00B0275A"/>
    <w:rsid w:val="00B0587D"/>
    <w:rsid w:val="00B12396"/>
    <w:rsid w:val="00B145C9"/>
    <w:rsid w:val="00B15E8B"/>
    <w:rsid w:val="00B22EED"/>
    <w:rsid w:val="00B251C6"/>
    <w:rsid w:val="00B31030"/>
    <w:rsid w:val="00B335C1"/>
    <w:rsid w:val="00B33BF4"/>
    <w:rsid w:val="00B42851"/>
    <w:rsid w:val="00B46408"/>
    <w:rsid w:val="00B50DB8"/>
    <w:rsid w:val="00B53815"/>
    <w:rsid w:val="00B53905"/>
    <w:rsid w:val="00B54B5B"/>
    <w:rsid w:val="00B54C66"/>
    <w:rsid w:val="00B5562E"/>
    <w:rsid w:val="00B55AFB"/>
    <w:rsid w:val="00B57000"/>
    <w:rsid w:val="00B607C0"/>
    <w:rsid w:val="00B60939"/>
    <w:rsid w:val="00B60AFD"/>
    <w:rsid w:val="00B620D9"/>
    <w:rsid w:val="00B624C0"/>
    <w:rsid w:val="00B62715"/>
    <w:rsid w:val="00B66993"/>
    <w:rsid w:val="00B7477D"/>
    <w:rsid w:val="00B7583D"/>
    <w:rsid w:val="00B8147D"/>
    <w:rsid w:val="00B818A4"/>
    <w:rsid w:val="00B82A21"/>
    <w:rsid w:val="00B82D30"/>
    <w:rsid w:val="00B82F59"/>
    <w:rsid w:val="00B82FF5"/>
    <w:rsid w:val="00B8483F"/>
    <w:rsid w:val="00B8649C"/>
    <w:rsid w:val="00B86C58"/>
    <w:rsid w:val="00B87B4D"/>
    <w:rsid w:val="00B87B93"/>
    <w:rsid w:val="00B87E17"/>
    <w:rsid w:val="00B91196"/>
    <w:rsid w:val="00B929D4"/>
    <w:rsid w:val="00B92D0B"/>
    <w:rsid w:val="00B94945"/>
    <w:rsid w:val="00B9639C"/>
    <w:rsid w:val="00BA42B0"/>
    <w:rsid w:val="00BA4DA9"/>
    <w:rsid w:val="00BB0825"/>
    <w:rsid w:val="00BB261E"/>
    <w:rsid w:val="00BB4846"/>
    <w:rsid w:val="00BB6742"/>
    <w:rsid w:val="00BB7405"/>
    <w:rsid w:val="00BC762D"/>
    <w:rsid w:val="00BC774A"/>
    <w:rsid w:val="00BD3C78"/>
    <w:rsid w:val="00BD6CF3"/>
    <w:rsid w:val="00BE0566"/>
    <w:rsid w:val="00BE066E"/>
    <w:rsid w:val="00BE208D"/>
    <w:rsid w:val="00BE2180"/>
    <w:rsid w:val="00BE2F44"/>
    <w:rsid w:val="00BE3497"/>
    <w:rsid w:val="00BE3B36"/>
    <w:rsid w:val="00BE4275"/>
    <w:rsid w:val="00BE4626"/>
    <w:rsid w:val="00BE51E0"/>
    <w:rsid w:val="00BE679A"/>
    <w:rsid w:val="00BE7466"/>
    <w:rsid w:val="00BF1712"/>
    <w:rsid w:val="00BF20D2"/>
    <w:rsid w:val="00BF20EA"/>
    <w:rsid w:val="00BF2433"/>
    <w:rsid w:val="00BF5C7C"/>
    <w:rsid w:val="00BF5FFB"/>
    <w:rsid w:val="00BF61C9"/>
    <w:rsid w:val="00BF6488"/>
    <w:rsid w:val="00C0338F"/>
    <w:rsid w:val="00C04159"/>
    <w:rsid w:val="00C106BC"/>
    <w:rsid w:val="00C13CB7"/>
    <w:rsid w:val="00C14E0A"/>
    <w:rsid w:val="00C164D9"/>
    <w:rsid w:val="00C17B62"/>
    <w:rsid w:val="00C21457"/>
    <w:rsid w:val="00C234E9"/>
    <w:rsid w:val="00C24365"/>
    <w:rsid w:val="00C25418"/>
    <w:rsid w:val="00C25D9C"/>
    <w:rsid w:val="00C269C3"/>
    <w:rsid w:val="00C312F8"/>
    <w:rsid w:val="00C31649"/>
    <w:rsid w:val="00C32A42"/>
    <w:rsid w:val="00C34CF4"/>
    <w:rsid w:val="00C374AD"/>
    <w:rsid w:val="00C40385"/>
    <w:rsid w:val="00C40DF3"/>
    <w:rsid w:val="00C42C81"/>
    <w:rsid w:val="00C431DA"/>
    <w:rsid w:val="00C44B18"/>
    <w:rsid w:val="00C459D7"/>
    <w:rsid w:val="00C46555"/>
    <w:rsid w:val="00C50083"/>
    <w:rsid w:val="00C57999"/>
    <w:rsid w:val="00C6087A"/>
    <w:rsid w:val="00C6396B"/>
    <w:rsid w:val="00C65576"/>
    <w:rsid w:val="00C66165"/>
    <w:rsid w:val="00C66A82"/>
    <w:rsid w:val="00C72467"/>
    <w:rsid w:val="00C7471B"/>
    <w:rsid w:val="00C750C8"/>
    <w:rsid w:val="00C7558D"/>
    <w:rsid w:val="00C7620A"/>
    <w:rsid w:val="00C803CD"/>
    <w:rsid w:val="00C81B3F"/>
    <w:rsid w:val="00C8213F"/>
    <w:rsid w:val="00C84659"/>
    <w:rsid w:val="00C859E3"/>
    <w:rsid w:val="00C8637A"/>
    <w:rsid w:val="00C8797A"/>
    <w:rsid w:val="00C92980"/>
    <w:rsid w:val="00C938CF"/>
    <w:rsid w:val="00C970C4"/>
    <w:rsid w:val="00CA5245"/>
    <w:rsid w:val="00CA5C30"/>
    <w:rsid w:val="00CA7B09"/>
    <w:rsid w:val="00CB5B1A"/>
    <w:rsid w:val="00CC05FC"/>
    <w:rsid w:val="00CC1BC4"/>
    <w:rsid w:val="00CD0AFA"/>
    <w:rsid w:val="00CD6ADC"/>
    <w:rsid w:val="00CE0D92"/>
    <w:rsid w:val="00CE1FFF"/>
    <w:rsid w:val="00CE39B1"/>
    <w:rsid w:val="00CE3AF3"/>
    <w:rsid w:val="00CE6274"/>
    <w:rsid w:val="00CE6872"/>
    <w:rsid w:val="00CE69A9"/>
    <w:rsid w:val="00CE71EB"/>
    <w:rsid w:val="00CE7C06"/>
    <w:rsid w:val="00CF1292"/>
    <w:rsid w:val="00CF12E5"/>
    <w:rsid w:val="00CF456B"/>
    <w:rsid w:val="00CF4F21"/>
    <w:rsid w:val="00CF5A22"/>
    <w:rsid w:val="00D0262E"/>
    <w:rsid w:val="00D03D3E"/>
    <w:rsid w:val="00D07D05"/>
    <w:rsid w:val="00D110BD"/>
    <w:rsid w:val="00D11C5F"/>
    <w:rsid w:val="00D148B9"/>
    <w:rsid w:val="00D17D6C"/>
    <w:rsid w:val="00D200C7"/>
    <w:rsid w:val="00D205A8"/>
    <w:rsid w:val="00D23437"/>
    <w:rsid w:val="00D24253"/>
    <w:rsid w:val="00D24F20"/>
    <w:rsid w:val="00D357FF"/>
    <w:rsid w:val="00D402FE"/>
    <w:rsid w:val="00D437AA"/>
    <w:rsid w:val="00D45281"/>
    <w:rsid w:val="00D45806"/>
    <w:rsid w:val="00D45CF1"/>
    <w:rsid w:val="00D5261D"/>
    <w:rsid w:val="00D5428A"/>
    <w:rsid w:val="00D57FF1"/>
    <w:rsid w:val="00D603B9"/>
    <w:rsid w:val="00D60BA5"/>
    <w:rsid w:val="00D70C01"/>
    <w:rsid w:val="00D70C07"/>
    <w:rsid w:val="00D751DD"/>
    <w:rsid w:val="00D76A44"/>
    <w:rsid w:val="00D824B7"/>
    <w:rsid w:val="00D829AA"/>
    <w:rsid w:val="00D869F5"/>
    <w:rsid w:val="00D92C79"/>
    <w:rsid w:val="00D93753"/>
    <w:rsid w:val="00D96B44"/>
    <w:rsid w:val="00D974EC"/>
    <w:rsid w:val="00DA2A6B"/>
    <w:rsid w:val="00DA2B58"/>
    <w:rsid w:val="00DA77A5"/>
    <w:rsid w:val="00DA7A6C"/>
    <w:rsid w:val="00DB1291"/>
    <w:rsid w:val="00DB1C3F"/>
    <w:rsid w:val="00DB293F"/>
    <w:rsid w:val="00DB666E"/>
    <w:rsid w:val="00DC2244"/>
    <w:rsid w:val="00DC5501"/>
    <w:rsid w:val="00DC7225"/>
    <w:rsid w:val="00DC7B5A"/>
    <w:rsid w:val="00DD3F28"/>
    <w:rsid w:val="00DD4537"/>
    <w:rsid w:val="00DD495A"/>
    <w:rsid w:val="00DD4E15"/>
    <w:rsid w:val="00DE4687"/>
    <w:rsid w:val="00DE4FCB"/>
    <w:rsid w:val="00DE54AF"/>
    <w:rsid w:val="00DE79DB"/>
    <w:rsid w:val="00DF0469"/>
    <w:rsid w:val="00DF1111"/>
    <w:rsid w:val="00DF1A2E"/>
    <w:rsid w:val="00DF3626"/>
    <w:rsid w:val="00DF4237"/>
    <w:rsid w:val="00DF42DD"/>
    <w:rsid w:val="00DF4CA0"/>
    <w:rsid w:val="00DF5D2B"/>
    <w:rsid w:val="00E009DE"/>
    <w:rsid w:val="00E06DEC"/>
    <w:rsid w:val="00E10149"/>
    <w:rsid w:val="00E12EBE"/>
    <w:rsid w:val="00E16372"/>
    <w:rsid w:val="00E16992"/>
    <w:rsid w:val="00E20ED6"/>
    <w:rsid w:val="00E21358"/>
    <w:rsid w:val="00E2249B"/>
    <w:rsid w:val="00E22A0D"/>
    <w:rsid w:val="00E2322B"/>
    <w:rsid w:val="00E26F19"/>
    <w:rsid w:val="00E2771E"/>
    <w:rsid w:val="00E27846"/>
    <w:rsid w:val="00E36C7C"/>
    <w:rsid w:val="00E37569"/>
    <w:rsid w:val="00E41E30"/>
    <w:rsid w:val="00E4276C"/>
    <w:rsid w:val="00E43D70"/>
    <w:rsid w:val="00E43FB8"/>
    <w:rsid w:val="00E4402D"/>
    <w:rsid w:val="00E47B2C"/>
    <w:rsid w:val="00E47E6E"/>
    <w:rsid w:val="00E51560"/>
    <w:rsid w:val="00E51CC4"/>
    <w:rsid w:val="00E53B41"/>
    <w:rsid w:val="00E53DAA"/>
    <w:rsid w:val="00E55424"/>
    <w:rsid w:val="00E55BB5"/>
    <w:rsid w:val="00E57FB3"/>
    <w:rsid w:val="00E65E79"/>
    <w:rsid w:val="00E67416"/>
    <w:rsid w:val="00E7162B"/>
    <w:rsid w:val="00E718B6"/>
    <w:rsid w:val="00E71FDE"/>
    <w:rsid w:val="00E7248B"/>
    <w:rsid w:val="00E73581"/>
    <w:rsid w:val="00E83BDF"/>
    <w:rsid w:val="00E901BC"/>
    <w:rsid w:val="00E90BE3"/>
    <w:rsid w:val="00E90CAF"/>
    <w:rsid w:val="00E948FC"/>
    <w:rsid w:val="00E9515B"/>
    <w:rsid w:val="00EA2BD7"/>
    <w:rsid w:val="00EA3864"/>
    <w:rsid w:val="00EA422B"/>
    <w:rsid w:val="00EA5419"/>
    <w:rsid w:val="00EB15B6"/>
    <w:rsid w:val="00EB16C6"/>
    <w:rsid w:val="00EB4916"/>
    <w:rsid w:val="00EB6879"/>
    <w:rsid w:val="00EC00C9"/>
    <w:rsid w:val="00EC0FC1"/>
    <w:rsid w:val="00EC2221"/>
    <w:rsid w:val="00EC268E"/>
    <w:rsid w:val="00EC370B"/>
    <w:rsid w:val="00EC45E6"/>
    <w:rsid w:val="00ED0D8A"/>
    <w:rsid w:val="00ED27B0"/>
    <w:rsid w:val="00ED3164"/>
    <w:rsid w:val="00ED37B4"/>
    <w:rsid w:val="00ED3CAA"/>
    <w:rsid w:val="00ED3E04"/>
    <w:rsid w:val="00ED6582"/>
    <w:rsid w:val="00EE07D3"/>
    <w:rsid w:val="00EE1284"/>
    <w:rsid w:val="00EE4033"/>
    <w:rsid w:val="00EE480F"/>
    <w:rsid w:val="00EE49C3"/>
    <w:rsid w:val="00EE5AF1"/>
    <w:rsid w:val="00EF2B57"/>
    <w:rsid w:val="00EF3365"/>
    <w:rsid w:val="00EF4855"/>
    <w:rsid w:val="00EF6B58"/>
    <w:rsid w:val="00F01D7D"/>
    <w:rsid w:val="00F0287A"/>
    <w:rsid w:val="00F0350C"/>
    <w:rsid w:val="00F03C02"/>
    <w:rsid w:val="00F067A2"/>
    <w:rsid w:val="00F07154"/>
    <w:rsid w:val="00F077BC"/>
    <w:rsid w:val="00F11DBF"/>
    <w:rsid w:val="00F153FE"/>
    <w:rsid w:val="00F15938"/>
    <w:rsid w:val="00F204FE"/>
    <w:rsid w:val="00F214D8"/>
    <w:rsid w:val="00F221BB"/>
    <w:rsid w:val="00F24837"/>
    <w:rsid w:val="00F24A28"/>
    <w:rsid w:val="00F2575F"/>
    <w:rsid w:val="00F27D23"/>
    <w:rsid w:val="00F30179"/>
    <w:rsid w:val="00F3030E"/>
    <w:rsid w:val="00F326AB"/>
    <w:rsid w:val="00F33418"/>
    <w:rsid w:val="00F33DE9"/>
    <w:rsid w:val="00F3619A"/>
    <w:rsid w:val="00F412A4"/>
    <w:rsid w:val="00F42528"/>
    <w:rsid w:val="00F4562B"/>
    <w:rsid w:val="00F46CB6"/>
    <w:rsid w:val="00F47AF5"/>
    <w:rsid w:val="00F5217E"/>
    <w:rsid w:val="00F52E36"/>
    <w:rsid w:val="00F55AAC"/>
    <w:rsid w:val="00F55E73"/>
    <w:rsid w:val="00F60092"/>
    <w:rsid w:val="00F6229B"/>
    <w:rsid w:val="00F65681"/>
    <w:rsid w:val="00F6572E"/>
    <w:rsid w:val="00F66B8B"/>
    <w:rsid w:val="00F70C0D"/>
    <w:rsid w:val="00F711FA"/>
    <w:rsid w:val="00F80E5D"/>
    <w:rsid w:val="00F8170C"/>
    <w:rsid w:val="00F83A78"/>
    <w:rsid w:val="00F851CE"/>
    <w:rsid w:val="00F854DE"/>
    <w:rsid w:val="00F90A08"/>
    <w:rsid w:val="00F92D1E"/>
    <w:rsid w:val="00F97A78"/>
    <w:rsid w:val="00FA24E7"/>
    <w:rsid w:val="00FA3193"/>
    <w:rsid w:val="00FB1416"/>
    <w:rsid w:val="00FB2FCB"/>
    <w:rsid w:val="00FB40EF"/>
    <w:rsid w:val="00FB4763"/>
    <w:rsid w:val="00FB558F"/>
    <w:rsid w:val="00FC1074"/>
    <w:rsid w:val="00FC1468"/>
    <w:rsid w:val="00FC1884"/>
    <w:rsid w:val="00FC1C34"/>
    <w:rsid w:val="00FC3926"/>
    <w:rsid w:val="00FD1837"/>
    <w:rsid w:val="00FD2100"/>
    <w:rsid w:val="00FD2BFD"/>
    <w:rsid w:val="00FD3EE6"/>
    <w:rsid w:val="00FD446D"/>
    <w:rsid w:val="00FE15F8"/>
    <w:rsid w:val="00FE3117"/>
    <w:rsid w:val="00FF385C"/>
    <w:rsid w:val="00FF3DCF"/>
    <w:rsid w:val="00FF5AA3"/>
    <w:rsid w:val="00FF60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AF78AC"/>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AF78AC"/>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uiPriority w:val="10"/>
    <w:rsid w:val="00124A51"/>
    <w:rPr>
      <w:b/>
      <w:bCs/>
      <w:snapToGrid w:val="0"/>
      <w:color w:val="4F81BD" w:themeColor="accent1"/>
      <w:sz w:val="18"/>
      <w:szCs w:val="18"/>
      <w:lang w:eastAsia="en-US"/>
    </w:rPr>
  </w:style>
  <w:style w:type="paragraph" w:styleId="Title">
    <w:name w:val="Title"/>
    <w:basedOn w:val="Heading1"/>
    <w:next w:val="Normal"/>
    <w:link w:val="TitleChar"/>
    <w:rsid w:val="00AF78AC"/>
    <w:pPr>
      <w:jc w:val="left"/>
    </w:pPr>
    <w:rPr>
      <w:sz w:val="28"/>
    </w:rPr>
  </w:style>
  <w:style w:type="character" w:customStyle="1" w:styleId="TitleChar">
    <w:name w:val="Title Char"/>
    <w:basedOn w:val="DefaultParagraphFont"/>
    <w:link w:val="Title"/>
    <w:rsid w:val="00AF78A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DF0469"/>
    <w:rPr>
      <w:color w:val="auto"/>
      <w:sz w:val="20"/>
      <w:szCs w:val="20"/>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4201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42017"/>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A42017"/>
    <w:rPr>
      <w:rFonts w:ascii="Candara" w:hAnsi="Candara"/>
      <w:b/>
      <w:sz w:val="20"/>
      <w:lang w:val="en-AU"/>
    </w:rPr>
  </w:style>
  <w:style w:type="paragraph" w:customStyle="1" w:styleId="TableBullets">
    <w:name w:val="Table Bullets"/>
    <w:basedOn w:val="Table"/>
    <w:uiPriority w:val="5"/>
    <w:qFormat/>
    <w:rsid w:val="00590952"/>
    <w:pPr>
      <w:numPr>
        <w:numId w:val="4"/>
      </w:numPr>
    </w:pPr>
  </w:style>
  <w:style w:type="paragraph" w:customStyle="1" w:styleId="TableCentre">
    <w:name w:val="Table Centre"/>
    <w:basedOn w:val="Table"/>
    <w:qFormat/>
    <w:rsid w:val="00590952"/>
    <w:pPr>
      <w:jc w:val="center"/>
    </w:pPr>
  </w:style>
  <w:style w:type="character" w:customStyle="1" w:styleId="Small">
    <w:name w:val="Small"/>
    <w:basedOn w:val="DefaultParagraphFont"/>
    <w:uiPriority w:val="4"/>
    <w:qFormat/>
    <w:rsid w:val="00EE49C3"/>
    <w:rPr>
      <w:rFonts w:ascii="Candara" w:hAnsi="Candara"/>
      <w:sz w:val="20"/>
    </w:rPr>
  </w:style>
  <w:style w:type="paragraph" w:customStyle="1" w:styleId="CaptionFootnote">
    <w:name w:val="Caption Footnote"/>
    <w:basedOn w:val="Caption"/>
    <w:qFormat/>
    <w:rsid w:val="00EE49C3"/>
    <w:pPr>
      <w:keepNext/>
      <w:spacing w:after="0"/>
      <w:jc w:val="left"/>
    </w:pPr>
    <w:rPr>
      <w:rFonts w:ascii="Candara" w:eastAsiaTheme="majorEastAsia" w:hAnsi="Candara" w:cstheme="majorBidi"/>
      <w:b w:val="0"/>
      <w:snapToGrid/>
      <w:color w:val="auto"/>
      <w:sz w:val="16"/>
      <w:lang w:bidi="en-US"/>
    </w:rPr>
  </w:style>
  <w:style w:type="paragraph" w:styleId="FootnoteText">
    <w:name w:val="footnote text"/>
    <w:basedOn w:val="Normal"/>
    <w:link w:val="FootnoteTextChar"/>
    <w:semiHidden/>
    <w:unhideWhenUsed/>
    <w:rsid w:val="003B59F2"/>
    <w:rPr>
      <w:sz w:val="20"/>
    </w:rPr>
  </w:style>
  <w:style w:type="character" w:customStyle="1" w:styleId="FootnoteTextChar">
    <w:name w:val="Footnote Text Char"/>
    <w:basedOn w:val="DefaultParagraphFont"/>
    <w:link w:val="FootnoteText"/>
    <w:semiHidden/>
    <w:rsid w:val="003B59F2"/>
    <w:rPr>
      <w:rFonts w:ascii="Arial" w:hAnsi="Arial" w:cs="Arial"/>
      <w:snapToGrid w:val="0"/>
      <w:lang w:eastAsia="en-US"/>
    </w:rPr>
  </w:style>
  <w:style w:type="character" w:styleId="FootnoteReference">
    <w:name w:val="footnote reference"/>
    <w:basedOn w:val="DefaultParagraphFont"/>
    <w:semiHidden/>
    <w:unhideWhenUsed/>
    <w:rsid w:val="003B59F2"/>
    <w:rPr>
      <w:vertAlign w:val="superscript"/>
    </w:rPr>
  </w:style>
  <w:style w:type="character" w:styleId="FollowedHyperlink">
    <w:name w:val="FollowedHyperlink"/>
    <w:basedOn w:val="DefaultParagraphFont"/>
    <w:semiHidden/>
    <w:unhideWhenUsed/>
    <w:rsid w:val="001E2403"/>
    <w:rPr>
      <w:color w:val="800080" w:themeColor="followedHyperlink"/>
      <w:u w:val="single"/>
    </w:rPr>
  </w:style>
  <w:style w:type="paragraph" w:customStyle="1" w:styleId="TableLeft">
    <w:name w:val="Table Left"/>
    <w:basedOn w:val="Normal"/>
    <w:link w:val="TableLeftChar"/>
    <w:uiPriority w:val="5"/>
    <w:qFormat/>
    <w:rsid w:val="00684A33"/>
    <w:pPr>
      <w:widowControl/>
      <w:jc w:val="left"/>
    </w:pPr>
    <w:rPr>
      <w:rFonts w:ascii="Calibri" w:eastAsia="MS Gothic" w:hAnsi="Calibri" w:cs="Times New Roman"/>
      <w:snapToGrid/>
      <w:sz w:val="20"/>
    </w:rPr>
  </w:style>
  <w:style w:type="character" w:customStyle="1" w:styleId="TableLeftChar">
    <w:name w:val="Table Left Char"/>
    <w:link w:val="TableLeft"/>
    <w:uiPriority w:val="5"/>
    <w:rsid w:val="00684A33"/>
    <w:rPr>
      <w:rFonts w:ascii="Calibri" w:eastAsia="MS Gothic" w:hAnsi="Calibri"/>
      <w:lang w:eastAsia="en-US"/>
    </w:rPr>
  </w:style>
  <w:style w:type="character" w:customStyle="1" w:styleId="TableFooterChar">
    <w:name w:val="Table Footer Char"/>
    <w:link w:val="TableFooter"/>
    <w:rsid w:val="00117E32"/>
    <w:rPr>
      <w:rFonts w:ascii="Arial Narrow" w:hAnsi="Arial Narrow" w:cs="Arial"/>
      <w:snapToGrid w:val="0"/>
      <w:sz w:val="18"/>
      <w:lang w:eastAsia="en-US"/>
    </w:rPr>
  </w:style>
  <w:style w:type="character" w:customStyle="1" w:styleId="TableBold">
    <w:name w:val="Table Bold"/>
    <w:uiPriority w:val="4"/>
    <w:qFormat/>
    <w:rsid w:val="00117E32"/>
    <w:rPr>
      <w:rFonts w:ascii="Calibri" w:hAnsi="Calibri"/>
      <w:b/>
      <w:sz w:val="20"/>
      <w:lang w:val="en-AU"/>
    </w:rPr>
  </w:style>
  <w:style w:type="paragraph" w:customStyle="1" w:styleId="NormalBulletList">
    <w:name w:val="Normal Bullet List"/>
    <w:basedOn w:val="Normal"/>
    <w:uiPriority w:val="3"/>
    <w:qFormat/>
    <w:rsid w:val="00117E32"/>
    <w:pPr>
      <w:widowControl/>
      <w:numPr>
        <w:numId w:val="5"/>
      </w:numPr>
      <w:spacing w:after="240" w:line="276" w:lineRule="auto"/>
      <w:ind w:left="357" w:hanging="357"/>
      <w:contextualSpacing/>
    </w:pPr>
    <w:rPr>
      <w:rFonts w:ascii="Calibri" w:eastAsia="MS Gothic" w:hAnsi="Calibri" w:cs="Times New Roman"/>
      <w:snapToGrid/>
      <w:sz w:val="24"/>
      <w:szCs w:val="22"/>
      <w:lang w:bidi="en-US"/>
    </w:rPr>
  </w:style>
  <w:style w:type="paragraph" w:styleId="DocumentMap">
    <w:name w:val="Document Map"/>
    <w:basedOn w:val="Normal"/>
    <w:link w:val="DocumentMapChar"/>
    <w:semiHidden/>
    <w:unhideWhenUsed/>
    <w:rsid w:val="00117E32"/>
    <w:rPr>
      <w:rFonts w:ascii="Lucida Grande" w:hAnsi="Lucida Grande" w:cs="Lucida Grande"/>
      <w:sz w:val="24"/>
      <w:szCs w:val="24"/>
    </w:rPr>
  </w:style>
  <w:style w:type="character" w:customStyle="1" w:styleId="DocumentMapChar">
    <w:name w:val="Document Map Char"/>
    <w:basedOn w:val="DefaultParagraphFont"/>
    <w:link w:val="DocumentMap"/>
    <w:semiHidden/>
    <w:rsid w:val="00117E32"/>
    <w:rPr>
      <w:rFonts w:ascii="Lucida Grande" w:hAnsi="Lucida Grande" w:cs="Lucida Grande"/>
      <w:snapToGrid w:val="0"/>
      <w:sz w:val="24"/>
      <w:szCs w:val="24"/>
      <w:lang w:eastAsia="en-US"/>
    </w:rPr>
  </w:style>
  <w:style w:type="paragraph" w:customStyle="1" w:styleId="TableSmall">
    <w:name w:val="Table Small"/>
    <w:basedOn w:val="Table"/>
    <w:qFormat/>
    <w:rsid w:val="00117E32"/>
    <w:rPr>
      <w:rFonts w:ascii="Calibri" w:eastAsia="MS Gothic" w:hAnsi="Calibri" w:cs="Times New Roman"/>
      <w:sz w:val="18"/>
    </w:rPr>
  </w:style>
  <w:style w:type="character" w:customStyle="1" w:styleId="TableText1">
    <w:name w:val="Table Text"/>
    <w:uiPriority w:val="4"/>
    <w:qFormat/>
    <w:rsid w:val="00117E32"/>
    <w:rPr>
      <w:rFonts w:ascii="Calibri" w:hAnsi="Calibri"/>
      <w:sz w:val="20"/>
    </w:rPr>
  </w:style>
  <w:style w:type="paragraph" w:customStyle="1" w:styleId="TableCentred">
    <w:name w:val="Table Centred"/>
    <w:basedOn w:val="Normal"/>
    <w:link w:val="TableCentredChar"/>
    <w:uiPriority w:val="5"/>
    <w:qFormat/>
    <w:rsid w:val="00117E32"/>
    <w:pPr>
      <w:widowControl/>
      <w:spacing w:line="276" w:lineRule="auto"/>
      <w:jc w:val="center"/>
    </w:pPr>
    <w:rPr>
      <w:rFonts w:ascii="Calibri" w:eastAsia="MS Gothic" w:hAnsi="Calibri" w:cs="Times New Roman"/>
      <w:snapToGrid/>
      <w:sz w:val="20"/>
    </w:rPr>
  </w:style>
  <w:style w:type="character" w:customStyle="1" w:styleId="TableCentredChar">
    <w:name w:val="Table Centred Char"/>
    <w:link w:val="TableCentred"/>
    <w:uiPriority w:val="5"/>
    <w:rsid w:val="00117E32"/>
    <w:rPr>
      <w:rFonts w:ascii="Calibri" w:eastAsia="MS Gothic" w:hAnsi="Calibri"/>
      <w:lang w:eastAsia="en-US"/>
    </w:rPr>
  </w:style>
  <w:style w:type="character" w:customStyle="1" w:styleId="Font">
    <w:name w:val="Font"/>
    <w:basedOn w:val="DefaultParagraphFont"/>
    <w:uiPriority w:val="1"/>
    <w:qFormat/>
    <w:rsid w:val="00117E32"/>
    <w:rPr>
      <w:rFonts w:ascii="Candara" w:hAnsi="Candara"/>
      <w:sz w:val="24"/>
    </w:rPr>
  </w:style>
  <w:style w:type="character" w:customStyle="1" w:styleId="FontHighlight">
    <w:name w:val="Font Highlight"/>
    <w:basedOn w:val="Font"/>
    <w:uiPriority w:val="2"/>
    <w:qFormat/>
    <w:rsid w:val="00117E32"/>
    <w:rPr>
      <w:rFonts w:ascii="Candara" w:hAnsi="Candara"/>
      <w:sz w:val="24"/>
      <w:bdr w:val="none" w:sz="0" w:space="0" w:color="auto"/>
      <w:shd w:val="clear" w:color="auto" w:fill="FFFF00"/>
    </w:rPr>
  </w:style>
  <w:style w:type="paragraph" w:customStyle="1" w:styleId="CaptionFootnotes">
    <w:name w:val="Caption Footnotes"/>
    <w:basedOn w:val="Normal"/>
    <w:link w:val="CaptionFootnotesChar"/>
    <w:uiPriority w:val="6"/>
    <w:qFormat/>
    <w:rsid w:val="00117E32"/>
    <w:pPr>
      <w:widowControl/>
      <w:jc w:val="left"/>
    </w:pPr>
    <w:rPr>
      <w:rFonts w:ascii="Candara" w:eastAsiaTheme="majorEastAsia" w:hAnsi="Candara" w:cstheme="majorBidi"/>
      <w:snapToGrid/>
      <w:sz w:val="16"/>
      <w:szCs w:val="22"/>
      <w:lang w:bidi="en-US"/>
    </w:rPr>
  </w:style>
  <w:style w:type="character" w:customStyle="1" w:styleId="CaptionFootnotesChar">
    <w:name w:val="Caption Footnotes Char"/>
    <w:basedOn w:val="DefaultParagraphFont"/>
    <w:link w:val="CaptionFootnotes"/>
    <w:uiPriority w:val="6"/>
    <w:rsid w:val="00117E32"/>
    <w:rPr>
      <w:rFonts w:ascii="Candara" w:eastAsiaTheme="majorEastAsia" w:hAnsi="Candara" w:cstheme="majorBidi"/>
      <w:sz w:val="16"/>
      <w:szCs w:val="22"/>
      <w:lang w:eastAsia="en-US" w:bidi="en-US"/>
    </w:rPr>
  </w:style>
  <w:style w:type="paragraph" w:customStyle="1" w:styleId="TableText2centerheaderrow">
    <w:name w:val="Table Text 2 (center) header row"/>
    <w:basedOn w:val="Normal"/>
    <w:rsid w:val="00117E32"/>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117E32"/>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117E32"/>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character" w:customStyle="1" w:styleId="NoSpacingChar">
    <w:name w:val="No Spacing Char"/>
    <w:basedOn w:val="DefaultParagraphFont"/>
    <w:link w:val="NoSpacing"/>
    <w:uiPriority w:val="1"/>
    <w:rsid w:val="00117E32"/>
    <w:rPr>
      <w:rFonts w:ascii="Arial" w:hAnsi="Arial" w:cs="Arial"/>
      <w:snapToGrid w:val="0"/>
      <w:sz w:val="22"/>
      <w:lang w:eastAsia="en-US"/>
    </w:rPr>
  </w:style>
  <w:style w:type="paragraph" w:customStyle="1" w:styleId="TableRight">
    <w:name w:val="Table Right"/>
    <w:basedOn w:val="Table"/>
    <w:next w:val="Table"/>
    <w:qFormat/>
    <w:rsid w:val="00117E32"/>
    <w:pPr>
      <w:jc w:val="right"/>
    </w:pPr>
  </w:style>
  <w:style w:type="character" w:customStyle="1" w:styleId="highlight">
    <w:name w:val="highlight"/>
    <w:basedOn w:val="DefaultParagraphFont"/>
    <w:rsid w:val="00117E32"/>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17E32"/>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73399F"/>
    <w:pPr>
      <w:ind w:left="720" w:hanging="720"/>
    </w:pPr>
    <w:rPr>
      <w:rFonts w:ascii="Arial" w:hAnsi="Arial" w:cs="Arial"/>
      <w:snapToGrid w:val="0"/>
      <w:sz w:val="22"/>
      <w:szCs w:val="22"/>
      <w:lang w:eastAsia="en-US"/>
    </w:rPr>
  </w:style>
  <w:style w:type="character" w:customStyle="1" w:styleId="st1">
    <w:name w:val="st1"/>
    <w:basedOn w:val="DefaultParagraphFont"/>
    <w:rsid w:val="00FE3117"/>
  </w:style>
  <w:style w:type="paragraph" w:styleId="EndnoteText">
    <w:name w:val="endnote text"/>
    <w:basedOn w:val="Normal"/>
    <w:link w:val="EndnoteTextChar"/>
    <w:semiHidden/>
    <w:unhideWhenUsed/>
    <w:rsid w:val="00D70C07"/>
    <w:rPr>
      <w:sz w:val="20"/>
    </w:rPr>
  </w:style>
  <w:style w:type="character" w:customStyle="1" w:styleId="EndnoteTextChar">
    <w:name w:val="Endnote Text Char"/>
    <w:basedOn w:val="DefaultParagraphFont"/>
    <w:link w:val="EndnoteText"/>
    <w:semiHidden/>
    <w:rsid w:val="00D70C07"/>
    <w:rPr>
      <w:rFonts w:ascii="Arial" w:hAnsi="Arial" w:cs="Arial"/>
      <w:snapToGrid w:val="0"/>
      <w:lang w:eastAsia="en-US"/>
    </w:rPr>
  </w:style>
  <w:style w:type="character" w:styleId="EndnoteReference">
    <w:name w:val="endnote reference"/>
    <w:basedOn w:val="DefaultParagraphFont"/>
    <w:semiHidden/>
    <w:unhideWhenUsed/>
    <w:rsid w:val="00D70C07"/>
    <w:rPr>
      <w:vertAlign w:val="superscript"/>
    </w:rPr>
  </w:style>
  <w:style w:type="character" w:customStyle="1" w:styleId="ListParagraphChar">
    <w:name w:val="List Paragraph Char"/>
    <w:link w:val="ListParagraph"/>
    <w:uiPriority w:val="99"/>
    <w:rsid w:val="00211254"/>
    <w:rPr>
      <w:rFonts w:ascii="Arial" w:hAnsi="Arial" w:cs="Arial"/>
      <w:snapToGrid w:val="0"/>
      <w:sz w:val="22"/>
      <w:lang w:eastAsia="en-US"/>
    </w:rPr>
  </w:style>
  <w:style w:type="paragraph" w:styleId="IntenseQuote">
    <w:name w:val="Intense Quote"/>
    <w:basedOn w:val="Normal"/>
    <w:next w:val="Normal"/>
    <w:link w:val="IntenseQuoteChar"/>
    <w:uiPriority w:val="30"/>
    <w:qFormat/>
    <w:rsid w:val="0004344D"/>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rPr>
  </w:style>
  <w:style w:type="character" w:customStyle="1" w:styleId="IntenseQuoteChar">
    <w:name w:val="Intense Quote Char"/>
    <w:basedOn w:val="DefaultParagraphFont"/>
    <w:link w:val="IntenseQuote"/>
    <w:uiPriority w:val="30"/>
    <w:rsid w:val="0004344D"/>
    <w:rPr>
      <w:b/>
      <w:bCs/>
      <w:i/>
      <w:iCs/>
      <w:snapToGrid w:val="0"/>
      <w:color w:val="4F81BD" w:themeColor="accent1"/>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AF78AC"/>
    <w:pPr>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AF78AC"/>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har Char Char,Char Char1,Char Char,Char1,Table caption,Caption 3,c,appendix"/>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Char Char Char Char,Char Char1 Char,Char Char Char1,Char1 Char,Table caption Char,Caption 3 Char,c Char,appendix Char"/>
    <w:link w:val="Caption"/>
    <w:uiPriority w:val="10"/>
    <w:rsid w:val="00124A51"/>
    <w:rPr>
      <w:b/>
      <w:bCs/>
      <w:snapToGrid w:val="0"/>
      <w:color w:val="4F81BD" w:themeColor="accent1"/>
      <w:sz w:val="18"/>
      <w:szCs w:val="18"/>
      <w:lang w:eastAsia="en-US"/>
    </w:rPr>
  </w:style>
  <w:style w:type="paragraph" w:styleId="Title">
    <w:name w:val="Title"/>
    <w:basedOn w:val="Heading1"/>
    <w:next w:val="Normal"/>
    <w:link w:val="TitleChar"/>
    <w:rsid w:val="00AF78AC"/>
    <w:pPr>
      <w:jc w:val="left"/>
    </w:pPr>
    <w:rPr>
      <w:sz w:val="28"/>
    </w:rPr>
  </w:style>
  <w:style w:type="character" w:customStyle="1" w:styleId="TitleChar">
    <w:name w:val="Title Char"/>
    <w:basedOn w:val="DefaultParagraphFont"/>
    <w:link w:val="Title"/>
    <w:rsid w:val="00AF78A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DF0469"/>
    <w:rPr>
      <w:color w:val="auto"/>
      <w:sz w:val="20"/>
      <w:szCs w:val="20"/>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4201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42017"/>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A42017"/>
    <w:rPr>
      <w:rFonts w:ascii="Candara" w:hAnsi="Candara"/>
      <w:b/>
      <w:sz w:val="20"/>
      <w:lang w:val="en-AU"/>
    </w:rPr>
  </w:style>
  <w:style w:type="paragraph" w:customStyle="1" w:styleId="TableBullets">
    <w:name w:val="Table Bullets"/>
    <w:basedOn w:val="Table"/>
    <w:uiPriority w:val="5"/>
    <w:qFormat/>
    <w:rsid w:val="00590952"/>
    <w:pPr>
      <w:numPr>
        <w:numId w:val="4"/>
      </w:numPr>
    </w:pPr>
  </w:style>
  <w:style w:type="paragraph" w:customStyle="1" w:styleId="TableCentre">
    <w:name w:val="Table Centre"/>
    <w:basedOn w:val="Table"/>
    <w:qFormat/>
    <w:rsid w:val="00590952"/>
    <w:pPr>
      <w:jc w:val="center"/>
    </w:pPr>
  </w:style>
  <w:style w:type="character" w:customStyle="1" w:styleId="Small">
    <w:name w:val="Small"/>
    <w:basedOn w:val="DefaultParagraphFont"/>
    <w:uiPriority w:val="4"/>
    <w:qFormat/>
    <w:rsid w:val="00EE49C3"/>
    <w:rPr>
      <w:rFonts w:ascii="Candara" w:hAnsi="Candara"/>
      <w:sz w:val="20"/>
    </w:rPr>
  </w:style>
  <w:style w:type="paragraph" w:customStyle="1" w:styleId="CaptionFootnote">
    <w:name w:val="Caption Footnote"/>
    <w:basedOn w:val="Caption"/>
    <w:qFormat/>
    <w:rsid w:val="00EE49C3"/>
    <w:pPr>
      <w:keepNext/>
      <w:spacing w:after="0"/>
      <w:jc w:val="left"/>
    </w:pPr>
    <w:rPr>
      <w:rFonts w:ascii="Candara" w:eastAsiaTheme="majorEastAsia" w:hAnsi="Candara" w:cstheme="majorBidi"/>
      <w:b w:val="0"/>
      <w:snapToGrid/>
      <w:color w:val="auto"/>
      <w:sz w:val="16"/>
      <w:lang w:bidi="en-US"/>
    </w:rPr>
  </w:style>
  <w:style w:type="paragraph" w:styleId="FootnoteText">
    <w:name w:val="footnote text"/>
    <w:basedOn w:val="Normal"/>
    <w:link w:val="FootnoteTextChar"/>
    <w:semiHidden/>
    <w:unhideWhenUsed/>
    <w:rsid w:val="003B59F2"/>
    <w:rPr>
      <w:sz w:val="20"/>
    </w:rPr>
  </w:style>
  <w:style w:type="character" w:customStyle="1" w:styleId="FootnoteTextChar">
    <w:name w:val="Footnote Text Char"/>
    <w:basedOn w:val="DefaultParagraphFont"/>
    <w:link w:val="FootnoteText"/>
    <w:semiHidden/>
    <w:rsid w:val="003B59F2"/>
    <w:rPr>
      <w:rFonts w:ascii="Arial" w:hAnsi="Arial" w:cs="Arial"/>
      <w:snapToGrid w:val="0"/>
      <w:lang w:eastAsia="en-US"/>
    </w:rPr>
  </w:style>
  <w:style w:type="character" w:styleId="FootnoteReference">
    <w:name w:val="footnote reference"/>
    <w:basedOn w:val="DefaultParagraphFont"/>
    <w:semiHidden/>
    <w:unhideWhenUsed/>
    <w:rsid w:val="003B59F2"/>
    <w:rPr>
      <w:vertAlign w:val="superscript"/>
    </w:rPr>
  </w:style>
  <w:style w:type="character" w:styleId="FollowedHyperlink">
    <w:name w:val="FollowedHyperlink"/>
    <w:basedOn w:val="DefaultParagraphFont"/>
    <w:semiHidden/>
    <w:unhideWhenUsed/>
    <w:rsid w:val="001E2403"/>
    <w:rPr>
      <w:color w:val="800080" w:themeColor="followedHyperlink"/>
      <w:u w:val="single"/>
    </w:rPr>
  </w:style>
  <w:style w:type="paragraph" w:customStyle="1" w:styleId="TableLeft">
    <w:name w:val="Table Left"/>
    <w:basedOn w:val="Normal"/>
    <w:link w:val="TableLeftChar"/>
    <w:uiPriority w:val="5"/>
    <w:qFormat/>
    <w:rsid w:val="00684A33"/>
    <w:pPr>
      <w:widowControl/>
      <w:jc w:val="left"/>
    </w:pPr>
    <w:rPr>
      <w:rFonts w:ascii="Calibri" w:eastAsia="MS Gothic" w:hAnsi="Calibri" w:cs="Times New Roman"/>
      <w:snapToGrid/>
      <w:sz w:val="20"/>
    </w:rPr>
  </w:style>
  <w:style w:type="character" w:customStyle="1" w:styleId="TableLeftChar">
    <w:name w:val="Table Left Char"/>
    <w:link w:val="TableLeft"/>
    <w:uiPriority w:val="5"/>
    <w:rsid w:val="00684A33"/>
    <w:rPr>
      <w:rFonts w:ascii="Calibri" w:eastAsia="MS Gothic" w:hAnsi="Calibri"/>
      <w:lang w:eastAsia="en-US"/>
    </w:rPr>
  </w:style>
  <w:style w:type="character" w:customStyle="1" w:styleId="TableFooterChar">
    <w:name w:val="Table Footer Char"/>
    <w:link w:val="TableFooter"/>
    <w:rsid w:val="00117E32"/>
    <w:rPr>
      <w:rFonts w:ascii="Arial Narrow" w:hAnsi="Arial Narrow" w:cs="Arial"/>
      <w:snapToGrid w:val="0"/>
      <w:sz w:val="18"/>
      <w:lang w:eastAsia="en-US"/>
    </w:rPr>
  </w:style>
  <w:style w:type="character" w:customStyle="1" w:styleId="TableBold">
    <w:name w:val="Table Bold"/>
    <w:uiPriority w:val="4"/>
    <w:qFormat/>
    <w:rsid w:val="00117E32"/>
    <w:rPr>
      <w:rFonts w:ascii="Calibri" w:hAnsi="Calibri"/>
      <w:b/>
      <w:sz w:val="20"/>
      <w:lang w:val="en-AU"/>
    </w:rPr>
  </w:style>
  <w:style w:type="paragraph" w:customStyle="1" w:styleId="NormalBulletList">
    <w:name w:val="Normal Bullet List"/>
    <w:basedOn w:val="Normal"/>
    <w:uiPriority w:val="3"/>
    <w:qFormat/>
    <w:rsid w:val="00117E32"/>
    <w:pPr>
      <w:widowControl/>
      <w:numPr>
        <w:numId w:val="5"/>
      </w:numPr>
      <w:spacing w:after="240" w:line="276" w:lineRule="auto"/>
      <w:ind w:left="357" w:hanging="357"/>
      <w:contextualSpacing/>
    </w:pPr>
    <w:rPr>
      <w:rFonts w:ascii="Calibri" w:eastAsia="MS Gothic" w:hAnsi="Calibri" w:cs="Times New Roman"/>
      <w:snapToGrid/>
      <w:sz w:val="24"/>
      <w:szCs w:val="22"/>
      <w:lang w:bidi="en-US"/>
    </w:rPr>
  </w:style>
  <w:style w:type="paragraph" w:styleId="DocumentMap">
    <w:name w:val="Document Map"/>
    <w:basedOn w:val="Normal"/>
    <w:link w:val="DocumentMapChar"/>
    <w:semiHidden/>
    <w:unhideWhenUsed/>
    <w:rsid w:val="00117E32"/>
    <w:rPr>
      <w:rFonts w:ascii="Lucida Grande" w:hAnsi="Lucida Grande" w:cs="Lucida Grande"/>
      <w:sz w:val="24"/>
      <w:szCs w:val="24"/>
    </w:rPr>
  </w:style>
  <w:style w:type="character" w:customStyle="1" w:styleId="DocumentMapChar">
    <w:name w:val="Document Map Char"/>
    <w:basedOn w:val="DefaultParagraphFont"/>
    <w:link w:val="DocumentMap"/>
    <w:semiHidden/>
    <w:rsid w:val="00117E32"/>
    <w:rPr>
      <w:rFonts w:ascii="Lucida Grande" w:hAnsi="Lucida Grande" w:cs="Lucida Grande"/>
      <w:snapToGrid w:val="0"/>
      <w:sz w:val="24"/>
      <w:szCs w:val="24"/>
      <w:lang w:eastAsia="en-US"/>
    </w:rPr>
  </w:style>
  <w:style w:type="paragraph" w:customStyle="1" w:styleId="TableSmall">
    <w:name w:val="Table Small"/>
    <w:basedOn w:val="Table"/>
    <w:qFormat/>
    <w:rsid w:val="00117E32"/>
    <w:rPr>
      <w:rFonts w:ascii="Calibri" w:eastAsia="MS Gothic" w:hAnsi="Calibri" w:cs="Times New Roman"/>
      <w:sz w:val="18"/>
    </w:rPr>
  </w:style>
  <w:style w:type="character" w:customStyle="1" w:styleId="TableText1">
    <w:name w:val="Table Text"/>
    <w:uiPriority w:val="4"/>
    <w:qFormat/>
    <w:rsid w:val="00117E32"/>
    <w:rPr>
      <w:rFonts w:ascii="Calibri" w:hAnsi="Calibri"/>
      <w:sz w:val="20"/>
    </w:rPr>
  </w:style>
  <w:style w:type="paragraph" w:customStyle="1" w:styleId="TableCentred">
    <w:name w:val="Table Centred"/>
    <w:basedOn w:val="Normal"/>
    <w:link w:val="TableCentredChar"/>
    <w:uiPriority w:val="5"/>
    <w:qFormat/>
    <w:rsid w:val="00117E32"/>
    <w:pPr>
      <w:widowControl/>
      <w:spacing w:line="276" w:lineRule="auto"/>
      <w:jc w:val="center"/>
    </w:pPr>
    <w:rPr>
      <w:rFonts w:ascii="Calibri" w:eastAsia="MS Gothic" w:hAnsi="Calibri" w:cs="Times New Roman"/>
      <w:snapToGrid/>
      <w:sz w:val="20"/>
    </w:rPr>
  </w:style>
  <w:style w:type="character" w:customStyle="1" w:styleId="TableCentredChar">
    <w:name w:val="Table Centred Char"/>
    <w:link w:val="TableCentred"/>
    <w:uiPriority w:val="5"/>
    <w:rsid w:val="00117E32"/>
    <w:rPr>
      <w:rFonts w:ascii="Calibri" w:eastAsia="MS Gothic" w:hAnsi="Calibri"/>
      <w:lang w:eastAsia="en-US"/>
    </w:rPr>
  </w:style>
  <w:style w:type="character" w:customStyle="1" w:styleId="Font">
    <w:name w:val="Font"/>
    <w:basedOn w:val="DefaultParagraphFont"/>
    <w:uiPriority w:val="1"/>
    <w:qFormat/>
    <w:rsid w:val="00117E32"/>
    <w:rPr>
      <w:rFonts w:ascii="Candara" w:hAnsi="Candara"/>
      <w:sz w:val="24"/>
    </w:rPr>
  </w:style>
  <w:style w:type="character" w:customStyle="1" w:styleId="FontHighlight">
    <w:name w:val="Font Highlight"/>
    <w:basedOn w:val="Font"/>
    <w:uiPriority w:val="2"/>
    <w:qFormat/>
    <w:rsid w:val="00117E32"/>
    <w:rPr>
      <w:rFonts w:ascii="Candara" w:hAnsi="Candara"/>
      <w:sz w:val="24"/>
      <w:bdr w:val="none" w:sz="0" w:space="0" w:color="auto"/>
      <w:shd w:val="clear" w:color="auto" w:fill="FFFF00"/>
    </w:rPr>
  </w:style>
  <w:style w:type="paragraph" w:customStyle="1" w:styleId="CaptionFootnotes">
    <w:name w:val="Caption Footnotes"/>
    <w:basedOn w:val="Normal"/>
    <w:link w:val="CaptionFootnotesChar"/>
    <w:uiPriority w:val="6"/>
    <w:qFormat/>
    <w:rsid w:val="00117E32"/>
    <w:pPr>
      <w:widowControl/>
      <w:jc w:val="left"/>
    </w:pPr>
    <w:rPr>
      <w:rFonts w:ascii="Candara" w:eastAsiaTheme="majorEastAsia" w:hAnsi="Candara" w:cstheme="majorBidi"/>
      <w:snapToGrid/>
      <w:sz w:val="16"/>
      <w:szCs w:val="22"/>
      <w:lang w:bidi="en-US"/>
    </w:rPr>
  </w:style>
  <w:style w:type="character" w:customStyle="1" w:styleId="CaptionFootnotesChar">
    <w:name w:val="Caption Footnotes Char"/>
    <w:basedOn w:val="DefaultParagraphFont"/>
    <w:link w:val="CaptionFootnotes"/>
    <w:uiPriority w:val="6"/>
    <w:rsid w:val="00117E32"/>
    <w:rPr>
      <w:rFonts w:ascii="Candara" w:eastAsiaTheme="majorEastAsia" w:hAnsi="Candara" w:cstheme="majorBidi"/>
      <w:sz w:val="16"/>
      <w:szCs w:val="22"/>
      <w:lang w:eastAsia="en-US" w:bidi="en-US"/>
    </w:rPr>
  </w:style>
  <w:style w:type="paragraph" w:customStyle="1" w:styleId="TableText2centerheaderrow">
    <w:name w:val="Table Text 2 (center) header row"/>
    <w:basedOn w:val="Normal"/>
    <w:rsid w:val="00117E32"/>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117E32"/>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117E32"/>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character" w:customStyle="1" w:styleId="NoSpacingChar">
    <w:name w:val="No Spacing Char"/>
    <w:basedOn w:val="DefaultParagraphFont"/>
    <w:link w:val="NoSpacing"/>
    <w:uiPriority w:val="1"/>
    <w:rsid w:val="00117E32"/>
    <w:rPr>
      <w:rFonts w:ascii="Arial" w:hAnsi="Arial" w:cs="Arial"/>
      <w:snapToGrid w:val="0"/>
      <w:sz w:val="22"/>
      <w:lang w:eastAsia="en-US"/>
    </w:rPr>
  </w:style>
  <w:style w:type="paragraph" w:customStyle="1" w:styleId="TableRight">
    <w:name w:val="Table Right"/>
    <w:basedOn w:val="Table"/>
    <w:next w:val="Table"/>
    <w:qFormat/>
    <w:rsid w:val="00117E32"/>
    <w:pPr>
      <w:jc w:val="right"/>
    </w:pPr>
  </w:style>
  <w:style w:type="character" w:customStyle="1" w:styleId="highlight">
    <w:name w:val="highlight"/>
    <w:basedOn w:val="DefaultParagraphFont"/>
    <w:rsid w:val="00117E32"/>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17E32"/>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73399F"/>
    <w:pPr>
      <w:ind w:left="720" w:hanging="720"/>
    </w:pPr>
    <w:rPr>
      <w:rFonts w:ascii="Arial" w:hAnsi="Arial" w:cs="Arial"/>
      <w:snapToGrid w:val="0"/>
      <w:sz w:val="22"/>
      <w:szCs w:val="22"/>
      <w:lang w:eastAsia="en-US"/>
    </w:rPr>
  </w:style>
  <w:style w:type="character" w:customStyle="1" w:styleId="st1">
    <w:name w:val="st1"/>
    <w:basedOn w:val="DefaultParagraphFont"/>
    <w:rsid w:val="00FE3117"/>
  </w:style>
  <w:style w:type="paragraph" w:styleId="EndnoteText">
    <w:name w:val="endnote text"/>
    <w:basedOn w:val="Normal"/>
    <w:link w:val="EndnoteTextChar"/>
    <w:semiHidden/>
    <w:unhideWhenUsed/>
    <w:rsid w:val="00D70C07"/>
    <w:rPr>
      <w:sz w:val="20"/>
    </w:rPr>
  </w:style>
  <w:style w:type="character" w:customStyle="1" w:styleId="EndnoteTextChar">
    <w:name w:val="Endnote Text Char"/>
    <w:basedOn w:val="DefaultParagraphFont"/>
    <w:link w:val="EndnoteText"/>
    <w:semiHidden/>
    <w:rsid w:val="00D70C07"/>
    <w:rPr>
      <w:rFonts w:ascii="Arial" w:hAnsi="Arial" w:cs="Arial"/>
      <w:snapToGrid w:val="0"/>
      <w:lang w:eastAsia="en-US"/>
    </w:rPr>
  </w:style>
  <w:style w:type="character" w:styleId="EndnoteReference">
    <w:name w:val="endnote reference"/>
    <w:basedOn w:val="DefaultParagraphFont"/>
    <w:semiHidden/>
    <w:unhideWhenUsed/>
    <w:rsid w:val="00D70C07"/>
    <w:rPr>
      <w:vertAlign w:val="superscript"/>
    </w:rPr>
  </w:style>
  <w:style w:type="character" w:customStyle="1" w:styleId="ListParagraphChar">
    <w:name w:val="List Paragraph Char"/>
    <w:link w:val="ListParagraph"/>
    <w:uiPriority w:val="99"/>
    <w:rsid w:val="00211254"/>
    <w:rPr>
      <w:rFonts w:ascii="Arial" w:hAnsi="Arial" w:cs="Arial"/>
      <w:snapToGrid w:val="0"/>
      <w:sz w:val="22"/>
      <w:lang w:eastAsia="en-US"/>
    </w:rPr>
  </w:style>
  <w:style w:type="paragraph" w:styleId="IntenseQuote">
    <w:name w:val="Intense Quote"/>
    <w:basedOn w:val="Normal"/>
    <w:next w:val="Normal"/>
    <w:link w:val="IntenseQuoteChar"/>
    <w:uiPriority w:val="30"/>
    <w:qFormat/>
    <w:rsid w:val="0004344D"/>
    <w:pPr>
      <w:pBdr>
        <w:bottom w:val="single" w:sz="4" w:space="4" w:color="4F81BD" w:themeColor="accent1"/>
      </w:pBdr>
      <w:spacing w:before="200" w:after="280"/>
      <w:ind w:left="936" w:right="936"/>
    </w:pPr>
    <w:rPr>
      <w:rFonts w:ascii="Times New Roman" w:hAnsi="Times New Roman" w:cs="Times New Roman"/>
      <w:b/>
      <w:bCs/>
      <w:i/>
      <w:iCs/>
      <w:color w:val="4F81BD" w:themeColor="accent1"/>
      <w:sz w:val="24"/>
    </w:rPr>
  </w:style>
  <w:style w:type="character" w:customStyle="1" w:styleId="IntenseQuoteChar">
    <w:name w:val="Intense Quote Char"/>
    <w:basedOn w:val="DefaultParagraphFont"/>
    <w:link w:val="IntenseQuote"/>
    <w:uiPriority w:val="30"/>
    <w:rsid w:val="0004344D"/>
    <w:rPr>
      <w:b/>
      <w:bCs/>
      <w:i/>
      <w:iCs/>
      <w:snapToGrid w:val="0"/>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1847">
      <w:bodyDiv w:val="1"/>
      <w:marLeft w:val="0"/>
      <w:marRight w:val="0"/>
      <w:marTop w:val="0"/>
      <w:marBottom w:val="0"/>
      <w:divBdr>
        <w:top w:val="none" w:sz="0" w:space="0" w:color="auto"/>
        <w:left w:val="none" w:sz="0" w:space="0" w:color="auto"/>
        <w:bottom w:val="none" w:sz="0" w:space="0" w:color="auto"/>
        <w:right w:val="none" w:sz="0" w:space="0" w:color="auto"/>
      </w:divBdr>
    </w:div>
    <w:div w:id="209269082">
      <w:bodyDiv w:val="1"/>
      <w:marLeft w:val="0"/>
      <w:marRight w:val="0"/>
      <w:marTop w:val="0"/>
      <w:marBottom w:val="0"/>
      <w:divBdr>
        <w:top w:val="none" w:sz="0" w:space="0" w:color="auto"/>
        <w:left w:val="none" w:sz="0" w:space="0" w:color="auto"/>
        <w:bottom w:val="none" w:sz="0" w:space="0" w:color="auto"/>
        <w:right w:val="none" w:sz="0" w:space="0" w:color="auto"/>
      </w:divBdr>
    </w:div>
    <w:div w:id="272328954">
      <w:bodyDiv w:val="1"/>
      <w:marLeft w:val="0"/>
      <w:marRight w:val="0"/>
      <w:marTop w:val="0"/>
      <w:marBottom w:val="0"/>
      <w:divBdr>
        <w:top w:val="none" w:sz="0" w:space="0" w:color="auto"/>
        <w:left w:val="none" w:sz="0" w:space="0" w:color="auto"/>
        <w:bottom w:val="none" w:sz="0" w:space="0" w:color="auto"/>
        <w:right w:val="none" w:sz="0" w:space="0" w:color="auto"/>
      </w:divBdr>
    </w:div>
    <w:div w:id="278807225">
      <w:bodyDiv w:val="1"/>
      <w:marLeft w:val="0"/>
      <w:marRight w:val="0"/>
      <w:marTop w:val="0"/>
      <w:marBottom w:val="0"/>
      <w:divBdr>
        <w:top w:val="none" w:sz="0" w:space="0" w:color="auto"/>
        <w:left w:val="none" w:sz="0" w:space="0" w:color="auto"/>
        <w:bottom w:val="none" w:sz="0" w:space="0" w:color="auto"/>
        <w:right w:val="none" w:sz="0" w:space="0" w:color="auto"/>
      </w:divBdr>
    </w:div>
    <w:div w:id="429394690">
      <w:bodyDiv w:val="1"/>
      <w:marLeft w:val="0"/>
      <w:marRight w:val="0"/>
      <w:marTop w:val="0"/>
      <w:marBottom w:val="0"/>
      <w:divBdr>
        <w:top w:val="none" w:sz="0" w:space="0" w:color="auto"/>
        <w:left w:val="none" w:sz="0" w:space="0" w:color="auto"/>
        <w:bottom w:val="none" w:sz="0" w:space="0" w:color="auto"/>
        <w:right w:val="none" w:sz="0" w:space="0" w:color="auto"/>
      </w:divBdr>
    </w:div>
    <w:div w:id="793789890">
      <w:bodyDiv w:val="1"/>
      <w:marLeft w:val="0"/>
      <w:marRight w:val="0"/>
      <w:marTop w:val="0"/>
      <w:marBottom w:val="0"/>
      <w:divBdr>
        <w:top w:val="none" w:sz="0" w:space="0" w:color="auto"/>
        <w:left w:val="none" w:sz="0" w:space="0" w:color="auto"/>
        <w:bottom w:val="none" w:sz="0" w:space="0" w:color="auto"/>
        <w:right w:val="none" w:sz="0" w:space="0" w:color="auto"/>
      </w:divBdr>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984898021">
      <w:bodyDiv w:val="1"/>
      <w:marLeft w:val="0"/>
      <w:marRight w:val="0"/>
      <w:marTop w:val="0"/>
      <w:marBottom w:val="0"/>
      <w:divBdr>
        <w:top w:val="none" w:sz="0" w:space="0" w:color="auto"/>
        <w:left w:val="none" w:sz="0" w:space="0" w:color="auto"/>
        <w:bottom w:val="none" w:sz="0" w:space="0" w:color="auto"/>
        <w:right w:val="none" w:sz="0" w:space="0" w:color="auto"/>
      </w:divBdr>
    </w:div>
    <w:div w:id="1046761701">
      <w:bodyDiv w:val="1"/>
      <w:marLeft w:val="0"/>
      <w:marRight w:val="0"/>
      <w:marTop w:val="0"/>
      <w:marBottom w:val="0"/>
      <w:divBdr>
        <w:top w:val="none" w:sz="0" w:space="0" w:color="auto"/>
        <w:left w:val="none" w:sz="0" w:space="0" w:color="auto"/>
        <w:bottom w:val="none" w:sz="0" w:space="0" w:color="auto"/>
        <w:right w:val="none" w:sz="0" w:space="0" w:color="auto"/>
      </w:divBdr>
    </w:div>
    <w:div w:id="1154376616">
      <w:bodyDiv w:val="1"/>
      <w:marLeft w:val="0"/>
      <w:marRight w:val="0"/>
      <w:marTop w:val="0"/>
      <w:marBottom w:val="0"/>
      <w:divBdr>
        <w:top w:val="none" w:sz="0" w:space="0" w:color="auto"/>
        <w:left w:val="none" w:sz="0" w:space="0" w:color="auto"/>
        <w:bottom w:val="none" w:sz="0" w:space="0" w:color="auto"/>
        <w:right w:val="none" w:sz="0" w:space="0" w:color="auto"/>
      </w:divBdr>
    </w:div>
    <w:div w:id="1177385085">
      <w:bodyDiv w:val="1"/>
      <w:marLeft w:val="0"/>
      <w:marRight w:val="0"/>
      <w:marTop w:val="0"/>
      <w:marBottom w:val="0"/>
      <w:divBdr>
        <w:top w:val="none" w:sz="0" w:space="0" w:color="auto"/>
        <w:left w:val="none" w:sz="0" w:space="0" w:color="auto"/>
        <w:bottom w:val="none" w:sz="0" w:space="0" w:color="auto"/>
        <w:right w:val="none" w:sz="0" w:space="0" w:color="auto"/>
      </w:divBdr>
    </w:div>
    <w:div w:id="1302930052">
      <w:bodyDiv w:val="1"/>
      <w:marLeft w:val="0"/>
      <w:marRight w:val="0"/>
      <w:marTop w:val="0"/>
      <w:marBottom w:val="0"/>
      <w:divBdr>
        <w:top w:val="none" w:sz="0" w:space="0" w:color="auto"/>
        <w:left w:val="none" w:sz="0" w:space="0" w:color="auto"/>
        <w:bottom w:val="none" w:sz="0" w:space="0" w:color="auto"/>
        <w:right w:val="none" w:sz="0" w:space="0" w:color="auto"/>
      </w:divBdr>
    </w:div>
    <w:div w:id="1320034969">
      <w:bodyDiv w:val="1"/>
      <w:marLeft w:val="0"/>
      <w:marRight w:val="0"/>
      <w:marTop w:val="0"/>
      <w:marBottom w:val="0"/>
      <w:divBdr>
        <w:top w:val="none" w:sz="0" w:space="0" w:color="auto"/>
        <w:left w:val="none" w:sz="0" w:space="0" w:color="auto"/>
        <w:bottom w:val="none" w:sz="0" w:space="0" w:color="auto"/>
        <w:right w:val="none" w:sz="0" w:space="0" w:color="auto"/>
      </w:divBdr>
    </w:div>
    <w:div w:id="1724521507">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16531115">
      <w:bodyDiv w:val="1"/>
      <w:marLeft w:val="0"/>
      <w:marRight w:val="0"/>
      <w:marTop w:val="0"/>
      <w:marBottom w:val="0"/>
      <w:divBdr>
        <w:top w:val="none" w:sz="0" w:space="0" w:color="auto"/>
        <w:left w:val="none" w:sz="0" w:space="0" w:color="auto"/>
        <w:bottom w:val="none" w:sz="0" w:space="0" w:color="auto"/>
        <w:right w:val="none" w:sz="0" w:space="0" w:color="auto"/>
      </w:divBdr>
    </w:div>
    <w:div w:id="1888636614">
      <w:bodyDiv w:val="1"/>
      <w:marLeft w:val="0"/>
      <w:marRight w:val="0"/>
      <w:marTop w:val="0"/>
      <w:marBottom w:val="0"/>
      <w:divBdr>
        <w:top w:val="none" w:sz="0" w:space="0" w:color="auto"/>
        <w:left w:val="none" w:sz="0" w:space="0" w:color="auto"/>
        <w:bottom w:val="none" w:sz="0" w:space="0" w:color="auto"/>
        <w:right w:val="none" w:sz="0" w:space="0" w:color="auto"/>
      </w:divBdr>
    </w:div>
    <w:div w:id="1977710460">
      <w:bodyDiv w:val="1"/>
      <w:marLeft w:val="0"/>
      <w:marRight w:val="0"/>
      <w:marTop w:val="0"/>
      <w:marBottom w:val="0"/>
      <w:divBdr>
        <w:top w:val="none" w:sz="0" w:space="0" w:color="auto"/>
        <w:left w:val="none" w:sz="0" w:space="0" w:color="auto"/>
        <w:bottom w:val="none" w:sz="0" w:space="0" w:color="auto"/>
        <w:right w:val="none" w:sz="0" w:space="0" w:color="auto"/>
      </w:divBdr>
    </w:div>
    <w:div w:id="21128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Afd141</b:Tag>
    <b:SourceType>JournalArticle</b:SourceType>
    <b:Guid>{6F9B5F95-43BC-42C4-A54B-4B2FE7A00B77}</b:Guid>
    <b:Title>Ledipasvir and sofosbuvir for untreated HCV genotype 1 infection.</b:Title>
    <b:JournalName>N Engl J Med</b:JournalName>
    <b:Year>2014</b:Year>
    <b:Pages>370(20):1889-98</b:Pages>
    <b:Author>
      <b:Author>
        <b:NameList>
          <b:Person>
            <b:Last>Afdhal</b:Last>
            <b:First>N</b:First>
          </b:Person>
          <b:Person>
            <b:Last>Zeuzem</b:Last>
            <b:First>S</b:First>
          </b:Person>
          <b:Person>
            <b:Last>Kwo</b:Last>
            <b:First>P</b:First>
          </b:Person>
          <b:Person>
            <b:Last>Chojkier</b:Last>
            <b:First>M</b:First>
          </b:Person>
          <b:Person>
            <b:Last>Gitlin</b:Last>
            <b:First>N</b:First>
          </b:Person>
          <b:Person>
            <b:Last>Puoti</b:Last>
            <b:First>M</b:First>
          </b:Person>
          <b:Person>
            <b:Last>Romero-Gomez</b:Last>
            <b:First>M</b:First>
          </b:Person>
          <b:Person>
            <b:Last>Zerski</b:Last>
            <b:First>JP</b:First>
          </b:Person>
          <b:Person>
            <b:Last>Agarwal</b:Last>
            <b:First>K</b:First>
          </b:Person>
          <b:Person>
            <b:Last>Buggisch</b:Last>
            <b:First>P</b:First>
          </b:Person>
          <b:Person>
            <b:Last>Foster</b:Last>
            <b:First>GR</b:First>
          </b:Person>
          <b:Person>
            <b:Last>Braeu</b:Last>
            <b:First>N</b:First>
          </b:Person>
          <b:Person>
            <b:Last>Buti</b:Last>
            <b:First>M</b:First>
          </b:Person>
          <b:Person>
            <b:Last>Jacobson</b:Last>
            <b:First>IM</b:First>
          </b:Person>
          <b:Person>
            <b:Last>Subramanian</b:Last>
            <b:First>GM</b:First>
          </b:Person>
          <b:Person>
            <b:Last>Ding</b:Last>
            <b:First>X</b:First>
          </b:Person>
          <b:Person>
            <b:Last>Mo</b:Last>
            <b:First>H</b:First>
          </b:Person>
          <b:Person>
            <b:Last>Yang</b:Last>
            <b:First>JC</b:First>
          </b:Person>
          <b:Person>
            <b:Last>Pang</b:Last>
            <b:First>PS</b:First>
          </b:Person>
          <b:Person>
            <b:Last>Symonds</b:Last>
            <b:First>WT</b:First>
          </b:Person>
          <b:Person>
            <b:Last>McHutchison</b:Last>
            <b:First>JG</b:First>
          </b:Person>
          <b:Person>
            <b:Last>Muir</b:Last>
            <b:First>AH</b:First>
          </b:Person>
          <b:Person>
            <b:Last>Mangia</b:Last>
            <b:First>A</b:First>
          </b:Person>
          <b:Person>
            <b:Last>Marcellin</b:Last>
            <b:First>P</b:First>
          </b:Person>
        </b:NameList>
      </b:Author>
    </b:Author>
    <b:RefOrder>11</b:RefOrder>
  </b:Source>
  <b:Source>
    <b:Tag>Kow14</b:Tag>
    <b:SourceType>JournalArticle</b:SourceType>
    <b:Guid>{0736294D-2B52-4C82-A2D2-AED9884F55E5}</b:Guid>
    <b:Title>Ledipasvir and sofosbuvir for 8 or 12 weeks for chronic HCV without cirrhosis.</b:Title>
    <b:JournalName>N Engl J Med.</b:JournalName>
    <b:Year>2014</b:Year>
    <b:Pages>370(20):1879-88</b:Pages>
    <b:Author>
      <b:Author>
        <b:NameList>
          <b:Person>
            <b:Last>Kowdley</b:Last>
            <b:First>KV</b:First>
          </b:Person>
          <b:Person>
            <b:Last>Gordon</b:Last>
            <b:First>SC</b:First>
          </b:Person>
          <b:Person>
            <b:Last>Reddy</b:Last>
            <b:First>KR</b:First>
          </b:Person>
          <b:Person>
            <b:Last>Rossaro</b:Last>
            <b:First>L</b:First>
          </b:Person>
          <b:Person>
            <b:Last>Bernstein</b:Last>
            <b:First>DE</b:First>
          </b:Person>
          <b:Person>
            <b:Last>Lawitz</b:Last>
            <b:First>E</b:First>
          </b:Person>
          <b:Person>
            <b:Last>Shiffman</b:Last>
            <b:First>ML</b:First>
          </b:Person>
          <b:Person>
            <b:Last>Schiff</b:Last>
            <b:First>E</b:First>
          </b:Person>
          <b:Person>
            <b:Last>Ghalib</b:Last>
            <b:First>R</b:First>
          </b:Person>
          <b:Person>
            <b:Last>Ryan</b:Last>
            <b:First>M</b:First>
          </b:Person>
          <b:Person>
            <b:Last>Rustgi</b:Last>
            <b:First>V</b:First>
          </b:Person>
          <b:Person>
            <b:Last>Chojkier</b:Last>
            <b:First>M</b:First>
          </b:Person>
          <b:Person>
            <b:Last>Herring</b:Last>
            <b:First>R</b:First>
          </b:Person>
          <b:Person>
            <b:Last>DiBiceglie</b:Last>
            <b:First>AM</b:First>
          </b:Person>
          <b:Person>
            <b:Last>Pockros</b:Last>
            <b:First>PH</b:First>
          </b:Person>
          <b:Person>
            <b:Last>Subramanian</b:Last>
            <b:First>GM</b:First>
          </b:Person>
          <b:Person>
            <b:Last>An</b:Last>
            <b:First>D</b:First>
          </b:Person>
          <b:Person>
            <b:Last>Svarovskaia</b:Last>
            <b:First>E</b:First>
          </b:Person>
          <b:Person>
            <b:Last>Hyland</b:Last>
            <b:First>RH</b:First>
          </b:Person>
          <b:Person>
            <b:Last>Pany</b:Last>
            <b:First>PS</b:First>
          </b:Person>
          <b:Person>
            <b:Last>Symonds</b:Last>
            <b:First>WT</b:First>
          </b:Person>
          <b:Person>
            <b:Last>McHutchison</b:Last>
            <b:First>JG</b:First>
          </b:Person>
          <b:Person>
            <b:Last>Muir</b:Last>
            <b:First>AJ</b:First>
          </b:Person>
          <b:Person>
            <b:Last>Pound</b:Last>
            <b:First>D</b:First>
          </b:Person>
          <b:Person>
            <b:Last>Fried</b:Last>
            <b:First>MW</b:First>
          </b:Person>
        </b:NameList>
      </b:Author>
    </b:Author>
    <b:RefOrder>12</b:RefOrder>
  </b:Source>
  <b:Source>
    <b:Tag>Poo</b:Tag>
    <b:SourceType>JournalArticle</b:SourceType>
    <b:Guid>{C5C1F6B7-EAAA-459D-B779-FD20FB78ADBA}</b:Guid>
    <b:Author>
      <b:Author>
        <b:NameList>
          <b:Person>
            <b:Last>Poordad</b:Last>
            <b:First>F</b:First>
          </b:Person>
          <b:Person>
            <b:Last>McCone</b:Last>
            <b:First>J</b:First>
          </b:Person>
          <b:Person>
            <b:Last>Bacon</b:Last>
            <b:First>B</b:First>
          </b:Person>
          <b:Person>
            <b:Last>Bruno</b:Last>
            <b:First>S</b:First>
          </b:Person>
          <b:Person>
            <b:Last>Manns</b:Last>
            <b:First>M</b:First>
          </b:Person>
        </b:NameList>
      </b:Author>
    </b:Author>
    <b:Title>Boceprevir for untreated chronic HCV genotype 1 infection.</b:Title>
    <b:JournalName>New England Journal of Medicine</b:JournalName>
    <b:Year>2011</b:Year>
    <b:Pages>1195-206</b:Pages>
    <b:RefOrder>13</b:RefOrder>
  </b:Source>
  <b:Source>
    <b:Tag>Gor13</b:Tag>
    <b:SourceType>JournalArticle</b:SourceType>
    <b:Guid>{6136CBD1-A7DF-4665-848C-73181A44CE86}</b:Guid>
    <b:Title>Adherence to assigned dosing regimen and sustained virological response among chronic hepatitis C genotype 1 patients treated with boceprevir plus peginterferon alfa-2b/ribavirin.</b:Title>
    <b:Year>2013</b:Year>
    <b:JournalName>Alimentary pharmacology &amp; therapeutics</b:JournalName>
    <b:Pages>38(1):16-27</b:Pages>
    <b:Author>
      <b:Author>
        <b:NameList>
          <b:Person>
            <b:Last>Gordon</b:Last>
            <b:First>SC</b:First>
          </b:Person>
          <b:Person>
            <b:Last>Yoshida</b:Last>
            <b:First>EM</b:First>
          </b:Person>
          <b:Person>
            <b:Last>Lawitz</b:Last>
            <b:First>EJ</b:First>
          </b:Person>
          <b:Person>
            <b:Last>Bacon</b:Last>
            <b:First>BR</b:First>
          </b:Person>
          <b:Person>
            <b:Last>Sulkowski</b:Last>
            <b:First>MS</b:First>
          </b:Person>
          <b:Person>
            <b:Last>Davis</b:Last>
            <b:First>M</b:First>
          </b:Person>
          <b:Person>
            <b:Last>Poordad</b:Last>
            <b:First>F</b:First>
          </b:Person>
          <b:Person>
            <b:Last>Bronowicki</b:Last>
            <b:First>JP</b:First>
          </b:Person>
          <b:Person>
            <b:Last>Esteban</b:Last>
            <b:First>R</b:First>
          </b:Person>
          <b:Person>
            <b:Last>Sniukiene</b:Last>
            <b:First>V</b:First>
          </b:Person>
          <b:Person>
            <b:Last>Burroughs</b:Last>
            <b:First>MH</b:First>
          </b:Person>
          <b:Person>
            <b:Last>Deng</b:Last>
            <b:First>W</b:First>
          </b:Person>
          <b:Person>
            <b:Last>Dukto</b:Last>
            <b:First>FJ</b:First>
          </b:Person>
          <b:Person>
            <b:Last>Brass</b:Last>
            <b:First>CA</b:First>
          </b:Person>
          <b:Person>
            <b:Last>Albrecht</b:Last>
            <b:First>JK</b:First>
          </b:Person>
          <b:Person>
            <b:Last>Rajender</b:Last>
            <b:First>RK</b:First>
          </b:Person>
        </b:NameList>
      </b:Author>
    </b:Author>
    <b:RefOrder>14</b:RefOrder>
  </b:Source>
  <b:Source>
    <b:Tag>Jac12</b:Tag>
    <b:SourceType>JournalArticle</b:SourceType>
    <b:Guid>{F4DE8FF8-55F7-49C7-8242-A895BDAD2EBF}</b:Guid>
    <b:Title>Refinement of stopping rules during treatment of hepatitis C genotype 1 infection with boceprevir and peginterferon/ribavirin.</b:Title>
    <b:JournalName>Hepatology</b:JournalName>
    <b:Year>2012</b:Year>
    <b:Pages>56(2):567-75</b:Pages>
    <b:Author>
      <b:Author>
        <b:NameList>
          <b:Person>
            <b:Last>Jacobson</b:Last>
            <b:First>IM</b:First>
          </b:Person>
          <b:Person>
            <b:Last>Marcellin</b:Last>
            <b:First>P</b:First>
          </b:Person>
          <b:Person>
            <b:Last>Zeuzem</b:Last>
            <b:First>S</b:First>
          </b:Person>
          <b:Person>
            <b:Last>Sulkowski</b:Last>
            <b:First>MS</b:First>
          </b:Person>
          <b:Person>
            <b:Last>Esteban</b:Last>
            <b:First>R</b:First>
          </b:Person>
          <b:Person>
            <b:Last>Poordad</b:Last>
            <b:First>F</b:First>
          </b:Person>
          <b:Person>
            <b:Last>Bruno</b:Last>
            <b:First>S</b:First>
          </b:Person>
          <b:Person>
            <b:Last>Burroughs</b:Last>
            <b:First>MH</b:First>
          </b:Person>
          <b:Person>
            <b:Last>Pedicone</b:Last>
            <b:First>LD</b:First>
          </b:Person>
          <b:Person>
            <b:Last>Boparai</b:Last>
            <b:First>N</b:First>
          </b:Person>
          <b:Person>
            <b:Last>Deng</b:Last>
            <b:First>W</b:First>
          </b:Person>
          <b:Person>
            <b:Last>Dinubile</b:Last>
            <b:First>MJ</b:First>
          </b:Person>
          <b:Person>
            <b:Last>Gottesdiener</b:Last>
            <b:First>KM</b:First>
          </b:Person>
          <b:Person>
            <b:Last>Brass</b:Last>
            <b:First>CA</b:First>
          </b:Person>
          <b:Person>
            <b:Last>Albrecht</b:Last>
            <b:First>JK</b:First>
          </b:Person>
          <b:Person>
            <b:Last>Bronowicki</b:Last>
            <b:First>JP</b:First>
          </b:Person>
        </b:NameList>
      </b:Author>
    </b:Author>
    <b:RefOrder>15</b:RefOrder>
  </b:Source>
  <b:Source>
    <b:Tag>Bac11</b:Tag>
    <b:SourceType>JournalArticle</b:SourceType>
    <b:Guid>{13A3425A-2A20-4C2C-A707-F60336C4DAE6}</b:Guid>
    <b:Author>
      <b:Author>
        <b:NameList>
          <b:Person>
            <b:Last>Bacon</b:Last>
            <b:First>BR</b:First>
          </b:Person>
          <b:Person>
            <b:Last>Gordon</b:Last>
            <b:First>SC</b:First>
          </b:Person>
          <b:Person>
            <b:Last>Lawitz</b:Last>
            <b:First>E</b:First>
          </b:Person>
          <b:Person>
            <b:Last>Marcellin</b:Last>
            <b:First>P</b:First>
          </b:Person>
          <b:Person>
            <b:Last>Vierling</b:Last>
            <b:First>JM</b:First>
          </b:Person>
        </b:NameList>
      </b:Author>
    </b:Author>
    <b:Title>Bocepravir for previously treated chronic HCV genotype 1 infectoin</b:Title>
    <b:JournalName>New England Journal of Medicine</b:JournalName>
    <b:Year>2011</b:Year>
    <b:Pages>1207-17</b:Pages>
    <b:RefOrder>16</b:RefOrder>
  </b:Source>
  <b:Source>
    <b:Tag>Bar13</b:Tag>
    <b:SourceType>JournalArticle</b:SourceType>
    <b:Guid>{59870885-9852-4783-BA3B-F8A1005CD957}</b:Guid>
    <b:Title>Analysis of boceprevir resistance associated amino acid variants (RAVs) in two phase 3 boceprevir clinical studies.</b:Title>
    <b:JournalName>Virology</b:JournalName>
    <b:Year>2013</b:Year>
    <b:Pages>444(1-2):329-36</b:Pages>
    <b:Author>
      <b:Author>
        <b:NameList>
          <b:Person>
            <b:Last>Barnard</b:Last>
            <b:First>RJO</b:First>
          </b:Person>
          <b:Person>
            <b:Last>Howe</b:Last>
            <b:First>JA</b:First>
          </b:Person>
          <b:Person>
            <b:Last>Ogert</b:Last>
            <b:First>RA</b:First>
          </b:Person>
          <b:Person>
            <b:Last>Zeuzem</b:Last>
            <b:First>S</b:First>
          </b:Person>
          <b:Person>
            <b:Last>Poordad</b:Last>
            <b:First>F</b:First>
          </b:Person>
          <b:Person>
            <b:Last>Gordon</b:Last>
            <b:First>SC</b:First>
          </b:Person>
          <b:Person>
            <b:Last>Ralston</b:Last>
            <b:First>R</b:First>
          </b:Person>
          <b:Person>
            <b:Last>Tong</b:Last>
            <b:First>X</b:First>
          </b:Person>
          <b:Person>
            <b:Last>Sniukene</b:Last>
            <b:First>V</b:First>
          </b:Person>
          <b:Person>
            <b:Last>Strizki</b:Last>
            <b:First>J</b:First>
          </b:Person>
          <b:Person>
            <b:Last>Ryan</b:Last>
            <b:First>D</b:First>
          </b:Person>
          <b:Person>
            <b:Last>Long</b:Last>
            <b:First>J</b:First>
          </b:Person>
          <b:Person>
            <b:Last>Qiu</b:Last>
            <b:First>P</b:First>
          </b:Person>
          <b:Person>
            <b:Last>Brass</b:Last>
            <b:First>CA</b:First>
          </b:Person>
          <b:Person>
            <b:Last>Albrecht</b:Last>
            <b:First>J</b:First>
          </b:Person>
          <b:Person>
            <b:Last>Burroughs</b:Last>
            <b:First>M</b:First>
          </b:Person>
          <b:Person>
            <b:Last>Vuocolo</b:Last>
            <b:First>S</b:First>
          </b:Person>
          <b:Person>
            <b:Last>Hazuda</b:Last>
            <b:First>DJ</b:First>
          </b:Person>
        </b:NameList>
      </b:Author>
    </b:Author>
    <b:RefOrder>17</b:RefOrder>
  </b:Source>
  <b:Source>
    <b:Tag>Fla13</b:Tag>
    <b:SourceType>JournalArticle</b:SourceType>
    <b:Guid>{2EC54699-4427-4E0C-B65F-F60F69223861}</b:Guid>
    <b:Title>Boceprevir With Peginterferon Alfa-2a–Ribavirin Is Effective for Previously Treated Chronic Hepatitis C Genotype 1 Infection</b:Title>
    <b:JournalName>Clinical gastroenterology and hepatology</b:JournalName>
    <b:Year>2013</b:Year>
    <b:Pages>11:81-87</b:Pages>
    <b:Author>
      <b:Author>
        <b:NameList>
          <b:Person>
            <b:Last>Flamm</b:Last>
            <b:First>SL</b:First>
          </b:Person>
          <b:Person>
            <b:Last>Lawitz</b:Last>
            <b:First>E</b:First>
          </b:Person>
          <b:Person>
            <b:Last>Jacobson</b:Last>
            <b:First>I</b:First>
          </b:Person>
          <b:Person>
            <b:Last>Bourliere</b:Last>
            <b:First>M</b:First>
          </b:Person>
          <b:Person>
            <b:Last>Hezode</b:Last>
            <b:First>C</b:First>
          </b:Person>
          <b:Person>
            <b:Last>Vierling</b:Last>
            <b:First>JM</b:First>
          </b:Person>
          <b:Person>
            <b:Last>Bacon</b:Last>
            <b:First>BR</b:First>
          </b:Person>
          <b:Person>
            <b:Last>Niederau</b:Last>
            <b:First>C</b:First>
          </b:Person>
          <b:Person>
            <b:Last>Sherman</b:Last>
            <b:First>M</b:First>
          </b:Person>
          <b:Person>
            <b:Last>Goteti</b:Last>
            <b:First>V</b:First>
          </b:Person>
          <b:Person>
            <b:Last>Sings</b:Last>
            <b:First>JL</b:First>
          </b:Person>
          <b:Person>
            <b:Last>Barnard</b:Last>
            <b:First>RO</b:First>
          </b:Person>
          <b:Person>
            <b:Last>Howe</b:Last>
            <b:First>JA</b:First>
          </b:Person>
          <b:Person>
            <b:Last>Pedicone</b:Last>
            <b:First>LD</b:First>
          </b:Person>
          <b:Person>
            <b:Last>Burroughs</b:Last>
            <b:First>MH</b:First>
          </b:Person>
          <b:Person>
            <b:Last>Brass</b:Last>
            <b:First>CA</b:First>
          </b:Person>
          <b:Person>
            <b:Last>Albrecht</b:Last>
            <b:First>JK</b:First>
          </b:Person>
          <b:Person>
            <b:Last>Poordad</b:Last>
            <b:First>F</b:First>
          </b:Person>
        </b:NameList>
      </b:Author>
    </b:Author>
    <b:RefOrder>18</b:RefOrder>
  </b:Source>
  <b:Source>
    <b:Tag>Jac11</b:Tag>
    <b:SourceType>JournalArticle</b:SourceType>
    <b:Guid>{CFF145C6-0E57-4E03-B409-9F1D24067DCF}</b:Guid>
    <b:Author>
      <b:Author>
        <b:NameList>
          <b:Person>
            <b:Last>Jacobson</b:Last>
            <b:First>I</b:First>
          </b:Person>
          <b:Person>
            <b:Last>McHutchison</b:Last>
            <b:First>G</b:First>
          </b:Person>
          <b:Person>
            <b:Last>Dusheiko</b:Last>
            <b:First>G</b:First>
          </b:Person>
          <b:Person>
            <b:Last>Di Bisceglie</b:Last>
            <b:First>A</b:First>
          </b:Person>
          <b:Person>
            <b:Last>Reddy</b:Last>
            <b:First>K</b:First>
          </b:Person>
        </b:NameList>
      </b:Author>
    </b:Author>
    <b:Title>Telaprevir for previously untreated chronic hepatitis C viurs infection</b:Title>
    <b:JournalName>New England Journal of Medicine</b:JournalName>
    <b:Year>2011</b:Year>
    <b:Pages>2405-16</b:Pages>
    <b:RefOrder>19</b:RefOrder>
  </b:Source>
  <b:Source>
    <b:Tag>Ver13</b:Tag>
    <b:SourceType>JournalArticle</b:SourceType>
    <b:Guid>{6C15DDD6-B5C6-4C42-A15C-16910896176C}</b:Guid>
    <b:Author>
      <b:Author>
        <b:NameList>
          <b:Person>
            <b:Last>Vera-Llonch</b:Last>
            <b:First>M</b:First>
          </b:Person>
          <b:Person>
            <b:Last>Martin</b:Last>
            <b:First>M</b:First>
          </b:Person>
          <b:Person>
            <b:Last>Aggarwal</b:Last>
            <b:First>J</b:First>
          </b:Person>
          <b:Person>
            <b:Last>Donepudi</b:Last>
            <b:First>M</b:First>
          </b:Person>
          <b:Person>
            <b:Last>Bayliss</b:Last>
            <b:First>M</b:First>
          </b:Person>
          <b:Person>
            <b:Last>Goss</b:Last>
            <b:First>T</b:First>
          </b:Person>
          <b:Person>
            <b:Last>Younossi</b:Last>
            <b:First>Z</b:First>
          </b:Person>
        </b:NameList>
      </b:Author>
    </b:Author>
    <b:Title>Health-related quality of life in genotype 1 treatment-naive chronic hepatitis C patients receiving telaprevir combination treatment in the ADVANCE study.</b:Title>
    <b:Pages>124-133</b:Pages>
    <b:Year>2013</b:Year>
    <b:JournalName>Ailmentary pharmacology and therapeutics</b:JournalName>
    <b:RefOrder>20</b:RefOrder>
  </b:Source>
  <b:Source>
    <b:Tag>Zeu11</b:Tag>
    <b:SourceType>JournalArticle</b:SourceType>
    <b:Guid>{754F7C84-659E-4AC3-BB6A-ACFB60F76DCA}</b:Guid>
    <b:Author>
      <b:Author>
        <b:NameList>
          <b:Person>
            <b:Last>Zeuzem</b:Last>
            <b:First>S</b:First>
          </b:Person>
          <b:Person>
            <b:Last>Andreone</b:Last>
            <b:First>P</b:First>
          </b:Person>
          <b:Person>
            <b:Last>S</b:Last>
            <b:First>Pol</b:First>
          </b:Person>
          <b:Person>
            <b:Last>Lawitz</b:Last>
            <b:First>E</b:First>
          </b:Person>
        </b:NameList>
      </b:Author>
    </b:Author>
    <b:Title>Telaprevir for retreatment of HCV infection</b:Title>
    <b:JournalName>New England Journal of Medicine</b:JournalName>
    <b:Year>2011</b:Year>
    <b:Pages>2417-28</b:Pages>
    <b:RefOrder>21</b:RefOrder>
  </b:Source>
  <b:Source>
    <b:Tag>Pol13</b:Tag>
    <b:SourceType>JournalArticle</b:SourceType>
    <b:Guid>{16A8B937-D108-4F9D-8396-2E310C7229FD}</b:Guid>
    <b:Title>Limited impact of IL28B genotype on response rates in telaprevir-treated patients with prior treatment failure.</b:Title>
    <b:JournalName>Journal of Hepatology</b:JournalName>
    <b:Year>2013</b:Year>
    <b:Pages>58(5):883-889</b:Pages>
    <b:Author>
      <b:Author>
        <b:NameList>
          <b:Person>
            <b:Last>Pol</b:Last>
            <b:First>S</b:First>
          </b:Person>
          <b:Person>
            <b:Last>Aerssens</b:Last>
            <b:First>J</b:First>
          </b:Person>
          <b:Person>
            <b:Last>Zeuzem</b:Last>
            <b:First>S</b:First>
          </b:Person>
          <b:Person>
            <b:Last>Anderone</b:Last>
            <b:First>P</b:First>
          </b:Person>
          <b:Person>
            <b:Last>Lawitz</b:Last>
            <b:First>EJ</b:First>
          </b:Person>
          <b:Person>
            <b:Last>Roberts</b:Last>
            <b:First>S</b:First>
          </b:Person>
          <b:Person>
            <b:Last>Younossi</b:Last>
            <b:First>Z</b:First>
          </b:Person>
          <b:Person>
            <b:Last>Foster</b:Last>
            <b:First>GR</b:First>
          </b:Person>
          <b:Person>
            <b:Last>Focaccia</b:Last>
            <b:First>R</b:First>
          </b:Person>
          <b:Person>
            <b:Last>Horban</b:Last>
            <b:First>A</b:First>
          </b:Person>
          <b:Person>
            <b:Last>Pockros</b:Last>
            <b:First>PH</b:First>
          </b:Person>
          <b:Person>
            <b:Last>Heeswijk</b:Last>
            <b:First>RPG</b:First>
          </b:Person>
          <b:Person>
            <b:Last>Meyer</b:Last>
            <b:First>S</b:First>
          </b:Person>
          <b:Person>
            <b:Last>Luo</b:Last>
            <b:First>D</b:First>
          </b:Person>
          <b:Person>
            <b:Last>Botfield</b:Last>
            <b:First>M</b:First>
          </b:Person>
          <b:Person>
            <b:Last>Beumont</b:Last>
            <b:First>M</b:First>
          </b:Person>
          <b:Person>
            <b:Last>Picchio</b:Last>
            <b:First>G</b:First>
          </b:Person>
        </b:NameList>
      </b:Author>
    </b:Author>
    <b:RefOrder>22</b:RefOrder>
  </b:Source>
  <b:Source>
    <b:Tag>Mey12</b:Tag>
    <b:SourceType>JournalArticle</b:SourceType>
    <b:Guid>{1107A671-3957-4446-9AC7-145DF4C5A84A}</b:Guid>
    <b:Title>Characterization of telaprevir treatment outcomes and resistance in patients with prior treatment failure: results from the REALIZE trial.</b:Title>
    <b:JournalName>Hepatology</b:JournalName>
    <b:Year>2012</b:Year>
    <b:Pages>56(6):2106-15</b:Pages>
    <b:Author>
      <b:Author>
        <b:NameList>
          <b:Person>
            <b:Last>Meyer</b:Last>
            <b:First>S</b:First>
          </b:Person>
          <b:Person>
            <b:Last>Dierynck</b:Last>
            <b:First>I</b:First>
          </b:Person>
          <b:Person>
            <b:Last>Ghys</b:Last>
            <b:First>A</b:First>
          </b:Person>
          <b:Person>
            <b:Last>Beumont</b:Last>
            <b:First>M</b:First>
          </b:Person>
          <b:Person>
            <b:Last>Daems</b:Last>
            <b:First>B</b:First>
          </b:Person>
          <b:Person>
            <b:Last>Baelen</b:Last>
            <b:First>B</b:First>
          </b:Person>
          <b:Person>
            <b:Last>Sullivan</b:Last>
            <b:First>JC</b:First>
          </b:Person>
          <b:Person>
            <b:Last>Bartels</b:Last>
            <b:First>DJ</b:First>
          </b:Person>
          <b:Person>
            <b:Last>Kieffer </b:Last>
            <b:First>TL</b:First>
          </b:Person>
          <b:Person>
            <b:Last>Zeuzem</b:Last>
            <b:First>S</b:First>
          </b:Person>
          <b:Person>
            <b:Last>Picchio</b:Last>
            <b:First>G</b:First>
          </b:Person>
        </b:NameList>
      </b:Author>
    </b:Author>
    <b:RefOrder>23</b:RefOrder>
  </b:Source>
  <b:Source>
    <b:Tag>Zeu14</b:Tag>
    <b:SourceType>JournalArticle</b:SourceType>
    <b:Guid>{6A23F890-A3F7-4B44-8219-7DED4FB048A9}</b:Guid>
    <b:Title>Risk factors predictive of anemia development during telaprevir plus peginterferon/ribavirin therapy in treatment-experienced patients.</b:Title>
    <b:JournalName>Journal of Hepatology</b:JournalName>
    <b:Year>2014</b:Year>
    <b:Pages>60(6):1112-7</b:Pages>
    <b:Author>
      <b:Author>
        <b:NameList>
          <b:Person>
            <b:Last>Zeuzem</b:Last>
            <b:First>S</b:First>
          </b:Person>
          <b:Person>
            <b:Last>Demasi</b:Last>
            <b:First>R</b:First>
          </b:Person>
          <b:Person>
            <b:Last>Baldini</b:Last>
            <b:First>A</b:First>
          </b:Person>
          <b:Person>
            <b:Last>Coate</b:Last>
            <b:First>B</b:First>
          </b:Person>
          <b:Person>
            <b:Last>Luo</b:Last>
            <b:First>D</b:First>
          </b:Person>
          <b:Person>
            <b:Last>Mrus</b:Last>
            <b:First>J</b:First>
          </b:Person>
          <b:Person>
            <b:Last>Witek</b:Last>
            <b:First>J</b:First>
          </b:Person>
        </b:NameList>
      </b:Author>
    </b:Author>
    <b:RefOrder>24</b:RefOrder>
  </b:Source>
  <b:Source>
    <b:Tag>Jac14</b:Tag>
    <b:SourceType>JournalArticle</b:SourceType>
    <b:Guid>{42C147E1-3906-4F79-9722-650F3056E18C}</b:Guid>
    <b:Author>
      <b:Author>
        <b:NameList>
          <b:Person>
            <b:Last>Jacobson</b:Last>
            <b:First>I</b:First>
          </b:Person>
          <b:Person>
            <b:Last>Dore</b:Last>
            <b:First>G</b:First>
          </b:Person>
          <b:Person>
            <b:Last>Foster</b:Last>
            <b:First>G</b:First>
          </b:Person>
          <b:Person>
            <b:Last>Fried</b:Last>
            <b:First>M</b:First>
          </b:Person>
          <b:Person>
            <b:Last>Radu</b:Last>
            <b:First>M</b:First>
          </b:Person>
          <b:Person>
            <b:Last>Rafalsky</b:Last>
            <b:First>V</b:First>
          </b:Person>
        </b:NameList>
      </b:Author>
    </b:Author>
    <b:JournalName>The Lancet</b:JournalName>
    <b:Year>2014</b:Year>
    <b:Pages>403-13</b:Pages>
    <b:Volume>384</b:Volume>
    <b:Title>Simeprevir with pegylated interferon alfa 2a plus ribavirin in treatment-naive patients with chronic hepatitis C virus genotype 1 infection (QUEST-1): a phase 3, randomised, double-blind, placebo-controlled trial</b:Title>
    <b:RefOrder>25</b:RefOrder>
  </b:Source>
  <b:Source>
    <b:Tag>Man14</b:Tag>
    <b:SourceType>JournalArticle</b:SourceType>
    <b:Guid>{3FAF8742-C2A3-4893-B43A-70C18AF28E0E}</b:Guid>
    <b:Author>
      <b:Author>
        <b:NameList>
          <b:Person>
            <b:Last>Manns</b:Last>
            <b:First>M</b:First>
          </b:Person>
          <b:Person>
            <b:Last>Marcellin</b:Last>
            <b:First>P</b:First>
          </b:Person>
          <b:Person>
            <b:Last>Poordad</b:Last>
            <b:First>F</b:First>
          </b:Person>
          <b:Person>
            <b:Last>Affonso de Araujo</b:Last>
            <b:First>E</b:First>
          </b:Person>
          <b:Person>
            <b:Last>Buti</b:Last>
            <b:First>M</b:First>
          </b:Person>
        </b:NameList>
      </b:Author>
    </b:Author>
    <b:JournalName>The Lancet</b:JournalName>
    <b:Year>2014</b:Year>
    <b:Pages>414-26</b:Pages>
    <b:Volume>384</b:Volume>
    <b:Title>Simeprevir with pegylated interferon alfa 2a or 2b plus ribavirin in treatment-naive patients with chronic hepatitis C virus genotype 1 infection (QUEST-2): a randomised, double-blind, placebo-controlled phase 3 trial.</b:Title>
    <b:RefOrder>26</b:RefOrder>
  </b:Source>
  <b:Source>
    <b:Tag>For14</b:Tag>
    <b:SourceType>JournalArticle</b:SourceType>
    <b:Guid>{4E6EA2A8-D6FF-4845-BC4B-DBA4BB9E0AA3}</b:Guid>
    <b:Author>
      <b:Author>
        <b:NameList>
          <b:Person>
            <b:Last>Forns</b:Last>
            <b:First>X</b:First>
          </b:Person>
          <b:Person>
            <b:Last>Lawitz</b:Last>
            <b:First>E</b:First>
          </b:Person>
          <b:Person>
            <b:Last>Zeuzem</b:Last>
            <b:First>S</b:First>
          </b:Person>
          <b:Person>
            <b:Last>Gane</b:Last>
            <b:First>E</b:First>
          </b:Person>
          <b:Person>
            <b:Last>Bronowicki</b:Last>
            <b:First>JP</b:First>
          </b:Person>
          <b:Person>
            <b:Last>Andreone</b:Last>
            <b:First>P</b:First>
          </b:Person>
        </b:NameList>
      </b:Author>
    </b:Author>
    <b:Title>Simepevir with peginterfeon and ribavirin leads to high rates of SVR in patients with HCV genotype 1 who relapsed after previous therapy: a phase 3 trial</b:Title>
    <b:JournalName>Gastroenterology</b:JournalName>
    <b:Year>2014</b:Year>
    <b:Pages>1169-79</b:Pages>
    <b:RefOrder>27</b:RefOrder>
  </b:Source>
</b:Sources>
</file>

<file path=customXml/itemProps1.xml><?xml version="1.0" encoding="utf-8"?>
<ds:datastoreItem xmlns:ds="http://schemas.openxmlformats.org/officeDocument/2006/customXml" ds:itemID="{EF6A7F04-FD90-4AFD-9E78-50753082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11261</Words>
  <Characters>64582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5.13 ledipasvir/sofosbuvir </vt:lpstr>
    </vt:vector>
  </TitlesOfParts>
  <LinksUpToDate>false</LinksUpToDate>
  <CharactersWithSpaces>75692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ledipasvir/sofosbuvir</dc:title>
  <dc:creator/>
  <cp:lastModifiedBy/>
  <cp:revision>1</cp:revision>
  <dcterms:created xsi:type="dcterms:W3CDTF">2015-06-29T04:17:00Z</dcterms:created>
  <dcterms:modified xsi:type="dcterms:W3CDTF">2015-06-29T07:03:00Z</dcterms:modified>
</cp:coreProperties>
</file>