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7A" w:rsidRPr="00273D66" w:rsidRDefault="00927D95" w:rsidP="00273D66">
      <w:pPr>
        <w:pStyle w:val="Title"/>
      </w:pPr>
      <w:bookmarkStart w:id="0" w:name="_Toc282828700"/>
      <w:bookmarkStart w:id="1" w:name="_Toc409607356"/>
      <w:bookmarkStart w:id="2" w:name="_GoBack"/>
      <w:bookmarkEnd w:id="2"/>
      <w:r w:rsidRPr="00273D66">
        <w:t>5.19</w:t>
      </w:r>
      <w:r w:rsidR="00273D66" w:rsidRPr="00273D66">
        <w:tab/>
        <w:t>PEMBROLIZUMAB</w:t>
      </w:r>
      <w:r w:rsidR="00954DB9" w:rsidRPr="00273D66">
        <w:t xml:space="preserve"> </w:t>
      </w:r>
    </w:p>
    <w:p w:rsidR="00483E7A" w:rsidRPr="00273D66" w:rsidRDefault="00954DB9" w:rsidP="00273D66">
      <w:pPr>
        <w:pStyle w:val="Title"/>
        <w:ind w:firstLine="720"/>
      </w:pPr>
      <w:r w:rsidRPr="00273D66">
        <w:t>50</w:t>
      </w:r>
      <w:r w:rsidR="003F6D28" w:rsidRPr="00273D66">
        <w:t> </w:t>
      </w:r>
      <w:r w:rsidRPr="00273D66">
        <w:t>mg vial, 100</w:t>
      </w:r>
      <w:r w:rsidR="003F6D28" w:rsidRPr="00273D66">
        <w:t> </w:t>
      </w:r>
      <w:r w:rsidR="00273D66" w:rsidRPr="00273D66">
        <w:t>mg vial;</w:t>
      </w:r>
      <w:r w:rsidRPr="00273D66">
        <w:t xml:space="preserve"> </w:t>
      </w:r>
    </w:p>
    <w:p w:rsidR="00954DB9" w:rsidRPr="00273D66" w:rsidRDefault="00954DB9" w:rsidP="00273D66">
      <w:pPr>
        <w:pStyle w:val="Title"/>
        <w:ind w:firstLine="720"/>
      </w:pPr>
      <w:r w:rsidRPr="00273D66">
        <w:t>Keytruda®</w:t>
      </w:r>
      <w:r w:rsidR="00273D66" w:rsidRPr="00273D66">
        <w:t>;</w:t>
      </w:r>
      <w:r w:rsidRPr="00273D66">
        <w:t xml:space="preserve"> Merck Sharpe &amp; Dohme (Australia) Pty Ltd</w:t>
      </w:r>
      <w:bookmarkEnd w:id="0"/>
      <w:bookmarkEnd w:id="1"/>
    </w:p>
    <w:p w:rsidR="00640441" w:rsidRDefault="00640441" w:rsidP="00954DB9">
      <w:pPr>
        <w:pStyle w:val="BodyText"/>
      </w:pPr>
    </w:p>
    <w:p w:rsidR="00EC4B80" w:rsidRPr="00F92DF7" w:rsidRDefault="00EC4B80" w:rsidP="00954DB9">
      <w:pPr>
        <w:pStyle w:val="BodyText"/>
      </w:pPr>
    </w:p>
    <w:p w:rsidR="00B50DB8" w:rsidRPr="00407F2D" w:rsidRDefault="00B50DB8" w:rsidP="00BD6CF3">
      <w:pPr>
        <w:pStyle w:val="PBACHeading1"/>
      </w:pPr>
      <w:bookmarkStart w:id="3" w:name="_Toc409607360"/>
      <w:r w:rsidRPr="00407F2D">
        <w:t>Purpose of Application</w:t>
      </w:r>
      <w:bookmarkEnd w:id="3"/>
    </w:p>
    <w:p w:rsidR="00B60939" w:rsidRPr="00882085" w:rsidRDefault="00B60939" w:rsidP="00B60939">
      <w:pPr>
        <w:rPr>
          <w:szCs w:val="22"/>
        </w:rPr>
      </w:pPr>
    </w:p>
    <w:p w:rsidR="002C2775" w:rsidRPr="00B50DB8" w:rsidRDefault="00954DB9" w:rsidP="005C1AC0">
      <w:pPr>
        <w:pStyle w:val="ListParagraph"/>
        <w:widowControl/>
        <w:numPr>
          <w:ilvl w:val="1"/>
          <w:numId w:val="1"/>
        </w:numPr>
        <w:rPr>
          <w:szCs w:val="22"/>
        </w:rPr>
      </w:pPr>
      <w:r>
        <w:t>Section 100 (Efficient Funding of Chemotherapy – Public and Private Hospital) Authority Required listing for the treatment of unresectable Stage III or Stage IV metastatic melanoma.</w:t>
      </w:r>
    </w:p>
    <w:p w:rsidR="00B60939" w:rsidRDefault="00B60939" w:rsidP="004B1CB4"/>
    <w:p w:rsidR="004E43B2" w:rsidRPr="00882085" w:rsidRDefault="004E43B2" w:rsidP="004B1CB4"/>
    <w:p w:rsidR="00B50DB8" w:rsidRPr="00407F2D" w:rsidRDefault="00B50DB8" w:rsidP="00BD6CF3">
      <w:pPr>
        <w:pStyle w:val="PBACHeading1"/>
      </w:pPr>
      <w:bookmarkStart w:id="4" w:name="_Toc409607361"/>
      <w:r w:rsidRPr="00407F2D">
        <w:t>Requested listing</w:t>
      </w:r>
      <w:bookmarkEnd w:id="4"/>
    </w:p>
    <w:p w:rsidR="00B60939" w:rsidRPr="00882085" w:rsidRDefault="00B60939" w:rsidP="004B1CB4"/>
    <w:p w:rsidR="00D6090E" w:rsidRPr="00EB38FD" w:rsidRDefault="00693D4A" w:rsidP="00D6090E">
      <w:pPr>
        <w:pStyle w:val="ListParagraph"/>
        <w:widowControl/>
        <w:numPr>
          <w:ilvl w:val="1"/>
          <w:numId w:val="1"/>
        </w:numPr>
        <w:rPr>
          <w:szCs w:val="22"/>
        </w:rPr>
      </w:pPr>
      <w:r w:rsidRPr="008B716A">
        <w:t>The requested restriction is provided below, including initial and continuing treatment criteria as well as the proposed grandfathering provision.</w:t>
      </w:r>
      <w:r w:rsidR="00D6090E" w:rsidRPr="00D6090E">
        <w:rPr>
          <w:rFonts w:eastAsia="SimSun"/>
          <w:iCs/>
          <w:color w:val="000000"/>
          <w:szCs w:val="22"/>
        </w:rPr>
        <w:t xml:space="preserve"> </w:t>
      </w:r>
      <w:r w:rsidR="00934582">
        <w:rPr>
          <w:rFonts w:eastAsia="SimSun"/>
          <w:iCs/>
          <w:color w:val="000000"/>
          <w:szCs w:val="22"/>
        </w:rPr>
        <w:t xml:space="preserve"> </w:t>
      </w:r>
      <w:r w:rsidR="00D6090E" w:rsidRPr="00EB38FD">
        <w:rPr>
          <w:rFonts w:eastAsia="SimSun"/>
          <w:iCs/>
          <w:color w:val="000000"/>
          <w:szCs w:val="22"/>
        </w:rPr>
        <w:t xml:space="preserve">Suggestions and additions proposed by the Secretariat </w:t>
      </w:r>
      <w:r w:rsidR="00934582">
        <w:rPr>
          <w:rFonts w:eastAsia="SimSun"/>
          <w:iCs/>
          <w:color w:val="000000"/>
          <w:szCs w:val="22"/>
        </w:rPr>
        <w:t xml:space="preserve">and by the ESC </w:t>
      </w:r>
      <w:r w:rsidR="00D6090E" w:rsidRPr="00EB38FD">
        <w:rPr>
          <w:rFonts w:eastAsia="SimSun"/>
          <w:iCs/>
          <w:color w:val="000000"/>
          <w:szCs w:val="22"/>
        </w:rPr>
        <w:t>to the requested listing are added in italics and suggested deletions are crossed out with strikethrough.</w:t>
      </w:r>
    </w:p>
    <w:p w:rsidR="00D6090E" w:rsidRPr="00D6090E" w:rsidRDefault="00D6090E" w:rsidP="00D6090E">
      <w:pPr>
        <w:widowControl/>
        <w:rPr>
          <w:szCs w:val="22"/>
        </w:rPr>
      </w:pPr>
    </w:p>
    <w:tbl>
      <w:tblPr>
        <w:tblW w:w="8505" w:type="dxa"/>
        <w:tblInd w:w="817" w:type="dxa"/>
        <w:tblLayout w:type="fixed"/>
        <w:tblLook w:val="0000" w:firstRow="0" w:lastRow="0" w:firstColumn="0" w:lastColumn="0" w:noHBand="0" w:noVBand="0"/>
      </w:tblPr>
      <w:tblGrid>
        <w:gridCol w:w="2693"/>
        <w:gridCol w:w="993"/>
        <w:gridCol w:w="850"/>
        <w:gridCol w:w="1701"/>
        <w:gridCol w:w="992"/>
        <w:gridCol w:w="1276"/>
      </w:tblGrid>
      <w:tr w:rsidR="00D6090E" w:rsidRPr="00260CE3" w:rsidTr="00F23465">
        <w:trPr>
          <w:cantSplit/>
          <w:trHeight w:val="471"/>
        </w:trPr>
        <w:tc>
          <w:tcPr>
            <w:tcW w:w="2693"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Name, Restriction,</w:t>
            </w:r>
          </w:p>
          <w:p w:rsidR="00D6090E" w:rsidRPr="00260CE3" w:rsidRDefault="00D6090E" w:rsidP="00B01051">
            <w:pPr>
              <w:keepNext/>
              <w:ind w:left="-108"/>
              <w:rPr>
                <w:rFonts w:ascii="Arial Narrow" w:hAnsi="Arial Narrow"/>
                <w:sz w:val="20"/>
              </w:rPr>
            </w:pPr>
            <w:r w:rsidRPr="00260CE3">
              <w:rPr>
                <w:rFonts w:ascii="Arial Narrow" w:hAnsi="Arial Narrow"/>
                <w:sz w:val="20"/>
              </w:rPr>
              <w:t>Manner of administration and form</w:t>
            </w:r>
          </w:p>
        </w:tc>
        <w:tc>
          <w:tcPr>
            <w:tcW w:w="993"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Max.</w:t>
            </w:r>
          </w:p>
          <w:p w:rsidR="00D6090E" w:rsidRPr="00260CE3" w:rsidRDefault="00D6090E" w:rsidP="00B01051">
            <w:pPr>
              <w:keepNext/>
              <w:ind w:left="-108"/>
              <w:rPr>
                <w:rFonts w:ascii="Arial Narrow" w:hAnsi="Arial Narrow"/>
                <w:sz w:val="20"/>
              </w:rPr>
            </w:pPr>
            <w:r>
              <w:rPr>
                <w:rFonts w:ascii="Arial Narrow" w:hAnsi="Arial Narrow"/>
                <w:sz w:val="20"/>
              </w:rPr>
              <w:t>Amount</w:t>
            </w:r>
          </w:p>
        </w:tc>
        <w:tc>
          <w:tcPr>
            <w:tcW w:w="850"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№.of</w:t>
            </w:r>
          </w:p>
          <w:p w:rsidR="00D6090E" w:rsidRPr="00260CE3" w:rsidRDefault="00D6090E" w:rsidP="00B01051">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D6090E" w:rsidRPr="00260CE3" w:rsidRDefault="00D6090E" w:rsidP="00F23465">
            <w:pPr>
              <w:keepNext/>
              <w:ind w:left="-108"/>
              <w:jc w:val="center"/>
              <w:rPr>
                <w:rFonts w:ascii="Arial Narrow" w:hAnsi="Arial Narrow"/>
                <w:sz w:val="20"/>
              </w:rPr>
            </w:pPr>
            <w:r w:rsidRPr="00260CE3">
              <w:rPr>
                <w:rFonts w:ascii="Arial Narrow" w:hAnsi="Arial Narrow"/>
                <w:sz w:val="20"/>
              </w:rPr>
              <w:t xml:space="preserve">Dispensed Price for Max. </w:t>
            </w:r>
            <w:r>
              <w:rPr>
                <w:rFonts w:ascii="Arial Narrow" w:hAnsi="Arial Narrow"/>
                <w:sz w:val="20"/>
              </w:rPr>
              <w:t>Amount</w:t>
            </w:r>
          </w:p>
        </w:tc>
        <w:tc>
          <w:tcPr>
            <w:tcW w:w="2268" w:type="dxa"/>
            <w:gridSpan w:val="2"/>
            <w:tcBorders>
              <w:bottom w:val="single" w:sz="4" w:space="0" w:color="auto"/>
            </w:tcBorders>
          </w:tcPr>
          <w:p w:rsidR="00D6090E" w:rsidRPr="00260CE3" w:rsidRDefault="00D6090E" w:rsidP="00F23465">
            <w:pPr>
              <w:keepNext/>
              <w:jc w:val="center"/>
              <w:rPr>
                <w:rFonts w:ascii="Arial Narrow" w:hAnsi="Arial Narrow"/>
                <w:sz w:val="20"/>
                <w:lang w:val="fr-FR"/>
              </w:rPr>
            </w:pPr>
            <w:r w:rsidRPr="00260CE3">
              <w:rPr>
                <w:rFonts w:ascii="Arial Narrow" w:hAnsi="Arial Narrow"/>
                <w:sz w:val="20"/>
              </w:rPr>
              <w:t>Proprietary Name and Manufacturer</w:t>
            </w:r>
          </w:p>
        </w:tc>
      </w:tr>
      <w:tr w:rsidR="00D6090E" w:rsidRPr="00260CE3" w:rsidTr="00F23465">
        <w:trPr>
          <w:cantSplit/>
          <w:trHeight w:val="577"/>
        </w:trPr>
        <w:tc>
          <w:tcPr>
            <w:tcW w:w="2693" w:type="dxa"/>
          </w:tcPr>
          <w:p w:rsidR="00D6090E" w:rsidRPr="00260CE3" w:rsidRDefault="00D6090E" w:rsidP="00B01051">
            <w:pPr>
              <w:keepNext/>
              <w:ind w:left="-108"/>
              <w:rPr>
                <w:rFonts w:ascii="Arial Narrow" w:hAnsi="Arial Narrow"/>
                <w:sz w:val="20"/>
              </w:rPr>
            </w:pPr>
            <w:r>
              <w:rPr>
                <w:rFonts w:ascii="Arial Narrow" w:hAnsi="Arial Narrow"/>
                <w:smallCaps/>
                <w:sz w:val="20"/>
              </w:rPr>
              <w:t>PEMBROLIZUMAB</w:t>
            </w:r>
          </w:p>
          <w:p w:rsidR="00D6090E" w:rsidRDefault="00D6090E" w:rsidP="00B01051">
            <w:pPr>
              <w:keepNext/>
              <w:ind w:left="-108"/>
              <w:rPr>
                <w:rFonts w:ascii="Arial Narrow" w:hAnsi="Arial Narrow"/>
                <w:sz w:val="20"/>
              </w:rPr>
            </w:pPr>
            <w:r>
              <w:rPr>
                <w:rFonts w:ascii="Arial Narrow" w:hAnsi="Arial Narrow"/>
                <w:sz w:val="20"/>
              </w:rPr>
              <w:t>50</w:t>
            </w:r>
            <w:r w:rsidR="00793B2C">
              <w:rPr>
                <w:rFonts w:ascii="Arial Narrow" w:hAnsi="Arial Narrow"/>
                <w:sz w:val="20"/>
              </w:rPr>
              <w:t> </w:t>
            </w:r>
            <w:r>
              <w:rPr>
                <w:rFonts w:ascii="Arial Narrow" w:hAnsi="Arial Narrow"/>
                <w:sz w:val="20"/>
              </w:rPr>
              <w:t>mg injection: powder for, 1 vial</w:t>
            </w:r>
          </w:p>
          <w:p w:rsidR="00D6090E" w:rsidRPr="00D6090E" w:rsidRDefault="00D6090E" w:rsidP="00B01051">
            <w:pPr>
              <w:keepNext/>
              <w:ind w:left="-108"/>
              <w:rPr>
                <w:rFonts w:ascii="Arial Narrow" w:hAnsi="Arial Narrow"/>
                <w:strike/>
                <w:sz w:val="20"/>
              </w:rPr>
            </w:pPr>
            <w:r w:rsidRPr="00D6090E">
              <w:rPr>
                <w:rFonts w:ascii="Arial Narrow" w:hAnsi="Arial Narrow"/>
                <w:strike/>
                <w:sz w:val="20"/>
              </w:rPr>
              <w:t>100mg injection: powder for, 1 vial</w:t>
            </w:r>
          </w:p>
        </w:tc>
        <w:tc>
          <w:tcPr>
            <w:tcW w:w="993"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trike/>
                <w:sz w:val="20"/>
              </w:rPr>
            </w:pPr>
            <w:r>
              <w:rPr>
                <w:rFonts w:ascii="Arial Narrow" w:hAnsi="Arial Narrow"/>
                <w:strike/>
                <w:sz w:val="20"/>
              </w:rPr>
              <w:t>280mg</w:t>
            </w:r>
          </w:p>
          <w:p w:rsidR="00D6090E" w:rsidRPr="00FA6723" w:rsidRDefault="00D6090E" w:rsidP="00B01051">
            <w:pPr>
              <w:keepNext/>
              <w:ind w:left="-108"/>
              <w:rPr>
                <w:rFonts w:ascii="Arial Narrow" w:hAnsi="Arial Narrow"/>
                <w:sz w:val="20"/>
              </w:rPr>
            </w:pPr>
            <w:r>
              <w:rPr>
                <w:rFonts w:ascii="Arial Narrow" w:hAnsi="Arial Narrow"/>
                <w:sz w:val="20"/>
              </w:rPr>
              <w:t>240</w:t>
            </w:r>
            <w:r w:rsidR="00793B2C">
              <w:rPr>
                <w:rFonts w:ascii="Arial Narrow" w:hAnsi="Arial Narrow"/>
                <w:sz w:val="20"/>
              </w:rPr>
              <w:t> </w:t>
            </w:r>
            <w:r>
              <w:rPr>
                <w:rFonts w:ascii="Arial Narrow" w:hAnsi="Arial Narrow"/>
                <w:sz w:val="20"/>
              </w:rPr>
              <w:t>mg</w:t>
            </w:r>
          </w:p>
        </w:tc>
        <w:tc>
          <w:tcPr>
            <w:tcW w:w="850" w:type="dxa"/>
          </w:tcPr>
          <w:p w:rsidR="00D6090E" w:rsidRPr="00260CE3" w:rsidRDefault="00D6090E" w:rsidP="00B01051">
            <w:pPr>
              <w:keepNext/>
              <w:ind w:left="-108"/>
              <w:rPr>
                <w:rFonts w:ascii="Arial Narrow" w:hAnsi="Arial Narrow"/>
                <w:sz w:val="20"/>
              </w:rPr>
            </w:pPr>
          </w:p>
          <w:p w:rsidR="00D6090E" w:rsidRPr="00260CE3" w:rsidRDefault="00D6090E" w:rsidP="00B01051">
            <w:pPr>
              <w:keepNext/>
              <w:ind w:left="-108"/>
              <w:rPr>
                <w:rFonts w:ascii="Arial Narrow" w:hAnsi="Arial Narrow"/>
                <w:sz w:val="20"/>
              </w:rPr>
            </w:pPr>
            <w:r>
              <w:rPr>
                <w:rFonts w:ascii="Arial Narrow" w:hAnsi="Arial Narrow"/>
                <w:sz w:val="20"/>
              </w:rPr>
              <w:t>5</w:t>
            </w:r>
          </w:p>
        </w:tc>
        <w:tc>
          <w:tcPr>
            <w:tcW w:w="1701"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(Public)</w:t>
            </w:r>
          </w:p>
          <w:p w:rsidR="00D6090E" w:rsidRPr="00260CE3"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(Private)</w:t>
            </w:r>
          </w:p>
        </w:tc>
        <w:tc>
          <w:tcPr>
            <w:tcW w:w="992" w:type="dxa"/>
          </w:tcPr>
          <w:p w:rsidR="00F23465" w:rsidRDefault="00F23465"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Keytruda</w:t>
            </w:r>
          </w:p>
        </w:tc>
        <w:tc>
          <w:tcPr>
            <w:tcW w:w="1276" w:type="dxa"/>
          </w:tcPr>
          <w:p w:rsidR="00F23465" w:rsidRDefault="00F23465"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MK</w:t>
            </w:r>
          </w:p>
        </w:tc>
      </w:tr>
      <w:tr w:rsidR="00D6090E" w:rsidRPr="00260CE3" w:rsidTr="00D6090E">
        <w:trPr>
          <w:cantSplit/>
          <w:trHeight w:val="360"/>
        </w:trPr>
        <w:tc>
          <w:tcPr>
            <w:tcW w:w="8505" w:type="dxa"/>
            <w:gridSpan w:val="6"/>
            <w:tcBorders>
              <w:bottom w:val="single" w:sz="4" w:space="0" w:color="auto"/>
            </w:tcBorders>
          </w:tcPr>
          <w:p w:rsidR="00D6090E" w:rsidRPr="00260CE3" w:rsidRDefault="00D6090E" w:rsidP="00B01051">
            <w:pPr>
              <w:rPr>
                <w:rFonts w:ascii="Arial Narrow" w:hAnsi="Arial Narrow"/>
                <w:sz w:val="20"/>
              </w:rPr>
            </w:pP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F23465">
            <w:pPr>
              <w:rPr>
                <w:rFonts w:ascii="Arial Narrow" w:hAnsi="Arial Narrow"/>
                <w:b/>
                <w:sz w:val="20"/>
              </w:rPr>
            </w:pPr>
            <w:r w:rsidRPr="00260CE3">
              <w:rPr>
                <w:rFonts w:ascii="Arial Narrow" w:hAnsi="Arial Narrow"/>
                <w:b/>
                <w:sz w:val="20"/>
              </w:rPr>
              <w:t>Category / Program</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b/>
                <w:sz w:val="20"/>
              </w:rPr>
            </w:pPr>
            <w:r w:rsidRPr="00260CE3">
              <w:rPr>
                <w:rFonts w:ascii="Arial Narrow" w:hAnsi="Arial Narrow"/>
                <w:b/>
                <w:sz w:val="20"/>
              </w:rPr>
              <w:t>Prescriber type:</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00D6090E"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Optometrists</w:t>
            </w:r>
          </w:p>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Midwives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Episodicity:</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Severity:</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Stage IV</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Condition:</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F23465">
            <w:pPr>
              <w:rPr>
                <w:rFonts w:ascii="Arial Narrow" w:hAnsi="Arial Narrow"/>
                <w:sz w:val="20"/>
              </w:rPr>
            </w:pPr>
            <w:r>
              <w:rPr>
                <w:rFonts w:ascii="Arial Narrow" w:hAnsi="Arial Narrow"/>
                <w:sz w:val="20"/>
              </w:rPr>
              <w:t xml:space="preserve">Malignant </w:t>
            </w:r>
            <w:r w:rsidR="00F23465">
              <w:rPr>
                <w:rFonts w:ascii="Arial Narrow" w:hAnsi="Arial Narrow"/>
                <w:sz w:val="20"/>
              </w:rPr>
              <w:t>m</w:t>
            </w:r>
            <w:r>
              <w:rPr>
                <w:rFonts w:ascii="Arial Narrow" w:hAnsi="Arial Narrow"/>
                <w:sz w:val="20"/>
              </w:rPr>
              <w:t>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PBS Indication:</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Stave IV malignant melanoma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i/>
                <w:sz w:val="20"/>
              </w:rPr>
            </w:pPr>
            <w:r w:rsidRPr="00260CE3">
              <w:rPr>
                <w:rFonts w:ascii="Arial Narrow" w:hAnsi="Arial Narrow"/>
                <w:b/>
                <w:sz w:val="20"/>
              </w:rPr>
              <w:t>Treatment phase:</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823A1D">
            <w:pPr>
              <w:rPr>
                <w:rFonts w:ascii="Arial Narrow" w:hAnsi="Arial Narrow"/>
                <w:sz w:val="20"/>
              </w:rPr>
            </w:pPr>
            <w:r>
              <w:rPr>
                <w:rFonts w:ascii="Arial Narrow" w:hAnsi="Arial Narrow"/>
                <w:sz w:val="20"/>
              </w:rPr>
              <w:t>Initial</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D28F3" w:rsidRDefault="00D6090E" w:rsidP="00F23465">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Restricted benefit</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In Writing</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Telephone</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Emergency</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Electronic</w:t>
            </w:r>
          </w:p>
          <w:p w:rsidR="00D6090E" w:rsidRPr="00260CE3" w:rsidRDefault="008847DA" w:rsidP="00B01051">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5" w:name="Check5"/>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bookmarkEnd w:id="5"/>
            <w:r w:rsidR="00D6090E" w:rsidRPr="00106BCF">
              <w:rPr>
                <w:rFonts w:ascii="Arial Narrow" w:hAnsi="Arial Narrow"/>
                <w:sz w:val="20"/>
              </w:rPr>
              <w:t>Streamlined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b/>
                <w:sz w:val="20"/>
              </w:rPr>
            </w:pPr>
            <w:r w:rsidRPr="00260CE3">
              <w:rPr>
                <w:rFonts w:ascii="Arial Narrow" w:hAnsi="Arial Narrow"/>
                <w:b/>
                <w:sz w:val="20"/>
              </w:rPr>
              <w:t>Treatment criteria</w:t>
            </w:r>
            <w:r>
              <w:rPr>
                <w:rFonts w:ascii="Arial Narrow" w:hAnsi="Arial Narrow"/>
                <w:b/>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b/>
                <w:sz w:val="20"/>
              </w:rPr>
            </w:pPr>
            <w:r w:rsidRPr="00260CE3">
              <w:rPr>
                <w:rFonts w:ascii="Arial Narrow" w:hAnsi="Arial Narrow"/>
                <w:b/>
                <w:sz w:val="20"/>
              </w:rPr>
              <w:lastRenderedPageBreak/>
              <w:t>Clinical criteria:</w:t>
            </w:r>
          </w:p>
        </w:tc>
        <w:tc>
          <w:tcPr>
            <w:tcW w:w="5812" w:type="dxa"/>
            <w:gridSpan w:val="5"/>
            <w:tcBorders>
              <w:top w:val="single" w:sz="4" w:space="0" w:color="auto"/>
              <w:left w:val="single" w:sz="4" w:space="0" w:color="auto"/>
              <w:bottom w:val="single" w:sz="4" w:space="0" w:color="auto"/>
              <w:right w:val="single" w:sz="4" w:space="0" w:color="auto"/>
            </w:tcBorders>
          </w:tcPr>
          <w:p w:rsidR="00D6090E" w:rsidRDefault="00D6090E" w:rsidP="00B01051">
            <w:pPr>
              <w:rPr>
                <w:rFonts w:ascii="Arial Narrow" w:hAnsi="Arial Narrow"/>
                <w:sz w:val="20"/>
              </w:rPr>
            </w:pPr>
            <w:r>
              <w:rPr>
                <w:rFonts w:ascii="Arial Narrow" w:hAnsi="Arial Narrow"/>
                <w:sz w:val="20"/>
              </w:rPr>
              <w:t>The treatment must be the sole PBS-subsidised therapy for this condition;</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AND</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Patient must be negative for a BRAF V600 mutation;</w:t>
            </w:r>
          </w:p>
          <w:p w:rsidR="00D6090E" w:rsidRDefault="00D6090E" w:rsidP="00B01051">
            <w:pPr>
              <w:rPr>
                <w:rFonts w:ascii="Arial Narrow" w:hAnsi="Arial Narrow"/>
                <w:sz w:val="20"/>
              </w:rPr>
            </w:pPr>
          </w:p>
          <w:p w:rsidR="00D6090E" w:rsidRDefault="00D6090E" w:rsidP="00B01051">
            <w:pPr>
              <w:rPr>
                <w:rFonts w:ascii="Arial Narrow" w:hAnsi="Arial Narrow"/>
                <w:i/>
                <w:sz w:val="20"/>
              </w:rPr>
            </w:pPr>
            <w:r>
              <w:rPr>
                <w:rFonts w:ascii="Arial Narrow" w:hAnsi="Arial Narrow"/>
                <w:i/>
                <w:sz w:val="20"/>
              </w:rPr>
              <w:t>AND</w:t>
            </w:r>
          </w:p>
          <w:p w:rsidR="00D6090E" w:rsidRDefault="00D6090E" w:rsidP="00B01051">
            <w:pPr>
              <w:rPr>
                <w:rFonts w:ascii="Arial Narrow" w:hAnsi="Arial Narrow"/>
                <w:i/>
                <w:sz w:val="20"/>
              </w:rPr>
            </w:pPr>
          </w:p>
          <w:p w:rsidR="00D6090E" w:rsidRDefault="00D6090E" w:rsidP="00B01051">
            <w:pPr>
              <w:rPr>
                <w:rFonts w:ascii="Arial Narrow" w:hAnsi="Arial Narrow"/>
                <w:i/>
                <w:sz w:val="20"/>
              </w:rPr>
            </w:pPr>
            <w:r>
              <w:rPr>
                <w:rFonts w:ascii="Arial Narrow" w:hAnsi="Arial Narrow"/>
                <w:i/>
                <w:sz w:val="20"/>
              </w:rPr>
              <w:t>The conditio</w:t>
            </w:r>
            <w:r w:rsidR="00793B2C">
              <w:rPr>
                <w:rFonts w:ascii="Arial Narrow" w:hAnsi="Arial Narrow"/>
                <w:i/>
                <w:sz w:val="20"/>
              </w:rPr>
              <w:t>n must be previously untreated;</w:t>
            </w:r>
          </w:p>
          <w:p w:rsidR="00D6090E" w:rsidRDefault="00D6090E" w:rsidP="00B01051">
            <w:pPr>
              <w:rPr>
                <w:rFonts w:ascii="Arial Narrow" w:hAnsi="Arial Narrow"/>
                <w:i/>
                <w:sz w:val="20"/>
              </w:rPr>
            </w:pPr>
          </w:p>
          <w:p w:rsidR="00D6090E" w:rsidRDefault="00D6090E" w:rsidP="00B01051">
            <w:pPr>
              <w:rPr>
                <w:rFonts w:ascii="Arial Narrow" w:hAnsi="Arial Narrow"/>
                <w:i/>
                <w:sz w:val="20"/>
              </w:rPr>
            </w:pPr>
            <w:r>
              <w:rPr>
                <w:rFonts w:ascii="Arial Narrow" w:hAnsi="Arial Narrow"/>
                <w:i/>
                <w:sz w:val="20"/>
              </w:rPr>
              <w:t>AND</w:t>
            </w:r>
          </w:p>
          <w:p w:rsidR="00D6090E" w:rsidRDefault="00D6090E" w:rsidP="00B01051">
            <w:pPr>
              <w:rPr>
                <w:rFonts w:ascii="Arial Narrow" w:hAnsi="Arial Narrow"/>
                <w:i/>
                <w:sz w:val="20"/>
              </w:rPr>
            </w:pPr>
          </w:p>
          <w:p w:rsidR="00D6090E" w:rsidRPr="00260CE3" w:rsidRDefault="00D6090E" w:rsidP="00793B2C">
            <w:pPr>
              <w:rPr>
                <w:rFonts w:ascii="Arial Narrow" w:hAnsi="Arial Narrow"/>
                <w:sz w:val="20"/>
              </w:rPr>
            </w:pPr>
            <w:r>
              <w:rPr>
                <w:rFonts w:ascii="Arial Narrow" w:hAnsi="Arial Narrow"/>
                <w:i/>
                <w:sz w:val="20"/>
              </w:rPr>
              <w:t>The treatment must not exceed a total of 6 doses at a maximum dose of 2mg/kg every 3 weeks.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b/>
                <w:sz w:val="20"/>
              </w:rPr>
            </w:pPr>
            <w:r w:rsidRPr="00260CE3">
              <w:rPr>
                <w:rFonts w:ascii="Arial Narrow" w:hAnsi="Arial Narrow"/>
                <w:b/>
                <w:sz w:val="20"/>
              </w:rPr>
              <w:t>Population criteria:</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b/>
                <w:sz w:val="20"/>
              </w:rPr>
            </w:pPr>
            <w:r w:rsidRPr="00260CE3">
              <w:rPr>
                <w:rFonts w:ascii="Arial Narrow" w:hAnsi="Arial Narrow"/>
                <w:b/>
                <w:sz w:val="20"/>
              </w:rPr>
              <w:t>Foreword</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b/>
                <w:sz w:val="20"/>
              </w:rPr>
            </w:pPr>
            <w:r w:rsidRPr="00260CE3">
              <w:rPr>
                <w:rFonts w:ascii="Arial Narrow" w:hAnsi="Arial Narrow"/>
                <w:b/>
                <w:sz w:val="20"/>
              </w:rPr>
              <w:t>Definitions</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sidRPr="00260CE3">
              <w:rPr>
                <w:rFonts w:ascii="Arial Narrow" w:hAnsi="Arial Narrow"/>
                <w:b/>
                <w:sz w:val="20"/>
              </w:rPr>
              <w:t>Prescriber Instructions</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i/>
                <w:sz w:val="20"/>
              </w:rPr>
            </w:pPr>
            <w:r>
              <w:rPr>
                <w:rFonts w:ascii="Arial Narrow" w:hAnsi="Arial Narrow"/>
                <w:i/>
                <w:sz w:val="20"/>
              </w:rPr>
              <w:t>The patient’s body weight must be documented in the patient’s medical records at the time treatment is initiated.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i/>
                <w:sz w:val="20"/>
              </w:rPr>
            </w:pPr>
            <w:r w:rsidRPr="00260CE3">
              <w:rPr>
                <w:rFonts w:ascii="Arial Narrow" w:hAnsi="Arial Narrow"/>
                <w:b/>
                <w:sz w:val="20"/>
              </w:rPr>
              <w:t>Administrative Advice</w:t>
            </w:r>
          </w:p>
        </w:tc>
        <w:tc>
          <w:tcPr>
            <w:tcW w:w="5812" w:type="dxa"/>
            <w:gridSpan w:val="5"/>
            <w:tcBorders>
              <w:top w:val="single" w:sz="4" w:space="0" w:color="auto"/>
              <w:left w:val="single" w:sz="4" w:space="0" w:color="auto"/>
              <w:bottom w:val="single" w:sz="4" w:space="0" w:color="auto"/>
              <w:right w:val="single" w:sz="4" w:space="0" w:color="auto"/>
            </w:tcBorders>
          </w:tcPr>
          <w:p w:rsidR="00D6090E" w:rsidRDefault="00D6090E" w:rsidP="00B01051">
            <w:pPr>
              <w:rPr>
                <w:rFonts w:ascii="Arial Narrow" w:hAnsi="Arial Narrow"/>
                <w:sz w:val="20"/>
              </w:rPr>
            </w:pPr>
            <w:r>
              <w:rPr>
                <w:rFonts w:ascii="Arial Narrow" w:hAnsi="Arial Narrow"/>
                <w:sz w:val="20"/>
              </w:rPr>
              <w:t>In the first few months after start of immunotherapy, some patients can have a transient tumour flare with subsequent disease response. When progression is suspected, this should be confirmed through a confirmatory scan</w:t>
            </w:r>
            <w:r w:rsidR="00793B2C">
              <w:rPr>
                <w:rFonts w:ascii="Arial Narrow" w:hAnsi="Arial Narrow"/>
                <w:sz w:val="20"/>
              </w:rPr>
              <w:t>, taken at least 4 weeks later.</w:t>
            </w:r>
          </w:p>
          <w:p w:rsidR="00D6090E" w:rsidRDefault="00D6090E" w:rsidP="00B01051">
            <w:pPr>
              <w:rPr>
                <w:rFonts w:ascii="Arial Narrow" w:hAnsi="Arial Narrow"/>
                <w:sz w:val="20"/>
              </w:rPr>
            </w:pPr>
          </w:p>
          <w:p w:rsidR="00D6090E" w:rsidRPr="007C2A41" w:rsidRDefault="00D6090E" w:rsidP="00B01051">
            <w:pPr>
              <w:rPr>
                <w:rFonts w:ascii="Arial Narrow" w:hAnsi="Arial Narrow"/>
                <w:i/>
                <w:sz w:val="20"/>
              </w:rPr>
            </w:pPr>
            <w:r>
              <w:rPr>
                <w:rFonts w:ascii="Arial Narrow" w:hAnsi="Arial Narrow"/>
                <w:i/>
                <w:sz w:val="20"/>
              </w:rPr>
              <w:t>No increase in the maximum number of repeats may be authorised.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b/>
                <w:sz w:val="20"/>
              </w:rPr>
            </w:pPr>
            <w:r w:rsidRPr="00260CE3">
              <w:rPr>
                <w:rFonts w:ascii="Arial Narrow" w:hAnsi="Arial Narrow"/>
                <w:b/>
                <w:sz w:val="20"/>
              </w:rPr>
              <w:t>Cautions</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bl>
    <w:p w:rsidR="00D6090E" w:rsidRPr="00793B2C" w:rsidRDefault="00D6090E" w:rsidP="00D6090E">
      <w:pPr>
        <w:pStyle w:val="PBACHeading1"/>
        <w:numPr>
          <w:ilvl w:val="0"/>
          <w:numId w:val="0"/>
        </w:numPr>
        <w:ind w:left="720"/>
        <w:rPr>
          <w:b w:val="0"/>
        </w:rPr>
      </w:pPr>
    </w:p>
    <w:tbl>
      <w:tblPr>
        <w:tblW w:w="8505" w:type="dxa"/>
        <w:tblInd w:w="817" w:type="dxa"/>
        <w:tblLayout w:type="fixed"/>
        <w:tblLook w:val="0000" w:firstRow="0" w:lastRow="0" w:firstColumn="0" w:lastColumn="0" w:noHBand="0" w:noVBand="0"/>
      </w:tblPr>
      <w:tblGrid>
        <w:gridCol w:w="2693"/>
        <w:gridCol w:w="284"/>
        <w:gridCol w:w="850"/>
        <w:gridCol w:w="709"/>
        <w:gridCol w:w="1701"/>
        <w:gridCol w:w="992"/>
        <w:gridCol w:w="1276"/>
      </w:tblGrid>
      <w:tr w:rsidR="00D6090E" w:rsidRPr="00260CE3" w:rsidTr="00F23465">
        <w:trPr>
          <w:cantSplit/>
          <w:trHeight w:val="471"/>
        </w:trPr>
        <w:tc>
          <w:tcPr>
            <w:tcW w:w="2977" w:type="dxa"/>
            <w:gridSpan w:val="2"/>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Name, Restriction,</w:t>
            </w:r>
          </w:p>
          <w:p w:rsidR="00D6090E" w:rsidRPr="00260CE3" w:rsidRDefault="00D6090E" w:rsidP="00B01051">
            <w:pPr>
              <w:keepNext/>
              <w:ind w:left="-108"/>
              <w:rPr>
                <w:rFonts w:ascii="Arial Narrow" w:hAnsi="Arial Narrow"/>
                <w:sz w:val="20"/>
              </w:rPr>
            </w:pPr>
            <w:r w:rsidRPr="00260CE3">
              <w:rPr>
                <w:rFonts w:ascii="Arial Narrow" w:hAnsi="Arial Narrow"/>
                <w:sz w:val="20"/>
              </w:rPr>
              <w:t>Manner of administration and form</w:t>
            </w:r>
          </w:p>
        </w:tc>
        <w:tc>
          <w:tcPr>
            <w:tcW w:w="850"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Max.</w:t>
            </w:r>
          </w:p>
          <w:p w:rsidR="00D6090E" w:rsidRPr="00260CE3" w:rsidRDefault="00D6090E" w:rsidP="00B01051">
            <w:pPr>
              <w:keepNext/>
              <w:ind w:left="-108"/>
              <w:rPr>
                <w:rFonts w:ascii="Arial Narrow" w:hAnsi="Arial Narrow"/>
                <w:sz w:val="20"/>
              </w:rPr>
            </w:pPr>
            <w:r>
              <w:rPr>
                <w:rFonts w:ascii="Arial Narrow" w:hAnsi="Arial Narrow"/>
                <w:sz w:val="20"/>
              </w:rPr>
              <w:t>Amount</w:t>
            </w:r>
          </w:p>
        </w:tc>
        <w:tc>
          <w:tcPr>
            <w:tcW w:w="709"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№.of</w:t>
            </w:r>
          </w:p>
          <w:p w:rsidR="00D6090E" w:rsidRPr="00260CE3" w:rsidRDefault="00D6090E" w:rsidP="00B01051">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D6090E" w:rsidRPr="00260CE3" w:rsidRDefault="00D6090E" w:rsidP="003F1031">
            <w:pPr>
              <w:keepNext/>
              <w:ind w:left="-108"/>
              <w:jc w:val="center"/>
              <w:rPr>
                <w:rFonts w:ascii="Arial Narrow" w:hAnsi="Arial Narrow"/>
                <w:sz w:val="20"/>
              </w:rPr>
            </w:pPr>
            <w:r w:rsidRPr="00260CE3">
              <w:rPr>
                <w:rFonts w:ascii="Arial Narrow" w:hAnsi="Arial Narrow"/>
                <w:sz w:val="20"/>
              </w:rPr>
              <w:t xml:space="preserve">Dispensed Price for Max. </w:t>
            </w:r>
            <w:r>
              <w:rPr>
                <w:rFonts w:ascii="Arial Narrow" w:hAnsi="Arial Narrow"/>
                <w:sz w:val="20"/>
              </w:rPr>
              <w:t>Amount</w:t>
            </w:r>
          </w:p>
        </w:tc>
        <w:tc>
          <w:tcPr>
            <w:tcW w:w="2268" w:type="dxa"/>
            <w:gridSpan w:val="2"/>
            <w:tcBorders>
              <w:bottom w:val="single" w:sz="4" w:space="0" w:color="auto"/>
            </w:tcBorders>
          </w:tcPr>
          <w:p w:rsidR="00D6090E" w:rsidRPr="00260CE3" w:rsidRDefault="00D6090E" w:rsidP="003F1031">
            <w:pPr>
              <w:keepNext/>
              <w:jc w:val="center"/>
              <w:rPr>
                <w:rFonts w:ascii="Arial Narrow" w:hAnsi="Arial Narrow"/>
                <w:sz w:val="20"/>
                <w:lang w:val="fr-FR"/>
              </w:rPr>
            </w:pPr>
            <w:r w:rsidRPr="00260CE3">
              <w:rPr>
                <w:rFonts w:ascii="Arial Narrow" w:hAnsi="Arial Narrow"/>
                <w:sz w:val="20"/>
              </w:rPr>
              <w:t>Proprietary Name and Manufacturer</w:t>
            </w:r>
          </w:p>
        </w:tc>
      </w:tr>
      <w:tr w:rsidR="00D6090E" w:rsidRPr="00260CE3" w:rsidTr="00F23465">
        <w:trPr>
          <w:cantSplit/>
          <w:trHeight w:val="577"/>
        </w:trPr>
        <w:tc>
          <w:tcPr>
            <w:tcW w:w="2977" w:type="dxa"/>
            <w:gridSpan w:val="2"/>
          </w:tcPr>
          <w:p w:rsidR="00D6090E" w:rsidRPr="00260CE3" w:rsidRDefault="00D6090E" w:rsidP="00B01051">
            <w:pPr>
              <w:keepNext/>
              <w:ind w:left="-108"/>
              <w:rPr>
                <w:rFonts w:ascii="Arial Narrow" w:hAnsi="Arial Narrow"/>
                <w:sz w:val="20"/>
              </w:rPr>
            </w:pPr>
            <w:r>
              <w:rPr>
                <w:rFonts w:ascii="Arial Narrow" w:hAnsi="Arial Narrow"/>
                <w:smallCaps/>
                <w:sz w:val="20"/>
              </w:rPr>
              <w:t>PEMBROLIZUMAB</w:t>
            </w:r>
          </w:p>
          <w:p w:rsidR="00D6090E" w:rsidRDefault="00D6090E" w:rsidP="00B01051">
            <w:pPr>
              <w:keepNext/>
              <w:ind w:left="-108"/>
              <w:rPr>
                <w:rFonts w:ascii="Arial Narrow" w:hAnsi="Arial Narrow"/>
                <w:sz w:val="20"/>
              </w:rPr>
            </w:pPr>
            <w:r>
              <w:rPr>
                <w:rFonts w:ascii="Arial Narrow" w:hAnsi="Arial Narrow"/>
                <w:sz w:val="20"/>
              </w:rPr>
              <w:t>50</w:t>
            </w:r>
            <w:r w:rsidR="00793B2C">
              <w:rPr>
                <w:rFonts w:ascii="Arial Narrow" w:hAnsi="Arial Narrow"/>
                <w:sz w:val="20"/>
              </w:rPr>
              <w:t> </w:t>
            </w:r>
            <w:r>
              <w:rPr>
                <w:rFonts w:ascii="Arial Narrow" w:hAnsi="Arial Narrow"/>
                <w:sz w:val="20"/>
              </w:rPr>
              <w:t>mg injection: powder for, 1 vial</w:t>
            </w:r>
          </w:p>
          <w:p w:rsidR="00D6090E" w:rsidRPr="00D6090E" w:rsidRDefault="00D6090E" w:rsidP="00B01051">
            <w:pPr>
              <w:keepNext/>
              <w:ind w:left="-108"/>
              <w:rPr>
                <w:rFonts w:ascii="Arial Narrow" w:hAnsi="Arial Narrow"/>
                <w:strike/>
                <w:sz w:val="20"/>
              </w:rPr>
            </w:pPr>
            <w:r w:rsidRPr="00D6090E">
              <w:rPr>
                <w:rFonts w:ascii="Arial Narrow" w:hAnsi="Arial Narrow"/>
                <w:strike/>
                <w:sz w:val="20"/>
              </w:rPr>
              <w:t>100mg injection: powder for, 1 vial</w:t>
            </w:r>
          </w:p>
        </w:tc>
        <w:tc>
          <w:tcPr>
            <w:tcW w:w="850"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trike/>
                <w:sz w:val="20"/>
              </w:rPr>
            </w:pPr>
            <w:r>
              <w:rPr>
                <w:rFonts w:ascii="Arial Narrow" w:hAnsi="Arial Narrow"/>
                <w:strike/>
                <w:sz w:val="20"/>
              </w:rPr>
              <w:t>280mg</w:t>
            </w:r>
          </w:p>
          <w:p w:rsidR="00D6090E" w:rsidRPr="00FA6723" w:rsidRDefault="00D6090E" w:rsidP="00B01051">
            <w:pPr>
              <w:keepNext/>
              <w:ind w:left="-108"/>
              <w:rPr>
                <w:rFonts w:ascii="Arial Narrow" w:hAnsi="Arial Narrow"/>
                <w:sz w:val="20"/>
              </w:rPr>
            </w:pPr>
            <w:r>
              <w:rPr>
                <w:rFonts w:ascii="Arial Narrow" w:hAnsi="Arial Narrow"/>
                <w:sz w:val="20"/>
              </w:rPr>
              <w:t>240</w:t>
            </w:r>
            <w:r w:rsidR="00793B2C">
              <w:rPr>
                <w:rFonts w:ascii="Arial Narrow" w:hAnsi="Arial Narrow"/>
                <w:sz w:val="20"/>
              </w:rPr>
              <w:t> </w:t>
            </w:r>
            <w:r>
              <w:rPr>
                <w:rFonts w:ascii="Arial Narrow" w:hAnsi="Arial Narrow"/>
                <w:sz w:val="20"/>
              </w:rPr>
              <w:t>mg</w:t>
            </w:r>
          </w:p>
        </w:tc>
        <w:tc>
          <w:tcPr>
            <w:tcW w:w="709" w:type="dxa"/>
          </w:tcPr>
          <w:p w:rsidR="00D6090E" w:rsidRPr="00260CE3" w:rsidRDefault="00D6090E" w:rsidP="00B01051">
            <w:pPr>
              <w:keepNext/>
              <w:ind w:left="-108"/>
              <w:rPr>
                <w:rFonts w:ascii="Arial Narrow" w:hAnsi="Arial Narrow"/>
                <w:sz w:val="20"/>
              </w:rPr>
            </w:pPr>
          </w:p>
          <w:p w:rsidR="00D6090E" w:rsidRPr="00260CE3" w:rsidRDefault="00D6090E" w:rsidP="00B01051">
            <w:pPr>
              <w:keepNext/>
              <w:ind w:left="-108"/>
              <w:rPr>
                <w:rFonts w:ascii="Arial Narrow" w:hAnsi="Arial Narrow"/>
                <w:sz w:val="20"/>
              </w:rPr>
            </w:pPr>
            <w:r>
              <w:rPr>
                <w:rFonts w:ascii="Arial Narrow" w:hAnsi="Arial Narrow"/>
                <w:sz w:val="20"/>
              </w:rPr>
              <w:t>5</w:t>
            </w:r>
          </w:p>
        </w:tc>
        <w:tc>
          <w:tcPr>
            <w:tcW w:w="1701"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(Public)</w:t>
            </w:r>
          </w:p>
          <w:p w:rsidR="00D6090E" w:rsidRPr="00260CE3"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(Private)</w:t>
            </w:r>
          </w:p>
        </w:tc>
        <w:tc>
          <w:tcPr>
            <w:tcW w:w="992" w:type="dxa"/>
          </w:tcPr>
          <w:p w:rsidR="00D6090E" w:rsidRDefault="00D6090E"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Keytruda</w:t>
            </w:r>
          </w:p>
        </w:tc>
        <w:tc>
          <w:tcPr>
            <w:tcW w:w="1276" w:type="dxa"/>
          </w:tcPr>
          <w:p w:rsidR="00D6090E" w:rsidRDefault="00D6090E"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MK</w:t>
            </w:r>
          </w:p>
        </w:tc>
      </w:tr>
      <w:tr w:rsidR="00D6090E" w:rsidRPr="00260CE3" w:rsidTr="00D6090E">
        <w:trPr>
          <w:cantSplit/>
          <w:trHeight w:val="360"/>
        </w:trPr>
        <w:tc>
          <w:tcPr>
            <w:tcW w:w="8505" w:type="dxa"/>
            <w:gridSpan w:val="7"/>
            <w:tcBorders>
              <w:bottom w:val="single" w:sz="4" w:space="0" w:color="auto"/>
            </w:tcBorders>
          </w:tcPr>
          <w:p w:rsidR="00D6090E" w:rsidRPr="00260CE3" w:rsidRDefault="00D6090E" w:rsidP="00B01051">
            <w:pPr>
              <w:rPr>
                <w:rFonts w:ascii="Arial Narrow" w:hAnsi="Arial Narrow"/>
                <w:sz w:val="20"/>
              </w:rPr>
            </w:pP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b/>
                <w:sz w:val="20"/>
              </w:rPr>
            </w:pPr>
            <w:r w:rsidRPr="00260CE3">
              <w:rPr>
                <w:rFonts w:ascii="Arial Narrow" w:hAnsi="Arial Narrow"/>
                <w:b/>
                <w:sz w:val="20"/>
              </w:rPr>
              <w:t>Category / Program</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b/>
                <w:sz w:val="20"/>
              </w:rPr>
            </w:pPr>
            <w:r w:rsidRPr="00260CE3">
              <w:rPr>
                <w:rFonts w:ascii="Arial Narrow" w:hAnsi="Arial Narrow"/>
                <w:b/>
                <w:sz w:val="20"/>
              </w:rPr>
              <w:t>Prescriber type:</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00D6090E"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Optometrists</w:t>
            </w:r>
          </w:p>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Midwives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Episodicity:</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Severity:</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Stage IV</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Condition:</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Pr>
                <w:rFonts w:ascii="Arial Narrow" w:hAnsi="Arial Narrow"/>
                <w:sz w:val="20"/>
              </w:rPr>
              <w:t xml:space="preserve">Malignant </w:t>
            </w:r>
            <w:r w:rsidR="00793B2C">
              <w:rPr>
                <w:rFonts w:ascii="Arial Narrow" w:hAnsi="Arial Narrow"/>
                <w:sz w:val="20"/>
              </w:rPr>
              <w:t>m</w:t>
            </w:r>
            <w:r>
              <w:rPr>
                <w:rFonts w:ascii="Arial Narrow" w:hAnsi="Arial Narrow"/>
                <w:sz w:val="20"/>
              </w:rPr>
              <w:t>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PBS Indication:</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Stave IV malignant melanoma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i/>
                <w:sz w:val="20"/>
              </w:rPr>
            </w:pPr>
            <w:r w:rsidRPr="00260CE3">
              <w:rPr>
                <w:rFonts w:ascii="Arial Narrow" w:hAnsi="Arial Narrow"/>
                <w:b/>
                <w:sz w:val="20"/>
              </w:rPr>
              <w:t>Treatment phase:</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Initial treatment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C726B" w:rsidRDefault="00D6090E" w:rsidP="00B01051">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Restricted benefit</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In Writing</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Telephone</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Emergency</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Electronic</w:t>
            </w:r>
          </w:p>
          <w:p w:rsidR="00D6090E" w:rsidRPr="00260CE3" w:rsidRDefault="008847DA" w:rsidP="00B01051">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00D6090E" w:rsidRPr="00106BCF">
              <w:rPr>
                <w:rFonts w:ascii="Arial Narrow" w:hAnsi="Arial Narrow"/>
                <w:sz w:val="20"/>
              </w:rPr>
              <w:t>Streamlined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C726B" w:rsidRDefault="00D6090E" w:rsidP="00B01051">
            <w:pPr>
              <w:rPr>
                <w:rFonts w:ascii="Arial Narrow" w:hAnsi="Arial Narrow"/>
                <w:b/>
                <w:sz w:val="20"/>
              </w:rPr>
            </w:pPr>
            <w:r w:rsidRPr="00260CE3">
              <w:rPr>
                <w:rFonts w:ascii="Arial Narrow" w:hAnsi="Arial Narrow"/>
                <w:b/>
                <w:sz w:val="20"/>
              </w:rPr>
              <w:lastRenderedPageBreak/>
              <w:t>Treatment criteria:</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p w:rsidR="00D6090E" w:rsidRPr="00260CE3" w:rsidRDefault="00D6090E" w:rsidP="00B01051">
            <w:pPr>
              <w:rPr>
                <w:rFonts w:ascii="Arial Narrow" w:hAnsi="Arial Narrow"/>
                <w:sz w:val="20"/>
              </w:rPr>
            </w:pP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C726B" w:rsidRDefault="00D6090E" w:rsidP="00B01051">
            <w:pPr>
              <w:rPr>
                <w:rFonts w:ascii="Arial Narrow" w:hAnsi="Arial Narrow"/>
                <w:b/>
                <w:sz w:val="20"/>
              </w:rPr>
            </w:pPr>
            <w:r w:rsidRPr="00260CE3">
              <w:rPr>
                <w:rFonts w:ascii="Arial Narrow" w:hAnsi="Arial Narrow"/>
                <w:b/>
                <w:sz w:val="20"/>
              </w:rPr>
              <w:t>Clinical criteria:</w:t>
            </w:r>
          </w:p>
        </w:tc>
        <w:tc>
          <w:tcPr>
            <w:tcW w:w="5812" w:type="dxa"/>
            <w:gridSpan w:val="6"/>
            <w:tcBorders>
              <w:top w:val="single" w:sz="4" w:space="0" w:color="auto"/>
              <w:left w:val="single" w:sz="4" w:space="0" w:color="auto"/>
              <w:bottom w:val="single" w:sz="4" w:space="0" w:color="auto"/>
              <w:right w:val="single" w:sz="4" w:space="0" w:color="auto"/>
            </w:tcBorders>
          </w:tcPr>
          <w:p w:rsidR="00D6090E" w:rsidRDefault="00D6090E" w:rsidP="00B01051">
            <w:pPr>
              <w:rPr>
                <w:rFonts w:ascii="Arial Narrow" w:hAnsi="Arial Narrow"/>
                <w:sz w:val="20"/>
              </w:rPr>
            </w:pPr>
            <w:r>
              <w:rPr>
                <w:rFonts w:ascii="Arial Narrow" w:hAnsi="Arial Narrow"/>
                <w:sz w:val="20"/>
              </w:rPr>
              <w:t>The treatment must be the sole PBS-subsidised therapy for this condition;</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AND</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Patient must be positive for a BRAF V600 mutation;</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AND</w:t>
            </w:r>
          </w:p>
          <w:p w:rsidR="00D6090E" w:rsidRDefault="00D6090E" w:rsidP="00B01051">
            <w:pPr>
              <w:rPr>
                <w:rFonts w:ascii="Arial Narrow" w:hAnsi="Arial Narrow"/>
                <w:sz w:val="20"/>
              </w:rPr>
            </w:pPr>
          </w:p>
          <w:p w:rsidR="00934582" w:rsidRPr="00934582" w:rsidRDefault="00D6090E" w:rsidP="00934582">
            <w:pPr>
              <w:rPr>
                <w:rFonts w:ascii="Arial Narrow" w:hAnsi="Arial Narrow"/>
                <w:i/>
                <w:sz w:val="20"/>
              </w:rPr>
            </w:pPr>
            <w:r w:rsidRPr="00CB4332">
              <w:rPr>
                <w:rFonts w:ascii="Arial Narrow" w:hAnsi="Arial Narrow"/>
                <w:strike/>
                <w:sz w:val="20"/>
              </w:rPr>
              <w:t>Patient</w:t>
            </w:r>
            <w:r>
              <w:rPr>
                <w:rFonts w:ascii="Arial Narrow" w:hAnsi="Arial Narrow"/>
                <w:sz w:val="20"/>
              </w:rPr>
              <w:t xml:space="preserve"> </w:t>
            </w:r>
            <w:r>
              <w:rPr>
                <w:rFonts w:ascii="Arial Narrow" w:hAnsi="Arial Narrow"/>
                <w:i/>
                <w:sz w:val="20"/>
              </w:rPr>
              <w:t xml:space="preserve">The condition </w:t>
            </w:r>
            <w:r>
              <w:rPr>
                <w:rFonts w:ascii="Arial Narrow" w:hAnsi="Arial Narrow"/>
                <w:sz w:val="20"/>
              </w:rPr>
              <w:t xml:space="preserve">must have progressed following treatment with a BRAF inhibitor </w:t>
            </w:r>
            <w:r w:rsidRPr="00CB4332">
              <w:rPr>
                <w:rFonts w:ascii="Arial Narrow" w:hAnsi="Arial Narrow"/>
                <w:strike/>
                <w:sz w:val="20"/>
              </w:rPr>
              <w:t>or treatment with a BRAF inhibitor is contraindicated or not tolerated</w:t>
            </w:r>
            <w:r>
              <w:rPr>
                <w:rFonts w:ascii="Arial Narrow" w:hAnsi="Arial Narrow"/>
                <w:sz w:val="20"/>
              </w:rPr>
              <w:t xml:space="preserve"> </w:t>
            </w:r>
            <w:r w:rsidRPr="00CB4332">
              <w:rPr>
                <w:rFonts w:ascii="Arial Narrow" w:hAnsi="Arial Narrow"/>
                <w:i/>
                <w:sz w:val="20"/>
              </w:rPr>
              <w:t>unless contraindicated or not tolerated</w:t>
            </w:r>
            <w:r>
              <w:rPr>
                <w:rFonts w:ascii="Arial Narrow" w:hAnsi="Arial Narrow"/>
                <w:i/>
                <w:sz w:val="20"/>
              </w:rPr>
              <w:t xml:space="preserve"> according to the TG</w:t>
            </w:r>
            <w:r w:rsidR="00793B2C">
              <w:rPr>
                <w:rFonts w:ascii="Arial Narrow" w:hAnsi="Arial Narrow"/>
                <w:i/>
                <w:sz w:val="20"/>
              </w:rPr>
              <w:t>A approved Product Information;</w:t>
            </w:r>
            <w:r w:rsidR="00934582">
              <w:t xml:space="preserve"> </w:t>
            </w:r>
          </w:p>
          <w:p w:rsidR="00934582" w:rsidRPr="00934582" w:rsidRDefault="00934582" w:rsidP="00934582">
            <w:pPr>
              <w:rPr>
                <w:rFonts w:ascii="Arial Narrow" w:hAnsi="Arial Narrow"/>
                <w:i/>
                <w:sz w:val="20"/>
              </w:rPr>
            </w:pPr>
          </w:p>
          <w:p w:rsidR="00934582" w:rsidRPr="00934582" w:rsidRDefault="00934582" w:rsidP="00934582">
            <w:pPr>
              <w:rPr>
                <w:rFonts w:ascii="Arial Narrow" w:hAnsi="Arial Narrow"/>
                <w:i/>
                <w:sz w:val="20"/>
              </w:rPr>
            </w:pPr>
            <w:r w:rsidRPr="00934582">
              <w:rPr>
                <w:rFonts w:ascii="Arial Narrow" w:hAnsi="Arial Narrow"/>
                <w:i/>
                <w:sz w:val="20"/>
              </w:rPr>
              <w:t>AND</w:t>
            </w:r>
          </w:p>
          <w:p w:rsidR="00934582" w:rsidRDefault="00934582" w:rsidP="00934582">
            <w:pPr>
              <w:rPr>
                <w:rFonts w:ascii="Arial Narrow" w:hAnsi="Arial Narrow"/>
                <w:i/>
                <w:sz w:val="20"/>
              </w:rPr>
            </w:pPr>
          </w:p>
          <w:p w:rsidR="00D6090E" w:rsidRPr="00CB4332" w:rsidRDefault="00934582" w:rsidP="00934582">
            <w:pPr>
              <w:rPr>
                <w:rFonts w:ascii="Arial Narrow" w:hAnsi="Arial Narrow"/>
                <w:i/>
                <w:sz w:val="20"/>
              </w:rPr>
            </w:pPr>
            <w:r w:rsidRPr="00934582">
              <w:rPr>
                <w:rFonts w:ascii="Arial Narrow" w:hAnsi="Arial Narrow"/>
                <w:i/>
                <w:sz w:val="20"/>
              </w:rPr>
              <w:t>The condition must be previously untreated with ipilimumab;</w:t>
            </w:r>
          </w:p>
          <w:p w:rsidR="00D6090E" w:rsidRDefault="00D6090E" w:rsidP="00B01051">
            <w:pPr>
              <w:rPr>
                <w:rFonts w:ascii="Arial Narrow" w:hAnsi="Arial Narrow"/>
                <w:sz w:val="20"/>
              </w:rPr>
            </w:pPr>
          </w:p>
          <w:p w:rsidR="00D6090E" w:rsidRDefault="00D6090E" w:rsidP="00B01051">
            <w:pPr>
              <w:rPr>
                <w:rFonts w:ascii="Arial Narrow" w:hAnsi="Arial Narrow"/>
                <w:i/>
                <w:sz w:val="20"/>
              </w:rPr>
            </w:pPr>
            <w:r>
              <w:rPr>
                <w:rFonts w:ascii="Arial Narrow" w:hAnsi="Arial Narrow"/>
                <w:i/>
                <w:sz w:val="20"/>
              </w:rPr>
              <w:t>AND</w:t>
            </w:r>
          </w:p>
          <w:p w:rsidR="00D6090E" w:rsidRDefault="00D6090E" w:rsidP="00B01051">
            <w:pPr>
              <w:rPr>
                <w:rFonts w:ascii="Arial Narrow" w:hAnsi="Arial Narrow"/>
                <w:i/>
                <w:sz w:val="20"/>
              </w:rPr>
            </w:pPr>
          </w:p>
          <w:p w:rsidR="00D6090E" w:rsidRPr="00260CE3" w:rsidRDefault="00D6090E" w:rsidP="00B01051">
            <w:pPr>
              <w:rPr>
                <w:rFonts w:ascii="Arial Narrow" w:hAnsi="Arial Narrow"/>
                <w:sz w:val="20"/>
              </w:rPr>
            </w:pPr>
            <w:r>
              <w:rPr>
                <w:rFonts w:ascii="Arial Narrow" w:hAnsi="Arial Narrow"/>
                <w:i/>
                <w:sz w:val="20"/>
              </w:rPr>
              <w:t>The treatment must not exceed a total of 6 doses at a maximum dose of 2</w:t>
            </w:r>
            <w:r w:rsidR="00793B2C">
              <w:rPr>
                <w:rFonts w:ascii="Arial Narrow" w:hAnsi="Arial Narrow"/>
                <w:i/>
                <w:sz w:val="20"/>
              </w:rPr>
              <w:t> </w:t>
            </w:r>
            <w:r>
              <w:rPr>
                <w:rFonts w:ascii="Arial Narrow" w:hAnsi="Arial Narrow"/>
                <w:i/>
                <w:sz w:val="20"/>
              </w:rPr>
              <w:t>mg/kg every 3 weeks.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B4332" w:rsidRDefault="00D6090E" w:rsidP="00B01051">
            <w:pPr>
              <w:rPr>
                <w:rFonts w:ascii="Arial Narrow" w:hAnsi="Arial Narrow"/>
                <w:b/>
                <w:sz w:val="20"/>
              </w:rPr>
            </w:pPr>
            <w:r w:rsidRPr="00260CE3">
              <w:rPr>
                <w:rFonts w:ascii="Arial Narrow" w:hAnsi="Arial Narrow"/>
                <w:b/>
                <w:sz w:val="20"/>
              </w:rPr>
              <w:t>Population criteria:</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B4332" w:rsidRDefault="00D6090E" w:rsidP="00B01051">
            <w:pPr>
              <w:rPr>
                <w:rFonts w:ascii="Arial Narrow" w:hAnsi="Arial Narrow"/>
                <w:b/>
                <w:sz w:val="20"/>
              </w:rPr>
            </w:pPr>
            <w:r w:rsidRPr="00260CE3">
              <w:rPr>
                <w:rFonts w:ascii="Arial Narrow" w:hAnsi="Arial Narrow"/>
                <w:b/>
                <w:sz w:val="20"/>
              </w:rPr>
              <w:t>Foreword</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B4332" w:rsidRDefault="00D6090E" w:rsidP="00B01051">
            <w:pPr>
              <w:rPr>
                <w:rFonts w:ascii="Arial Narrow" w:hAnsi="Arial Narrow"/>
                <w:b/>
                <w:sz w:val="20"/>
              </w:rPr>
            </w:pPr>
            <w:r w:rsidRPr="00260CE3">
              <w:rPr>
                <w:rFonts w:ascii="Arial Narrow" w:hAnsi="Arial Narrow"/>
                <w:b/>
                <w:sz w:val="20"/>
              </w:rPr>
              <w:t>Definitions</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sidRPr="00260CE3">
              <w:rPr>
                <w:rFonts w:ascii="Arial Narrow" w:hAnsi="Arial Narrow"/>
                <w:b/>
                <w:sz w:val="20"/>
              </w:rPr>
              <w:t>Prescriber Instructions</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7C2A41" w:rsidRDefault="00D6090E" w:rsidP="00B01051">
            <w:pPr>
              <w:rPr>
                <w:rFonts w:ascii="Arial Narrow" w:hAnsi="Arial Narrow"/>
                <w:i/>
                <w:sz w:val="20"/>
              </w:rPr>
            </w:pPr>
            <w:r>
              <w:rPr>
                <w:rFonts w:ascii="Arial Narrow" w:hAnsi="Arial Narrow"/>
                <w:i/>
                <w:sz w:val="20"/>
              </w:rPr>
              <w:t xml:space="preserve">The patient’s body weight must be documented in the patient’s medical records at the time treatment is initiated. </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B4332" w:rsidRDefault="00D6090E" w:rsidP="00B01051">
            <w:pPr>
              <w:rPr>
                <w:rFonts w:ascii="Arial Narrow" w:hAnsi="Arial Narrow"/>
                <w:b/>
                <w:sz w:val="20"/>
              </w:rPr>
            </w:pPr>
            <w:r w:rsidRPr="00260CE3">
              <w:rPr>
                <w:rFonts w:ascii="Arial Narrow" w:hAnsi="Arial Narrow"/>
                <w:b/>
                <w:sz w:val="20"/>
              </w:rPr>
              <w:t>Administrative Advice</w:t>
            </w:r>
          </w:p>
        </w:tc>
        <w:tc>
          <w:tcPr>
            <w:tcW w:w="5812" w:type="dxa"/>
            <w:gridSpan w:val="6"/>
            <w:tcBorders>
              <w:top w:val="single" w:sz="4" w:space="0" w:color="auto"/>
              <w:left w:val="single" w:sz="4" w:space="0" w:color="auto"/>
              <w:bottom w:val="single" w:sz="4" w:space="0" w:color="auto"/>
              <w:right w:val="single" w:sz="4" w:space="0" w:color="auto"/>
            </w:tcBorders>
          </w:tcPr>
          <w:p w:rsidR="00D6090E" w:rsidRDefault="00D6090E" w:rsidP="00B01051">
            <w:pPr>
              <w:rPr>
                <w:rFonts w:ascii="Arial Narrow" w:hAnsi="Arial Narrow"/>
                <w:sz w:val="20"/>
              </w:rPr>
            </w:pPr>
            <w:r>
              <w:rPr>
                <w:rFonts w:ascii="Arial Narrow" w:hAnsi="Arial Narrow"/>
                <w:sz w:val="20"/>
              </w:rPr>
              <w:t>In the first few months after start of immunotherapy, some patients can have a transient tumour flare with subsequent disease response. When progression is suspected, this should be confirmed through a confirmatory scan</w:t>
            </w:r>
            <w:r w:rsidR="00793B2C">
              <w:rPr>
                <w:rFonts w:ascii="Arial Narrow" w:hAnsi="Arial Narrow"/>
                <w:sz w:val="20"/>
              </w:rPr>
              <w:t>, taken at least 4 weeks later.</w:t>
            </w:r>
          </w:p>
          <w:p w:rsidR="00D6090E" w:rsidRDefault="00D6090E" w:rsidP="00B01051">
            <w:pPr>
              <w:rPr>
                <w:rFonts w:ascii="Arial Narrow" w:hAnsi="Arial Narrow"/>
                <w:sz w:val="20"/>
              </w:rPr>
            </w:pPr>
          </w:p>
          <w:p w:rsidR="00D6090E" w:rsidRPr="00260CE3" w:rsidRDefault="00D6090E" w:rsidP="00B01051">
            <w:pPr>
              <w:rPr>
                <w:rFonts w:ascii="Arial Narrow" w:hAnsi="Arial Narrow"/>
                <w:sz w:val="20"/>
              </w:rPr>
            </w:pPr>
            <w:r>
              <w:rPr>
                <w:rFonts w:ascii="Arial Narrow" w:hAnsi="Arial Narrow"/>
                <w:i/>
                <w:sz w:val="20"/>
              </w:rPr>
              <w:t>No increase in the maximum number of repeats may be authorised.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B4332" w:rsidRDefault="00D6090E" w:rsidP="00B01051">
            <w:pPr>
              <w:rPr>
                <w:rFonts w:ascii="Arial Narrow" w:hAnsi="Arial Narrow"/>
                <w:b/>
                <w:sz w:val="20"/>
              </w:rPr>
            </w:pPr>
            <w:r w:rsidRPr="00260CE3">
              <w:rPr>
                <w:rFonts w:ascii="Arial Narrow" w:hAnsi="Arial Narrow"/>
                <w:b/>
                <w:sz w:val="20"/>
              </w:rPr>
              <w:t>Cautions</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bl>
    <w:p w:rsidR="00CA498A" w:rsidRDefault="00CA498A" w:rsidP="00D6090E">
      <w:pPr>
        <w:pStyle w:val="PBACHeading1"/>
        <w:numPr>
          <w:ilvl w:val="0"/>
          <w:numId w:val="0"/>
        </w:numPr>
        <w:ind w:left="720"/>
        <w:rPr>
          <w:b w:val="0"/>
        </w:rPr>
      </w:pPr>
    </w:p>
    <w:p w:rsidR="00CA498A" w:rsidRDefault="00CA498A">
      <w:pPr>
        <w:widowControl/>
        <w:jc w:val="left"/>
        <w:rPr>
          <w:szCs w:val="22"/>
        </w:rPr>
      </w:pPr>
      <w:r>
        <w:rPr>
          <w:b/>
        </w:rPr>
        <w:br w:type="page"/>
      </w:r>
    </w:p>
    <w:p w:rsidR="00D6090E" w:rsidRPr="00793B2C" w:rsidRDefault="00D6090E" w:rsidP="00D6090E">
      <w:pPr>
        <w:pStyle w:val="PBACHeading1"/>
        <w:numPr>
          <w:ilvl w:val="0"/>
          <w:numId w:val="0"/>
        </w:numPr>
        <w:ind w:left="720"/>
        <w:rPr>
          <w:b w:val="0"/>
        </w:rPr>
      </w:pPr>
    </w:p>
    <w:tbl>
      <w:tblPr>
        <w:tblW w:w="8505" w:type="dxa"/>
        <w:tblInd w:w="817" w:type="dxa"/>
        <w:tblLayout w:type="fixed"/>
        <w:tblLook w:val="0000" w:firstRow="0" w:lastRow="0" w:firstColumn="0" w:lastColumn="0" w:noHBand="0" w:noVBand="0"/>
      </w:tblPr>
      <w:tblGrid>
        <w:gridCol w:w="2693"/>
        <w:gridCol w:w="1134"/>
        <w:gridCol w:w="709"/>
        <w:gridCol w:w="1701"/>
        <w:gridCol w:w="992"/>
        <w:gridCol w:w="1276"/>
      </w:tblGrid>
      <w:tr w:rsidR="00D6090E" w:rsidRPr="00260CE3" w:rsidTr="00F23465">
        <w:trPr>
          <w:cantSplit/>
          <w:trHeight w:val="471"/>
        </w:trPr>
        <w:tc>
          <w:tcPr>
            <w:tcW w:w="2693"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Name, Restriction,</w:t>
            </w:r>
          </w:p>
          <w:p w:rsidR="00D6090E" w:rsidRPr="00260CE3" w:rsidRDefault="00D6090E" w:rsidP="00B01051">
            <w:pPr>
              <w:keepNext/>
              <w:ind w:left="-108"/>
              <w:rPr>
                <w:rFonts w:ascii="Arial Narrow" w:hAnsi="Arial Narrow"/>
                <w:sz w:val="20"/>
              </w:rPr>
            </w:pPr>
            <w:r w:rsidRPr="00260CE3">
              <w:rPr>
                <w:rFonts w:ascii="Arial Narrow" w:hAnsi="Arial Narrow"/>
                <w:sz w:val="20"/>
              </w:rPr>
              <w:t>Manner of administration and form</w:t>
            </w:r>
          </w:p>
        </w:tc>
        <w:tc>
          <w:tcPr>
            <w:tcW w:w="1134"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Max.</w:t>
            </w:r>
          </w:p>
          <w:p w:rsidR="00D6090E" w:rsidRPr="00260CE3" w:rsidRDefault="003F1031" w:rsidP="003F1031">
            <w:pPr>
              <w:keepNext/>
              <w:ind w:left="-108"/>
              <w:rPr>
                <w:rFonts w:ascii="Arial Narrow" w:hAnsi="Arial Narrow"/>
                <w:sz w:val="20"/>
              </w:rPr>
            </w:pPr>
            <w:r>
              <w:rPr>
                <w:rFonts w:ascii="Arial Narrow" w:hAnsi="Arial Narrow"/>
                <w:sz w:val="20"/>
              </w:rPr>
              <w:t>Amount</w:t>
            </w:r>
          </w:p>
        </w:tc>
        <w:tc>
          <w:tcPr>
            <w:tcW w:w="709"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№.of</w:t>
            </w:r>
          </w:p>
          <w:p w:rsidR="00D6090E" w:rsidRPr="00260CE3" w:rsidRDefault="00D6090E" w:rsidP="00B01051">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D6090E" w:rsidRPr="00260CE3" w:rsidRDefault="00D6090E" w:rsidP="003F1031">
            <w:pPr>
              <w:keepNext/>
              <w:ind w:left="-108"/>
              <w:jc w:val="center"/>
              <w:rPr>
                <w:rFonts w:ascii="Arial Narrow" w:hAnsi="Arial Narrow"/>
                <w:sz w:val="20"/>
              </w:rPr>
            </w:pPr>
            <w:r w:rsidRPr="00260CE3">
              <w:rPr>
                <w:rFonts w:ascii="Arial Narrow" w:hAnsi="Arial Narrow"/>
                <w:sz w:val="20"/>
              </w:rPr>
              <w:t xml:space="preserve">Dispensed Price for Max. </w:t>
            </w:r>
            <w:r w:rsidR="003044A8" w:rsidRPr="003F1031">
              <w:rPr>
                <w:rFonts w:ascii="Arial Narrow" w:hAnsi="Arial Narrow"/>
                <w:sz w:val="20"/>
              </w:rPr>
              <w:t>Amount</w:t>
            </w:r>
          </w:p>
        </w:tc>
        <w:tc>
          <w:tcPr>
            <w:tcW w:w="2268" w:type="dxa"/>
            <w:gridSpan w:val="2"/>
            <w:tcBorders>
              <w:bottom w:val="single" w:sz="4" w:space="0" w:color="auto"/>
            </w:tcBorders>
          </w:tcPr>
          <w:p w:rsidR="00D6090E" w:rsidRPr="00260CE3" w:rsidRDefault="00D6090E" w:rsidP="003044A8">
            <w:pPr>
              <w:keepNext/>
              <w:jc w:val="center"/>
              <w:rPr>
                <w:rFonts w:ascii="Arial Narrow" w:hAnsi="Arial Narrow"/>
                <w:sz w:val="20"/>
                <w:lang w:val="fr-FR"/>
              </w:rPr>
            </w:pPr>
            <w:r w:rsidRPr="00260CE3">
              <w:rPr>
                <w:rFonts w:ascii="Arial Narrow" w:hAnsi="Arial Narrow"/>
                <w:sz w:val="20"/>
              </w:rPr>
              <w:t>Proprietary Name and Manufacturer</w:t>
            </w:r>
          </w:p>
        </w:tc>
      </w:tr>
      <w:tr w:rsidR="00D6090E" w:rsidRPr="00260CE3" w:rsidTr="00F23465">
        <w:trPr>
          <w:cantSplit/>
          <w:trHeight w:val="577"/>
        </w:trPr>
        <w:tc>
          <w:tcPr>
            <w:tcW w:w="2693" w:type="dxa"/>
          </w:tcPr>
          <w:p w:rsidR="00D6090E" w:rsidRPr="00260CE3" w:rsidRDefault="00D6090E" w:rsidP="00B01051">
            <w:pPr>
              <w:keepNext/>
              <w:ind w:left="-108"/>
              <w:rPr>
                <w:rFonts w:ascii="Arial Narrow" w:hAnsi="Arial Narrow"/>
                <w:sz w:val="20"/>
              </w:rPr>
            </w:pPr>
            <w:r>
              <w:rPr>
                <w:rFonts w:ascii="Arial Narrow" w:hAnsi="Arial Narrow"/>
                <w:smallCaps/>
                <w:sz w:val="20"/>
              </w:rPr>
              <w:t>PEMBROLIZUMAB</w:t>
            </w:r>
          </w:p>
          <w:p w:rsidR="00D6090E" w:rsidRDefault="00D6090E" w:rsidP="00B01051">
            <w:pPr>
              <w:keepNext/>
              <w:ind w:left="-108"/>
              <w:rPr>
                <w:rFonts w:ascii="Arial Narrow" w:hAnsi="Arial Narrow"/>
                <w:sz w:val="20"/>
              </w:rPr>
            </w:pPr>
            <w:r>
              <w:rPr>
                <w:rFonts w:ascii="Arial Narrow" w:hAnsi="Arial Narrow"/>
                <w:sz w:val="20"/>
              </w:rPr>
              <w:t>50</w:t>
            </w:r>
            <w:r w:rsidR="00793B2C">
              <w:rPr>
                <w:rFonts w:ascii="Arial Narrow" w:hAnsi="Arial Narrow"/>
                <w:sz w:val="20"/>
              </w:rPr>
              <w:t> </w:t>
            </w:r>
            <w:r>
              <w:rPr>
                <w:rFonts w:ascii="Arial Narrow" w:hAnsi="Arial Narrow"/>
                <w:sz w:val="20"/>
              </w:rPr>
              <w:t>mg injection: powder for, 1 vial</w:t>
            </w:r>
          </w:p>
          <w:p w:rsidR="00D6090E" w:rsidRPr="00D6090E" w:rsidRDefault="00D6090E" w:rsidP="00B01051">
            <w:pPr>
              <w:keepNext/>
              <w:ind w:left="-108"/>
              <w:rPr>
                <w:rFonts w:ascii="Arial Narrow" w:hAnsi="Arial Narrow"/>
                <w:strike/>
                <w:sz w:val="20"/>
              </w:rPr>
            </w:pPr>
            <w:r w:rsidRPr="00D6090E">
              <w:rPr>
                <w:rFonts w:ascii="Arial Narrow" w:hAnsi="Arial Narrow"/>
                <w:strike/>
                <w:sz w:val="20"/>
              </w:rPr>
              <w:t>100mg injection: powder for, 1 vial</w:t>
            </w:r>
          </w:p>
        </w:tc>
        <w:tc>
          <w:tcPr>
            <w:tcW w:w="1134"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trike/>
                <w:sz w:val="20"/>
              </w:rPr>
            </w:pPr>
            <w:r>
              <w:rPr>
                <w:rFonts w:ascii="Arial Narrow" w:hAnsi="Arial Narrow"/>
                <w:strike/>
                <w:sz w:val="20"/>
              </w:rPr>
              <w:t>280mg</w:t>
            </w:r>
          </w:p>
          <w:p w:rsidR="00D6090E" w:rsidRPr="00FA6723" w:rsidRDefault="00D6090E" w:rsidP="00B01051">
            <w:pPr>
              <w:keepNext/>
              <w:ind w:left="-108"/>
              <w:rPr>
                <w:rFonts w:ascii="Arial Narrow" w:hAnsi="Arial Narrow"/>
                <w:sz w:val="20"/>
              </w:rPr>
            </w:pPr>
            <w:r>
              <w:rPr>
                <w:rFonts w:ascii="Arial Narrow" w:hAnsi="Arial Narrow"/>
                <w:sz w:val="20"/>
              </w:rPr>
              <w:t>240</w:t>
            </w:r>
            <w:r w:rsidR="00793B2C">
              <w:rPr>
                <w:rFonts w:ascii="Arial Narrow" w:hAnsi="Arial Narrow"/>
                <w:sz w:val="20"/>
              </w:rPr>
              <w:t> </w:t>
            </w:r>
            <w:r>
              <w:rPr>
                <w:rFonts w:ascii="Arial Narrow" w:hAnsi="Arial Narrow"/>
                <w:sz w:val="20"/>
              </w:rPr>
              <w:t>mg</w:t>
            </w:r>
          </w:p>
        </w:tc>
        <w:tc>
          <w:tcPr>
            <w:tcW w:w="709" w:type="dxa"/>
          </w:tcPr>
          <w:p w:rsidR="00D6090E" w:rsidRPr="00260CE3" w:rsidRDefault="00D6090E" w:rsidP="00B01051">
            <w:pPr>
              <w:keepNext/>
              <w:ind w:left="-108"/>
              <w:rPr>
                <w:rFonts w:ascii="Arial Narrow" w:hAnsi="Arial Narrow"/>
                <w:sz w:val="20"/>
              </w:rPr>
            </w:pPr>
          </w:p>
          <w:p w:rsidR="00D6090E" w:rsidRPr="00260CE3" w:rsidRDefault="00D6090E" w:rsidP="00B01051">
            <w:pPr>
              <w:keepNext/>
              <w:ind w:left="-108"/>
              <w:rPr>
                <w:rFonts w:ascii="Arial Narrow" w:hAnsi="Arial Narrow"/>
                <w:sz w:val="20"/>
              </w:rPr>
            </w:pPr>
            <w:r>
              <w:rPr>
                <w:rFonts w:ascii="Arial Narrow" w:hAnsi="Arial Narrow"/>
                <w:sz w:val="20"/>
              </w:rPr>
              <w:t>7</w:t>
            </w:r>
          </w:p>
        </w:tc>
        <w:tc>
          <w:tcPr>
            <w:tcW w:w="1701"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(Public)</w:t>
            </w:r>
          </w:p>
          <w:p w:rsidR="00D6090E" w:rsidRPr="00260CE3"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(Private)</w:t>
            </w:r>
          </w:p>
        </w:tc>
        <w:tc>
          <w:tcPr>
            <w:tcW w:w="992" w:type="dxa"/>
          </w:tcPr>
          <w:p w:rsidR="00D6090E" w:rsidRDefault="00D6090E"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Keytruda</w:t>
            </w:r>
          </w:p>
        </w:tc>
        <w:tc>
          <w:tcPr>
            <w:tcW w:w="1276" w:type="dxa"/>
          </w:tcPr>
          <w:p w:rsidR="00D6090E" w:rsidRDefault="00D6090E"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MK</w:t>
            </w:r>
          </w:p>
        </w:tc>
      </w:tr>
      <w:tr w:rsidR="00D6090E" w:rsidRPr="00260CE3" w:rsidTr="00D6090E">
        <w:trPr>
          <w:cantSplit/>
          <w:trHeight w:val="360"/>
        </w:trPr>
        <w:tc>
          <w:tcPr>
            <w:tcW w:w="8505" w:type="dxa"/>
            <w:gridSpan w:val="6"/>
            <w:tcBorders>
              <w:bottom w:val="single" w:sz="4" w:space="0" w:color="auto"/>
            </w:tcBorders>
          </w:tcPr>
          <w:p w:rsidR="00D6090E" w:rsidRPr="00260CE3" w:rsidRDefault="00D6090E" w:rsidP="00B01051">
            <w:pPr>
              <w:rPr>
                <w:rFonts w:ascii="Arial Narrow" w:hAnsi="Arial Narrow"/>
                <w:sz w:val="20"/>
              </w:rPr>
            </w:pP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F23465">
            <w:pPr>
              <w:tabs>
                <w:tab w:val="left" w:pos="1515"/>
              </w:tabs>
              <w:rPr>
                <w:rFonts w:ascii="Arial Narrow" w:hAnsi="Arial Narrow"/>
                <w:b/>
                <w:sz w:val="20"/>
              </w:rPr>
            </w:pPr>
            <w:r w:rsidRPr="00260CE3">
              <w:rPr>
                <w:rFonts w:ascii="Arial Narrow" w:hAnsi="Arial Narrow"/>
                <w:b/>
                <w:sz w:val="20"/>
              </w:rPr>
              <w:t>Category / Program</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Prescriber type:</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00D6090E"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Optometrists</w:t>
            </w:r>
          </w:p>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Midwives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Episodicity:</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Severity:</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Stage IV</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Condition:</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Pr>
                <w:rFonts w:ascii="Arial Narrow" w:hAnsi="Arial Narrow"/>
                <w:sz w:val="20"/>
              </w:rPr>
              <w:t xml:space="preserve">Malignant </w:t>
            </w:r>
            <w:r w:rsidR="00793B2C">
              <w:rPr>
                <w:rFonts w:ascii="Arial Narrow" w:hAnsi="Arial Narrow"/>
                <w:sz w:val="20"/>
              </w:rPr>
              <w:t>m</w:t>
            </w:r>
            <w:r>
              <w:rPr>
                <w:rFonts w:ascii="Arial Narrow" w:hAnsi="Arial Narrow"/>
                <w:sz w:val="20"/>
              </w:rPr>
              <w:t>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PBS Indication:</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Stave IV malignant melanoma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b/>
                <w:sz w:val="20"/>
              </w:rPr>
            </w:pPr>
            <w:r w:rsidRPr="00260CE3">
              <w:rPr>
                <w:rFonts w:ascii="Arial Narrow" w:hAnsi="Arial Narrow"/>
                <w:b/>
                <w:sz w:val="20"/>
              </w:rPr>
              <w:t>Treatment phase:</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Continuing treatment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D28F3" w:rsidRDefault="00D6090E" w:rsidP="00793B2C">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Restricted benefit</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In Writing</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Telephone</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Emergency</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Electronic</w:t>
            </w:r>
          </w:p>
          <w:p w:rsidR="00D6090E" w:rsidRPr="00260CE3" w:rsidRDefault="008847DA" w:rsidP="00B01051">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00D6090E" w:rsidRPr="00106BCF">
              <w:rPr>
                <w:rFonts w:ascii="Arial Narrow" w:hAnsi="Arial Narrow"/>
                <w:sz w:val="20"/>
              </w:rPr>
              <w:t>Streamlined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Treatment criteria:</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p w:rsidR="00D6090E" w:rsidRPr="00260CE3" w:rsidRDefault="00D6090E" w:rsidP="00B01051">
            <w:pPr>
              <w:rPr>
                <w:rFonts w:ascii="Arial Narrow" w:hAnsi="Arial Narrow"/>
                <w:sz w:val="20"/>
              </w:rPr>
            </w:pP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sidRPr="00260CE3">
              <w:rPr>
                <w:rFonts w:ascii="Arial Narrow" w:hAnsi="Arial Narrow"/>
                <w:b/>
                <w:sz w:val="20"/>
              </w:rPr>
              <w:t>Clinical criteria:</w:t>
            </w:r>
          </w:p>
        </w:tc>
        <w:tc>
          <w:tcPr>
            <w:tcW w:w="5812" w:type="dxa"/>
            <w:gridSpan w:val="5"/>
            <w:tcBorders>
              <w:top w:val="single" w:sz="4" w:space="0" w:color="auto"/>
              <w:left w:val="single" w:sz="4" w:space="0" w:color="auto"/>
              <w:bottom w:val="single" w:sz="4" w:space="0" w:color="auto"/>
              <w:right w:val="single" w:sz="4" w:space="0" w:color="auto"/>
            </w:tcBorders>
          </w:tcPr>
          <w:p w:rsidR="00D6090E" w:rsidRDefault="00D6090E" w:rsidP="00B01051">
            <w:pPr>
              <w:rPr>
                <w:rFonts w:ascii="Arial Narrow" w:hAnsi="Arial Narrow"/>
                <w:sz w:val="20"/>
              </w:rPr>
            </w:pPr>
            <w:r>
              <w:rPr>
                <w:rFonts w:ascii="Arial Narrow" w:hAnsi="Arial Narrow"/>
                <w:sz w:val="20"/>
              </w:rPr>
              <w:t>The treatment must be the sole PBS-subsidised therapy for this condition;</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AND</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 xml:space="preserve">Patient must have previously been issued with an authority prescription for this drug </w:t>
            </w:r>
            <w:r>
              <w:rPr>
                <w:rFonts w:ascii="Arial Narrow" w:hAnsi="Arial Narrow"/>
                <w:i/>
                <w:sz w:val="20"/>
              </w:rPr>
              <w:t>for this condition;</w:t>
            </w:r>
          </w:p>
          <w:p w:rsidR="00D6090E" w:rsidRDefault="00D6090E" w:rsidP="00B01051">
            <w:pPr>
              <w:rPr>
                <w:rFonts w:ascii="Arial Narrow" w:hAnsi="Arial Narrow"/>
                <w:sz w:val="20"/>
              </w:rPr>
            </w:pPr>
          </w:p>
          <w:p w:rsidR="00D6090E" w:rsidRDefault="00D6090E" w:rsidP="00B01051">
            <w:pPr>
              <w:rPr>
                <w:rFonts w:ascii="Arial Narrow" w:hAnsi="Arial Narrow"/>
                <w:sz w:val="20"/>
              </w:rPr>
            </w:pPr>
            <w:r>
              <w:rPr>
                <w:rFonts w:ascii="Arial Narrow" w:hAnsi="Arial Narrow"/>
                <w:sz w:val="20"/>
              </w:rPr>
              <w:t>AND</w:t>
            </w:r>
          </w:p>
          <w:p w:rsidR="00D6090E" w:rsidRDefault="00D6090E" w:rsidP="00B01051">
            <w:pPr>
              <w:rPr>
                <w:rFonts w:ascii="Arial Narrow" w:hAnsi="Arial Narrow"/>
                <w:sz w:val="20"/>
              </w:rPr>
            </w:pPr>
          </w:p>
          <w:p w:rsidR="00D6090E" w:rsidRPr="00AA3EAB" w:rsidRDefault="00D6090E" w:rsidP="00B01051">
            <w:pPr>
              <w:rPr>
                <w:rFonts w:ascii="Arial Narrow" w:hAnsi="Arial Narrow"/>
                <w:sz w:val="20"/>
              </w:rPr>
            </w:pPr>
            <w:r>
              <w:rPr>
                <w:rFonts w:ascii="Arial Narrow" w:hAnsi="Arial Narrow"/>
                <w:sz w:val="20"/>
              </w:rPr>
              <w:t>Patient must have stable or responding disease;</w:t>
            </w:r>
          </w:p>
          <w:p w:rsidR="00D6090E" w:rsidRDefault="00D6090E" w:rsidP="00B01051">
            <w:pPr>
              <w:rPr>
                <w:rFonts w:ascii="Arial Narrow" w:hAnsi="Arial Narrow"/>
                <w:i/>
                <w:sz w:val="20"/>
              </w:rPr>
            </w:pPr>
          </w:p>
          <w:p w:rsidR="00D6090E" w:rsidRDefault="00D6090E" w:rsidP="00B01051">
            <w:pPr>
              <w:rPr>
                <w:rFonts w:ascii="Arial Narrow" w:hAnsi="Arial Narrow"/>
                <w:i/>
                <w:sz w:val="20"/>
              </w:rPr>
            </w:pPr>
            <w:r>
              <w:rPr>
                <w:rFonts w:ascii="Arial Narrow" w:hAnsi="Arial Narrow"/>
                <w:i/>
                <w:sz w:val="20"/>
              </w:rPr>
              <w:t>AND</w:t>
            </w:r>
          </w:p>
          <w:p w:rsidR="00D6090E" w:rsidRDefault="00D6090E" w:rsidP="00B01051">
            <w:pPr>
              <w:rPr>
                <w:rFonts w:ascii="Arial Narrow" w:hAnsi="Arial Narrow"/>
                <w:i/>
                <w:sz w:val="20"/>
              </w:rPr>
            </w:pPr>
          </w:p>
          <w:p w:rsidR="00D6090E" w:rsidRPr="00260CE3" w:rsidRDefault="00D6090E" w:rsidP="00793B2C">
            <w:pPr>
              <w:rPr>
                <w:rFonts w:ascii="Arial Narrow" w:hAnsi="Arial Narrow"/>
                <w:sz w:val="20"/>
              </w:rPr>
            </w:pPr>
            <w:r>
              <w:rPr>
                <w:rFonts w:ascii="Arial Narrow" w:hAnsi="Arial Narrow"/>
                <w:i/>
                <w:sz w:val="20"/>
              </w:rPr>
              <w:t>The treatment must not exceed a maximum dose of 2</w:t>
            </w:r>
            <w:r w:rsidR="00793B2C">
              <w:rPr>
                <w:rFonts w:ascii="Arial Narrow" w:hAnsi="Arial Narrow"/>
                <w:i/>
                <w:sz w:val="20"/>
              </w:rPr>
              <w:t> </w:t>
            </w:r>
            <w:r>
              <w:rPr>
                <w:rFonts w:ascii="Arial Narrow" w:hAnsi="Arial Narrow"/>
                <w:i/>
                <w:sz w:val="20"/>
              </w:rPr>
              <w:t>mg/kg every 3 weeks.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b/>
                <w:sz w:val="20"/>
              </w:rPr>
            </w:pPr>
            <w:r w:rsidRPr="00260CE3">
              <w:rPr>
                <w:rFonts w:ascii="Arial Narrow" w:hAnsi="Arial Narrow"/>
                <w:b/>
                <w:sz w:val="20"/>
              </w:rPr>
              <w:t>Population criteria:</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sidRPr="00260CE3">
              <w:rPr>
                <w:rFonts w:ascii="Arial Narrow" w:hAnsi="Arial Narrow"/>
                <w:b/>
                <w:sz w:val="20"/>
              </w:rPr>
              <w:t>Foreword</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b/>
                <w:sz w:val="20"/>
              </w:rPr>
            </w:pPr>
            <w:r w:rsidRPr="00260CE3">
              <w:rPr>
                <w:rFonts w:ascii="Arial Narrow" w:hAnsi="Arial Narrow"/>
                <w:b/>
                <w:sz w:val="20"/>
              </w:rPr>
              <w:t>Definitions</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b/>
                <w:sz w:val="20"/>
              </w:rPr>
            </w:pPr>
            <w:r w:rsidRPr="00260CE3">
              <w:rPr>
                <w:rFonts w:ascii="Arial Narrow" w:hAnsi="Arial Narrow"/>
                <w:b/>
                <w:sz w:val="20"/>
              </w:rPr>
              <w:t>Prescriber Instructions</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b/>
                <w:sz w:val="20"/>
              </w:rPr>
            </w:pPr>
            <w:r w:rsidRPr="00260CE3">
              <w:rPr>
                <w:rFonts w:ascii="Arial Narrow" w:hAnsi="Arial Narrow"/>
                <w:b/>
                <w:sz w:val="20"/>
              </w:rPr>
              <w:t>Administrative Advice</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i/>
                <w:sz w:val="20"/>
              </w:rPr>
              <w:t>No increase in the maximum number of repeats may be authorised.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b/>
                <w:sz w:val="20"/>
              </w:rPr>
            </w:pPr>
            <w:r w:rsidRPr="00260CE3">
              <w:rPr>
                <w:rFonts w:ascii="Arial Narrow" w:hAnsi="Arial Narrow"/>
                <w:b/>
                <w:sz w:val="20"/>
              </w:rPr>
              <w:t>Cautions</w:t>
            </w:r>
          </w:p>
        </w:tc>
        <w:tc>
          <w:tcPr>
            <w:tcW w:w="5812" w:type="dxa"/>
            <w:gridSpan w:val="5"/>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bl>
    <w:p w:rsidR="00D6090E" w:rsidRPr="00793B2C" w:rsidRDefault="00D6090E" w:rsidP="00D6090E">
      <w:pPr>
        <w:pStyle w:val="PBACHeading1"/>
        <w:numPr>
          <w:ilvl w:val="0"/>
          <w:numId w:val="0"/>
        </w:numPr>
        <w:ind w:left="720"/>
        <w:rPr>
          <w:b w:val="0"/>
        </w:rPr>
      </w:pPr>
    </w:p>
    <w:tbl>
      <w:tblPr>
        <w:tblW w:w="8505" w:type="dxa"/>
        <w:tblInd w:w="817" w:type="dxa"/>
        <w:tblLayout w:type="fixed"/>
        <w:tblLook w:val="0000" w:firstRow="0" w:lastRow="0" w:firstColumn="0" w:lastColumn="0" w:noHBand="0" w:noVBand="0"/>
      </w:tblPr>
      <w:tblGrid>
        <w:gridCol w:w="2693"/>
        <w:gridCol w:w="142"/>
        <w:gridCol w:w="992"/>
        <w:gridCol w:w="709"/>
        <w:gridCol w:w="1701"/>
        <w:gridCol w:w="992"/>
        <w:gridCol w:w="1276"/>
      </w:tblGrid>
      <w:tr w:rsidR="00D6090E" w:rsidRPr="00260CE3" w:rsidTr="00F23465">
        <w:trPr>
          <w:cantSplit/>
          <w:trHeight w:val="471"/>
        </w:trPr>
        <w:tc>
          <w:tcPr>
            <w:tcW w:w="2835" w:type="dxa"/>
            <w:gridSpan w:val="2"/>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lastRenderedPageBreak/>
              <w:t>Name, Restriction,</w:t>
            </w:r>
          </w:p>
          <w:p w:rsidR="00D6090E" w:rsidRPr="00260CE3" w:rsidRDefault="00D6090E" w:rsidP="00B01051">
            <w:pPr>
              <w:keepNext/>
              <w:ind w:left="-108"/>
              <w:rPr>
                <w:rFonts w:ascii="Arial Narrow" w:hAnsi="Arial Narrow"/>
                <w:sz w:val="20"/>
              </w:rPr>
            </w:pPr>
            <w:r w:rsidRPr="00260CE3">
              <w:rPr>
                <w:rFonts w:ascii="Arial Narrow" w:hAnsi="Arial Narrow"/>
                <w:sz w:val="20"/>
              </w:rPr>
              <w:t>Manner of administration and form</w:t>
            </w:r>
          </w:p>
        </w:tc>
        <w:tc>
          <w:tcPr>
            <w:tcW w:w="992"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Max.</w:t>
            </w:r>
          </w:p>
          <w:p w:rsidR="00D6090E" w:rsidRPr="00260CE3" w:rsidRDefault="00D6090E" w:rsidP="00B01051">
            <w:pPr>
              <w:keepNext/>
              <w:ind w:left="-108"/>
              <w:rPr>
                <w:rFonts w:ascii="Arial Narrow" w:hAnsi="Arial Narrow"/>
                <w:sz w:val="20"/>
              </w:rPr>
            </w:pPr>
            <w:r>
              <w:rPr>
                <w:rFonts w:ascii="Arial Narrow" w:hAnsi="Arial Narrow"/>
                <w:sz w:val="20"/>
              </w:rPr>
              <w:t>Amount</w:t>
            </w:r>
          </w:p>
        </w:tc>
        <w:tc>
          <w:tcPr>
            <w:tcW w:w="709" w:type="dxa"/>
            <w:tcBorders>
              <w:bottom w:val="single" w:sz="4" w:space="0" w:color="auto"/>
            </w:tcBorders>
          </w:tcPr>
          <w:p w:rsidR="00D6090E" w:rsidRPr="00260CE3" w:rsidRDefault="00D6090E" w:rsidP="00B01051">
            <w:pPr>
              <w:keepNext/>
              <w:ind w:left="-108"/>
              <w:rPr>
                <w:rFonts w:ascii="Arial Narrow" w:hAnsi="Arial Narrow"/>
                <w:sz w:val="20"/>
              </w:rPr>
            </w:pPr>
            <w:r w:rsidRPr="00260CE3">
              <w:rPr>
                <w:rFonts w:ascii="Arial Narrow" w:hAnsi="Arial Narrow"/>
                <w:sz w:val="20"/>
              </w:rPr>
              <w:t>№.of</w:t>
            </w:r>
          </w:p>
          <w:p w:rsidR="00D6090E" w:rsidRPr="00260CE3" w:rsidRDefault="00D6090E" w:rsidP="00B01051">
            <w:pPr>
              <w:keepNext/>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D6090E" w:rsidRPr="00260CE3" w:rsidRDefault="00D6090E" w:rsidP="00F23465">
            <w:pPr>
              <w:keepNext/>
              <w:ind w:left="-108"/>
              <w:jc w:val="center"/>
              <w:rPr>
                <w:rFonts w:ascii="Arial Narrow" w:hAnsi="Arial Narrow"/>
                <w:sz w:val="20"/>
              </w:rPr>
            </w:pPr>
            <w:r>
              <w:rPr>
                <w:rFonts w:ascii="Arial Narrow" w:hAnsi="Arial Narrow"/>
                <w:sz w:val="20"/>
              </w:rPr>
              <w:t>Dispensed Price for Max. Amount</w:t>
            </w:r>
          </w:p>
        </w:tc>
        <w:tc>
          <w:tcPr>
            <w:tcW w:w="2268" w:type="dxa"/>
            <w:gridSpan w:val="2"/>
            <w:tcBorders>
              <w:bottom w:val="single" w:sz="4" w:space="0" w:color="auto"/>
            </w:tcBorders>
          </w:tcPr>
          <w:p w:rsidR="00D6090E" w:rsidRPr="00260CE3" w:rsidRDefault="00D6090E" w:rsidP="00F23465">
            <w:pPr>
              <w:keepNext/>
              <w:jc w:val="center"/>
              <w:rPr>
                <w:rFonts w:ascii="Arial Narrow" w:hAnsi="Arial Narrow"/>
                <w:sz w:val="20"/>
                <w:lang w:val="fr-FR"/>
              </w:rPr>
            </w:pPr>
            <w:r w:rsidRPr="00260CE3">
              <w:rPr>
                <w:rFonts w:ascii="Arial Narrow" w:hAnsi="Arial Narrow"/>
                <w:sz w:val="20"/>
              </w:rPr>
              <w:t>Proprietary Name and Manufacturer</w:t>
            </w:r>
          </w:p>
        </w:tc>
      </w:tr>
      <w:tr w:rsidR="00D6090E" w:rsidRPr="00260CE3" w:rsidTr="00F23465">
        <w:trPr>
          <w:cantSplit/>
          <w:trHeight w:val="577"/>
        </w:trPr>
        <w:tc>
          <w:tcPr>
            <w:tcW w:w="2835" w:type="dxa"/>
            <w:gridSpan w:val="2"/>
          </w:tcPr>
          <w:p w:rsidR="00D6090E" w:rsidRPr="00260CE3" w:rsidRDefault="00D6090E" w:rsidP="00B01051">
            <w:pPr>
              <w:keepNext/>
              <w:ind w:left="-108"/>
              <w:rPr>
                <w:rFonts w:ascii="Arial Narrow" w:hAnsi="Arial Narrow"/>
                <w:sz w:val="20"/>
              </w:rPr>
            </w:pPr>
            <w:r>
              <w:rPr>
                <w:rFonts w:ascii="Arial Narrow" w:hAnsi="Arial Narrow"/>
                <w:smallCaps/>
                <w:sz w:val="20"/>
              </w:rPr>
              <w:t>PEMBROLIZUMAB</w:t>
            </w:r>
          </w:p>
          <w:p w:rsidR="00D6090E" w:rsidRDefault="00D6090E" w:rsidP="00B01051">
            <w:pPr>
              <w:keepNext/>
              <w:ind w:left="-108"/>
              <w:rPr>
                <w:rFonts w:ascii="Arial Narrow" w:hAnsi="Arial Narrow"/>
                <w:sz w:val="20"/>
              </w:rPr>
            </w:pPr>
            <w:r>
              <w:rPr>
                <w:rFonts w:ascii="Arial Narrow" w:hAnsi="Arial Narrow"/>
                <w:sz w:val="20"/>
              </w:rPr>
              <w:t>50</w:t>
            </w:r>
            <w:r w:rsidR="00793B2C">
              <w:rPr>
                <w:rFonts w:ascii="Arial Narrow" w:hAnsi="Arial Narrow"/>
                <w:sz w:val="20"/>
              </w:rPr>
              <w:t> </w:t>
            </w:r>
            <w:r>
              <w:rPr>
                <w:rFonts w:ascii="Arial Narrow" w:hAnsi="Arial Narrow"/>
                <w:sz w:val="20"/>
              </w:rPr>
              <w:t>mg injection: powder for, 1 vial</w:t>
            </w:r>
          </w:p>
          <w:p w:rsidR="00D6090E" w:rsidRPr="006249D4" w:rsidRDefault="00D6090E" w:rsidP="00B01051">
            <w:pPr>
              <w:keepNext/>
              <w:ind w:left="-108"/>
              <w:rPr>
                <w:rFonts w:ascii="Arial Narrow" w:hAnsi="Arial Narrow"/>
                <w:strike/>
                <w:sz w:val="20"/>
              </w:rPr>
            </w:pPr>
            <w:r w:rsidRPr="006249D4">
              <w:rPr>
                <w:rFonts w:ascii="Arial Narrow" w:hAnsi="Arial Narrow"/>
                <w:strike/>
                <w:sz w:val="20"/>
              </w:rPr>
              <w:t>100mg injection: powder for, 1 vial</w:t>
            </w:r>
          </w:p>
        </w:tc>
        <w:tc>
          <w:tcPr>
            <w:tcW w:w="992"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trike/>
                <w:sz w:val="20"/>
              </w:rPr>
            </w:pPr>
            <w:r>
              <w:rPr>
                <w:rFonts w:ascii="Arial Narrow" w:hAnsi="Arial Narrow"/>
                <w:strike/>
                <w:sz w:val="20"/>
              </w:rPr>
              <w:t>280mg</w:t>
            </w:r>
          </w:p>
          <w:p w:rsidR="00D6090E" w:rsidRPr="00FA6723" w:rsidRDefault="00D6090E" w:rsidP="00B01051">
            <w:pPr>
              <w:keepNext/>
              <w:ind w:left="-108"/>
              <w:rPr>
                <w:rFonts w:ascii="Arial Narrow" w:hAnsi="Arial Narrow"/>
                <w:sz w:val="20"/>
              </w:rPr>
            </w:pPr>
            <w:r>
              <w:rPr>
                <w:rFonts w:ascii="Arial Narrow" w:hAnsi="Arial Narrow"/>
                <w:sz w:val="20"/>
              </w:rPr>
              <w:t>240</w:t>
            </w:r>
            <w:r w:rsidR="00793B2C">
              <w:rPr>
                <w:rFonts w:ascii="Arial Narrow" w:hAnsi="Arial Narrow"/>
                <w:sz w:val="20"/>
              </w:rPr>
              <w:t> </w:t>
            </w:r>
            <w:r>
              <w:rPr>
                <w:rFonts w:ascii="Arial Narrow" w:hAnsi="Arial Narrow"/>
                <w:sz w:val="20"/>
              </w:rPr>
              <w:t>mg</w:t>
            </w:r>
          </w:p>
        </w:tc>
        <w:tc>
          <w:tcPr>
            <w:tcW w:w="709" w:type="dxa"/>
          </w:tcPr>
          <w:p w:rsidR="00D6090E" w:rsidRPr="00260CE3" w:rsidRDefault="00D6090E" w:rsidP="00B01051">
            <w:pPr>
              <w:keepNext/>
              <w:ind w:left="-108"/>
              <w:rPr>
                <w:rFonts w:ascii="Arial Narrow" w:hAnsi="Arial Narrow"/>
                <w:sz w:val="20"/>
              </w:rPr>
            </w:pPr>
          </w:p>
          <w:p w:rsidR="00D6090E" w:rsidRPr="00260CE3" w:rsidRDefault="00D6090E" w:rsidP="00B01051">
            <w:pPr>
              <w:keepNext/>
              <w:ind w:left="-108"/>
              <w:rPr>
                <w:rFonts w:ascii="Arial Narrow" w:hAnsi="Arial Narrow"/>
                <w:sz w:val="20"/>
              </w:rPr>
            </w:pPr>
            <w:r>
              <w:rPr>
                <w:rFonts w:ascii="Arial Narrow" w:hAnsi="Arial Narrow"/>
                <w:sz w:val="20"/>
              </w:rPr>
              <w:t>5</w:t>
            </w:r>
          </w:p>
        </w:tc>
        <w:tc>
          <w:tcPr>
            <w:tcW w:w="1701" w:type="dxa"/>
          </w:tcPr>
          <w:p w:rsidR="00D6090E" w:rsidRPr="00260CE3" w:rsidRDefault="00D6090E" w:rsidP="00B01051">
            <w:pPr>
              <w:keepNext/>
              <w:ind w:left="-108"/>
              <w:rPr>
                <w:rFonts w:ascii="Arial Narrow" w:hAnsi="Arial Narrow"/>
                <w:sz w:val="20"/>
              </w:rPr>
            </w:pPr>
          </w:p>
          <w:p w:rsidR="00D6090E"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(Public)</w:t>
            </w:r>
          </w:p>
          <w:p w:rsidR="00D6090E" w:rsidRPr="00260CE3" w:rsidRDefault="00D6090E" w:rsidP="00B01051">
            <w:pPr>
              <w:keepNext/>
              <w:ind w:left="-108"/>
              <w:rPr>
                <w:rFonts w:ascii="Arial Narrow" w:hAnsi="Arial Narrow"/>
                <w:sz w:val="20"/>
              </w:rPr>
            </w:pPr>
            <w:r>
              <w:rPr>
                <w:rFonts w:ascii="Arial Narrow" w:hAnsi="Arial Narrow"/>
                <w:sz w:val="20"/>
              </w:rPr>
              <w:t>$</w:t>
            </w:r>
            <w:r w:rsidR="00112B75">
              <w:rPr>
                <w:rFonts w:ascii="Arial Narrow" w:hAnsi="Arial Narrow"/>
                <w:noProof/>
                <w:color w:val="000000"/>
                <w:sz w:val="20"/>
                <w:highlight w:val="black"/>
              </w:rPr>
              <w:t>'''''''''''''''''''''''</w:t>
            </w:r>
            <w:r>
              <w:rPr>
                <w:rFonts w:ascii="Arial Narrow" w:hAnsi="Arial Narrow"/>
                <w:sz w:val="20"/>
              </w:rPr>
              <w:t xml:space="preserve"> (Private)</w:t>
            </w:r>
          </w:p>
        </w:tc>
        <w:tc>
          <w:tcPr>
            <w:tcW w:w="992" w:type="dxa"/>
          </w:tcPr>
          <w:p w:rsidR="00D6090E" w:rsidRDefault="00D6090E"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Keytruda</w:t>
            </w:r>
          </w:p>
        </w:tc>
        <w:tc>
          <w:tcPr>
            <w:tcW w:w="1276" w:type="dxa"/>
          </w:tcPr>
          <w:p w:rsidR="00D6090E" w:rsidRDefault="00D6090E" w:rsidP="00B01051">
            <w:pPr>
              <w:keepNext/>
              <w:rPr>
                <w:rFonts w:ascii="Arial Narrow" w:hAnsi="Arial Narrow"/>
                <w:sz w:val="20"/>
              </w:rPr>
            </w:pPr>
          </w:p>
          <w:p w:rsidR="00D6090E" w:rsidRPr="00260CE3" w:rsidRDefault="00D6090E" w:rsidP="00B01051">
            <w:pPr>
              <w:keepNext/>
              <w:rPr>
                <w:rFonts w:ascii="Arial Narrow" w:hAnsi="Arial Narrow"/>
                <w:sz w:val="20"/>
              </w:rPr>
            </w:pPr>
            <w:r>
              <w:rPr>
                <w:rFonts w:ascii="Arial Narrow" w:hAnsi="Arial Narrow"/>
                <w:sz w:val="20"/>
              </w:rPr>
              <w:t>MK</w:t>
            </w:r>
          </w:p>
        </w:tc>
      </w:tr>
      <w:tr w:rsidR="00D6090E" w:rsidRPr="00260CE3" w:rsidTr="00D6090E">
        <w:trPr>
          <w:cantSplit/>
          <w:trHeight w:val="360"/>
        </w:trPr>
        <w:tc>
          <w:tcPr>
            <w:tcW w:w="8505" w:type="dxa"/>
            <w:gridSpan w:val="7"/>
            <w:tcBorders>
              <w:bottom w:val="single" w:sz="4" w:space="0" w:color="auto"/>
            </w:tcBorders>
          </w:tcPr>
          <w:p w:rsidR="00D6090E" w:rsidRPr="00260CE3" w:rsidRDefault="00D6090E" w:rsidP="00B01051">
            <w:pPr>
              <w:rPr>
                <w:rFonts w:ascii="Arial Narrow" w:hAnsi="Arial Narrow"/>
                <w:sz w:val="20"/>
              </w:rPr>
            </w:pP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b/>
                <w:sz w:val="20"/>
              </w:rPr>
            </w:pPr>
            <w:r w:rsidRPr="00260CE3">
              <w:rPr>
                <w:rFonts w:ascii="Arial Narrow" w:hAnsi="Arial Narrow"/>
                <w:b/>
                <w:sz w:val="20"/>
              </w:rPr>
              <w:t>Category / Program</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sidRPr="00260CE3">
              <w:rPr>
                <w:rFonts w:ascii="Arial Narrow" w:hAnsi="Arial Narrow"/>
                <w:sz w:val="20"/>
              </w:rPr>
              <w:t xml:space="preserve">Section 100 – </w:t>
            </w:r>
            <w:r>
              <w:rPr>
                <w:rFonts w:ascii="Arial Narrow" w:hAnsi="Arial Narrow"/>
                <w:sz w:val="20"/>
              </w:rPr>
              <w:t>Efficient funding of chemotherapy</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b/>
                <w:sz w:val="20"/>
              </w:rPr>
            </w:pPr>
            <w:r w:rsidRPr="00260CE3">
              <w:rPr>
                <w:rFonts w:ascii="Arial Narrow" w:hAnsi="Arial Narrow"/>
                <w:b/>
                <w:sz w:val="20"/>
              </w:rPr>
              <w:t>Prescriber type:</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00D6090E"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Optometrists</w:t>
            </w:r>
          </w:p>
          <w:p w:rsidR="00D6090E" w:rsidRPr="00260CE3" w:rsidRDefault="008847DA" w:rsidP="00B01051">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00D6090E" w:rsidRPr="00260CE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260CE3">
              <w:rPr>
                <w:rFonts w:ascii="Arial Narrow" w:hAnsi="Arial Narrow"/>
                <w:sz w:val="20"/>
              </w:rPr>
              <w:fldChar w:fldCharType="end"/>
            </w:r>
            <w:r w:rsidR="00D6090E" w:rsidRPr="00260CE3">
              <w:rPr>
                <w:rFonts w:ascii="Arial Narrow" w:hAnsi="Arial Narrow"/>
                <w:sz w:val="20"/>
              </w:rPr>
              <w:t>Midwives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Episodicity:</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Severity:</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Stage IV</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Condition:</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Pr>
                <w:rFonts w:ascii="Arial Narrow" w:hAnsi="Arial Narrow"/>
                <w:sz w:val="20"/>
              </w:rPr>
              <w:t xml:space="preserve">Malignant </w:t>
            </w:r>
            <w:r w:rsidR="00793B2C">
              <w:rPr>
                <w:rFonts w:ascii="Arial Narrow" w:hAnsi="Arial Narrow"/>
                <w:sz w:val="20"/>
              </w:rPr>
              <w:t>m</w:t>
            </w:r>
            <w:r>
              <w:rPr>
                <w:rFonts w:ascii="Arial Narrow" w:hAnsi="Arial Narrow"/>
                <w:sz w:val="20"/>
              </w:rPr>
              <w:t>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b/>
                <w:sz w:val="20"/>
              </w:rPr>
            </w:pPr>
            <w:r w:rsidRPr="00260CE3">
              <w:rPr>
                <w:rFonts w:ascii="Arial Narrow" w:hAnsi="Arial Narrow"/>
                <w:b/>
                <w:sz w:val="20"/>
              </w:rPr>
              <w:t>PBS Indication:</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Unresectable Stage III or Stave IV malignant melanoma</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b/>
                <w:sz w:val="20"/>
              </w:rPr>
            </w:pPr>
            <w:r w:rsidRPr="00260CE3">
              <w:rPr>
                <w:rFonts w:ascii="Arial Narrow" w:hAnsi="Arial Narrow"/>
                <w:b/>
                <w:sz w:val="20"/>
              </w:rPr>
              <w:t>Treatment phase:</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Continuing treatment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CD28F3" w:rsidRDefault="00D6090E" w:rsidP="00793B2C">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Restricted benefit</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In Writing</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Telephone</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Emergency</w:t>
            </w:r>
          </w:p>
          <w:p w:rsidR="00D6090E" w:rsidRPr="00106BCF" w:rsidRDefault="008847DA" w:rsidP="00B01051">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00D6090E"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00D6090E" w:rsidRPr="00106BCF">
              <w:rPr>
                <w:rFonts w:ascii="Arial Narrow" w:hAnsi="Arial Narrow"/>
                <w:sz w:val="20"/>
              </w:rPr>
              <w:t>Authority Required - Electronic</w:t>
            </w:r>
          </w:p>
          <w:p w:rsidR="00D6090E" w:rsidRPr="00260CE3" w:rsidRDefault="008847DA" w:rsidP="00B01051">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sidR="00D6090E">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00D6090E" w:rsidRPr="00106BCF">
              <w:rPr>
                <w:rFonts w:ascii="Arial Narrow" w:hAnsi="Arial Narrow"/>
                <w:sz w:val="20"/>
              </w:rPr>
              <w:t>Streamlined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Treatment criteria:</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Clinical criteria:</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AA3EAB" w:rsidRDefault="00D6090E" w:rsidP="00B01051">
            <w:pPr>
              <w:rPr>
                <w:rFonts w:ascii="Arial Narrow" w:hAnsi="Arial Narrow"/>
                <w:strike/>
                <w:sz w:val="20"/>
              </w:rPr>
            </w:pPr>
            <w:r>
              <w:rPr>
                <w:rFonts w:ascii="Arial Narrow" w:hAnsi="Arial Narrow"/>
                <w:strike/>
                <w:sz w:val="20"/>
              </w:rPr>
              <w:t>Continuing PBS subsidised treatment of a patient who is receiving treatment with pembrolizumab at the time of application and has stable or responding disease</w:t>
            </w:r>
          </w:p>
          <w:p w:rsidR="00D6090E" w:rsidRDefault="00D6090E" w:rsidP="00B01051">
            <w:pPr>
              <w:rPr>
                <w:rFonts w:ascii="Arial Narrow" w:hAnsi="Arial Narrow"/>
                <w:i/>
                <w:sz w:val="20"/>
              </w:rPr>
            </w:pPr>
          </w:p>
          <w:p w:rsidR="002A3077" w:rsidRPr="00AA3EAB" w:rsidRDefault="002A3077" w:rsidP="002A3077">
            <w:pPr>
              <w:rPr>
                <w:rFonts w:ascii="Arial Narrow" w:hAnsi="Arial Narrow"/>
                <w:i/>
                <w:sz w:val="20"/>
              </w:rPr>
            </w:pPr>
            <w:r w:rsidRPr="00AA3EAB">
              <w:rPr>
                <w:rFonts w:ascii="Arial Narrow" w:hAnsi="Arial Narrow"/>
                <w:i/>
                <w:sz w:val="20"/>
              </w:rPr>
              <w:t>The treatment must be the sole PBS-subsidised therapy for this condition;</w:t>
            </w:r>
          </w:p>
          <w:p w:rsidR="002A3077" w:rsidRPr="00260CE3" w:rsidRDefault="002A3077" w:rsidP="002A3077">
            <w:pPr>
              <w:rPr>
                <w:rFonts w:ascii="Arial Narrow" w:hAnsi="Arial Narrow"/>
                <w:sz w:val="20"/>
              </w:rPr>
            </w:pPr>
          </w:p>
          <w:p w:rsidR="002A3077" w:rsidRDefault="002A3077" w:rsidP="002A3077">
            <w:pPr>
              <w:rPr>
                <w:rFonts w:ascii="Arial Narrow" w:hAnsi="Arial Narrow"/>
                <w:sz w:val="20"/>
              </w:rPr>
            </w:pPr>
            <w:r>
              <w:rPr>
                <w:rFonts w:ascii="Arial Narrow" w:hAnsi="Arial Narrow"/>
                <w:sz w:val="20"/>
              </w:rPr>
              <w:t>AND</w:t>
            </w:r>
          </w:p>
          <w:p w:rsidR="002A3077" w:rsidRDefault="002A3077" w:rsidP="002A3077">
            <w:pPr>
              <w:rPr>
                <w:rFonts w:ascii="Arial Narrow" w:hAnsi="Arial Narrow"/>
                <w:sz w:val="20"/>
              </w:rPr>
            </w:pPr>
          </w:p>
          <w:p w:rsidR="002A3077" w:rsidRPr="00AA3EAB" w:rsidRDefault="002A3077" w:rsidP="002A3077">
            <w:pPr>
              <w:rPr>
                <w:rFonts w:ascii="Arial Narrow" w:hAnsi="Arial Narrow"/>
                <w:i/>
                <w:sz w:val="20"/>
              </w:rPr>
            </w:pPr>
            <w:r w:rsidRPr="00AA3EAB">
              <w:rPr>
                <w:rFonts w:ascii="Arial Narrow" w:hAnsi="Arial Narrow"/>
                <w:i/>
                <w:sz w:val="20"/>
              </w:rPr>
              <w:t xml:space="preserve">The treatment must be for continuing </w:t>
            </w:r>
            <w:r>
              <w:rPr>
                <w:rFonts w:ascii="Arial Narrow" w:hAnsi="Arial Narrow"/>
                <w:i/>
                <w:sz w:val="20"/>
              </w:rPr>
              <w:t>therapy</w:t>
            </w:r>
            <w:r w:rsidRPr="00AA3EAB">
              <w:rPr>
                <w:rFonts w:ascii="Arial Narrow" w:hAnsi="Arial Narrow"/>
                <w:i/>
                <w:sz w:val="20"/>
              </w:rPr>
              <w:t xml:space="preserve"> in a patient who commenced treatment with pembrolizumab prior to [listing date];</w:t>
            </w:r>
          </w:p>
          <w:p w:rsidR="002A3077" w:rsidRPr="00260CE3" w:rsidRDefault="002A3077" w:rsidP="002A3077">
            <w:pPr>
              <w:rPr>
                <w:rFonts w:ascii="Arial Narrow" w:hAnsi="Arial Narrow"/>
                <w:sz w:val="20"/>
              </w:rPr>
            </w:pPr>
          </w:p>
          <w:p w:rsidR="002A3077" w:rsidRDefault="002A3077" w:rsidP="002A3077">
            <w:pPr>
              <w:rPr>
                <w:rFonts w:ascii="Arial Narrow" w:hAnsi="Arial Narrow"/>
                <w:sz w:val="20"/>
              </w:rPr>
            </w:pPr>
            <w:r>
              <w:rPr>
                <w:rFonts w:ascii="Arial Narrow" w:hAnsi="Arial Narrow"/>
                <w:sz w:val="20"/>
              </w:rPr>
              <w:t>AND</w:t>
            </w:r>
          </w:p>
          <w:p w:rsidR="002A3077" w:rsidRDefault="002A3077" w:rsidP="002A3077">
            <w:pPr>
              <w:rPr>
                <w:rFonts w:ascii="Arial Narrow" w:hAnsi="Arial Narrow"/>
                <w:sz w:val="20"/>
              </w:rPr>
            </w:pPr>
          </w:p>
          <w:p w:rsidR="002A3077" w:rsidRPr="00465DDE" w:rsidRDefault="002A3077" w:rsidP="002A3077">
            <w:pPr>
              <w:rPr>
                <w:rFonts w:ascii="Arial Narrow" w:hAnsi="Arial Narrow"/>
                <w:i/>
                <w:sz w:val="20"/>
              </w:rPr>
            </w:pPr>
            <w:r w:rsidRPr="00465DDE">
              <w:rPr>
                <w:rFonts w:ascii="Arial Narrow" w:hAnsi="Arial Narrow"/>
                <w:i/>
                <w:sz w:val="20"/>
              </w:rPr>
              <w:t>Patient must have stable or responding disease;</w:t>
            </w:r>
          </w:p>
          <w:p w:rsidR="002A3077" w:rsidRDefault="002A3077" w:rsidP="002A3077">
            <w:pPr>
              <w:rPr>
                <w:rFonts w:ascii="Arial Narrow" w:hAnsi="Arial Narrow"/>
                <w:i/>
                <w:sz w:val="20"/>
              </w:rPr>
            </w:pPr>
          </w:p>
          <w:p w:rsidR="002A3077" w:rsidRDefault="002A3077" w:rsidP="002A3077">
            <w:pPr>
              <w:rPr>
                <w:rFonts w:ascii="Arial Narrow" w:hAnsi="Arial Narrow"/>
                <w:i/>
                <w:sz w:val="20"/>
              </w:rPr>
            </w:pPr>
            <w:r>
              <w:rPr>
                <w:rFonts w:ascii="Arial Narrow" w:hAnsi="Arial Narrow"/>
                <w:i/>
                <w:sz w:val="20"/>
              </w:rPr>
              <w:t>AND</w:t>
            </w:r>
          </w:p>
          <w:p w:rsidR="002A3077" w:rsidRDefault="002A3077" w:rsidP="002A3077">
            <w:pPr>
              <w:rPr>
                <w:rFonts w:ascii="Arial Narrow" w:hAnsi="Arial Narrow"/>
                <w:i/>
                <w:sz w:val="20"/>
              </w:rPr>
            </w:pPr>
          </w:p>
          <w:p w:rsidR="00D6090E" w:rsidRPr="00260CE3" w:rsidRDefault="002A3077" w:rsidP="002A3077">
            <w:pPr>
              <w:rPr>
                <w:rFonts w:ascii="Arial Narrow" w:hAnsi="Arial Narrow"/>
                <w:sz w:val="20"/>
              </w:rPr>
            </w:pPr>
            <w:r>
              <w:rPr>
                <w:rFonts w:ascii="Arial Narrow" w:hAnsi="Arial Narrow"/>
                <w:i/>
                <w:sz w:val="20"/>
              </w:rPr>
              <w:t>The treatment must not exceed a maximum dose of 2 mg/kg every 3 weeks.</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Population criteria:</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Foreword</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Definitions</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Prescriber Instructions</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465DDE" w:rsidRDefault="00D6090E" w:rsidP="00B01051">
            <w:pPr>
              <w:rPr>
                <w:rFonts w:ascii="Arial Narrow" w:hAnsi="Arial Narrow"/>
                <w:b/>
                <w:sz w:val="20"/>
              </w:rPr>
            </w:pPr>
            <w:r w:rsidRPr="00260CE3">
              <w:rPr>
                <w:rFonts w:ascii="Arial Narrow" w:hAnsi="Arial Narrow"/>
                <w:b/>
                <w:sz w:val="20"/>
              </w:rPr>
              <w:t>Administrative Advice</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i/>
                <w:sz w:val="20"/>
              </w:rPr>
              <w:t>No increase in the maximum number of repeats may be authorised.</w:t>
            </w:r>
          </w:p>
        </w:tc>
      </w:tr>
      <w:tr w:rsidR="00D6090E" w:rsidRPr="00260CE3" w:rsidTr="00F23465">
        <w:trPr>
          <w:cantSplit/>
          <w:trHeight w:val="360"/>
        </w:trPr>
        <w:tc>
          <w:tcPr>
            <w:tcW w:w="2693" w:type="dxa"/>
            <w:tcBorders>
              <w:top w:val="single" w:sz="4" w:space="0" w:color="auto"/>
              <w:left w:val="single" w:sz="4" w:space="0" w:color="auto"/>
              <w:bottom w:val="single" w:sz="4" w:space="0" w:color="auto"/>
              <w:right w:val="single" w:sz="4" w:space="0" w:color="auto"/>
            </w:tcBorders>
          </w:tcPr>
          <w:p w:rsidR="00D6090E" w:rsidRPr="00260CE3" w:rsidRDefault="00D6090E" w:rsidP="00793B2C">
            <w:pPr>
              <w:rPr>
                <w:rFonts w:ascii="Arial Narrow" w:hAnsi="Arial Narrow"/>
                <w:i/>
                <w:sz w:val="20"/>
              </w:rPr>
            </w:pPr>
            <w:r w:rsidRPr="00260CE3">
              <w:rPr>
                <w:rFonts w:ascii="Arial Narrow" w:hAnsi="Arial Narrow"/>
                <w:b/>
                <w:sz w:val="20"/>
              </w:rPr>
              <w:t>Cautions</w:t>
            </w:r>
          </w:p>
        </w:tc>
        <w:tc>
          <w:tcPr>
            <w:tcW w:w="5812" w:type="dxa"/>
            <w:gridSpan w:val="6"/>
            <w:tcBorders>
              <w:top w:val="single" w:sz="4" w:space="0" w:color="auto"/>
              <w:left w:val="single" w:sz="4" w:space="0" w:color="auto"/>
              <w:bottom w:val="single" w:sz="4" w:space="0" w:color="auto"/>
              <w:right w:val="single" w:sz="4" w:space="0" w:color="auto"/>
            </w:tcBorders>
          </w:tcPr>
          <w:p w:rsidR="00D6090E" w:rsidRPr="00260CE3" w:rsidRDefault="00D6090E" w:rsidP="00B01051">
            <w:pPr>
              <w:rPr>
                <w:rFonts w:ascii="Arial Narrow" w:hAnsi="Arial Narrow"/>
                <w:sz w:val="20"/>
              </w:rPr>
            </w:pPr>
            <w:r>
              <w:rPr>
                <w:rFonts w:ascii="Arial Narrow" w:hAnsi="Arial Narrow"/>
                <w:sz w:val="20"/>
              </w:rPr>
              <w:t>-</w:t>
            </w:r>
          </w:p>
        </w:tc>
      </w:tr>
    </w:tbl>
    <w:p w:rsidR="00693D4A" w:rsidRPr="00882085" w:rsidRDefault="00693D4A" w:rsidP="004B1CB4"/>
    <w:p w:rsidR="002C2775" w:rsidRDefault="00693D4A" w:rsidP="005C1AC0">
      <w:pPr>
        <w:pStyle w:val="ListParagraph"/>
        <w:widowControl/>
        <w:numPr>
          <w:ilvl w:val="1"/>
          <w:numId w:val="1"/>
        </w:numPr>
        <w:rPr>
          <w:szCs w:val="22"/>
        </w:rPr>
      </w:pPr>
      <w:r w:rsidRPr="008D2473">
        <w:rPr>
          <w:szCs w:val="22"/>
        </w:rPr>
        <w:lastRenderedPageBreak/>
        <w:t xml:space="preserve">The submission sought listing </w:t>
      </w:r>
      <w:r w:rsidR="00BB6F83">
        <w:rPr>
          <w:szCs w:val="22"/>
        </w:rPr>
        <w:t xml:space="preserve">in the context of a managed entry scheme (MES) </w:t>
      </w:r>
      <w:r w:rsidRPr="008D2473">
        <w:rPr>
          <w:szCs w:val="22"/>
        </w:rPr>
        <w:t>on the basi</w:t>
      </w:r>
      <w:r w:rsidR="00D601BD">
        <w:rPr>
          <w:szCs w:val="22"/>
        </w:rPr>
        <w:t>s of a cost-</w:t>
      </w:r>
      <w:r>
        <w:rPr>
          <w:szCs w:val="22"/>
        </w:rPr>
        <w:t>utility</w:t>
      </w:r>
      <w:r w:rsidRPr="008D2473">
        <w:rPr>
          <w:szCs w:val="22"/>
        </w:rPr>
        <w:t xml:space="preserve"> analysis </w:t>
      </w:r>
      <w:r>
        <w:rPr>
          <w:szCs w:val="22"/>
        </w:rPr>
        <w:t>compared</w:t>
      </w:r>
      <w:r w:rsidRPr="008D2473">
        <w:rPr>
          <w:szCs w:val="22"/>
        </w:rPr>
        <w:t xml:space="preserve"> to </w:t>
      </w:r>
      <w:r>
        <w:rPr>
          <w:szCs w:val="22"/>
        </w:rPr>
        <w:t>ipilimumab</w:t>
      </w:r>
      <w:r w:rsidRPr="008D2473">
        <w:rPr>
          <w:szCs w:val="22"/>
        </w:rPr>
        <w:t>.</w:t>
      </w:r>
    </w:p>
    <w:p w:rsidR="00A939C5" w:rsidRPr="00F92DF7" w:rsidRDefault="00A939C5" w:rsidP="00A939C5">
      <w:pPr>
        <w:widowControl/>
        <w:rPr>
          <w:szCs w:val="22"/>
        </w:rPr>
      </w:pPr>
    </w:p>
    <w:p w:rsidR="00A939C5" w:rsidRPr="00CF5B43" w:rsidRDefault="00A939C5" w:rsidP="005C1AC0">
      <w:pPr>
        <w:pStyle w:val="ListParagraph"/>
        <w:widowControl/>
        <w:numPr>
          <w:ilvl w:val="1"/>
          <w:numId w:val="1"/>
        </w:numPr>
        <w:rPr>
          <w:szCs w:val="22"/>
        </w:rPr>
      </w:pPr>
      <w:r w:rsidRPr="00CF5B43">
        <w:rPr>
          <w:szCs w:val="22"/>
        </w:rPr>
        <w:t>The Pre-Sub-Committee Response (PSCR, p3) proposed that the restriction wording for BRAF wild-type patients be updated to state “The condition must be previously untreated with immunotherapy agents.”</w:t>
      </w:r>
      <w:r w:rsidR="00E26A32" w:rsidRPr="00CF5B43">
        <w:rPr>
          <w:szCs w:val="22"/>
        </w:rPr>
        <w:t xml:space="preserve"> As the intended interpretation </w:t>
      </w:r>
      <w:r w:rsidR="002D5E97" w:rsidRPr="00CF5B43">
        <w:rPr>
          <w:szCs w:val="22"/>
        </w:rPr>
        <w:t>wa</w:t>
      </w:r>
      <w:r w:rsidR="00E26A32" w:rsidRPr="00CF5B43">
        <w:rPr>
          <w:szCs w:val="22"/>
        </w:rPr>
        <w:t xml:space="preserve">s to limit use to ipilimumab-naïve patients, it </w:t>
      </w:r>
      <w:r w:rsidR="002D5E97" w:rsidRPr="00CF5B43">
        <w:rPr>
          <w:szCs w:val="22"/>
        </w:rPr>
        <w:t>wa</w:t>
      </w:r>
      <w:r w:rsidR="00E26A32" w:rsidRPr="00CF5B43">
        <w:rPr>
          <w:szCs w:val="22"/>
        </w:rPr>
        <w:t>s not clear why this proposal should not also apply to BRAF mutant patients.</w:t>
      </w:r>
    </w:p>
    <w:p w:rsidR="00F97A78" w:rsidRDefault="00F97A78" w:rsidP="00A35D16">
      <w:pPr>
        <w:widowControl/>
        <w:rPr>
          <w:szCs w:val="22"/>
        </w:rPr>
      </w:pPr>
    </w:p>
    <w:p w:rsidR="00655B06" w:rsidRPr="00BB7EC3" w:rsidRDefault="00655B06" w:rsidP="00655B06">
      <w:pPr>
        <w:pStyle w:val="ListParagraph"/>
        <w:ind w:left="709"/>
        <w:rPr>
          <w:i/>
          <w:szCs w:val="22"/>
        </w:rPr>
      </w:pPr>
      <w:r>
        <w:rPr>
          <w:i/>
          <w:szCs w:val="22"/>
        </w:rPr>
        <w:t>For more detail on PBAC’s view, see section 7 “PBAC outcome”</w:t>
      </w:r>
    </w:p>
    <w:p w:rsidR="004E43B2" w:rsidRDefault="004E43B2" w:rsidP="004B1CB4"/>
    <w:p w:rsidR="00DD7E75" w:rsidRPr="00882085" w:rsidRDefault="00DD7E75" w:rsidP="004B1CB4"/>
    <w:p w:rsidR="00B50DB8" w:rsidRPr="00407F2D" w:rsidRDefault="00B50DB8" w:rsidP="00BD6CF3">
      <w:pPr>
        <w:pStyle w:val="PBACHeading1"/>
      </w:pPr>
      <w:bookmarkStart w:id="6" w:name="_Toc409607362"/>
      <w:r w:rsidRPr="00407F2D">
        <w:t>Background</w:t>
      </w:r>
      <w:bookmarkEnd w:id="6"/>
    </w:p>
    <w:p w:rsidR="00B60939" w:rsidRPr="00882085" w:rsidRDefault="00B60939" w:rsidP="00B60939">
      <w:pPr>
        <w:rPr>
          <w:szCs w:val="22"/>
        </w:rPr>
      </w:pPr>
    </w:p>
    <w:p w:rsidR="00D1564D" w:rsidRPr="00B91A44" w:rsidRDefault="00D1564D" w:rsidP="005C1AC0">
      <w:pPr>
        <w:pStyle w:val="ListParagraph"/>
        <w:widowControl/>
        <w:numPr>
          <w:ilvl w:val="1"/>
          <w:numId w:val="1"/>
        </w:numPr>
        <w:rPr>
          <w:szCs w:val="22"/>
        </w:rPr>
      </w:pPr>
      <w:r w:rsidRPr="00B91A44">
        <w:rPr>
          <w:szCs w:val="22"/>
        </w:rPr>
        <w:t>TGA status</w:t>
      </w:r>
      <w:r w:rsidR="003F1031">
        <w:rPr>
          <w:szCs w:val="22"/>
        </w:rPr>
        <w:t>: a</w:t>
      </w:r>
      <w:r w:rsidR="003F4425" w:rsidRPr="00B91A44">
        <w:rPr>
          <w:szCs w:val="22"/>
        </w:rPr>
        <w:t xml:space="preserve"> positive TGA Delegate’s Overview was provided on 19 February</w:t>
      </w:r>
      <w:r w:rsidR="003F1031">
        <w:rPr>
          <w:szCs w:val="22"/>
        </w:rPr>
        <w:t xml:space="preserve"> 2015</w:t>
      </w:r>
      <w:r w:rsidR="003F4425" w:rsidRPr="00B91A44">
        <w:rPr>
          <w:szCs w:val="22"/>
        </w:rPr>
        <w:t xml:space="preserve">, after the ESC meeting. </w:t>
      </w:r>
      <w:r w:rsidR="003F1031">
        <w:rPr>
          <w:szCs w:val="22"/>
        </w:rPr>
        <w:t xml:space="preserve"> </w:t>
      </w:r>
      <w:r w:rsidR="002B083F" w:rsidRPr="00B91A44">
        <w:rPr>
          <w:szCs w:val="22"/>
        </w:rPr>
        <w:t xml:space="preserve">Pembrolizumab </w:t>
      </w:r>
      <w:r w:rsidR="003F1031">
        <w:rPr>
          <w:szCs w:val="22"/>
        </w:rPr>
        <w:t>wa</w:t>
      </w:r>
      <w:r w:rsidR="002B083F" w:rsidRPr="00B91A44">
        <w:rPr>
          <w:szCs w:val="22"/>
        </w:rPr>
        <w:t xml:space="preserve">s scheduled to be discussed by the ACPM </w:t>
      </w:r>
      <w:r w:rsidR="003F1031">
        <w:rPr>
          <w:szCs w:val="22"/>
        </w:rPr>
        <w:t>o</w:t>
      </w:r>
      <w:r w:rsidR="002B083F" w:rsidRPr="00B91A44">
        <w:rPr>
          <w:szCs w:val="22"/>
        </w:rPr>
        <w:t xml:space="preserve">n </w:t>
      </w:r>
      <w:r w:rsidR="003F1031">
        <w:rPr>
          <w:szCs w:val="22"/>
        </w:rPr>
        <w:t>10 April 2015.</w:t>
      </w:r>
    </w:p>
    <w:p w:rsidR="00D1564D" w:rsidRPr="00F92DF7" w:rsidRDefault="00D1564D" w:rsidP="00D1564D">
      <w:pPr>
        <w:widowControl/>
        <w:rPr>
          <w:szCs w:val="22"/>
        </w:rPr>
      </w:pPr>
    </w:p>
    <w:p w:rsidR="00693D4A" w:rsidRPr="00544E98" w:rsidRDefault="00693D4A" w:rsidP="005C1AC0">
      <w:pPr>
        <w:pStyle w:val="ListParagraph"/>
        <w:widowControl/>
        <w:numPr>
          <w:ilvl w:val="1"/>
          <w:numId w:val="1"/>
        </w:numPr>
        <w:rPr>
          <w:szCs w:val="22"/>
        </w:rPr>
      </w:pPr>
      <w:r>
        <w:t xml:space="preserve">Pembrolizumab was submitted to the TGA on </w:t>
      </w:r>
      <w:r w:rsidR="00B91A44">
        <w:t xml:space="preserve">6 </w:t>
      </w:r>
      <w:r>
        <w:t>August 2014 and there was no TGA documentation available at the time of evaluation.  The submission indicated that the TGA had agreed to accelerate the assessment of pembrolizumab.</w:t>
      </w:r>
    </w:p>
    <w:p w:rsidR="00693D4A" w:rsidRPr="00544E98" w:rsidRDefault="00693D4A" w:rsidP="00693D4A">
      <w:pPr>
        <w:widowControl/>
        <w:rPr>
          <w:szCs w:val="22"/>
        </w:rPr>
      </w:pPr>
    </w:p>
    <w:p w:rsidR="00693D4A" w:rsidRPr="00544E98" w:rsidRDefault="00693D4A" w:rsidP="005C1AC0">
      <w:pPr>
        <w:pStyle w:val="ListParagraph"/>
        <w:widowControl/>
        <w:numPr>
          <w:ilvl w:val="1"/>
          <w:numId w:val="1"/>
        </w:numPr>
        <w:rPr>
          <w:szCs w:val="22"/>
        </w:rPr>
      </w:pPr>
      <w:r>
        <w:t>The submission requested listing for both the 50</w:t>
      </w:r>
      <w:r w:rsidR="0027793F">
        <w:t> </w:t>
      </w:r>
      <w:r>
        <w:t>mg lyophilized powder for solution and the 100</w:t>
      </w:r>
      <w:r w:rsidR="0027793F">
        <w:t> </w:t>
      </w:r>
      <w:r>
        <w:t>mg vial of solution for infusion forms, although the 100</w:t>
      </w:r>
      <w:r w:rsidR="0027793F">
        <w:t> </w:t>
      </w:r>
      <w:r>
        <w:t>mg solution for infusion is not included in the regulatory submission being considered by the TGA.</w:t>
      </w:r>
      <w:r w:rsidR="00B91A44">
        <w:t xml:space="preserve"> </w:t>
      </w:r>
      <w:r w:rsidR="003F1031">
        <w:t xml:space="preserve"> </w:t>
      </w:r>
      <w:r w:rsidR="00B91A44">
        <w:t>The 100</w:t>
      </w:r>
      <w:r w:rsidR="003F1031">
        <w:t> </w:t>
      </w:r>
      <w:r w:rsidR="00B91A44">
        <w:t>mg vial has</w:t>
      </w:r>
      <w:r w:rsidR="00BB6F83">
        <w:t xml:space="preserve"> therefore</w:t>
      </w:r>
      <w:r w:rsidR="00B91A44">
        <w:t xml:space="preserve"> been removed from the </w:t>
      </w:r>
      <w:r w:rsidR="003F1031">
        <w:t xml:space="preserve">PBAC-recommended </w:t>
      </w:r>
      <w:r w:rsidR="00B91A44">
        <w:t>restriction.</w:t>
      </w:r>
    </w:p>
    <w:p w:rsidR="00693D4A" w:rsidRPr="00544E98" w:rsidRDefault="00693D4A" w:rsidP="00693D4A">
      <w:pPr>
        <w:widowControl/>
        <w:rPr>
          <w:szCs w:val="22"/>
        </w:rPr>
      </w:pPr>
    </w:p>
    <w:p w:rsidR="00693D4A" w:rsidRPr="00BB4AC4" w:rsidRDefault="00693D4A" w:rsidP="005C1AC0">
      <w:pPr>
        <w:pStyle w:val="ListParagraph"/>
        <w:widowControl/>
        <w:numPr>
          <w:ilvl w:val="1"/>
          <w:numId w:val="1"/>
        </w:numPr>
        <w:rPr>
          <w:szCs w:val="22"/>
        </w:rPr>
      </w:pPr>
      <w:r>
        <w:t xml:space="preserve">The submission stated in </w:t>
      </w:r>
      <w:r w:rsidR="004A3722">
        <w:t xml:space="preserve">its </w:t>
      </w:r>
      <w:r>
        <w:t>S</w:t>
      </w:r>
      <w:r w:rsidR="004A3722">
        <w:t>ubs</w:t>
      </w:r>
      <w:r>
        <w:t xml:space="preserve">ection B.2.3 (p84) that the main indication being sought </w:t>
      </w:r>
      <w:r w:rsidR="004A3722">
        <w:t xml:space="preserve">was </w:t>
      </w:r>
      <w:r>
        <w:t xml:space="preserve">for first-line ipilimumab-naïve patients.  </w:t>
      </w:r>
      <w:r w:rsidRPr="00BB4AC4">
        <w:t>However, the proposed TGA indication</w:t>
      </w:r>
      <w:r w:rsidR="00A939C5">
        <w:t xml:space="preserve"> does not</w:t>
      </w:r>
      <w:r w:rsidRPr="00BB4AC4">
        <w:t xml:space="preserve"> specify line of use or restrict prior use of ipilimumab.</w:t>
      </w:r>
    </w:p>
    <w:p w:rsidR="00693D4A" w:rsidRPr="00B476BF" w:rsidRDefault="00693D4A" w:rsidP="00693D4A">
      <w:pPr>
        <w:rPr>
          <w:szCs w:val="22"/>
        </w:rPr>
      </w:pPr>
    </w:p>
    <w:p w:rsidR="002C2775" w:rsidRPr="00B50DB8" w:rsidRDefault="00693D4A" w:rsidP="005C1AC0">
      <w:pPr>
        <w:pStyle w:val="ListParagraph"/>
        <w:widowControl/>
        <w:numPr>
          <w:ilvl w:val="1"/>
          <w:numId w:val="1"/>
        </w:numPr>
        <w:rPr>
          <w:szCs w:val="22"/>
        </w:rPr>
      </w:pPr>
      <w:r w:rsidRPr="008C0E2E">
        <w:rPr>
          <w:szCs w:val="22"/>
        </w:rPr>
        <w:t>This was the first consideration of pembrolizumab by the PBAC</w:t>
      </w:r>
      <w:r>
        <w:rPr>
          <w:szCs w:val="22"/>
        </w:rPr>
        <w:t xml:space="preserve">.  </w:t>
      </w:r>
      <w:r w:rsidR="00BF3730">
        <w:rPr>
          <w:szCs w:val="22"/>
        </w:rPr>
        <w:t xml:space="preserve">The </w:t>
      </w:r>
      <w:r>
        <w:rPr>
          <w:szCs w:val="22"/>
        </w:rPr>
        <w:t>PBAC</w:t>
      </w:r>
      <w:r w:rsidRPr="008C0E2E">
        <w:rPr>
          <w:szCs w:val="22"/>
        </w:rPr>
        <w:t xml:space="preserve"> has recently considered ipilimumab</w:t>
      </w:r>
      <w:r>
        <w:rPr>
          <w:szCs w:val="22"/>
        </w:rPr>
        <w:t xml:space="preserve"> (November 2012)</w:t>
      </w:r>
      <w:r w:rsidRPr="008C0E2E">
        <w:rPr>
          <w:szCs w:val="22"/>
        </w:rPr>
        <w:t>, vemurafenib</w:t>
      </w:r>
      <w:r>
        <w:rPr>
          <w:szCs w:val="22"/>
        </w:rPr>
        <w:t xml:space="preserve"> (March 2013)</w:t>
      </w:r>
      <w:r w:rsidRPr="008C0E2E">
        <w:rPr>
          <w:szCs w:val="22"/>
        </w:rPr>
        <w:t>, dabrafenib</w:t>
      </w:r>
      <w:r>
        <w:rPr>
          <w:szCs w:val="22"/>
        </w:rPr>
        <w:t xml:space="preserve"> (July 2014)</w:t>
      </w:r>
      <w:r w:rsidRPr="008C0E2E">
        <w:rPr>
          <w:szCs w:val="22"/>
        </w:rPr>
        <w:t xml:space="preserve"> and trametinib</w:t>
      </w:r>
      <w:r>
        <w:rPr>
          <w:szCs w:val="22"/>
        </w:rPr>
        <w:t xml:space="preserve"> (November 2014)</w:t>
      </w:r>
      <w:r w:rsidRPr="008C0E2E">
        <w:rPr>
          <w:szCs w:val="22"/>
        </w:rPr>
        <w:t xml:space="preserve"> for the treatment of unresectable Stage III or Stage IV metastatic melanoma.</w:t>
      </w:r>
    </w:p>
    <w:p w:rsidR="00B60939" w:rsidRDefault="00B60939" w:rsidP="004B1CB4"/>
    <w:p w:rsidR="00655B06" w:rsidRPr="00BB7EC3" w:rsidRDefault="00655B06" w:rsidP="00655B06">
      <w:pPr>
        <w:pStyle w:val="ListParagraph"/>
        <w:ind w:left="709"/>
        <w:rPr>
          <w:i/>
          <w:szCs w:val="22"/>
        </w:rPr>
      </w:pPr>
      <w:r>
        <w:rPr>
          <w:i/>
          <w:szCs w:val="22"/>
        </w:rPr>
        <w:t>For more detail on PBAC’s view, see section 7 “PBAC outcome”</w:t>
      </w:r>
    </w:p>
    <w:p w:rsidR="00E55BB5" w:rsidRDefault="00E55BB5" w:rsidP="004B1CB4"/>
    <w:p w:rsidR="002B083F" w:rsidRPr="00882085" w:rsidRDefault="002B083F" w:rsidP="004B1CB4"/>
    <w:p w:rsidR="00B50DB8" w:rsidRPr="00407F2D" w:rsidRDefault="00B50DB8" w:rsidP="00BD6CF3">
      <w:pPr>
        <w:pStyle w:val="PBACHeading1"/>
      </w:pPr>
      <w:bookmarkStart w:id="7" w:name="_Toc409607363"/>
      <w:r w:rsidRPr="00407F2D">
        <w:t>Clinical place for the proposed therapy</w:t>
      </w:r>
      <w:bookmarkEnd w:id="7"/>
    </w:p>
    <w:p w:rsidR="00B60939" w:rsidRPr="00882085" w:rsidRDefault="00B60939" w:rsidP="00B60939">
      <w:pPr>
        <w:rPr>
          <w:szCs w:val="22"/>
        </w:rPr>
      </w:pPr>
    </w:p>
    <w:p w:rsidR="000778F7" w:rsidRPr="00BB4AC4" w:rsidRDefault="000778F7" w:rsidP="005C1AC0">
      <w:pPr>
        <w:pStyle w:val="ListParagraph"/>
        <w:widowControl/>
        <w:numPr>
          <w:ilvl w:val="1"/>
          <w:numId w:val="1"/>
        </w:numPr>
        <w:rPr>
          <w:szCs w:val="22"/>
        </w:rPr>
      </w:pPr>
      <w:r>
        <w:t xml:space="preserve">The submission </w:t>
      </w:r>
      <w:r w:rsidR="006249D4">
        <w:t xml:space="preserve">reported </w:t>
      </w:r>
      <w:r>
        <w:t>that u</w:t>
      </w:r>
      <w:r w:rsidRPr="00B476BF">
        <w:t xml:space="preserve">nresectable stage III or metastatic stage IV melanoma has a poor prognosis, with median survival of 6 to 9 months and a three-year survival rate of </w:t>
      </w:r>
      <w:r w:rsidRPr="00A53DE7">
        <w:t>10% to 15</w:t>
      </w:r>
      <w:r w:rsidRPr="00B476BF">
        <w:t>%.</w:t>
      </w:r>
      <w:r>
        <w:t xml:space="preserve">  </w:t>
      </w:r>
      <w:r w:rsidRPr="00BB4AC4">
        <w:t xml:space="preserve">This is a survival rate for patients with advanced melanoma with dissemination to distant sites and visceral organs.  Survival rates based on the American Joint Committee on Cancer (AJCC) Melanoma Staging Database range from 24% to 68% for 10 year survival for stage III and 10% to 15% for stage </w:t>
      </w:r>
      <w:r w:rsidR="00C976F0" w:rsidRPr="00BB4AC4">
        <w:t>IV</w:t>
      </w:r>
      <w:r w:rsidRPr="00BB4AC4">
        <w:t>.</w:t>
      </w:r>
      <w:r w:rsidR="00C976F0" w:rsidRPr="00BB4AC4">
        <w:t xml:space="preserve">  These estimated survival rates pre-date the PBS listing of ipilimumab and dabrafenib and consequently may not reflect </w:t>
      </w:r>
      <w:r w:rsidR="00A22FD6" w:rsidRPr="00BB4AC4">
        <w:t>current prognosis</w:t>
      </w:r>
      <w:r w:rsidR="00F92DF7">
        <w:t>.</w:t>
      </w:r>
    </w:p>
    <w:p w:rsidR="000778F7" w:rsidRPr="00BB4AC4" w:rsidRDefault="000778F7" w:rsidP="000778F7">
      <w:pPr>
        <w:widowControl/>
        <w:rPr>
          <w:szCs w:val="22"/>
        </w:rPr>
      </w:pPr>
    </w:p>
    <w:p w:rsidR="00B60939" w:rsidRPr="00B50DB8" w:rsidRDefault="000778F7" w:rsidP="005C1AC0">
      <w:pPr>
        <w:pStyle w:val="ListParagraph"/>
        <w:widowControl/>
        <w:numPr>
          <w:ilvl w:val="1"/>
          <w:numId w:val="1"/>
        </w:numPr>
        <w:rPr>
          <w:szCs w:val="22"/>
        </w:rPr>
      </w:pPr>
      <w:r>
        <w:t xml:space="preserve">For patients who test negative for a BRAF mutation (BRAF wild type), treatment with ipilimumab is received as first-line therapy.  For patients who test positive for a BRAF mutation, treatment with a BRAF inhibitor is received as first-line therapy.  The submission proposed that PBS listing of pembrolizumab would displace ipilimumab into second-line therapy for BRAF wild-type patients and into third-line therapy for patients with BRAF mutations.  </w:t>
      </w:r>
      <w:r w:rsidR="008171CA" w:rsidRPr="00CF5B43">
        <w:t>The ESC considered that the likely treatment algorithm has yet to be established with the addition of pembro</w:t>
      </w:r>
      <w:r w:rsidR="005B1775" w:rsidRPr="00CF5B43">
        <w:t>lizumab, and is likely to be influenced also by whether therapies acting via the immune system displace BRAF inhibitors as first-line therapy in patients with BRAF mutations</w:t>
      </w:r>
      <w:r w:rsidRPr="00CF5B43">
        <w:t>.</w:t>
      </w:r>
    </w:p>
    <w:p w:rsidR="002C2775" w:rsidRPr="002C2775" w:rsidRDefault="002C2775" w:rsidP="002C2775">
      <w:pPr>
        <w:widowControl/>
        <w:rPr>
          <w:szCs w:val="22"/>
        </w:rPr>
      </w:pPr>
    </w:p>
    <w:p w:rsidR="00655B06" w:rsidRPr="00BB7EC3" w:rsidRDefault="00655B06" w:rsidP="00655B06">
      <w:pPr>
        <w:pStyle w:val="ListParagraph"/>
        <w:ind w:left="709"/>
        <w:rPr>
          <w:i/>
          <w:szCs w:val="22"/>
        </w:rPr>
      </w:pPr>
      <w:r>
        <w:rPr>
          <w:i/>
          <w:szCs w:val="22"/>
        </w:rPr>
        <w:t>For more detail on PBAC’s view, see section 7 “PBAC outcome”</w:t>
      </w:r>
    </w:p>
    <w:p w:rsidR="00E55BB5" w:rsidRDefault="00E55BB5" w:rsidP="00B60939">
      <w:pPr>
        <w:pStyle w:val="Header"/>
        <w:rPr>
          <w:szCs w:val="22"/>
        </w:rPr>
      </w:pPr>
    </w:p>
    <w:p w:rsidR="00B91A44" w:rsidRPr="00882085" w:rsidRDefault="00B91A44" w:rsidP="00B60939">
      <w:pPr>
        <w:pStyle w:val="Header"/>
        <w:rPr>
          <w:szCs w:val="22"/>
        </w:rPr>
      </w:pPr>
    </w:p>
    <w:p w:rsidR="00B50DB8" w:rsidRPr="00407F2D" w:rsidRDefault="00B50DB8" w:rsidP="004301C3">
      <w:pPr>
        <w:pStyle w:val="PBACHeading1"/>
      </w:pPr>
      <w:bookmarkStart w:id="8" w:name="_Toc409607364"/>
      <w:r w:rsidRPr="00407F2D">
        <w:t>Comparator</w:t>
      </w:r>
      <w:bookmarkEnd w:id="8"/>
    </w:p>
    <w:p w:rsidR="00B60939" w:rsidRPr="00882085" w:rsidRDefault="00B60939" w:rsidP="004B1CB4"/>
    <w:p w:rsidR="002C2775" w:rsidRPr="00BB4AC4" w:rsidRDefault="000778F7" w:rsidP="005C1AC0">
      <w:pPr>
        <w:pStyle w:val="ListParagraph"/>
        <w:widowControl/>
        <w:numPr>
          <w:ilvl w:val="1"/>
          <w:numId w:val="1"/>
        </w:numPr>
        <w:rPr>
          <w:szCs w:val="22"/>
        </w:rPr>
      </w:pPr>
      <w:r w:rsidRPr="00E81D7E">
        <w:t xml:space="preserve">Ipilimumab.  </w:t>
      </w:r>
      <w:r w:rsidRPr="00BB4AC4">
        <w:t>While this is the appropriate comparator given current treatment practice, there are ongoing trials assessing the combination of pembrolizumab and ipilimumab as well as the combination of pembrolizumab, dabrafenib and trametinib.  This suggests that future treatment patterns may change.</w:t>
      </w:r>
    </w:p>
    <w:p w:rsidR="0095155A" w:rsidRPr="00BB4AC4" w:rsidRDefault="0095155A" w:rsidP="0095155A">
      <w:pPr>
        <w:widowControl/>
        <w:rPr>
          <w:szCs w:val="22"/>
        </w:rPr>
      </w:pPr>
    </w:p>
    <w:p w:rsidR="0095155A" w:rsidRPr="00BB4AC4" w:rsidRDefault="0095155A" w:rsidP="005C1AC0">
      <w:pPr>
        <w:pStyle w:val="ListParagraph"/>
        <w:widowControl/>
        <w:numPr>
          <w:ilvl w:val="1"/>
          <w:numId w:val="1"/>
        </w:numPr>
        <w:rPr>
          <w:szCs w:val="22"/>
        </w:rPr>
      </w:pPr>
      <w:r w:rsidRPr="00BB4AC4">
        <w:t>The submission used a comparison with nivolumab, another PD-</w:t>
      </w:r>
      <w:r w:rsidR="001777F7" w:rsidRPr="00BB4AC4">
        <w:rPr>
          <w:szCs w:val="22"/>
        </w:rPr>
        <w:t>1 inhibitor, in</w:t>
      </w:r>
      <w:r w:rsidRPr="00BB4AC4">
        <w:rPr>
          <w:szCs w:val="22"/>
        </w:rPr>
        <w:t xml:space="preserve"> its S</w:t>
      </w:r>
      <w:r w:rsidR="004A3722">
        <w:rPr>
          <w:szCs w:val="22"/>
        </w:rPr>
        <w:t>ubs</w:t>
      </w:r>
      <w:r w:rsidRPr="00BB4AC4">
        <w:rPr>
          <w:szCs w:val="22"/>
        </w:rPr>
        <w:t>ection C.</w:t>
      </w:r>
      <w:r w:rsidR="0054089B" w:rsidRPr="00BB4AC4">
        <w:rPr>
          <w:szCs w:val="22"/>
        </w:rPr>
        <w:t>8</w:t>
      </w:r>
      <w:r w:rsidRPr="00BB4AC4">
        <w:rPr>
          <w:szCs w:val="22"/>
        </w:rPr>
        <w:t xml:space="preserve"> to </w:t>
      </w:r>
      <w:r w:rsidR="004075F6" w:rsidRPr="00BB4AC4">
        <w:rPr>
          <w:szCs w:val="22"/>
        </w:rPr>
        <w:t xml:space="preserve">assess </w:t>
      </w:r>
      <w:r w:rsidR="00D573AA" w:rsidRPr="00BB4AC4">
        <w:rPr>
          <w:szCs w:val="22"/>
        </w:rPr>
        <w:t xml:space="preserve">its </w:t>
      </w:r>
      <w:r w:rsidR="004075F6" w:rsidRPr="00BB4AC4">
        <w:rPr>
          <w:szCs w:val="22"/>
        </w:rPr>
        <w:t>extrapolation of data for the modelled evaluation</w:t>
      </w:r>
      <w:r w:rsidRPr="00BB4AC4">
        <w:rPr>
          <w:szCs w:val="22"/>
        </w:rPr>
        <w:t>.  Given the similarity in class of drug, it is likely that nivolumab may be a relevant comparator</w:t>
      </w:r>
      <w:r w:rsidR="00D573AA" w:rsidRPr="00BB4AC4">
        <w:rPr>
          <w:szCs w:val="22"/>
        </w:rPr>
        <w:t xml:space="preserve"> </w:t>
      </w:r>
      <w:r w:rsidR="00D148C2" w:rsidRPr="00BB4AC4">
        <w:rPr>
          <w:szCs w:val="22"/>
        </w:rPr>
        <w:t>in the near future</w:t>
      </w:r>
      <w:r w:rsidRPr="00BB4AC4">
        <w:rPr>
          <w:szCs w:val="22"/>
        </w:rPr>
        <w:t>.</w:t>
      </w:r>
    </w:p>
    <w:p w:rsidR="00B60939" w:rsidRDefault="00B60939" w:rsidP="00DF5D2B">
      <w:pPr>
        <w:rPr>
          <w:szCs w:val="22"/>
        </w:rPr>
      </w:pPr>
    </w:p>
    <w:p w:rsidR="00655B06" w:rsidRPr="00BB7EC3" w:rsidRDefault="00655B06" w:rsidP="00655B06">
      <w:pPr>
        <w:pStyle w:val="ListParagraph"/>
        <w:ind w:left="709"/>
        <w:rPr>
          <w:i/>
          <w:szCs w:val="22"/>
        </w:rPr>
      </w:pPr>
      <w:r>
        <w:rPr>
          <w:i/>
          <w:szCs w:val="22"/>
        </w:rPr>
        <w:t>For more detail on PBAC’s view, see section 7 “PBAC outcome”</w:t>
      </w:r>
    </w:p>
    <w:p w:rsidR="0054089B" w:rsidRDefault="0054089B" w:rsidP="00DF5D2B">
      <w:pPr>
        <w:rPr>
          <w:szCs w:val="22"/>
        </w:rPr>
      </w:pPr>
    </w:p>
    <w:p w:rsidR="00DD7E75" w:rsidRPr="00DF5D2B" w:rsidRDefault="00DD7E75" w:rsidP="00DF5D2B">
      <w:pPr>
        <w:rPr>
          <w:szCs w:val="22"/>
        </w:rPr>
      </w:pPr>
    </w:p>
    <w:p w:rsidR="00B50DB8" w:rsidRPr="00407F2D" w:rsidRDefault="00BD6CF3" w:rsidP="00BD6CF3">
      <w:pPr>
        <w:pStyle w:val="PBACHeading1"/>
      </w:pPr>
      <w:bookmarkStart w:id="9" w:name="_Toc409607365"/>
      <w:r>
        <w:t>C</w:t>
      </w:r>
      <w:r w:rsidR="00B50DB8" w:rsidRPr="00407F2D">
        <w:t>onsideration of the evidence</w:t>
      </w:r>
      <w:bookmarkEnd w:id="9"/>
    </w:p>
    <w:p w:rsidR="00655B06" w:rsidRPr="0041551E" w:rsidRDefault="00655B06" w:rsidP="00655B06">
      <w:pPr>
        <w:rPr>
          <w:i/>
          <w:szCs w:val="22"/>
        </w:rPr>
      </w:pPr>
    </w:p>
    <w:p w:rsidR="00655B06" w:rsidRPr="00BB7EC3" w:rsidRDefault="00655B06" w:rsidP="00655B06">
      <w:pPr>
        <w:rPr>
          <w:b/>
          <w:i/>
          <w:szCs w:val="22"/>
        </w:rPr>
      </w:pPr>
      <w:r w:rsidRPr="00BB7EC3">
        <w:rPr>
          <w:b/>
          <w:i/>
          <w:szCs w:val="22"/>
        </w:rPr>
        <w:t>Sponsor hearing</w:t>
      </w:r>
    </w:p>
    <w:p w:rsidR="00655B06" w:rsidRPr="0041551E" w:rsidRDefault="00655B06" w:rsidP="0041551E">
      <w:pPr>
        <w:rPr>
          <w:szCs w:val="22"/>
        </w:rPr>
      </w:pPr>
    </w:p>
    <w:p w:rsidR="002B083F" w:rsidRPr="00EC4B80" w:rsidRDefault="00655B06" w:rsidP="00934582">
      <w:pPr>
        <w:pStyle w:val="ListParagraph"/>
        <w:widowControl/>
        <w:numPr>
          <w:ilvl w:val="1"/>
          <w:numId w:val="1"/>
        </w:numPr>
        <w:rPr>
          <w:szCs w:val="22"/>
        </w:rPr>
      </w:pPr>
      <w:r w:rsidRPr="00EC4B80">
        <w:rPr>
          <w:szCs w:val="22"/>
        </w:rPr>
        <w:t xml:space="preserve">The sponsor requested a hearing for this item.  The </w:t>
      </w:r>
      <w:r w:rsidR="002B083F" w:rsidRPr="00EC4B80">
        <w:rPr>
          <w:szCs w:val="22"/>
        </w:rPr>
        <w:t>sponsor clari</w:t>
      </w:r>
      <w:r w:rsidR="0041551E" w:rsidRPr="00EC4B80">
        <w:rPr>
          <w:szCs w:val="22"/>
        </w:rPr>
        <w:t>fied</w:t>
      </w:r>
      <w:r w:rsidR="002B083F" w:rsidRPr="00EC4B80">
        <w:rPr>
          <w:szCs w:val="22"/>
        </w:rPr>
        <w:t xml:space="preserve"> the patient population that w</w:t>
      </w:r>
      <w:r w:rsidR="0041551E" w:rsidRPr="00EC4B80">
        <w:rPr>
          <w:szCs w:val="22"/>
        </w:rPr>
        <w:t>ould</w:t>
      </w:r>
      <w:r w:rsidR="002B083F" w:rsidRPr="00EC4B80">
        <w:rPr>
          <w:szCs w:val="22"/>
        </w:rPr>
        <w:t xml:space="preserve"> be covered by the requested </w:t>
      </w:r>
      <w:r w:rsidR="0041551E" w:rsidRPr="00EC4B80">
        <w:rPr>
          <w:szCs w:val="22"/>
        </w:rPr>
        <w:t>restriction</w:t>
      </w:r>
      <w:r w:rsidR="002B083F" w:rsidRPr="00EC4B80">
        <w:rPr>
          <w:szCs w:val="22"/>
        </w:rPr>
        <w:t>, namely, ipil</w:t>
      </w:r>
      <w:r w:rsidR="00B91A44" w:rsidRPr="00EC4B80">
        <w:rPr>
          <w:szCs w:val="22"/>
        </w:rPr>
        <w:t>i</w:t>
      </w:r>
      <w:r w:rsidR="0041551E" w:rsidRPr="00EC4B80">
        <w:rPr>
          <w:szCs w:val="22"/>
        </w:rPr>
        <w:t>mumab-</w:t>
      </w:r>
      <w:r w:rsidR="000E29A7">
        <w:rPr>
          <w:szCs w:val="22"/>
        </w:rPr>
        <w:t xml:space="preserve">naïve </w:t>
      </w:r>
      <w:r w:rsidR="002B083F" w:rsidRPr="00EC4B80">
        <w:rPr>
          <w:szCs w:val="22"/>
        </w:rPr>
        <w:t xml:space="preserve">patients, stating that the </w:t>
      </w:r>
      <w:r w:rsidR="0041551E" w:rsidRPr="00EC4B80">
        <w:rPr>
          <w:szCs w:val="22"/>
        </w:rPr>
        <w:t>s</w:t>
      </w:r>
      <w:r w:rsidR="002B083F" w:rsidRPr="00EC4B80">
        <w:rPr>
          <w:szCs w:val="22"/>
        </w:rPr>
        <w:t>ponsor w</w:t>
      </w:r>
      <w:r w:rsidR="0041551E" w:rsidRPr="00EC4B80">
        <w:rPr>
          <w:szCs w:val="22"/>
        </w:rPr>
        <w:t>ould</w:t>
      </w:r>
      <w:r w:rsidR="002B083F" w:rsidRPr="00EC4B80">
        <w:rPr>
          <w:szCs w:val="22"/>
        </w:rPr>
        <w:t xml:space="preserve"> provide compassionate access to pembrolizumab for any patient </w:t>
      </w:r>
      <w:r w:rsidR="0041551E" w:rsidRPr="00EC4B80">
        <w:rPr>
          <w:szCs w:val="22"/>
        </w:rPr>
        <w:t xml:space="preserve">refractory to </w:t>
      </w:r>
      <w:r w:rsidR="002B083F" w:rsidRPr="00EC4B80">
        <w:rPr>
          <w:szCs w:val="22"/>
        </w:rPr>
        <w:t xml:space="preserve">ipilimumab. </w:t>
      </w:r>
      <w:r w:rsidR="00EC4B80" w:rsidRPr="00EC4B80">
        <w:rPr>
          <w:szCs w:val="22"/>
        </w:rPr>
        <w:t xml:space="preserve"> </w:t>
      </w:r>
      <w:r w:rsidR="00D71378">
        <w:rPr>
          <w:szCs w:val="22"/>
        </w:rPr>
        <w:t>The s</w:t>
      </w:r>
      <w:r w:rsidR="002B083F" w:rsidRPr="00EC4B80">
        <w:rPr>
          <w:szCs w:val="22"/>
        </w:rPr>
        <w:t>ponsor did not specify how long this compassionate access program would last</w:t>
      </w:r>
      <w:r w:rsidR="00EC4B80" w:rsidRPr="00EC4B80">
        <w:rPr>
          <w:szCs w:val="22"/>
        </w:rPr>
        <w:t>,</w:t>
      </w:r>
      <w:r w:rsidR="002B083F" w:rsidRPr="00EC4B80">
        <w:rPr>
          <w:szCs w:val="22"/>
        </w:rPr>
        <w:t xml:space="preserve"> but suggested it may be around 2 years.</w:t>
      </w:r>
      <w:r w:rsidR="00934582">
        <w:rPr>
          <w:szCs w:val="22"/>
        </w:rPr>
        <w:t xml:space="preserve">  </w:t>
      </w:r>
      <w:r w:rsidR="00934582" w:rsidRPr="00934582">
        <w:rPr>
          <w:szCs w:val="22"/>
        </w:rPr>
        <w:t>The sponsor also made it clear that pembrolizumab should be used following the BRAF/MEK inhibitors in patients with BRAF</w:t>
      </w:r>
      <w:r w:rsidR="00934582">
        <w:rPr>
          <w:szCs w:val="22"/>
        </w:rPr>
        <w:t>-</w:t>
      </w:r>
      <w:r w:rsidR="00934582" w:rsidRPr="00934582">
        <w:rPr>
          <w:szCs w:val="22"/>
        </w:rPr>
        <w:t>mutant tumours until current clinical trials were completed.</w:t>
      </w:r>
    </w:p>
    <w:p w:rsidR="002B083F" w:rsidRPr="00EC4B80" w:rsidRDefault="002B083F" w:rsidP="00DD2842">
      <w:pPr>
        <w:widowControl/>
        <w:rPr>
          <w:szCs w:val="22"/>
        </w:rPr>
      </w:pPr>
    </w:p>
    <w:p w:rsidR="00655B06" w:rsidRPr="00EC4B80" w:rsidRDefault="002B083F" w:rsidP="00934582">
      <w:pPr>
        <w:pStyle w:val="ListParagraph"/>
        <w:widowControl/>
        <w:numPr>
          <w:ilvl w:val="1"/>
          <w:numId w:val="1"/>
        </w:numPr>
        <w:rPr>
          <w:szCs w:val="22"/>
        </w:rPr>
      </w:pPr>
      <w:r w:rsidRPr="00EC4B80">
        <w:rPr>
          <w:szCs w:val="22"/>
        </w:rPr>
        <w:t xml:space="preserve">The sponsor </w:t>
      </w:r>
      <w:r w:rsidR="00EC4B80" w:rsidRPr="00EC4B80">
        <w:rPr>
          <w:szCs w:val="22"/>
        </w:rPr>
        <w:t xml:space="preserve">also sought to </w:t>
      </w:r>
      <w:r w:rsidRPr="00EC4B80">
        <w:rPr>
          <w:szCs w:val="22"/>
        </w:rPr>
        <w:t>clari</w:t>
      </w:r>
      <w:r w:rsidR="00EC4B80" w:rsidRPr="00EC4B80">
        <w:rPr>
          <w:szCs w:val="22"/>
        </w:rPr>
        <w:t>f</w:t>
      </w:r>
      <w:r w:rsidRPr="00EC4B80">
        <w:rPr>
          <w:szCs w:val="22"/>
        </w:rPr>
        <w:t>y the dose of pembrolizumab, stating that 2</w:t>
      </w:r>
      <w:r w:rsidR="00785AD5" w:rsidRPr="00EC4B80">
        <w:rPr>
          <w:szCs w:val="22"/>
        </w:rPr>
        <w:t> </w:t>
      </w:r>
      <w:r w:rsidRPr="00EC4B80">
        <w:rPr>
          <w:szCs w:val="22"/>
        </w:rPr>
        <w:t>mg/kg every three weeks appears to be equivalent to 10</w:t>
      </w:r>
      <w:r w:rsidR="00785AD5" w:rsidRPr="00EC4B80">
        <w:rPr>
          <w:szCs w:val="22"/>
        </w:rPr>
        <w:t> </w:t>
      </w:r>
      <w:r w:rsidRPr="00EC4B80">
        <w:rPr>
          <w:szCs w:val="22"/>
        </w:rPr>
        <w:t>mg</w:t>
      </w:r>
      <w:r w:rsidR="00785AD5" w:rsidRPr="00EC4B80">
        <w:rPr>
          <w:szCs w:val="22"/>
        </w:rPr>
        <w:t>/kg</w:t>
      </w:r>
      <w:r w:rsidRPr="00EC4B80">
        <w:rPr>
          <w:szCs w:val="22"/>
        </w:rPr>
        <w:t xml:space="preserve"> every two or three weeks.</w:t>
      </w:r>
      <w:r w:rsidR="00DD2842" w:rsidRPr="00EC4B80">
        <w:rPr>
          <w:szCs w:val="22"/>
        </w:rPr>
        <w:t xml:space="preserve"> </w:t>
      </w:r>
      <w:r w:rsidR="00785AD5" w:rsidRPr="00EC4B80">
        <w:rPr>
          <w:szCs w:val="22"/>
        </w:rPr>
        <w:t xml:space="preserve"> </w:t>
      </w:r>
      <w:r w:rsidR="00655B06" w:rsidRPr="00EC4B80">
        <w:rPr>
          <w:szCs w:val="22"/>
        </w:rPr>
        <w:t xml:space="preserve">The PBAC considered that the hearing was not </w:t>
      </w:r>
      <w:r w:rsidR="00934582">
        <w:rPr>
          <w:szCs w:val="22"/>
        </w:rPr>
        <w:t xml:space="preserve">particularly </w:t>
      </w:r>
      <w:r w:rsidR="00655B06" w:rsidRPr="00EC4B80">
        <w:rPr>
          <w:szCs w:val="22"/>
        </w:rPr>
        <w:t>informative as it did not add substantively to the evidence presented in the submissio</w:t>
      </w:r>
      <w:r w:rsidR="00DD2842" w:rsidRPr="00EC4B80">
        <w:rPr>
          <w:szCs w:val="22"/>
        </w:rPr>
        <w:t>n</w:t>
      </w:r>
      <w:r w:rsidR="00934582" w:rsidRPr="00934582">
        <w:rPr>
          <w:szCs w:val="22"/>
        </w:rPr>
        <w:t xml:space="preserve">. </w:t>
      </w:r>
      <w:r w:rsidR="00934582">
        <w:rPr>
          <w:szCs w:val="22"/>
        </w:rPr>
        <w:t xml:space="preserve"> </w:t>
      </w:r>
      <w:r w:rsidR="00934582" w:rsidRPr="00934582">
        <w:rPr>
          <w:szCs w:val="22"/>
        </w:rPr>
        <w:t>The hearing did however provide reassurance that the sponsor would make pembro</w:t>
      </w:r>
      <w:r w:rsidR="00934582">
        <w:rPr>
          <w:szCs w:val="22"/>
        </w:rPr>
        <w:t>lizumab available to ipilimumab-</w:t>
      </w:r>
      <w:r w:rsidR="00934582" w:rsidRPr="00934582">
        <w:rPr>
          <w:szCs w:val="22"/>
        </w:rPr>
        <w:t>refractory patients under a compassionate access program</w:t>
      </w:r>
      <w:r w:rsidR="00DD2842" w:rsidRPr="00EC4B80">
        <w:rPr>
          <w:szCs w:val="22"/>
        </w:rPr>
        <w:t>.</w:t>
      </w:r>
    </w:p>
    <w:p w:rsidR="00655B06" w:rsidRDefault="00655B06" w:rsidP="00B01051"/>
    <w:p w:rsidR="00273D66" w:rsidRPr="00EC4B80" w:rsidRDefault="00273D66" w:rsidP="00B01051"/>
    <w:p w:rsidR="00655B06" w:rsidRPr="00BB7EC3" w:rsidRDefault="00655B06" w:rsidP="00655B06">
      <w:pPr>
        <w:rPr>
          <w:b/>
          <w:i/>
          <w:szCs w:val="22"/>
        </w:rPr>
      </w:pPr>
      <w:r w:rsidRPr="00BB7EC3">
        <w:rPr>
          <w:b/>
          <w:i/>
          <w:szCs w:val="22"/>
        </w:rPr>
        <w:lastRenderedPageBreak/>
        <w:t>Consumer comments</w:t>
      </w:r>
    </w:p>
    <w:p w:rsidR="00655B06" w:rsidRPr="00EC4B80" w:rsidRDefault="00655B06" w:rsidP="00EC4B80">
      <w:pPr>
        <w:rPr>
          <w:szCs w:val="22"/>
        </w:rPr>
      </w:pPr>
    </w:p>
    <w:p w:rsidR="00B01051" w:rsidRPr="00EC4B80" w:rsidRDefault="00655B06" w:rsidP="00655B06">
      <w:pPr>
        <w:pStyle w:val="ListParagraph"/>
        <w:widowControl/>
        <w:numPr>
          <w:ilvl w:val="1"/>
          <w:numId w:val="1"/>
        </w:numPr>
        <w:ind w:left="709"/>
        <w:rPr>
          <w:szCs w:val="22"/>
        </w:rPr>
      </w:pPr>
      <w:r w:rsidRPr="00EC4B80">
        <w:rPr>
          <w:szCs w:val="22"/>
        </w:rPr>
        <w:t>The PBAC noted and welcomed the input from individuals (</w:t>
      </w:r>
      <w:r w:rsidR="00B01051" w:rsidRPr="00EC4B80">
        <w:rPr>
          <w:szCs w:val="22"/>
        </w:rPr>
        <w:t>275</w:t>
      </w:r>
      <w:r w:rsidRPr="00EC4B80">
        <w:rPr>
          <w:szCs w:val="22"/>
        </w:rPr>
        <w:t>), health care professionals (</w:t>
      </w:r>
      <w:r w:rsidR="00B01051" w:rsidRPr="00EC4B80">
        <w:rPr>
          <w:szCs w:val="22"/>
        </w:rPr>
        <w:t>7</w:t>
      </w:r>
      <w:r w:rsidRPr="00EC4B80">
        <w:rPr>
          <w:szCs w:val="22"/>
        </w:rPr>
        <w:t>) and organisations (</w:t>
      </w:r>
      <w:r w:rsidR="00B01051" w:rsidRPr="00EC4B80">
        <w:rPr>
          <w:szCs w:val="22"/>
        </w:rPr>
        <w:t>5</w:t>
      </w:r>
      <w:r w:rsidRPr="00EC4B80">
        <w:rPr>
          <w:szCs w:val="22"/>
        </w:rPr>
        <w:t xml:space="preserve">) via the Consumer Comments facility on the PBS website.  The comments described a range of benefits of treatment with </w:t>
      </w:r>
      <w:r w:rsidR="00B01051" w:rsidRPr="00EC4B80">
        <w:rPr>
          <w:szCs w:val="22"/>
        </w:rPr>
        <w:t>pembrolizumab</w:t>
      </w:r>
      <w:r w:rsidRPr="00EC4B80">
        <w:rPr>
          <w:szCs w:val="22"/>
        </w:rPr>
        <w:t xml:space="preserve"> including </w:t>
      </w:r>
      <w:r w:rsidR="00B01051" w:rsidRPr="00EC4B80">
        <w:rPr>
          <w:szCs w:val="22"/>
        </w:rPr>
        <w:t>outstanding benefits in overall survival with very few side effects</w:t>
      </w:r>
      <w:r w:rsidR="00BF0D66" w:rsidRPr="00EC4B80">
        <w:rPr>
          <w:szCs w:val="22"/>
        </w:rPr>
        <w:t>,</w:t>
      </w:r>
      <w:r w:rsidR="006249D4" w:rsidRPr="00EC4B80">
        <w:rPr>
          <w:szCs w:val="22"/>
        </w:rPr>
        <w:t xml:space="preserve"> with consumers considering pembrolizumab</w:t>
      </w:r>
      <w:r w:rsidR="00BF0D66" w:rsidRPr="00EC4B80">
        <w:rPr>
          <w:szCs w:val="22"/>
        </w:rPr>
        <w:t xml:space="preserve"> to be far superior to treatment with ipilimumab.</w:t>
      </w:r>
    </w:p>
    <w:p w:rsidR="00655B06" w:rsidRPr="00EC4B80" w:rsidRDefault="00655B06" w:rsidP="00EC4B80">
      <w:pPr>
        <w:widowControl/>
        <w:ind w:left="-11"/>
        <w:rPr>
          <w:szCs w:val="22"/>
        </w:rPr>
      </w:pPr>
    </w:p>
    <w:p w:rsidR="001E5FA9" w:rsidRPr="00934582" w:rsidRDefault="001E5FA9" w:rsidP="001E5FA9">
      <w:pPr>
        <w:pStyle w:val="ListParagraph"/>
        <w:widowControl/>
        <w:numPr>
          <w:ilvl w:val="1"/>
          <w:numId w:val="1"/>
        </w:numPr>
        <w:ind w:left="709"/>
      </w:pPr>
      <w:r w:rsidRPr="001E5FA9">
        <w:t xml:space="preserve">A consumer hearing was </w:t>
      </w:r>
      <w:r>
        <w:t>held</w:t>
      </w:r>
      <w:r w:rsidRPr="001E5FA9">
        <w:t xml:space="preserve"> between the Austra</w:t>
      </w:r>
      <w:r>
        <w:t xml:space="preserve">lian Melanoma Consumer Alliance, </w:t>
      </w:r>
      <w:r w:rsidRPr="001E5FA9">
        <w:t>Melanoma Patient</w:t>
      </w:r>
      <w:r>
        <w:t>s Australia</w:t>
      </w:r>
      <w:r w:rsidRPr="001E5FA9">
        <w:t>, CanSpeak Aust</w:t>
      </w:r>
      <w:r w:rsidRPr="00EC4B80">
        <w:t xml:space="preserve">ralia and representatives of the PBAC. </w:t>
      </w:r>
      <w:r w:rsidR="00EC4B80" w:rsidRPr="00EC4B80">
        <w:t xml:space="preserve"> </w:t>
      </w:r>
      <w:r w:rsidRPr="00EC4B80">
        <w:t xml:space="preserve">The hearing highlighted that patients have a high level of belief in the effectiveness of pembrolizumab, and </w:t>
      </w:r>
      <w:r w:rsidR="00EC4B80" w:rsidRPr="00EC4B80">
        <w:t>a</w:t>
      </w:r>
      <w:r w:rsidRPr="00EC4B80">
        <w:t xml:space="preserve">re extremely eager for early access to the drug. </w:t>
      </w:r>
      <w:r w:rsidR="00EC4B80" w:rsidRPr="00EC4B80">
        <w:t xml:space="preserve"> </w:t>
      </w:r>
      <w:r w:rsidRPr="00EC4B80">
        <w:t xml:space="preserve">The representatives informed PBAC that there is a perception that up to 90% of patients could expect to respond </w:t>
      </w:r>
      <w:r w:rsidR="00D71378">
        <w:t>to pembrolizumab, even if this i</w:t>
      </w:r>
      <w:r w:rsidRPr="00EC4B80">
        <w:t>s not reflected in the data presented by the sponsor to the PBAC.  Consumers also believe</w:t>
      </w:r>
      <w:r w:rsidR="00EC4B80">
        <w:t>d</w:t>
      </w:r>
      <w:r w:rsidRPr="00EC4B80">
        <w:t xml:space="preserve"> that the response to pembrolizumab is “durable and sustained”.  The PBAC was concerned at the mismatch between the public expectations of the drug and the data submitted in supp</w:t>
      </w:r>
      <w:r w:rsidR="00EC4B80" w:rsidRPr="00EC4B80">
        <w:t>ort of its subsidy application.</w:t>
      </w:r>
    </w:p>
    <w:p w:rsidR="001E5FA9" w:rsidRPr="001E5FA9" w:rsidRDefault="001E5FA9" w:rsidP="00EC4B80">
      <w:pPr>
        <w:pStyle w:val="PBACHeading1"/>
        <w:numPr>
          <w:ilvl w:val="0"/>
          <w:numId w:val="0"/>
        </w:numPr>
        <w:ind w:left="720" w:hanging="720"/>
        <w:rPr>
          <w:b w:val="0"/>
        </w:rPr>
      </w:pPr>
    </w:p>
    <w:p w:rsidR="001E5FA9" w:rsidRPr="001E5FA9" w:rsidRDefault="001E5FA9" w:rsidP="001E5FA9">
      <w:pPr>
        <w:pStyle w:val="ListParagraph"/>
        <w:widowControl/>
        <w:numPr>
          <w:ilvl w:val="1"/>
          <w:numId w:val="1"/>
        </w:numPr>
        <w:ind w:left="709"/>
      </w:pPr>
      <w:r w:rsidRPr="001E5FA9">
        <w:t>It was also noted that patients believe that the risks associated with early access to this drug w</w:t>
      </w:r>
      <w:r w:rsidR="00BB6F83">
        <w:t>ere</w:t>
      </w:r>
      <w:r w:rsidRPr="001E5FA9">
        <w:t xml:space="preserve"> accepted by many, because of the perception of </w:t>
      </w:r>
      <w:r w:rsidR="00EC4B80">
        <w:t>gaining a life-saving response.</w:t>
      </w:r>
    </w:p>
    <w:p w:rsidR="001E5FA9" w:rsidRDefault="001E5FA9" w:rsidP="001E5FA9">
      <w:pPr>
        <w:rPr>
          <w:i/>
        </w:rPr>
      </w:pPr>
    </w:p>
    <w:p w:rsidR="00655B06" w:rsidRPr="00CD5085" w:rsidRDefault="00655B06" w:rsidP="00655B06">
      <w:pPr>
        <w:pStyle w:val="ListParagraph"/>
        <w:ind w:left="709"/>
        <w:rPr>
          <w:i/>
          <w:szCs w:val="22"/>
        </w:rPr>
      </w:pPr>
      <w:r w:rsidRPr="00CD5085">
        <w:rPr>
          <w:i/>
          <w:szCs w:val="22"/>
        </w:rPr>
        <w:t>For more detail on PBAC’s view, see section 7 “PBAC outcome”</w:t>
      </w:r>
    </w:p>
    <w:p w:rsidR="00B60939" w:rsidRPr="00DE0D7F" w:rsidRDefault="00B60939" w:rsidP="004B1CB4">
      <w:pPr>
        <w:rPr>
          <w:szCs w:val="22"/>
        </w:rPr>
      </w:pPr>
    </w:p>
    <w:p w:rsidR="00DE0D7F" w:rsidRPr="00DE0D7F" w:rsidRDefault="00DE0D7F" w:rsidP="004B1CB4">
      <w:pPr>
        <w:rPr>
          <w:b/>
          <w:i/>
          <w:szCs w:val="22"/>
        </w:rPr>
      </w:pPr>
      <w:r w:rsidRPr="00DE0D7F">
        <w:rPr>
          <w:b/>
          <w:i/>
          <w:szCs w:val="22"/>
        </w:rPr>
        <w:t>Chronology of submission</w:t>
      </w:r>
    </w:p>
    <w:p w:rsidR="00DE0D7F" w:rsidRPr="00DE0D7F" w:rsidRDefault="00DE0D7F" w:rsidP="004B1CB4">
      <w:pPr>
        <w:rPr>
          <w:szCs w:val="22"/>
        </w:rPr>
      </w:pPr>
    </w:p>
    <w:p w:rsidR="00CE10A1" w:rsidRPr="00A05E64" w:rsidRDefault="00CE10A1" w:rsidP="00CE10A1">
      <w:pPr>
        <w:pStyle w:val="ListParagraph"/>
        <w:widowControl/>
        <w:numPr>
          <w:ilvl w:val="1"/>
          <w:numId w:val="1"/>
        </w:numPr>
        <w:ind w:left="709" w:hanging="709"/>
        <w:rPr>
          <w:szCs w:val="22"/>
        </w:rPr>
      </w:pPr>
      <w:r w:rsidRPr="00A05E64">
        <w:rPr>
          <w:szCs w:val="22"/>
        </w:rPr>
        <w:t>The PBAC noted that, following lodgement of the submission</w:t>
      </w:r>
      <w:r>
        <w:rPr>
          <w:szCs w:val="22"/>
        </w:rPr>
        <w:t xml:space="preserve"> on </w:t>
      </w:r>
      <w:r w:rsidR="00296052">
        <w:rPr>
          <w:szCs w:val="22"/>
        </w:rPr>
        <w:t>5</w:t>
      </w:r>
      <w:r>
        <w:rPr>
          <w:szCs w:val="22"/>
        </w:rPr>
        <w:t xml:space="preserve"> November 2014</w:t>
      </w:r>
      <w:r w:rsidRPr="00A05E64">
        <w:rPr>
          <w:szCs w:val="22"/>
        </w:rPr>
        <w:t xml:space="preserve">, an extraordinary amount of </w:t>
      </w:r>
      <w:r>
        <w:rPr>
          <w:szCs w:val="22"/>
        </w:rPr>
        <w:t xml:space="preserve">important </w:t>
      </w:r>
      <w:r w:rsidRPr="00A05E64">
        <w:rPr>
          <w:szCs w:val="22"/>
        </w:rPr>
        <w:t xml:space="preserve">additional information was provided </w:t>
      </w:r>
      <w:r>
        <w:rPr>
          <w:szCs w:val="22"/>
        </w:rPr>
        <w:t>throughout the process of evaluation, as follows</w:t>
      </w:r>
      <w:r w:rsidRPr="00A05E64">
        <w:rPr>
          <w:szCs w:val="22"/>
        </w:rPr>
        <w:t>:</w:t>
      </w:r>
    </w:p>
    <w:p w:rsidR="00CE10A1" w:rsidRPr="00C301DD" w:rsidRDefault="00CE10A1" w:rsidP="00CE10A1">
      <w:pPr>
        <w:pStyle w:val="ListParagraph"/>
        <w:widowControl/>
        <w:numPr>
          <w:ilvl w:val="1"/>
          <w:numId w:val="5"/>
        </w:numPr>
        <w:ind w:left="993" w:hanging="284"/>
        <w:rPr>
          <w:bCs/>
          <w:i/>
          <w:szCs w:val="22"/>
        </w:rPr>
      </w:pPr>
      <w:r>
        <w:rPr>
          <w:szCs w:val="22"/>
        </w:rPr>
        <w:t>24 November 2014: trial data from KN-002</w:t>
      </w:r>
      <w:r w:rsidR="009A2E18" w:rsidRPr="009A2E18">
        <w:rPr>
          <w:szCs w:val="22"/>
        </w:rPr>
        <w:t xml:space="preserve"> </w:t>
      </w:r>
      <w:r w:rsidR="009A2E18">
        <w:rPr>
          <w:szCs w:val="22"/>
        </w:rPr>
        <w:t>provided by the sponsor</w:t>
      </w:r>
      <w:r w:rsidR="002762DC">
        <w:rPr>
          <w:szCs w:val="22"/>
        </w:rPr>
        <w:t xml:space="preserve"> (20 slides)</w:t>
      </w:r>
    </w:p>
    <w:p w:rsidR="00CE10A1" w:rsidRPr="00C301DD" w:rsidRDefault="009A2E18" w:rsidP="00CE10A1">
      <w:pPr>
        <w:pStyle w:val="ListParagraph"/>
        <w:widowControl/>
        <w:numPr>
          <w:ilvl w:val="1"/>
          <w:numId w:val="5"/>
        </w:numPr>
        <w:ind w:left="993" w:hanging="284"/>
        <w:rPr>
          <w:bCs/>
          <w:i/>
          <w:szCs w:val="22"/>
        </w:rPr>
      </w:pPr>
      <w:r>
        <w:rPr>
          <w:szCs w:val="22"/>
        </w:rPr>
        <w:t xml:space="preserve">28 January 2015: </w:t>
      </w:r>
      <w:r w:rsidR="00CE10A1">
        <w:rPr>
          <w:szCs w:val="22"/>
        </w:rPr>
        <w:t xml:space="preserve">revised model and revised </w:t>
      </w:r>
      <w:r w:rsidR="00BF3730">
        <w:rPr>
          <w:szCs w:val="22"/>
        </w:rPr>
        <w:t>managed entry scheme (</w:t>
      </w:r>
      <w:r w:rsidR="00CE10A1">
        <w:rPr>
          <w:szCs w:val="22"/>
        </w:rPr>
        <w:t>MES</w:t>
      </w:r>
      <w:r w:rsidR="00BF3730">
        <w:rPr>
          <w:szCs w:val="22"/>
        </w:rPr>
        <w:t>)</w:t>
      </w:r>
      <w:r w:rsidR="00CE10A1">
        <w:rPr>
          <w:szCs w:val="22"/>
        </w:rPr>
        <w:t xml:space="preserve"> proposal with the PSCR</w:t>
      </w:r>
      <w:r>
        <w:rPr>
          <w:szCs w:val="22"/>
        </w:rPr>
        <w:t xml:space="preserve"> (16 pages)</w:t>
      </w:r>
    </w:p>
    <w:p w:rsidR="00CE10A1" w:rsidRPr="009A2E18" w:rsidRDefault="00CE10A1" w:rsidP="00CE10A1">
      <w:pPr>
        <w:pStyle w:val="ListParagraph"/>
        <w:widowControl/>
        <w:numPr>
          <w:ilvl w:val="1"/>
          <w:numId w:val="5"/>
        </w:numPr>
        <w:ind w:left="993" w:hanging="284"/>
        <w:rPr>
          <w:bCs/>
          <w:i/>
          <w:szCs w:val="22"/>
        </w:rPr>
      </w:pPr>
      <w:r>
        <w:rPr>
          <w:szCs w:val="22"/>
        </w:rPr>
        <w:t>13 February 2015 (after the ESC meeting): early results of KN-006</w:t>
      </w:r>
      <w:r w:rsidR="009A2E18" w:rsidRPr="009A2E18">
        <w:rPr>
          <w:szCs w:val="22"/>
        </w:rPr>
        <w:t xml:space="preserve"> </w:t>
      </w:r>
      <w:r w:rsidR="009A2E18">
        <w:rPr>
          <w:szCs w:val="22"/>
        </w:rPr>
        <w:t>provided by the sponsor (38 pages)</w:t>
      </w:r>
    </w:p>
    <w:p w:rsidR="009A2E18" w:rsidRPr="00C301DD" w:rsidRDefault="009A2E18" w:rsidP="00CE10A1">
      <w:pPr>
        <w:pStyle w:val="ListParagraph"/>
        <w:widowControl/>
        <w:numPr>
          <w:ilvl w:val="1"/>
          <w:numId w:val="5"/>
        </w:numPr>
        <w:ind w:left="993" w:hanging="284"/>
        <w:rPr>
          <w:bCs/>
          <w:i/>
          <w:szCs w:val="22"/>
        </w:rPr>
      </w:pPr>
      <w:r>
        <w:rPr>
          <w:bCs/>
          <w:szCs w:val="22"/>
        </w:rPr>
        <w:t>17 February 2015: TGA delegate’s overview provided by the sponsor (96 pages)</w:t>
      </w:r>
    </w:p>
    <w:p w:rsidR="009A2E18" w:rsidRPr="009A2E18" w:rsidRDefault="009A2E18" w:rsidP="00CE10A1">
      <w:pPr>
        <w:pStyle w:val="ListParagraph"/>
        <w:widowControl/>
        <w:numPr>
          <w:ilvl w:val="1"/>
          <w:numId w:val="5"/>
        </w:numPr>
        <w:ind w:left="993" w:hanging="284"/>
        <w:rPr>
          <w:bCs/>
          <w:szCs w:val="22"/>
        </w:rPr>
      </w:pPr>
      <w:r>
        <w:rPr>
          <w:bCs/>
          <w:szCs w:val="22"/>
        </w:rPr>
        <w:t xml:space="preserve">25 February 2015: Attachment and </w:t>
      </w:r>
      <w:r w:rsidRPr="009A2E18">
        <w:rPr>
          <w:bCs/>
          <w:szCs w:val="22"/>
        </w:rPr>
        <w:t>PES Addendum to the ESC Advice to comment on the additional post-submission information</w:t>
      </w:r>
      <w:r>
        <w:rPr>
          <w:bCs/>
          <w:szCs w:val="22"/>
        </w:rPr>
        <w:t xml:space="preserve"> (20 pages)</w:t>
      </w:r>
    </w:p>
    <w:p w:rsidR="00CE10A1" w:rsidRPr="00C301DD" w:rsidRDefault="009A2E18" w:rsidP="00CE10A1">
      <w:pPr>
        <w:pStyle w:val="ListParagraph"/>
        <w:widowControl/>
        <w:numPr>
          <w:ilvl w:val="1"/>
          <w:numId w:val="5"/>
        </w:numPr>
        <w:ind w:left="993" w:hanging="284"/>
        <w:rPr>
          <w:bCs/>
          <w:i/>
          <w:szCs w:val="22"/>
        </w:rPr>
      </w:pPr>
      <w:r>
        <w:rPr>
          <w:szCs w:val="22"/>
        </w:rPr>
        <w:t xml:space="preserve">4 March 2015: </w:t>
      </w:r>
      <w:r w:rsidR="00CE10A1">
        <w:rPr>
          <w:szCs w:val="22"/>
        </w:rPr>
        <w:t xml:space="preserve">further sensitivity analyses for the revised model and </w:t>
      </w:r>
      <w:r w:rsidR="00CE10A1">
        <w:t xml:space="preserve">suggestions for the </w:t>
      </w:r>
      <w:r w:rsidR="00CE10A1">
        <w:rPr>
          <w:szCs w:val="22"/>
        </w:rPr>
        <w:t>MES proposal with the pre-PBAC response</w:t>
      </w:r>
      <w:r w:rsidR="002762DC">
        <w:rPr>
          <w:szCs w:val="22"/>
        </w:rPr>
        <w:t xml:space="preserve"> (24 pages)</w:t>
      </w:r>
    </w:p>
    <w:p w:rsidR="00CE10A1" w:rsidRPr="00C301DD" w:rsidRDefault="00CE10A1" w:rsidP="00CE10A1">
      <w:pPr>
        <w:pStyle w:val="ListParagraph"/>
        <w:widowControl/>
        <w:numPr>
          <w:ilvl w:val="1"/>
          <w:numId w:val="5"/>
        </w:numPr>
        <w:ind w:left="993" w:hanging="284"/>
        <w:rPr>
          <w:bCs/>
          <w:i/>
          <w:szCs w:val="22"/>
        </w:rPr>
      </w:pPr>
      <w:r>
        <w:rPr>
          <w:szCs w:val="22"/>
        </w:rPr>
        <w:t xml:space="preserve">6 March 2015: additional information provided </w:t>
      </w:r>
      <w:r w:rsidR="009A2E18">
        <w:rPr>
          <w:szCs w:val="22"/>
        </w:rPr>
        <w:t xml:space="preserve">by the sponsor </w:t>
      </w:r>
      <w:r>
        <w:rPr>
          <w:szCs w:val="22"/>
        </w:rPr>
        <w:t>on proposed subsidised access to pembrolizumab for ipilimumab-refractory patients via a funding arrangement from the sponsor</w:t>
      </w:r>
      <w:r w:rsidR="00B905CF">
        <w:rPr>
          <w:szCs w:val="22"/>
        </w:rPr>
        <w:t xml:space="preserve"> (2 pages)</w:t>
      </w:r>
      <w:r>
        <w:rPr>
          <w:szCs w:val="22"/>
        </w:rPr>
        <w:t>.</w:t>
      </w:r>
    </w:p>
    <w:p w:rsidR="00CE10A1" w:rsidRDefault="00CE10A1" w:rsidP="00CE10A1">
      <w:pPr>
        <w:widowControl/>
        <w:ind w:left="709"/>
        <w:rPr>
          <w:szCs w:val="22"/>
        </w:rPr>
      </w:pPr>
      <w:r w:rsidRPr="00C301DD">
        <w:rPr>
          <w:szCs w:val="22"/>
        </w:rPr>
        <w:t xml:space="preserve">This was in addition to </w:t>
      </w:r>
      <w:r w:rsidR="002762DC">
        <w:rPr>
          <w:szCs w:val="22"/>
        </w:rPr>
        <w:t>five</w:t>
      </w:r>
      <w:r w:rsidRPr="00C301DD">
        <w:rPr>
          <w:szCs w:val="22"/>
        </w:rPr>
        <w:t xml:space="preserve"> meetings </w:t>
      </w:r>
      <w:r w:rsidR="00BF23CB">
        <w:rPr>
          <w:szCs w:val="22"/>
        </w:rPr>
        <w:t xml:space="preserve">with the Department before the submission was lodged </w:t>
      </w:r>
      <w:r>
        <w:rPr>
          <w:szCs w:val="22"/>
        </w:rPr>
        <w:t>(3</w:t>
      </w:r>
      <w:r w:rsidR="00BF23CB">
        <w:rPr>
          <w:szCs w:val="22"/>
        </w:rPr>
        <w:t> </w:t>
      </w:r>
      <w:r>
        <w:rPr>
          <w:szCs w:val="22"/>
        </w:rPr>
        <w:t>December</w:t>
      </w:r>
      <w:r w:rsidR="00BF23CB">
        <w:rPr>
          <w:szCs w:val="22"/>
        </w:rPr>
        <w:t> </w:t>
      </w:r>
      <w:r>
        <w:rPr>
          <w:szCs w:val="22"/>
        </w:rPr>
        <w:t>2013, 13</w:t>
      </w:r>
      <w:r w:rsidR="00BF23CB">
        <w:rPr>
          <w:szCs w:val="22"/>
        </w:rPr>
        <w:t> May 2014, 27 August </w:t>
      </w:r>
      <w:r>
        <w:rPr>
          <w:szCs w:val="22"/>
        </w:rPr>
        <w:t>2014, 28</w:t>
      </w:r>
      <w:r w:rsidR="00BF23CB">
        <w:rPr>
          <w:szCs w:val="22"/>
        </w:rPr>
        <w:t> August </w:t>
      </w:r>
      <w:r>
        <w:rPr>
          <w:szCs w:val="22"/>
        </w:rPr>
        <w:t xml:space="preserve">2014, </w:t>
      </w:r>
      <w:r w:rsidR="009A2E18">
        <w:rPr>
          <w:szCs w:val="22"/>
        </w:rPr>
        <w:t xml:space="preserve">and </w:t>
      </w:r>
      <w:r>
        <w:rPr>
          <w:szCs w:val="22"/>
        </w:rPr>
        <w:t>5</w:t>
      </w:r>
      <w:r w:rsidR="00BF23CB">
        <w:rPr>
          <w:szCs w:val="22"/>
        </w:rPr>
        <w:t> September </w:t>
      </w:r>
      <w:r>
        <w:rPr>
          <w:szCs w:val="22"/>
        </w:rPr>
        <w:t>2014) and two</w:t>
      </w:r>
      <w:r w:rsidRPr="00C301DD">
        <w:rPr>
          <w:szCs w:val="22"/>
        </w:rPr>
        <w:t xml:space="preserve"> post-submission meeting</w:t>
      </w:r>
      <w:r>
        <w:rPr>
          <w:szCs w:val="22"/>
        </w:rPr>
        <w:t>s (10</w:t>
      </w:r>
      <w:r w:rsidR="00BF23CB">
        <w:rPr>
          <w:szCs w:val="22"/>
        </w:rPr>
        <w:t> December 2014 and 2 </w:t>
      </w:r>
      <w:r>
        <w:rPr>
          <w:szCs w:val="22"/>
        </w:rPr>
        <w:t>March</w:t>
      </w:r>
      <w:r w:rsidR="00BF23CB">
        <w:rPr>
          <w:szCs w:val="22"/>
        </w:rPr>
        <w:t> </w:t>
      </w:r>
      <w:r>
        <w:rPr>
          <w:szCs w:val="22"/>
        </w:rPr>
        <w:t>2015)</w:t>
      </w:r>
      <w:r w:rsidRPr="00C301DD">
        <w:rPr>
          <w:szCs w:val="22"/>
        </w:rPr>
        <w:t xml:space="preserve"> between the </w:t>
      </w:r>
      <w:r>
        <w:rPr>
          <w:szCs w:val="22"/>
        </w:rPr>
        <w:t>s</w:t>
      </w:r>
      <w:r w:rsidRPr="00C301DD">
        <w:rPr>
          <w:szCs w:val="22"/>
        </w:rPr>
        <w:t>ponsor and the Department.</w:t>
      </w:r>
    </w:p>
    <w:p w:rsidR="00CE10A1" w:rsidRDefault="00CE10A1" w:rsidP="00CE10A1">
      <w:pPr>
        <w:widowControl/>
        <w:rPr>
          <w:szCs w:val="22"/>
        </w:rPr>
      </w:pPr>
    </w:p>
    <w:p w:rsidR="00CE10A1" w:rsidRDefault="00934582" w:rsidP="00CE10A1">
      <w:pPr>
        <w:pStyle w:val="ListParagraph"/>
        <w:widowControl/>
        <w:numPr>
          <w:ilvl w:val="1"/>
          <w:numId w:val="1"/>
        </w:numPr>
        <w:ind w:left="709" w:hanging="709"/>
        <w:rPr>
          <w:bCs/>
          <w:szCs w:val="22"/>
        </w:rPr>
      </w:pPr>
      <w:r>
        <w:rPr>
          <w:szCs w:val="22"/>
        </w:rPr>
        <w:lastRenderedPageBreak/>
        <w:t>T</w:t>
      </w:r>
      <w:r w:rsidR="00CE10A1" w:rsidRPr="00C301DD">
        <w:rPr>
          <w:szCs w:val="22"/>
        </w:rPr>
        <w:t xml:space="preserve">he PBAC </w:t>
      </w:r>
      <w:r>
        <w:rPr>
          <w:szCs w:val="22"/>
        </w:rPr>
        <w:t xml:space="preserve">appreciated </w:t>
      </w:r>
      <w:r w:rsidR="00CE10A1" w:rsidRPr="00C301DD">
        <w:rPr>
          <w:szCs w:val="22"/>
        </w:rPr>
        <w:t xml:space="preserve">that </w:t>
      </w:r>
      <w:r>
        <w:rPr>
          <w:szCs w:val="22"/>
        </w:rPr>
        <w:t xml:space="preserve">randomised trial data </w:t>
      </w:r>
      <w:r w:rsidR="00E43A60">
        <w:rPr>
          <w:szCs w:val="22"/>
        </w:rPr>
        <w:t xml:space="preserve">directly comparing pembrolizumab with ipilimumab in ipilimumab-naïve patients (KN-006) </w:t>
      </w:r>
      <w:r>
        <w:rPr>
          <w:szCs w:val="22"/>
        </w:rPr>
        <w:t xml:space="preserve">was eventually revealed </w:t>
      </w:r>
      <w:r w:rsidR="00BB6F83">
        <w:rPr>
          <w:szCs w:val="22"/>
        </w:rPr>
        <w:t xml:space="preserve">late in </w:t>
      </w:r>
      <w:r>
        <w:rPr>
          <w:szCs w:val="22"/>
        </w:rPr>
        <w:t>the process.  However</w:t>
      </w:r>
      <w:r w:rsidR="00CE10A1">
        <w:rPr>
          <w:szCs w:val="22"/>
        </w:rPr>
        <w:t>,</w:t>
      </w:r>
      <w:r w:rsidR="00CE10A1" w:rsidRPr="00C301DD">
        <w:rPr>
          <w:szCs w:val="22"/>
        </w:rPr>
        <w:t xml:space="preserve"> the Committee considered that the volume </w:t>
      </w:r>
      <w:r w:rsidR="00E43A60">
        <w:rPr>
          <w:szCs w:val="22"/>
        </w:rPr>
        <w:t xml:space="preserve">and timing of provision </w:t>
      </w:r>
      <w:r w:rsidR="00CE10A1" w:rsidRPr="00C301DD">
        <w:rPr>
          <w:szCs w:val="22"/>
        </w:rPr>
        <w:t xml:space="preserve">of information was counterproductive as the new data could not be extensively evaluated nor was it translated into an appropriate </w:t>
      </w:r>
      <w:r w:rsidR="00A51933">
        <w:rPr>
          <w:szCs w:val="22"/>
        </w:rPr>
        <w:t xml:space="preserve">modelled </w:t>
      </w:r>
      <w:r w:rsidR="00CE10A1" w:rsidRPr="00C301DD">
        <w:rPr>
          <w:szCs w:val="22"/>
        </w:rPr>
        <w:t xml:space="preserve">economic </w:t>
      </w:r>
      <w:r w:rsidR="00A51933">
        <w:rPr>
          <w:szCs w:val="22"/>
        </w:rPr>
        <w:t>evaluation</w:t>
      </w:r>
      <w:r w:rsidR="00CE10A1" w:rsidRPr="00C301DD">
        <w:rPr>
          <w:szCs w:val="22"/>
        </w:rPr>
        <w:t>.</w:t>
      </w:r>
      <w:r w:rsidR="00CE10A1">
        <w:rPr>
          <w:szCs w:val="22"/>
        </w:rPr>
        <w:t xml:space="preserve">  </w:t>
      </w:r>
      <w:r w:rsidR="00CE10A1" w:rsidRPr="00975603">
        <w:rPr>
          <w:szCs w:val="22"/>
        </w:rPr>
        <w:t>The provision of extraordinarily large post-submission documents had placed an unreasonable pressure on the PBAC’s supporting processes</w:t>
      </w:r>
      <w:r w:rsidR="0032121E">
        <w:rPr>
          <w:szCs w:val="22"/>
        </w:rPr>
        <w:t>, and evaluation capacity</w:t>
      </w:r>
      <w:r w:rsidR="00CE10A1" w:rsidRPr="00975603">
        <w:rPr>
          <w:szCs w:val="22"/>
        </w:rPr>
        <w:t xml:space="preserve">, particularly just </w:t>
      </w:r>
      <w:r w:rsidR="00E43A60">
        <w:rPr>
          <w:szCs w:val="22"/>
        </w:rPr>
        <w:t xml:space="preserve">prior to </w:t>
      </w:r>
      <w:r w:rsidR="00CE10A1" w:rsidRPr="00975603">
        <w:rPr>
          <w:szCs w:val="22"/>
        </w:rPr>
        <w:t>the PBAC meeting.</w:t>
      </w:r>
      <w:r w:rsidR="00E43A60">
        <w:rPr>
          <w:szCs w:val="22"/>
        </w:rPr>
        <w:t xml:space="preserve">  As a consequence, there was insufficient time to comprehensively evaluate all the material provided, and address relevant matters such as the open-label design, the potential for differences in drop-out rates between the trial arms</w:t>
      </w:r>
      <w:r w:rsidR="0032121E">
        <w:rPr>
          <w:szCs w:val="22"/>
        </w:rPr>
        <w:t>,</w:t>
      </w:r>
      <w:r w:rsidR="00E43A60">
        <w:rPr>
          <w:szCs w:val="22"/>
        </w:rPr>
        <w:t xml:space="preserve"> and the difference between the </w:t>
      </w:r>
      <w:r w:rsidR="0032121E">
        <w:rPr>
          <w:szCs w:val="22"/>
        </w:rPr>
        <w:t xml:space="preserve">pembrolizumab </w:t>
      </w:r>
      <w:r w:rsidR="00E43A60">
        <w:rPr>
          <w:szCs w:val="22"/>
        </w:rPr>
        <w:t>dosage regimen</w:t>
      </w:r>
      <w:r w:rsidR="0032121E">
        <w:rPr>
          <w:szCs w:val="22"/>
        </w:rPr>
        <w:t>s</w:t>
      </w:r>
      <w:r w:rsidR="00E43A60">
        <w:rPr>
          <w:szCs w:val="22"/>
        </w:rPr>
        <w:t xml:space="preserve"> in KN-006 and the dosage regimen requested for TGA approval and PBS subsidy.  Also, since much of the material relating to KN-006 was accepted as being provided on a confidential basis, it would be redacted from the published version of the </w:t>
      </w:r>
      <w:r w:rsidR="00904114">
        <w:rPr>
          <w:szCs w:val="22"/>
        </w:rPr>
        <w:t xml:space="preserve">PBAC Outcomes document and of the </w:t>
      </w:r>
      <w:r w:rsidR="00E43A60">
        <w:rPr>
          <w:szCs w:val="22"/>
        </w:rPr>
        <w:t>Public Summary Document</w:t>
      </w:r>
      <w:r w:rsidR="00904114">
        <w:rPr>
          <w:szCs w:val="22"/>
        </w:rPr>
        <w:t>,</w:t>
      </w:r>
      <w:r w:rsidR="00BB6F83">
        <w:rPr>
          <w:szCs w:val="22"/>
        </w:rPr>
        <w:t xml:space="preserve"> unless </w:t>
      </w:r>
      <w:r w:rsidR="000111F4">
        <w:rPr>
          <w:szCs w:val="22"/>
        </w:rPr>
        <w:t xml:space="preserve">permission is granted by the sponsor or </w:t>
      </w:r>
      <w:r w:rsidR="00904114">
        <w:rPr>
          <w:szCs w:val="22"/>
        </w:rPr>
        <w:t xml:space="preserve">it is </w:t>
      </w:r>
      <w:r w:rsidR="00BB6F83">
        <w:rPr>
          <w:szCs w:val="22"/>
        </w:rPr>
        <w:t>published elsewhere between the time of the PBAC meeting and the</w:t>
      </w:r>
      <w:r w:rsidR="00904114">
        <w:rPr>
          <w:szCs w:val="22"/>
        </w:rPr>
        <w:t>se</w:t>
      </w:r>
      <w:r w:rsidR="00BB6F83">
        <w:rPr>
          <w:szCs w:val="22"/>
        </w:rPr>
        <w:t xml:space="preserve"> </w:t>
      </w:r>
      <w:r w:rsidR="00904114">
        <w:rPr>
          <w:szCs w:val="22"/>
        </w:rPr>
        <w:t>PBAC-derived publications</w:t>
      </w:r>
      <w:r w:rsidR="00E43A60">
        <w:rPr>
          <w:szCs w:val="22"/>
        </w:rPr>
        <w:t>.</w:t>
      </w:r>
    </w:p>
    <w:p w:rsidR="00A51933" w:rsidRPr="00A51933" w:rsidRDefault="00A51933" w:rsidP="00A51933">
      <w:pPr>
        <w:pStyle w:val="Heading2"/>
        <w:rPr>
          <w:b w:val="0"/>
          <w:szCs w:val="22"/>
        </w:rPr>
      </w:pPr>
      <w:bookmarkStart w:id="10" w:name="_Toc409607366"/>
    </w:p>
    <w:p w:rsidR="00A51933" w:rsidRPr="00A51933" w:rsidRDefault="00A51933" w:rsidP="00A51933">
      <w:pPr>
        <w:pStyle w:val="Heading2"/>
        <w:ind w:left="709"/>
        <w:rPr>
          <w:b w:val="0"/>
          <w:i/>
          <w:szCs w:val="22"/>
        </w:rPr>
      </w:pPr>
      <w:r w:rsidRPr="00A51933">
        <w:rPr>
          <w:b w:val="0"/>
          <w:i/>
          <w:szCs w:val="22"/>
        </w:rPr>
        <w:t>For more detail on PBAC’s view, see section 7 “PBAC outcome”</w:t>
      </w:r>
    </w:p>
    <w:p w:rsidR="006249D4" w:rsidRPr="00DE0D7F" w:rsidRDefault="006249D4" w:rsidP="002C2775">
      <w:pPr>
        <w:pStyle w:val="Heading2"/>
        <w:rPr>
          <w:b w:val="0"/>
          <w:szCs w:val="22"/>
        </w:rPr>
      </w:pPr>
    </w:p>
    <w:p w:rsidR="00B60939" w:rsidRPr="00DE0D7F" w:rsidRDefault="00B60939" w:rsidP="002C2775">
      <w:pPr>
        <w:pStyle w:val="Heading2"/>
        <w:rPr>
          <w:i/>
          <w:szCs w:val="22"/>
          <w:u w:val="single"/>
        </w:rPr>
      </w:pPr>
      <w:r w:rsidRPr="00DE0D7F">
        <w:rPr>
          <w:i/>
          <w:szCs w:val="22"/>
          <w:u w:val="single"/>
        </w:rPr>
        <w:t xml:space="preserve">Clinical </w:t>
      </w:r>
      <w:r w:rsidR="00DE0D7F" w:rsidRPr="00DE0D7F">
        <w:rPr>
          <w:i/>
          <w:szCs w:val="22"/>
          <w:u w:val="single"/>
        </w:rPr>
        <w:t>comparisons</w:t>
      </w:r>
      <w:bookmarkEnd w:id="10"/>
    </w:p>
    <w:p w:rsidR="00DE0D7F" w:rsidRPr="00DE0D7F" w:rsidRDefault="00DE0D7F" w:rsidP="00DE0D7F">
      <w:pPr>
        <w:rPr>
          <w:szCs w:val="22"/>
        </w:rPr>
      </w:pPr>
    </w:p>
    <w:p w:rsidR="00DE0D7F" w:rsidRPr="00DE0D7F" w:rsidRDefault="00DE0D7F" w:rsidP="00DE0D7F">
      <w:pPr>
        <w:rPr>
          <w:i/>
          <w:szCs w:val="22"/>
          <w:u w:val="single"/>
        </w:rPr>
      </w:pPr>
      <w:r w:rsidRPr="00DE0D7F">
        <w:rPr>
          <w:i/>
          <w:szCs w:val="22"/>
          <w:u w:val="single"/>
        </w:rPr>
        <w:t xml:space="preserve">Original </w:t>
      </w:r>
      <w:r>
        <w:rPr>
          <w:i/>
          <w:szCs w:val="22"/>
          <w:u w:val="single"/>
        </w:rPr>
        <w:t>s</w:t>
      </w:r>
      <w:r w:rsidRPr="00DE0D7F">
        <w:rPr>
          <w:i/>
          <w:szCs w:val="22"/>
          <w:u w:val="single"/>
        </w:rPr>
        <w:t>ubmission (5 November 2014)</w:t>
      </w:r>
    </w:p>
    <w:p w:rsidR="006249D4" w:rsidRDefault="006249D4" w:rsidP="006249D4"/>
    <w:p w:rsidR="00DE0D7F" w:rsidRPr="00DE0D7F" w:rsidRDefault="00DE0D7F" w:rsidP="006249D4">
      <w:pPr>
        <w:rPr>
          <w:b/>
          <w:i/>
        </w:rPr>
      </w:pPr>
      <w:r w:rsidRPr="00DE0D7F">
        <w:rPr>
          <w:b/>
          <w:i/>
        </w:rPr>
        <w:t>Clinical trials</w:t>
      </w:r>
    </w:p>
    <w:p w:rsidR="00DE0D7F" w:rsidRPr="006249D4" w:rsidRDefault="00DE0D7F" w:rsidP="006249D4"/>
    <w:p w:rsidR="006249D4" w:rsidRPr="00FB00EA" w:rsidRDefault="006249D4" w:rsidP="006249D4">
      <w:pPr>
        <w:pStyle w:val="ListParagraph"/>
        <w:widowControl/>
        <w:numPr>
          <w:ilvl w:val="1"/>
          <w:numId w:val="1"/>
        </w:numPr>
        <w:rPr>
          <w:szCs w:val="22"/>
        </w:rPr>
      </w:pPr>
      <w:r w:rsidRPr="00FB00EA">
        <w:rPr>
          <w:szCs w:val="22"/>
        </w:rPr>
        <w:t xml:space="preserve">The </w:t>
      </w:r>
      <w:r w:rsidR="00DE0D7F">
        <w:rPr>
          <w:szCs w:val="22"/>
        </w:rPr>
        <w:t xml:space="preserve">original </w:t>
      </w:r>
      <w:r w:rsidRPr="00FB00EA">
        <w:rPr>
          <w:szCs w:val="22"/>
        </w:rPr>
        <w:t xml:space="preserve">submission was based on selected subgroups from an uncontrolled, non-comparative phase 1 multi-cohort pembrolizumab trial (KN-001) and a single arm from a randomised, double blind trial of ipilimumab (Hodi 2010). </w:t>
      </w:r>
      <w:r w:rsidR="00DE0D7F">
        <w:rPr>
          <w:szCs w:val="22"/>
        </w:rPr>
        <w:t xml:space="preserve"> </w:t>
      </w:r>
      <w:r>
        <w:rPr>
          <w:szCs w:val="22"/>
        </w:rPr>
        <w:t xml:space="preserve">This </w:t>
      </w:r>
      <w:r w:rsidR="00DE0D7F">
        <w:rPr>
          <w:szCs w:val="22"/>
        </w:rPr>
        <w:t xml:space="preserve">clinical comparison </w:t>
      </w:r>
      <w:r>
        <w:rPr>
          <w:szCs w:val="22"/>
        </w:rPr>
        <w:t>remain</w:t>
      </w:r>
      <w:r w:rsidR="00DE0D7F">
        <w:rPr>
          <w:szCs w:val="22"/>
        </w:rPr>
        <w:t>ed</w:t>
      </w:r>
      <w:r>
        <w:rPr>
          <w:szCs w:val="22"/>
        </w:rPr>
        <w:t xml:space="preserve"> the basis for the </w:t>
      </w:r>
      <w:r w:rsidR="00DE0D7F">
        <w:rPr>
          <w:szCs w:val="22"/>
        </w:rPr>
        <w:t xml:space="preserve">different versions of the modelled </w:t>
      </w:r>
      <w:r>
        <w:rPr>
          <w:szCs w:val="22"/>
        </w:rPr>
        <w:t>economic e</w:t>
      </w:r>
      <w:r w:rsidR="00DE0D7F">
        <w:rPr>
          <w:szCs w:val="22"/>
        </w:rPr>
        <w:t>valuation provided for PBAC consideration.</w:t>
      </w:r>
    </w:p>
    <w:p w:rsidR="006249D4" w:rsidRPr="00FB00EA" w:rsidRDefault="006249D4" w:rsidP="006249D4">
      <w:pPr>
        <w:widowControl/>
        <w:rPr>
          <w:szCs w:val="22"/>
        </w:rPr>
      </w:pPr>
    </w:p>
    <w:p w:rsidR="006249D4" w:rsidRPr="006249D4" w:rsidRDefault="006249D4" w:rsidP="006249D4">
      <w:pPr>
        <w:pStyle w:val="ListParagraph"/>
        <w:widowControl/>
        <w:numPr>
          <w:ilvl w:val="1"/>
          <w:numId w:val="1"/>
        </w:numPr>
        <w:rPr>
          <w:szCs w:val="22"/>
        </w:rPr>
      </w:pPr>
      <w:r w:rsidRPr="006249D4">
        <w:rPr>
          <w:szCs w:val="22"/>
        </w:rPr>
        <w:t>Details of the trials presented in the submission are provided in the table below.</w:t>
      </w:r>
    </w:p>
    <w:p w:rsidR="006249D4" w:rsidRPr="00DE0D7F" w:rsidRDefault="006249D4" w:rsidP="00DE0D7F">
      <w:pPr>
        <w:widowControl/>
        <w:jc w:val="left"/>
        <w:rPr>
          <w:rStyle w:val="CommentReference"/>
          <w:rFonts w:ascii="Arial" w:hAnsi="Arial"/>
          <w:b w:val="0"/>
          <w:sz w:val="22"/>
          <w:szCs w:val="22"/>
        </w:rPr>
      </w:pPr>
    </w:p>
    <w:p w:rsidR="00CA498A" w:rsidRDefault="00CA498A">
      <w:pPr>
        <w:widowControl/>
        <w:jc w:val="left"/>
        <w:rPr>
          <w:rStyle w:val="CommentReference"/>
        </w:rPr>
      </w:pPr>
      <w:r>
        <w:rPr>
          <w:rStyle w:val="CommentReference"/>
        </w:rPr>
        <w:br w:type="page"/>
      </w:r>
    </w:p>
    <w:p w:rsidR="006249D4" w:rsidRDefault="006249D4" w:rsidP="006249D4">
      <w:pPr>
        <w:widowControl/>
        <w:ind w:firstLine="720"/>
        <w:jc w:val="left"/>
        <w:rPr>
          <w:rStyle w:val="CommentReference"/>
        </w:rPr>
      </w:pPr>
      <w:r w:rsidRPr="000812CA">
        <w:rPr>
          <w:rStyle w:val="CommentReference"/>
        </w:rPr>
        <w:lastRenderedPageBreak/>
        <w:t>Trials and associated reports presented in the submission</w:t>
      </w:r>
    </w:p>
    <w:tbl>
      <w:tblPr>
        <w:tblW w:w="468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w:tblDescription w:val="Trials and associated reports presented in the submission"/>
      </w:tblPr>
      <w:tblGrid>
        <w:gridCol w:w="874"/>
        <w:gridCol w:w="6034"/>
        <w:gridCol w:w="1593"/>
      </w:tblGrid>
      <w:tr w:rsidR="006249D4" w:rsidRPr="004E2ADC" w:rsidTr="006249D4">
        <w:tc>
          <w:tcPr>
            <w:tcW w:w="514" w:type="pct"/>
          </w:tcPr>
          <w:p w:rsidR="006249D4" w:rsidRPr="004E2ADC" w:rsidRDefault="006249D4" w:rsidP="006249D4">
            <w:pPr>
              <w:jc w:val="left"/>
              <w:rPr>
                <w:rFonts w:ascii="Arial Narrow" w:hAnsi="Arial Narrow"/>
                <w:b/>
                <w:sz w:val="20"/>
              </w:rPr>
            </w:pPr>
            <w:r w:rsidRPr="004E2ADC">
              <w:rPr>
                <w:rFonts w:ascii="Arial Narrow" w:hAnsi="Arial Narrow"/>
                <w:b/>
                <w:sz w:val="20"/>
              </w:rPr>
              <w:t>Trial ID</w:t>
            </w:r>
          </w:p>
        </w:tc>
        <w:tc>
          <w:tcPr>
            <w:tcW w:w="3549" w:type="pct"/>
          </w:tcPr>
          <w:p w:rsidR="006249D4" w:rsidRPr="004E2ADC" w:rsidRDefault="006249D4" w:rsidP="006249D4">
            <w:pPr>
              <w:jc w:val="center"/>
              <w:rPr>
                <w:rFonts w:ascii="Arial Narrow" w:hAnsi="Arial Narrow"/>
                <w:b/>
                <w:sz w:val="20"/>
              </w:rPr>
            </w:pPr>
            <w:r w:rsidRPr="004E2ADC">
              <w:rPr>
                <w:rFonts w:ascii="Arial Narrow" w:hAnsi="Arial Narrow"/>
                <w:b/>
                <w:sz w:val="20"/>
              </w:rPr>
              <w:t>Protocol title/ Publication title</w:t>
            </w:r>
          </w:p>
        </w:tc>
        <w:tc>
          <w:tcPr>
            <w:tcW w:w="937" w:type="pct"/>
          </w:tcPr>
          <w:p w:rsidR="006249D4" w:rsidRPr="004E2ADC" w:rsidRDefault="006249D4" w:rsidP="006249D4">
            <w:pPr>
              <w:jc w:val="center"/>
              <w:rPr>
                <w:rFonts w:ascii="Arial Narrow" w:hAnsi="Arial Narrow"/>
                <w:b/>
                <w:sz w:val="20"/>
              </w:rPr>
            </w:pPr>
            <w:r w:rsidRPr="004E2ADC">
              <w:rPr>
                <w:rFonts w:ascii="Arial Narrow" w:hAnsi="Arial Narrow"/>
                <w:b/>
                <w:sz w:val="20"/>
              </w:rPr>
              <w:t>Publication citation</w:t>
            </w:r>
          </w:p>
        </w:tc>
      </w:tr>
      <w:tr w:rsidR="006249D4" w:rsidRPr="004E2ADC" w:rsidTr="006249D4">
        <w:tc>
          <w:tcPr>
            <w:tcW w:w="5000" w:type="pct"/>
            <w:gridSpan w:val="3"/>
          </w:tcPr>
          <w:p w:rsidR="006249D4" w:rsidRPr="004E2ADC" w:rsidRDefault="006249D4" w:rsidP="006249D4">
            <w:pPr>
              <w:jc w:val="left"/>
              <w:rPr>
                <w:rFonts w:ascii="Arial Narrow" w:hAnsi="Arial Narrow"/>
                <w:b/>
                <w:sz w:val="20"/>
              </w:rPr>
            </w:pPr>
            <w:r>
              <w:rPr>
                <w:rFonts w:ascii="Arial Narrow" w:hAnsi="Arial Narrow"/>
                <w:b/>
                <w:sz w:val="20"/>
              </w:rPr>
              <w:t>Selected trials</w:t>
            </w:r>
          </w:p>
        </w:tc>
      </w:tr>
      <w:tr w:rsidR="006249D4" w:rsidRPr="004E2ADC" w:rsidTr="006249D4">
        <w:tc>
          <w:tcPr>
            <w:tcW w:w="514" w:type="pct"/>
          </w:tcPr>
          <w:p w:rsidR="006249D4" w:rsidRPr="004E2ADC" w:rsidRDefault="006249D4" w:rsidP="006249D4">
            <w:pPr>
              <w:jc w:val="left"/>
              <w:rPr>
                <w:rFonts w:ascii="Arial Narrow" w:hAnsi="Arial Narrow"/>
                <w:sz w:val="20"/>
              </w:rPr>
            </w:pPr>
            <w:r>
              <w:rPr>
                <w:rFonts w:ascii="Arial Narrow" w:hAnsi="Arial Narrow"/>
                <w:sz w:val="20"/>
              </w:rPr>
              <w:t>KN-001</w:t>
            </w:r>
          </w:p>
        </w:tc>
        <w:tc>
          <w:tcPr>
            <w:tcW w:w="3549" w:type="pct"/>
          </w:tcPr>
          <w:p w:rsidR="006249D4" w:rsidRDefault="006249D4" w:rsidP="006249D4">
            <w:pPr>
              <w:autoSpaceDE w:val="0"/>
              <w:autoSpaceDN w:val="0"/>
              <w:adjustRightInd w:val="0"/>
              <w:jc w:val="left"/>
              <w:rPr>
                <w:rFonts w:ascii="Arial Narrow" w:hAnsi="Arial Narrow"/>
                <w:snapToGrid/>
                <w:sz w:val="20"/>
                <w:lang w:val="en-US" w:eastAsia="en-AU"/>
              </w:rPr>
            </w:pPr>
            <w:r w:rsidRPr="00624684">
              <w:rPr>
                <w:rFonts w:ascii="Arial Narrow" w:hAnsi="Arial Narrow"/>
                <w:snapToGrid/>
                <w:sz w:val="20"/>
                <w:lang w:val="en-US" w:eastAsia="en-AU"/>
              </w:rPr>
              <w:t>Phase I Study of Single Agent MK-3475 in Patients with Progressive Locally Advanced or Metastatic Carcinoma, Melanoma, and Non- Small Cell Lung Carcinoma.</w:t>
            </w:r>
          </w:p>
          <w:p w:rsidR="006249D4" w:rsidRDefault="006249D4" w:rsidP="006249D4">
            <w:pPr>
              <w:autoSpaceDE w:val="0"/>
              <w:autoSpaceDN w:val="0"/>
              <w:adjustRightInd w:val="0"/>
              <w:jc w:val="left"/>
              <w:rPr>
                <w:rFonts w:ascii="Arial Narrow" w:hAnsi="Arial Narrow"/>
                <w:snapToGrid/>
                <w:sz w:val="20"/>
                <w:lang w:val="en-US" w:eastAsia="en-AU"/>
              </w:rPr>
            </w:pPr>
          </w:p>
          <w:p w:rsidR="006249D4" w:rsidRPr="00AC65B5" w:rsidRDefault="006249D4" w:rsidP="006249D4">
            <w:pPr>
              <w:autoSpaceDE w:val="0"/>
              <w:autoSpaceDN w:val="0"/>
              <w:adjustRightInd w:val="0"/>
              <w:jc w:val="left"/>
              <w:rPr>
                <w:rFonts w:ascii="Arial Narrow" w:hAnsi="Arial Narrow"/>
                <w:snapToGrid/>
                <w:sz w:val="20"/>
                <w:u w:val="single"/>
                <w:lang w:val="en-US" w:eastAsia="en-AU"/>
              </w:rPr>
            </w:pPr>
            <w:r w:rsidRPr="00AC65B5">
              <w:rPr>
                <w:rFonts w:ascii="Arial Narrow" w:hAnsi="Arial Narrow"/>
                <w:snapToGrid/>
                <w:sz w:val="20"/>
                <w:u w:val="single"/>
                <w:lang w:val="en-US" w:eastAsia="en-AU"/>
              </w:rPr>
              <w:t>Part B1:</w:t>
            </w:r>
          </w:p>
          <w:p w:rsidR="006249D4" w:rsidRPr="00AC65B5" w:rsidRDefault="006249D4" w:rsidP="006249D4">
            <w:pPr>
              <w:autoSpaceDE w:val="0"/>
              <w:autoSpaceDN w:val="0"/>
              <w:adjustRightInd w:val="0"/>
              <w:jc w:val="left"/>
              <w:rPr>
                <w:rFonts w:ascii="Arial Narrow" w:hAnsi="Arial Narrow" w:cs="Times"/>
                <w:snapToGrid/>
                <w:sz w:val="20"/>
                <w:lang w:val="en-US" w:eastAsia="en-AU"/>
              </w:rPr>
            </w:pPr>
            <w:r w:rsidRPr="00AC65B5">
              <w:rPr>
                <w:rFonts w:ascii="Arial Narrow" w:hAnsi="Arial Narrow"/>
                <w:snapToGrid/>
                <w:sz w:val="20"/>
                <w:lang w:val="en-US" w:eastAsia="en-AU"/>
              </w:rPr>
              <w:t>Ham</w:t>
            </w:r>
            <w:r>
              <w:rPr>
                <w:rFonts w:ascii="Arial Narrow" w:hAnsi="Arial Narrow"/>
                <w:snapToGrid/>
                <w:sz w:val="20"/>
                <w:lang w:val="en-US" w:eastAsia="en-AU"/>
              </w:rPr>
              <w:t>id O, Robert C, Daud A, Hodi FS</w:t>
            </w:r>
            <w:r w:rsidRPr="00AC65B5">
              <w:rPr>
                <w:rFonts w:ascii="Arial Narrow" w:hAnsi="Arial Narrow"/>
                <w:snapToGrid/>
                <w:sz w:val="20"/>
                <w:lang w:val="en-US" w:eastAsia="en-AU"/>
              </w:rPr>
              <w:t xml:space="preserve"> </w:t>
            </w:r>
            <w:r>
              <w:rPr>
                <w:rFonts w:ascii="Arial Narrow" w:hAnsi="Arial Narrow"/>
                <w:snapToGrid/>
                <w:sz w:val="20"/>
                <w:lang w:val="en-US" w:eastAsia="en-AU"/>
              </w:rPr>
              <w:t>et al.</w:t>
            </w:r>
            <w:r w:rsidRPr="00AC65B5">
              <w:rPr>
                <w:rFonts w:ascii="Arial Narrow" w:hAnsi="Arial Narrow"/>
                <w:snapToGrid/>
                <w:sz w:val="20"/>
                <w:lang w:val="en-US" w:eastAsia="en-AU"/>
              </w:rPr>
              <w:t xml:space="preserve"> Safety and Tumour Responses with Lambrolizumab (Anti-PD-1) in Melanoma. </w:t>
            </w:r>
          </w:p>
          <w:p w:rsidR="006249D4" w:rsidRDefault="006249D4" w:rsidP="006249D4">
            <w:pPr>
              <w:autoSpaceDE w:val="0"/>
              <w:autoSpaceDN w:val="0"/>
              <w:adjustRightInd w:val="0"/>
              <w:jc w:val="left"/>
              <w:rPr>
                <w:rFonts w:ascii="Arial Narrow" w:hAnsi="Arial Narrow" w:cs="Times"/>
                <w:snapToGrid/>
                <w:sz w:val="20"/>
                <w:u w:val="single"/>
                <w:lang w:val="en-US" w:eastAsia="en-AU"/>
              </w:rPr>
            </w:pPr>
          </w:p>
          <w:p w:rsidR="006249D4" w:rsidRPr="00AC65B5" w:rsidRDefault="006249D4" w:rsidP="006249D4">
            <w:pPr>
              <w:autoSpaceDE w:val="0"/>
              <w:autoSpaceDN w:val="0"/>
              <w:adjustRightInd w:val="0"/>
              <w:jc w:val="left"/>
              <w:rPr>
                <w:rFonts w:ascii="Arial Narrow" w:hAnsi="Arial Narrow" w:cs="Times"/>
                <w:snapToGrid/>
                <w:sz w:val="20"/>
                <w:lang w:val="en-US" w:eastAsia="en-AU"/>
              </w:rPr>
            </w:pPr>
            <w:r w:rsidRPr="00AC65B5">
              <w:rPr>
                <w:rFonts w:ascii="Arial Narrow" w:hAnsi="Arial Narrow" w:cs="Times"/>
                <w:snapToGrid/>
                <w:sz w:val="20"/>
                <w:u w:val="single"/>
                <w:lang w:val="en-US" w:eastAsia="en-AU"/>
              </w:rPr>
              <w:t>Part B2</w:t>
            </w:r>
            <w:r w:rsidRPr="00AC65B5">
              <w:rPr>
                <w:rFonts w:ascii="Arial Narrow" w:hAnsi="Arial Narrow" w:cs="Times"/>
                <w:snapToGrid/>
                <w:sz w:val="20"/>
                <w:lang w:val="en-US" w:eastAsia="en-AU"/>
              </w:rPr>
              <w:t>:</w:t>
            </w:r>
          </w:p>
          <w:p w:rsidR="006249D4" w:rsidRPr="00624684" w:rsidRDefault="006249D4" w:rsidP="006249D4">
            <w:pPr>
              <w:autoSpaceDE w:val="0"/>
              <w:autoSpaceDN w:val="0"/>
              <w:adjustRightInd w:val="0"/>
              <w:jc w:val="left"/>
              <w:rPr>
                <w:rFonts w:ascii="Arial Narrow" w:hAnsi="Arial Narrow" w:cs="Times"/>
                <w:snapToGrid/>
                <w:sz w:val="20"/>
                <w:lang w:val="en-US" w:eastAsia="en-AU"/>
              </w:rPr>
            </w:pPr>
            <w:r w:rsidRPr="00AC65B5">
              <w:rPr>
                <w:rFonts w:ascii="Arial Narrow" w:hAnsi="Arial Narrow"/>
                <w:snapToGrid/>
                <w:sz w:val="20"/>
                <w:lang w:val="en-US" w:eastAsia="en-AU"/>
              </w:rPr>
              <w:t>Robert C</w:t>
            </w:r>
            <w:r>
              <w:rPr>
                <w:rFonts w:ascii="Arial Narrow" w:hAnsi="Arial Narrow"/>
                <w:snapToGrid/>
                <w:sz w:val="20"/>
                <w:lang w:val="en-US" w:eastAsia="en-AU"/>
              </w:rPr>
              <w:t xml:space="preserve">, Ribas A, Wolchok JD, Hodi FS et al.  </w:t>
            </w:r>
            <w:r w:rsidRPr="00AC65B5">
              <w:rPr>
                <w:rFonts w:ascii="Arial Narrow" w:hAnsi="Arial Narrow"/>
                <w:snapToGrid/>
                <w:sz w:val="20"/>
                <w:lang w:val="en-US" w:eastAsia="en-AU"/>
              </w:rPr>
              <w:t>Anti-programmed-deat</w:t>
            </w:r>
            <w:r>
              <w:rPr>
                <w:rFonts w:ascii="Arial Narrow" w:hAnsi="Arial Narrow"/>
                <w:snapToGrid/>
                <w:sz w:val="20"/>
                <w:lang w:val="en-US" w:eastAsia="en-AU"/>
              </w:rPr>
              <w:t>h- receptor-1 treatment with pe</w:t>
            </w:r>
            <w:r w:rsidRPr="00AC65B5">
              <w:rPr>
                <w:rFonts w:ascii="Arial Narrow" w:hAnsi="Arial Narrow"/>
                <w:snapToGrid/>
                <w:sz w:val="20"/>
                <w:lang w:val="en-US" w:eastAsia="en-AU"/>
              </w:rPr>
              <w:t xml:space="preserve">mbrolizumab in ipilimumab-refractory advanced melanoma: a randomised dose-comparison cohort of a phase 1 trial. </w:t>
            </w:r>
          </w:p>
        </w:tc>
        <w:tc>
          <w:tcPr>
            <w:tcW w:w="937" w:type="pct"/>
          </w:tcPr>
          <w:p w:rsidR="006249D4" w:rsidRPr="004E2ADC" w:rsidRDefault="006249D4" w:rsidP="006249D4">
            <w:pPr>
              <w:jc w:val="left"/>
              <w:rPr>
                <w:rFonts w:ascii="Arial Narrow" w:hAnsi="Arial Narrow"/>
                <w:sz w:val="20"/>
              </w:rPr>
            </w:pPr>
            <w:r>
              <w:rPr>
                <w:rFonts w:ascii="Arial Narrow" w:hAnsi="Arial Narrow"/>
                <w:sz w:val="20"/>
              </w:rPr>
              <w:t>May 2014</w:t>
            </w:r>
          </w:p>
          <w:p w:rsidR="006249D4" w:rsidRDefault="006249D4" w:rsidP="006249D4">
            <w:pPr>
              <w:jc w:val="left"/>
              <w:rPr>
                <w:rFonts w:ascii="Arial Narrow" w:hAnsi="Arial Narrow"/>
                <w:b/>
                <w:sz w:val="20"/>
              </w:rPr>
            </w:pPr>
          </w:p>
          <w:p w:rsidR="006249D4" w:rsidRDefault="006249D4" w:rsidP="006249D4">
            <w:pPr>
              <w:jc w:val="left"/>
              <w:rPr>
                <w:rFonts w:ascii="Arial Narrow" w:hAnsi="Arial Narrow"/>
                <w:b/>
                <w:sz w:val="20"/>
              </w:rPr>
            </w:pPr>
          </w:p>
          <w:p w:rsidR="006249D4" w:rsidRDefault="006249D4" w:rsidP="006249D4">
            <w:pPr>
              <w:jc w:val="left"/>
              <w:rPr>
                <w:rFonts w:ascii="Arial Narrow" w:hAnsi="Arial Narrow"/>
                <w:i/>
                <w:snapToGrid/>
                <w:sz w:val="20"/>
                <w:lang w:val="en-US" w:eastAsia="en-AU"/>
              </w:rPr>
            </w:pPr>
          </w:p>
          <w:p w:rsidR="006249D4" w:rsidRDefault="006249D4" w:rsidP="006249D4">
            <w:pPr>
              <w:jc w:val="left"/>
              <w:rPr>
                <w:rFonts w:ascii="Arial Narrow" w:hAnsi="Arial Narrow"/>
                <w:snapToGrid/>
                <w:sz w:val="20"/>
                <w:lang w:val="en-US" w:eastAsia="en-AU"/>
              </w:rPr>
            </w:pPr>
            <w:r w:rsidRPr="00A10370">
              <w:rPr>
                <w:rFonts w:ascii="Arial Narrow" w:hAnsi="Arial Narrow"/>
                <w:i/>
                <w:snapToGrid/>
                <w:sz w:val="20"/>
                <w:lang w:val="en-US" w:eastAsia="en-AU"/>
              </w:rPr>
              <w:t>NEJM</w:t>
            </w:r>
            <w:r>
              <w:rPr>
                <w:rFonts w:ascii="Arial Narrow" w:hAnsi="Arial Narrow"/>
                <w:snapToGrid/>
                <w:sz w:val="20"/>
                <w:lang w:val="en-US" w:eastAsia="en-AU"/>
              </w:rPr>
              <w:t xml:space="preserve"> </w:t>
            </w:r>
            <w:r w:rsidRPr="00AC65B5">
              <w:rPr>
                <w:rFonts w:ascii="Arial Narrow" w:hAnsi="Arial Narrow"/>
                <w:snapToGrid/>
                <w:sz w:val="20"/>
                <w:lang w:val="en-US" w:eastAsia="en-AU"/>
              </w:rPr>
              <w:t>2013; 369: 134-44</w:t>
            </w:r>
          </w:p>
          <w:p w:rsidR="006249D4" w:rsidRDefault="006249D4" w:rsidP="006249D4">
            <w:pPr>
              <w:jc w:val="left"/>
              <w:rPr>
                <w:rFonts w:ascii="Arial Narrow" w:hAnsi="Arial Narrow"/>
                <w:snapToGrid/>
                <w:sz w:val="20"/>
                <w:lang w:val="en-US" w:eastAsia="en-AU"/>
              </w:rPr>
            </w:pPr>
          </w:p>
          <w:p w:rsidR="006249D4" w:rsidRDefault="006249D4" w:rsidP="006249D4">
            <w:pPr>
              <w:jc w:val="left"/>
              <w:rPr>
                <w:rFonts w:ascii="Arial Narrow" w:hAnsi="Arial Narrow"/>
                <w:snapToGrid/>
                <w:sz w:val="20"/>
                <w:lang w:val="en-US" w:eastAsia="en-AU"/>
              </w:rPr>
            </w:pPr>
          </w:p>
          <w:p w:rsidR="006249D4" w:rsidRPr="004E2ADC" w:rsidRDefault="006249D4" w:rsidP="006249D4">
            <w:pPr>
              <w:jc w:val="left"/>
              <w:rPr>
                <w:rFonts w:ascii="Arial Narrow" w:hAnsi="Arial Narrow"/>
                <w:b/>
                <w:sz w:val="20"/>
              </w:rPr>
            </w:pPr>
            <w:r w:rsidRPr="00A10370">
              <w:rPr>
                <w:rFonts w:ascii="Arial Narrow" w:hAnsi="Arial Narrow"/>
                <w:i/>
                <w:snapToGrid/>
                <w:sz w:val="20"/>
                <w:lang w:val="en-US" w:eastAsia="en-AU"/>
              </w:rPr>
              <w:t>Lancet</w:t>
            </w:r>
            <w:r w:rsidRPr="00AC65B5">
              <w:rPr>
                <w:rFonts w:ascii="Arial Narrow" w:hAnsi="Arial Narrow"/>
                <w:snapToGrid/>
                <w:sz w:val="20"/>
                <w:lang w:val="en-US" w:eastAsia="en-AU"/>
              </w:rPr>
              <w:t xml:space="preserve"> 2014; 384: 1109-17</w:t>
            </w:r>
          </w:p>
        </w:tc>
      </w:tr>
      <w:tr w:rsidR="006249D4" w:rsidRPr="004E2ADC" w:rsidTr="006249D4">
        <w:tc>
          <w:tcPr>
            <w:tcW w:w="514" w:type="pct"/>
          </w:tcPr>
          <w:p w:rsidR="006249D4" w:rsidRPr="004E2ADC" w:rsidRDefault="006249D4" w:rsidP="006249D4">
            <w:pPr>
              <w:jc w:val="left"/>
              <w:rPr>
                <w:rFonts w:ascii="Arial Narrow" w:hAnsi="Arial Narrow"/>
                <w:sz w:val="20"/>
              </w:rPr>
            </w:pPr>
            <w:r>
              <w:rPr>
                <w:rFonts w:ascii="Arial Narrow" w:hAnsi="Arial Narrow"/>
                <w:sz w:val="20"/>
              </w:rPr>
              <w:t>Hodi 2010</w:t>
            </w:r>
          </w:p>
        </w:tc>
        <w:tc>
          <w:tcPr>
            <w:tcW w:w="3549" w:type="pct"/>
          </w:tcPr>
          <w:p w:rsidR="006249D4" w:rsidRPr="00624684" w:rsidRDefault="006249D4" w:rsidP="006249D4">
            <w:pPr>
              <w:autoSpaceDE w:val="0"/>
              <w:autoSpaceDN w:val="0"/>
              <w:adjustRightInd w:val="0"/>
              <w:jc w:val="left"/>
              <w:rPr>
                <w:rFonts w:ascii="Arial Narrow" w:hAnsi="Arial Narrow" w:cs="Times"/>
                <w:snapToGrid/>
                <w:sz w:val="20"/>
                <w:lang w:val="en-US" w:eastAsia="en-AU"/>
              </w:rPr>
            </w:pPr>
            <w:r w:rsidRPr="00624684">
              <w:rPr>
                <w:rFonts w:ascii="Arial Narrow" w:hAnsi="Arial Narrow"/>
                <w:snapToGrid/>
                <w:sz w:val="20"/>
                <w:lang w:val="en-US" w:eastAsia="en-AU"/>
              </w:rPr>
              <w:t>F.S Hodi, S.J. O’D</w:t>
            </w:r>
            <w:r>
              <w:rPr>
                <w:rFonts w:ascii="Arial Narrow" w:hAnsi="Arial Narrow"/>
                <w:snapToGrid/>
                <w:sz w:val="20"/>
                <w:lang w:val="en-US" w:eastAsia="en-AU"/>
              </w:rPr>
              <w:t xml:space="preserve">ay, D.F. McDermott, R.W. Weber et al.  </w:t>
            </w:r>
            <w:r w:rsidRPr="00624684">
              <w:rPr>
                <w:rFonts w:ascii="Arial Narrow" w:hAnsi="Arial Narrow"/>
                <w:snapToGrid/>
                <w:sz w:val="20"/>
                <w:lang w:val="en-US" w:eastAsia="en-AU"/>
              </w:rPr>
              <w:t>Improved Survival with Ipilimumab in Pat</w:t>
            </w:r>
            <w:r>
              <w:rPr>
                <w:rFonts w:ascii="Arial Narrow" w:hAnsi="Arial Narrow"/>
                <w:snapToGrid/>
                <w:sz w:val="20"/>
                <w:lang w:val="en-US" w:eastAsia="en-AU"/>
              </w:rPr>
              <w:t>ients with Metastatic Melanoma.</w:t>
            </w:r>
          </w:p>
        </w:tc>
        <w:tc>
          <w:tcPr>
            <w:tcW w:w="937" w:type="pct"/>
          </w:tcPr>
          <w:p w:rsidR="006249D4" w:rsidRPr="00624684" w:rsidRDefault="006249D4" w:rsidP="006249D4">
            <w:pPr>
              <w:jc w:val="left"/>
              <w:rPr>
                <w:rFonts w:ascii="Arial Narrow" w:hAnsi="Arial Narrow"/>
                <w:b/>
                <w:sz w:val="20"/>
              </w:rPr>
            </w:pPr>
            <w:r w:rsidRPr="00624684">
              <w:rPr>
                <w:rFonts w:ascii="Arial Narrow" w:hAnsi="Arial Narrow"/>
                <w:i/>
                <w:snapToGrid/>
                <w:sz w:val="20"/>
                <w:lang w:val="en-US" w:eastAsia="en-AU"/>
              </w:rPr>
              <w:t>NEJM</w:t>
            </w:r>
            <w:r w:rsidRPr="00624684">
              <w:rPr>
                <w:rFonts w:ascii="Arial Narrow" w:hAnsi="Arial Narrow"/>
                <w:snapToGrid/>
                <w:sz w:val="20"/>
                <w:lang w:val="en-US" w:eastAsia="en-AU"/>
              </w:rPr>
              <w:t xml:space="preserve"> 2010; 363(8):711-723</w:t>
            </w:r>
          </w:p>
        </w:tc>
      </w:tr>
    </w:tbl>
    <w:p w:rsidR="006249D4" w:rsidRPr="00862502" w:rsidRDefault="006249D4" w:rsidP="006249D4">
      <w:pPr>
        <w:pStyle w:val="TableFooter"/>
        <w:ind w:firstLine="720"/>
        <w:rPr>
          <w:szCs w:val="22"/>
        </w:rPr>
      </w:pPr>
      <w:r w:rsidRPr="00D13A3E">
        <w:t xml:space="preserve">Source: </w:t>
      </w:r>
      <w:r>
        <w:t>Table B.2-1, p82-84 of the submission</w:t>
      </w:r>
    </w:p>
    <w:p w:rsidR="006249D4" w:rsidRPr="008F120A" w:rsidRDefault="006249D4" w:rsidP="006249D4">
      <w:pPr>
        <w:widowControl/>
        <w:rPr>
          <w:szCs w:val="22"/>
        </w:rPr>
      </w:pPr>
    </w:p>
    <w:p w:rsidR="006249D4" w:rsidRPr="00D55AA0" w:rsidRDefault="006249D4" w:rsidP="006249D4">
      <w:pPr>
        <w:pStyle w:val="ListParagraph"/>
        <w:widowControl/>
        <w:numPr>
          <w:ilvl w:val="1"/>
          <w:numId w:val="1"/>
        </w:numPr>
        <w:rPr>
          <w:szCs w:val="22"/>
        </w:rPr>
      </w:pPr>
      <w:r>
        <w:rPr>
          <w:szCs w:val="22"/>
        </w:rPr>
        <w:t xml:space="preserve">Trial KN-001 is an uncontrolled, phase 1, multi-cohort trial </w:t>
      </w:r>
      <w:r>
        <w:t>assessing the safety, tolerability, pharmacokinetics, pharmacodynamics and anti-tumour activity of pembrolizumab</w:t>
      </w:r>
      <w:r w:rsidR="0032121E">
        <w:t xml:space="preserve"> in several different diseases</w:t>
      </w:r>
      <w:r>
        <w:rPr>
          <w:szCs w:val="22"/>
        </w:rPr>
        <w:t xml:space="preserve">.  </w:t>
      </w:r>
      <w:r w:rsidR="007A1C07">
        <w:rPr>
          <w:szCs w:val="22"/>
        </w:rPr>
        <w:t xml:space="preserve">Pembrolizumab dosage regimens included 10 mg/kg every 2 weeks (Q2W), 10 mg/kg every 3 weeks (Q3W), and 2 mg/kg Q3W.  </w:t>
      </w:r>
      <w:r>
        <w:rPr>
          <w:szCs w:val="22"/>
        </w:rPr>
        <w:t xml:space="preserve">Progression-free survival (PFS) and overall survival (OS) </w:t>
      </w:r>
      <w:r w:rsidR="007A1C07">
        <w:rPr>
          <w:szCs w:val="22"/>
        </w:rPr>
        <w:t>we</w:t>
      </w:r>
      <w:r>
        <w:rPr>
          <w:szCs w:val="22"/>
        </w:rPr>
        <w:t xml:space="preserve">re included as secondary outcomes, with overall response rate being the primary outcome.  </w:t>
      </w:r>
      <w:r w:rsidRPr="00CF5B43">
        <w:rPr>
          <w:szCs w:val="22"/>
        </w:rPr>
        <w:t>The definition of events which constitute “progression” for the purposes of PFS, how these events were assessed, and by whom, were not compared across the sources of evidence for the KN-001 comparison with Hodi 2010, and so it c</w:t>
      </w:r>
      <w:r w:rsidR="00EA77F1">
        <w:rPr>
          <w:szCs w:val="22"/>
        </w:rPr>
        <w:t xml:space="preserve">ould </w:t>
      </w:r>
      <w:r w:rsidRPr="00CF5B43">
        <w:rPr>
          <w:szCs w:val="22"/>
        </w:rPr>
        <w:t>not be confidently concluded that this outcome is the same across these sources.</w:t>
      </w:r>
    </w:p>
    <w:p w:rsidR="006249D4" w:rsidRPr="000B4358" w:rsidRDefault="006249D4" w:rsidP="006249D4">
      <w:pPr>
        <w:widowControl/>
        <w:rPr>
          <w:szCs w:val="22"/>
        </w:rPr>
      </w:pPr>
    </w:p>
    <w:p w:rsidR="006249D4" w:rsidRDefault="006249D4" w:rsidP="006249D4">
      <w:pPr>
        <w:pStyle w:val="ListParagraph"/>
        <w:widowControl/>
        <w:numPr>
          <w:ilvl w:val="1"/>
          <w:numId w:val="1"/>
        </w:numPr>
        <w:rPr>
          <w:szCs w:val="22"/>
        </w:rPr>
      </w:pPr>
      <w:r w:rsidRPr="00B50DB8">
        <w:rPr>
          <w:szCs w:val="22"/>
        </w:rPr>
        <w:t xml:space="preserve">The key features of the </w:t>
      </w:r>
      <w:r>
        <w:rPr>
          <w:szCs w:val="22"/>
        </w:rPr>
        <w:t>KN-001 and Hodi 2010 trials</w:t>
      </w:r>
      <w:r w:rsidRPr="00B50DB8">
        <w:rPr>
          <w:szCs w:val="22"/>
        </w:rPr>
        <w:t xml:space="preserve"> are summarised in the table below.</w:t>
      </w:r>
    </w:p>
    <w:p w:rsidR="006249D4" w:rsidRDefault="006249D4" w:rsidP="006249D4">
      <w:pPr>
        <w:widowControl/>
        <w:rPr>
          <w:szCs w:val="22"/>
        </w:rPr>
      </w:pPr>
    </w:p>
    <w:p w:rsidR="006249D4" w:rsidRPr="00902D0A" w:rsidRDefault="006249D4" w:rsidP="006249D4">
      <w:pPr>
        <w:ind w:left="709"/>
        <w:rPr>
          <w:rFonts w:ascii="Arial Narrow" w:hAnsi="Arial Narrow"/>
          <w:b/>
          <w:sz w:val="20"/>
        </w:rPr>
      </w:pPr>
      <w:r w:rsidRPr="00902D0A">
        <w:rPr>
          <w:rFonts w:ascii="Arial Narrow" w:hAnsi="Arial Narrow"/>
          <w:b/>
          <w:sz w:val="20"/>
        </w:rPr>
        <w:t xml:space="preserve">Summary of trials used </w:t>
      </w:r>
      <w:r>
        <w:rPr>
          <w:rFonts w:ascii="Arial Narrow" w:hAnsi="Arial Narrow"/>
          <w:b/>
          <w:sz w:val="20"/>
        </w:rPr>
        <w:t>in the clinical evaluation</w:t>
      </w:r>
    </w:p>
    <w:tbl>
      <w:tblPr>
        <w:tblStyle w:val="TableGrid"/>
        <w:tblW w:w="4680" w:type="pct"/>
        <w:tblInd w:w="737" w:type="dxa"/>
        <w:tblCellMar>
          <w:left w:w="28" w:type="dxa"/>
          <w:right w:w="28" w:type="dxa"/>
        </w:tblCellMar>
        <w:tblLook w:val="04A0" w:firstRow="1" w:lastRow="0" w:firstColumn="1" w:lastColumn="0" w:noHBand="0" w:noVBand="1"/>
        <w:tblCaption w:val="Summary of trials used in the clinical evaluation"/>
      </w:tblPr>
      <w:tblGrid>
        <w:gridCol w:w="730"/>
        <w:gridCol w:w="418"/>
        <w:gridCol w:w="2270"/>
        <w:gridCol w:w="1137"/>
        <w:gridCol w:w="1409"/>
        <w:gridCol w:w="2537"/>
      </w:tblGrid>
      <w:tr w:rsidR="006249D4" w:rsidRPr="00CD0F2E" w:rsidTr="006249D4">
        <w:trPr>
          <w:tblHeader/>
        </w:trPr>
        <w:tc>
          <w:tcPr>
            <w:tcW w:w="429" w:type="pct"/>
            <w:vAlign w:val="center"/>
          </w:tcPr>
          <w:p w:rsidR="006249D4" w:rsidRPr="00CD0F2E" w:rsidRDefault="006249D4" w:rsidP="006249D4">
            <w:pPr>
              <w:jc w:val="left"/>
              <w:rPr>
                <w:rFonts w:ascii="Arial Narrow" w:hAnsi="Arial Narrow"/>
                <w:b/>
                <w:sz w:val="20"/>
              </w:rPr>
            </w:pPr>
            <w:r w:rsidRPr="00CD0F2E">
              <w:rPr>
                <w:rFonts w:ascii="Arial Narrow" w:hAnsi="Arial Narrow"/>
                <w:b/>
                <w:sz w:val="20"/>
              </w:rPr>
              <w:t>Trial</w:t>
            </w:r>
            <w:r>
              <w:rPr>
                <w:rFonts w:ascii="Arial Narrow" w:hAnsi="Arial Narrow"/>
                <w:b/>
                <w:sz w:val="20"/>
              </w:rPr>
              <w:t xml:space="preserve"> ID</w:t>
            </w:r>
          </w:p>
        </w:tc>
        <w:tc>
          <w:tcPr>
            <w:tcW w:w="246" w:type="pct"/>
            <w:vAlign w:val="center"/>
          </w:tcPr>
          <w:p w:rsidR="006249D4" w:rsidRPr="00CD0F2E" w:rsidRDefault="006249D4" w:rsidP="006249D4">
            <w:pPr>
              <w:jc w:val="center"/>
              <w:rPr>
                <w:rFonts w:ascii="Arial Narrow" w:hAnsi="Arial Narrow"/>
                <w:b/>
                <w:sz w:val="20"/>
              </w:rPr>
            </w:pPr>
            <w:r>
              <w:rPr>
                <w:rFonts w:ascii="Arial Narrow" w:hAnsi="Arial Narrow"/>
                <w:b/>
                <w:sz w:val="20"/>
              </w:rPr>
              <w:t>N</w:t>
            </w:r>
          </w:p>
        </w:tc>
        <w:tc>
          <w:tcPr>
            <w:tcW w:w="1335" w:type="pct"/>
            <w:vAlign w:val="center"/>
          </w:tcPr>
          <w:p w:rsidR="006249D4" w:rsidRPr="00CD0F2E" w:rsidRDefault="006249D4" w:rsidP="006249D4">
            <w:pPr>
              <w:jc w:val="center"/>
              <w:rPr>
                <w:rFonts w:ascii="Arial Narrow" w:hAnsi="Arial Narrow"/>
                <w:b/>
                <w:sz w:val="20"/>
              </w:rPr>
            </w:pPr>
            <w:r w:rsidRPr="00CD0F2E">
              <w:rPr>
                <w:rFonts w:ascii="Arial Narrow" w:hAnsi="Arial Narrow"/>
                <w:b/>
                <w:sz w:val="20"/>
              </w:rPr>
              <w:t>Treatment arms</w:t>
            </w:r>
            <w:r w:rsidRPr="00020B60">
              <w:rPr>
                <w:rFonts w:ascii="Arial Narrow" w:hAnsi="Arial Narrow"/>
                <w:b/>
                <w:sz w:val="20"/>
                <w:vertAlign w:val="superscript"/>
              </w:rPr>
              <w:t>a</w:t>
            </w:r>
          </w:p>
        </w:tc>
        <w:tc>
          <w:tcPr>
            <w:tcW w:w="669" w:type="pct"/>
            <w:vAlign w:val="center"/>
          </w:tcPr>
          <w:p w:rsidR="006249D4" w:rsidRPr="00CD0F2E" w:rsidRDefault="006249D4" w:rsidP="006249D4">
            <w:pPr>
              <w:jc w:val="center"/>
              <w:rPr>
                <w:rFonts w:ascii="Arial Narrow" w:hAnsi="Arial Narrow"/>
                <w:b/>
                <w:sz w:val="20"/>
              </w:rPr>
            </w:pPr>
            <w:r>
              <w:rPr>
                <w:rFonts w:ascii="Arial Narrow" w:hAnsi="Arial Narrow"/>
                <w:b/>
                <w:sz w:val="20"/>
              </w:rPr>
              <w:t>Trial d</w:t>
            </w:r>
            <w:r w:rsidRPr="00CD0F2E">
              <w:rPr>
                <w:rFonts w:ascii="Arial Narrow" w:hAnsi="Arial Narrow"/>
                <w:b/>
                <w:sz w:val="20"/>
              </w:rPr>
              <w:t>esign</w:t>
            </w:r>
          </w:p>
        </w:tc>
        <w:tc>
          <w:tcPr>
            <w:tcW w:w="829" w:type="pct"/>
            <w:vAlign w:val="center"/>
          </w:tcPr>
          <w:p w:rsidR="006249D4" w:rsidRPr="00CD0F2E" w:rsidRDefault="006249D4" w:rsidP="006249D4">
            <w:pPr>
              <w:jc w:val="center"/>
              <w:rPr>
                <w:rFonts w:ascii="Arial Narrow" w:hAnsi="Arial Narrow"/>
                <w:b/>
                <w:sz w:val="20"/>
              </w:rPr>
            </w:pPr>
            <w:r w:rsidRPr="00CD0F2E">
              <w:rPr>
                <w:rFonts w:ascii="Arial Narrow" w:hAnsi="Arial Narrow"/>
                <w:b/>
                <w:sz w:val="20"/>
              </w:rPr>
              <w:t xml:space="preserve">Primary </w:t>
            </w:r>
            <w:r>
              <w:rPr>
                <w:rFonts w:ascii="Arial Narrow" w:hAnsi="Arial Narrow"/>
                <w:b/>
                <w:sz w:val="20"/>
              </w:rPr>
              <w:t>o</w:t>
            </w:r>
            <w:r w:rsidRPr="00CD0F2E">
              <w:rPr>
                <w:rFonts w:ascii="Arial Narrow" w:hAnsi="Arial Narrow"/>
                <w:b/>
                <w:sz w:val="20"/>
              </w:rPr>
              <w:t>utcome</w:t>
            </w:r>
          </w:p>
        </w:tc>
        <w:tc>
          <w:tcPr>
            <w:tcW w:w="1492" w:type="pct"/>
            <w:vAlign w:val="center"/>
          </w:tcPr>
          <w:p w:rsidR="006249D4" w:rsidRPr="00CD0F2E" w:rsidRDefault="006249D4" w:rsidP="006249D4">
            <w:pPr>
              <w:jc w:val="center"/>
              <w:rPr>
                <w:rFonts w:ascii="Arial Narrow" w:hAnsi="Arial Narrow"/>
                <w:b/>
                <w:sz w:val="20"/>
              </w:rPr>
            </w:pPr>
            <w:r>
              <w:rPr>
                <w:rFonts w:ascii="Arial Narrow" w:hAnsi="Arial Narrow"/>
                <w:b/>
                <w:sz w:val="20"/>
              </w:rPr>
              <w:t>Use in the economic evaluation</w:t>
            </w:r>
          </w:p>
        </w:tc>
      </w:tr>
      <w:tr w:rsidR="006249D4" w:rsidRPr="00CD0F2E" w:rsidTr="006249D4">
        <w:tc>
          <w:tcPr>
            <w:tcW w:w="5000" w:type="pct"/>
            <w:gridSpan w:val="6"/>
            <w:vAlign w:val="center"/>
          </w:tcPr>
          <w:p w:rsidR="006249D4" w:rsidRDefault="006249D4" w:rsidP="006249D4">
            <w:pPr>
              <w:jc w:val="left"/>
              <w:rPr>
                <w:rFonts w:ascii="Arial Narrow" w:hAnsi="Arial Narrow"/>
                <w:b/>
                <w:sz w:val="20"/>
              </w:rPr>
            </w:pPr>
            <w:r>
              <w:rPr>
                <w:rFonts w:ascii="Arial Narrow" w:hAnsi="Arial Narrow"/>
                <w:b/>
                <w:sz w:val="20"/>
              </w:rPr>
              <w:t>Pembrolizumab trial</w:t>
            </w:r>
          </w:p>
        </w:tc>
      </w:tr>
      <w:tr w:rsidR="006249D4" w:rsidTr="006249D4">
        <w:tc>
          <w:tcPr>
            <w:tcW w:w="429" w:type="pct"/>
            <w:vMerge w:val="restart"/>
            <w:vAlign w:val="center"/>
          </w:tcPr>
          <w:p w:rsidR="006249D4" w:rsidRDefault="006249D4" w:rsidP="006249D4">
            <w:pPr>
              <w:jc w:val="left"/>
              <w:rPr>
                <w:rFonts w:ascii="Arial Narrow" w:hAnsi="Arial Narrow"/>
                <w:sz w:val="20"/>
              </w:rPr>
            </w:pPr>
            <w:r>
              <w:rPr>
                <w:rFonts w:ascii="Arial Narrow" w:hAnsi="Arial Narrow"/>
                <w:sz w:val="20"/>
              </w:rPr>
              <w:t>KN-001</w:t>
            </w:r>
          </w:p>
        </w:tc>
        <w:tc>
          <w:tcPr>
            <w:tcW w:w="246" w:type="pct"/>
            <w:vMerge w:val="restart"/>
            <w:vAlign w:val="center"/>
          </w:tcPr>
          <w:p w:rsidR="006249D4" w:rsidRDefault="006249D4" w:rsidP="006249D4">
            <w:pPr>
              <w:jc w:val="center"/>
              <w:rPr>
                <w:rFonts w:ascii="Arial Narrow" w:hAnsi="Arial Narrow"/>
                <w:sz w:val="20"/>
              </w:rPr>
            </w:pPr>
            <w:r>
              <w:rPr>
                <w:rFonts w:ascii="Arial Narrow" w:hAnsi="Arial Narrow"/>
                <w:sz w:val="20"/>
              </w:rPr>
              <w:t>659</w:t>
            </w:r>
            <w:r w:rsidRPr="00CE211E">
              <w:rPr>
                <w:rFonts w:ascii="Arial Narrow" w:hAnsi="Arial Narrow"/>
                <w:sz w:val="20"/>
                <w:vertAlign w:val="superscript"/>
              </w:rPr>
              <w:t>b</w:t>
            </w:r>
          </w:p>
        </w:tc>
        <w:tc>
          <w:tcPr>
            <w:tcW w:w="1335" w:type="pct"/>
            <w:vAlign w:val="center"/>
          </w:tcPr>
          <w:p w:rsidR="006249D4" w:rsidRDefault="006249D4" w:rsidP="006249D4">
            <w:pPr>
              <w:jc w:val="center"/>
              <w:rPr>
                <w:rFonts w:ascii="Arial Narrow" w:hAnsi="Arial Narrow"/>
                <w:sz w:val="20"/>
              </w:rPr>
            </w:pPr>
            <w:r>
              <w:rPr>
                <w:rFonts w:ascii="Arial Narrow" w:hAnsi="Arial Narrow"/>
                <w:sz w:val="20"/>
              </w:rPr>
              <w:t>Part BI 2 mg/kg Q3W n=22</w:t>
            </w:r>
          </w:p>
          <w:p w:rsidR="006249D4" w:rsidRDefault="006249D4" w:rsidP="006249D4">
            <w:pPr>
              <w:jc w:val="center"/>
              <w:rPr>
                <w:rFonts w:ascii="Arial Narrow" w:hAnsi="Arial Narrow"/>
                <w:sz w:val="20"/>
              </w:rPr>
            </w:pPr>
            <w:r>
              <w:rPr>
                <w:rFonts w:ascii="Arial Narrow" w:hAnsi="Arial Narrow"/>
                <w:sz w:val="20"/>
              </w:rPr>
              <w:t>10 mg/kg Q3W n=24</w:t>
            </w:r>
          </w:p>
          <w:p w:rsidR="006249D4" w:rsidRDefault="006249D4" w:rsidP="006249D4">
            <w:pPr>
              <w:jc w:val="center"/>
              <w:rPr>
                <w:rFonts w:ascii="Arial Narrow" w:hAnsi="Arial Narrow"/>
                <w:sz w:val="20"/>
              </w:rPr>
            </w:pPr>
            <w:r>
              <w:rPr>
                <w:rFonts w:ascii="Arial Narrow" w:hAnsi="Arial Narrow"/>
                <w:sz w:val="20"/>
              </w:rPr>
              <w:t>10 mg/kg Q2W n=41</w:t>
            </w:r>
          </w:p>
        </w:tc>
        <w:tc>
          <w:tcPr>
            <w:tcW w:w="669" w:type="pct"/>
            <w:vMerge w:val="restart"/>
            <w:vAlign w:val="center"/>
          </w:tcPr>
          <w:p w:rsidR="006249D4" w:rsidRDefault="006249D4" w:rsidP="006249D4">
            <w:pPr>
              <w:jc w:val="center"/>
              <w:rPr>
                <w:rFonts w:ascii="Arial Narrow" w:hAnsi="Arial Narrow"/>
                <w:sz w:val="20"/>
              </w:rPr>
            </w:pPr>
            <w:r>
              <w:rPr>
                <w:rFonts w:ascii="Arial Narrow" w:hAnsi="Arial Narrow"/>
                <w:sz w:val="20"/>
              </w:rPr>
              <w:t xml:space="preserve">Phase I </w:t>
            </w:r>
          </w:p>
          <w:p w:rsidR="006249D4" w:rsidRDefault="006249D4" w:rsidP="006249D4">
            <w:pPr>
              <w:jc w:val="center"/>
              <w:rPr>
                <w:rFonts w:ascii="Arial Narrow" w:hAnsi="Arial Narrow"/>
                <w:sz w:val="20"/>
              </w:rPr>
            </w:pPr>
            <w:r>
              <w:rPr>
                <w:rFonts w:ascii="Arial Narrow" w:hAnsi="Arial Narrow"/>
                <w:sz w:val="20"/>
              </w:rPr>
              <w:t>OL, MC</w:t>
            </w:r>
          </w:p>
        </w:tc>
        <w:tc>
          <w:tcPr>
            <w:tcW w:w="829" w:type="pct"/>
            <w:vMerge w:val="restart"/>
            <w:vAlign w:val="center"/>
          </w:tcPr>
          <w:p w:rsidR="006249D4" w:rsidRDefault="006249D4" w:rsidP="006249D4">
            <w:pPr>
              <w:jc w:val="center"/>
              <w:rPr>
                <w:rFonts w:ascii="Arial Narrow" w:hAnsi="Arial Narrow"/>
                <w:sz w:val="20"/>
              </w:rPr>
            </w:pPr>
            <w:r>
              <w:rPr>
                <w:rFonts w:ascii="Arial Narrow" w:hAnsi="Arial Narrow"/>
                <w:sz w:val="20"/>
              </w:rPr>
              <w:t>Overall response rate</w:t>
            </w:r>
          </w:p>
        </w:tc>
        <w:tc>
          <w:tcPr>
            <w:tcW w:w="1492" w:type="pct"/>
            <w:vMerge w:val="restart"/>
            <w:vAlign w:val="center"/>
          </w:tcPr>
          <w:p w:rsidR="006249D4" w:rsidRDefault="006249D4" w:rsidP="006249D4">
            <w:pPr>
              <w:jc w:val="center"/>
              <w:rPr>
                <w:rFonts w:ascii="Arial Narrow" w:hAnsi="Arial Narrow"/>
                <w:sz w:val="20"/>
              </w:rPr>
            </w:pPr>
            <w:r>
              <w:rPr>
                <w:rFonts w:ascii="Arial Narrow" w:hAnsi="Arial Narrow"/>
                <w:sz w:val="20"/>
              </w:rPr>
              <w:t>Extrapolated PFS and OS data</w:t>
            </w:r>
          </w:p>
        </w:tc>
      </w:tr>
      <w:tr w:rsidR="006249D4" w:rsidTr="006249D4">
        <w:tc>
          <w:tcPr>
            <w:tcW w:w="429" w:type="pct"/>
            <w:vMerge/>
            <w:vAlign w:val="center"/>
          </w:tcPr>
          <w:p w:rsidR="006249D4" w:rsidRDefault="006249D4" w:rsidP="006249D4">
            <w:pPr>
              <w:jc w:val="left"/>
              <w:rPr>
                <w:rFonts w:ascii="Arial Narrow" w:hAnsi="Arial Narrow"/>
                <w:sz w:val="20"/>
              </w:rPr>
            </w:pPr>
          </w:p>
        </w:tc>
        <w:tc>
          <w:tcPr>
            <w:tcW w:w="246" w:type="pct"/>
            <w:vMerge/>
            <w:vAlign w:val="center"/>
          </w:tcPr>
          <w:p w:rsidR="006249D4" w:rsidRDefault="006249D4" w:rsidP="006249D4">
            <w:pPr>
              <w:jc w:val="center"/>
              <w:rPr>
                <w:rFonts w:ascii="Arial Narrow" w:hAnsi="Arial Narrow"/>
                <w:sz w:val="20"/>
              </w:rPr>
            </w:pPr>
          </w:p>
        </w:tc>
        <w:tc>
          <w:tcPr>
            <w:tcW w:w="1335" w:type="pct"/>
            <w:vAlign w:val="center"/>
          </w:tcPr>
          <w:p w:rsidR="006249D4" w:rsidRDefault="006249D4" w:rsidP="006249D4">
            <w:pPr>
              <w:jc w:val="center"/>
              <w:rPr>
                <w:rFonts w:ascii="Arial Narrow" w:hAnsi="Arial Narrow"/>
                <w:sz w:val="20"/>
              </w:rPr>
            </w:pPr>
            <w:r>
              <w:rPr>
                <w:rFonts w:ascii="Arial Narrow" w:hAnsi="Arial Narrow"/>
                <w:sz w:val="20"/>
              </w:rPr>
              <w:t>Part B3 10 mg/kg Q3W n=65</w:t>
            </w:r>
          </w:p>
          <w:p w:rsidR="006249D4" w:rsidRDefault="006249D4" w:rsidP="006249D4">
            <w:pPr>
              <w:jc w:val="center"/>
              <w:rPr>
                <w:rFonts w:ascii="Arial Narrow" w:hAnsi="Arial Narrow"/>
                <w:sz w:val="20"/>
              </w:rPr>
            </w:pPr>
            <w:r>
              <w:rPr>
                <w:rFonts w:ascii="Arial Narrow" w:hAnsi="Arial Narrow"/>
                <w:sz w:val="20"/>
              </w:rPr>
              <w:t>10 mg/kg Q2W n=58</w:t>
            </w:r>
          </w:p>
        </w:tc>
        <w:tc>
          <w:tcPr>
            <w:tcW w:w="669" w:type="pct"/>
            <w:vMerge/>
            <w:vAlign w:val="center"/>
          </w:tcPr>
          <w:p w:rsidR="006249D4" w:rsidRDefault="006249D4" w:rsidP="006249D4">
            <w:pPr>
              <w:jc w:val="center"/>
              <w:rPr>
                <w:rFonts w:ascii="Arial Narrow" w:hAnsi="Arial Narrow"/>
                <w:sz w:val="20"/>
              </w:rPr>
            </w:pPr>
          </w:p>
        </w:tc>
        <w:tc>
          <w:tcPr>
            <w:tcW w:w="829" w:type="pct"/>
            <w:vMerge/>
            <w:vAlign w:val="center"/>
          </w:tcPr>
          <w:p w:rsidR="006249D4" w:rsidRDefault="006249D4" w:rsidP="006249D4">
            <w:pPr>
              <w:jc w:val="center"/>
              <w:rPr>
                <w:rFonts w:ascii="Arial Narrow" w:hAnsi="Arial Narrow"/>
                <w:sz w:val="20"/>
              </w:rPr>
            </w:pPr>
          </w:p>
        </w:tc>
        <w:tc>
          <w:tcPr>
            <w:tcW w:w="1492" w:type="pct"/>
            <w:vMerge/>
          </w:tcPr>
          <w:p w:rsidR="006249D4" w:rsidRDefault="006249D4" w:rsidP="006249D4">
            <w:pPr>
              <w:jc w:val="center"/>
              <w:rPr>
                <w:rFonts w:ascii="Arial Narrow" w:hAnsi="Arial Narrow"/>
                <w:sz w:val="20"/>
              </w:rPr>
            </w:pPr>
          </w:p>
        </w:tc>
      </w:tr>
      <w:tr w:rsidR="006249D4" w:rsidTr="006249D4">
        <w:tc>
          <w:tcPr>
            <w:tcW w:w="429" w:type="pct"/>
            <w:vMerge/>
            <w:vAlign w:val="center"/>
          </w:tcPr>
          <w:p w:rsidR="006249D4" w:rsidRDefault="006249D4" w:rsidP="006249D4">
            <w:pPr>
              <w:jc w:val="left"/>
              <w:rPr>
                <w:rFonts w:ascii="Arial Narrow" w:hAnsi="Arial Narrow"/>
                <w:sz w:val="20"/>
              </w:rPr>
            </w:pPr>
          </w:p>
        </w:tc>
        <w:tc>
          <w:tcPr>
            <w:tcW w:w="246" w:type="pct"/>
            <w:vMerge/>
            <w:vAlign w:val="center"/>
          </w:tcPr>
          <w:p w:rsidR="006249D4" w:rsidRDefault="006249D4" w:rsidP="006249D4">
            <w:pPr>
              <w:jc w:val="center"/>
              <w:rPr>
                <w:rFonts w:ascii="Arial Narrow" w:hAnsi="Arial Narrow"/>
                <w:sz w:val="20"/>
              </w:rPr>
            </w:pPr>
          </w:p>
        </w:tc>
        <w:tc>
          <w:tcPr>
            <w:tcW w:w="1335" w:type="pct"/>
            <w:vAlign w:val="center"/>
          </w:tcPr>
          <w:p w:rsidR="006249D4" w:rsidRDefault="006249D4" w:rsidP="006249D4">
            <w:pPr>
              <w:jc w:val="center"/>
              <w:rPr>
                <w:rFonts w:ascii="Arial Narrow" w:hAnsi="Arial Narrow"/>
                <w:sz w:val="20"/>
              </w:rPr>
            </w:pPr>
            <w:r>
              <w:rPr>
                <w:rFonts w:ascii="Arial Narrow" w:hAnsi="Arial Narrow"/>
                <w:sz w:val="20"/>
              </w:rPr>
              <w:t>Part D 2 mg/kg Q3W n=51</w:t>
            </w:r>
          </w:p>
          <w:p w:rsidR="006249D4" w:rsidRDefault="006249D4" w:rsidP="006249D4">
            <w:pPr>
              <w:jc w:val="center"/>
              <w:rPr>
                <w:rFonts w:ascii="Arial Narrow" w:hAnsi="Arial Narrow"/>
                <w:sz w:val="20"/>
              </w:rPr>
            </w:pPr>
            <w:r>
              <w:rPr>
                <w:rFonts w:ascii="Arial Narrow" w:hAnsi="Arial Narrow"/>
                <w:sz w:val="20"/>
              </w:rPr>
              <w:t>10 mg/kg Q3W n=52</w:t>
            </w:r>
          </w:p>
        </w:tc>
        <w:tc>
          <w:tcPr>
            <w:tcW w:w="669" w:type="pct"/>
            <w:vMerge/>
            <w:vAlign w:val="center"/>
          </w:tcPr>
          <w:p w:rsidR="006249D4" w:rsidRDefault="006249D4" w:rsidP="006249D4">
            <w:pPr>
              <w:jc w:val="center"/>
              <w:rPr>
                <w:rFonts w:ascii="Arial Narrow" w:hAnsi="Arial Narrow"/>
                <w:sz w:val="20"/>
              </w:rPr>
            </w:pPr>
          </w:p>
        </w:tc>
        <w:tc>
          <w:tcPr>
            <w:tcW w:w="829" w:type="pct"/>
            <w:vMerge/>
            <w:vAlign w:val="center"/>
          </w:tcPr>
          <w:p w:rsidR="006249D4" w:rsidRDefault="006249D4" w:rsidP="006249D4">
            <w:pPr>
              <w:jc w:val="center"/>
              <w:rPr>
                <w:rFonts w:ascii="Arial Narrow" w:hAnsi="Arial Narrow"/>
                <w:sz w:val="20"/>
              </w:rPr>
            </w:pPr>
          </w:p>
        </w:tc>
        <w:tc>
          <w:tcPr>
            <w:tcW w:w="1492" w:type="pct"/>
            <w:vMerge/>
          </w:tcPr>
          <w:p w:rsidR="006249D4" w:rsidRDefault="006249D4" w:rsidP="006249D4">
            <w:pPr>
              <w:jc w:val="center"/>
              <w:rPr>
                <w:rFonts w:ascii="Arial Narrow" w:hAnsi="Arial Narrow"/>
                <w:sz w:val="20"/>
              </w:rPr>
            </w:pPr>
          </w:p>
        </w:tc>
      </w:tr>
      <w:tr w:rsidR="006249D4" w:rsidTr="006249D4">
        <w:tc>
          <w:tcPr>
            <w:tcW w:w="5000" w:type="pct"/>
            <w:gridSpan w:val="6"/>
            <w:vAlign w:val="center"/>
          </w:tcPr>
          <w:p w:rsidR="006249D4" w:rsidRPr="00792684" w:rsidRDefault="006249D4" w:rsidP="006249D4">
            <w:pPr>
              <w:jc w:val="left"/>
              <w:rPr>
                <w:rFonts w:ascii="Arial Narrow" w:hAnsi="Arial Narrow"/>
                <w:b/>
                <w:sz w:val="20"/>
              </w:rPr>
            </w:pPr>
            <w:r>
              <w:rPr>
                <w:rFonts w:ascii="Arial Narrow" w:hAnsi="Arial Narrow"/>
                <w:b/>
                <w:sz w:val="20"/>
              </w:rPr>
              <w:t>Ipilimumab trial</w:t>
            </w:r>
          </w:p>
        </w:tc>
      </w:tr>
      <w:tr w:rsidR="006249D4" w:rsidTr="006249D4">
        <w:tc>
          <w:tcPr>
            <w:tcW w:w="429" w:type="pct"/>
            <w:vAlign w:val="center"/>
          </w:tcPr>
          <w:p w:rsidR="006249D4" w:rsidRDefault="006249D4" w:rsidP="006249D4">
            <w:pPr>
              <w:jc w:val="left"/>
              <w:rPr>
                <w:rFonts w:ascii="Arial Narrow" w:hAnsi="Arial Narrow"/>
                <w:sz w:val="20"/>
              </w:rPr>
            </w:pPr>
            <w:r>
              <w:rPr>
                <w:rFonts w:ascii="Arial Narrow" w:hAnsi="Arial Narrow"/>
                <w:sz w:val="20"/>
              </w:rPr>
              <w:t>Hodi 2010 (CT-020)</w:t>
            </w:r>
          </w:p>
        </w:tc>
        <w:tc>
          <w:tcPr>
            <w:tcW w:w="246" w:type="pct"/>
            <w:vAlign w:val="center"/>
          </w:tcPr>
          <w:p w:rsidR="006249D4" w:rsidRDefault="006249D4" w:rsidP="006249D4">
            <w:pPr>
              <w:jc w:val="center"/>
              <w:rPr>
                <w:rFonts w:ascii="Arial Narrow" w:hAnsi="Arial Narrow"/>
                <w:sz w:val="20"/>
              </w:rPr>
            </w:pPr>
            <w:r>
              <w:rPr>
                <w:rFonts w:ascii="Arial Narrow" w:hAnsi="Arial Narrow"/>
                <w:sz w:val="20"/>
              </w:rPr>
              <w:t>676</w:t>
            </w:r>
          </w:p>
        </w:tc>
        <w:tc>
          <w:tcPr>
            <w:tcW w:w="1335" w:type="pct"/>
            <w:vAlign w:val="center"/>
          </w:tcPr>
          <w:p w:rsidR="006249D4" w:rsidRDefault="006249D4" w:rsidP="006249D4">
            <w:pPr>
              <w:jc w:val="center"/>
              <w:rPr>
                <w:rFonts w:ascii="Arial Narrow" w:hAnsi="Arial Narrow"/>
                <w:sz w:val="20"/>
              </w:rPr>
            </w:pPr>
            <w:r>
              <w:rPr>
                <w:rFonts w:ascii="Arial Narrow" w:hAnsi="Arial Narrow"/>
                <w:sz w:val="20"/>
              </w:rPr>
              <w:t>IPI 3 mg/kg Q3W n=137</w:t>
            </w:r>
          </w:p>
        </w:tc>
        <w:tc>
          <w:tcPr>
            <w:tcW w:w="669" w:type="pct"/>
            <w:vAlign w:val="center"/>
          </w:tcPr>
          <w:p w:rsidR="006249D4" w:rsidRDefault="006249D4" w:rsidP="006249D4">
            <w:pPr>
              <w:jc w:val="center"/>
              <w:rPr>
                <w:rFonts w:ascii="Arial Narrow" w:hAnsi="Arial Narrow"/>
                <w:sz w:val="20"/>
              </w:rPr>
            </w:pPr>
            <w:r>
              <w:rPr>
                <w:rFonts w:ascii="Arial Narrow" w:hAnsi="Arial Narrow"/>
                <w:sz w:val="20"/>
              </w:rPr>
              <w:t xml:space="preserve">Phase II/III </w:t>
            </w:r>
          </w:p>
          <w:p w:rsidR="006249D4" w:rsidRDefault="006249D4" w:rsidP="006249D4">
            <w:pPr>
              <w:jc w:val="center"/>
              <w:rPr>
                <w:rFonts w:ascii="Arial Narrow" w:hAnsi="Arial Narrow"/>
                <w:sz w:val="20"/>
              </w:rPr>
            </w:pPr>
            <w:r>
              <w:rPr>
                <w:rFonts w:ascii="Arial Narrow" w:hAnsi="Arial Narrow"/>
                <w:sz w:val="20"/>
              </w:rPr>
              <w:t xml:space="preserve">R, DB, MC </w:t>
            </w:r>
          </w:p>
        </w:tc>
        <w:tc>
          <w:tcPr>
            <w:tcW w:w="829" w:type="pct"/>
            <w:vAlign w:val="center"/>
          </w:tcPr>
          <w:p w:rsidR="006249D4" w:rsidRDefault="006249D4" w:rsidP="006249D4">
            <w:pPr>
              <w:jc w:val="center"/>
              <w:rPr>
                <w:rFonts w:ascii="Arial Narrow" w:hAnsi="Arial Narrow"/>
                <w:sz w:val="20"/>
              </w:rPr>
            </w:pPr>
            <w:r>
              <w:rPr>
                <w:rFonts w:ascii="Arial Narrow" w:hAnsi="Arial Narrow"/>
                <w:sz w:val="20"/>
              </w:rPr>
              <w:t>Overall survival</w:t>
            </w:r>
          </w:p>
        </w:tc>
        <w:tc>
          <w:tcPr>
            <w:tcW w:w="1492" w:type="pct"/>
            <w:vAlign w:val="center"/>
          </w:tcPr>
          <w:p w:rsidR="006249D4" w:rsidRDefault="006249D4" w:rsidP="006249D4">
            <w:pPr>
              <w:jc w:val="center"/>
              <w:rPr>
                <w:rFonts w:ascii="Arial Narrow" w:hAnsi="Arial Narrow"/>
                <w:sz w:val="20"/>
              </w:rPr>
            </w:pPr>
            <w:r>
              <w:rPr>
                <w:rFonts w:ascii="Arial Narrow" w:hAnsi="Arial Narrow"/>
                <w:sz w:val="20"/>
              </w:rPr>
              <w:t>Extrapolated PFS and OS data (digitised plots of Kaplan-Meier figures)</w:t>
            </w:r>
          </w:p>
        </w:tc>
      </w:tr>
    </w:tbl>
    <w:p w:rsidR="006249D4" w:rsidRPr="007A1C07" w:rsidRDefault="006249D4" w:rsidP="006249D4">
      <w:pPr>
        <w:tabs>
          <w:tab w:val="left" w:pos="851"/>
        </w:tabs>
        <w:ind w:left="851" w:hanging="142"/>
        <w:rPr>
          <w:rFonts w:ascii="Arial Narrow" w:hAnsi="Arial Narrow"/>
          <w:sz w:val="18"/>
          <w:szCs w:val="18"/>
        </w:rPr>
      </w:pPr>
      <w:r w:rsidRPr="007A1C07">
        <w:rPr>
          <w:rFonts w:ascii="Arial Narrow" w:hAnsi="Arial Narrow"/>
          <w:sz w:val="18"/>
          <w:szCs w:val="18"/>
          <w:vertAlign w:val="superscript"/>
        </w:rPr>
        <w:t>a</w:t>
      </w:r>
      <w:r w:rsidRPr="007A1C07">
        <w:rPr>
          <w:rFonts w:ascii="Arial Narrow" w:hAnsi="Arial Narrow"/>
          <w:sz w:val="18"/>
          <w:szCs w:val="18"/>
        </w:rPr>
        <w:tab/>
        <w:t xml:space="preserve">Only the patient sub-groups selected by the submission </w:t>
      </w:r>
      <w:r w:rsidR="007A1C07">
        <w:rPr>
          <w:rFonts w:ascii="Arial Narrow" w:hAnsi="Arial Narrow"/>
          <w:sz w:val="18"/>
          <w:szCs w:val="18"/>
        </w:rPr>
        <w:t>a</w:t>
      </w:r>
      <w:r w:rsidRPr="007A1C07">
        <w:rPr>
          <w:rFonts w:ascii="Arial Narrow" w:hAnsi="Arial Narrow"/>
          <w:sz w:val="18"/>
          <w:szCs w:val="18"/>
        </w:rPr>
        <w:t>re included</w:t>
      </w:r>
      <w:r w:rsidR="007A1C07">
        <w:rPr>
          <w:rFonts w:ascii="Arial Narrow" w:hAnsi="Arial Narrow"/>
          <w:sz w:val="18"/>
          <w:szCs w:val="18"/>
        </w:rPr>
        <w:t>.</w:t>
      </w:r>
    </w:p>
    <w:p w:rsidR="006249D4" w:rsidRDefault="006249D4" w:rsidP="006249D4">
      <w:pPr>
        <w:tabs>
          <w:tab w:val="left" w:pos="851"/>
        </w:tabs>
        <w:ind w:left="851" w:hanging="142"/>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ab/>
        <w:t>The N of 659 is based on the melanoma cohorts B1, B2, B3 and D of KN-001</w:t>
      </w:r>
    </w:p>
    <w:p w:rsidR="006249D4" w:rsidRDefault="006249D4" w:rsidP="002E5FDB">
      <w:pPr>
        <w:ind w:left="709"/>
        <w:rPr>
          <w:rFonts w:ascii="Arial Narrow" w:hAnsi="Arial Narrow"/>
          <w:sz w:val="18"/>
          <w:szCs w:val="18"/>
        </w:rPr>
      </w:pPr>
      <w:r>
        <w:rPr>
          <w:rFonts w:ascii="Arial Narrow" w:hAnsi="Arial Narrow"/>
          <w:sz w:val="18"/>
          <w:szCs w:val="18"/>
        </w:rPr>
        <w:t xml:space="preserve">DB=double blind; IPI=ipilimumab; MC=multicentre; </w:t>
      </w:r>
      <w:r w:rsidR="00BF3730">
        <w:rPr>
          <w:rFonts w:ascii="Arial Narrow" w:hAnsi="Arial Narrow"/>
          <w:sz w:val="18"/>
          <w:szCs w:val="18"/>
        </w:rPr>
        <w:t xml:space="preserve">OL=open label; </w:t>
      </w:r>
      <w:r w:rsidR="00BF3730" w:rsidRPr="00BF3730">
        <w:rPr>
          <w:rFonts w:ascii="Arial Narrow" w:hAnsi="Arial Narrow"/>
          <w:sz w:val="18"/>
          <w:szCs w:val="18"/>
        </w:rPr>
        <w:t xml:space="preserve">OS=overall survival; PFS=progression-free survival; </w:t>
      </w:r>
      <w:r>
        <w:rPr>
          <w:rFonts w:ascii="Arial Narrow" w:hAnsi="Arial Narrow"/>
          <w:sz w:val="18"/>
          <w:szCs w:val="18"/>
        </w:rPr>
        <w:t xml:space="preserve">Q2W=every 2 weeks; Q3W=every 3 weeks; R=randomised </w:t>
      </w:r>
    </w:p>
    <w:p w:rsidR="006249D4" w:rsidRDefault="006249D4" w:rsidP="006249D4">
      <w:pPr>
        <w:pStyle w:val="TableFooter"/>
        <w:ind w:left="709"/>
      </w:pPr>
      <w:r>
        <w:t>Source: Table B.2-3, p87-88 of the submission</w:t>
      </w:r>
    </w:p>
    <w:p w:rsidR="006249D4" w:rsidRPr="00235469" w:rsidRDefault="006249D4" w:rsidP="006249D4">
      <w:pPr>
        <w:widowControl/>
        <w:rPr>
          <w:szCs w:val="22"/>
        </w:rPr>
      </w:pPr>
    </w:p>
    <w:p w:rsidR="006249D4" w:rsidRPr="00BB4AC4" w:rsidRDefault="006249D4" w:rsidP="006249D4">
      <w:pPr>
        <w:pStyle w:val="ListParagraph"/>
        <w:widowControl/>
        <w:numPr>
          <w:ilvl w:val="1"/>
          <w:numId w:val="1"/>
        </w:numPr>
        <w:rPr>
          <w:szCs w:val="22"/>
        </w:rPr>
      </w:pPr>
      <w:r>
        <w:rPr>
          <w:szCs w:val="22"/>
        </w:rPr>
        <w:lastRenderedPageBreak/>
        <w:t>The submission selected differing cohorts using different pembrolizumab doses to provide data for efficacy and safety outcomes</w:t>
      </w:r>
      <w:r w:rsidRPr="00BB4AC4">
        <w:rPr>
          <w:szCs w:val="22"/>
        </w:rPr>
        <w:t xml:space="preserve">.  </w:t>
      </w:r>
      <w:r w:rsidRPr="00BB4AC4">
        <w:t xml:space="preserve">As indicated in the table below, the submission </w:t>
      </w:r>
      <w:r w:rsidR="0032121E">
        <w:t>us</w:t>
      </w:r>
      <w:r w:rsidRPr="00BB4AC4">
        <w:t>ed these cohorts in an inconsistent manner across the clinical and economic evaluations.</w:t>
      </w:r>
    </w:p>
    <w:p w:rsidR="006249D4" w:rsidRDefault="006249D4" w:rsidP="006249D4">
      <w:pPr>
        <w:widowControl/>
        <w:rPr>
          <w:szCs w:val="22"/>
        </w:rPr>
      </w:pPr>
    </w:p>
    <w:p w:rsidR="006249D4" w:rsidRDefault="006249D4" w:rsidP="006249D4">
      <w:pPr>
        <w:ind w:left="720"/>
        <w:rPr>
          <w:rStyle w:val="CommentReference"/>
        </w:rPr>
      </w:pPr>
      <w:r>
        <w:rPr>
          <w:rStyle w:val="CommentReference"/>
        </w:rPr>
        <w:t>Summary of KN-001 cohorts used in the clinical and economic evaluation</w:t>
      </w:r>
    </w:p>
    <w:tbl>
      <w:tblPr>
        <w:tblStyle w:val="TableGrid"/>
        <w:tblW w:w="0" w:type="auto"/>
        <w:tblInd w:w="720" w:type="dxa"/>
        <w:tblCellMar>
          <w:left w:w="28" w:type="dxa"/>
          <w:right w:w="28" w:type="dxa"/>
        </w:tblCellMar>
        <w:tblLook w:val="04A0" w:firstRow="1" w:lastRow="0" w:firstColumn="1" w:lastColumn="0" w:noHBand="0" w:noVBand="1"/>
        <w:tblCaption w:val="Clinical trials"/>
      </w:tblPr>
      <w:tblGrid>
        <w:gridCol w:w="1036"/>
        <w:gridCol w:w="1515"/>
        <w:gridCol w:w="1983"/>
        <w:gridCol w:w="1276"/>
        <w:gridCol w:w="1276"/>
        <w:gridCol w:w="1276"/>
      </w:tblGrid>
      <w:tr w:rsidR="006249D4" w:rsidTr="006249D4">
        <w:trPr>
          <w:tblHeader/>
        </w:trPr>
        <w:tc>
          <w:tcPr>
            <w:tcW w:w="1036" w:type="dxa"/>
            <w:vMerge w:val="restart"/>
            <w:vAlign w:val="center"/>
          </w:tcPr>
          <w:p w:rsidR="006249D4" w:rsidRDefault="006249D4" w:rsidP="006249D4">
            <w:pPr>
              <w:jc w:val="left"/>
              <w:rPr>
                <w:rStyle w:val="CommentReference"/>
              </w:rPr>
            </w:pPr>
            <w:r>
              <w:rPr>
                <w:rStyle w:val="CommentReference"/>
              </w:rPr>
              <w:t>Cohort</w:t>
            </w:r>
          </w:p>
        </w:tc>
        <w:tc>
          <w:tcPr>
            <w:tcW w:w="1515" w:type="dxa"/>
            <w:vMerge w:val="restart"/>
            <w:vAlign w:val="center"/>
          </w:tcPr>
          <w:p w:rsidR="006249D4" w:rsidRDefault="006249D4" w:rsidP="006249D4">
            <w:pPr>
              <w:jc w:val="center"/>
              <w:rPr>
                <w:rStyle w:val="CommentReference"/>
              </w:rPr>
            </w:pPr>
            <w:r>
              <w:rPr>
                <w:rStyle w:val="CommentReference"/>
              </w:rPr>
              <w:t>Treatment arms</w:t>
            </w:r>
          </w:p>
        </w:tc>
        <w:tc>
          <w:tcPr>
            <w:tcW w:w="1983" w:type="dxa"/>
            <w:vMerge w:val="restart"/>
            <w:vAlign w:val="center"/>
          </w:tcPr>
          <w:p w:rsidR="006249D4" w:rsidRDefault="006249D4" w:rsidP="006249D4">
            <w:pPr>
              <w:jc w:val="center"/>
              <w:rPr>
                <w:rStyle w:val="CommentReference"/>
              </w:rPr>
            </w:pPr>
            <w:r>
              <w:rPr>
                <w:rStyle w:val="CommentReference"/>
              </w:rPr>
              <w:t>Patient population</w:t>
            </w:r>
          </w:p>
          <w:p w:rsidR="006249D4" w:rsidRDefault="006249D4" w:rsidP="006249D4">
            <w:pPr>
              <w:jc w:val="center"/>
              <w:rPr>
                <w:rStyle w:val="CommentReference"/>
              </w:rPr>
            </w:pPr>
            <w:r>
              <w:rPr>
                <w:rStyle w:val="CommentReference"/>
              </w:rPr>
              <w:t>(advanced melanoma)</w:t>
            </w:r>
          </w:p>
        </w:tc>
        <w:tc>
          <w:tcPr>
            <w:tcW w:w="2552" w:type="dxa"/>
            <w:gridSpan w:val="2"/>
            <w:vAlign w:val="center"/>
          </w:tcPr>
          <w:p w:rsidR="006249D4" w:rsidRDefault="006249D4" w:rsidP="006249D4">
            <w:pPr>
              <w:jc w:val="center"/>
              <w:rPr>
                <w:rStyle w:val="CommentReference"/>
              </w:rPr>
            </w:pPr>
            <w:r>
              <w:rPr>
                <w:rStyle w:val="CommentReference"/>
              </w:rPr>
              <w:t>Clinical evaluation</w:t>
            </w:r>
          </w:p>
        </w:tc>
        <w:tc>
          <w:tcPr>
            <w:tcW w:w="1276" w:type="dxa"/>
            <w:vMerge w:val="restart"/>
            <w:vAlign w:val="center"/>
          </w:tcPr>
          <w:p w:rsidR="006249D4" w:rsidRDefault="006249D4" w:rsidP="006249D4">
            <w:pPr>
              <w:jc w:val="center"/>
              <w:rPr>
                <w:rStyle w:val="CommentReference"/>
              </w:rPr>
            </w:pPr>
            <w:r>
              <w:rPr>
                <w:rStyle w:val="CommentReference"/>
              </w:rPr>
              <w:t>Economic evaluation</w:t>
            </w:r>
          </w:p>
        </w:tc>
      </w:tr>
      <w:tr w:rsidR="006249D4" w:rsidTr="006249D4">
        <w:trPr>
          <w:tblHeader/>
        </w:trPr>
        <w:tc>
          <w:tcPr>
            <w:tcW w:w="1036" w:type="dxa"/>
            <w:vMerge/>
            <w:tcBorders>
              <w:bottom w:val="single" w:sz="4" w:space="0" w:color="auto"/>
            </w:tcBorders>
            <w:vAlign w:val="center"/>
          </w:tcPr>
          <w:p w:rsidR="006249D4" w:rsidRDefault="006249D4" w:rsidP="006249D4">
            <w:pPr>
              <w:jc w:val="left"/>
              <w:rPr>
                <w:rStyle w:val="CommentReference"/>
              </w:rPr>
            </w:pPr>
          </w:p>
        </w:tc>
        <w:tc>
          <w:tcPr>
            <w:tcW w:w="1515" w:type="dxa"/>
            <w:vMerge/>
            <w:tcBorders>
              <w:bottom w:val="single" w:sz="4" w:space="0" w:color="auto"/>
            </w:tcBorders>
            <w:vAlign w:val="center"/>
          </w:tcPr>
          <w:p w:rsidR="006249D4" w:rsidRDefault="006249D4" w:rsidP="006249D4">
            <w:pPr>
              <w:jc w:val="center"/>
              <w:rPr>
                <w:rStyle w:val="CommentReference"/>
              </w:rPr>
            </w:pPr>
          </w:p>
        </w:tc>
        <w:tc>
          <w:tcPr>
            <w:tcW w:w="1983" w:type="dxa"/>
            <w:vMerge/>
            <w:tcBorders>
              <w:bottom w:val="single" w:sz="4" w:space="0" w:color="auto"/>
            </w:tcBorders>
            <w:vAlign w:val="center"/>
          </w:tcPr>
          <w:p w:rsidR="006249D4" w:rsidRDefault="006249D4" w:rsidP="006249D4">
            <w:pPr>
              <w:jc w:val="center"/>
              <w:rPr>
                <w:rStyle w:val="CommentReference"/>
              </w:rPr>
            </w:pPr>
          </w:p>
        </w:tc>
        <w:tc>
          <w:tcPr>
            <w:tcW w:w="1276" w:type="dxa"/>
            <w:tcBorders>
              <w:bottom w:val="single" w:sz="4" w:space="0" w:color="auto"/>
            </w:tcBorders>
            <w:vAlign w:val="center"/>
          </w:tcPr>
          <w:p w:rsidR="006249D4" w:rsidRDefault="006249D4" w:rsidP="006249D4">
            <w:pPr>
              <w:jc w:val="center"/>
              <w:rPr>
                <w:rStyle w:val="CommentReference"/>
              </w:rPr>
            </w:pPr>
            <w:r>
              <w:rPr>
                <w:rStyle w:val="CommentReference"/>
              </w:rPr>
              <w:t>Efficacy</w:t>
            </w:r>
          </w:p>
        </w:tc>
        <w:tc>
          <w:tcPr>
            <w:tcW w:w="1276" w:type="dxa"/>
            <w:tcBorders>
              <w:bottom w:val="single" w:sz="4" w:space="0" w:color="auto"/>
            </w:tcBorders>
            <w:vAlign w:val="center"/>
          </w:tcPr>
          <w:p w:rsidR="006249D4" w:rsidRDefault="006249D4" w:rsidP="006249D4">
            <w:pPr>
              <w:jc w:val="center"/>
              <w:rPr>
                <w:rStyle w:val="CommentReference"/>
              </w:rPr>
            </w:pPr>
            <w:r>
              <w:rPr>
                <w:rStyle w:val="CommentReference"/>
              </w:rPr>
              <w:t>Safety</w:t>
            </w:r>
          </w:p>
        </w:tc>
        <w:tc>
          <w:tcPr>
            <w:tcW w:w="1276" w:type="dxa"/>
            <w:vMerge/>
            <w:tcBorders>
              <w:bottom w:val="single" w:sz="4" w:space="0" w:color="auto"/>
            </w:tcBorders>
            <w:vAlign w:val="center"/>
          </w:tcPr>
          <w:p w:rsidR="006249D4" w:rsidRDefault="006249D4" w:rsidP="006249D4">
            <w:pPr>
              <w:jc w:val="center"/>
              <w:rPr>
                <w:rStyle w:val="CommentReference"/>
              </w:rPr>
            </w:pPr>
          </w:p>
        </w:tc>
      </w:tr>
      <w:tr w:rsidR="006249D4" w:rsidRPr="00704755" w:rsidTr="006249D4">
        <w:trPr>
          <w:trHeight w:val="345"/>
        </w:trPr>
        <w:tc>
          <w:tcPr>
            <w:tcW w:w="1036" w:type="dxa"/>
            <w:vMerge w:val="restart"/>
            <w:vAlign w:val="center"/>
          </w:tcPr>
          <w:p w:rsidR="006249D4" w:rsidRDefault="006249D4" w:rsidP="006249D4">
            <w:pPr>
              <w:jc w:val="left"/>
              <w:rPr>
                <w:rStyle w:val="CommentReference"/>
                <w:b w:val="0"/>
              </w:rPr>
            </w:pPr>
            <w:r>
              <w:rPr>
                <w:rStyle w:val="CommentReference"/>
                <w:b w:val="0"/>
              </w:rPr>
              <w:t xml:space="preserve">Part B1 </w:t>
            </w:r>
          </w:p>
          <w:p w:rsidR="006249D4" w:rsidRPr="00704755" w:rsidRDefault="006249D4" w:rsidP="006249D4">
            <w:pPr>
              <w:jc w:val="left"/>
              <w:rPr>
                <w:rStyle w:val="CommentReference"/>
                <w:b w:val="0"/>
              </w:rPr>
            </w:pPr>
            <w:r>
              <w:rPr>
                <w:rStyle w:val="CommentReference"/>
                <w:b w:val="0"/>
              </w:rPr>
              <w:t>(n=135)</w:t>
            </w:r>
          </w:p>
        </w:tc>
        <w:tc>
          <w:tcPr>
            <w:tcW w:w="1515" w:type="dxa"/>
            <w:vMerge w:val="restart"/>
            <w:vAlign w:val="center"/>
          </w:tcPr>
          <w:p w:rsidR="006249D4" w:rsidRDefault="006249D4" w:rsidP="006249D4">
            <w:pPr>
              <w:jc w:val="center"/>
              <w:rPr>
                <w:rStyle w:val="CommentReference"/>
                <w:b w:val="0"/>
              </w:rPr>
            </w:pPr>
            <w:r>
              <w:rPr>
                <w:rStyle w:val="CommentReference"/>
                <w:b w:val="0"/>
              </w:rPr>
              <w:t>2 mg/kg Q3W</w:t>
            </w:r>
          </w:p>
          <w:p w:rsidR="006249D4" w:rsidRDefault="006249D4" w:rsidP="006249D4">
            <w:pPr>
              <w:jc w:val="center"/>
              <w:rPr>
                <w:rStyle w:val="CommentReference"/>
                <w:b w:val="0"/>
              </w:rPr>
            </w:pPr>
            <w:r>
              <w:rPr>
                <w:rStyle w:val="CommentReference"/>
                <w:b w:val="0"/>
              </w:rPr>
              <w:t>10 mg/kg Q2W</w:t>
            </w:r>
          </w:p>
          <w:p w:rsidR="006249D4" w:rsidRPr="00704755" w:rsidRDefault="006249D4" w:rsidP="006249D4">
            <w:pPr>
              <w:jc w:val="center"/>
              <w:rPr>
                <w:rStyle w:val="CommentReference"/>
                <w:b w:val="0"/>
              </w:rPr>
            </w:pPr>
            <w:r>
              <w:rPr>
                <w:rStyle w:val="CommentReference"/>
                <w:b w:val="0"/>
              </w:rPr>
              <w:t>10 mg/kg Q3W</w:t>
            </w:r>
          </w:p>
        </w:tc>
        <w:tc>
          <w:tcPr>
            <w:tcW w:w="1983" w:type="dxa"/>
            <w:vAlign w:val="center"/>
          </w:tcPr>
          <w:p w:rsidR="006249D4" w:rsidRPr="00704755" w:rsidRDefault="006249D4" w:rsidP="006249D4">
            <w:pPr>
              <w:jc w:val="center"/>
              <w:rPr>
                <w:rStyle w:val="CommentReference"/>
                <w:b w:val="0"/>
              </w:rPr>
            </w:pPr>
            <w:r>
              <w:rPr>
                <w:rStyle w:val="CommentReference"/>
                <w:b w:val="0"/>
              </w:rPr>
              <w:t>IPI naïve</w:t>
            </w:r>
          </w:p>
        </w:tc>
        <w:tc>
          <w:tcPr>
            <w:tcW w:w="1276" w:type="dxa"/>
            <w:vAlign w:val="center"/>
          </w:tcPr>
          <w:p w:rsidR="006249D4" w:rsidRPr="00B54B5F" w:rsidRDefault="006249D4" w:rsidP="006249D4">
            <w:pPr>
              <w:jc w:val="center"/>
              <w:rPr>
                <w:rStyle w:val="CommentReference"/>
                <w:b w:val="0"/>
              </w:rPr>
            </w:pPr>
            <w:r>
              <w:rPr>
                <w:rStyle w:val="CommentReference"/>
                <w:b w:val="0"/>
              </w:rPr>
              <w:sym w:font="Wingdings" w:char="F0FC"/>
            </w:r>
          </w:p>
        </w:tc>
        <w:tc>
          <w:tcPr>
            <w:tcW w:w="1276" w:type="dxa"/>
            <w:vAlign w:val="center"/>
          </w:tcPr>
          <w:p w:rsidR="006249D4" w:rsidRPr="00B54B5F" w:rsidRDefault="006249D4" w:rsidP="006249D4">
            <w:pPr>
              <w:jc w:val="center"/>
              <w:rPr>
                <w:rStyle w:val="CommentReference"/>
                <w:b w:val="0"/>
              </w:rPr>
            </w:pPr>
          </w:p>
        </w:tc>
        <w:tc>
          <w:tcPr>
            <w:tcW w:w="1276" w:type="dxa"/>
            <w:vAlign w:val="center"/>
          </w:tcPr>
          <w:p w:rsidR="006249D4" w:rsidRPr="00B54B5F" w:rsidRDefault="006249D4" w:rsidP="006249D4">
            <w:pPr>
              <w:jc w:val="center"/>
              <w:rPr>
                <w:rStyle w:val="CommentReference"/>
                <w:b w:val="0"/>
              </w:rPr>
            </w:pPr>
            <w:r>
              <w:rPr>
                <w:rStyle w:val="CommentReference"/>
                <w:b w:val="0"/>
              </w:rPr>
              <w:sym w:font="Wingdings" w:char="F0FC"/>
            </w:r>
          </w:p>
        </w:tc>
      </w:tr>
      <w:tr w:rsidR="006249D4" w:rsidRPr="00704755" w:rsidTr="006249D4">
        <w:trPr>
          <w:trHeight w:val="330"/>
        </w:trPr>
        <w:tc>
          <w:tcPr>
            <w:tcW w:w="1036" w:type="dxa"/>
            <w:vMerge/>
            <w:tcBorders>
              <w:bottom w:val="double" w:sz="4" w:space="0" w:color="auto"/>
            </w:tcBorders>
            <w:vAlign w:val="center"/>
          </w:tcPr>
          <w:p w:rsidR="006249D4" w:rsidRDefault="006249D4" w:rsidP="006249D4">
            <w:pPr>
              <w:jc w:val="left"/>
              <w:rPr>
                <w:rStyle w:val="CommentReference"/>
                <w:b w:val="0"/>
              </w:rPr>
            </w:pPr>
          </w:p>
        </w:tc>
        <w:tc>
          <w:tcPr>
            <w:tcW w:w="1515" w:type="dxa"/>
            <w:vMerge/>
            <w:tcBorders>
              <w:bottom w:val="double" w:sz="4" w:space="0" w:color="auto"/>
            </w:tcBorders>
            <w:vAlign w:val="center"/>
          </w:tcPr>
          <w:p w:rsidR="006249D4" w:rsidRDefault="006249D4" w:rsidP="006249D4">
            <w:pPr>
              <w:jc w:val="center"/>
              <w:rPr>
                <w:rStyle w:val="CommentReference"/>
                <w:b w:val="0"/>
              </w:rPr>
            </w:pPr>
          </w:p>
        </w:tc>
        <w:tc>
          <w:tcPr>
            <w:tcW w:w="1983" w:type="dxa"/>
            <w:tcBorders>
              <w:bottom w:val="double" w:sz="4" w:space="0" w:color="auto"/>
            </w:tcBorders>
            <w:vAlign w:val="center"/>
          </w:tcPr>
          <w:p w:rsidR="006249D4" w:rsidRPr="00704755" w:rsidRDefault="006249D4" w:rsidP="006249D4">
            <w:pPr>
              <w:jc w:val="center"/>
              <w:rPr>
                <w:rStyle w:val="CommentReference"/>
                <w:b w:val="0"/>
              </w:rPr>
            </w:pPr>
            <w:r>
              <w:rPr>
                <w:rStyle w:val="CommentReference"/>
                <w:b w:val="0"/>
              </w:rPr>
              <w:t>IPI treated</w:t>
            </w:r>
          </w:p>
        </w:tc>
        <w:tc>
          <w:tcPr>
            <w:tcW w:w="1276" w:type="dxa"/>
            <w:tcBorders>
              <w:bottom w:val="double" w:sz="4" w:space="0" w:color="auto"/>
            </w:tcBorders>
            <w:vAlign w:val="center"/>
          </w:tcPr>
          <w:p w:rsidR="006249D4" w:rsidRPr="00B54B5F" w:rsidRDefault="006249D4" w:rsidP="006249D4">
            <w:pPr>
              <w:jc w:val="center"/>
              <w:rPr>
                <w:rStyle w:val="CommentReference"/>
                <w:b w:val="0"/>
              </w:rPr>
            </w:pPr>
          </w:p>
        </w:tc>
        <w:tc>
          <w:tcPr>
            <w:tcW w:w="1276" w:type="dxa"/>
            <w:tcBorders>
              <w:bottom w:val="double" w:sz="4" w:space="0" w:color="auto"/>
            </w:tcBorders>
            <w:vAlign w:val="center"/>
          </w:tcPr>
          <w:p w:rsidR="006249D4" w:rsidRPr="00B54B5F" w:rsidRDefault="006249D4" w:rsidP="006249D4">
            <w:pPr>
              <w:jc w:val="center"/>
              <w:rPr>
                <w:rStyle w:val="CommentReference"/>
                <w:b w:val="0"/>
              </w:rPr>
            </w:pPr>
          </w:p>
        </w:tc>
        <w:tc>
          <w:tcPr>
            <w:tcW w:w="1276" w:type="dxa"/>
            <w:tcBorders>
              <w:bottom w:val="double" w:sz="4" w:space="0" w:color="auto"/>
            </w:tcBorders>
            <w:vAlign w:val="center"/>
          </w:tcPr>
          <w:p w:rsidR="006249D4" w:rsidRPr="00B54B5F" w:rsidRDefault="006249D4" w:rsidP="006249D4">
            <w:pPr>
              <w:jc w:val="center"/>
              <w:rPr>
                <w:rStyle w:val="CommentReference"/>
                <w:b w:val="0"/>
              </w:rPr>
            </w:pPr>
            <w:r>
              <w:rPr>
                <w:rStyle w:val="CommentReference"/>
                <w:b w:val="0"/>
              </w:rPr>
              <w:sym w:font="Wingdings" w:char="F0FC"/>
            </w:r>
          </w:p>
        </w:tc>
      </w:tr>
      <w:tr w:rsidR="006249D4" w:rsidRPr="00704755" w:rsidTr="006249D4">
        <w:tc>
          <w:tcPr>
            <w:tcW w:w="1036" w:type="dxa"/>
            <w:tcBorders>
              <w:top w:val="double" w:sz="4" w:space="0" w:color="auto"/>
              <w:bottom w:val="double" w:sz="4" w:space="0" w:color="auto"/>
            </w:tcBorders>
            <w:vAlign w:val="center"/>
          </w:tcPr>
          <w:p w:rsidR="006249D4" w:rsidRDefault="006249D4" w:rsidP="006249D4">
            <w:pPr>
              <w:jc w:val="left"/>
              <w:rPr>
                <w:rStyle w:val="CommentReference"/>
                <w:b w:val="0"/>
              </w:rPr>
            </w:pPr>
            <w:r>
              <w:rPr>
                <w:rStyle w:val="CommentReference"/>
                <w:b w:val="0"/>
              </w:rPr>
              <w:t xml:space="preserve">Part B2 </w:t>
            </w:r>
          </w:p>
          <w:p w:rsidR="006249D4" w:rsidRPr="00704755" w:rsidRDefault="006249D4" w:rsidP="006249D4">
            <w:pPr>
              <w:jc w:val="left"/>
              <w:rPr>
                <w:rStyle w:val="CommentReference"/>
                <w:b w:val="0"/>
              </w:rPr>
            </w:pPr>
            <w:r>
              <w:rPr>
                <w:rStyle w:val="CommentReference"/>
                <w:b w:val="0"/>
              </w:rPr>
              <w:t>(n=173)</w:t>
            </w:r>
          </w:p>
        </w:tc>
        <w:tc>
          <w:tcPr>
            <w:tcW w:w="1515" w:type="dxa"/>
            <w:tcBorders>
              <w:top w:val="double" w:sz="4" w:space="0" w:color="auto"/>
              <w:bottom w:val="double" w:sz="4" w:space="0" w:color="auto"/>
            </w:tcBorders>
            <w:vAlign w:val="center"/>
          </w:tcPr>
          <w:p w:rsidR="006249D4" w:rsidRDefault="006249D4" w:rsidP="006249D4">
            <w:pPr>
              <w:jc w:val="center"/>
              <w:rPr>
                <w:rStyle w:val="CommentReference"/>
                <w:b w:val="0"/>
              </w:rPr>
            </w:pPr>
            <w:r>
              <w:rPr>
                <w:rStyle w:val="CommentReference"/>
                <w:b w:val="0"/>
              </w:rPr>
              <w:t>2 mg/kg Q3W</w:t>
            </w:r>
          </w:p>
          <w:p w:rsidR="006249D4" w:rsidRPr="00704755" w:rsidRDefault="006249D4" w:rsidP="006249D4">
            <w:pPr>
              <w:jc w:val="center"/>
              <w:rPr>
                <w:rStyle w:val="CommentReference"/>
                <w:b w:val="0"/>
              </w:rPr>
            </w:pPr>
            <w:r>
              <w:rPr>
                <w:rStyle w:val="CommentReference"/>
                <w:b w:val="0"/>
              </w:rPr>
              <w:t>10 mg/kg Q3W</w:t>
            </w:r>
          </w:p>
        </w:tc>
        <w:tc>
          <w:tcPr>
            <w:tcW w:w="1983" w:type="dxa"/>
            <w:tcBorders>
              <w:top w:val="double" w:sz="4" w:space="0" w:color="auto"/>
              <w:bottom w:val="double" w:sz="4" w:space="0" w:color="auto"/>
            </w:tcBorders>
            <w:vAlign w:val="center"/>
          </w:tcPr>
          <w:p w:rsidR="006249D4" w:rsidRPr="00704755" w:rsidRDefault="006249D4" w:rsidP="006249D4">
            <w:pPr>
              <w:jc w:val="center"/>
              <w:rPr>
                <w:rStyle w:val="CommentReference"/>
                <w:b w:val="0"/>
              </w:rPr>
            </w:pPr>
            <w:r>
              <w:rPr>
                <w:rStyle w:val="CommentReference"/>
                <w:b w:val="0"/>
              </w:rPr>
              <w:t>IPI refractory</w:t>
            </w:r>
          </w:p>
        </w:tc>
        <w:tc>
          <w:tcPr>
            <w:tcW w:w="1276" w:type="dxa"/>
            <w:tcBorders>
              <w:top w:val="double" w:sz="4" w:space="0" w:color="auto"/>
              <w:bottom w:val="double" w:sz="4" w:space="0" w:color="auto"/>
            </w:tcBorders>
            <w:vAlign w:val="center"/>
          </w:tcPr>
          <w:p w:rsidR="006249D4" w:rsidRPr="00B54B5F" w:rsidRDefault="006249D4" w:rsidP="006249D4">
            <w:pPr>
              <w:jc w:val="center"/>
              <w:rPr>
                <w:rStyle w:val="CommentReference"/>
                <w:b w:val="0"/>
              </w:rPr>
            </w:pPr>
          </w:p>
        </w:tc>
        <w:tc>
          <w:tcPr>
            <w:tcW w:w="1276" w:type="dxa"/>
            <w:tcBorders>
              <w:top w:val="double" w:sz="4" w:space="0" w:color="auto"/>
              <w:bottom w:val="double" w:sz="4" w:space="0" w:color="auto"/>
            </w:tcBorders>
            <w:vAlign w:val="center"/>
          </w:tcPr>
          <w:p w:rsidR="006249D4" w:rsidRPr="00B54B5F" w:rsidRDefault="006249D4" w:rsidP="006249D4">
            <w:pPr>
              <w:jc w:val="center"/>
              <w:rPr>
                <w:rStyle w:val="CommentReference"/>
                <w:b w:val="0"/>
              </w:rPr>
            </w:pPr>
          </w:p>
        </w:tc>
        <w:tc>
          <w:tcPr>
            <w:tcW w:w="1276" w:type="dxa"/>
            <w:tcBorders>
              <w:top w:val="double" w:sz="4" w:space="0" w:color="auto"/>
              <w:bottom w:val="double" w:sz="4" w:space="0" w:color="auto"/>
            </w:tcBorders>
            <w:vAlign w:val="center"/>
          </w:tcPr>
          <w:p w:rsidR="006249D4" w:rsidRPr="00B54B5F" w:rsidRDefault="006249D4" w:rsidP="006249D4">
            <w:pPr>
              <w:jc w:val="center"/>
              <w:rPr>
                <w:rStyle w:val="CommentReference"/>
                <w:b w:val="0"/>
              </w:rPr>
            </w:pPr>
            <w:r>
              <w:rPr>
                <w:rStyle w:val="CommentReference"/>
                <w:b w:val="0"/>
              </w:rPr>
              <w:sym w:font="Wingdings" w:char="F0FC"/>
            </w:r>
          </w:p>
        </w:tc>
      </w:tr>
      <w:tr w:rsidR="006249D4" w:rsidRPr="00704755" w:rsidTr="006249D4">
        <w:trPr>
          <w:trHeight w:val="240"/>
        </w:trPr>
        <w:tc>
          <w:tcPr>
            <w:tcW w:w="1036" w:type="dxa"/>
            <w:vMerge w:val="restart"/>
            <w:tcBorders>
              <w:top w:val="double" w:sz="4" w:space="0" w:color="auto"/>
            </w:tcBorders>
            <w:vAlign w:val="center"/>
          </w:tcPr>
          <w:p w:rsidR="006249D4" w:rsidRDefault="006249D4" w:rsidP="006249D4">
            <w:pPr>
              <w:jc w:val="left"/>
              <w:rPr>
                <w:rStyle w:val="CommentReference"/>
                <w:b w:val="0"/>
              </w:rPr>
            </w:pPr>
            <w:r>
              <w:rPr>
                <w:rStyle w:val="CommentReference"/>
                <w:b w:val="0"/>
              </w:rPr>
              <w:t xml:space="preserve">Part B3 </w:t>
            </w:r>
          </w:p>
          <w:p w:rsidR="006249D4" w:rsidRPr="00704755" w:rsidRDefault="006249D4" w:rsidP="006249D4">
            <w:pPr>
              <w:jc w:val="left"/>
              <w:rPr>
                <w:rStyle w:val="CommentReference"/>
                <w:b w:val="0"/>
              </w:rPr>
            </w:pPr>
            <w:r>
              <w:rPr>
                <w:rStyle w:val="CommentReference"/>
                <w:b w:val="0"/>
              </w:rPr>
              <w:t>(n=248)</w:t>
            </w:r>
          </w:p>
        </w:tc>
        <w:tc>
          <w:tcPr>
            <w:tcW w:w="1515" w:type="dxa"/>
            <w:vMerge w:val="restart"/>
            <w:tcBorders>
              <w:top w:val="double" w:sz="4" w:space="0" w:color="auto"/>
            </w:tcBorders>
            <w:vAlign w:val="center"/>
          </w:tcPr>
          <w:p w:rsidR="006249D4" w:rsidRDefault="006249D4" w:rsidP="006249D4">
            <w:pPr>
              <w:jc w:val="center"/>
              <w:rPr>
                <w:rStyle w:val="CommentReference"/>
                <w:b w:val="0"/>
              </w:rPr>
            </w:pPr>
            <w:r>
              <w:rPr>
                <w:rStyle w:val="CommentReference"/>
                <w:b w:val="0"/>
              </w:rPr>
              <w:t>10 mg/kg Q2W</w:t>
            </w:r>
          </w:p>
          <w:p w:rsidR="006249D4" w:rsidRPr="00704755" w:rsidRDefault="006249D4" w:rsidP="006249D4">
            <w:pPr>
              <w:jc w:val="center"/>
              <w:rPr>
                <w:rStyle w:val="CommentReference"/>
                <w:b w:val="0"/>
              </w:rPr>
            </w:pPr>
            <w:r>
              <w:rPr>
                <w:rStyle w:val="CommentReference"/>
                <w:b w:val="0"/>
              </w:rPr>
              <w:t>10 mg/kg Q3W</w:t>
            </w:r>
          </w:p>
        </w:tc>
        <w:tc>
          <w:tcPr>
            <w:tcW w:w="1983" w:type="dxa"/>
            <w:tcBorders>
              <w:top w:val="double" w:sz="4" w:space="0" w:color="auto"/>
              <w:bottom w:val="single" w:sz="4" w:space="0" w:color="auto"/>
            </w:tcBorders>
            <w:vAlign w:val="center"/>
          </w:tcPr>
          <w:p w:rsidR="006249D4" w:rsidRPr="00704755" w:rsidRDefault="006249D4" w:rsidP="006249D4">
            <w:pPr>
              <w:jc w:val="center"/>
              <w:rPr>
                <w:rStyle w:val="CommentReference"/>
                <w:b w:val="0"/>
              </w:rPr>
            </w:pPr>
            <w:r>
              <w:rPr>
                <w:rStyle w:val="CommentReference"/>
                <w:b w:val="0"/>
              </w:rPr>
              <w:t>IPI naïve</w:t>
            </w:r>
          </w:p>
        </w:tc>
        <w:tc>
          <w:tcPr>
            <w:tcW w:w="1276" w:type="dxa"/>
            <w:tcBorders>
              <w:top w:val="double" w:sz="4" w:space="0" w:color="auto"/>
              <w:bottom w:val="single" w:sz="4" w:space="0" w:color="auto"/>
            </w:tcBorders>
            <w:vAlign w:val="center"/>
          </w:tcPr>
          <w:p w:rsidR="006249D4" w:rsidRPr="00B54B5F" w:rsidRDefault="006249D4" w:rsidP="006249D4">
            <w:pPr>
              <w:jc w:val="center"/>
              <w:rPr>
                <w:rStyle w:val="CommentReference"/>
                <w:b w:val="0"/>
              </w:rPr>
            </w:pPr>
            <w:r>
              <w:rPr>
                <w:rStyle w:val="CommentReference"/>
                <w:b w:val="0"/>
              </w:rPr>
              <w:sym w:font="Wingdings" w:char="F0FC"/>
            </w:r>
          </w:p>
        </w:tc>
        <w:tc>
          <w:tcPr>
            <w:tcW w:w="1276" w:type="dxa"/>
            <w:tcBorders>
              <w:top w:val="double" w:sz="4" w:space="0" w:color="auto"/>
              <w:bottom w:val="single" w:sz="4" w:space="0" w:color="auto"/>
            </w:tcBorders>
            <w:vAlign w:val="center"/>
          </w:tcPr>
          <w:p w:rsidR="006249D4" w:rsidRPr="00B54B5F" w:rsidRDefault="006249D4" w:rsidP="006249D4">
            <w:pPr>
              <w:jc w:val="center"/>
              <w:rPr>
                <w:rStyle w:val="CommentReference"/>
                <w:b w:val="0"/>
              </w:rPr>
            </w:pPr>
            <w:r>
              <w:rPr>
                <w:rStyle w:val="CommentReference"/>
                <w:b w:val="0"/>
              </w:rPr>
              <w:sym w:font="Wingdings" w:char="F0FC"/>
            </w:r>
          </w:p>
        </w:tc>
        <w:tc>
          <w:tcPr>
            <w:tcW w:w="1276" w:type="dxa"/>
            <w:tcBorders>
              <w:top w:val="double" w:sz="4" w:space="0" w:color="auto"/>
              <w:bottom w:val="single" w:sz="4" w:space="0" w:color="auto"/>
            </w:tcBorders>
            <w:vAlign w:val="center"/>
          </w:tcPr>
          <w:p w:rsidR="006249D4" w:rsidRPr="00B54B5F" w:rsidRDefault="006249D4" w:rsidP="006249D4">
            <w:pPr>
              <w:jc w:val="center"/>
              <w:rPr>
                <w:rStyle w:val="CommentReference"/>
                <w:b w:val="0"/>
              </w:rPr>
            </w:pPr>
          </w:p>
        </w:tc>
      </w:tr>
      <w:tr w:rsidR="006249D4" w:rsidRPr="00704755" w:rsidTr="006249D4">
        <w:trPr>
          <w:trHeight w:val="225"/>
        </w:trPr>
        <w:tc>
          <w:tcPr>
            <w:tcW w:w="1036" w:type="dxa"/>
            <w:vMerge/>
            <w:tcBorders>
              <w:bottom w:val="double" w:sz="4" w:space="0" w:color="auto"/>
            </w:tcBorders>
            <w:vAlign w:val="center"/>
          </w:tcPr>
          <w:p w:rsidR="006249D4" w:rsidRDefault="006249D4" w:rsidP="006249D4">
            <w:pPr>
              <w:jc w:val="left"/>
              <w:rPr>
                <w:rStyle w:val="CommentReference"/>
                <w:b w:val="0"/>
              </w:rPr>
            </w:pPr>
          </w:p>
        </w:tc>
        <w:tc>
          <w:tcPr>
            <w:tcW w:w="1515" w:type="dxa"/>
            <w:vMerge/>
            <w:tcBorders>
              <w:bottom w:val="double" w:sz="4" w:space="0" w:color="auto"/>
            </w:tcBorders>
            <w:vAlign w:val="center"/>
          </w:tcPr>
          <w:p w:rsidR="006249D4" w:rsidRDefault="006249D4" w:rsidP="006249D4">
            <w:pPr>
              <w:jc w:val="center"/>
              <w:rPr>
                <w:rStyle w:val="CommentReference"/>
                <w:b w:val="0"/>
              </w:rPr>
            </w:pPr>
          </w:p>
        </w:tc>
        <w:tc>
          <w:tcPr>
            <w:tcW w:w="1983" w:type="dxa"/>
            <w:tcBorders>
              <w:bottom w:val="single" w:sz="4" w:space="0" w:color="auto"/>
            </w:tcBorders>
            <w:vAlign w:val="center"/>
          </w:tcPr>
          <w:p w:rsidR="006249D4" w:rsidRPr="00704755" w:rsidRDefault="006249D4" w:rsidP="006249D4">
            <w:pPr>
              <w:jc w:val="center"/>
              <w:rPr>
                <w:rStyle w:val="CommentReference"/>
                <w:b w:val="0"/>
              </w:rPr>
            </w:pPr>
            <w:r>
              <w:rPr>
                <w:rStyle w:val="CommentReference"/>
                <w:b w:val="0"/>
              </w:rPr>
              <w:t>IPI treated</w:t>
            </w:r>
          </w:p>
        </w:tc>
        <w:tc>
          <w:tcPr>
            <w:tcW w:w="1276" w:type="dxa"/>
            <w:tcBorders>
              <w:bottom w:val="single" w:sz="4" w:space="0" w:color="auto"/>
            </w:tcBorders>
            <w:vAlign w:val="center"/>
          </w:tcPr>
          <w:p w:rsidR="006249D4" w:rsidRPr="00B54B5F" w:rsidRDefault="006249D4" w:rsidP="006249D4">
            <w:pPr>
              <w:jc w:val="center"/>
              <w:rPr>
                <w:rStyle w:val="CommentReference"/>
                <w:b w:val="0"/>
              </w:rPr>
            </w:pPr>
          </w:p>
        </w:tc>
        <w:tc>
          <w:tcPr>
            <w:tcW w:w="1276" w:type="dxa"/>
            <w:tcBorders>
              <w:bottom w:val="single" w:sz="4" w:space="0" w:color="auto"/>
            </w:tcBorders>
            <w:vAlign w:val="center"/>
          </w:tcPr>
          <w:p w:rsidR="006249D4" w:rsidRPr="00B54B5F" w:rsidRDefault="006249D4" w:rsidP="006249D4">
            <w:pPr>
              <w:jc w:val="center"/>
              <w:rPr>
                <w:rStyle w:val="CommentReference"/>
                <w:b w:val="0"/>
              </w:rPr>
            </w:pPr>
          </w:p>
        </w:tc>
        <w:tc>
          <w:tcPr>
            <w:tcW w:w="1276" w:type="dxa"/>
            <w:tcBorders>
              <w:bottom w:val="single" w:sz="4" w:space="0" w:color="auto"/>
            </w:tcBorders>
            <w:vAlign w:val="center"/>
          </w:tcPr>
          <w:p w:rsidR="006249D4" w:rsidRPr="00B54B5F" w:rsidRDefault="006249D4" w:rsidP="006249D4">
            <w:pPr>
              <w:jc w:val="center"/>
              <w:rPr>
                <w:rStyle w:val="CommentReference"/>
                <w:b w:val="0"/>
              </w:rPr>
            </w:pPr>
          </w:p>
        </w:tc>
      </w:tr>
      <w:tr w:rsidR="006249D4" w:rsidRPr="00704755" w:rsidTr="006249D4">
        <w:trPr>
          <w:trHeight w:val="225"/>
        </w:trPr>
        <w:tc>
          <w:tcPr>
            <w:tcW w:w="1036" w:type="dxa"/>
            <w:vMerge/>
            <w:tcBorders>
              <w:top w:val="double" w:sz="4" w:space="0" w:color="auto"/>
              <w:bottom w:val="double" w:sz="4" w:space="0" w:color="auto"/>
            </w:tcBorders>
            <w:vAlign w:val="center"/>
          </w:tcPr>
          <w:p w:rsidR="006249D4" w:rsidRDefault="006249D4" w:rsidP="006249D4">
            <w:pPr>
              <w:jc w:val="left"/>
              <w:rPr>
                <w:rStyle w:val="CommentReference"/>
                <w:b w:val="0"/>
              </w:rPr>
            </w:pPr>
          </w:p>
        </w:tc>
        <w:tc>
          <w:tcPr>
            <w:tcW w:w="1515" w:type="dxa"/>
            <w:vMerge/>
            <w:tcBorders>
              <w:top w:val="double" w:sz="4" w:space="0" w:color="auto"/>
              <w:bottom w:val="double" w:sz="4" w:space="0" w:color="auto"/>
            </w:tcBorders>
            <w:vAlign w:val="center"/>
          </w:tcPr>
          <w:p w:rsidR="006249D4" w:rsidRDefault="006249D4" w:rsidP="006249D4">
            <w:pPr>
              <w:jc w:val="center"/>
              <w:rPr>
                <w:rStyle w:val="CommentReference"/>
                <w:b w:val="0"/>
              </w:rPr>
            </w:pPr>
          </w:p>
        </w:tc>
        <w:tc>
          <w:tcPr>
            <w:tcW w:w="1983" w:type="dxa"/>
            <w:tcBorders>
              <w:top w:val="single" w:sz="4" w:space="0" w:color="auto"/>
              <w:bottom w:val="double" w:sz="4" w:space="0" w:color="auto"/>
            </w:tcBorders>
            <w:vAlign w:val="center"/>
          </w:tcPr>
          <w:p w:rsidR="006249D4" w:rsidRDefault="006249D4" w:rsidP="006249D4">
            <w:pPr>
              <w:jc w:val="center"/>
              <w:rPr>
                <w:rStyle w:val="CommentReference"/>
                <w:b w:val="0"/>
              </w:rPr>
            </w:pPr>
            <w:r>
              <w:rPr>
                <w:rStyle w:val="CommentReference"/>
                <w:b w:val="0"/>
              </w:rPr>
              <w:t>IPI refractory</w:t>
            </w:r>
          </w:p>
        </w:tc>
        <w:tc>
          <w:tcPr>
            <w:tcW w:w="1276" w:type="dxa"/>
            <w:tcBorders>
              <w:top w:val="single" w:sz="4" w:space="0" w:color="auto"/>
              <w:bottom w:val="double" w:sz="4" w:space="0" w:color="auto"/>
            </w:tcBorders>
            <w:vAlign w:val="center"/>
          </w:tcPr>
          <w:p w:rsidR="006249D4" w:rsidRPr="00B54B5F" w:rsidRDefault="006249D4" w:rsidP="006249D4">
            <w:pPr>
              <w:jc w:val="center"/>
              <w:rPr>
                <w:rStyle w:val="CommentReference"/>
                <w:b w:val="0"/>
              </w:rPr>
            </w:pPr>
          </w:p>
        </w:tc>
        <w:tc>
          <w:tcPr>
            <w:tcW w:w="1276" w:type="dxa"/>
            <w:tcBorders>
              <w:top w:val="single" w:sz="4" w:space="0" w:color="auto"/>
              <w:bottom w:val="double" w:sz="4" w:space="0" w:color="auto"/>
            </w:tcBorders>
            <w:vAlign w:val="center"/>
          </w:tcPr>
          <w:p w:rsidR="006249D4" w:rsidRPr="00B54B5F" w:rsidRDefault="006249D4" w:rsidP="006249D4">
            <w:pPr>
              <w:jc w:val="center"/>
              <w:rPr>
                <w:rStyle w:val="CommentReference"/>
                <w:b w:val="0"/>
              </w:rPr>
            </w:pPr>
          </w:p>
        </w:tc>
        <w:tc>
          <w:tcPr>
            <w:tcW w:w="1276" w:type="dxa"/>
            <w:tcBorders>
              <w:top w:val="single" w:sz="4" w:space="0" w:color="auto"/>
              <w:bottom w:val="double" w:sz="4" w:space="0" w:color="auto"/>
            </w:tcBorders>
            <w:vAlign w:val="center"/>
          </w:tcPr>
          <w:p w:rsidR="006249D4" w:rsidRPr="00B54B5F" w:rsidRDefault="006249D4" w:rsidP="006249D4">
            <w:pPr>
              <w:jc w:val="center"/>
              <w:rPr>
                <w:rStyle w:val="CommentReference"/>
                <w:b w:val="0"/>
              </w:rPr>
            </w:pPr>
          </w:p>
        </w:tc>
      </w:tr>
      <w:tr w:rsidR="006249D4" w:rsidRPr="00704755" w:rsidTr="006249D4">
        <w:tc>
          <w:tcPr>
            <w:tcW w:w="1036" w:type="dxa"/>
            <w:tcBorders>
              <w:top w:val="double" w:sz="4" w:space="0" w:color="auto"/>
            </w:tcBorders>
            <w:vAlign w:val="center"/>
          </w:tcPr>
          <w:p w:rsidR="006249D4" w:rsidRDefault="006249D4" w:rsidP="006249D4">
            <w:pPr>
              <w:jc w:val="left"/>
              <w:rPr>
                <w:rStyle w:val="CommentReference"/>
                <w:b w:val="0"/>
              </w:rPr>
            </w:pPr>
            <w:r>
              <w:rPr>
                <w:rStyle w:val="CommentReference"/>
                <w:b w:val="0"/>
              </w:rPr>
              <w:t xml:space="preserve">Part D </w:t>
            </w:r>
          </w:p>
          <w:p w:rsidR="006249D4" w:rsidRPr="00704755" w:rsidRDefault="006249D4" w:rsidP="006249D4">
            <w:pPr>
              <w:jc w:val="left"/>
              <w:rPr>
                <w:rStyle w:val="CommentReference"/>
                <w:b w:val="0"/>
              </w:rPr>
            </w:pPr>
            <w:r>
              <w:rPr>
                <w:rStyle w:val="CommentReference"/>
                <w:b w:val="0"/>
              </w:rPr>
              <w:t>(n=103)</w:t>
            </w:r>
          </w:p>
        </w:tc>
        <w:tc>
          <w:tcPr>
            <w:tcW w:w="1515" w:type="dxa"/>
            <w:tcBorders>
              <w:top w:val="double" w:sz="4" w:space="0" w:color="auto"/>
            </w:tcBorders>
            <w:vAlign w:val="center"/>
          </w:tcPr>
          <w:p w:rsidR="006249D4" w:rsidRDefault="006249D4" w:rsidP="006249D4">
            <w:pPr>
              <w:jc w:val="center"/>
              <w:rPr>
                <w:rStyle w:val="CommentReference"/>
                <w:b w:val="0"/>
              </w:rPr>
            </w:pPr>
            <w:r>
              <w:rPr>
                <w:rStyle w:val="CommentReference"/>
                <w:b w:val="0"/>
              </w:rPr>
              <w:t>2 mg/kg Q3W</w:t>
            </w:r>
          </w:p>
          <w:p w:rsidR="006249D4" w:rsidRPr="00704755" w:rsidRDefault="006249D4" w:rsidP="006249D4">
            <w:pPr>
              <w:jc w:val="center"/>
              <w:rPr>
                <w:rStyle w:val="CommentReference"/>
                <w:b w:val="0"/>
              </w:rPr>
            </w:pPr>
            <w:r>
              <w:rPr>
                <w:rStyle w:val="CommentReference"/>
                <w:b w:val="0"/>
              </w:rPr>
              <w:t>10 mg/kg Q3W</w:t>
            </w:r>
          </w:p>
        </w:tc>
        <w:tc>
          <w:tcPr>
            <w:tcW w:w="1983" w:type="dxa"/>
            <w:tcBorders>
              <w:top w:val="double" w:sz="4" w:space="0" w:color="auto"/>
            </w:tcBorders>
            <w:vAlign w:val="center"/>
          </w:tcPr>
          <w:p w:rsidR="006249D4" w:rsidRPr="00704755" w:rsidRDefault="006249D4" w:rsidP="006249D4">
            <w:pPr>
              <w:jc w:val="center"/>
              <w:rPr>
                <w:rStyle w:val="CommentReference"/>
                <w:b w:val="0"/>
              </w:rPr>
            </w:pPr>
            <w:r>
              <w:rPr>
                <w:rStyle w:val="CommentReference"/>
                <w:b w:val="0"/>
              </w:rPr>
              <w:t>IPI naïve</w:t>
            </w:r>
          </w:p>
        </w:tc>
        <w:tc>
          <w:tcPr>
            <w:tcW w:w="1276" w:type="dxa"/>
            <w:tcBorders>
              <w:top w:val="double" w:sz="4" w:space="0" w:color="auto"/>
            </w:tcBorders>
            <w:vAlign w:val="center"/>
          </w:tcPr>
          <w:p w:rsidR="006249D4" w:rsidRPr="00B54B5F" w:rsidRDefault="006249D4" w:rsidP="006249D4">
            <w:pPr>
              <w:jc w:val="center"/>
              <w:rPr>
                <w:rStyle w:val="CommentReference"/>
                <w:b w:val="0"/>
              </w:rPr>
            </w:pPr>
            <w:r>
              <w:rPr>
                <w:rStyle w:val="CommentReference"/>
                <w:b w:val="0"/>
              </w:rPr>
              <w:sym w:font="Wingdings" w:char="F0FC"/>
            </w:r>
          </w:p>
        </w:tc>
        <w:tc>
          <w:tcPr>
            <w:tcW w:w="1276" w:type="dxa"/>
            <w:tcBorders>
              <w:top w:val="double" w:sz="4" w:space="0" w:color="auto"/>
            </w:tcBorders>
            <w:vAlign w:val="center"/>
          </w:tcPr>
          <w:p w:rsidR="006249D4" w:rsidRPr="00B54B5F" w:rsidRDefault="006249D4" w:rsidP="006249D4">
            <w:pPr>
              <w:jc w:val="center"/>
              <w:rPr>
                <w:rStyle w:val="CommentReference"/>
                <w:b w:val="0"/>
              </w:rPr>
            </w:pPr>
            <w:r>
              <w:rPr>
                <w:rStyle w:val="CommentReference"/>
                <w:b w:val="0"/>
              </w:rPr>
              <w:sym w:font="Wingdings" w:char="F0FC"/>
            </w:r>
          </w:p>
        </w:tc>
        <w:tc>
          <w:tcPr>
            <w:tcW w:w="1276" w:type="dxa"/>
            <w:tcBorders>
              <w:top w:val="double" w:sz="4" w:space="0" w:color="auto"/>
            </w:tcBorders>
            <w:vAlign w:val="center"/>
          </w:tcPr>
          <w:p w:rsidR="006249D4" w:rsidRPr="00B54B5F" w:rsidRDefault="006249D4" w:rsidP="006249D4">
            <w:pPr>
              <w:jc w:val="center"/>
              <w:rPr>
                <w:rStyle w:val="CommentReference"/>
                <w:b w:val="0"/>
              </w:rPr>
            </w:pPr>
            <w:r>
              <w:rPr>
                <w:rStyle w:val="CommentReference"/>
                <w:b w:val="0"/>
              </w:rPr>
              <w:sym w:font="Wingdings" w:char="F0FC"/>
            </w:r>
          </w:p>
        </w:tc>
      </w:tr>
    </w:tbl>
    <w:p w:rsidR="006249D4" w:rsidRPr="00A3763E" w:rsidRDefault="006249D4" w:rsidP="006249D4">
      <w:pPr>
        <w:pStyle w:val="TableFooter"/>
        <w:ind w:left="709"/>
        <w:rPr>
          <w:rStyle w:val="CommentReference"/>
          <w:b w:val="0"/>
          <w:sz w:val="18"/>
        </w:rPr>
      </w:pPr>
      <w:r>
        <w:rPr>
          <w:rStyle w:val="CommentReference"/>
          <w:b w:val="0"/>
          <w:sz w:val="18"/>
        </w:rPr>
        <w:t>IPI=ipilimumab; Q2W=once every 2 weeks; Q3W=once every 3 weeks</w:t>
      </w:r>
    </w:p>
    <w:p w:rsidR="006249D4" w:rsidRPr="007F1017" w:rsidRDefault="006249D4" w:rsidP="006249D4">
      <w:pPr>
        <w:pStyle w:val="TableFooter"/>
        <w:ind w:firstLine="720"/>
        <w:rPr>
          <w:szCs w:val="18"/>
        </w:rPr>
      </w:pPr>
      <w:r w:rsidRPr="00A3763E">
        <w:rPr>
          <w:rStyle w:val="CommentReference"/>
          <w:b w:val="0"/>
          <w:sz w:val="18"/>
        </w:rPr>
        <w:t xml:space="preserve">Source: </w:t>
      </w:r>
      <w:r>
        <w:rPr>
          <w:rStyle w:val="CommentReference"/>
          <w:b w:val="0"/>
          <w:sz w:val="18"/>
        </w:rPr>
        <w:t>p97-101 of the</w:t>
      </w:r>
      <w:r w:rsidR="00673951">
        <w:rPr>
          <w:rStyle w:val="CommentReference"/>
          <w:b w:val="0"/>
          <w:sz w:val="18"/>
        </w:rPr>
        <w:t xml:space="preserve"> Clinical Study Report</w:t>
      </w:r>
      <w:r>
        <w:rPr>
          <w:rStyle w:val="CommentReference"/>
          <w:b w:val="0"/>
          <w:sz w:val="18"/>
        </w:rPr>
        <w:t xml:space="preserve"> </w:t>
      </w:r>
      <w:r w:rsidR="00673951">
        <w:rPr>
          <w:rStyle w:val="CommentReference"/>
          <w:b w:val="0"/>
          <w:sz w:val="18"/>
        </w:rPr>
        <w:t>(</w:t>
      </w:r>
      <w:r>
        <w:rPr>
          <w:rStyle w:val="CommentReference"/>
          <w:b w:val="0"/>
          <w:sz w:val="18"/>
        </w:rPr>
        <w:t>CSR</w:t>
      </w:r>
      <w:r w:rsidR="00673951">
        <w:rPr>
          <w:rStyle w:val="CommentReference"/>
          <w:b w:val="0"/>
          <w:sz w:val="18"/>
        </w:rPr>
        <w:t>)</w:t>
      </w:r>
      <w:r>
        <w:rPr>
          <w:rStyle w:val="CommentReference"/>
          <w:b w:val="0"/>
          <w:sz w:val="18"/>
        </w:rPr>
        <w:t xml:space="preserve"> for KN-001</w:t>
      </w:r>
    </w:p>
    <w:p w:rsidR="00B60939" w:rsidRPr="00DE0D7F" w:rsidRDefault="00B60939" w:rsidP="00B60939">
      <w:pPr>
        <w:rPr>
          <w:szCs w:val="22"/>
        </w:rPr>
      </w:pPr>
    </w:p>
    <w:p w:rsidR="006249D4" w:rsidRDefault="006249D4" w:rsidP="00B60939">
      <w:pPr>
        <w:rPr>
          <w:b/>
          <w:i/>
        </w:rPr>
      </w:pPr>
      <w:r w:rsidRPr="006249D4">
        <w:rPr>
          <w:b/>
          <w:i/>
        </w:rPr>
        <w:t>Comparative effectiveness</w:t>
      </w:r>
    </w:p>
    <w:p w:rsidR="006249D4" w:rsidRPr="00DE0D7F" w:rsidRDefault="006249D4" w:rsidP="00B60939"/>
    <w:p w:rsidR="006249D4" w:rsidRPr="00CF5B43" w:rsidRDefault="006249D4" w:rsidP="006249D4">
      <w:pPr>
        <w:pStyle w:val="ListParagraph"/>
        <w:widowControl/>
        <w:numPr>
          <w:ilvl w:val="1"/>
          <w:numId w:val="1"/>
        </w:numPr>
        <w:rPr>
          <w:szCs w:val="22"/>
        </w:rPr>
      </w:pPr>
      <w:r w:rsidRPr="00CF5B43">
        <w:rPr>
          <w:szCs w:val="22"/>
        </w:rPr>
        <w:t>T</w:t>
      </w:r>
      <w:r>
        <w:rPr>
          <w:szCs w:val="22"/>
        </w:rPr>
        <w:t>he table below</w:t>
      </w:r>
      <w:r w:rsidRPr="00CF5B43">
        <w:rPr>
          <w:szCs w:val="22"/>
        </w:rPr>
        <w:t xml:space="preserve"> provides a summary of PFS and OS data </w:t>
      </w:r>
      <w:r w:rsidR="00F60631">
        <w:rPr>
          <w:szCs w:val="22"/>
        </w:rPr>
        <w:t xml:space="preserve">from KN-001 for pembrolizumab </w:t>
      </w:r>
      <w:r w:rsidR="003C781A">
        <w:rPr>
          <w:szCs w:val="22"/>
        </w:rPr>
        <w:t xml:space="preserve">alongside </w:t>
      </w:r>
      <w:r w:rsidR="003C781A" w:rsidRPr="00DE0D7F">
        <w:rPr>
          <w:szCs w:val="22"/>
        </w:rPr>
        <w:t>ipilimumab data from Hodi 2010</w:t>
      </w:r>
      <w:r>
        <w:rPr>
          <w:szCs w:val="22"/>
        </w:rPr>
        <w:t xml:space="preserve"> </w:t>
      </w:r>
      <w:r w:rsidRPr="00CF5B43">
        <w:rPr>
          <w:szCs w:val="22"/>
        </w:rPr>
        <w:t>as follows:</w:t>
      </w:r>
    </w:p>
    <w:p w:rsidR="00DE0D7F" w:rsidRDefault="00D863AD" w:rsidP="00DE0D7F">
      <w:pPr>
        <w:pStyle w:val="ListParagraph"/>
        <w:widowControl/>
        <w:numPr>
          <w:ilvl w:val="0"/>
          <w:numId w:val="9"/>
        </w:numPr>
        <w:ind w:left="1134" w:hanging="425"/>
        <w:rPr>
          <w:szCs w:val="22"/>
        </w:rPr>
      </w:pPr>
      <w:r>
        <w:rPr>
          <w:szCs w:val="22"/>
        </w:rPr>
        <w:t>a</w:t>
      </w:r>
      <w:r w:rsidR="006249D4" w:rsidRPr="00DE0D7F">
        <w:rPr>
          <w:szCs w:val="22"/>
        </w:rPr>
        <w:t>s presented in the submission, based on the ipilimumab-naïve groups of KN</w:t>
      </w:r>
      <w:r w:rsidR="003C781A">
        <w:rPr>
          <w:szCs w:val="22"/>
        </w:rPr>
        <w:t>-001 melanoma participants at the April 2014 data cut</w:t>
      </w:r>
      <w:r w:rsidR="0032121E">
        <w:rPr>
          <w:rStyle w:val="FootnoteReference"/>
          <w:szCs w:val="22"/>
        </w:rPr>
        <w:footnoteReference w:id="1"/>
      </w:r>
    </w:p>
    <w:p w:rsidR="006249D4" w:rsidRPr="00DE0D7F" w:rsidRDefault="00D863AD" w:rsidP="00DE0D7F">
      <w:pPr>
        <w:pStyle w:val="ListParagraph"/>
        <w:widowControl/>
        <w:numPr>
          <w:ilvl w:val="0"/>
          <w:numId w:val="9"/>
        </w:numPr>
        <w:ind w:left="1134" w:hanging="425"/>
        <w:rPr>
          <w:szCs w:val="22"/>
        </w:rPr>
      </w:pPr>
      <w:r>
        <w:rPr>
          <w:szCs w:val="22"/>
        </w:rPr>
        <w:t>a</w:t>
      </w:r>
      <w:r w:rsidR="006249D4" w:rsidRPr="00DE0D7F">
        <w:rPr>
          <w:szCs w:val="22"/>
        </w:rPr>
        <w:t xml:space="preserve">s </w:t>
      </w:r>
      <w:r>
        <w:rPr>
          <w:szCs w:val="22"/>
        </w:rPr>
        <w:t xml:space="preserve">compared with </w:t>
      </w:r>
      <w:r w:rsidR="006249D4" w:rsidRPr="00DE0D7F">
        <w:rPr>
          <w:szCs w:val="22"/>
        </w:rPr>
        <w:t>the two published papers (Robert et al</w:t>
      </w:r>
      <w:r>
        <w:rPr>
          <w:szCs w:val="22"/>
        </w:rPr>
        <w:t>,</w:t>
      </w:r>
      <w:r w:rsidR="006249D4" w:rsidRPr="00DE0D7F">
        <w:rPr>
          <w:szCs w:val="22"/>
        </w:rPr>
        <w:t xml:space="preserve"> 2014 and Hami</w:t>
      </w:r>
      <w:r>
        <w:rPr>
          <w:szCs w:val="22"/>
        </w:rPr>
        <w:t>d</w:t>
      </w:r>
      <w:r w:rsidR="006249D4" w:rsidRPr="00DE0D7F">
        <w:rPr>
          <w:szCs w:val="22"/>
        </w:rPr>
        <w:t xml:space="preserve"> et al</w:t>
      </w:r>
      <w:r>
        <w:rPr>
          <w:szCs w:val="22"/>
        </w:rPr>
        <w:t>,</w:t>
      </w:r>
      <w:r w:rsidR="006249D4" w:rsidRPr="00DE0D7F">
        <w:rPr>
          <w:szCs w:val="22"/>
        </w:rPr>
        <w:t xml:space="preserve"> 2013) of Parts B2 and B1 of KN-001, respectively</w:t>
      </w:r>
      <w:r>
        <w:rPr>
          <w:szCs w:val="22"/>
        </w:rPr>
        <w:t>.</w:t>
      </w:r>
      <w:r w:rsidR="0032121E">
        <w:rPr>
          <w:szCs w:val="22"/>
        </w:rPr>
        <w:t xml:space="preserve">  It should also be noted that:</w:t>
      </w:r>
    </w:p>
    <w:p w:rsidR="006249D4" w:rsidRPr="00CF5B43" w:rsidRDefault="006249D4" w:rsidP="006249D4">
      <w:pPr>
        <w:pStyle w:val="ListParagraph"/>
        <w:widowControl/>
        <w:numPr>
          <w:ilvl w:val="1"/>
          <w:numId w:val="9"/>
        </w:numPr>
        <w:rPr>
          <w:szCs w:val="22"/>
        </w:rPr>
      </w:pPr>
      <w:r w:rsidRPr="00CF5B43">
        <w:rPr>
          <w:szCs w:val="22"/>
        </w:rPr>
        <w:t xml:space="preserve">Robert </w:t>
      </w:r>
      <w:r w:rsidR="00D863AD">
        <w:rPr>
          <w:szCs w:val="22"/>
        </w:rPr>
        <w:t xml:space="preserve">et al, </w:t>
      </w:r>
      <w:r w:rsidRPr="00CF5B43">
        <w:rPr>
          <w:szCs w:val="22"/>
        </w:rPr>
        <w:t xml:space="preserve">2014 </w:t>
      </w:r>
      <w:r w:rsidR="00D863AD">
        <w:rPr>
          <w:szCs w:val="22"/>
        </w:rPr>
        <w:t>presented</w:t>
      </w:r>
      <w:r w:rsidRPr="00CF5B43">
        <w:rPr>
          <w:szCs w:val="22"/>
        </w:rPr>
        <w:t xml:space="preserve"> data excluded by the submission for ipilimumab-refractory patients from the October 2013 data cut</w:t>
      </w:r>
      <w:r w:rsidR="00D863AD">
        <w:rPr>
          <w:szCs w:val="22"/>
        </w:rPr>
        <w:t>.</w:t>
      </w:r>
    </w:p>
    <w:p w:rsidR="006249D4" w:rsidRPr="00CF5B43" w:rsidRDefault="00D863AD" w:rsidP="006249D4">
      <w:pPr>
        <w:pStyle w:val="ListParagraph"/>
        <w:widowControl/>
        <w:numPr>
          <w:ilvl w:val="1"/>
          <w:numId w:val="9"/>
        </w:numPr>
        <w:rPr>
          <w:szCs w:val="22"/>
        </w:rPr>
      </w:pPr>
      <w:r>
        <w:rPr>
          <w:szCs w:val="22"/>
        </w:rPr>
        <w:t>Hamid et al, 2013 included</w:t>
      </w:r>
      <w:r w:rsidR="006249D4" w:rsidRPr="00CF5B43">
        <w:rPr>
          <w:szCs w:val="22"/>
        </w:rPr>
        <w:t xml:space="preserve"> both ipilimumab-naïve and ipilimumab-treated patients from the March 2013 data cut.</w:t>
      </w:r>
    </w:p>
    <w:p w:rsidR="006249D4" w:rsidRDefault="006249D4" w:rsidP="006249D4">
      <w:pPr>
        <w:widowControl/>
        <w:ind w:left="720"/>
        <w:rPr>
          <w:szCs w:val="22"/>
        </w:rPr>
      </w:pPr>
      <w:r w:rsidRPr="00CF5B43">
        <w:rPr>
          <w:szCs w:val="22"/>
        </w:rPr>
        <w:t>The ESC noted that the data cut dates were earlier in the published papers than submitted for PBAC consideration, and advised a general preference for PFS and OS data to be based on longer-term follow-up.  The ESC noted that, even with clearer data cut information, it was not possible to ascertain if the median duration of follow-up was similar across the KN-001 and Hodi 2010 s</w:t>
      </w:r>
      <w:r w:rsidR="0032121E">
        <w:rPr>
          <w:szCs w:val="22"/>
        </w:rPr>
        <w:t>tudies</w:t>
      </w:r>
      <w:r w:rsidRPr="00CF5B43">
        <w:rPr>
          <w:szCs w:val="22"/>
        </w:rPr>
        <w:t>.</w:t>
      </w:r>
    </w:p>
    <w:p w:rsidR="006249D4" w:rsidRDefault="006249D4" w:rsidP="00D863AD">
      <w:pPr>
        <w:widowControl/>
        <w:rPr>
          <w:szCs w:val="22"/>
        </w:rPr>
      </w:pPr>
    </w:p>
    <w:p w:rsidR="00CA498A" w:rsidRDefault="00CA498A">
      <w:pPr>
        <w:widowControl/>
        <w:jc w:val="left"/>
        <w:rPr>
          <w:rFonts w:ascii="Arial Narrow" w:hAnsi="Arial Narrow"/>
          <w:b/>
          <w:sz w:val="20"/>
        </w:rPr>
      </w:pPr>
      <w:r>
        <w:rPr>
          <w:rFonts w:ascii="Arial Narrow" w:hAnsi="Arial Narrow"/>
          <w:b/>
          <w:sz w:val="20"/>
        </w:rPr>
        <w:br w:type="page"/>
      </w:r>
    </w:p>
    <w:p w:rsidR="006249D4" w:rsidRPr="00CF5B43" w:rsidRDefault="006249D4" w:rsidP="006249D4">
      <w:pPr>
        <w:ind w:left="709"/>
        <w:rPr>
          <w:rFonts w:ascii="Arial Narrow" w:hAnsi="Arial Narrow"/>
          <w:b/>
          <w:sz w:val="20"/>
        </w:rPr>
      </w:pPr>
      <w:r w:rsidRPr="00CF5B43">
        <w:rPr>
          <w:rFonts w:ascii="Arial Narrow" w:hAnsi="Arial Narrow"/>
          <w:b/>
          <w:sz w:val="20"/>
        </w:rPr>
        <w:lastRenderedPageBreak/>
        <w:t>Summary of PFS and OS results from the submission and published papers</w:t>
      </w:r>
    </w:p>
    <w:tbl>
      <w:tblPr>
        <w:tblStyle w:val="TableGrid"/>
        <w:tblW w:w="8505" w:type="dxa"/>
        <w:tblInd w:w="737" w:type="dxa"/>
        <w:tblLayout w:type="fixed"/>
        <w:tblCellMar>
          <w:left w:w="28" w:type="dxa"/>
          <w:right w:w="28" w:type="dxa"/>
        </w:tblCellMar>
        <w:tblLook w:val="04A0" w:firstRow="1" w:lastRow="0" w:firstColumn="1" w:lastColumn="0" w:noHBand="0" w:noVBand="1"/>
        <w:tblCaption w:val="Table summarising progression free survival and overall survival results from submitted and published papers"/>
      </w:tblPr>
      <w:tblGrid>
        <w:gridCol w:w="1278"/>
        <w:gridCol w:w="848"/>
        <w:gridCol w:w="851"/>
        <w:gridCol w:w="850"/>
        <w:gridCol w:w="851"/>
        <w:gridCol w:w="850"/>
        <w:gridCol w:w="709"/>
        <w:gridCol w:w="709"/>
        <w:gridCol w:w="709"/>
        <w:gridCol w:w="850"/>
      </w:tblGrid>
      <w:tr w:rsidR="006249D4" w:rsidRPr="00CF5B43" w:rsidTr="006249D4">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left"/>
              <w:rPr>
                <w:rFonts w:ascii="Arial Narrow" w:hAnsi="Arial Narrow"/>
                <w:b/>
                <w:sz w:val="19"/>
                <w:szCs w:val="19"/>
              </w:rPr>
            </w:pPr>
            <w:r w:rsidRPr="00CF5B43">
              <w:rPr>
                <w:rFonts w:ascii="Arial Narrow" w:hAnsi="Arial Narrow"/>
                <w:b/>
                <w:sz w:val="19"/>
                <w:szCs w:val="19"/>
              </w:rPr>
              <w:t xml:space="preserve">Submission </w:t>
            </w:r>
          </w:p>
          <w:p w:rsidR="006249D4" w:rsidRPr="00CF5B43" w:rsidRDefault="006249D4" w:rsidP="006249D4">
            <w:pPr>
              <w:jc w:val="left"/>
              <w:rPr>
                <w:rFonts w:ascii="Arial Narrow" w:hAnsi="Arial Narrow"/>
                <w:sz w:val="19"/>
                <w:szCs w:val="19"/>
              </w:rPr>
            </w:pPr>
            <w:r w:rsidRPr="00CF5B43">
              <w:rPr>
                <w:rFonts w:ascii="Arial Narrow" w:hAnsi="Arial Narrow"/>
                <w:sz w:val="19"/>
                <w:szCs w:val="19"/>
              </w:rPr>
              <w:t>KN-001</w:t>
            </w:r>
          </w:p>
          <w:p w:rsidR="006249D4" w:rsidRPr="00CF5B43" w:rsidRDefault="006249D4" w:rsidP="006249D4">
            <w:pPr>
              <w:snapToGrid w:val="0"/>
              <w:jc w:val="left"/>
              <w:rPr>
                <w:rFonts w:ascii="Arial Narrow" w:hAnsi="Arial Narrow"/>
                <w:b/>
                <w:sz w:val="18"/>
                <w:szCs w:val="18"/>
              </w:rPr>
            </w:pPr>
            <w:r w:rsidRPr="00CF5B43">
              <w:rPr>
                <w:rFonts w:ascii="Arial Narrow" w:hAnsi="Arial Narrow"/>
                <w:sz w:val="19"/>
                <w:szCs w:val="19"/>
              </w:rPr>
              <w:t>(ipi-naïve) April 2014 data cut</w:t>
            </w:r>
          </w:p>
        </w:tc>
        <w:tc>
          <w:tcPr>
            <w:tcW w:w="1699" w:type="dxa"/>
            <w:gridSpan w:val="2"/>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Part B3 </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(ipi-naïve sub-group)</w:t>
            </w:r>
          </w:p>
        </w:tc>
        <w:tc>
          <w:tcPr>
            <w:tcW w:w="1701" w:type="dxa"/>
            <w:gridSpan w:val="2"/>
            <w:tcBorders>
              <w:top w:val="single" w:sz="4" w:space="0" w:color="auto"/>
              <w:left w:val="doub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Part D </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(ipi-naïve)</w:t>
            </w:r>
          </w:p>
        </w:tc>
        <w:tc>
          <w:tcPr>
            <w:tcW w:w="2977" w:type="dxa"/>
            <w:gridSpan w:val="4"/>
            <w:tcBorders>
              <w:top w:val="single" w:sz="4" w:space="0" w:color="auto"/>
              <w:left w:val="double" w:sz="4" w:space="0" w:color="auto"/>
              <w:bottom w:val="single" w:sz="4" w:space="0" w:color="auto"/>
              <w:right w:val="double" w:sz="4" w:space="0" w:color="auto"/>
            </w:tcBorders>
            <w:vAlign w:val="center"/>
            <w:hideMark/>
          </w:tcPr>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Part B1 (ipi-naïve subgroup) plus Part D</w:t>
            </w:r>
            <w:r w:rsidRPr="00CF5B43">
              <w:rPr>
                <w:rFonts w:ascii="Arial Narrow" w:hAnsi="Arial Narrow"/>
                <w:b/>
                <w:sz w:val="18"/>
                <w:szCs w:val="18"/>
                <w:vertAlign w:val="superscript"/>
              </w:rPr>
              <w:t>a</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Hodi 2010</w:t>
            </w:r>
          </w:p>
        </w:tc>
      </w:tr>
      <w:tr w:rsidR="006249D4" w:rsidRPr="00CF5B43" w:rsidTr="006249D4">
        <w:tc>
          <w:tcPr>
            <w:tcW w:w="1278" w:type="dxa"/>
            <w:vMerge/>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widowControl/>
              <w:jc w:val="left"/>
              <w:rPr>
                <w:rFonts w:ascii="Arial Narrow" w:hAnsi="Arial Narrow"/>
                <w:b/>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10 mg/kg Q3W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N=65</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10 mg/kg Q2W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N=58</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2 mg/kg Q3W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N=51</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10 mg/kg Q3W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N=52</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2 mg/kg Q3W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N=73</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10 mg/kg Q3W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N=76</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10 mg/kg Q2W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N=41</w:t>
            </w:r>
          </w:p>
        </w:tc>
        <w:tc>
          <w:tcPr>
            <w:tcW w:w="709"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Total</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N=190</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IPI 3 mg/kg Q3W</w:t>
            </w:r>
          </w:p>
          <w:p w:rsidR="006249D4" w:rsidRPr="00CF5B43" w:rsidRDefault="006249D4" w:rsidP="006249D4">
            <w:pPr>
              <w:snapToGrid w:val="0"/>
              <w:jc w:val="center"/>
              <w:rPr>
                <w:rFonts w:ascii="Arial Narrow" w:hAnsi="Arial Narrow"/>
                <w:b/>
                <w:sz w:val="18"/>
                <w:szCs w:val="18"/>
              </w:rPr>
            </w:pPr>
            <w:r w:rsidRPr="00CF5B43">
              <w:rPr>
                <w:rFonts w:ascii="Arial Narrow" w:hAnsi="Arial Narrow"/>
                <w:b/>
                <w:sz w:val="18"/>
                <w:szCs w:val="18"/>
              </w:rPr>
              <w:t>N=137</w:t>
            </w:r>
          </w:p>
        </w:tc>
      </w:tr>
      <w:tr w:rsidR="006249D4" w:rsidRPr="00CF5B43" w:rsidTr="006249D4">
        <w:tc>
          <w:tcPr>
            <w:tcW w:w="8505" w:type="dxa"/>
            <w:gridSpan w:val="10"/>
            <w:tcBorders>
              <w:top w:val="single" w:sz="4" w:space="0" w:color="auto"/>
              <w:left w:val="single" w:sz="4" w:space="0" w:color="auto"/>
              <w:bottom w:val="single" w:sz="4" w:space="0" w:color="auto"/>
              <w:right w:val="single" w:sz="4" w:space="0" w:color="auto"/>
            </w:tcBorders>
            <w:hideMark/>
          </w:tcPr>
          <w:p w:rsidR="006249D4" w:rsidRPr="00CF5B43" w:rsidRDefault="006249D4" w:rsidP="006249D4">
            <w:pPr>
              <w:snapToGrid w:val="0"/>
              <w:jc w:val="left"/>
              <w:rPr>
                <w:rFonts w:ascii="Arial Narrow" w:hAnsi="Arial Narrow"/>
                <w:b/>
                <w:sz w:val="18"/>
                <w:szCs w:val="18"/>
              </w:rPr>
            </w:pPr>
            <w:r w:rsidRPr="00CF5B43">
              <w:rPr>
                <w:rFonts w:ascii="Arial Narrow" w:hAnsi="Arial Narrow"/>
                <w:b/>
                <w:sz w:val="18"/>
                <w:szCs w:val="18"/>
              </w:rPr>
              <w:t>Progression-free survival (RECIST independent central review</w:t>
            </w:r>
            <w:r w:rsidRPr="00CF5B43">
              <w:rPr>
                <w:rFonts w:ascii="Arial Narrow" w:hAnsi="Arial Narrow"/>
                <w:b/>
                <w:sz w:val="18"/>
                <w:szCs w:val="18"/>
                <w:vertAlign w:val="superscript"/>
              </w:rPr>
              <w:t>b</w:t>
            </w:r>
            <w:r w:rsidRPr="00CF5B43">
              <w:rPr>
                <w:rFonts w:ascii="Arial Narrow" w:hAnsi="Arial Narrow"/>
                <w:b/>
                <w:sz w:val="18"/>
                <w:szCs w:val="18"/>
              </w:rPr>
              <w:t>)</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Progressed</w:t>
            </w: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39</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(60.0%)</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34</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(58.6%)</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33</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(64.7%)</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37</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(71.2%)</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48</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(65.8%)</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58</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(76.3%)</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27</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(65.9%)</w:t>
            </w:r>
          </w:p>
        </w:tc>
        <w:tc>
          <w:tcPr>
            <w:tcW w:w="709"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133</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(70.0%)</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NA</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left"/>
              <w:rPr>
                <w:rFonts w:ascii="Arial Narrow" w:hAnsi="Arial Narrow"/>
                <w:sz w:val="18"/>
                <w:szCs w:val="18"/>
              </w:rPr>
            </w:pPr>
            <w:r w:rsidRPr="00CF5B43">
              <w:rPr>
                <w:rFonts w:ascii="Arial Narrow" w:hAnsi="Arial Narrow"/>
                <w:sz w:val="18"/>
                <w:szCs w:val="18"/>
              </w:rPr>
              <w:t xml:space="preserve">Median mths </w:t>
            </w:r>
          </w:p>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(95% CI)</w:t>
            </w: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4.1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(2.8, 8.3)</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3.1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 -)</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5.5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(2.8,14.0)</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4.2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(2.8, 9.9)</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8.2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(2.8,14.0)</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4.2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(2.8, 6.7)</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8.7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(3.3,22.1)</w:t>
            </w:r>
          </w:p>
        </w:tc>
        <w:tc>
          <w:tcPr>
            <w:tcW w:w="709"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5.5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(3.4, 9.0)</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2.86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(2.76, 3.02)</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PFS rate at 6mths</w:t>
            </w: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45.8%</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43.5%</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49.5%</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41.4%</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51.9%</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54.6%</w:t>
            </w:r>
          </w:p>
        </w:tc>
        <w:tc>
          <w:tcPr>
            <w:tcW w:w="709"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48.3%</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57.7%</w:t>
            </w:r>
          </w:p>
        </w:tc>
      </w:tr>
      <w:tr w:rsidR="006249D4" w:rsidRPr="00CF5B43" w:rsidTr="006249D4">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b/>
                <w:sz w:val="18"/>
                <w:szCs w:val="18"/>
              </w:rPr>
            </w:pPr>
            <w:r w:rsidRPr="00CF5B43">
              <w:rPr>
                <w:rFonts w:ascii="Arial Narrow" w:hAnsi="Arial Narrow"/>
                <w:b/>
                <w:sz w:val="18"/>
                <w:szCs w:val="18"/>
              </w:rPr>
              <w:t xml:space="preserve">Overall survival </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Died</w:t>
            </w: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19</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(29.2%)</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19</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(32.8%)</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19</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(37.3%)</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23</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(44.2%)</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27</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(37.0%)</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32</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13</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(31.7%)</w:t>
            </w:r>
          </w:p>
        </w:tc>
        <w:tc>
          <w:tcPr>
            <w:tcW w:w="709"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72</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(37.9%)</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100</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(73.0%)</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left"/>
              <w:rPr>
                <w:rFonts w:ascii="Arial Narrow" w:hAnsi="Arial Narrow"/>
                <w:sz w:val="18"/>
                <w:szCs w:val="18"/>
              </w:rPr>
            </w:pPr>
            <w:r w:rsidRPr="00CF5B43">
              <w:rPr>
                <w:rFonts w:ascii="Arial Narrow" w:hAnsi="Arial Narrow"/>
                <w:sz w:val="18"/>
                <w:szCs w:val="18"/>
              </w:rPr>
              <w:t xml:space="preserve">Median mths </w:t>
            </w:r>
          </w:p>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(95% CI)</w:t>
            </w: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NR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 -)</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NR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(10.0, -)</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NR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(14.0, -)</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NR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(9.5, -)</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NR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(21.1, -)</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23.1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(16.5, -)</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NR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(24.4, -)</w:t>
            </w:r>
          </w:p>
        </w:tc>
        <w:tc>
          <w:tcPr>
            <w:tcW w:w="709"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NR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(22.8, -)</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10.1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(8.0, 13.8)</w:t>
            </w:r>
          </w:p>
        </w:tc>
      </w:tr>
      <w:tr w:rsidR="006249D4" w:rsidRPr="00CF5B43" w:rsidTr="006249D4">
        <w:tc>
          <w:tcPr>
            <w:tcW w:w="1278" w:type="dxa"/>
            <w:tcBorders>
              <w:top w:val="single" w:sz="4" w:space="0" w:color="auto"/>
              <w:left w:val="single" w:sz="4" w:space="0" w:color="auto"/>
              <w:bottom w:val="triple" w:sz="4" w:space="0" w:color="auto"/>
              <w:right w:val="single" w:sz="4" w:space="0" w:color="auto"/>
            </w:tcBorders>
            <w:vAlign w:val="center"/>
            <w:hideMark/>
          </w:tcPr>
          <w:p w:rsidR="006249D4" w:rsidRPr="00CF5B43" w:rsidRDefault="00CC08B2" w:rsidP="00CC08B2">
            <w:pPr>
              <w:snapToGrid w:val="0"/>
              <w:jc w:val="left"/>
              <w:rPr>
                <w:rFonts w:ascii="Arial Narrow" w:hAnsi="Arial Narrow"/>
                <w:sz w:val="18"/>
                <w:szCs w:val="18"/>
              </w:rPr>
            </w:pPr>
            <w:r>
              <w:rPr>
                <w:rFonts w:ascii="Arial Narrow" w:hAnsi="Arial Narrow"/>
                <w:sz w:val="18"/>
                <w:szCs w:val="18"/>
              </w:rPr>
              <w:t>Alive at 1 year</w:t>
            </w:r>
            <w:r w:rsidR="006249D4" w:rsidRPr="00CF5B43">
              <w:rPr>
                <w:rFonts w:ascii="Arial Narrow" w:hAnsi="Arial Narrow"/>
                <w:sz w:val="18"/>
                <w:szCs w:val="18"/>
              </w:rPr>
              <w:t xml:space="preserve"> </w:t>
            </w:r>
          </w:p>
        </w:tc>
        <w:tc>
          <w:tcPr>
            <w:tcW w:w="848" w:type="dxa"/>
            <w:tcBorders>
              <w:top w:val="single" w:sz="4" w:space="0" w:color="auto"/>
              <w:left w:val="sing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NR</w:t>
            </w:r>
          </w:p>
        </w:tc>
        <w:tc>
          <w:tcPr>
            <w:tcW w:w="851" w:type="dxa"/>
            <w:tcBorders>
              <w:top w:val="single" w:sz="4" w:space="0" w:color="auto"/>
              <w:left w:val="single" w:sz="4" w:space="0" w:color="auto"/>
              <w:bottom w:val="trip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NR</w:t>
            </w:r>
          </w:p>
        </w:tc>
        <w:tc>
          <w:tcPr>
            <w:tcW w:w="850" w:type="dxa"/>
            <w:tcBorders>
              <w:top w:val="single" w:sz="4" w:space="0" w:color="auto"/>
              <w:left w:val="doub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72.0%</w:t>
            </w:r>
          </w:p>
        </w:tc>
        <w:tc>
          <w:tcPr>
            <w:tcW w:w="851" w:type="dxa"/>
            <w:tcBorders>
              <w:top w:val="single" w:sz="4" w:space="0" w:color="auto"/>
              <w:left w:val="single" w:sz="4" w:space="0" w:color="auto"/>
              <w:bottom w:val="trip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63.5%</w:t>
            </w:r>
          </w:p>
        </w:tc>
        <w:tc>
          <w:tcPr>
            <w:tcW w:w="850" w:type="dxa"/>
            <w:tcBorders>
              <w:top w:val="single" w:sz="4" w:space="0" w:color="auto"/>
              <w:left w:val="doub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76.1%</w:t>
            </w:r>
          </w:p>
        </w:tc>
        <w:tc>
          <w:tcPr>
            <w:tcW w:w="709" w:type="dxa"/>
            <w:tcBorders>
              <w:top w:val="single" w:sz="4" w:space="0" w:color="auto"/>
              <w:left w:val="sing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67.9%</w:t>
            </w:r>
          </w:p>
        </w:tc>
        <w:tc>
          <w:tcPr>
            <w:tcW w:w="709" w:type="dxa"/>
            <w:tcBorders>
              <w:top w:val="single" w:sz="4" w:space="0" w:color="auto"/>
              <w:left w:val="sing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82.2%</w:t>
            </w:r>
          </w:p>
        </w:tc>
        <w:tc>
          <w:tcPr>
            <w:tcW w:w="709" w:type="dxa"/>
            <w:tcBorders>
              <w:top w:val="single" w:sz="4" w:space="0" w:color="auto"/>
              <w:left w:val="single" w:sz="4" w:space="0" w:color="auto"/>
              <w:bottom w:val="trip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74.0%</w:t>
            </w:r>
          </w:p>
        </w:tc>
        <w:tc>
          <w:tcPr>
            <w:tcW w:w="850" w:type="dxa"/>
            <w:tcBorders>
              <w:top w:val="single" w:sz="4" w:space="0" w:color="auto"/>
              <w:left w:val="doub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45.6%</w:t>
            </w:r>
          </w:p>
        </w:tc>
      </w:tr>
      <w:tr w:rsidR="006249D4" w:rsidRPr="00CF5B43" w:rsidTr="006249D4">
        <w:tc>
          <w:tcPr>
            <w:tcW w:w="1278" w:type="dxa"/>
            <w:tcBorders>
              <w:top w:val="trip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left"/>
              <w:rPr>
                <w:rFonts w:ascii="Arial Narrow" w:hAnsi="Arial Narrow"/>
                <w:b/>
                <w:sz w:val="18"/>
                <w:szCs w:val="18"/>
              </w:rPr>
            </w:pPr>
            <w:r w:rsidRPr="00CF5B43">
              <w:rPr>
                <w:rFonts w:ascii="Arial Narrow" w:hAnsi="Arial Narrow"/>
                <w:b/>
                <w:sz w:val="18"/>
                <w:szCs w:val="18"/>
              </w:rPr>
              <w:t xml:space="preserve">Robert 2014 </w:t>
            </w:r>
          </w:p>
          <w:p w:rsidR="006249D4" w:rsidRPr="00CF5B43" w:rsidRDefault="006249D4" w:rsidP="006249D4">
            <w:pPr>
              <w:jc w:val="left"/>
              <w:rPr>
                <w:rFonts w:ascii="Arial Narrow" w:hAnsi="Arial Narrow"/>
                <w:sz w:val="18"/>
                <w:szCs w:val="18"/>
              </w:rPr>
            </w:pPr>
            <w:r w:rsidRPr="00CF5B43">
              <w:rPr>
                <w:rFonts w:ascii="Arial Narrow" w:hAnsi="Arial Narrow"/>
                <w:sz w:val="18"/>
                <w:szCs w:val="18"/>
              </w:rPr>
              <w:t xml:space="preserve">Part B2 KN-001 </w:t>
            </w:r>
          </w:p>
          <w:p w:rsidR="006249D4" w:rsidRPr="00CF5B43" w:rsidRDefault="006249D4" w:rsidP="006249D4">
            <w:pPr>
              <w:jc w:val="left"/>
              <w:rPr>
                <w:rFonts w:ascii="Arial Narrow" w:hAnsi="Arial Narrow"/>
                <w:sz w:val="18"/>
                <w:szCs w:val="18"/>
              </w:rPr>
            </w:pPr>
            <w:r w:rsidRPr="00CF5B43">
              <w:rPr>
                <w:rFonts w:ascii="Arial Narrow" w:hAnsi="Arial Narrow"/>
                <w:sz w:val="18"/>
                <w:szCs w:val="18"/>
              </w:rPr>
              <w:t xml:space="preserve">(ipi-refrac) </w:t>
            </w:r>
          </w:p>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Oct 2013 data cut N=173</w:t>
            </w:r>
          </w:p>
        </w:tc>
        <w:tc>
          <w:tcPr>
            <w:tcW w:w="848" w:type="dxa"/>
            <w:tcBorders>
              <w:top w:val="trip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2 mg/kg </w:t>
            </w:r>
          </w:p>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Q3W </w:t>
            </w:r>
          </w:p>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N=89</w:t>
            </w:r>
          </w:p>
        </w:tc>
        <w:tc>
          <w:tcPr>
            <w:tcW w:w="851" w:type="dxa"/>
            <w:tcBorders>
              <w:top w:val="trip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10 mg/kg Q3W </w:t>
            </w:r>
          </w:p>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N=84</w:t>
            </w:r>
          </w:p>
        </w:tc>
        <w:tc>
          <w:tcPr>
            <w:tcW w:w="850" w:type="dxa"/>
            <w:tcBorders>
              <w:top w:val="triple" w:sz="4" w:space="0" w:color="auto"/>
              <w:left w:val="double" w:sz="4" w:space="0" w:color="auto"/>
              <w:bottom w:val="single" w:sz="4" w:space="0" w:color="auto"/>
              <w:right w:val="single" w:sz="4" w:space="0" w:color="auto"/>
            </w:tcBorders>
            <w:vAlign w:val="center"/>
            <w:hideMark/>
          </w:tcPr>
          <w:p w:rsidR="006249D4" w:rsidRDefault="006249D4" w:rsidP="006249D4">
            <w:pPr>
              <w:snapToGrid w:val="0"/>
              <w:jc w:val="center"/>
              <w:rPr>
                <w:rFonts w:ascii="Arial Narrow" w:hAnsi="Arial Narrow"/>
                <w:b/>
                <w:sz w:val="18"/>
                <w:szCs w:val="18"/>
              </w:rPr>
            </w:pPr>
            <w:r w:rsidRPr="00CF5B43">
              <w:rPr>
                <w:rFonts w:ascii="Arial Narrow" w:hAnsi="Arial Narrow"/>
                <w:b/>
                <w:sz w:val="18"/>
                <w:szCs w:val="18"/>
              </w:rPr>
              <w:t>HR</w:t>
            </w:r>
          </w:p>
          <w:p w:rsidR="00CC08B2" w:rsidRPr="00CF5B43" w:rsidRDefault="00CC08B2" w:rsidP="006249D4">
            <w:pPr>
              <w:snapToGrid w:val="0"/>
              <w:jc w:val="center"/>
              <w:rPr>
                <w:rFonts w:ascii="Arial Narrow" w:hAnsi="Arial Narrow"/>
                <w:sz w:val="18"/>
                <w:szCs w:val="18"/>
              </w:rPr>
            </w:pPr>
            <w:r>
              <w:rPr>
                <w:rFonts w:ascii="Arial Narrow" w:hAnsi="Arial Narrow"/>
                <w:b/>
                <w:sz w:val="18"/>
                <w:szCs w:val="18"/>
              </w:rPr>
              <w:t>(95% CI)</w:t>
            </w:r>
          </w:p>
        </w:tc>
        <w:tc>
          <w:tcPr>
            <w:tcW w:w="4678" w:type="dxa"/>
            <w:gridSpan w:val="6"/>
            <w:tcBorders>
              <w:top w:val="triple" w:sz="4" w:space="0" w:color="auto"/>
              <w:left w:val="single" w:sz="4" w:space="0" w:color="auto"/>
              <w:bottom w:val="single" w:sz="4" w:space="0" w:color="auto"/>
              <w:right w:val="single" w:sz="4" w:space="0" w:color="auto"/>
            </w:tcBorders>
            <w:vAlign w:val="center"/>
          </w:tcPr>
          <w:p w:rsidR="006249D4" w:rsidRPr="00CF5B43" w:rsidRDefault="006249D4" w:rsidP="006249D4">
            <w:pPr>
              <w:snapToGrid w:val="0"/>
              <w:jc w:val="center"/>
              <w:rPr>
                <w:rFonts w:ascii="Arial Narrow" w:hAnsi="Arial Narrow"/>
                <w:sz w:val="18"/>
                <w:szCs w:val="18"/>
              </w:rPr>
            </w:pPr>
          </w:p>
        </w:tc>
      </w:tr>
      <w:tr w:rsidR="006249D4" w:rsidRPr="00CF5B43" w:rsidTr="006249D4">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b/>
                <w:sz w:val="18"/>
                <w:szCs w:val="18"/>
              </w:rPr>
            </w:pPr>
            <w:r w:rsidRPr="00CF5B43">
              <w:rPr>
                <w:rFonts w:ascii="Arial Narrow" w:hAnsi="Arial Narrow"/>
                <w:b/>
                <w:sz w:val="18"/>
                <w:szCs w:val="18"/>
              </w:rPr>
              <w:t>Progression-free survival (RECIST independent central review)</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left"/>
              <w:rPr>
                <w:rFonts w:ascii="Arial Narrow" w:hAnsi="Arial Narrow"/>
                <w:sz w:val="18"/>
                <w:szCs w:val="18"/>
              </w:rPr>
            </w:pPr>
            <w:r w:rsidRPr="00CF5B43">
              <w:rPr>
                <w:rFonts w:ascii="Arial Narrow" w:hAnsi="Arial Narrow"/>
                <w:sz w:val="18"/>
                <w:szCs w:val="18"/>
              </w:rPr>
              <w:t xml:space="preserve">Median mths </w:t>
            </w:r>
          </w:p>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(95% CI)</w:t>
            </w: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5.1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(2.8, 8.3)</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3.2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(2.8, 5.5)</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0.84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(0.57, 1.23)</w:t>
            </w:r>
          </w:p>
        </w:tc>
        <w:tc>
          <w:tcPr>
            <w:tcW w:w="4678" w:type="dxa"/>
            <w:gridSpan w:val="6"/>
            <w:vMerge w:val="restart"/>
            <w:tcBorders>
              <w:top w:val="single" w:sz="4" w:space="0" w:color="auto"/>
              <w:left w:val="single" w:sz="4" w:space="0" w:color="auto"/>
              <w:bottom w:val="single" w:sz="4" w:space="0" w:color="auto"/>
              <w:right w:val="single" w:sz="4" w:space="0" w:color="auto"/>
            </w:tcBorders>
            <w:vAlign w:val="center"/>
          </w:tcPr>
          <w:p w:rsidR="006249D4" w:rsidRPr="00CF5B43" w:rsidRDefault="006249D4" w:rsidP="006249D4">
            <w:pPr>
              <w:snapToGrid w:val="0"/>
              <w:jc w:val="center"/>
              <w:rPr>
                <w:rFonts w:ascii="Arial Narrow" w:hAnsi="Arial Narrow"/>
                <w:sz w:val="18"/>
                <w:szCs w:val="18"/>
              </w:rPr>
            </w:pP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PFS rate at 6mths</w:t>
            </w:r>
          </w:p>
        </w:tc>
        <w:tc>
          <w:tcPr>
            <w:tcW w:w="84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 xml:space="preserve">45% </w:t>
            </w:r>
          </w:p>
        </w:tc>
        <w:tc>
          <w:tcPr>
            <w:tcW w:w="851" w:type="dxa"/>
            <w:tcBorders>
              <w:top w:val="single" w:sz="4" w:space="0" w:color="auto"/>
              <w:left w:val="single" w:sz="4" w:space="0" w:color="auto"/>
              <w:bottom w:val="sing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 xml:space="preserve">37% </w:t>
            </w: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w:t>
            </w:r>
          </w:p>
        </w:tc>
        <w:tc>
          <w:tcPr>
            <w:tcW w:w="4678" w:type="dxa"/>
            <w:gridSpan w:val="6"/>
            <w:vMerge/>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widowControl/>
              <w:jc w:val="left"/>
              <w:rPr>
                <w:rFonts w:ascii="Arial Narrow" w:hAnsi="Arial Narrow"/>
                <w:sz w:val="18"/>
                <w:szCs w:val="18"/>
              </w:rPr>
            </w:pPr>
          </w:p>
        </w:tc>
      </w:tr>
      <w:tr w:rsidR="006249D4" w:rsidRPr="00CF5B43" w:rsidTr="006249D4">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b/>
                <w:sz w:val="18"/>
                <w:szCs w:val="18"/>
              </w:rPr>
            </w:pPr>
            <w:r w:rsidRPr="00CF5B43">
              <w:rPr>
                <w:rFonts w:ascii="Arial Narrow" w:hAnsi="Arial Narrow"/>
                <w:b/>
                <w:sz w:val="18"/>
                <w:szCs w:val="18"/>
              </w:rPr>
              <w:t>Overall survival (May 2014)</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left"/>
              <w:rPr>
                <w:rFonts w:ascii="Arial Narrow" w:hAnsi="Arial Narrow"/>
                <w:sz w:val="18"/>
                <w:szCs w:val="18"/>
              </w:rPr>
            </w:pPr>
            <w:r w:rsidRPr="00CF5B43">
              <w:rPr>
                <w:rFonts w:ascii="Arial Narrow" w:hAnsi="Arial Narrow"/>
                <w:sz w:val="18"/>
                <w:szCs w:val="18"/>
              </w:rPr>
              <w:t xml:space="preserve">Difference </w:t>
            </w:r>
          </w:p>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2 mg/kg vs. 10 mg/kg</w:t>
            </w:r>
          </w:p>
        </w:tc>
        <w:tc>
          <w:tcPr>
            <w:tcW w:w="1699" w:type="dxa"/>
            <w:gridSpan w:val="2"/>
            <w:tcBorders>
              <w:top w:val="single" w:sz="4" w:space="0" w:color="auto"/>
              <w:left w:val="single" w:sz="4" w:space="0" w:color="auto"/>
              <w:bottom w:val="single" w:sz="4" w:space="0" w:color="auto"/>
              <w:right w:val="double" w:sz="4" w:space="0" w:color="auto"/>
            </w:tcBorders>
            <w:vAlign w:val="center"/>
          </w:tcPr>
          <w:p w:rsidR="006249D4" w:rsidRPr="00CF5B43" w:rsidRDefault="006249D4" w:rsidP="006249D4">
            <w:pPr>
              <w:snapToGrid w:val="0"/>
              <w:jc w:val="center"/>
              <w:rPr>
                <w:rFonts w:ascii="Arial Narrow" w:hAnsi="Arial Narrow"/>
                <w:sz w:val="18"/>
                <w:szCs w:val="18"/>
              </w:rPr>
            </w:pPr>
          </w:p>
        </w:tc>
        <w:tc>
          <w:tcPr>
            <w:tcW w:w="850" w:type="dxa"/>
            <w:tcBorders>
              <w:top w:val="sing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sz w:val="18"/>
                <w:szCs w:val="18"/>
              </w:rPr>
            </w:pPr>
            <w:r w:rsidRPr="00CF5B43">
              <w:rPr>
                <w:rFonts w:ascii="Arial Narrow" w:hAnsi="Arial Narrow"/>
                <w:sz w:val="18"/>
                <w:szCs w:val="18"/>
              </w:rPr>
              <w:t xml:space="preserve">1.09 </w:t>
            </w:r>
          </w:p>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(0.68, 1.75)</w:t>
            </w:r>
          </w:p>
        </w:tc>
        <w:tc>
          <w:tcPr>
            <w:tcW w:w="4678" w:type="dxa"/>
            <w:gridSpan w:val="6"/>
            <w:vMerge w:val="restart"/>
            <w:tcBorders>
              <w:top w:val="single" w:sz="4" w:space="0" w:color="auto"/>
              <w:left w:val="single" w:sz="4" w:space="0" w:color="auto"/>
              <w:bottom w:val="triple" w:sz="4" w:space="0" w:color="auto"/>
              <w:right w:val="single" w:sz="4" w:space="0" w:color="auto"/>
            </w:tcBorders>
            <w:vAlign w:val="center"/>
          </w:tcPr>
          <w:p w:rsidR="006249D4" w:rsidRPr="00CF5B43" w:rsidRDefault="006249D4" w:rsidP="006249D4">
            <w:pPr>
              <w:snapToGrid w:val="0"/>
              <w:jc w:val="center"/>
              <w:rPr>
                <w:rFonts w:ascii="Arial Narrow" w:hAnsi="Arial Narrow"/>
                <w:sz w:val="18"/>
                <w:szCs w:val="18"/>
              </w:rPr>
            </w:pPr>
          </w:p>
        </w:tc>
      </w:tr>
      <w:tr w:rsidR="006249D4" w:rsidRPr="00CF5B43" w:rsidTr="006249D4">
        <w:tc>
          <w:tcPr>
            <w:tcW w:w="1278" w:type="dxa"/>
            <w:tcBorders>
              <w:top w:val="single" w:sz="4" w:space="0" w:color="auto"/>
              <w:left w:val="single" w:sz="4" w:space="0" w:color="auto"/>
              <w:bottom w:val="triple" w:sz="4" w:space="0" w:color="auto"/>
              <w:right w:val="single" w:sz="4" w:space="0" w:color="auto"/>
            </w:tcBorders>
            <w:vAlign w:val="center"/>
            <w:hideMark/>
          </w:tcPr>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Alive at 1 year</w:t>
            </w:r>
          </w:p>
        </w:tc>
        <w:tc>
          <w:tcPr>
            <w:tcW w:w="848" w:type="dxa"/>
            <w:tcBorders>
              <w:top w:val="single" w:sz="4" w:space="0" w:color="auto"/>
              <w:left w:val="sing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58%</w:t>
            </w:r>
          </w:p>
        </w:tc>
        <w:tc>
          <w:tcPr>
            <w:tcW w:w="851" w:type="dxa"/>
            <w:tcBorders>
              <w:top w:val="single" w:sz="4" w:space="0" w:color="auto"/>
              <w:left w:val="single" w:sz="4" w:space="0" w:color="auto"/>
              <w:bottom w:val="triple" w:sz="4" w:space="0" w:color="auto"/>
              <w:right w:val="doub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63%</w:t>
            </w:r>
          </w:p>
        </w:tc>
        <w:tc>
          <w:tcPr>
            <w:tcW w:w="850" w:type="dxa"/>
            <w:tcBorders>
              <w:top w:val="single" w:sz="4" w:space="0" w:color="auto"/>
              <w:left w:val="double" w:sz="4" w:space="0" w:color="auto"/>
              <w:bottom w:val="trip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w:t>
            </w:r>
          </w:p>
        </w:tc>
        <w:tc>
          <w:tcPr>
            <w:tcW w:w="4678" w:type="dxa"/>
            <w:gridSpan w:val="6"/>
            <w:vMerge/>
            <w:tcBorders>
              <w:top w:val="single" w:sz="4" w:space="0" w:color="auto"/>
              <w:left w:val="double" w:sz="4" w:space="0" w:color="auto"/>
              <w:bottom w:val="triple" w:sz="4" w:space="0" w:color="auto"/>
              <w:right w:val="single" w:sz="4" w:space="0" w:color="auto"/>
            </w:tcBorders>
            <w:vAlign w:val="center"/>
            <w:hideMark/>
          </w:tcPr>
          <w:p w:rsidR="006249D4" w:rsidRPr="00CF5B43" w:rsidRDefault="006249D4" w:rsidP="006249D4">
            <w:pPr>
              <w:widowControl/>
              <w:jc w:val="left"/>
              <w:rPr>
                <w:rFonts w:ascii="Arial Narrow" w:hAnsi="Arial Narrow"/>
                <w:sz w:val="18"/>
                <w:szCs w:val="18"/>
              </w:rPr>
            </w:pPr>
          </w:p>
        </w:tc>
      </w:tr>
      <w:tr w:rsidR="006249D4" w:rsidRPr="00CF5B43" w:rsidTr="006249D4">
        <w:tc>
          <w:tcPr>
            <w:tcW w:w="1278" w:type="dxa"/>
            <w:tcBorders>
              <w:top w:val="trip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left"/>
              <w:rPr>
                <w:rFonts w:ascii="Arial Narrow" w:hAnsi="Arial Narrow"/>
                <w:b/>
                <w:sz w:val="18"/>
                <w:szCs w:val="18"/>
              </w:rPr>
            </w:pPr>
            <w:r w:rsidRPr="00CF5B43">
              <w:rPr>
                <w:rFonts w:ascii="Arial Narrow" w:hAnsi="Arial Narrow"/>
                <w:b/>
                <w:sz w:val="18"/>
                <w:szCs w:val="18"/>
              </w:rPr>
              <w:t xml:space="preserve">Hamid 2013 </w:t>
            </w:r>
          </w:p>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Part B1 KN-001 (ipi-naïve and ipi-treated) Mar 2013 data cut N=135</w:t>
            </w:r>
          </w:p>
        </w:tc>
        <w:tc>
          <w:tcPr>
            <w:tcW w:w="848" w:type="dxa"/>
            <w:tcBorders>
              <w:top w:val="triple" w:sz="4" w:space="0" w:color="auto"/>
              <w:left w:val="sing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2 mg/kg Q3W </w:t>
            </w:r>
          </w:p>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ipi-naïve N=22</w:t>
            </w:r>
          </w:p>
        </w:tc>
        <w:tc>
          <w:tcPr>
            <w:tcW w:w="851" w:type="dxa"/>
            <w:tcBorders>
              <w:top w:val="trip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10 mg/kg Q3W </w:t>
            </w:r>
          </w:p>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ipi-naïve N=24</w:t>
            </w:r>
          </w:p>
        </w:tc>
        <w:tc>
          <w:tcPr>
            <w:tcW w:w="850" w:type="dxa"/>
            <w:tcBorders>
              <w:top w:val="trip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10 mg/kg Q3W </w:t>
            </w:r>
          </w:p>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ipi-treated N=32</w:t>
            </w:r>
          </w:p>
        </w:tc>
        <w:tc>
          <w:tcPr>
            <w:tcW w:w="851" w:type="dxa"/>
            <w:tcBorders>
              <w:top w:val="triple" w:sz="4" w:space="0" w:color="auto"/>
              <w:left w:val="single" w:sz="4" w:space="0" w:color="auto"/>
              <w:bottom w:val="single" w:sz="4" w:space="0" w:color="auto"/>
              <w:right w:val="doub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10 mg/kg Q2W </w:t>
            </w:r>
          </w:p>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ipi-naïve N=41</w:t>
            </w:r>
          </w:p>
        </w:tc>
        <w:tc>
          <w:tcPr>
            <w:tcW w:w="850" w:type="dxa"/>
            <w:tcBorders>
              <w:top w:val="triple" w:sz="4" w:space="0" w:color="auto"/>
              <w:left w:val="double" w:sz="4" w:space="0" w:color="auto"/>
              <w:bottom w:val="single" w:sz="4" w:space="0" w:color="auto"/>
              <w:right w:val="single" w:sz="4" w:space="0" w:color="auto"/>
            </w:tcBorders>
            <w:vAlign w:val="center"/>
            <w:hideMark/>
          </w:tcPr>
          <w:p w:rsidR="006249D4" w:rsidRPr="00CF5B43" w:rsidRDefault="006249D4" w:rsidP="006249D4">
            <w:pPr>
              <w:jc w:val="center"/>
              <w:rPr>
                <w:rFonts w:ascii="Arial Narrow" w:hAnsi="Arial Narrow"/>
                <w:b/>
                <w:sz w:val="18"/>
                <w:szCs w:val="18"/>
              </w:rPr>
            </w:pPr>
            <w:r w:rsidRPr="00CF5B43">
              <w:rPr>
                <w:rFonts w:ascii="Arial Narrow" w:hAnsi="Arial Narrow"/>
                <w:b/>
                <w:sz w:val="18"/>
                <w:szCs w:val="18"/>
              </w:rPr>
              <w:t xml:space="preserve">10 mg/kg Q2W </w:t>
            </w:r>
          </w:p>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ipi-treated N=16</w:t>
            </w:r>
          </w:p>
        </w:tc>
        <w:tc>
          <w:tcPr>
            <w:tcW w:w="709" w:type="dxa"/>
            <w:tcBorders>
              <w:top w:val="trip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b/>
                <w:sz w:val="18"/>
                <w:szCs w:val="18"/>
              </w:rPr>
              <w:t>Total N=135</w:t>
            </w:r>
          </w:p>
        </w:tc>
        <w:tc>
          <w:tcPr>
            <w:tcW w:w="2268" w:type="dxa"/>
            <w:gridSpan w:val="3"/>
            <w:tcBorders>
              <w:top w:val="triple" w:sz="4" w:space="0" w:color="auto"/>
              <w:left w:val="single" w:sz="4" w:space="0" w:color="auto"/>
              <w:bottom w:val="single" w:sz="4" w:space="0" w:color="auto"/>
              <w:right w:val="single" w:sz="4" w:space="0" w:color="auto"/>
            </w:tcBorders>
            <w:vAlign w:val="center"/>
          </w:tcPr>
          <w:p w:rsidR="006249D4" w:rsidRPr="00CF5B43" w:rsidRDefault="006249D4" w:rsidP="006249D4">
            <w:pPr>
              <w:snapToGrid w:val="0"/>
              <w:jc w:val="center"/>
              <w:rPr>
                <w:rFonts w:ascii="Arial Narrow" w:hAnsi="Arial Narrow"/>
                <w:sz w:val="18"/>
                <w:szCs w:val="18"/>
              </w:rPr>
            </w:pPr>
          </w:p>
        </w:tc>
      </w:tr>
      <w:tr w:rsidR="006249D4" w:rsidRPr="00CF5B43" w:rsidTr="006249D4">
        <w:tc>
          <w:tcPr>
            <w:tcW w:w="8505" w:type="dxa"/>
            <w:gridSpan w:val="10"/>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b/>
                <w:sz w:val="18"/>
                <w:szCs w:val="18"/>
              </w:rPr>
            </w:pPr>
            <w:r w:rsidRPr="00CF5B43">
              <w:rPr>
                <w:rFonts w:ascii="Arial Narrow" w:hAnsi="Arial Narrow"/>
                <w:b/>
                <w:sz w:val="18"/>
                <w:szCs w:val="18"/>
              </w:rPr>
              <w:t>Progression-free survival</w:t>
            </w:r>
          </w:p>
        </w:tc>
      </w:tr>
      <w:tr w:rsidR="006249D4" w:rsidRPr="00CF5B43" w:rsidTr="006249D4">
        <w:tc>
          <w:tcPr>
            <w:tcW w:w="1278"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left"/>
              <w:rPr>
                <w:rFonts w:ascii="Arial Narrow" w:hAnsi="Arial Narrow"/>
                <w:sz w:val="18"/>
                <w:szCs w:val="18"/>
              </w:rPr>
            </w:pPr>
            <w:r w:rsidRPr="00CF5B43">
              <w:rPr>
                <w:rFonts w:ascii="Arial Narrow" w:hAnsi="Arial Narrow"/>
                <w:sz w:val="18"/>
                <w:szCs w:val="18"/>
              </w:rPr>
              <w:t>Median mths</w:t>
            </w:r>
          </w:p>
        </w:tc>
        <w:tc>
          <w:tcPr>
            <w:tcW w:w="4250" w:type="dxa"/>
            <w:gridSpan w:val="5"/>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Not provided</w:t>
            </w:r>
          </w:p>
        </w:tc>
        <w:tc>
          <w:tcPr>
            <w:tcW w:w="709" w:type="dxa"/>
            <w:tcBorders>
              <w:top w:val="single" w:sz="4" w:space="0" w:color="auto"/>
              <w:left w:val="single" w:sz="4" w:space="0" w:color="auto"/>
              <w:bottom w:val="single" w:sz="4" w:space="0" w:color="auto"/>
              <w:right w:val="single" w:sz="4" w:space="0" w:color="auto"/>
            </w:tcBorders>
            <w:vAlign w:val="center"/>
            <w:hideMark/>
          </w:tcPr>
          <w:p w:rsidR="006249D4" w:rsidRPr="00CF5B43" w:rsidRDefault="006249D4" w:rsidP="006249D4">
            <w:pPr>
              <w:snapToGrid w:val="0"/>
              <w:jc w:val="center"/>
              <w:rPr>
                <w:rFonts w:ascii="Arial Narrow" w:hAnsi="Arial Narrow"/>
                <w:sz w:val="18"/>
                <w:szCs w:val="18"/>
              </w:rPr>
            </w:pPr>
            <w:r w:rsidRPr="00CF5B43">
              <w:rPr>
                <w:rFonts w:ascii="Arial Narrow" w:hAnsi="Arial Narrow"/>
                <w:sz w:val="18"/>
                <w:szCs w:val="18"/>
              </w:rPr>
              <w:t>&gt;7 mths</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249D4" w:rsidRPr="00CF5B43" w:rsidRDefault="006249D4" w:rsidP="006249D4">
            <w:pPr>
              <w:snapToGrid w:val="0"/>
              <w:jc w:val="center"/>
              <w:rPr>
                <w:rFonts w:ascii="Arial Narrow" w:hAnsi="Arial Narrow"/>
                <w:sz w:val="18"/>
                <w:szCs w:val="18"/>
              </w:rPr>
            </w:pPr>
          </w:p>
        </w:tc>
      </w:tr>
    </w:tbl>
    <w:p w:rsidR="006249D4" w:rsidRPr="00CF5B43" w:rsidRDefault="006249D4" w:rsidP="006249D4">
      <w:pPr>
        <w:pStyle w:val="TableFooter"/>
        <w:tabs>
          <w:tab w:val="left" w:pos="851"/>
        </w:tabs>
        <w:ind w:left="851" w:hanging="142"/>
      </w:pPr>
      <w:r w:rsidRPr="00CF5B43">
        <w:rPr>
          <w:vertAlign w:val="superscript"/>
        </w:rPr>
        <w:t>a</w:t>
      </w:r>
      <w:r w:rsidRPr="00CF5B43">
        <w:tab/>
        <w:t>The pooled Part B1 ipi-naïve and Part D cohorts of KN-001 provided the data used for extrapolation in the submission’s modelled evaluation.</w:t>
      </w:r>
    </w:p>
    <w:p w:rsidR="006249D4" w:rsidRPr="00CF5B43" w:rsidRDefault="006249D4" w:rsidP="006249D4">
      <w:pPr>
        <w:pStyle w:val="TableFooter"/>
        <w:tabs>
          <w:tab w:val="left" w:pos="851"/>
        </w:tabs>
        <w:ind w:left="851" w:hanging="142"/>
      </w:pPr>
      <w:r w:rsidRPr="00CF5B43">
        <w:rPr>
          <w:vertAlign w:val="superscript"/>
        </w:rPr>
        <w:t>b</w:t>
      </w:r>
      <w:r w:rsidRPr="00CF5B43">
        <w:tab/>
        <w:t>Also identified in the submission as integrated radiology and oncology assessment (IRO).</w:t>
      </w:r>
    </w:p>
    <w:p w:rsidR="002E5FDB" w:rsidRPr="00CF5B43" w:rsidRDefault="002E5FDB" w:rsidP="002E5FDB">
      <w:pPr>
        <w:pStyle w:val="TableFooter"/>
        <w:ind w:left="709"/>
        <w:rPr>
          <w:szCs w:val="22"/>
        </w:rPr>
      </w:pPr>
      <w:r w:rsidRPr="00CF5B43">
        <w:rPr>
          <w:szCs w:val="18"/>
        </w:rPr>
        <w:t>HR=hazard ratio; ipi=ipilimumab; mths=months; OS=overall survival; PFS=progression-free survival; Q2W=every 2 weeks; Q3W=every 3 weeks; refrac=refractory</w:t>
      </w:r>
    </w:p>
    <w:p w:rsidR="006249D4" w:rsidRPr="00CF5B43" w:rsidRDefault="002E5FDB" w:rsidP="006249D4">
      <w:pPr>
        <w:pStyle w:val="TableFooter"/>
        <w:tabs>
          <w:tab w:val="left" w:pos="851"/>
        </w:tabs>
        <w:ind w:left="709"/>
        <w:rPr>
          <w:szCs w:val="18"/>
        </w:rPr>
      </w:pPr>
      <w:r>
        <w:t xml:space="preserve">Source: </w:t>
      </w:r>
      <w:r w:rsidR="006249D4" w:rsidRPr="00CF5B43">
        <w:t>Table B.6-4, p119 of the submission; KN-001 Updated Data Tables p17-22;</w:t>
      </w:r>
      <w:r w:rsidR="006249D4" w:rsidRPr="00CF5B43">
        <w:rPr>
          <w:szCs w:val="18"/>
        </w:rPr>
        <w:t xml:space="preserve"> Robert et al 2014; Hamid et al 2013.</w:t>
      </w:r>
    </w:p>
    <w:p w:rsidR="006249D4" w:rsidRPr="00D863AD" w:rsidRDefault="006249D4" w:rsidP="00B60939"/>
    <w:p w:rsidR="006249D4" w:rsidRPr="002517BD" w:rsidRDefault="006249D4" w:rsidP="006249D4">
      <w:pPr>
        <w:pStyle w:val="ListParagraph"/>
        <w:widowControl/>
        <w:numPr>
          <w:ilvl w:val="1"/>
          <w:numId w:val="1"/>
        </w:numPr>
        <w:rPr>
          <w:szCs w:val="22"/>
        </w:rPr>
      </w:pPr>
      <w:r w:rsidRPr="00BB4AC4">
        <w:t xml:space="preserve">There is considerable </w:t>
      </w:r>
      <w:r w:rsidR="0032121E">
        <w:t>variation in outcomes</w:t>
      </w:r>
      <w:r w:rsidRPr="00BB4AC4">
        <w:t xml:space="preserve"> across the dose groups and cohorts, with median PFS ranging from 3.1 months (10</w:t>
      </w:r>
      <w:r>
        <w:t> </w:t>
      </w:r>
      <w:r w:rsidRPr="00BB4AC4">
        <w:t>mg/kg Q2W in Part B3) to 8.2 months in the 2</w:t>
      </w:r>
      <w:r>
        <w:t> </w:t>
      </w:r>
      <w:r w:rsidRPr="00BB4AC4">
        <w:t>mg/kg Q3W group and 8.7 months in the 10</w:t>
      </w:r>
      <w:r>
        <w:t> </w:t>
      </w:r>
      <w:r w:rsidRPr="00BB4AC4">
        <w:t>mg/kg Q2W group in the pooled Part B1 plus D.  This range of values highlights the immaturity of the data</w:t>
      </w:r>
      <w:r>
        <w:t>.</w:t>
      </w:r>
    </w:p>
    <w:p w:rsidR="006249D4" w:rsidRPr="00D863AD" w:rsidRDefault="006249D4" w:rsidP="006249D4">
      <w:pPr>
        <w:widowControl/>
        <w:rPr>
          <w:szCs w:val="22"/>
        </w:rPr>
      </w:pPr>
    </w:p>
    <w:p w:rsidR="006249D4" w:rsidRPr="00DD2317" w:rsidRDefault="006249D4" w:rsidP="006249D4">
      <w:pPr>
        <w:pStyle w:val="ListParagraph"/>
        <w:widowControl/>
        <w:numPr>
          <w:ilvl w:val="1"/>
          <w:numId w:val="1"/>
        </w:numPr>
        <w:rPr>
          <w:szCs w:val="22"/>
        </w:rPr>
      </w:pPr>
      <w:r w:rsidRPr="00B01AAB">
        <w:t>Median OS has not yet been reached in any of the dose groups or cohorts, with the exception of the 10</w:t>
      </w:r>
      <w:r>
        <w:t> </w:t>
      </w:r>
      <w:r w:rsidRPr="00B01AAB">
        <w:t>mg/kg Q3W dose group in the pooled B1 plus D cohort (23.1 months; 95% CI; 16.5, -).</w:t>
      </w:r>
    </w:p>
    <w:p w:rsidR="00DD2317" w:rsidRPr="00EA77F1" w:rsidRDefault="00DD2317" w:rsidP="00DD2317">
      <w:pPr>
        <w:rPr>
          <w:szCs w:val="22"/>
        </w:rPr>
      </w:pPr>
    </w:p>
    <w:p w:rsidR="00DD2317" w:rsidRPr="00386BE1" w:rsidRDefault="00DD2317" w:rsidP="006249D4">
      <w:pPr>
        <w:pStyle w:val="ListParagraph"/>
        <w:widowControl/>
        <w:numPr>
          <w:ilvl w:val="1"/>
          <w:numId w:val="1"/>
        </w:numPr>
        <w:rPr>
          <w:szCs w:val="22"/>
        </w:rPr>
      </w:pPr>
      <w:r>
        <w:rPr>
          <w:szCs w:val="22"/>
        </w:rPr>
        <w:t xml:space="preserve">In contrast to the impression of a 90% response rate expressed by consumers, the overall response rate reported for the different subgroups of KN-001 ranged between </w:t>
      </w:r>
      <w:r>
        <w:rPr>
          <w:szCs w:val="22"/>
        </w:rPr>
        <w:lastRenderedPageBreak/>
        <w:t>33% and 37%: 33% for ipilimumab-naïve patients from Part B3 (N=123); 34% for ipilimumab-naïve patients from Part D (N=103); and 37% for ipilimumab-naïve patients from Part B1 plus Part D (N=190).</w:t>
      </w:r>
    </w:p>
    <w:p w:rsidR="006249D4" w:rsidRDefault="006249D4">
      <w:pPr>
        <w:widowControl/>
        <w:jc w:val="left"/>
        <w:rPr>
          <w:szCs w:val="22"/>
        </w:rPr>
      </w:pPr>
    </w:p>
    <w:p w:rsidR="006249D4" w:rsidRDefault="006249D4" w:rsidP="006249D4">
      <w:pPr>
        <w:pStyle w:val="Heading2"/>
        <w:rPr>
          <w:i/>
        </w:rPr>
      </w:pPr>
      <w:r w:rsidRPr="002C2775">
        <w:rPr>
          <w:i/>
        </w:rPr>
        <w:t>Comparative harms</w:t>
      </w:r>
    </w:p>
    <w:p w:rsidR="006249D4" w:rsidRPr="00D27193" w:rsidRDefault="006249D4" w:rsidP="006249D4">
      <w:pPr>
        <w:rPr>
          <w:szCs w:val="22"/>
        </w:rPr>
      </w:pPr>
    </w:p>
    <w:p w:rsidR="006249D4" w:rsidRPr="00530A45" w:rsidRDefault="006249D4" w:rsidP="006249D4">
      <w:pPr>
        <w:pStyle w:val="ListParagraph"/>
        <w:widowControl/>
        <w:numPr>
          <w:ilvl w:val="1"/>
          <w:numId w:val="1"/>
        </w:numPr>
        <w:rPr>
          <w:szCs w:val="22"/>
        </w:rPr>
      </w:pPr>
      <w:r>
        <w:t xml:space="preserve">The submission presented adverse event (AE) data only for Part B3 (ipilimumab-naïve) and Part D of trial KN-001, with AE data </w:t>
      </w:r>
      <w:r w:rsidR="0032121E">
        <w:t>from</w:t>
      </w:r>
      <w:r>
        <w:t xml:space="preserve"> the April 2014 data cut.  </w:t>
      </w:r>
      <w:r w:rsidRPr="00BB4AC4">
        <w:t xml:space="preserve">While this data cut matches that used for the efficacy data presented, the trial cohorts differ, with no AE data provided for the pooled Part B1 (ipilimumab-naïve) plus Part D cohort, which the submission focussed on for efficacy outcomes. </w:t>
      </w:r>
      <w:r w:rsidR="00455BA9">
        <w:t xml:space="preserve"> </w:t>
      </w:r>
      <w:r w:rsidRPr="00BB4AC4">
        <w:t>Another concern with the safety data presented by the submission is that the Part B3 cohort uses only the 10</w:t>
      </w:r>
      <w:r>
        <w:t> </w:t>
      </w:r>
      <w:r w:rsidRPr="00BB4AC4">
        <w:t>mg/kg dose of pembrolizumab, but the sponsor is seeking TGA approval for only the 2</w:t>
      </w:r>
      <w:r>
        <w:t> </w:t>
      </w:r>
      <w:r w:rsidRPr="00BB4AC4">
        <w:t xml:space="preserve">mg/kg dose. </w:t>
      </w:r>
      <w:r>
        <w:t xml:space="preserve"> The table below provides a summary Grade 3-5 drug-related AEs as well as immune-related AEs.</w:t>
      </w:r>
    </w:p>
    <w:p w:rsidR="006249D4" w:rsidRPr="009F78FF" w:rsidRDefault="006249D4" w:rsidP="006249D4">
      <w:pPr>
        <w:widowControl/>
        <w:jc w:val="left"/>
        <w:rPr>
          <w:szCs w:val="22"/>
        </w:rPr>
      </w:pPr>
    </w:p>
    <w:p w:rsidR="006249D4" w:rsidRPr="0058549C" w:rsidRDefault="006249D4" w:rsidP="006249D4">
      <w:pPr>
        <w:ind w:left="709"/>
        <w:rPr>
          <w:rFonts w:ascii="Arial Narrow" w:hAnsi="Arial Narrow"/>
          <w:b/>
          <w:sz w:val="20"/>
        </w:rPr>
      </w:pPr>
      <w:r w:rsidRPr="0058549C">
        <w:rPr>
          <w:rFonts w:ascii="Arial Narrow" w:hAnsi="Arial Narrow"/>
          <w:b/>
          <w:sz w:val="20"/>
        </w:rPr>
        <w:t>Summary of adverse events in Part B3 and Part D of KN-001 and Hodi 2010</w:t>
      </w:r>
    </w:p>
    <w:tbl>
      <w:tblPr>
        <w:tblStyle w:val="TableGrid"/>
        <w:tblW w:w="8451" w:type="dxa"/>
        <w:tblInd w:w="817" w:type="dxa"/>
        <w:tblLayout w:type="fixed"/>
        <w:tblLook w:val="04A0" w:firstRow="1" w:lastRow="0" w:firstColumn="1" w:lastColumn="0" w:noHBand="0" w:noVBand="1"/>
        <w:tblCaption w:val="Comparative harms"/>
      </w:tblPr>
      <w:tblGrid>
        <w:gridCol w:w="1559"/>
        <w:gridCol w:w="992"/>
        <w:gridCol w:w="992"/>
        <w:gridCol w:w="993"/>
        <w:gridCol w:w="1080"/>
        <w:gridCol w:w="992"/>
        <w:gridCol w:w="992"/>
        <w:gridCol w:w="851"/>
      </w:tblGrid>
      <w:tr w:rsidR="006249D4" w:rsidTr="00F77844">
        <w:tc>
          <w:tcPr>
            <w:tcW w:w="1559" w:type="dxa"/>
            <w:vMerge w:val="restart"/>
          </w:tcPr>
          <w:p w:rsidR="006249D4" w:rsidRPr="00F77844" w:rsidRDefault="006249D4" w:rsidP="00F77844">
            <w:pPr>
              <w:pStyle w:val="Heading2"/>
              <w:jc w:val="left"/>
              <w:rPr>
                <w:rFonts w:ascii="Arial Narrow" w:hAnsi="Arial Narrow"/>
                <w:sz w:val="20"/>
              </w:rPr>
            </w:pPr>
            <w:r w:rsidRPr="00F77844">
              <w:rPr>
                <w:rFonts w:ascii="Arial Narrow" w:hAnsi="Arial Narrow"/>
                <w:sz w:val="20"/>
              </w:rPr>
              <w:t>Adverse events</w:t>
            </w:r>
          </w:p>
        </w:tc>
        <w:tc>
          <w:tcPr>
            <w:tcW w:w="2977" w:type="dxa"/>
            <w:gridSpan w:val="3"/>
            <w:tcBorders>
              <w:right w:val="double" w:sz="4" w:space="0" w:color="auto"/>
            </w:tcBorders>
            <w:vAlign w:val="bottom"/>
          </w:tcPr>
          <w:p w:rsidR="006249D4" w:rsidRPr="00591AFF" w:rsidRDefault="006249D4" w:rsidP="006249D4">
            <w:pPr>
              <w:jc w:val="center"/>
              <w:rPr>
                <w:rFonts w:ascii="Arial Narrow" w:hAnsi="Arial Narrow"/>
                <w:b/>
                <w:sz w:val="20"/>
              </w:rPr>
            </w:pPr>
            <w:r>
              <w:rPr>
                <w:rFonts w:ascii="Arial Narrow" w:hAnsi="Arial Narrow"/>
                <w:b/>
                <w:sz w:val="20"/>
              </w:rPr>
              <w:t>Part B3 ipilimumab-</w:t>
            </w:r>
            <w:r w:rsidR="000E29A7">
              <w:rPr>
                <w:rFonts w:ascii="Arial Narrow" w:hAnsi="Arial Narrow"/>
                <w:b/>
                <w:sz w:val="20"/>
              </w:rPr>
              <w:t>naïve</w:t>
            </w:r>
          </w:p>
        </w:tc>
        <w:tc>
          <w:tcPr>
            <w:tcW w:w="3064" w:type="dxa"/>
            <w:gridSpan w:val="3"/>
            <w:tcBorders>
              <w:left w:val="double" w:sz="4" w:space="0" w:color="auto"/>
              <w:right w:val="double" w:sz="4" w:space="0" w:color="auto"/>
            </w:tcBorders>
            <w:vAlign w:val="bottom"/>
          </w:tcPr>
          <w:p w:rsidR="006249D4" w:rsidRPr="00591AFF" w:rsidRDefault="006249D4" w:rsidP="006249D4">
            <w:pPr>
              <w:jc w:val="center"/>
              <w:rPr>
                <w:rFonts w:ascii="Arial Narrow" w:hAnsi="Arial Narrow"/>
                <w:b/>
                <w:sz w:val="20"/>
              </w:rPr>
            </w:pPr>
            <w:r>
              <w:rPr>
                <w:rFonts w:ascii="Arial Narrow" w:hAnsi="Arial Narrow"/>
                <w:b/>
                <w:sz w:val="20"/>
              </w:rPr>
              <w:t>Part D ipilimumab-</w:t>
            </w:r>
            <w:r w:rsidR="000E29A7">
              <w:rPr>
                <w:rFonts w:ascii="Arial Narrow" w:hAnsi="Arial Narrow"/>
                <w:b/>
                <w:sz w:val="20"/>
              </w:rPr>
              <w:t>naïve</w:t>
            </w:r>
          </w:p>
        </w:tc>
        <w:tc>
          <w:tcPr>
            <w:tcW w:w="851" w:type="dxa"/>
            <w:vMerge w:val="restart"/>
            <w:tcBorders>
              <w:left w:val="double" w:sz="4" w:space="0" w:color="auto"/>
            </w:tcBorders>
          </w:tcPr>
          <w:p w:rsidR="006249D4" w:rsidRPr="00646D28" w:rsidRDefault="006249D4" w:rsidP="006249D4">
            <w:pPr>
              <w:jc w:val="center"/>
              <w:rPr>
                <w:rFonts w:ascii="Arial Narrow" w:hAnsi="Arial Narrow"/>
                <w:b/>
                <w:sz w:val="19"/>
                <w:szCs w:val="19"/>
              </w:rPr>
            </w:pPr>
            <w:r>
              <w:rPr>
                <w:rFonts w:ascii="Arial Narrow" w:hAnsi="Arial Narrow"/>
                <w:b/>
                <w:sz w:val="19"/>
                <w:szCs w:val="19"/>
              </w:rPr>
              <w:t xml:space="preserve">Hodi 2010 </w:t>
            </w:r>
            <w:r w:rsidRPr="00646D28">
              <w:rPr>
                <w:rFonts w:ascii="Arial Narrow" w:hAnsi="Arial Narrow"/>
                <w:b/>
                <w:sz w:val="19"/>
                <w:szCs w:val="19"/>
              </w:rPr>
              <w:t>IPI N=13</w:t>
            </w:r>
            <w:r>
              <w:rPr>
                <w:rFonts w:ascii="Arial Narrow" w:hAnsi="Arial Narrow"/>
                <w:b/>
                <w:sz w:val="19"/>
                <w:szCs w:val="19"/>
              </w:rPr>
              <w:t>1</w:t>
            </w:r>
          </w:p>
        </w:tc>
      </w:tr>
      <w:tr w:rsidR="006249D4" w:rsidTr="006249D4">
        <w:tc>
          <w:tcPr>
            <w:tcW w:w="1559" w:type="dxa"/>
            <w:vMerge/>
          </w:tcPr>
          <w:p w:rsidR="006249D4" w:rsidRPr="00591AFF" w:rsidRDefault="006249D4" w:rsidP="006249D4">
            <w:pPr>
              <w:tabs>
                <w:tab w:val="left" w:pos="142"/>
              </w:tabs>
              <w:jc w:val="left"/>
              <w:rPr>
                <w:rFonts w:ascii="Arial Narrow" w:hAnsi="Arial Narrow"/>
                <w:sz w:val="20"/>
              </w:rPr>
            </w:pPr>
          </w:p>
        </w:tc>
        <w:tc>
          <w:tcPr>
            <w:tcW w:w="992" w:type="dxa"/>
            <w:vAlign w:val="bottom"/>
          </w:tcPr>
          <w:p w:rsidR="006249D4" w:rsidRPr="00591AFF" w:rsidRDefault="006249D4" w:rsidP="006249D4">
            <w:pPr>
              <w:jc w:val="center"/>
              <w:rPr>
                <w:rFonts w:ascii="Arial Narrow" w:hAnsi="Arial Narrow"/>
                <w:sz w:val="20"/>
              </w:rPr>
            </w:pPr>
            <w:r w:rsidRPr="00646D28">
              <w:rPr>
                <w:rFonts w:ascii="Arial Narrow" w:hAnsi="Arial Narrow"/>
                <w:b/>
                <w:sz w:val="19"/>
                <w:szCs w:val="19"/>
              </w:rPr>
              <w:t>10</w:t>
            </w:r>
            <w:r>
              <w:rPr>
                <w:rFonts w:ascii="Arial Narrow" w:hAnsi="Arial Narrow"/>
                <w:b/>
                <w:sz w:val="19"/>
                <w:szCs w:val="19"/>
              </w:rPr>
              <w:t> </w:t>
            </w:r>
            <w:r w:rsidRPr="00646D28">
              <w:rPr>
                <w:rFonts w:ascii="Arial Narrow" w:hAnsi="Arial Narrow"/>
                <w:b/>
                <w:sz w:val="19"/>
                <w:szCs w:val="19"/>
              </w:rPr>
              <w:t>mg/kg Q3W N=65</w:t>
            </w:r>
          </w:p>
        </w:tc>
        <w:tc>
          <w:tcPr>
            <w:tcW w:w="992" w:type="dxa"/>
            <w:vAlign w:val="bottom"/>
          </w:tcPr>
          <w:p w:rsidR="006249D4" w:rsidRPr="00591AFF" w:rsidRDefault="006249D4" w:rsidP="006249D4">
            <w:pPr>
              <w:jc w:val="center"/>
              <w:rPr>
                <w:rFonts w:ascii="Arial Narrow" w:hAnsi="Arial Narrow"/>
                <w:sz w:val="20"/>
              </w:rPr>
            </w:pPr>
            <w:r w:rsidRPr="00646D28">
              <w:rPr>
                <w:rFonts w:ascii="Arial Narrow" w:hAnsi="Arial Narrow"/>
                <w:b/>
                <w:sz w:val="19"/>
                <w:szCs w:val="19"/>
              </w:rPr>
              <w:t>10</w:t>
            </w:r>
            <w:r>
              <w:rPr>
                <w:rFonts w:ascii="Arial Narrow" w:hAnsi="Arial Narrow"/>
                <w:b/>
                <w:sz w:val="19"/>
                <w:szCs w:val="19"/>
              </w:rPr>
              <w:t> </w:t>
            </w:r>
            <w:r w:rsidRPr="00646D28">
              <w:rPr>
                <w:rFonts w:ascii="Arial Narrow" w:hAnsi="Arial Narrow"/>
                <w:b/>
                <w:sz w:val="19"/>
                <w:szCs w:val="19"/>
              </w:rPr>
              <w:t>mg/kg Q2W N=58</w:t>
            </w:r>
          </w:p>
        </w:tc>
        <w:tc>
          <w:tcPr>
            <w:tcW w:w="993" w:type="dxa"/>
            <w:tcBorders>
              <w:right w:val="double" w:sz="4" w:space="0" w:color="auto"/>
            </w:tcBorders>
            <w:vAlign w:val="bottom"/>
          </w:tcPr>
          <w:p w:rsidR="006249D4" w:rsidRPr="00591AFF" w:rsidRDefault="006249D4" w:rsidP="006249D4">
            <w:pPr>
              <w:jc w:val="center"/>
              <w:rPr>
                <w:rFonts w:ascii="Arial Narrow" w:hAnsi="Arial Narrow"/>
                <w:b/>
                <w:sz w:val="20"/>
              </w:rPr>
            </w:pPr>
            <w:r w:rsidRPr="00591AFF">
              <w:rPr>
                <w:rFonts w:ascii="Arial Narrow" w:hAnsi="Arial Narrow"/>
                <w:b/>
                <w:sz w:val="20"/>
              </w:rPr>
              <w:t>Total N=123</w:t>
            </w:r>
          </w:p>
        </w:tc>
        <w:tc>
          <w:tcPr>
            <w:tcW w:w="1080" w:type="dxa"/>
            <w:tcBorders>
              <w:left w:val="double" w:sz="4" w:space="0" w:color="auto"/>
            </w:tcBorders>
            <w:vAlign w:val="bottom"/>
          </w:tcPr>
          <w:p w:rsidR="006249D4" w:rsidRPr="00591AFF" w:rsidRDefault="006249D4" w:rsidP="006249D4">
            <w:pPr>
              <w:jc w:val="center"/>
              <w:rPr>
                <w:rFonts w:ascii="Arial Narrow" w:hAnsi="Arial Narrow"/>
                <w:sz w:val="20"/>
              </w:rPr>
            </w:pPr>
            <w:r w:rsidRPr="00646D28">
              <w:rPr>
                <w:rFonts w:ascii="Arial Narrow" w:hAnsi="Arial Narrow"/>
                <w:b/>
                <w:sz w:val="19"/>
                <w:szCs w:val="19"/>
              </w:rPr>
              <w:t>2</w:t>
            </w:r>
            <w:r>
              <w:rPr>
                <w:rFonts w:ascii="Arial Narrow" w:hAnsi="Arial Narrow"/>
                <w:b/>
                <w:sz w:val="19"/>
                <w:szCs w:val="19"/>
              </w:rPr>
              <w:t> </w:t>
            </w:r>
            <w:r w:rsidRPr="00646D28">
              <w:rPr>
                <w:rFonts w:ascii="Arial Narrow" w:hAnsi="Arial Narrow"/>
                <w:b/>
                <w:sz w:val="19"/>
                <w:szCs w:val="19"/>
              </w:rPr>
              <w:t>mg/kg Q3W N=51</w:t>
            </w:r>
          </w:p>
        </w:tc>
        <w:tc>
          <w:tcPr>
            <w:tcW w:w="992" w:type="dxa"/>
            <w:vAlign w:val="bottom"/>
          </w:tcPr>
          <w:p w:rsidR="006249D4" w:rsidRPr="00591AFF" w:rsidRDefault="006249D4" w:rsidP="006249D4">
            <w:pPr>
              <w:jc w:val="center"/>
              <w:rPr>
                <w:rFonts w:ascii="Arial Narrow" w:hAnsi="Arial Narrow"/>
                <w:sz w:val="20"/>
              </w:rPr>
            </w:pPr>
            <w:r w:rsidRPr="00646D28">
              <w:rPr>
                <w:rFonts w:ascii="Arial Narrow" w:hAnsi="Arial Narrow"/>
                <w:b/>
                <w:sz w:val="19"/>
                <w:szCs w:val="19"/>
              </w:rPr>
              <w:t>10</w:t>
            </w:r>
            <w:r>
              <w:rPr>
                <w:rFonts w:ascii="Arial Narrow" w:hAnsi="Arial Narrow"/>
                <w:b/>
                <w:sz w:val="19"/>
                <w:szCs w:val="19"/>
              </w:rPr>
              <w:t> </w:t>
            </w:r>
            <w:r w:rsidRPr="00646D28">
              <w:rPr>
                <w:rFonts w:ascii="Arial Narrow" w:hAnsi="Arial Narrow"/>
                <w:b/>
                <w:sz w:val="19"/>
                <w:szCs w:val="19"/>
              </w:rPr>
              <w:t>mg/kg Q3W N=52</w:t>
            </w:r>
          </w:p>
        </w:tc>
        <w:tc>
          <w:tcPr>
            <w:tcW w:w="992" w:type="dxa"/>
            <w:tcBorders>
              <w:right w:val="double" w:sz="4" w:space="0" w:color="auto"/>
            </w:tcBorders>
            <w:vAlign w:val="bottom"/>
          </w:tcPr>
          <w:p w:rsidR="006249D4" w:rsidRPr="00591AFF" w:rsidRDefault="006249D4" w:rsidP="006249D4">
            <w:pPr>
              <w:jc w:val="center"/>
              <w:rPr>
                <w:rFonts w:ascii="Arial Narrow" w:hAnsi="Arial Narrow"/>
                <w:b/>
                <w:sz w:val="20"/>
              </w:rPr>
            </w:pPr>
            <w:r w:rsidRPr="00591AFF">
              <w:rPr>
                <w:rFonts w:ascii="Arial Narrow" w:hAnsi="Arial Narrow"/>
                <w:b/>
                <w:sz w:val="20"/>
              </w:rPr>
              <w:t>Total N=103</w:t>
            </w:r>
          </w:p>
        </w:tc>
        <w:tc>
          <w:tcPr>
            <w:tcW w:w="851" w:type="dxa"/>
            <w:vMerge/>
            <w:tcBorders>
              <w:left w:val="double" w:sz="4" w:space="0" w:color="auto"/>
            </w:tcBorders>
          </w:tcPr>
          <w:p w:rsidR="006249D4" w:rsidRPr="00591AFF" w:rsidRDefault="006249D4" w:rsidP="006249D4">
            <w:pPr>
              <w:jc w:val="center"/>
              <w:rPr>
                <w:rFonts w:ascii="Arial Narrow" w:hAnsi="Arial Narrow"/>
                <w:sz w:val="20"/>
              </w:rPr>
            </w:pPr>
          </w:p>
        </w:tc>
      </w:tr>
      <w:tr w:rsidR="006249D4" w:rsidTr="006249D4">
        <w:tc>
          <w:tcPr>
            <w:tcW w:w="8451" w:type="dxa"/>
            <w:gridSpan w:val="8"/>
          </w:tcPr>
          <w:p w:rsidR="006249D4" w:rsidRPr="0058549C" w:rsidRDefault="006249D4" w:rsidP="006249D4">
            <w:pPr>
              <w:tabs>
                <w:tab w:val="left" w:pos="142"/>
              </w:tabs>
              <w:jc w:val="left"/>
              <w:rPr>
                <w:rFonts w:ascii="Arial Narrow" w:hAnsi="Arial Narrow"/>
                <w:b/>
                <w:sz w:val="20"/>
              </w:rPr>
            </w:pPr>
            <w:r>
              <w:rPr>
                <w:rFonts w:ascii="Arial Narrow" w:hAnsi="Arial Narrow"/>
                <w:b/>
                <w:sz w:val="20"/>
              </w:rPr>
              <w:t>Grade 3-5 drug-related AEs</w:t>
            </w:r>
          </w:p>
        </w:tc>
      </w:tr>
      <w:tr w:rsidR="006249D4" w:rsidTr="006249D4">
        <w:tc>
          <w:tcPr>
            <w:tcW w:w="1559" w:type="dxa"/>
          </w:tcPr>
          <w:p w:rsidR="006249D4" w:rsidRPr="00591AFF" w:rsidRDefault="006249D4" w:rsidP="006249D4">
            <w:pPr>
              <w:tabs>
                <w:tab w:val="left" w:pos="142"/>
              </w:tabs>
              <w:jc w:val="left"/>
              <w:rPr>
                <w:rFonts w:ascii="Arial Narrow" w:hAnsi="Arial Narrow"/>
                <w:sz w:val="20"/>
              </w:rPr>
            </w:pPr>
            <w:r>
              <w:rPr>
                <w:rFonts w:ascii="Arial Narrow" w:hAnsi="Arial Narrow"/>
                <w:sz w:val="20"/>
              </w:rPr>
              <w:t>Anaemia</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tc>
        <w:tc>
          <w:tcPr>
            <w:tcW w:w="993" w:type="dxa"/>
            <w:tcBorders>
              <w:right w:val="double" w:sz="4" w:space="0" w:color="auto"/>
            </w:tcBorders>
          </w:tcPr>
          <w:p w:rsidR="006249D4" w:rsidRPr="00487622" w:rsidRDefault="006249D4" w:rsidP="006249D4">
            <w:pPr>
              <w:jc w:val="center"/>
              <w:rPr>
                <w:rFonts w:ascii="Arial Narrow" w:hAnsi="Arial Narrow"/>
                <w:sz w:val="19"/>
                <w:szCs w:val="19"/>
              </w:rPr>
            </w:pPr>
            <w:r w:rsidRPr="00487622">
              <w:rPr>
                <w:rFonts w:ascii="Arial Narrow" w:hAnsi="Arial Narrow"/>
                <w:sz w:val="19"/>
                <w:szCs w:val="19"/>
              </w:rPr>
              <w:t>0 (0.0%)</w:t>
            </w:r>
          </w:p>
        </w:tc>
        <w:tc>
          <w:tcPr>
            <w:tcW w:w="1080" w:type="dxa"/>
            <w:tcBorders>
              <w:lef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(2.0%)</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tc>
        <w:tc>
          <w:tcPr>
            <w:tcW w:w="992" w:type="dxa"/>
            <w:tcBorders>
              <w:righ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(1.0%)</w:t>
            </w:r>
          </w:p>
        </w:tc>
        <w:tc>
          <w:tcPr>
            <w:tcW w:w="851" w:type="dxa"/>
            <w:tcBorders>
              <w:left w:val="double" w:sz="4" w:space="0" w:color="auto"/>
            </w:tcBorders>
          </w:tcPr>
          <w:p w:rsidR="006249D4" w:rsidRPr="00591AFF" w:rsidRDefault="006249D4" w:rsidP="006249D4">
            <w:pPr>
              <w:jc w:val="center"/>
              <w:rPr>
                <w:rFonts w:ascii="Arial Narrow" w:hAnsi="Arial Narrow"/>
                <w:sz w:val="20"/>
              </w:rPr>
            </w:pPr>
            <w:r>
              <w:rPr>
                <w:rFonts w:ascii="Arial Narrow" w:hAnsi="Arial Narrow"/>
                <w:sz w:val="20"/>
              </w:rPr>
              <w:t>4 (3.1%)</w:t>
            </w:r>
          </w:p>
        </w:tc>
      </w:tr>
      <w:tr w:rsidR="006249D4" w:rsidTr="006249D4">
        <w:tc>
          <w:tcPr>
            <w:tcW w:w="1559" w:type="dxa"/>
          </w:tcPr>
          <w:p w:rsidR="006249D4" w:rsidRDefault="006249D4" w:rsidP="006249D4">
            <w:pPr>
              <w:tabs>
                <w:tab w:val="left" w:pos="142"/>
              </w:tabs>
              <w:jc w:val="left"/>
              <w:rPr>
                <w:rFonts w:ascii="Arial Narrow" w:hAnsi="Arial Narrow"/>
                <w:sz w:val="20"/>
              </w:rPr>
            </w:pPr>
            <w:r>
              <w:rPr>
                <w:rFonts w:ascii="Arial Narrow" w:hAnsi="Arial Narrow"/>
                <w:sz w:val="20"/>
              </w:rPr>
              <w:t>Colitis</w:t>
            </w:r>
          </w:p>
          <w:p w:rsidR="006249D4" w:rsidRPr="00591AFF" w:rsidRDefault="006249D4" w:rsidP="006249D4">
            <w:pPr>
              <w:tabs>
                <w:tab w:val="left" w:pos="142"/>
              </w:tabs>
              <w:jc w:val="left"/>
              <w:rPr>
                <w:rFonts w:ascii="Arial Narrow" w:hAnsi="Arial Narrow"/>
                <w:sz w:val="20"/>
              </w:rPr>
            </w:pPr>
            <w:r>
              <w:rPr>
                <w:rFonts w:ascii="Arial Narrow" w:hAnsi="Arial Narrow"/>
                <w:sz w:val="20"/>
              </w:rPr>
              <w:t>Diarrhoea</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2 (3.1%)</w:t>
            </w:r>
          </w:p>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(1.5%)</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tc>
        <w:tc>
          <w:tcPr>
            <w:tcW w:w="993" w:type="dxa"/>
            <w:tcBorders>
              <w:right w:val="double" w:sz="4" w:space="0" w:color="auto"/>
            </w:tcBorders>
          </w:tcPr>
          <w:p w:rsidR="006249D4" w:rsidRPr="00487622" w:rsidRDefault="006249D4" w:rsidP="006249D4">
            <w:pPr>
              <w:jc w:val="center"/>
              <w:rPr>
                <w:rFonts w:ascii="Arial Narrow" w:hAnsi="Arial Narrow"/>
                <w:sz w:val="19"/>
                <w:szCs w:val="19"/>
              </w:rPr>
            </w:pPr>
            <w:r w:rsidRPr="00487622">
              <w:rPr>
                <w:rFonts w:ascii="Arial Narrow" w:hAnsi="Arial Narrow"/>
                <w:sz w:val="19"/>
                <w:szCs w:val="19"/>
              </w:rPr>
              <w:t>2 (1.6%)</w:t>
            </w:r>
          </w:p>
          <w:p w:rsidR="006249D4" w:rsidRPr="00487622" w:rsidRDefault="006249D4" w:rsidP="006249D4">
            <w:pPr>
              <w:jc w:val="center"/>
              <w:rPr>
                <w:rFonts w:ascii="Arial Narrow" w:hAnsi="Arial Narrow"/>
                <w:sz w:val="19"/>
                <w:szCs w:val="19"/>
              </w:rPr>
            </w:pPr>
            <w:r w:rsidRPr="00487622">
              <w:rPr>
                <w:rFonts w:ascii="Arial Narrow" w:hAnsi="Arial Narrow"/>
                <w:sz w:val="19"/>
                <w:szCs w:val="19"/>
              </w:rPr>
              <w:t>1 (0.8%)</w:t>
            </w:r>
          </w:p>
        </w:tc>
        <w:tc>
          <w:tcPr>
            <w:tcW w:w="1080" w:type="dxa"/>
            <w:tcBorders>
              <w:lef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(2.0%)</w:t>
            </w:r>
          </w:p>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(2.0%)</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tc>
        <w:tc>
          <w:tcPr>
            <w:tcW w:w="992" w:type="dxa"/>
            <w:tcBorders>
              <w:righ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(1.0%)</w:t>
            </w:r>
          </w:p>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(1.0%)</w:t>
            </w:r>
          </w:p>
        </w:tc>
        <w:tc>
          <w:tcPr>
            <w:tcW w:w="851" w:type="dxa"/>
            <w:tcBorders>
              <w:left w:val="double" w:sz="4" w:space="0" w:color="auto"/>
            </w:tcBorders>
          </w:tcPr>
          <w:p w:rsidR="006249D4" w:rsidRDefault="006249D4" w:rsidP="006249D4">
            <w:pPr>
              <w:jc w:val="center"/>
              <w:rPr>
                <w:rFonts w:ascii="Arial Narrow" w:hAnsi="Arial Narrow"/>
                <w:sz w:val="20"/>
              </w:rPr>
            </w:pPr>
            <w:r>
              <w:rPr>
                <w:rFonts w:ascii="Arial Narrow" w:hAnsi="Arial Narrow"/>
                <w:sz w:val="20"/>
              </w:rPr>
              <w:t>7 (5.3%)</w:t>
            </w:r>
          </w:p>
          <w:p w:rsidR="006249D4" w:rsidRPr="00591AFF" w:rsidRDefault="006249D4" w:rsidP="006249D4">
            <w:pPr>
              <w:jc w:val="center"/>
              <w:rPr>
                <w:rFonts w:ascii="Arial Narrow" w:hAnsi="Arial Narrow"/>
                <w:sz w:val="20"/>
              </w:rPr>
            </w:pPr>
            <w:r>
              <w:rPr>
                <w:rFonts w:ascii="Arial Narrow" w:hAnsi="Arial Narrow"/>
                <w:sz w:val="20"/>
              </w:rPr>
              <w:t>6 (4.6%)</w:t>
            </w:r>
          </w:p>
        </w:tc>
      </w:tr>
      <w:tr w:rsidR="006249D4" w:rsidTr="006249D4">
        <w:tc>
          <w:tcPr>
            <w:tcW w:w="1559" w:type="dxa"/>
          </w:tcPr>
          <w:p w:rsidR="006249D4" w:rsidRPr="00591AFF" w:rsidRDefault="006249D4" w:rsidP="006249D4">
            <w:pPr>
              <w:tabs>
                <w:tab w:val="left" w:pos="142"/>
              </w:tabs>
              <w:jc w:val="left"/>
              <w:rPr>
                <w:rFonts w:ascii="Arial Narrow" w:hAnsi="Arial Narrow"/>
                <w:sz w:val="20"/>
              </w:rPr>
            </w:pPr>
            <w:r>
              <w:rPr>
                <w:rFonts w:ascii="Arial Narrow" w:hAnsi="Arial Narrow"/>
                <w:sz w:val="20"/>
              </w:rPr>
              <w:t>Fatigue</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(1.5%)</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(1.7%)</w:t>
            </w:r>
          </w:p>
        </w:tc>
        <w:tc>
          <w:tcPr>
            <w:tcW w:w="993" w:type="dxa"/>
            <w:tcBorders>
              <w:right w:val="double" w:sz="4" w:space="0" w:color="auto"/>
            </w:tcBorders>
          </w:tcPr>
          <w:p w:rsidR="006249D4" w:rsidRPr="00487622" w:rsidRDefault="006249D4" w:rsidP="006249D4">
            <w:pPr>
              <w:jc w:val="center"/>
              <w:rPr>
                <w:rFonts w:ascii="Arial Narrow" w:hAnsi="Arial Narrow"/>
                <w:sz w:val="19"/>
                <w:szCs w:val="19"/>
              </w:rPr>
            </w:pPr>
            <w:r w:rsidRPr="00487622">
              <w:rPr>
                <w:rFonts w:ascii="Arial Narrow" w:hAnsi="Arial Narrow"/>
                <w:sz w:val="19"/>
                <w:szCs w:val="19"/>
              </w:rPr>
              <w:t>3 (2.4%)</w:t>
            </w:r>
          </w:p>
        </w:tc>
        <w:tc>
          <w:tcPr>
            <w:tcW w:w="1080" w:type="dxa"/>
            <w:tcBorders>
              <w:lef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(2.0%)</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(1.9%)</w:t>
            </w:r>
          </w:p>
        </w:tc>
        <w:tc>
          <w:tcPr>
            <w:tcW w:w="992" w:type="dxa"/>
            <w:tcBorders>
              <w:righ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2 (1.9%)</w:t>
            </w:r>
          </w:p>
        </w:tc>
        <w:tc>
          <w:tcPr>
            <w:tcW w:w="851" w:type="dxa"/>
            <w:tcBorders>
              <w:left w:val="double" w:sz="4" w:space="0" w:color="auto"/>
            </w:tcBorders>
          </w:tcPr>
          <w:p w:rsidR="006249D4" w:rsidRPr="00591AFF" w:rsidRDefault="006249D4" w:rsidP="006249D4">
            <w:pPr>
              <w:jc w:val="center"/>
              <w:rPr>
                <w:rFonts w:ascii="Arial Narrow" w:hAnsi="Arial Narrow"/>
                <w:sz w:val="20"/>
              </w:rPr>
            </w:pPr>
            <w:r>
              <w:rPr>
                <w:rFonts w:ascii="Arial Narrow" w:hAnsi="Arial Narrow"/>
                <w:sz w:val="20"/>
              </w:rPr>
              <w:t>9 (6.9%)</w:t>
            </w:r>
          </w:p>
        </w:tc>
      </w:tr>
      <w:tr w:rsidR="006249D4" w:rsidTr="006249D4">
        <w:tc>
          <w:tcPr>
            <w:tcW w:w="8451" w:type="dxa"/>
            <w:gridSpan w:val="8"/>
          </w:tcPr>
          <w:p w:rsidR="006249D4" w:rsidRPr="00813784" w:rsidRDefault="006249D4" w:rsidP="006249D4">
            <w:pPr>
              <w:tabs>
                <w:tab w:val="left" w:pos="142"/>
              </w:tabs>
              <w:jc w:val="left"/>
              <w:rPr>
                <w:rFonts w:ascii="Arial Narrow" w:hAnsi="Arial Narrow"/>
                <w:b/>
                <w:sz w:val="20"/>
              </w:rPr>
            </w:pPr>
            <w:r>
              <w:rPr>
                <w:rFonts w:ascii="Arial Narrow" w:hAnsi="Arial Narrow"/>
                <w:b/>
                <w:sz w:val="20"/>
              </w:rPr>
              <w:t>Immune-related AEs</w:t>
            </w:r>
          </w:p>
        </w:tc>
      </w:tr>
      <w:tr w:rsidR="006249D4" w:rsidTr="006249D4">
        <w:tc>
          <w:tcPr>
            <w:tcW w:w="1559" w:type="dxa"/>
          </w:tcPr>
          <w:p w:rsidR="006249D4" w:rsidRDefault="006249D4" w:rsidP="006249D4">
            <w:pPr>
              <w:tabs>
                <w:tab w:val="left" w:pos="142"/>
              </w:tabs>
              <w:jc w:val="left"/>
              <w:rPr>
                <w:rFonts w:ascii="Arial Narrow" w:hAnsi="Arial Narrow"/>
                <w:sz w:val="20"/>
              </w:rPr>
            </w:pPr>
            <w:r>
              <w:rPr>
                <w:rFonts w:ascii="Arial Narrow" w:hAnsi="Arial Narrow"/>
                <w:sz w:val="20"/>
              </w:rPr>
              <w:t>Drug-related</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12 (18.5%)</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8 (13.8%</w:t>
            </w:r>
          </w:p>
        </w:tc>
        <w:tc>
          <w:tcPr>
            <w:tcW w:w="993" w:type="dxa"/>
            <w:tcBorders>
              <w:righ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20 (16.3%)</w:t>
            </w:r>
          </w:p>
        </w:tc>
        <w:tc>
          <w:tcPr>
            <w:tcW w:w="1080" w:type="dxa"/>
            <w:tcBorders>
              <w:lef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15 (29.4%)</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9 (17.3%)</w:t>
            </w:r>
          </w:p>
        </w:tc>
        <w:tc>
          <w:tcPr>
            <w:tcW w:w="992" w:type="dxa"/>
            <w:tcBorders>
              <w:righ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24 (23.3%)</w:t>
            </w:r>
          </w:p>
        </w:tc>
        <w:tc>
          <w:tcPr>
            <w:tcW w:w="851" w:type="dxa"/>
            <w:tcBorders>
              <w:left w:val="double" w:sz="4" w:space="0" w:color="auto"/>
            </w:tcBorders>
          </w:tcPr>
          <w:p w:rsidR="006249D4" w:rsidRDefault="006249D4" w:rsidP="006249D4">
            <w:pPr>
              <w:jc w:val="center"/>
              <w:rPr>
                <w:rFonts w:ascii="Arial Narrow" w:hAnsi="Arial Narrow"/>
                <w:sz w:val="20"/>
              </w:rPr>
            </w:pPr>
            <w:r>
              <w:rPr>
                <w:rFonts w:ascii="Arial Narrow" w:hAnsi="Arial Narrow"/>
                <w:sz w:val="20"/>
              </w:rPr>
              <w:t>NA</w:t>
            </w:r>
          </w:p>
        </w:tc>
      </w:tr>
      <w:tr w:rsidR="006249D4" w:rsidTr="006249D4">
        <w:tc>
          <w:tcPr>
            <w:tcW w:w="1559" w:type="dxa"/>
          </w:tcPr>
          <w:p w:rsidR="006249D4" w:rsidRPr="00591AFF" w:rsidRDefault="006249D4" w:rsidP="006249D4">
            <w:pPr>
              <w:tabs>
                <w:tab w:val="left" w:pos="142"/>
              </w:tabs>
              <w:jc w:val="left"/>
              <w:rPr>
                <w:rFonts w:ascii="Arial Narrow" w:hAnsi="Arial Narrow"/>
                <w:sz w:val="20"/>
              </w:rPr>
            </w:pPr>
            <w:r>
              <w:rPr>
                <w:rFonts w:ascii="Arial Narrow" w:hAnsi="Arial Narrow"/>
                <w:sz w:val="20"/>
              </w:rPr>
              <w:t>Grade 3-5 drug-related</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2 (3.1%)</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1 (1.7%)</w:t>
            </w:r>
          </w:p>
        </w:tc>
        <w:tc>
          <w:tcPr>
            <w:tcW w:w="993" w:type="dxa"/>
            <w:tcBorders>
              <w:righ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3 (2.4%)</w:t>
            </w:r>
          </w:p>
        </w:tc>
        <w:tc>
          <w:tcPr>
            <w:tcW w:w="1080" w:type="dxa"/>
            <w:tcBorders>
              <w:lef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2 (3.9%)</w:t>
            </w:r>
          </w:p>
        </w:tc>
        <w:tc>
          <w:tcPr>
            <w:tcW w:w="992" w:type="dxa"/>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0 (0.0%)</w:t>
            </w:r>
          </w:p>
        </w:tc>
        <w:tc>
          <w:tcPr>
            <w:tcW w:w="992" w:type="dxa"/>
            <w:tcBorders>
              <w:right w:val="double" w:sz="4" w:space="0" w:color="auto"/>
            </w:tcBorders>
          </w:tcPr>
          <w:p w:rsidR="006249D4" w:rsidRPr="00813C3D" w:rsidRDefault="006249D4" w:rsidP="006249D4">
            <w:pPr>
              <w:jc w:val="center"/>
              <w:rPr>
                <w:rFonts w:ascii="Arial Narrow" w:hAnsi="Arial Narrow"/>
                <w:sz w:val="19"/>
                <w:szCs w:val="19"/>
              </w:rPr>
            </w:pPr>
            <w:r w:rsidRPr="00813C3D">
              <w:rPr>
                <w:rFonts w:ascii="Arial Narrow" w:hAnsi="Arial Narrow"/>
                <w:sz w:val="19"/>
                <w:szCs w:val="19"/>
              </w:rPr>
              <w:t>2 (1.9%)</w:t>
            </w:r>
          </w:p>
        </w:tc>
        <w:tc>
          <w:tcPr>
            <w:tcW w:w="851" w:type="dxa"/>
            <w:tcBorders>
              <w:left w:val="double" w:sz="4" w:space="0" w:color="auto"/>
            </w:tcBorders>
          </w:tcPr>
          <w:p w:rsidR="006249D4" w:rsidRPr="00591AFF" w:rsidRDefault="006249D4" w:rsidP="006249D4">
            <w:pPr>
              <w:jc w:val="center"/>
              <w:rPr>
                <w:rFonts w:ascii="Arial Narrow" w:hAnsi="Arial Narrow"/>
                <w:sz w:val="20"/>
              </w:rPr>
            </w:pPr>
            <w:r>
              <w:rPr>
                <w:rFonts w:ascii="Arial Narrow" w:hAnsi="Arial Narrow"/>
                <w:sz w:val="20"/>
              </w:rPr>
              <w:t>NA</w:t>
            </w:r>
          </w:p>
        </w:tc>
      </w:tr>
    </w:tbl>
    <w:p w:rsidR="006249D4" w:rsidRDefault="006249D4" w:rsidP="006249D4">
      <w:pPr>
        <w:pStyle w:val="TableFooter"/>
        <w:ind w:left="709"/>
      </w:pPr>
      <w:r>
        <w:t>NA=not available</w:t>
      </w:r>
    </w:p>
    <w:p w:rsidR="006249D4" w:rsidRDefault="006249D4" w:rsidP="006249D4">
      <w:pPr>
        <w:pStyle w:val="TableFooter"/>
        <w:ind w:left="709"/>
        <w:rPr>
          <w:szCs w:val="22"/>
        </w:rPr>
      </w:pPr>
      <w:r>
        <w:t>Source: Table B.6-5, p123; Table B.6-6, p125 and Table B.6-7, p126-127 of the submission</w:t>
      </w:r>
    </w:p>
    <w:p w:rsidR="006249D4" w:rsidRPr="00530A45" w:rsidRDefault="006249D4" w:rsidP="006249D4">
      <w:pPr>
        <w:widowControl/>
        <w:rPr>
          <w:szCs w:val="22"/>
        </w:rPr>
      </w:pPr>
    </w:p>
    <w:p w:rsidR="006249D4" w:rsidRPr="00BB4AC4" w:rsidRDefault="006249D4" w:rsidP="006249D4">
      <w:pPr>
        <w:pStyle w:val="ListParagraph"/>
        <w:widowControl/>
        <w:numPr>
          <w:ilvl w:val="1"/>
          <w:numId w:val="1"/>
        </w:numPr>
        <w:rPr>
          <w:szCs w:val="22"/>
        </w:rPr>
      </w:pPr>
      <w:r w:rsidRPr="00BB4AC4">
        <w:rPr>
          <w:szCs w:val="22"/>
        </w:rPr>
        <w:t xml:space="preserve">The data presented for the submission’s safety claim did not correspond to the safety data used in the model, which </w:t>
      </w:r>
      <w:r w:rsidR="00F77844">
        <w:rPr>
          <w:szCs w:val="22"/>
        </w:rPr>
        <w:t>reflected</w:t>
      </w:r>
      <w:r w:rsidRPr="00BB4AC4">
        <w:rPr>
          <w:szCs w:val="22"/>
        </w:rPr>
        <w:t xml:space="preserve"> the pooled Part B1, B2 and D cohorts.</w:t>
      </w:r>
    </w:p>
    <w:p w:rsidR="00A96524" w:rsidRDefault="00A96524">
      <w:pPr>
        <w:widowControl/>
        <w:jc w:val="left"/>
        <w:rPr>
          <w:szCs w:val="22"/>
        </w:rPr>
      </w:pPr>
    </w:p>
    <w:p w:rsidR="00A96524" w:rsidRPr="002C2775" w:rsidRDefault="00A96524" w:rsidP="00A96524">
      <w:pPr>
        <w:pStyle w:val="Heading2"/>
        <w:rPr>
          <w:i/>
          <w:szCs w:val="22"/>
        </w:rPr>
      </w:pPr>
      <w:r w:rsidRPr="002C2775">
        <w:rPr>
          <w:i/>
        </w:rPr>
        <w:t>Benefits/harms</w:t>
      </w:r>
    </w:p>
    <w:p w:rsidR="00A96524" w:rsidRPr="007F1017" w:rsidRDefault="00A96524" w:rsidP="00A96524">
      <w:pPr>
        <w:pStyle w:val="ListParagraph"/>
        <w:ind w:left="0"/>
        <w:rPr>
          <w:szCs w:val="22"/>
        </w:rPr>
      </w:pPr>
    </w:p>
    <w:p w:rsidR="0081086D" w:rsidRPr="00F77844" w:rsidRDefault="00F77844" w:rsidP="00F77844">
      <w:pPr>
        <w:pStyle w:val="ListParagraph"/>
        <w:widowControl/>
        <w:numPr>
          <w:ilvl w:val="1"/>
          <w:numId w:val="1"/>
        </w:numPr>
        <w:rPr>
          <w:szCs w:val="22"/>
        </w:rPr>
      </w:pPr>
      <w:r>
        <w:rPr>
          <w:szCs w:val="22"/>
        </w:rPr>
        <w:t>A</w:t>
      </w:r>
      <w:r w:rsidR="00A96524" w:rsidRPr="00BB4AC4">
        <w:rPr>
          <w:szCs w:val="22"/>
        </w:rPr>
        <w:t xml:space="preserve"> summary of benefits and harms based on statistical comparison of pembrolizumab and ipilimumab could not be completed</w:t>
      </w:r>
      <w:r>
        <w:rPr>
          <w:szCs w:val="22"/>
        </w:rPr>
        <w:t xml:space="preserve"> using the data from KN-001</w:t>
      </w:r>
      <w:r w:rsidR="00A96524" w:rsidRPr="00BB4AC4">
        <w:rPr>
          <w:szCs w:val="22"/>
        </w:rPr>
        <w:t>, given the lack of comparative data and the characteristics of the multi-cohort phase 1 pembrolizumab trial.</w:t>
      </w:r>
      <w:r>
        <w:rPr>
          <w:szCs w:val="22"/>
        </w:rPr>
        <w:t xml:space="preserve">  </w:t>
      </w:r>
      <w:r>
        <w:t>T</w:t>
      </w:r>
      <w:r w:rsidR="00A96524" w:rsidRPr="00BB4AC4">
        <w:t xml:space="preserve">he </w:t>
      </w:r>
      <w:r w:rsidR="0032121E">
        <w:t xml:space="preserve">data presented to the PBAC for the </w:t>
      </w:r>
      <w:r w:rsidR="00A96524" w:rsidRPr="00BB4AC4">
        <w:t xml:space="preserve">KN-001 cohorts </w:t>
      </w:r>
      <w:r w:rsidR="0032121E">
        <w:t xml:space="preserve">were compartmentalised by referring to different subgroups </w:t>
      </w:r>
      <w:r w:rsidR="001F19B9">
        <w:t xml:space="preserve">when reporting </w:t>
      </w:r>
      <w:r w:rsidR="0032121E">
        <w:t>different outcomes.</w:t>
      </w:r>
      <w:r w:rsidR="00A96524" w:rsidRPr="00BB4AC4">
        <w:t xml:space="preserve"> </w:t>
      </w:r>
      <w:r w:rsidR="0032121E">
        <w:t xml:space="preserve"> Data a</w:t>
      </w:r>
      <w:r w:rsidR="001F19B9">
        <w:t>ddressing</w:t>
      </w:r>
      <w:r w:rsidR="0032121E">
        <w:t xml:space="preserve"> </w:t>
      </w:r>
      <w:r w:rsidR="00A96524" w:rsidRPr="00BB4AC4">
        <w:t xml:space="preserve">benefits </w:t>
      </w:r>
      <w:r w:rsidR="001F19B9">
        <w:t xml:space="preserve">were </w:t>
      </w:r>
      <w:r w:rsidR="00A96524" w:rsidRPr="00BB4AC4">
        <w:t>based on the pooled Part B1 (ipilimumab-naïve sub-group) and Part D (ipilimumab-naïve) cohort</w:t>
      </w:r>
      <w:r w:rsidR="001F19B9">
        <w:t xml:space="preserve">s. </w:t>
      </w:r>
      <w:r w:rsidR="00A96524" w:rsidRPr="00BB4AC4">
        <w:t xml:space="preserve"> </w:t>
      </w:r>
      <w:r w:rsidR="001F19B9">
        <w:t xml:space="preserve">Data addressing </w:t>
      </w:r>
      <w:r w:rsidR="00A96524" w:rsidRPr="00BB4AC4">
        <w:t xml:space="preserve">harms </w:t>
      </w:r>
      <w:r w:rsidR="001F19B9">
        <w:t xml:space="preserve">were </w:t>
      </w:r>
      <w:r w:rsidR="00A96524" w:rsidRPr="00BB4AC4">
        <w:t xml:space="preserve">based on the pooled Part B1 (ipilimumab-treated and </w:t>
      </w:r>
      <w:r w:rsidR="001F19B9" w:rsidRPr="00BB4AC4">
        <w:t>ipilimumab-</w:t>
      </w:r>
      <w:r w:rsidR="00A96524" w:rsidRPr="00BB4AC4">
        <w:t>naïve), Part B2 (ipilimumab-refractory) and Part D (ipilimumab-naïve) cohort</w:t>
      </w:r>
      <w:r w:rsidR="001F19B9">
        <w:t>s</w:t>
      </w:r>
      <w:r w:rsidR="00A96524" w:rsidRPr="00BB4AC4">
        <w:t>.</w:t>
      </w:r>
      <w:r w:rsidR="00CC08B2" w:rsidRPr="00B01AAB">
        <w:t xml:space="preserve">  </w:t>
      </w:r>
      <w:r w:rsidR="001F19B9">
        <w:t>Complicating interpretation further</w:t>
      </w:r>
      <w:r w:rsidR="00D77DDA">
        <w:t>, a</w:t>
      </w:r>
      <w:r w:rsidR="00A96524" w:rsidRPr="00BB4AC4">
        <w:t xml:space="preserve">cross the </w:t>
      </w:r>
      <w:r w:rsidR="00D77DDA">
        <w:t xml:space="preserve">KN-001 </w:t>
      </w:r>
      <w:r w:rsidR="00A96524" w:rsidRPr="00BB4AC4">
        <w:t>cohorts</w:t>
      </w:r>
      <w:r w:rsidR="00D77DDA">
        <w:t>,</w:t>
      </w:r>
      <w:r w:rsidR="00A96524" w:rsidRPr="00BB4AC4">
        <w:t xml:space="preserve"> 3 doses of pembrolizumab were used</w:t>
      </w:r>
      <w:r w:rsidR="00D77DDA">
        <w:t>:</w:t>
      </w:r>
      <w:r w:rsidR="00A96524" w:rsidRPr="00BB4AC4">
        <w:t xml:space="preserve"> 2</w:t>
      </w:r>
      <w:r w:rsidR="00A96524">
        <w:t> </w:t>
      </w:r>
      <w:r w:rsidR="00A96524" w:rsidRPr="00BB4AC4">
        <w:t>mg/kg Q3W, 10</w:t>
      </w:r>
      <w:r w:rsidR="00A96524">
        <w:t> </w:t>
      </w:r>
      <w:r w:rsidR="00A96524" w:rsidRPr="00BB4AC4">
        <w:t>mg/kg Q3W and 10</w:t>
      </w:r>
      <w:r w:rsidR="00A96524">
        <w:t> </w:t>
      </w:r>
      <w:r w:rsidR="00A96524" w:rsidRPr="00BB4AC4">
        <w:t>mg/kg Q2W.  The majority of patients were treated with a 10</w:t>
      </w:r>
      <w:r w:rsidR="00A96524">
        <w:t> </w:t>
      </w:r>
      <w:r w:rsidR="00A96524" w:rsidRPr="00BB4AC4">
        <w:t>mg/kg dose, which has not been submitted to the TGA for registration (62% in the pooled Part B1 and D cohort; 61% in the Parts B1, B2 and D cohort).</w:t>
      </w:r>
      <w:r w:rsidR="00D77DDA">
        <w:t xml:space="preserve">  </w:t>
      </w:r>
      <w:r w:rsidR="00D77DDA" w:rsidRPr="00B01AAB">
        <w:t>The sponsor has not requested TGA approval for the 10</w:t>
      </w:r>
      <w:r w:rsidR="00D77DDA">
        <w:t> </w:t>
      </w:r>
      <w:r w:rsidR="00D77DDA" w:rsidRPr="00B01AAB">
        <w:t xml:space="preserve">mg/kg dose of </w:t>
      </w:r>
      <w:r w:rsidR="00D77DDA" w:rsidRPr="00B01AAB">
        <w:lastRenderedPageBreak/>
        <w:t>pembrolizumab and argue</w:t>
      </w:r>
      <w:r w:rsidR="00D77DDA">
        <w:t>d</w:t>
      </w:r>
      <w:r w:rsidR="00D77DDA" w:rsidRPr="00B01AAB">
        <w:t xml:space="preserve"> in S</w:t>
      </w:r>
      <w:r w:rsidR="004A3722">
        <w:t>ubs</w:t>
      </w:r>
      <w:r w:rsidR="00D77DDA" w:rsidRPr="00B01AAB">
        <w:t>ection C.1 of the submission</w:t>
      </w:r>
      <w:r w:rsidR="00D77DDA" w:rsidRPr="00BB4AC4">
        <w:t xml:space="preserve"> that there are no differences between the doses in outcomes</w:t>
      </w:r>
      <w:r w:rsidR="00CA498A">
        <w:t xml:space="preserve"> (see also </w:t>
      </w:r>
      <w:r w:rsidR="00CA498A" w:rsidRPr="00CA498A">
        <w:t xml:space="preserve">paragraph </w:t>
      </w:r>
      <w:r w:rsidR="00D77DDA" w:rsidRPr="00CA498A">
        <w:t>6.2</w:t>
      </w:r>
      <w:r w:rsidR="008A403A" w:rsidRPr="00CA498A">
        <w:t>3</w:t>
      </w:r>
      <w:r w:rsidR="00D77DDA" w:rsidRPr="00CA498A">
        <w:t xml:space="preserve"> below</w:t>
      </w:r>
      <w:r w:rsidR="00D77DDA">
        <w:t>).</w:t>
      </w:r>
    </w:p>
    <w:p w:rsidR="0081086D" w:rsidRPr="00F77844" w:rsidRDefault="0081086D" w:rsidP="0081086D">
      <w:pPr>
        <w:rPr>
          <w:rStyle w:val="CommentReference"/>
          <w:rFonts w:ascii="Arial" w:hAnsi="Arial"/>
          <w:b w:val="0"/>
          <w:sz w:val="22"/>
          <w:szCs w:val="22"/>
        </w:rPr>
      </w:pPr>
    </w:p>
    <w:p w:rsidR="00A96524" w:rsidRPr="0081086D" w:rsidRDefault="00A96524" w:rsidP="0081086D">
      <w:pPr>
        <w:pStyle w:val="ListParagraph"/>
        <w:widowControl/>
        <w:rPr>
          <w:rStyle w:val="CommentReference"/>
          <w:rFonts w:ascii="Arial" w:hAnsi="Arial"/>
          <w:b w:val="0"/>
          <w:sz w:val="22"/>
          <w:szCs w:val="22"/>
        </w:rPr>
      </w:pPr>
      <w:r w:rsidRPr="00A578DC">
        <w:rPr>
          <w:rStyle w:val="CommentReference"/>
        </w:rPr>
        <w:t xml:space="preserve">Summary of benefits and harms for </w:t>
      </w:r>
      <w:r>
        <w:rPr>
          <w:rStyle w:val="CommentReference"/>
        </w:rPr>
        <w:t>pembrolizumab and ipilimumab</w:t>
      </w:r>
    </w:p>
    <w:tbl>
      <w:tblPr>
        <w:tblStyle w:val="TableGrid"/>
        <w:tblW w:w="4665"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962"/>
        <w:gridCol w:w="1473"/>
        <w:gridCol w:w="17"/>
        <w:gridCol w:w="1547"/>
        <w:gridCol w:w="2490"/>
        <w:gridCol w:w="985"/>
      </w:tblGrid>
      <w:tr w:rsidR="00A96524" w:rsidRPr="00E2771E" w:rsidTr="00E944A6">
        <w:tc>
          <w:tcPr>
            <w:tcW w:w="1158" w:type="pct"/>
            <w:shd w:val="clear" w:color="auto" w:fill="auto"/>
            <w:vAlign w:val="center"/>
          </w:tcPr>
          <w:p w:rsidR="00A96524" w:rsidRPr="00CC7D05" w:rsidRDefault="00A96524" w:rsidP="00DD7E75">
            <w:pPr>
              <w:keepNext/>
              <w:jc w:val="left"/>
              <w:rPr>
                <w:rFonts w:ascii="Arial Narrow" w:hAnsi="Arial Narrow"/>
                <w:b/>
                <w:color w:val="000000"/>
                <w:sz w:val="20"/>
                <w:szCs w:val="18"/>
              </w:rPr>
            </w:pPr>
            <w:r>
              <w:rPr>
                <w:rFonts w:ascii="Arial Narrow" w:hAnsi="Arial Narrow"/>
                <w:b/>
                <w:color w:val="000000"/>
                <w:sz w:val="20"/>
                <w:szCs w:val="18"/>
              </w:rPr>
              <w:t>Trial</w:t>
            </w:r>
          </w:p>
        </w:tc>
        <w:tc>
          <w:tcPr>
            <w:tcW w:w="879" w:type="pct"/>
            <w:gridSpan w:val="2"/>
            <w:vAlign w:val="center"/>
          </w:tcPr>
          <w:p w:rsidR="00A96524"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Pembrolizumab</w:t>
            </w:r>
            <w:r w:rsidRPr="005B5EE5">
              <w:rPr>
                <w:rFonts w:ascii="Arial Narrow" w:hAnsi="Arial Narrow"/>
                <w:b/>
                <w:color w:val="000000"/>
                <w:sz w:val="20"/>
                <w:szCs w:val="18"/>
                <w:vertAlign w:val="superscript"/>
              </w:rPr>
              <w:t>a</w:t>
            </w:r>
          </w:p>
          <w:p w:rsidR="00A96524" w:rsidRPr="007D6775"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N=190</w:t>
            </w:r>
          </w:p>
        </w:tc>
        <w:tc>
          <w:tcPr>
            <w:tcW w:w="913" w:type="pct"/>
            <w:vAlign w:val="center"/>
          </w:tcPr>
          <w:p w:rsidR="00A96524"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Ipilimumab</w:t>
            </w:r>
          </w:p>
          <w:p w:rsidR="00A96524" w:rsidRPr="00E2771E"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N=137</w:t>
            </w:r>
          </w:p>
        </w:tc>
        <w:tc>
          <w:tcPr>
            <w:tcW w:w="1469" w:type="pct"/>
            <w:vAlign w:val="center"/>
          </w:tcPr>
          <w:p w:rsidR="00A96524" w:rsidRPr="00E2771E" w:rsidRDefault="00A96524" w:rsidP="00DD7E75">
            <w:pPr>
              <w:keepNext/>
              <w:jc w:val="center"/>
              <w:rPr>
                <w:rFonts w:ascii="Arial Narrow" w:hAnsi="Arial Narrow"/>
                <w:b/>
                <w:color w:val="000000"/>
                <w:sz w:val="20"/>
                <w:szCs w:val="18"/>
              </w:rPr>
            </w:pPr>
            <w:r w:rsidRPr="00E2771E">
              <w:rPr>
                <w:rFonts w:ascii="Arial Narrow" w:hAnsi="Arial Narrow"/>
                <w:b/>
                <w:color w:val="000000"/>
                <w:sz w:val="20"/>
                <w:szCs w:val="18"/>
              </w:rPr>
              <w:t>Absolut</w:t>
            </w:r>
            <w:r>
              <w:rPr>
                <w:rFonts w:ascii="Arial Narrow" w:hAnsi="Arial Narrow"/>
                <w:b/>
                <w:color w:val="000000"/>
                <w:sz w:val="20"/>
                <w:szCs w:val="18"/>
              </w:rPr>
              <w:t>e d</w:t>
            </w:r>
            <w:r w:rsidRPr="00E2771E">
              <w:rPr>
                <w:rFonts w:ascii="Arial Narrow" w:hAnsi="Arial Narrow"/>
                <w:b/>
                <w:color w:val="000000"/>
                <w:sz w:val="20"/>
                <w:szCs w:val="18"/>
              </w:rPr>
              <w:t>ifference</w:t>
            </w:r>
          </w:p>
        </w:tc>
        <w:tc>
          <w:tcPr>
            <w:tcW w:w="581" w:type="pct"/>
            <w:vAlign w:val="center"/>
          </w:tcPr>
          <w:p w:rsidR="00A96524" w:rsidRDefault="00A96524" w:rsidP="00DD7E75">
            <w:pPr>
              <w:keepNext/>
              <w:jc w:val="center"/>
              <w:rPr>
                <w:rFonts w:ascii="Arial Narrow" w:hAnsi="Arial Narrow"/>
                <w:b/>
                <w:color w:val="000000"/>
                <w:sz w:val="20"/>
                <w:szCs w:val="18"/>
              </w:rPr>
            </w:pPr>
            <w:r w:rsidRPr="00E2771E">
              <w:rPr>
                <w:rFonts w:ascii="Arial Narrow" w:hAnsi="Arial Narrow"/>
                <w:b/>
                <w:color w:val="000000"/>
                <w:sz w:val="20"/>
                <w:szCs w:val="18"/>
              </w:rPr>
              <w:t>HR</w:t>
            </w:r>
          </w:p>
          <w:p w:rsidR="00A96524" w:rsidRPr="00E2771E" w:rsidRDefault="00A96524" w:rsidP="00DD7E75">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r>
      <w:tr w:rsidR="00A96524" w:rsidRPr="00E2771E" w:rsidTr="00DD7E75">
        <w:tc>
          <w:tcPr>
            <w:tcW w:w="5000" w:type="pct"/>
            <w:gridSpan w:val="6"/>
            <w:shd w:val="clear" w:color="auto" w:fill="auto"/>
            <w:vAlign w:val="center"/>
          </w:tcPr>
          <w:p w:rsidR="00A96524" w:rsidRPr="00E2771E" w:rsidRDefault="00A96524" w:rsidP="00DD7E75">
            <w:pPr>
              <w:keepNext/>
              <w:rPr>
                <w:rFonts w:ascii="Arial Narrow" w:hAnsi="Arial Narrow"/>
                <w:b/>
                <w:color w:val="000000"/>
                <w:sz w:val="20"/>
                <w:szCs w:val="18"/>
              </w:rPr>
            </w:pPr>
            <w:r w:rsidRPr="00E2771E">
              <w:rPr>
                <w:rFonts w:ascii="Arial Narrow" w:hAnsi="Arial Narrow"/>
                <w:b/>
                <w:color w:val="000000"/>
                <w:sz w:val="20"/>
                <w:szCs w:val="18"/>
              </w:rPr>
              <w:t>Benefits</w:t>
            </w:r>
          </w:p>
        </w:tc>
      </w:tr>
      <w:tr w:rsidR="00A96524" w:rsidRPr="00E2771E" w:rsidTr="00DD7E75">
        <w:tc>
          <w:tcPr>
            <w:tcW w:w="5000" w:type="pct"/>
            <w:gridSpan w:val="6"/>
            <w:shd w:val="clear" w:color="auto" w:fill="auto"/>
            <w:vAlign w:val="center"/>
          </w:tcPr>
          <w:p w:rsidR="00A96524" w:rsidRPr="00E2771E" w:rsidRDefault="00A96524" w:rsidP="00E944A6">
            <w:pPr>
              <w:keepNext/>
              <w:rPr>
                <w:rFonts w:ascii="Arial Narrow" w:hAnsi="Arial Narrow"/>
                <w:b/>
                <w:color w:val="000000"/>
                <w:sz w:val="20"/>
                <w:szCs w:val="18"/>
              </w:rPr>
            </w:pPr>
            <w:r>
              <w:rPr>
                <w:rFonts w:ascii="Arial Narrow" w:hAnsi="Arial Narrow"/>
                <w:b/>
                <w:color w:val="000000"/>
                <w:sz w:val="20"/>
                <w:szCs w:val="18"/>
              </w:rPr>
              <w:t>P</w:t>
            </w:r>
            <w:r w:rsidR="00E944A6">
              <w:rPr>
                <w:rFonts w:ascii="Arial Narrow" w:hAnsi="Arial Narrow"/>
                <w:b/>
                <w:color w:val="000000"/>
                <w:sz w:val="20"/>
                <w:szCs w:val="18"/>
              </w:rPr>
              <w:t>rogression-free survival</w:t>
            </w:r>
            <w:r>
              <w:rPr>
                <w:rFonts w:ascii="Arial Narrow" w:hAnsi="Arial Narrow"/>
                <w:b/>
                <w:color w:val="000000"/>
                <w:sz w:val="20"/>
                <w:szCs w:val="18"/>
              </w:rPr>
              <w:t xml:space="preserve"> – KN-001 and Hodi 2010</w:t>
            </w:r>
          </w:p>
        </w:tc>
      </w:tr>
      <w:tr w:rsidR="00A96524" w:rsidRPr="00E2771E" w:rsidTr="00E944A6">
        <w:tc>
          <w:tcPr>
            <w:tcW w:w="1158" w:type="pct"/>
            <w:tcBorders>
              <w:bottom w:val="single" w:sz="4" w:space="0" w:color="auto"/>
            </w:tcBorders>
            <w:shd w:val="clear" w:color="auto" w:fill="auto"/>
            <w:vAlign w:val="center"/>
          </w:tcPr>
          <w:p w:rsidR="00A96524" w:rsidRPr="00E2771E" w:rsidRDefault="00A96524" w:rsidP="00DD7E75">
            <w:pPr>
              <w:keepNext/>
              <w:rPr>
                <w:rFonts w:ascii="Arial Narrow" w:hAnsi="Arial Narrow"/>
                <w:color w:val="000000"/>
                <w:sz w:val="20"/>
                <w:szCs w:val="18"/>
              </w:rPr>
            </w:pPr>
            <w:r>
              <w:rPr>
                <w:rFonts w:ascii="Arial Narrow" w:hAnsi="Arial Narrow"/>
                <w:color w:val="000000"/>
                <w:sz w:val="20"/>
                <w:szCs w:val="18"/>
              </w:rPr>
              <w:t>PFS rate at 3 months</w:t>
            </w:r>
          </w:p>
        </w:tc>
        <w:tc>
          <w:tcPr>
            <w:tcW w:w="879" w:type="pct"/>
            <w:gridSpan w:val="2"/>
            <w:tcBorders>
              <w:bottom w:val="single" w:sz="4" w:space="0" w:color="auto"/>
            </w:tcBorders>
            <w:vAlign w:val="center"/>
          </w:tcPr>
          <w:p w:rsidR="00A96524" w:rsidRPr="00E2771E" w:rsidRDefault="00A96524" w:rsidP="00DD7E75">
            <w:pPr>
              <w:keepNext/>
              <w:jc w:val="center"/>
              <w:rPr>
                <w:rFonts w:ascii="Arial Narrow" w:hAnsi="Arial Narrow"/>
                <w:sz w:val="20"/>
              </w:rPr>
            </w:pPr>
            <w:r>
              <w:rPr>
                <w:rFonts w:ascii="Arial Narrow" w:hAnsi="Arial Narrow"/>
                <w:sz w:val="20"/>
              </w:rPr>
              <w:t>58.8%</w:t>
            </w:r>
          </w:p>
        </w:tc>
        <w:tc>
          <w:tcPr>
            <w:tcW w:w="913" w:type="pct"/>
            <w:tcBorders>
              <w:bottom w:val="single" w:sz="4" w:space="0" w:color="auto"/>
            </w:tcBorders>
            <w:vAlign w:val="center"/>
          </w:tcPr>
          <w:p w:rsidR="00A96524" w:rsidRPr="00E2771E" w:rsidRDefault="00A96524" w:rsidP="00DD7E75">
            <w:pPr>
              <w:keepNext/>
              <w:jc w:val="center"/>
              <w:rPr>
                <w:rFonts w:ascii="Arial Narrow" w:hAnsi="Arial Narrow"/>
                <w:sz w:val="20"/>
              </w:rPr>
            </w:pPr>
            <w:r>
              <w:rPr>
                <w:rFonts w:ascii="Arial Narrow" w:hAnsi="Arial Narrow"/>
                <w:sz w:val="20"/>
              </w:rPr>
              <w:t>57.7%</w:t>
            </w:r>
          </w:p>
        </w:tc>
        <w:tc>
          <w:tcPr>
            <w:tcW w:w="1469" w:type="pct"/>
            <w:tcBorders>
              <w:bottom w:val="single" w:sz="4" w:space="0" w:color="auto"/>
            </w:tcBorders>
            <w:vAlign w:val="center"/>
          </w:tcPr>
          <w:p w:rsidR="00A96524" w:rsidRPr="00E2771E" w:rsidRDefault="00A96524" w:rsidP="00DD7E75">
            <w:pPr>
              <w:keepNext/>
              <w:jc w:val="center"/>
              <w:rPr>
                <w:rFonts w:ascii="Arial Narrow" w:hAnsi="Arial Narrow"/>
                <w:color w:val="000000"/>
                <w:sz w:val="20"/>
                <w:szCs w:val="18"/>
              </w:rPr>
            </w:pPr>
            <w:r>
              <w:rPr>
                <w:rFonts w:ascii="Arial Narrow" w:hAnsi="Arial Narrow"/>
                <w:color w:val="000000"/>
                <w:sz w:val="20"/>
                <w:szCs w:val="18"/>
              </w:rPr>
              <w:t>NC</w:t>
            </w:r>
            <w:r w:rsidRPr="002C2467">
              <w:rPr>
                <w:rFonts w:ascii="Arial Narrow" w:hAnsi="Arial Narrow"/>
                <w:color w:val="000000"/>
                <w:sz w:val="20"/>
                <w:szCs w:val="18"/>
                <w:vertAlign w:val="superscript"/>
              </w:rPr>
              <w:t>b</w:t>
            </w:r>
          </w:p>
        </w:tc>
        <w:tc>
          <w:tcPr>
            <w:tcW w:w="581" w:type="pct"/>
            <w:tcBorders>
              <w:bottom w:val="single" w:sz="4" w:space="0" w:color="auto"/>
            </w:tcBorders>
            <w:vAlign w:val="center"/>
          </w:tcPr>
          <w:p w:rsidR="00A96524" w:rsidRPr="00E2771E" w:rsidRDefault="00A96524" w:rsidP="00DD7E75">
            <w:pPr>
              <w:keepNext/>
              <w:tabs>
                <w:tab w:val="left" w:pos="647"/>
              </w:tabs>
              <w:jc w:val="center"/>
              <w:rPr>
                <w:rFonts w:ascii="Arial Narrow" w:hAnsi="Arial Narrow"/>
                <w:color w:val="000000"/>
                <w:sz w:val="20"/>
                <w:szCs w:val="18"/>
              </w:rPr>
            </w:pPr>
            <w:r>
              <w:rPr>
                <w:rFonts w:ascii="Arial Narrow" w:hAnsi="Arial Narrow"/>
                <w:sz w:val="20"/>
              </w:rPr>
              <w:t>NC</w:t>
            </w:r>
            <w:r w:rsidRPr="002C2467">
              <w:rPr>
                <w:rFonts w:ascii="Arial Narrow" w:hAnsi="Arial Narrow"/>
                <w:color w:val="000000"/>
                <w:sz w:val="20"/>
                <w:szCs w:val="18"/>
                <w:vertAlign w:val="superscript"/>
              </w:rPr>
              <w:t>b</w:t>
            </w:r>
          </w:p>
        </w:tc>
      </w:tr>
      <w:tr w:rsidR="00A96524" w:rsidRPr="00E2771E" w:rsidTr="00E944A6">
        <w:tc>
          <w:tcPr>
            <w:tcW w:w="1158" w:type="pct"/>
            <w:tcBorders>
              <w:bottom w:val="single" w:sz="4" w:space="0" w:color="auto"/>
            </w:tcBorders>
            <w:shd w:val="clear" w:color="auto" w:fill="auto"/>
            <w:vAlign w:val="center"/>
          </w:tcPr>
          <w:p w:rsidR="00A96524" w:rsidRPr="00E2771E" w:rsidRDefault="00A96524" w:rsidP="00DD7E75">
            <w:pPr>
              <w:keepNext/>
              <w:rPr>
                <w:rFonts w:ascii="Arial Narrow" w:hAnsi="Arial Narrow"/>
                <w:color w:val="000000"/>
                <w:sz w:val="20"/>
                <w:szCs w:val="18"/>
              </w:rPr>
            </w:pPr>
            <w:r w:rsidRPr="00E2771E">
              <w:rPr>
                <w:rFonts w:ascii="Arial Narrow" w:hAnsi="Arial Narrow"/>
                <w:color w:val="000000"/>
                <w:sz w:val="20"/>
                <w:szCs w:val="18"/>
              </w:rPr>
              <w:t>Median</w:t>
            </w:r>
            <w:r>
              <w:rPr>
                <w:rFonts w:ascii="Arial Narrow" w:hAnsi="Arial Narrow"/>
                <w:color w:val="000000"/>
                <w:sz w:val="20"/>
                <w:szCs w:val="18"/>
              </w:rPr>
              <w:t xml:space="preserve"> months</w:t>
            </w:r>
            <w:r w:rsidRPr="00E2771E">
              <w:rPr>
                <w:rFonts w:ascii="Arial Narrow" w:hAnsi="Arial Narrow"/>
                <w:color w:val="000000"/>
                <w:sz w:val="20"/>
                <w:szCs w:val="18"/>
              </w:rPr>
              <w:t xml:space="preserve"> </w:t>
            </w:r>
            <w:r>
              <w:rPr>
                <w:rFonts w:ascii="Arial Narrow" w:hAnsi="Arial Narrow"/>
                <w:color w:val="000000"/>
                <w:sz w:val="20"/>
                <w:szCs w:val="18"/>
              </w:rPr>
              <w:t>(95% CI)</w:t>
            </w:r>
          </w:p>
        </w:tc>
        <w:tc>
          <w:tcPr>
            <w:tcW w:w="879" w:type="pct"/>
            <w:gridSpan w:val="2"/>
            <w:tcBorders>
              <w:bottom w:val="single" w:sz="4" w:space="0" w:color="auto"/>
            </w:tcBorders>
            <w:vAlign w:val="center"/>
          </w:tcPr>
          <w:p w:rsidR="00A96524" w:rsidRPr="00E2771E" w:rsidRDefault="00A96524" w:rsidP="00DD7E75">
            <w:pPr>
              <w:keepNext/>
              <w:jc w:val="center"/>
              <w:rPr>
                <w:rFonts w:ascii="Arial Narrow" w:hAnsi="Arial Narrow"/>
                <w:sz w:val="20"/>
              </w:rPr>
            </w:pPr>
            <w:r>
              <w:rPr>
                <w:rFonts w:ascii="Arial Narrow" w:hAnsi="Arial Narrow"/>
                <w:sz w:val="20"/>
              </w:rPr>
              <w:t>5.5 (3.4, 9.0)</w:t>
            </w:r>
          </w:p>
        </w:tc>
        <w:tc>
          <w:tcPr>
            <w:tcW w:w="913" w:type="pct"/>
            <w:tcBorders>
              <w:bottom w:val="single" w:sz="4" w:space="0" w:color="auto"/>
            </w:tcBorders>
            <w:vAlign w:val="center"/>
          </w:tcPr>
          <w:p w:rsidR="00A96524" w:rsidRPr="00E2771E" w:rsidRDefault="00A96524" w:rsidP="00DD7E75">
            <w:pPr>
              <w:keepNext/>
              <w:jc w:val="center"/>
              <w:rPr>
                <w:rFonts w:ascii="Arial Narrow" w:hAnsi="Arial Narrow"/>
                <w:sz w:val="20"/>
              </w:rPr>
            </w:pPr>
            <w:r>
              <w:rPr>
                <w:rFonts w:ascii="Arial Narrow" w:hAnsi="Arial Narrow"/>
                <w:sz w:val="20"/>
              </w:rPr>
              <w:t>2.86 (2.76, 3.02)</w:t>
            </w:r>
          </w:p>
        </w:tc>
        <w:tc>
          <w:tcPr>
            <w:tcW w:w="1469" w:type="pct"/>
            <w:tcBorders>
              <w:bottom w:val="single" w:sz="4" w:space="0" w:color="auto"/>
            </w:tcBorders>
            <w:vAlign w:val="center"/>
          </w:tcPr>
          <w:p w:rsidR="00A96524" w:rsidRPr="004275E1" w:rsidRDefault="00A96524" w:rsidP="00DD7E75">
            <w:pPr>
              <w:keepNext/>
              <w:jc w:val="center"/>
              <w:rPr>
                <w:rFonts w:ascii="Arial Narrow" w:hAnsi="Arial Narrow"/>
                <w:color w:val="000000"/>
                <w:sz w:val="20"/>
                <w:szCs w:val="18"/>
              </w:rPr>
            </w:pPr>
            <w:r>
              <w:rPr>
                <w:rFonts w:ascii="Arial Narrow" w:hAnsi="Arial Narrow"/>
                <w:color w:val="000000"/>
                <w:sz w:val="20"/>
                <w:szCs w:val="18"/>
              </w:rPr>
              <w:t>NC</w:t>
            </w:r>
            <w:r w:rsidRPr="002C2467">
              <w:rPr>
                <w:rFonts w:ascii="Arial Narrow" w:hAnsi="Arial Narrow"/>
                <w:color w:val="000000"/>
                <w:sz w:val="20"/>
                <w:szCs w:val="18"/>
                <w:vertAlign w:val="superscript"/>
              </w:rPr>
              <w:t>b</w:t>
            </w:r>
          </w:p>
        </w:tc>
        <w:tc>
          <w:tcPr>
            <w:tcW w:w="581" w:type="pct"/>
            <w:tcBorders>
              <w:bottom w:val="single" w:sz="4" w:space="0" w:color="auto"/>
            </w:tcBorders>
            <w:vAlign w:val="center"/>
          </w:tcPr>
          <w:p w:rsidR="00A96524" w:rsidRPr="00E2771E" w:rsidRDefault="00A96524" w:rsidP="00DD7E75">
            <w:pPr>
              <w:keepNext/>
              <w:jc w:val="center"/>
              <w:rPr>
                <w:rFonts w:ascii="Arial Narrow" w:hAnsi="Arial Narrow"/>
                <w:color w:val="000000"/>
                <w:sz w:val="20"/>
                <w:szCs w:val="18"/>
              </w:rPr>
            </w:pPr>
            <w:r w:rsidRPr="00E2771E">
              <w:rPr>
                <w:rFonts w:ascii="Arial Narrow" w:hAnsi="Arial Narrow"/>
                <w:color w:val="000000"/>
                <w:sz w:val="20"/>
                <w:szCs w:val="18"/>
              </w:rPr>
              <w:t>-</w:t>
            </w:r>
          </w:p>
        </w:tc>
      </w:tr>
      <w:tr w:rsidR="00A96524" w:rsidRPr="00E2771E" w:rsidTr="00E944A6">
        <w:tc>
          <w:tcPr>
            <w:tcW w:w="2950" w:type="pct"/>
            <w:gridSpan w:val="4"/>
            <w:tcBorders>
              <w:top w:val="single" w:sz="4" w:space="0" w:color="auto"/>
            </w:tcBorders>
            <w:shd w:val="clear" w:color="auto" w:fill="auto"/>
            <w:vAlign w:val="center"/>
          </w:tcPr>
          <w:p w:rsidR="00A96524" w:rsidRPr="002A16BB" w:rsidRDefault="00A96524" w:rsidP="00E944A6">
            <w:pPr>
              <w:keepNext/>
              <w:jc w:val="left"/>
              <w:rPr>
                <w:rFonts w:ascii="Arial Narrow" w:hAnsi="Arial Narrow"/>
                <w:b/>
                <w:sz w:val="19"/>
                <w:szCs w:val="19"/>
              </w:rPr>
            </w:pPr>
            <w:r>
              <w:rPr>
                <w:rFonts w:ascii="Arial Narrow" w:hAnsi="Arial Narrow"/>
                <w:b/>
                <w:color w:val="000000"/>
                <w:sz w:val="20"/>
                <w:szCs w:val="18"/>
              </w:rPr>
              <w:t>O</w:t>
            </w:r>
            <w:r w:rsidR="00E944A6">
              <w:rPr>
                <w:rFonts w:ascii="Arial Narrow" w:hAnsi="Arial Narrow"/>
                <w:b/>
                <w:color w:val="000000"/>
                <w:sz w:val="20"/>
                <w:szCs w:val="18"/>
              </w:rPr>
              <w:t>verall survival</w:t>
            </w:r>
            <w:r>
              <w:rPr>
                <w:rFonts w:ascii="Arial Narrow" w:hAnsi="Arial Narrow"/>
                <w:b/>
                <w:color w:val="000000"/>
                <w:sz w:val="20"/>
                <w:szCs w:val="18"/>
              </w:rPr>
              <w:t xml:space="preserve"> – KN-001 and Hodi 2010</w:t>
            </w:r>
          </w:p>
        </w:tc>
        <w:tc>
          <w:tcPr>
            <w:tcW w:w="1469" w:type="pct"/>
            <w:tcBorders>
              <w:top w:val="single" w:sz="4" w:space="0" w:color="auto"/>
            </w:tcBorders>
            <w:vAlign w:val="center"/>
          </w:tcPr>
          <w:p w:rsidR="00A96524" w:rsidRPr="00E2771E" w:rsidRDefault="00A96524" w:rsidP="00DD7E75">
            <w:pPr>
              <w:keepNext/>
              <w:jc w:val="center"/>
              <w:rPr>
                <w:rFonts w:ascii="Arial Narrow" w:hAnsi="Arial Narrow"/>
                <w:color w:val="000000"/>
                <w:sz w:val="20"/>
                <w:szCs w:val="18"/>
              </w:rPr>
            </w:pPr>
          </w:p>
        </w:tc>
        <w:tc>
          <w:tcPr>
            <w:tcW w:w="581" w:type="pct"/>
            <w:tcBorders>
              <w:top w:val="single" w:sz="4" w:space="0" w:color="auto"/>
            </w:tcBorders>
            <w:vAlign w:val="center"/>
          </w:tcPr>
          <w:p w:rsidR="00A96524" w:rsidRDefault="00A96524" w:rsidP="00DD7E75">
            <w:pPr>
              <w:keepNext/>
              <w:tabs>
                <w:tab w:val="left" w:pos="647"/>
              </w:tabs>
              <w:jc w:val="center"/>
              <w:rPr>
                <w:rFonts w:ascii="Arial Narrow" w:hAnsi="Arial Narrow"/>
                <w:sz w:val="20"/>
                <w:lang w:val="en-US"/>
              </w:rPr>
            </w:pPr>
          </w:p>
        </w:tc>
      </w:tr>
      <w:tr w:rsidR="00A96524" w:rsidRPr="00E2771E" w:rsidTr="00E944A6">
        <w:tc>
          <w:tcPr>
            <w:tcW w:w="1158" w:type="pct"/>
            <w:shd w:val="clear" w:color="auto" w:fill="auto"/>
            <w:vAlign w:val="center"/>
          </w:tcPr>
          <w:p w:rsidR="00A96524" w:rsidRPr="00E2771E" w:rsidRDefault="00A96524" w:rsidP="00DD7E75">
            <w:pPr>
              <w:keepNext/>
              <w:rPr>
                <w:rFonts w:ascii="Arial Narrow" w:hAnsi="Arial Narrow"/>
                <w:color w:val="000000"/>
                <w:sz w:val="20"/>
                <w:szCs w:val="18"/>
              </w:rPr>
            </w:pPr>
            <w:r>
              <w:rPr>
                <w:rFonts w:ascii="Arial Narrow" w:hAnsi="Arial Narrow"/>
                <w:color w:val="000000"/>
                <w:sz w:val="20"/>
                <w:szCs w:val="18"/>
              </w:rPr>
              <w:t>OS rate at 12 months</w:t>
            </w:r>
          </w:p>
        </w:tc>
        <w:tc>
          <w:tcPr>
            <w:tcW w:w="879" w:type="pct"/>
            <w:gridSpan w:val="2"/>
          </w:tcPr>
          <w:p w:rsidR="00A96524" w:rsidRPr="00E944A6" w:rsidRDefault="00A96524" w:rsidP="00DD7E75">
            <w:pPr>
              <w:keepNext/>
              <w:jc w:val="center"/>
              <w:rPr>
                <w:rFonts w:ascii="Arial Narrow" w:hAnsi="Arial Narrow"/>
                <w:sz w:val="20"/>
              </w:rPr>
            </w:pPr>
            <w:r w:rsidRPr="00E944A6">
              <w:rPr>
                <w:rFonts w:ascii="Arial Narrow" w:hAnsi="Arial Narrow"/>
                <w:sz w:val="20"/>
              </w:rPr>
              <w:t>74.0%</w:t>
            </w:r>
          </w:p>
        </w:tc>
        <w:tc>
          <w:tcPr>
            <w:tcW w:w="913" w:type="pct"/>
          </w:tcPr>
          <w:p w:rsidR="00A96524" w:rsidRPr="00E944A6" w:rsidRDefault="00A96524" w:rsidP="00DD7E75">
            <w:pPr>
              <w:keepNext/>
              <w:jc w:val="center"/>
              <w:rPr>
                <w:rFonts w:ascii="Arial Narrow" w:hAnsi="Arial Narrow"/>
                <w:sz w:val="20"/>
              </w:rPr>
            </w:pPr>
            <w:r w:rsidRPr="00E944A6">
              <w:rPr>
                <w:rFonts w:ascii="Arial Narrow" w:hAnsi="Arial Narrow"/>
                <w:sz w:val="20"/>
              </w:rPr>
              <w:t>45.6%</w:t>
            </w:r>
          </w:p>
        </w:tc>
        <w:tc>
          <w:tcPr>
            <w:tcW w:w="1469" w:type="pct"/>
            <w:vAlign w:val="center"/>
          </w:tcPr>
          <w:p w:rsidR="00A96524" w:rsidRPr="00E2771E" w:rsidRDefault="00A96524" w:rsidP="00DD7E75">
            <w:pPr>
              <w:keepNext/>
              <w:jc w:val="center"/>
              <w:rPr>
                <w:rFonts w:ascii="Arial Narrow" w:hAnsi="Arial Narrow"/>
                <w:color w:val="000000"/>
                <w:sz w:val="20"/>
                <w:szCs w:val="18"/>
              </w:rPr>
            </w:pPr>
            <w:r>
              <w:rPr>
                <w:rFonts w:ascii="Arial Narrow" w:hAnsi="Arial Narrow"/>
                <w:color w:val="000000"/>
                <w:sz w:val="20"/>
                <w:szCs w:val="18"/>
              </w:rPr>
              <w:t>NC</w:t>
            </w:r>
            <w:r w:rsidRPr="002C2467">
              <w:rPr>
                <w:rFonts w:ascii="Arial Narrow" w:hAnsi="Arial Narrow"/>
                <w:color w:val="000000"/>
                <w:sz w:val="20"/>
                <w:szCs w:val="18"/>
                <w:vertAlign w:val="superscript"/>
              </w:rPr>
              <w:t>b</w:t>
            </w:r>
          </w:p>
        </w:tc>
        <w:tc>
          <w:tcPr>
            <w:tcW w:w="581" w:type="pct"/>
            <w:vAlign w:val="center"/>
          </w:tcPr>
          <w:p w:rsidR="00A96524" w:rsidRPr="00E2771E" w:rsidRDefault="00A96524" w:rsidP="00DD7E75">
            <w:pPr>
              <w:keepNext/>
              <w:tabs>
                <w:tab w:val="left" w:pos="647"/>
              </w:tabs>
              <w:jc w:val="center"/>
              <w:rPr>
                <w:rFonts w:ascii="Arial Narrow" w:hAnsi="Arial Narrow"/>
                <w:color w:val="000000"/>
                <w:sz w:val="20"/>
                <w:szCs w:val="18"/>
              </w:rPr>
            </w:pPr>
            <w:r>
              <w:rPr>
                <w:rFonts w:ascii="Arial Narrow" w:hAnsi="Arial Narrow"/>
                <w:sz w:val="20"/>
                <w:lang w:val="en-US"/>
              </w:rPr>
              <w:t>NC</w:t>
            </w:r>
            <w:r w:rsidRPr="002C2467">
              <w:rPr>
                <w:rFonts w:ascii="Arial Narrow" w:hAnsi="Arial Narrow"/>
                <w:color w:val="000000"/>
                <w:sz w:val="20"/>
                <w:szCs w:val="18"/>
                <w:vertAlign w:val="superscript"/>
              </w:rPr>
              <w:t>b</w:t>
            </w:r>
          </w:p>
        </w:tc>
      </w:tr>
      <w:tr w:rsidR="00A96524" w:rsidRPr="00E2771E" w:rsidTr="00E944A6">
        <w:tc>
          <w:tcPr>
            <w:tcW w:w="1158" w:type="pct"/>
            <w:tcBorders>
              <w:bottom w:val="double" w:sz="4" w:space="0" w:color="auto"/>
            </w:tcBorders>
            <w:shd w:val="clear" w:color="auto" w:fill="auto"/>
            <w:vAlign w:val="center"/>
          </w:tcPr>
          <w:p w:rsidR="00A96524" w:rsidRPr="00E2771E" w:rsidRDefault="00A96524" w:rsidP="00DD7E75">
            <w:pPr>
              <w:keepNext/>
              <w:rPr>
                <w:rFonts w:ascii="Arial Narrow" w:hAnsi="Arial Narrow"/>
                <w:color w:val="000000"/>
                <w:sz w:val="20"/>
                <w:szCs w:val="18"/>
              </w:rPr>
            </w:pPr>
            <w:r w:rsidRPr="00E2771E">
              <w:rPr>
                <w:rFonts w:ascii="Arial Narrow" w:hAnsi="Arial Narrow"/>
                <w:color w:val="000000"/>
                <w:sz w:val="20"/>
                <w:szCs w:val="18"/>
              </w:rPr>
              <w:t xml:space="preserve">Median </w:t>
            </w:r>
            <w:r>
              <w:rPr>
                <w:rFonts w:ascii="Arial Narrow" w:hAnsi="Arial Narrow"/>
                <w:color w:val="000000"/>
                <w:sz w:val="20"/>
                <w:szCs w:val="18"/>
              </w:rPr>
              <w:t>months (95% CI)</w:t>
            </w:r>
          </w:p>
        </w:tc>
        <w:tc>
          <w:tcPr>
            <w:tcW w:w="879" w:type="pct"/>
            <w:gridSpan w:val="2"/>
            <w:tcBorders>
              <w:bottom w:val="double" w:sz="4" w:space="0" w:color="auto"/>
            </w:tcBorders>
          </w:tcPr>
          <w:p w:rsidR="00A96524" w:rsidRPr="00E2771E" w:rsidRDefault="00A96524" w:rsidP="00DD7E75">
            <w:pPr>
              <w:keepNext/>
              <w:jc w:val="center"/>
              <w:rPr>
                <w:rFonts w:ascii="Arial Narrow" w:hAnsi="Arial Narrow"/>
                <w:sz w:val="20"/>
              </w:rPr>
            </w:pPr>
            <w:r>
              <w:rPr>
                <w:rFonts w:ascii="Arial Narrow" w:hAnsi="Arial Narrow"/>
                <w:sz w:val="20"/>
              </w:rPr>
              <w:t>NR</w:t>
            </w:r>
          </w:p>
        </w:tc>
        <w:tc>
          <w:tcPr>
            <w:tcW w:w="913" w:type="pct"/>
            <w:tcBorders>
              <w:bottom w:val="double" w:sz="4" w:space="0" w:color="auto"/>
            </w:tcBorders>
          </w:tcPr>
          <w:p w:rsidR="00A96524" w:rsidRPr="00E2771E" w:rsidRDefault="00A96524" w:rsidP="00DD7E75">
            <w:pPr>
              <w:keepNext/>
              <w:jc w:val="center"/>
              <w:rPr>
                <w:rFonts w:ascii="Arial Narrow" w:hAnsi="Arial Narrow"/>
                <w:sz w:val="20"/>
              </w:rPr>
            </w:pPr>
            <w:r>
              <w:rPr>
                <w:rFonts w:ascii="Arial Narrow" w:hAnsi="Arial Narrow"/>
                <w:sz w:val="20"/>
              </w:rPr>
              <w:t>10.1 (8.0, 13.8)</w:t>
            </w:r>
          </w:p>
        </w:tc>
        <w:tc>
          <w:tcPr>
            <w:tcW w:w="1469" w:type="pct"/>
            <w:tcBorders>
              <w:bottom w:val="double" w:sz="4" w:space="0" w:color="auto"/>
            </w:tcBorders>
            <w:vAlign w:val="center"/>
          </w:tcPr>
          <w:p w:rsidR="00A96524" w:rsidRPr="00E2771E" w:rsidRDefault="00A96524" w:rsidP="00DD7E75">
            <w:pPr>
              <w:keepNext/>
              <w:jc w:val="center"/>
              <w:rPr>
                <w:rFonts w:ascii="Arial Narrow" w:hAnsi="Arial Narrow"/>
                <w:color w:val="000000"/>
                <w:sz w:val="20"/>
                <w:szCs w:val="18"/>
              </w:rPr>
            </w:pPr>
            <w:r>
              <w:rPr>
                <w:rFonts w:ascii="Arial Narrow" w:hAnsi="Arial Narrow"/>
                <w:color w:val="000000"/>
                <w:sz w:val="20"/>
                <w:szCs w:val="18"/>
              </w:rPr>
              <w:t>-</w:t>
            </w:r>
          </w:p>
        </w:tc>
        <w:tc>
          <w:tcPr>
            <w:tcW w:w="581" w:type="pct"/>
            <w:tcBorders>
              <w:bottom w:val="double" w:sz="4" w:space="0" w:color="auto"/>
            </w:tcBorders>
            <w:vAlign w:val="center"/>
          </w:tcPr>
          <w:p w:rsidR="00A96524" w:rsidRPr="00E2771E" w:rsidRDefault="00A96524" w:rsidP="00DD7E75">
            <w:pPr>
              <w:keepNext/>
              <w:jc w:val="center"/>
              <w:rPr>
                <w:rFonts w:ascii="Arial Narrow" w:hAnsi="Arial Narrow"/>
                <w:color w:val="000000"/>
                <w:sz w:val="20"/>
                <w:szCs w:val="18"/>
              </w:rPr>
            </w:pPr>
            <w:r w:rsidRPr="00E2771E">
              <w:rPr>
                <w:rFonts w:ascii="Arial Narrow" w:hAnsi="Arial Narrow"/>
                <w:color w:val="000000"/>
                <w:sz w:val="20"/>
                <w:szCs w:val="18"/>
              </w:rPr>
              <w:t>-</w:t>
            </w:r>
          </w:p>
        </w:tc>
      </w:tr>
      <w:tr w:rsidR="00A96524" w:rsidRPr="00E2771E" w:rsidTr="00DD7E75">
        <w:tc>
          <w:tcPr>
            <w:tcW w:w="5000" w:type="pct"/>
            <w:gridSpan w:val="6"/>
            <w:tcBorders>
              <w:top w:val="double" w:sz="4" w:space="0" w:color="auto"/>
            </w:tcBorders>
            <w:shd w:val="clear" w:color="auto" w:fill="auto"/>
            <w:vAlign w:val="center"/>
          </w:tcPr>
          <w:p w:rsidR="00A96524" w:rsidRPr="00E2771E" w:rsidRDefault="00A96524" w:rsidP="00DD7E75">
            <w:pPr>
              <w:keepNext/>
              <w:rPr>
                <w:rFonts w:ascii="Arial Narrow" w:hAnsi="Arial Narrow"/>
                <w:b/>
                <w:color w:val="000000"/>
                <w:sz w:val="20"/>
                <w:szCs w:val="18"/>
              </w:rPr>
            </w:pPr>
            <w:r w:rsidRPr="00E2771E">
              <w:rPr>
                <w:rFonts w:ascii="Arial Narrow" w:hAnsi="Arial Narrow"/>
                <w:b/>
                <w:color w:val="000000"/>
                <w:sz w:val="20"/>
                <w:szCs w:val="18"/>
              </w:rPr>
              <w:t>Harms</w:t>
            </w:r>
          </w:p>
        </w:tc>
      </w:tr>
      <w:tr w:rsidR="00A96524" w:rsidRPr="00E2771E" w:rsidTr="00E944A6">
        <w:trPr>
          <w:trHeight w:val="399"/>
        </w:trPr>
        <w:tc>
          <w:tcPr>
            <w:tcW w:w="1158" w:type="pct"/>
            <w:shd w:val="clear" w:color="auto" w:fill="auto"/>
            <w:vAlign w:val="center"/>
          </w:tcPr>
          <w:p w:rsidR="00A96524" w:rsidRPr="00E2771E" w:rsidRDefault="00A96524" w:rsidP="00DD7E75">
            <w:pPr>
              <w:keepNext/>
              <w:rPr>
                <w:rFonts w:ascii="Arial Narrow" w:hAnsi="Arial Narrow"/>
                <w:b/>
                <w:color w:val="000000"/>
                <w:sz w:val="20"/>
                <w:szCs w:val="18"/>
              </w:rPr>
            </w:pPr>
          </w:p>
        </w:tc>
        <w:tc>
          <w:tcPr>
            <w:tcW w:w="869" w:type="pct"/>
            <w:vAlign w:val="center"/>
          </w:tcPr>
          <w:p w:rsidR="00A96524"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Pembrolizumab</w:t>
            </w:r>
            <w:r>
              <w:rPr>
                <w:rFonts w:ascii="Arial Narrow" w:hAnsi="Arial Narrow"/>
                <w:b/>
                <w:color w:val="000000"/>
                <w:sz w:val="20"/>
                <w:szCs w:val="18"/>
                <w:vertAlign w:val="superscript"/>
              </w:rPr>
              <w:t>c</w:t>
            </w:r>
          </w:p>
          <w:p w:rsidR="00A96524" w:rsidRPr="007D6775"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N=411</w:t>
            </w:r>
          </w:p>
        </w:tc>
        <w:tc>
          <w:tcPr>
            <w:tcW w:w="923" w:type="pct"/>
            <w:gridSpan w:val="2"/>
            <w:vAlign w:val="center"/>
          </w:tcPr>
          <w:p w:rsidR="00A96524"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Ipilimumab</w:t>
            </w:r>
          </w:p>
          <w:p w:rsidR="00A96524" w:rsidRPr="00E2771E" w:rsidRDefault="00A96524" w:rsidP="00DD7E75">
            <w:pPr>
              <w:keepNext/>
              <w:jc w:val="center"/>
              <w:rPr>
                <w:rFonts w:ascii="Arial Narrow" w:hAnsi="Arial Narrow"/>
                <w:b/>
                <w:color w:val="000000"/>
                <w:sz w:val="20"/>
                <w:szCs w:val="18"/>
              </w:rPr>
            </w:pPr>
            <w:r>
              <w:rPr>
                <w:rFonts w:ascii="Arial Narrow" w:hAnsi="Arial Narrow"/>
                <w:b/>
                <w:color w:val="000000"/>
                <w:sz w:val="20"/>
                <w:szCs w:val="18"/>
              </w:rPr>
              <w:t>N=131</w:t>
            </w:r>
          </w:p>
        </w:tc>
        <w:tc>
          <w:tcPr>
            <w:tcW w:w="1469" w:type="pct"/>
            <w:vAlign w:val="center"/>
          </w:tcPr>
          <w:p w:rsidR="00A96524" w:rsidRPr="00E2771E" w:rsidRDefault="00A96524" w:rsidP="00DD7E75">
            <w:pPr>
              <w:keepNext/>
              <w:jc w:val="center"/>
              <w:rPr>
                <w:rFonts w:ascii="Arial Narrow" w:hAnsi="Arial Narrow"/>
                <w:b/>
                <w:color w:val="000000"/>
                <w:sz w:val="20"/>
                <w:szCs w:val="18"/>
              </w:rPr>
            </w:pPr>
            <w:r w:rsidRPr="00E2771E">
              <w:rPr>
                <w:rFonts w:ascii="Arial Narrow" w:hAnsi="Arial Narrow"/>
                <w:b/>
                <w:color w:val="000000"/>
                <w:sz w:val="20"/>
                <w:szCs w:val="18"/>
              </w:rPr>
              <w:t>Absolut</w:t>
            </w:r>
            <w:r>
              <w:rPr>
                <w:rFonts w:ascii="Arial Narrow" w:hAnsi="Arial Narrow"/>
                <w:b/>
                <w:color w:val="000000"/>
                <w:sz w:val="20"/>
                <w:szCs w:val="18"/>
              </w:rPr>
              <w:t>e d</w:t>
            </w:r>
            <w:r w:rsidRPr="00E2771E">
              <w:rPr>
                <w:rFonts w:ascii="Arial Narrow" w:hAnsi="Arial Narrow"/>
                <w:b/>
                <w:color w:val="000000"/>
                <w:sz w:val="20"/>
                <w:szCs w:val="18"/>
              </w:rPr>
              <w:t>ifference</w:t>
            </w:r>
          </w:p>
        </w:tc>
        <w:tc>
          <w:tcPr>
            <w:tcW w:w="581" w:type="pct"/>
            <w:vAlign w:val="center"/>
          </w:tcPr>
          <w:p w:rsidR="00A96524" w:rsidRPr="00E2771E" w:rsidRDefault="00A96524" w:rsidP="00DD7E75">
            <w:pPr>
              <w:keepNext/>
              <w:jc w:val="center"/>
              <w:rPr>
                <w:rFonts w:ascii="Arial Narrow" w:hAnsi="Arial Narrow"/>
                <w:b/>
                <w:color w:val="000000"/>
                <w:sz w:val="20"/>
                <w:szCs w:val="18"/>
              </w:rPr>
            </w:pPr>
            <w:r w:rsidRPr="00E2771E">
              <w:rPr>
                <w:rFonts w:ascii="Arial Narrow" w:hAnsi="Arial Narrow"/>
                <w:b/>
                <w:color w:val="000000"/>
                <w:sz w:val="20"/>
                <w:szCs w:val="18"/>
              </w:rPr>
              <w:t>R</w:t>
            </w:r>
            <w:r>
              <w:rPr>
                <w:rFonts w:ascii="Arial Narrow" w:hAnsi="Arial Narrow"/>
                <w:b/>
                <w:color w:val="000000"/>
                <w:sz w:val="20"/>
                <w:szCs w:val="18"/>
              </w:rPr>
              <w:t>R</w:t>
            </w:r>
          </w:p>
          <w:p w:rsidR="00A96524" w:rsidRPr="00E2771E" w:rsidRDefault="00A96524" w:rsidP="00DD7E75">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r>
      <w:tr w:rsidR="00095B3A" w:rsidRPr="00E2771E" w:rsidTr="00E944A6">
        <w:tc>
          <w:tcPr>
            <w:tcW w:w="1158" w:type="pct"/>
            <w:shd w:val="clear" w:color="auto" w:fill="auto"/>
            <w:vAlign w:val="center"/>
          </w:tcPr>
          <w:p w:rsidR="00095B3A" w:rsidRDefault="00095B3A" w:rsidP="00DD7E75">
            <w:pPr>
              <w:keepNext/>
              <w:rPr>
                <w:rFonts w:ascii="Arial Narrow" w:hAnsi="Arial Narrow"/>
                <w:color w:val="000000"/>
                <w:sz w:val="20"/>
                <w:szCs w:val="18"/>
              </w:rPr>
            </w:pPr>
            <w:r>
              <w:rPr>
                <w:rFonts w:ascii="Arial Narrow" w:hAnsi="Arial Narrow"/>
                <w:color w:val="000000"/>
                <w:sz w:val="20"/>
                <w:szCs w:val="18"/>
              </w:rPr>
              <w:t>Diarrhoea</w:t>
            </w:r>
          </w:p>
        </w:tc>
        <w:tc>
          <w:tcPr>
            <w:tcW w:w="869" w:type="pct"/>
            <w:vAlign w:val="center"/>
          </w:tcPr>
          <w:p w:rsidR="00095B3A" w:rsidRPr="00C768A4" w:rsidRDefault="00095B3A" w:rsidP="00DD7E75">
            <w:pPr>
              <w:keepNext/>
              <w:jc w:val="center"/>
              <w:rPr>
                <w:rFonts w:ascii="Arial Narrow" w:hAnsi="Arial Narrow"/>
                <w:sz w:val="20"/>
              </w:rPr>
            </w:pPr>
            <w:r>
              <w:rPr>
                <w:rFonts w:ascii="Arial Narrow" w:hAnsi="Arial Narrow"/>
                <w:sz w:val="20"/>
              </w:rPr>
              <w:t>5/411</w:t>
            </w:r>
          </w:p>
        </w:tc>
        <w:tc>
          <w:tcPr>
            <w:tcW w:w="923" w:type="pct"/>
            <w:gridSpan w:val="2"/>
            <w:vAlign w:val="center"/>
          </w:tcPr>
          <w:p w:rsidR="00095B3A" w:rsidRPr="00C768A4" w:rsidRDefault="00095B3A" w:rsidP="00DD7E75">
            <w:pPr>
              <w:keepNext/>
              <w:jc w:val="center"/>
              <w:rPr>
                <w:rFonts w:ascii="Arial Narrow" w:hAnsi="Arial Narrow"/>
                <w:sz w:val="20"/>
              </w:rPr>
            </w:pPr>
            <w:r>
              <w:rPr>
                <w:rFonts w:ascii="Arial Narrow" w:hAnsi="Arial Narrow"/>
                <w:sz w:val="20"/>
              </w:rPr>
              <w:t>6/131</w:t>
            </w:r>
          </w:p>
        </w:tc>
        <w:tc>
          <w:tcPr>
            <w:tcW w:w="1469" w:type="pct"/>
            <w:vAlign w:val="center"/>
          </w:tcPr>
          <w:p w:rsidR="00095B3A" w:rsidRPr="00C768A4" w:rsidRDefault="00095B3A" w:rsidP="00DD7E75">
            <w:pPr>
              <w:keepNext/>
              <w:jc w:val="center"/>
              <w:rPr>
                <w:rFonts w:ascii="Arial Narrow" w:hAnsi="Arial Narrow"/>
                <w:sz w:val="20"/>
              </w:rPr>
            </w:pPr>
            <w:r>
              <w:rPr>
                <w:rFonts w:ascii="Arial Narrow" w:hAnsi="Arial Narrow"/>
                <w:sz w:val="20"/>
              </w:rPr>
              <w:t>NC</w:t>
            </w:r>
            <w:r w:rsidRPr="002C2467">
              <w:rPr>
                <w:rFonts w:ascii="Arial Narrow" w:hAnsi="Arial Narrow"/>
                <w:color w:val="000000"/>
                <w:sz w:val="20"/>
                <w:szCs w:val="18"/>
                <w:vertAlign w:val="superscript"/>
              </w:rPr>
              <w:t>b</w:t>
            </w:r>
          </w:p>
        </w:tc>
        <w:tc>
          <w:tcPr>
            <w:tcW w:w="581" w:type="pct"/>
            <w:vAlign w:val="center"/>
          </w:tcPr>
          <w:p w:rsidR="00095B3A" w:rsidRPr="003E3E71" w:rsidRDefault="00095B3A" w:rsidP="00DD7E75">
            <w:pPr>
              <w:keepNext/>
              <w:jc w:val="center"/>
              <w:rPr>
                <w:rFonts w:ascii="Arial Narrow" w:hAnsi="Arial Narrow"/>
                <w:color w:val="000000"/>
                <w:sz w:val="20"/>
                <w:szCs w:val="18"/>
              </w:rPr>
            </w:pPr>
            <w:r>
              <w:rPr>
                <w:rFonts w:ascii="Arial Narrow" w:hAnsi="Arial Narrow"/>
                <w:sz w:val="20"/>
              </w:rPr>
              <w:t>NC</w:t>
            </w:r>
            <w:r w:rsidRPr="002C2467">
              <w:rPr>
                <w:rFonts w:ascii="Arial Narrow" w:hAnsi="Arial Narrow"/>
                <w:color w:val="000000"/>
                <w:sz w:val="20"/>
                <w:szCs w:val="18"/>
                <w:vertAlign w:val="superscript"/>
              </w:rPr>
              <w:t>b</w:t>
            </w:r>
          </w:p>
        </w:tc>
      </w:tr>
      <w:tr w:rsidR="00095B3A" w:rsidRPr="00E2771E" w:rsidTr="00E944A6">
        <w:tc>
          <w:tcPr>
            <w:tcW w:w="1158" w:type="pct"/>
            <w:shd w:val="clear" w:color="auto" w:fill="auto"/>
            <w:vAlign w:val="center"/>
          </w:tcPr>
          <w:p w:rsidR="00095B3A" w:rsidRDefault="00095B3A" w:rsidP="00DD7E75">
            <w:pPr>
              <w:keepNext/>
              <w:rPr>
                <w:rFonts w:ascii="Arial Narrow" w:hAnsi="Arial Narrow"/>
                <w:color w:val="000000"/>
                <w:sz w:val="20"/>
                <w:szCs w:val="18"/>
              </w:rPr>
            </w:pPr>
            <w:r>
              <w:rPr>
                <w:rFonts w:ascii="Arial Narrow" w:hAnsi="Arial Narrow"/>
                <w:color w:val="000000"/>
                <w:sz w:val="20"/>
                <w:szCs w:val="18"/>
              </w:rPr>
              <w:t>Anaemia</w:t>
            </w:r>
          </w:p>
        </w:tc>
        <w:tc>
          <w:tcPr>
            <w:tcW w:w="869" w:type="pct"/>
            <w:vAlign w:val="center"/>
          </w:tcPr>
          <w:p w:rsidR="00095B3A" w:rsidRPr="00C768A4" w:rsidRDefault="00095B3A" w:rsidP="00DD7E75">
            <w:pPr>
              <w:keepNext/>
              <w:jc w:val="center"/>
              <w:rPr>
                <w:rFonts w:ascii="Arial Narrow" w:hAnsi="Arial Narrow"/>
                <w:sz w:val="20"/>
              </w:rPr>
            </w:pPr>
            <w:r>
              <w:rPr>
                <w:rFonts w:ascii="Arial Narrow" w:hAnsi="Arial Narrow"/>
                <w:sz w:val="20"/>
              </w:rPr>
              <w:t>14/411</w:t>
            </w:r>
          </w:p>
        </w:tc>
        <w:tc>
          <w:tcPr>
            <w:tcW w:w="923" w:type="pct"/>
            <w:gridSpan w:val="2"/>
            <w:vAlign w:val="center"/>
          </w:tcPr>
          <w:p w:rsidR="00095B3A" w:rsidRPr="00C768A4" w:rsidRDefault="00095B3A" w:rsidP="00DD7E75">
            <w:pPr>
              <w:keepNext/>
              <w:jc w:val="center"/>
              <w:rPr>
                <w:rFonts w:ascii="Arial Narrow" w:hAnsi="Arial Narrow"/>
                <w:sz w:val="20"/>
              </w:rPr>
            </w:pPr>
            <w:r>
              <w:rPr>
                <w:rFonts w:ascii="Arial Narrow" w:hAnsi="Arial Narrow"/>
                <w:sz w:val="20"/>
              </w:rPr>
              <w:t>4/131</w:t>
            </w:r>
          </w:p>
        </w:tc>
        <w:tc>
          <w:tcPr>
            <w:tcW w:w="1469" w:type="pct"/>
            <w:vAlign w:val="center"/>
          </w:tcPr>
          <w:p w:rsidR="00095B3A" w:rsidRPr="00C768A4" w:rsidRDefault="00095B3A" w:rsidP="00DD7E75">
            <w:pPr>
              <w:keepNext/>
              <w:jc w:val="center"/>
              <w:rPr>
                <w:rFonts w:ascii="Arial Narrow" w:hAnsi="Arial Narrow"/>
                <w:sz w:val="20"/>
              </w:rPr>
            </w:pPr>
            <w:r>
              <w:rPr>
                <w:rFonts w:ascii="Arial Narrow" w:hAnsi="Arial Narrow"/>
                <w:sz w:val="20"/>
              </w:rPr>
              <w:t>NC</w:t>
            </w:r>
            <w:r w:rsidRPr="002C2467">
              <w:rPr>
                <w:rFonts w:ascii="Arial Narrow" w:hAnsi="Arial Narrow"/>
                <w:color w:val="000000"/>
                <w:sz w:val="20"/>
                <w:szCs w:val="18"/>
                <w:vertAlign w:val="superscript"/>
              </w:rPr>
              <w:t>b</w:t>
            </w:r>
          </w:p>
        </w:tc>
        <w:tc>
          <w:tcPr>
            <w:tcW w:w="581" w:type="pct"/>
            <w:vAlign w:val="center"/>
          </w:tcPr>
          <w:p w:rsidR="00095B3A" w:rsidRPr="003E3E71" w:rsidRDefault="00095B3A" w:rsidP="00DD7E75">
            <w:pPr>
              <w:keepNext/>
              <w:jc w:val="center"/>
              <w:rPr>
                <w:rFonts w:ascii="Arial Narrow" w:hAnsi="Arial Narrow"/>
                <w:color w:val="000000"/>
                <w:sz w:val="20"/>
                <w:szCs w:val="18"/>
              </w:rPr>
            </w:pPr>
            <w:r>
              <w:rPr>
                <w:rFonts w:ascii="Arial Narrow" w:hAnsi="Arial Narrow"/>
                <w:sz w:val="20"/>
              </w:rPr>
              <w:t>NC</w:t>
            </w:r>
            <w:r w:rsidRPr="002C2467">
              <w:rPr>
                <w:rFonts w:ascii="Arial Narrow" w:hAnsi="Arial Narrow"/>
                <w:color w:val="000000"/>
                <w:sz w:val="20"/>
                <w:szCs w:val="18"/>
                <w:vertAlign w:val="superscript"/>
              </w:rPr>
              <w:t>b</w:t>
            </w:r>
          </w:p>
        </w:tc>
      </w:tr>
      <w:tr w:rsidR="00095B3A" w:rsidRPr="00E2771E" w:rsidTr="00E944A6">
        <w:tc>
          <w:tcPr>
            <w:tcW w:w="1158" w:type="pct"/>
            <w:shd w:val="clear" w:color="auto" w:fill="auto"/>
            <w:vAlign w:val="center"/>
          </w:tcPr>
          <w:p w:rsidR="00095B3A" w:rsidRPr="00E2771E" w:rsidRDefault="00095B3A" w:rsidP="00DD7E75">
            <w:pPr>
              <w:keepNext/>
              <w:rPr>
                <w:rFonts w:ascii="Arial Narrow" w:hAnsi="Arial Narrow"/>
                <w:color w:val="000000"/>
                <w:sz w:val="20"/>
                <w:szCs w:val="18"/>
              </w:rPr>
            </w:pPr>
            <w:r>
              <w:rPr>
                <w:rFonts w:ascii="Arial Narrow" w:hAnsi="Arial Narrow"/>
                <w:color w:val="000000"/>
                <w:sz w:val="20"/>
                <w:szCs w:val="18"/>
              </w:rPr>
              <w:t>Fatigue</w:t>
            </w:r>
          </w:p>
        </w:tc>
        <w:tc>
          <w:tcPr>
            <w:tcW w:w="869" w:type="pct"/>
            <w:vAlign w:val="center"/>
          </w:tcPr>
          <w:p w:rsidR="00095B3A" w:rsidRPr="00E2771E" w:rsidRDefault="00095B3A" w:rsidP="00DD7E75">
            <w:pPr>
              <w:keepNext/>
              <w:jc w:val="center"/>
              <w:rPr>
                <w:rFonts w:ascii="Arial Narrow" w:hAnsi="Arial Narrow"/>
                <w:color w:val="000000"/>
                <w:sz w:val="20"/>
                <w:szCs w:val="18"/>
              </w:rPr>
            </w:pPr>
            <w:r>
              <w:rPr>
                <w:rFonts w:ascii="Arial Narrow" w:hAnsi="Arial Narrow"/>
                <w:sz w:val="20"/>
              </w:rPr>
              <w:t>10/411</w:t>
            </w:r>
          </w:p>
        </w:tc>
        <w:tc>
          <w:tcPr>
            <w:tcW w:w="923" w:type="pct"/>
            <w:gridSpan w:val="2"/>
            <w:vAlign w:val="center"/>
          </w:tcPr>
          <w:p w:rsidR="00095B3A" w:rsidRPr="00E2771E" w:rsidRDefault="00095B3A" w:rsidP="00DD7E75">
            <w:pPr>
              <w:keepNext/>
              <w:jc w:val="center"/>
              <w:rPr>
                <w:rFonts w:ascii="Arial Narrow" w:hAnsi="Arial Narrow"/>
                <w:color w:val="000000"/>
                <w:sz w:val="20"/>
                <w:szCs w:val="18"/>
              </w:rPr>
            </w:pPr>
            <w:r>
              <w:rPr>
                <w:rFonts w:ascii="Arial Narrow" w:hAnsi="Arial Narrow"/>
                <w:sz w:val="20"/>
              </w:rPr>
              <w:t>9/131</w:t>
            </w:r>
          </w:p>
        </w:tc>
        <w:tc>
          <w:tcPr>
            <w:tcW w:w="1469" w:type="pct"/>
            <w:vAlign w:val="center"/>
          </w:tcPr>
          <w:p w:rsidR="00095B3A" w:rsidRPr="00E2771E" w:rsidRDefault="00095B3A" w:rsidP="00DD7E75">
            <w:pPr>
              <w:keepNext/>
              <w:jc w:val="center"/>
              <w:rPr>
                <w:rFonts w:ascii="Arial Narrow" w:hAnsi="Arial Narrow"/>
                <w:color w:val="000000"/>
                <w:sz w:val="20"/>
                <w:szCs w:val="18"/>
              </w:rPr>
            </w:pPr>
            <w:r>
              <w:rPr>
                <w:rFonts w:ascii="Arial Narrow" w:hAnsi="Arial Narrow"/>
                <w:sz w:val="20"/>
              </w:rPr>
              <w:t>NC</w:t>
            </w:r>
            <w:r w:rsidRPr="002C2467">
              <w:rPr>
                <w:rFonts w:ascii="Arial Narrow" w:hAnsi="Arial Narrow"/>
                <w:color w:val="000000"/>
                <w:sz w:val="20"/>
                <w:szCs w:val="18"/>
                <w:vertAlign w:val="superscript"/>
              </w:rPr>
              <w:t>b</w:t>
            </w:r>
          </w:p>
        </w:tc>
        <w:tc>
          <w:tcPr>
            <w:tcW w:w="581" w:type="pct"/>
            <w:vAlign w:val="center"/>
          </w:tcPr>
          <w:p w:rsidR="00095B3A" w:rsidRPr="003E3E71" w:rsidRDefault="00095B3A" w:rsidP="00DD7E75">
            <w:pPr>
              <w:keepNext/>
              <w:jc w:val="center"/>
              <w:rPr>
                <w:rFonts w:ascii="Arial Narrow" w:hAnsi="Arial Narrow"/>
                <w:color w:val="000000"/>
                <w:sz w:val="20"/>
                <w:szCs w:val="18"/>
              </w:rPr>
            </w:pPr>
            <w:r>
              <w:rPr>
                <w:rFonts w:ascii="Arial Narrow" w:hAnsi="Arial Narrow"/>
                <w:sz w:val="20"/>
              </w:rPr>
              <w:t>NC</w:t>
            </w:r>
            <w:r w:rsidRPr="002C2467">
              <w:rPr>
                <w:rFonts w:ascii="Arial Narrow" w:hAnsi="Arial Narrow"/>
                <w:color w:val="000000"/>
                <w:sz w:val="20"/>
                <w:szCs w:val="18"/>
                <w:vertAlign w:val="superscript"/>
              </w:rPr>
              <w:t>b</w:t>
            </w:r>
          </w:p>
        </w:tc>
      </w:tr>
    </w:tbl>
    <w:p w:rsidR="00A96524" w:rsidRDefault="00A96524" w:rsidP="00A96524">
      <w:pPr>
        <w:pStyle w:val="TableFooter"/>
        <w:keepNext/>
        <w:tabs>
          <w:tab w:val="left" w:pos="851"/>
        </w:tabs>
        <w:ind w:left="850" w:hanging="130"/>
      </w:pPr>
      <w:r w:rsidRPr="003F4231">
        <w:rPr>
          <w:color w:val="000000"/>
          <w:sz w:val="20"/>
          <w:szCs w:val="18"/>
          <w:vertAlign w:val="superscript"/>
        </w:rPr>
        <w:t>a</w:t>
      </w:r>
      <w:r>
        <w:rPr>
          <w:color w:val="000000"/>
          <w:sz w:val="20"/>
          <w:szCs w:val="18"/>
        </w:rPr>
        <w:tab/>
      </w:r>
      <w:r w:rsidRPr="003F4231">
        <w:t>For PFS and OS pembrolizumab results are based on the pooled B1 (ipilimumab-naïve sub-group) and Part D (ipilimumab-naïve) cohorts; N=190 with data cut-off of April 2014.  In this cohort 73 patients received 2</w:t>
      </w:r>
      <w:r>
        <w:t> </w:t>
      </w:r>
      <w:r w:rsidRPr="003F4231">
        <w:t>mg/kg Q3W, 76 received 10</w:t>
      </w:r>
      <w:r>
        <w:t> </w:t>
      </w:r>
      <w:r w:rsidRPr="003F4231">
        <w:t>mg/kg Q3W and 41 received 10</w:t>
      </w:r>
      <w:r>
        <w:t> </w:t>
      </w:r>
      <w:r w:rsidRPr="003F4231">
        <w:t>mg/kg Q2W.</w:t>
      </w:r>
    </w:p>
    <w:p w:rsidR="00A96524" w:rsidRPr="00CF5B43" w:rsidRDefault="00A96524" w:rsidP="00A96524">
      <w:pPr>
        <w:pStyle w:val="TableFooter"/>
        <w:keepNext/>
        <w:tabs>
          <w:tab w:val="left" w:pos="851"/>
        </w:tabs>
        <w:ind w:left="850" w:hanging="130"/>
        <w:rPr>
          <w:color w:val="000000"/>
          <w:szCs w:val="18"/>
        </w:rPr>
      </w:pPr>
      <w:r>
        <w:rPr>
          <w:color w:val="000000"/>
          <w:sz w:val="20"/>
          <w:szCs w:val="18"/>
          <w:vertAlign w:val="superscript"/>
        </w:rPr>
        <w:t>b</w:t>
      </w:r>
      <w:r>
        <w:rPr>
          <w:color w:val="000000"/>
          <w:sz w:val="20"/>
          <w:szCs w:val="18"/>
        </w:rPr>
        <w:tab/>
      </w:r>
      <w:r w:rsidRPr="00CF5B43">
        <w:rPr>
          <w:color w:val="000000"/>
          <w:szCs w:val="18"/>
        </w:rPr>
        <w:t>The calculation of comparative effects was not considered to be informative due to the presence of the following issues:</w:t>
      </w:r>
    </w:p>
    <w:p w:rsidR="00A96524" w:rsidRPr="00CF5B43" w:rsidRDefault="00A96524" w:rsidP="00A96524">
      <w:pPr>
        <w:pStyle w:val="TableFooter"/>
        <w:keepNext/>
        <w:numPr>
          <w:ilvl w:val="0"/>
          <w:numId w:val="6"/>
        </w:numPr>
        <w:tabs>
          <w:tab w:val="left" w:pos="851"/>
        </w:tabs>
        <w:ind w:left="993" w:hanging="142"/>
        <w:rPr>
          <w:color w:val="000000"/>
          <w:szCs w:val="18"/>
        </w:rPr>
      </w:pPr>
      <w:r w:rsidRPr="00CF5B43">
        <w:rPr>
          <w:color w:val="000000"/>
          <w:szCs w:val="18"/>
        </w:rPr>
        <w:t>Known confounders:  Greater performance status of patients in the pembrolizumab trial, with proportion of patients with ECOG status of 0: KN-001 B1+D cohort 79.5%; Hodi 2010: 52.6%.</w:t>
      </w:r>
    </w:p>
    <w:p w:rsidR="00A96524" w:rsidRPr="00CF5B43" w:rsidRDefault="00A96524" w:rsidP="00A96524">
      <w:pPr>
        <w:pStyle w:val="TableFooter"/>
        <w:keepNext/>
        <w:numPr>
          <w:ilvl w:val="0"/>
          <w:numId w:val="6"/>
        </w:numPr>
        <w:tabs>
          <w:tab w:val="left" w:pos="851"/>
        </w:tabs>
        <w:ind w:left="993" w:hanging="142"/>
        <w:rPr>
          <w:color w:val="000000"/>
          <w:szCs w:val="18"/>
        </w:rPr>
      </w:pPr>
      <w:r w:rsidRPr="00CF5B43">
        <w:rPr>
          <w:color w:val="000000"/>
          <w:szCs w:val="18"/>
        </w:rPr>
        <w:t>Unknown confounders:  Unquantifiable biases that exist in single arm comparisons.</w:t>
      </w:r>
    </w:p>
    <w:p w:rsidR="00A96524" w:rsidRPr="003F4231" w:rsidRDefault="00A96524" w:rsidP="00A96524">
      <w:pPr>
        <w:pStyle w:val="TableFooter"/>
        <w:keepNext/>
        <w:tabs>
          <w:tab w:val="left" w:pos="851"/>
        </w:tabs>
        <w:ind w:left="850" w:hanging="130"/>
      </w:pPr>
      <w:r>
        <w:rPr>
          <w:color w:val="000000"/>
          <w:sz w:val="20"/>
          <w:szCs w:val="18"/>
          <w:vertAlign w:val="superscript"/>
        </w:rPr>
        <w:t>c</w:t>
      </w:r>
      <w:r>
        <w:rPr>
          <w:color w:val="000000"/>
          <w:sz w:val="20"/>
          <w:szCs w:val="18"/>
        </w:rPr>
        <w:tab/>
      </w:r>
      <w:r>
        <w:t>The adverse events results presented for pembrolizumab are based on those used in the modelled evaluation; the all melanoma cohort of Parts B1, B2 and D; N=411.  This pooled cohort included ipilimumab-treated patients (and ipilimumab-naïve) in Part B1, ipilimumab-refractory patients in Part B2 and ipilimumab-naïve in Part D.  In this cohort, 162 patients received 2 mg/kg Q3W, 192 received 10 mg/kg Q3W and 57 received 10 mg/kg Q2W.</w:t>
      </w:r>
    </w:p>
    <w:p w:rsidR="00A96524" w:rsidRPr="0072416F" w:rsidRDefault="00A96524" w:rsidP="00A96524">
      <w:pPr>
        <w:pStyle w:val="TableFooter"/>
        <w:ind w:left="709" w:firstLine="11"/>
      </w:pPr>
      <w:r>
        <w:t xml:space="preserve">HR=hazard ratio; NA=not available; NC=not calculated; </w:t>
      </w:r>
      <w:r w:rsidR="00E944A6">
        <w:t xml:space="preserve">OS=overall survival; PFS=progression-free survival; </w:t>
      </w:r>
      <w:r>
        <w:t>Q2W=every 2 weeks; Q3W=every 3 weeks;</w:t>
      </w:r>
      <w:r w:rsidRPr="0072416F">
        <w:t xml:space="preserve"> RR=risk ratio</w:t>
      </w:r>
    </w:p>
    <w:p w:rsidR="00A96524" w:rsidRPr="00550864" w:rsidRDefault="00A96524" w:rsidP="00A96524">
      <w:pPr>
        <w:pStyle w:val="TableFooter"/>
        <w:ind w:left="709" w:firstLine="11"/>
      </w:pPr>
      <w:r w:rsidRPr="0072416F">
        <w:t xml:space="preserve">Source: </w:t>
      </w:r>
      <w:r>
        <w:t xml:space="preserve">Table B.6-4, p119 of the submission; KN-001 Updated Data Tables p17-22; Table 12-21 p516-520 of </w:t>
      </w:r>
      <w:r w:rsidRPr="00550864">
        <w:t>CSR</w:t>
      </w:r>
      <w:r w:rsidR="00673951">
        <w:t xml:space="preserve"> for</w:t>
      </w:r>
      <w:r w:rsidRPr="00550864">
        <w:t xml:space="preserve"> KN</w:t>
      </w:r>
      <w:r w:rsidR="00BF3730">
        <w:t>-</w:t>
      </w:r>
      <w:r w:rsidRPr="00550864">
        <w:t>001</w:t>
      </w:r>
      <w:r w:rsidR="00673951">
        <w:t xml:space="preserve">, </w:t>
      </w:r>
      <w:r w:rsidRPr="00550864">
        <w:t>v01 full version</w:t>
      </w:r>
    </w:p>
    <w:p w:rsidR="00A96524" w:rsidRPr="00BB4AC4" w:rsidRDefault="00A96524" w:rsidP="00A96524"/>
    <w:p w:rsidR="00A96524" w:rsidRPr="00CF5B43" w:rsidRDefault="00A96524" w:rsidP="00A96524">
      <w:pPr>
        <w:pStyle w:val="ListParagraph"/>
        <w:widowControl/>
        <w:numPr>
          <w:ilvl w:val="1"/>
          <w:numId w:val="1"/>
        </w:numPr>
      </w:pPr>
      <w:r w:rsidRPr="00BB4AC4">
        <w:t>No statistical analyses of the pembrolizumab and ipilimumab data were presented</w:t>
      </w:r>
      <w:r>
        <w:t xml:space="preserve"> </w:t>
      </w:r>
      <w:r w:rsidR="00F77844">
        <w:t>in the submission</w:t>
      </w:r>
      <w:r w:rsidRPr="00BB4AC4">
        <w:t xml:space="preserve">.  </w:t>
      </w:r>
      <w:r w:rsidR="001F19B9" w:rsidRPr="00BB4AC4">
        <w:t xml:space="preserve">Known </w:t>
      </w:r>
      <w:r w:rsidR="001F19B9">
        <w:t xml:space="preserve">and unknown </w:t>
      </w:r>
      <w:r w:rsidR="001F19B9" w:rsidRPr="00BB4AC4">
        <w:t>confounders influenced the comparisons</w:t>
      </w:r>
      <w:r w:rsidR="001F19B9">
        <w:t>.</w:t>
      </w:r>
      <w:r w:rsidR="001F19B9" w:rsidRPr="00BB4AC4">
        <w:t xml:space="preserve"> </w:t>
      </w:r>
      <w:r w:rsidR="001F19B9">
        <w:t xml:space="preserve"> The known confounders identified included ECOG status: </w:t>
      </w:r>
      <w:r w:rsidRPr="00BB4AC4">
        <w:t>the majority of patients in part B1 and D of KN-001 (79.5%) had ECOG status equal to 0, while there was a 50:50 split in ECOG 0 and 1 status in Hodi 2010</w:t>
      </w:r>
      <w:r w:rsidR="001F19B9">
        <w:t>.  T</w:t>
      </w:r>
      <w:r w:rsidRPr="00BB4AC4">
        <w:t xml:space="preserve">his </w:t>
      </w:r>
      <w:r w:rsidR="0071550E">
        <w:t xml:space="preserve">difference </w:t>
      </w:r>
      <w:r w:rsidRPr="00BB4AC4">
        <w:t>suggest</w:t>
      </w:r>
      <w:r w:rsidR="00F77844">
        <w:t>ed</w:t>
      </w:r>
      <w:r w:rsidRPr="00BB4AC4">
        <w:t xml:space="preserve"> a greater proportion of patients performing well in KN-001</w:t>
      </w:r>
      <w:r w:rsidR="001F19B9">
        <w:t xml:space="preserve">. </w:t>
      </w:r>
      <w:r w:rsidRPr="00BB4AC4">
        <w:t xml:space="preserve"> </w:t>
      </w:r>
      <w:r w:rsidR="001F19B9">
        <w:t>U</w:t>
      </w:r>
      <w:r w:rsidRPr="00BB4AC4">
        <w:t xml:space="preserve">nknown confounders introduced by the </w:t>
      </w:r>
      <w:r w:rsidR="001F19B9">
        <w:t xml:space="preserve">comparisons made were that </w:t>
      </w:r>
      <w:r w:rsidRPr="00BB4AC4">
        <w:t>KN-001 was an uncontrolled phase 1 multi-cohort trial of a shorter duration than the single arm extracted from the comparative, randomised, double-blind trial of Hodi 2010</w:t>
      </w:r>
      <w:r>
        <w:t>.</w:t>
      </w:r>
      <w:r w:rsidRPr="001E6520">
        <w:rPr>
          <w:szCs w:val="22"/>
        </w:rPr>
        <w:t xml:space="preserve">  </w:t>
      </w:r>
      <w:r w:rsidRPr="00CF5B43">
        <w:rPr>
          <w:szCs w:val="22"/>
        </w:rPr>
        <w:t xml:space="preserve">The PSCR </w:t>
      </w:r>
      <w:r w:rsidR="00F77844">
        <w:rPr>
          <w:szCs w:val="22"/>
        </w:rPr>
        <w:t xml:space="preserve">subsequently </w:t>
      </w:r>
      <w:r w:rsidRPr="00CF5B43">
        <w:rPr>
          <w:szCs w:val="22"/>
        </w:rPr>
        <w:t xml:space="preserve">included a subgroup analysis of KN-001 for the endpoint of ORR to claim that ECOG status is not a treatment effect modifier, but without providing a clear basis to judge confounding both of the comparative effectiveness against ipilimumab and also across other outcomes.  The PSCR also included revised proportions of patients diagnosed across metastatic staging categories </w:t>
      </w:r>
      <w:r w:rsidR="0071550E">
        <w:rPr>
          <w:szCs w:val="22"/>
        </w:rPr>
        <w:t xml:space="preserve">for pembrolizumab in KN-001 </w:t>
      </w:r>
      <w:r w:rsidRPr="00CF5B43">
        <w:rPr>
          <w:szCs w:val="22"/>
        </w:rPr>
        <w:t xml:space="preserve">to claim that these proportions </w:t>
      </w:r>
      <w:r w:rsidR="0071550E">
        <w:rPr>
          <w:szCs w:val="22"/>
        </w:rPr>
        <w:t xml:space="preserve">were similar to those </w:t>
      </w:r>
      <w:r w:rsidRPr="00CF5B43">
        <w:rPr>
          <w:szCs w:val="22"/>
        </w:rPr>
        <w:t xml:space="preserve">for ipilimumab in Hodi 2010.  The PSCR further argued that the differences in observed effect across the non-randomised pembrolizumab and ipilimumab groups </w:t>
      </w:r>
      <w:r w:rsidR="00D77DDA">
        <w:rPr>
          <w:szCs w:val="22"/>
        </w:rPr>
        <w:t>we</w:t>
      </w:r>
      <w:r w:rsidRPr="00CF5B43">
        <w:rPr>
          <w:szCs w:val="22"/>
        </w:rPr>
        <w:t>re larger than might be explained by residual confounding.</w:t>
      </w:r>
    </w:p>
    <w:p w:rsidR="003E18D8" w:rsidRPr="003E18D8" w:rsidRDefault="003E18D8" w:rsidP="003E18D8">
      <w:pPr>
        <w:widowControl/>
        <w:jc w:val="left"/>
        <w:rPr>
          <w:szCs w:val="22"/>
        </w:rPr>
      </w:pPr>
    </w:p>
    <w:p w:rsidR="00A96524" w:rsidRPr="003E18D8" w:rsidRDefault="003E18D8" w:rsidP="003E18D8">
      <w:pPr>
        <w:widowControl/>
        <w:ind w:left="709"/>
        <w:jc w:val="left"/>
        <w:rPr>
          <w:i/>
          <w:szCs w:val="22"/>
        </w:rPr>
      </w:pPr>
      <w:r w:rsidRPr="003E18D8">
        <w:rPr>
          <w:i/>
          <w:szCs w:val="22"/>
        </w:rPr>
        <w:t>For more detail on PBAC’s view, see section 7 “PBAC outcome”</w:t>
      </w:r>
    </w:p>
    <w:p w:rsidR="003E18D8" w:rsidRDefault="003E18D8" w:rsidP="003E18D8">
      <w:pPr>
        <w:widowControl/>
        <w:jc w:val="left"/>
        <w:rPr>
          <w:szCs w:val="22"/>
        </w:rPr>
      </w:pPr>
    </w:p>
    <w:p w:rsidR="00A96524" w:rsidRPr="00F77844" w:rsidRDefault="00A96524">
      <w:pPr>
        <w:widowControl/>
        <w:jc w:val="left"/>
        <w:rPr>
          <w:i/>
          <w:szCs w:val="22"/>
          <w:u w:val="single"/>
        </w:rPr>
      </w:pPr>
      <w:r w:rsidRPr="00F77844">
        <w:rPr>
          <w:i/>
          <w:szCs w:val="22"/>
          <w:u w:val="single"/>
        </w:rPr>
        <w:t>KN-002 data (received 24 November 2014)</w:t>
      </w:r>
    </w:p>
    <w:p w:rsidR="00A96524" w:rsidRPr="00F77844" w:rsidRDefault="00A96524">
      <w:pPr>
        <w:widowControl/>
        <w:jc w:val="left"/>
        <w:rPr>
          <w:szCs w:val="22"/>
        </w:rPr>
      </w:pPr>
    </w:p>
    <w:p w:rsidR="00A96524" w:rsidRDefault="00A96524" w:rsidP="00A96524">
      <w:pPr>
        <w:pStyle w:val="ListParagraph"/>
        <w:widowControl/>
        <w:numPr>
          <w:ilvl w:val="1"/>
          <w:numId w:val="1"/>
        </w:numPr>
        <w:rPr>
          <w:szCs w:val="22"/>
        </w:rPr>
      </w:pPr>
      <w:r>
        <w:rPr>
          <w:szCs w:val="22"/>
        </w:rPr>
        <w:t xml:space="preserve">The PBAC did not consider Trial KN-002 </w:t>
      </w:r>
      <w:r w:rsidR="00F60631">
        <w:rPr>
          <w:szCs w:val="22"/>
        </w:rPr>
        <w:t xml:space="preserve">(at the May 2014 data cut) </w:t>
      </w:r>
      <w:r>
        <w:rPr>
          <w:szCs w:val="22"/>
        </w:rPr>
        <w:t>as a basis for deciding whether to recommend pembrolizumab</w:t>
      </w:r>
      <w:r w:rsidR="00E67942">
        <w:rPr>
          <w:szCs w:val="22"/>
        </w:rPr>
        <w:t xml:space="preserve"> for PBS listing </w:t>
      </w:r>
      <w:r w:rsidR="00A51933">
        <w:rPr>
          <w:szCs w:val="22"/>
        </w:rPr>
        <w:t>bec</w:t>
      </w:r>
      <w:r w:rsidR="00E67942">
        <w:rPr>
          <w:szCs w:val="22"/>
        </w:rPr>
        <w:t>a</w:t>
      </w:r>
      <w:r w:rsidR="00A51933">
        <w:rPr>
          <w:szCs w:val="22"/>
        </w:rPr>
        <w:t>u</w:t>
      </w:r>
      <w:r w:rsidR="00E67942">
        <w:rPr>
          <w:szCs w:val="22"/>
        </w:rPr>
        <w:t>s</w:t>
      </w:r>
      <w:r w:rsidR="00A51933">
        <w:rPr>
          <w:szCs w:val="22"/>
        </w:rPr>
        <w:t>e</w:t>
      </w:r>
      <w:r w:rsidR="00E67942">
        <w:rPr>
          <w:szCs w:val="22"/>
        </w:rPr>
        <w:t xml:space="preserve"> the trial</w:t>
      </w:r>
      <w:r>
        <w:rPr>
          <w:szCs w:val="22"/>
        </w:rPr>
        <w:t xml:space="preserve"> was confined to ipilimumab-refractory patients and the </w:t>
      </w:r>
      <w:r w:rsidR="00F77844">
        <w:rPr>
          <w:szCs w:val="22"/>
        </w:rPr>
        <w:t>s</w:t>
      </w:r>
      <w:r>
        <w:rPr>
          <w:szCs w:val="22"/>
        </w:rPr>
        <w:t xml:space="preserve">ponsor subsequently revised its requested listing to exclude these patients. </w:t>
      </w:r>
      <w:r w:rsidR="00F77844">
        <w:rPr>
          <w:szCs w:val="22"/>
        </w:rPr>
        <w:t xml:space="preserve"> </w:t>
      </w:r>
      <w:r>
        <w:rPr>
          <w:szCs w:val="22"/>
        </w:rPr>
        <w:t xml:space="preserve">However, the PBAC did consider </w:t>
      </w:r>
      <w:r w:rsidR="00F60631">
        <w:rPr>
          <w:szCs w:val="22"/>
        </w:rPr>
        <w:t>the results</w:t>
      </w:r>
      <w:r>
        <w:rPr>
          <w:szCs w:val="22"/>
        </w:rPr>
        <w:t xml:space="preserve"> </w:t>
      </w:r>
      <w:r w:rsidR="00F60631">
        <w:rPr>
          <w:szCs w:val="22"/>
        </w:rPr>
        <w:t xml:space="preserve">of KN-002 </w:t>
      </w:r>
      <w:r>
        <w:rPr>
          <w:szCs w:val="22"/>
        </w:rPr>
        <w:t>in the context of assessing the most appropriate do</w:t>
      </w:r>
      <w:r w:rsidR="00F77844">
        <w:rPr>
          <w:szCs w:val="22"/>
        </w:rPr>
        <w:t>sage regimen for pembrolizumab.</w:t>
      </w:r>
    </w:p>
    <w:p w:rsidR="00E67942" w:rsidRDefault="00E67942" w:rsidP="00E67942">
      <w:pPr>
        <w:rPr>
          <w:szCs w:val="22"/>
        </w:rPr>
      </w:pPr>
    </w:p>
    <w:p w:rsidR="00E67942" w:rsidRPr="008A40DC" w:rsidRDefault="00E67942" w:rsidP="00E67942">
      <w:pPr>
        <w:keepNext/>
        <w:ind w:left="709"/>
        <w:rPr>
          <w:rFonts w:ascii="Arial Narrow" w:hAnsi="Arial Narrow"/>
          <w:b/>
          <w:sz w:val="20"/>
          <w:szCs w:val="16"/>
        </w:rPr>
      </w:pPr>
      <w:r>
        <w:rPr>
          <w:rFonts w:ascii="Arial Narrow" w:hAnsi="Arial Narrow"/>
          <w:b/>
          <w:sz w:val="20"/>
          <w:lang w:val="en-US" w:eastAsia="en-AU"/>
        </w:rPr>
        <w:t>Comparison of 2 mg/kg Q3W and 10 mg/kg Q3W dose for PFS and OS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4"/>
        <w:gridCol w:w="1701"/>
        <w:gridCol w:w="1701"/>
        <w:gridCol w:w="1420"/>
        <w:gridCol w:w="1399"/>
      </w:tblGrid>
      <w:tr w:rsidR="003C781A" w:rsidRPr="008A40DC" w:rsidTr="00B242B6">
        <w:trPr>
          <w:tblHeader/>
        </w:trPr>
        <w:tc>
          <w:tcPr>
            <w:tcW w:w="1273" w:type="pct"/>
            <w:shd w:val="clear" w:color="auto" w:fill="auto"/>
          </w:tcPr>
          <w:p w:rsidR="003C781A" w:rsidRPr="003C781A" w:rsidRDefault="003C781A" w:rsidP="00B242B6">
            <w:pPr>
              <w:tabs>
                <w:tab w:val="left" w:pos="142"/>
              </w:tabs>
              <w:jc w:val="left"/>
              <w:rPr>
                <w:rFonts w:ascii="Arial Narrow" w:hAnsi="Arial Narrow" w:cs="Times"/>
                <w:b/>
                <w:sz w:val="19"/>
                <w:szCs w:val="19"/>
                <w:lang w:val="en-US" w:eastAsia="en-AU"/>
              </w:rPr>
            </w:pPr>
            <w:r w:rsidRPr="003C781A">
              <w:rPr>
                <w:rFonts w:ascii="Arial Narrow" w:hAnsi="Arial Narrow" w:cs="Times"/>
                <w:b/>
                <w:sz w:val="19"/>
                <w:szCs w:val="19"/>
                <w:lang w:val="en-US" w:eastAsia="en-AU"/>
              </w:rPr>
              <w:t>KN-002 (ipi-refractory),</w:t>
            </w:r>
            <w:r w:rsidR="00B242B6">
              <w:rPr>
                <w:rFonts w:ascii="Arial Narrow" w:hAnsi="Arial Narrow" w:cs="Times"/>
                <w:b/>
                <w:sz w:val="19"/>
                <w:szCs w:val="19"/>
                <w:lang w:val="en-US" w:eastAsia="en-AU"/>
              </w:rPr>
              <w:br/>
            </w:r>
            <w:r w:rsidRPr="003C781A">
              <w:rPr>
                <w:rFonts w:ascii="Arial Narrow" w:hAnsi="Arial Narrow" w:cs="Times"/>
                <w:b/>
                <w:sz w:val="19"/>
                <w:szCs w:val="19"/>
                <w:lang w:val="en-US" w:eastAsia="en-AU"/>
              </w:rPr>
              <w:t>May 2014</w:t>
            </w:r>
            <w:r>
              <w:rPr>
                <w:rFonts w:ascii="Arial Narrow" w:hAnsi="Arial Narrow" w:cs="Times"/>
                <w:b/>
                <w:sz w:val="19"/>
                <w:szCs w:val="19"/>
                <w:lang w:val="en-US" w:eastAsia="en-AU"/>
              </w:rPr>
              <w:t xml:space="preserve"> </w:t>
            </w:r>
            <w:r w:rsidRPr="003C781A">
              <w:rPr>
                <w:rFonts w:ascii="Arial Narrow" w:hAnsi="Arial Narrow" w:cs="Times"/>
                <w:b/>
                <w:sz w:val="19"/>
                <w:szCs w:val="19"/>
                <w:lang w:val="en-US" w:eastAsia="en-AU"/>
              </w:rPr>
              <w:t>data cut</w:t>
            </w:r>
          </w:p>
        </w:tc>
        <w:tc>
          <w:tcPr>
            <w:tcW w:w="1019" w:type="pct"/>
            <w:shd w:val="clear" w:color="auto" w:fill="auto"/>
            <w:vAlign w:val="center"/>
          </w:tcPr>
          <w:p w:rsidR="003C781A" w:rsidRDefault="003C781A" w:rsidP="00DD7E75">
            <w:pPr>
              <w:keepNext/>
              <w:jc w:val="center"/>
              <w:rPr>
                <w:rFonts w:ascii="Arial Narrow" w:hAnsi="Arial Narrow"/>
                <w:b/>
                <w:sz w:val="19"/>
                <w:szCs w:val="19"/>
                <w:lang w:val="en-US"/>
              </w:rPr>
            </w:pPr>
            <w:r w:rsidRPr="00194417">
              <w:rPr>
                <w:rFonts w:ascii="Arial Narrow" w:hAnsi="Arial Narrow"/>
                <w:b/>
                <w:sz w:val="19"/>
                <w:szCs w:val="19"/>
                <w:lang w:val="en-US"/>
              </w:rPr>
              <w:t>Pembro</w:t>
            </w:r>
            <w:r>
              <w:rPr>
                <w:rFonts w:ascii="Arial Narrow" w:hAnsi="Arial Narrow"/>
                <w:b/>
                <w:sz w:val="19"/>
                <w:szCs w:val="19"/>
                <w:lang w:val="en-US"/>
              </w:rPr>
              <w:t>lizumab</w:t>
            </w:r>
          </w:p>
          <w:p w:rsidR="003C781A" w:rsidRPr="00194417" w:rsidRDefault="003C781A" w:rsidP="00DD7E75">
            <w:pPr>
              <w:keepNext/>
              <w:jc w:val="center"/>
              <w:rPr>
                <w:rFonts w:ascii="Arial Narrow" w:hAnsi="Arial Narrow"/>
                <w:b/>
                <w:sz w:val="19"/>
                <w:szCs w:val="19"/>
                <w:lang w:val="en-US"/>
              </w:rPr>
            </w:pPr>
            <w:r w:rsidRPr="00194417">
              <w:rPr>
                <w:rFonts w:ascii="Arial Narrow" w:hAnsi="Arial Narrow"/>
                <w:b/>
                <w:sz w:val="19"/>
                <w:szCs w:val="19"/>
                <w:lang w:val="en-US"/>
              </w:rPr>
              <w:t>2</w:t>
            </w:r>
            <w:r>
              <w:rPr>
                <w:rFonts w:ascii="Arial Narrow" w:hAnsi="Arial Narrow"/>
                <w:b/>
                <w:sz w:val="19"/>
                <w:szCs w:val="19"/>
                <w:lang w:val="en-US"/>
              </w:rPr>
              <w:t> </w:t>
            </w:r>
            <w:r w:rsidRPr="00194417">
              <w:rPr>
                <w:rFonts w:ascii="Arial Narrow" w:hAnsi="Arial Narrow"/>
                <w:b/>
                <w:sz w:val="19"/>
                <w:szCs w:val="19"/>
                <w:lang w:val="en-US"/>
              </w:rPr>
              <w:t>mg/kg Q3W</w:t>
            </w:r>
          </w:p>
        </w:tc>
        <w:tc>
          <w:tcPr>
            <w:tcW w:w="1019" w:type="pct"/>
            <w:shd w:val="clear" w:color="auto" w:fill="auto"/>
            <w:vAlign w:val="center"/>
          </w:tcPr>
          <w:p w:rsidR="003C781A" w:rsidRDefault="003C781A" w:rsidP="00DD7E75">
            <w:pPr>
              <w:keepNext/>
              <w:jc w:val="center"/>
              <w:rPr>
                <w:rFonts w:ascii="Arial Narrow" w:hAnsi="Arial Narrow"/>
                <w:b/>
                <w:sz w:val="19"/>
                <w:szCs w:val="19"/>
                <w:lang w:val="en-US"/>
              </w:rPr>
            </w:pPr>
            <w:r>
              <w:rPr>
                <w:rFonts w:ascii="Arial Narrow" w:hAnsi="Arial Narrow"/>
                <w:b/>
                <w:sz w:val="19"/>
                <w:szCs w:val="19"/>
                <w:lang w:val="en-US"/>
              </w:rPr>
              <w:t>Pembrolizumab</w:t>
            </w:r>
          </w:p>
          <w:p w:rsidR="003C781A" w:rsidRPr="00194417" w:rsidRDefault="003C781A" w:rsidP="00DD7E75">
            <w:pPr>
              <w:keepNext/>
              <w:jc w:val="center"/>
              <w:rPr>
                <w:rFonts w:ascii="Arial Narrow" w:hAnsi="Arial Narrow"/>
                <w:b/>
                <w:sz w:val="19"/>
                <w:szCs w:val="19"/>
                <w:lang w:val="en-US"/>
              </w:rPr>
            </w:pPr>
            <w:r w:rsidRPr="00194417">
              <w:rPr>
                <w:rFonts w:ascii="Arial Narrow" w:hAnsi="Arial Narrow"/>
                <w:b/>
                <w:sz w:val="19"/>
                <w:szCs w:val="19"/>
                <w:lang w:val="en-US"/>
              </w:rPr>
              <w:t>10</w:t>
            </w:r>
            <w:r>
              <w:rPr>
                <w:rFonts w:ascii="Arial Narrow" w:hAnsi="Arial Narrow"/>
                <w:b/>
                <w:sz w:val="19"/>
                <w:szCs w:val="19"/>
                <w:lang w:val="en-US"/>
              </w:rPr>
              <w:t> </w:t>
            </w:r>
            <w:r w:rsidRPr="00194417">
              <w:rPr>
                <w:rFonts w:ascii="Arial Narrow" w:hAnsi="Arial Narrow"/>
                <w:b/>
                <w:sz w:val="19"/>
                <w:szCs w:val="19"/>
                <w:lang w:val="en-US"/>
              </w:rPr>
              <w:t>mg/kg Q3W</w:t>
            </w:r>
          </w:p>
        </w:tc>
        <w:tc>
          <w:tcPr>
            <w:tcW w:w="851" w:type="pct"/>
            <w:shd w:val="clear" w:color="auto" w:fill="auto"/>
            <w:vAlign w:val="center"/>
          </w:tcPr>
          <w:p w:rsidR="003C781A" w:rsidRPr="00194417" w:rsidRDefault="003C781A" w:rsidP="00B242B6">
            <w:pPr>
              <w:keepNext/>
              <w:jc w:val="center"/>
              <w:rPr>
                <w:rFonts w:ascii="Arial Narrow" w:hAnsi="Arial Narrow"/>
                <w:b/>
                <w:sz w:val="19"/>
                <w:szCs w:val="19"/>
                <w:lang w:val="en-US"/>
              </w:rPr>
            </w:pPr>
            <w:r w:rsidRPr="00194417">
              <w:rPr>
                <w:rFonts w:ascii="Arial Narrow" w:hAnsi="Arial Narrow"/>
                <w:b/>
                <w:sz w:val="19"/>
                <w:szCs w:val="19"/>
                <w:lang w:val="en-US"/>
              </w:rPr>
              <w:t>H</w:t>
            </w:r>
            <w:r w:rsidR="00B242B6">
              <w:rPr>
                <w:rFonts w:ascii="Arial Narrow" w:hAnsi="Arial Narrow"/>
                <w:b/>
                <w:sz w:val="19"/>
                <w:szCs w:val="19"/>
                <w:lang w:val="en-US"/>
              </w:rPr>
              <w:t>azard ratio</w:t>
            </w:r>
            <w:r w:rsidR="00B242B6">
              <w:rPr>
                <w:rFonts w:ascii="Arial Narrow" w:hAnsi="Arial Narrow"/>
                <w:b/>
                <w:sz w:val="19"/>
                <w:szCs w:val="19"/>
                <w:lang w:val="en-US"/>
              </w:rPr>
              <w:br/>
            </w:r>
            <w:r w:rsidRPr="00194417">
              <w:rPr>
                <w:rFonts w:ascii="Arial Narrow" w:hAnsi="Arial Narrow"/>
                <w:b/>
                <w:sz w:val="19"/>
                <w:szCs w:val="19"/>
                <w:lang w:val="en-US"/>
              </w:rPr>
              <w:t>(95% CI)</w:t>
            </w:r>
          </w:p>
        </w:tc>
        <w:tc>
          <w:tcPr>
            <w:tcW w:w="838" w:type="pct"/>
            <w:vAlign w:val="center"/>
          </w:tcPr>
          <w:p w:rsidR="003C781A" w:rsidRPr="00CF5B43" w:rsidRDefault="003C781A" w:rsidP="00296052">
            <w:pPr>
              <w:snapToGrid w:val="0"/>
              <w:jc w:val="center"/>
              <w:rPr>
                <w:rFonts w:ascii="Arial Narrow" w:hAnsi="Arial Narrow"/>
                <w:sz w:val="18"/>
                <w:szCs w:val="18"/>
              </w:rPr>
            </w:pPr>
            <w:r w:rsidRPr="00CF5B43">
              <w:rPr>
                <w:rFonts w:ascii="Arial Narrow" w:hAnsi="Arial Narrow"/>
                <w:b/>
                <w:sz w:val="18"/>
                <w:szCs w:val="18"/>
              </w:rPr>
              <w:t>Chemo</w:t>
            </w:r>
            <w:r w:rsidR="00B242B6">
              <w:rPr>
                <w:rFonts w:ascii="Arial Narrow" w:hAnsi="Arial Narrow"/>
                <w:b/>
                <w:sz w:val="18"/>
                <w:szCs w:val="18"/>
              </w:rPr>
              <w:t>therapy</w:t>
            </w:r>
            <w:r w:rsidR="00B242B6">
              <w:rPr>
                <w:rFonts w:ascii="Arial Narrow" w:hAnsi="Arial Narrow"/>
                <w:b/>
                <w:sz w:val="18"/>
                <w:szCs w:val="18"/>
                <w:vertAlign w:val="superscript"/>
              </w:rPr>
              <w:t>b</w:t>
            </w:r>
          </w:p>
        </w:tc>
      </w:tr>
      <w:tr w:rsidR="00B242B6" w:rsidRPr="008A40DC" w:rsidTr="00296052">
        <w:tc>
          <w:tcPr>
            <w:tcW w:w="1273" w:type="pct"/>
            <w:shd w:val="clear" w:color="auto" w:fill="auto"/>
          </w:tcPr>
          <w:p w:rsidR="00B242B6" w:rsidRPr="00194417" w:rsidRDefault="00B242B6" w:rsidP="00296052">
            <w:pPr>
              <w:tabs>
                <w:tab w:val="left" w:pos="142"/>
              </w:tabs>
              <w:jc w:val="center"/>
              <w:rPr>
                <w:rFonts w:ascii="Arial Narrow" w:hAnsi="Arial Narrow" w:cs="Times"/>
                <w:sz w:val="19"/>
                <w:szCs w:val="19"/>
                <w:lang w:val="en-US" w:eastAsia="en-AU"/>
              </w:rPr>
            </w:pPr>
            <w:r w:rsidRPr="00194417">
              <w:rPr>
                <w:rFonts w:ascii="Arial Narrow" w:hAnsi="Arial Narrow"/>
                <w:sz w:val="19"/>
                <w:szCs w:val="19"/>
                <w:lang w:val="en-US"/>
              </w:rPr>
              <w:t>N</w:t>
            </w:r>
          </w:p>
        </w:tc>
        <w:tc>
          <w:tcPr>
            <w:tcW w:w="1019" w:type="pct"/>
            <w:shd w:val="clear" w:color="auto" w:fill="auto"/>
            <w:vAlign w:val="center"/>
          </w:tcPr>
          <w:p w:rsidR="00B242B6" w:rsidRPr="00194417" w:rsidRDefault="00B242B6" w:rsidP="00296052">
            <w:pPr>
              <w:jc w:val="center"/>
              <w:rPr>
                <w:rFonts w:ascii="Arial Narrow" w:hAnsi="Arial Narrow"/>
                <w:sz w:val="19"/>
                <w:szCs w:val="19"/>
                <w:lang w:val="en-US"/>
              </w:rPr>
            </w:pPr>
            <w:r>
              <w:rPr>
                <w:rFonts w:ascii="Arial Narrow" w:hAnsi="Arial Narrow"/>
                <w:sz w:val="19"/>
                <w:szCs w:val="19"/>
                <w:lang w:val="en-US"/>
              </w:rPr>
              <w:t>180</w:t>
            </w:r>
          </w:p>
        </w:tc>
        <w:tc>
          <w:tcPr>
            <w:tcW w:w="1019" w:type="pct"/>
            <w:shd w:val="clear" w:color="auto" w:fill="auto"/>
            <w:vAlign w:val="center"/>
          </w:tcPr>
          <w:p w:rsidR="00B242B6" w:rsidRPr="00194417" w:rsidRDefault="00B242B6" w:rsidP="00296052">
            <w:pPr>
              <w:jc w:val="center"/>
              <w:rPr>
                <w:rFonts w:ascii="Arial Narrow" w:hAnsi="Arial Narrow"/>
                <w:sz w:val="19"/>
                <w:szCs w:val="19"/>
                <w:lang w:val="en-US"/>
              </w:rPr>
            </w:pPr>
            <w:r>
              <w:rPr>
                <w:rFonts w:ascii="Arial Narrow" w:hAnsi="Arial Narrow"/>
                <w:sz w:val="19"/>
                <w:szCs w:val="19"/>
                <w:lang w:val="en-US"/>
              </w:rPr>
              <w:t>181</w:t>
            </w:r>
          </w:p>
        </w:tc>
        <w:tc>
          <w:tcPr>
            <w:tcW w:w="851" w:type="pct"/>
            <w:shd w:val="clear" w:color="auto" w:fill="auto"/>
          </w:tcPr>
          <w:p w:rsidR="00B242B6" w:rsidRPr="00B242B6" w:rsidRDefault="00B242B6" w:rsidP="00DD7E75">
            <w:pPr>
              <w:rPr>
                <w:rFonts w:ascii="Arial Narrow" w:hAnsi="Arial Narrow"/>
                <w:sz w:val="19"/>
                <w:szCs w:val="19"/>
                <w:lang w:val="en-US"/>
              </w:rPr>
            </w:pPr>
          </w:p>
        </w:tc>
        <w:tc>
          <w:tcPr>
            <w:tcW w:w="838" w:type="pct"/>
            <w:shd w:val="clear" w:color="auto" w:fill="auto"/>
          </w:tcPr>
          <w:p w:rsidR="00B242B6" w:rsidRPr="00B242B6" w:rsidRDefault="00B242B6" w:rsidP="00B242B6">
            <w:pPr>
              <w:jc w:val="center"/>
              <w:rPr>
                <w:rFonts w:ascii="Arial Narrow" w:hAnsi="Arial Narrow"/>
                <w:sz w:val="19"/>
                <w:szCs w:val="19"/>
                <w:lang w:val="en-US"/>
              </w:rPr>
            </w:pPr>
            <w:r>
              <w:rPr>
                <w:rFonts w:ascii="Arial Narrow" w:hAnsi="Arial Narrow"/>
                <w:sz w:val="19"/>
                <w:szCs w:val="19"/>
                <w:lang w:val="en-US"/>
              </w:rPr>
              <w:t>179</w:t>
            </w:r>
          </w:p>
        </w:tc>
      </w:tr>
      <w:tr w:rsidR="00B242B6" w:rsidRPr="008A40DC" w:rsidTr="00B242B6">
        <w:tc>
          <w:tcPr>
            <w:tcW w:w="5000" w:type="pct"/>
            <w:gridSpan w:val="5"/>
            <w:shd w:val="clear" w:color="auto" w:fill="auto"/>
          </w:tcPr>
          <w:p w:rsidR="00B242B6" w:rsidRDefault="00B242B6" w:rsidP="00296052">
            <w:pPr>
              <w:rPr>
                <w:rFonts w:ascii="Arial Narrow" w:hAnsi="Arial Narrow"/>
                <w:b/>
                <w:sz w:val="19"/>
                <w:szCs w:val="19"/>
                <w:lang w:val="en-US"/>
              </w:rPr>
            </w:pPr>
            <w:r>
              <w:rPr>
                <w:rFonts w:ascii="Arial Narrow" w:hAnsi="Arial Narrow"/>
                <w:b/>
                <w:sz w:val="19"/>
                <w:szCs w:val="19"/>
                <w:lang w:val="en-US"/>
              </w:rPr>
              <w:t>Progression-</w:t>
            </w:r>
            <w:r w:rsidRPr="00194417">
              <w:rPr>
                <w:rFonts w:ascii="Arial Narrow" w:hAnsi="Arial Narrow"/>
                <w:b/>
                <w:sz w:val="19"/>
                <w:szCs w:val="19"/>
                <w:lang w:val="en-US"/>
              </w:rPr>
              <w:t>free survival</w:t>
            </w:r>
            <w:r w:rsidRPr="00CF5B43">
              <w:rPr>
                <w:rFonts w:ascii="Arial Narrow" w:hAnsi="Arial Narrow"/>
                <w:b/>
                <w:sz w:val="18"/>
                <w:szCs w:val="18"/>
              </w:rPr>
              <w:t xml:space="preserve"> (RECIST independent central review)</w:t>
            </w:r>
          </w:p>
        </w:tc>
      </w:tr>
      <w:tr w:rsidR="00B242B6" w:rsidRPr="008A40DC" w:rsidTr="00B242B6">
        <w:trPr>
          <w:trHeight w:val="205"/>
        </w:trPr>
        <w:tc>
          <w:tcPr>
            <w:tcW w:w="1273" w:type="pct"/>
            <w:shd w:val="clear" w:color="auto" w:fill="auto"/>
          </w:tcPr>
          <w:p w:rsidR="00B242B6" w:rsidRPr="00194417" w:rsidRDefault="00B242B6" w:rsidP="00DD7E75">
            <w:pPr>
              <w:jc w:val="center"/>
              <w:rPr>
                <w:rFonts w:ascii="Arial Narrow" w:hAnsi="Arial Narrow" w:cs="Times"/>
                <w:sz w:val="19"/>
                <w:szCs w:val="19"/>
                <w:lang w:val="en-US" w:eastAsia="en-AU"/>
              </w:rPr>
            </w:pPr>
            <w:r w:rsidRPr="00194417">
              <w:rPr>
                <w:rFonts w:ascii="Arial Narrow" w:hAnsi="Arial Narrow"/>
                <w:sz w:val="19"/>
                <w:szCs w:val="19"/>
                <w:lang w:val="en-US"/>
              </w:rPr>
              <w:t>Median m</w:t>
            </w:r>
            <w:r>
              <w:rPr>
                <w:rFonts w:ascii="Arial Narrow" w:hAnsi="Arial Narrow"/>
                <w:sz w:val="19"/>
                <w:szCs w:val="19"/>
                <w:lang w:val="en-US"/>
              </w:rPr>
              <w:t>on</w:t>
            </w:r>
            <w:r w:rsidRPr="00194417">
              <w:rPr>
                <w:rFonts w:ascii="Arial Narrow" w:hAnsi="Arial Narrow"/>
                <w:sz w:val="19"/>
                <w:szCs w:val="19"/>
                <w:lang w:val="en-US"/>
              </w:rPr>
              <w:t>ths</w:t>
            </w:r>
            <w:r>
              <w:rPr>
                <w:rFonts w:ascii="Arial Narrow" w:hAnsi="Arial Narrow"/>
                <w:sz w:val="19"/>
                <w:szCs w:val="19"/>
                <w:lang w:val="en-US"/>
              </w:rPr>
              <w:t xml:space="preserve"> </w:t>
            </w:r>
            <w:r w:rsidRPr="00194417">
              <w:rPr>
                <w:rFonts w:ascii="Arial Narrow" w:hAnsi="Arial Narrow"/>
                <w:sz w:val="19"/>
                <w:szCs w:val="19"/>
                <w:lang w:val="en-US"/>
              </w:rPr>
              <w:t>(95% CI)</w:t>
            </w:r>
          </w:p>
        </w:tc>
        <w:tc>
          <w:tcPr>
            <w:tcW w:w="1019" w:type="pct"/>
            <w:shd w:val="clear" w:color="auto" w:fill="auto"/>
            <w:vAlign w:val="center"/>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2.9 (2.8, 3.8)</w:t>
            </w:r>
          </w:p>
        </w:tc>
        <w:tc>
          <w:tcPr>
            <w:tcW w:w="1019" w:type="pct"/>
            <w:shd w:val="clear" w:color="auto" w:fill="auto"/>
            <w:vAlign w:val="center"/>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2.9 (2.8, 4.7)</w:t>
            </w:r>
          </w:p>
        </w:tc>
        <w:tc>
          <w:tcPr>
            <w:tcW w:w="851" w:type="pct"/>
            <w:shd w:val="clear" w:color="auto" w:fill="auto"/>
            <w:vAlign w:val="center"/>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0.91 (0.71, 1.16)</w:t>
            </w:r>
          </w:p>
        </w:tc>
        <w:tc>
          <w:tcPr>
            <w:tcW w:w="838" w:type="pct"/>
          </w:tcPr>
          <w:p w:rsidR="00B242B6" w:rsidRDefault="00B242B6" w:rsidP="00DD7E75">
            <w:pPr>
              <w:jc w:val="center"/>
              <w:rPr>
                <w:rFonts w:ascii="Arial Narrow" w:hAnsi="Arial Narrow"/>
                <w:sz w:val="19"/>
                <w:szCs w:val="19"/>
                <w:lang w:val="en-US"/>
              </w:rPr>
            </w:pPr>
            <w:r>
              <w:rPr>
                <w:rFonts w:ascii="Arial Narrow" w:hAnsi="Arial Narrow"/>
                <w:sz w:val="19"/>
                <w:szCs w:val="19"/>
                <w:lang w:val="en-US"/>
              </w:rPr>
              <w:t>2.7 (2.5, 2.8)</w:t>
            </w:r>
          </w:p>
        </w:tc>
      </w:tr>
      <w:tr w:rsidR="00B242B6" w:rsidRPr="008A40DC" w:rsidTr="00B242B6">
        <w:tc>
          <w:tcPr>
            <w:tcW w:w="1273" w:type="pct"/>
            <w:shd w:val="clear" w:color="auto" w:fill="auto"/>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PFS rate at 6 months</w:t>
            </w:r>
          </w:p>
        </w:tc>
        <w:tc>
          <w:tcPr>
            <w:tcW w:w="1019" w:type="pct"/>
            <w:shd w:val="clear" w:color="auto" w:fill="auto"/>
            <w:vAlign w:val="center"/>
          </w:tcPr>
          <w:p w:rsidR="00B242B6" w:rsidRDefault="00B242B6" w:rsidP="00DD7E75">
            <w:pPr>
              <w:jc w:val="center"/>
              <w:rPr>
                <w:rFonts w:ascii="Arial Narrow" w:hAnsi="Arial Narrow"/>
                <w:sz w:val="19"/>
                <w:szCs w:val="19"/>
                <w:lang w:val="en-US"/>
              </w:rPr>
            </w:pPr>
            <w:r>
              <w:rPr>
                <w:rFonts w:ascii="Arial Narrow" w:hAnsi="Arial Narrow"/>
                <w:sz w:val="19"/>
                <w:szCs w:val="19"/>
                <w:lang w:val="en-US"/>
              </w:rPr>
              <w:t>34%</w:t>
            </w:r>
          </w:p>
        </w:tc>
        <w:tc>
          <w:tcPr>
            <w:tcW w:w="1019" w:type="pct"/>
            <w:shd w:val="clear" w:color="auto" w:fill="auto"/>
            <w:vAlign w:val="center"/>
          </w:tcPr>
          <w:p w:rsidR="00B242B6" w:rsidRDefault="00B242B6" w:rsidP="00DD7E75">
            <w:pPr>
              <w:jc w:val="center"/>
              <w:rPr>
                <w:rFonts w:ascii="Arial Narrow" w:hAnsi="Arial Narrow"/>
                <w:sz w:val="19"/>
                <w:szCs w:val="19"/>
                <w:lang w:val="en-US"/>
              </w:rPr>
            </w:pPr>
            <w:r>
              <w:rPr>
                <w:rFonts w:ascii="Arial Narrow" w:hAnsi="Arial Narrow"/>
                <w:sz w:val="19"/>
                <w:szCs w:val="19"/>
                <w:lang w:val="en-US"/>
              </w:rPr>
              <w:t>38%</w:t>
            </w:r>
          </w:p>
        </w:tc>
        <w:tc>
          <w:tcPr>
            <w:tcW w:w="851" w:type="pct"/>
            <w:shd w:val="clear" w:color="auto" w:fill="auto"/>
            <w:vAlign w:val="center"/>
          </w:tcPr>
          <w:p w:rsidR="00B242B6" w:rsidRPr="00194417" w:rsidRDefault="00B242B6" w:rsidP="00DD7E75">
            <w:pPr>
              <w:jc w:val="center"/>
              <w:rPr>
                <w:rFonts w:ascii="Arial Narrow" w:hAnsi="Arial Narrow"/>
                <w:sz w:val="19"/>
                <w:szCs w:val="19"/>
                <w:lang w:val="en-US"/>
              </w:rPr>
            </w:pPr>
          </w:p>
        </w:tc>
        <w:tc>
          <w:tcPr>
            <w:tcW w:w="838" w:type="pct"/>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16%</w:t>
            </w:r>
          </w:p>
        </w:tc>
      </w:tr>
      <w:tr w:rsidR="00B242B6" w:rsidRPr="008A40DC" w:rsidTr="00B242B6">
        <w:tc>
          <w:tcPr>
            <w:tcW w:w="5000" w:type="pct"/>
            <w:gridSpan w:val="5"/>
            <w:shd w:val="clear" w:color="auto" w:fill="auto"/>
          </w:tcPr>
          <w:p w:rsidR="00B242B6" w:rsidRDefault="00B242B6" w:rsidP="00DD7E75">
            <w:pPr>
              <w:rPr>
                <w:rFonts w:ascii="Arial Narrow" w:hAnsi="Arial Narrow"/>
                <w:b/>
                <w:sz w:val="19"/>
                <w:szCs w:val="19"/>
                <w:lang w:val="en-US"/>
              </w:rPr>
            </w:pPr>
            <w:r>
              <w:rPr>
                <w:rFonts w:ascii="Arial Narrow" w:hAnsi="Arial Narrow"/>
                <w:b/>
                <w:sz w:val="19"/>
                <w:szCs w:val="19"/>
                <w:lang w:val="en-US"/>
              </w:rPr>
              <w:t>Overall survival</w:t>
            </w:r>
            <w:r w:rsidRPr="007D43B9">
              <w:rPr>
                <w:rFonts w:ascii="Arial Narrow" w:hAnsi="Arial Narrow" w:cs="Times"/>
                <w:sz w:val="19"/>
                <w:szCs w:val="19"/>
                <w:vertAlign w:val="superscript"/>
                <w:lang w:val="en-US" w:eastAsia="en-AU"/>
              </w:rPr>
              <w:t xml:space="preserve"> </w:t>
            </w:r>
            <w:r w:rsidRPr="003C781A">
              <w:rPr>
                <w:rFonts w:ascii="Arial Narrow" w:hAnsi="Arial Narrow" w:cs="Times"/>
                <w:b/>
                <w:sz w:val="19"/>
                <w:szCs w:val="19"/>
                <w:vertAlign w:val="superscript"/>
                <w:lang w:val="en-US" w:eastAsia="en-AU"/>
              </w:rPr>
              <w:t>a</w:t>
            </w:r>
          </w:p>
        </w:tc>
      </w:tr>
      <w:tr w:rsidR="00B242B6" w:rsidRPr="008A40DC" w:rsidTr="00B242B6">
        <w:trPr>
          <w:trHeight w:val="215"/>
        </w:trPr>
        <w:tc>
          <w:tcPr>
            <w:tcW w:w="1273" w:type="pct"/>
            <w:shd w:val="clear" w:color="auto" w:fill="auto"/>
          </w:tcPr>
          <w:p w:rsidR="00B242B6" w:rsidRPr="00194417" w:rsidRDefault="00B242B6" w:rsidP="00DD7E75">
            <w:pPr>
              <w:jc w:val="center"/>
              <w:rPr>
                <w:rFonts w:ascii="Arial Narrow" w:hAnsi="Arial Narrow" w:cs="Times"/>
                <w:sz w:val="19"/>
                <w:szCs w:val="19"/>
                <w:lang w:val="en-US" w:eastAsia="en-AU"/>
              </w:rPr>
            </w:pPr>
            <w:r w:rsidRPr="00194417">
              <w:rPr>
                <w:rFonts w:ascii="Arial Narrow" w:hAnsi="Arial Narrow"/>
                <w:sz w:val="19"/>
                <w:szCs w:val="19"/>
                <w:lang w:val="en-US"/>
              </w:rPr>
              <w:t>Median m</w:t>
            </w:r>
            <w:r>
              <w:rPr>
                <w:rFonts w:ascii="Arial Narrow" w:hAnsi="Arial Narrow"/>
                <w:sz w:val="19"/>
                <w:szCs w:val="19"/>
                <w:lang w:val="en-US"/>
              </w:rPr>
              <w:t>on</w:t>
            </w:r>
            <w:r w:rsidRPr="00194417">
              <w:rPr>
                <w:rFonts w:ascii="Arial Narrow" w:hAnsi="Arial Narrow"/>
                <w:sz w:val="19"/>
                <w:szCs w:val="19"/>
                <w:lang w:val="en-US"/>
              </w:rPr>
              <w:t>ths</w:t>
            </w:r>
            <w:r>
              <w:rPr>
                <w:rFonts w:ascii="Arial Narrow" w:hAnsi="Arial Narrow"/>
                <w:sz w:val="19"/>
                <w:szCs w:val="19"/>
                <w:lang w:val="en-US"/>
              </w:rPr>
              <w:t xml:space="preserve"> </w:t>
            </w:r>
            <w:r w:rsidRPr="00194417">
              <w:rPr>
                <w:rFonts w:ascii="Arial Narrow" w:hAnsi="Arial Narrow"/>
                <w:sz w:val="19"/>
                <w:szCs w:val="19"/>
                <w:lang w:val="en-US"/>
              </w:rPr>
              <w:t>(95% CI)</w:t>
            </w:r>
          </w:p>
        </w:tc>
        <w:tc>
          <w:tcPr>
            <w:tcW w:w="1019" w:type="pct"/>
            <w:shd w:val="clear" w:color="auto" w:fill="auto"/>
            <w:vAlign w:val="center"/>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11.4 (10.2, -)</w:t>
            </w:r>
          </w:p>
        </w:tc>
        <w:tc>
          <w:tcPr>
            <w:tcW w:w="1019" w:type="pct"/>
            <w:shd w:val="clear" w:color="auto" w:fill="auto"/>
            <w:vAlign w:val="center"/>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12.5 (9.7, -)</w:t>
            </w:r>
          </w:p>
        </w:tc>
        <w:tc>
          <w:tcPr>
            <w:tcW w:w="851" w:type="pct"/>
            <w:shd w:val="clear" w:color="auto" w:fill="auto"/>
            <w:vAlign w:val="center"/>
          </w:tcPr>
          <w:p w:rsidR="00B242B6" w:rsidRPr="00194417" w:rsidRDefault="00B242B6" w:rsidP="00DD7E75">
            <w:pPr>
              <w:jc w:val="center"/>
              <w:rPr>
                <w:rFonts w:ascii="Arial Narrow" w:hAnsi="Arial Narrow"/>
                <w:sz w:val="19"/>
                <w:szCs w:val="19"/>
                <w:lang w:val="en-US"/>
              </w:rPr>
            </w:pPr>
            <w:r>
              <w:rPr>
                <w:rFonts w:ascii="Arial Narrow" w:hAnsi="Arial Narrow"/>
                <w:sz w:val="19"/>
                <w:szCs w:val="19"/>
                <w:lang w:val="en-US"/>
              </w:rPr>
              <w:t>0.88 (0.63, 1.22)</w:t>
            </w:r>
          </w:p>
        </w:tc>
        <w:tc>
          <w:tcPr>
            <w:tcW w:w="838" w:type="pct"/>
          </w:tcPr>
          <w:p w:rsidR="00B242B6" w:rsidRDefault="00B242B6" w:rsidP="00DD7E75">
            <w:pPr>
              <w:jc w:val="center"/>
              <w:rPr>
                <w:rFonts w:ascii="Arial Narrow" w:hAnsi="Arial Narrow"/>
                <w:sz w:val="19"/>
                <w:szCs w:val="19"/>
                <w:lang w:val="en-US"/>
              </w:rPr>
            </w:pPr>
          </w:p>
        </w:tc>
      </w:tr>
    </w:tbl>
    <w:p w:rsidR="00E67942" w:rsidRPr="00CC08B2" w:rsidRDefault="00E67942" w:rsidP="00E67942">
      <w:pPr>
        <w:tabs>
          <w:tab w:val="left" w:pos="851"/>
        </w:tabs>
        <w:ind w:left="851" w:hanging="142"/>
        <w:rPr>
          <w:rFonts w:ascii="Arial Narrow" w:hAnsi="Arial Narrow"/>
          <w:sz w:val="18"/>
          <w:szCs w:val="18"/>
        </w:rPr>
      </w:pPr>
      <w:r w:rsidRPr="00CC08B2">
        <w:rPr>
          <w:rFonts w:ascii="Arial Narrow" w:hAnsi="Arial Narrow" w:cs="Times"/>
          <w:sz w:val="18"/>
          <w:szCs w:val="18"/>
          <w:vertAlign w:val="superscript"/>
          <w:lang w:val="en-US" w:eastAsia="en-AU"/>
        </w:rPr>
        <w:t>a</w:t>
      </w:r>
      <w:r w:rsidRPr="00CC08B2">
        <w:rPr>
          <w:rFonts w:ascii="Arial Narrow" w:hAnsi="Arial Narrow" w:cs="Times"/>
          <w:sz w:val="18"/>
          <w:szCs w:val="18"/>
          <w:lang w:val="en-US" w:eastAsia="en-AU"/>
        </w:rPr>
        <w:tab/>
        <w:t xml:space="preserve">Overall survival data for KN-002 were not supplied by the sponsor during the evaluation period (the </w:t>
      </w:r>
      <w:r w:rsidR="00244DAF" w:rsidRPr="00CC08B2">
        <w:rPr>
          <w:rFonts w:ascii="Arial Narrow" w:hAnsi="Arial Narrow" w:cs="Times"/>
          <w:sz w:val="18"/>
          <w:szCs w:val="18"/>
          <w:lang w:val="en-US" w:eastAsia="en-AU"/>
        </w:rPr>
        <w:t>report</w:t>
      </w:r>
      <w:r w:rsidRPr="00CC08B2">
        <w:rPr>
          <w:rFonts w:ascii="Arial Narrow" w:hAnsi="Arial Narrow" w:cs="Times"/>
          <w:sz w:val="18"/>
          <w:szCs w:val="18"/>
          <w:lang w:val="en-US" w:eastAsia="en-AU"/>
        </w:rPr>
        <w:t xml:space="preserve"> provided</w:t>
      </w:r>
      <w:r w:rsidR="00244DAF" w:rsidRPr="00CC08B2">
        <w:rPr>
          <w:rFonts w:ascii="Arial Narrow" w:hAnsi="Arial Narrow" w:cs="Times"/>
          <w:sz w:val="18"/>
          <w:szCs w:val="18"/>
          <w:lang w:val="en-US" w:eastAsia="en-AU"/>
        </w:rPr>
        <w:t xml:space="preserve"> on 24 November 2014</w:t>
      </w:r>
      <w:r w:rsidRPr="00CC08B2">
        <w:rPr>
          <w:rFonts w:ascii="Arial Narrow" w:hAnsi="Arial Narrow" w:cs="Times"/>
          <w:sz w:val="18"/>
          <w:szCs w:val="18"/>
          <w:lang w:val="en-US" w:eastAsia="en-AU"/>
        </w:rPr>
        <w:t xml:space="preserve"> </w:t>
      </w:r>
      <w:r w:rsidR="00244DAF" w:rsidRPr="00CC08B2">
        <w:rPr>
          <w:rFonts w:ascii="Arial Narrow" w:hAnsi="Arial Narrow" w:cs="Times"/>
          <w:sz w:val="18"/>
          <w:szCs w:val="18"/>
          <w:lang w:val="en-US" w:eastAsia="en-AU"/>
        </w:rPr>
        <w:t>st</w:t>
      </w:r>
      <w:r w:rsidRPr="00CC08B2">
        <w:rPr>
          <w:rFonts w:ascii="Arial Narrow" w:hAnsi="Arial Narrow" w:cs="Times"/>
          <w:sz w:val="18"/>
          <w:szCs w:val="18"/>
          <w:lang w:val="en-US" w:eastAsia="en-AU"/>
        </w:rPr>
        <w:t>ated that OS data are immature and pending the pre-specified analysis).  The data presented here were provided in the PSCR.</w:t>
      </w:r>
    </w:p>
    <w:p w:rsidR="00B242B6" w:rsidRPr="00CF5B43" w:rsidRDefault="00B242B6" w:rsidP="00B242B6">
      <w:pPr>
        <w:pStyle w:val="TableFooter"/>
        <w:tabs>
          <w:tab w:val="left" w:pos="851"/>
        </w:tabs>
        <w:ind w:left="709"/>
        <w:rPr>
          <w:szCs w:val="18"/>
        </w:rPr>
      </w:pPr>
      <w:r>
        <w:rPr>
          <w:vertAlign w:val="superscript"/>
        </w:rPr>
        <w:t>b</w:t>
      </w:r>
      <w:r w:rsidRPr="00CF5B43">
        <w:tab/>
      </w:r>
      <w:r w:rsidRPr="00CF5B43">
        <w:rPr>
          <w:szCs w:val="18"/>
        </w:rPr>
        <w:t>Chemotherapy regimens included: paclitaxel + carboplatin; paclitaxel; carbopla</w:t>
      </w:r>
      <w:r>
        <w:rPr>
          <w:szCs w:val="18"/>
        </w:rPr>
        <w:t>tin; dacarbazine, temozolomide.</w:t>
      </w:r>
    </w:p>
    <w:p w:rsidR="00E67942" w:rsidRDefault="00B242B6" w:rsidP="00E67942">
      <w:pPr>
        <w:ind w:left="709"/>
        <w:rPr>
          <w:rFonts w:ascii="Arial Narrow" w:hAnsi="Arial Narrow"/>
          <w:sz w:val="18"/>
        </w:rPr>
      </w:pPr>
      <w:r>
        <w:rPr>
          <w:rFonts w:ascii="Arial Narrow" w:hAnsi="Arial Narrow"/>
          <w:sz w:val="18"/>
        </w:rPr>
        <w:t>PFS=progression-free survival</w:t>
      </w:r>
      <w:r w:rsidR="00CC08B2">
        <w:rPr>
          <w:rFonts w:ascii="Arial Narrow" w:hAnsi="Arial Narrow"/>
          <w:sz w:val="18"/>
        </w:rPr>
        <w:t xml:space="preserve">; </w:t>
      </w:r>
      <w:r w:rsidR="00CC08B2" w:rsidRPr="00CC08B2">
        <w:rPr>
          <w:rFonts w:ascii="Arial Narrow" w:hAnsi="Arial Narrow"/>
          <w:sz w:val="18"/>
        </w:rPr>
        <w:t>Q2W=every 2 weeks; Q3W=every 3 weeks</w:t>
      </w:r>
    </w:p>
    <w:p w:rsidR="00E67942" w:rsidRPr="00175035" w:rsidRDefault="00E67942" w:rsidP="00E67942">
      <w:pPr>
        <w:ind w:left="709"/>
      </w:pPr>
      <w:r w:rsidRPr="008A40DC">
        <w:rPr>
          <w:rFonts w:ascii="Arial Narrow" w:hAnsi="Arial Narrow"/>
          <w:sz w:val="18"/>
        </w:rPr>
        <w:t xml:space="preserve">Source: </w:t>
      </w:r>
      <w:r w:rsidR="00CC08B2" w:rsidRPr="00CC08B2">
        <w:rPr>
          <w:rFonts w:ascii="Arial Narrow" w:hAnsi="Arial Narrow"/>
          <w:sz w:val="18"/>
        </w:rPr>
        <w:t>Ribas et al, presentation at the Society for Melanoma Research (SMR) 2014 International Congress Nov 13-16;</w:t>
      </w:r>
      <w:r w:rsidR="00CC08B2">
        <w:rPr>
          <w:rFonts w:ascii="Arial Narrow" w:hAnsi="Arial Narrow"/>
          <w:sz w:val="18"/>
        </w:rPr>
        <w:t xml:space="preserve"> </w:t>
      </w:r>
      <w:r w:rsidRPr="009C7C53">
        <w:rPr>
          <w:rFonts w:ascii="Arial Narrow" w:hAnsi="Arial Narrow"/>
          <w:sz w:val="18"/>
        </w:rPr>
        <w:t>Table 1</w:t>
      </w:r>
      <w:r>
        <w:rPr>
          <w:rFonts w:ascii="Arial Narrow" w:hAnsi="Arial Narrow"/>
          <w:sz w:val="18"/>
        </w:rPr>
        <w:t>, p1 of the tables included with the PSCR</w:t>
      </w:r>
    </w:p>
    <w:p w:rsidR="00E67942" w:rsidRPr="00FB00EA" w:rsidRDefault="00E67942" w:rsidP="00E67942">
      <w:pPr>
        <w:rPr>
          <w:szCs w:val="22"/>
        </w:rPr>
      </w:pPr>
    </w:p>
    <w:p w:rsidR="00D77DDA" w:rsidRDefault="00033153" w:rsidP="00244DAF">
      <w:pPr>
        <w:pStyle w:val="ListParagraph"/>
        <w:widowControl/>
        <w:numPr>
          <w:ilvl w:val="1"/>
          <w:numId w:val="1"/>
        </w:numPr>
        <w:rPr>
          <w:szCs w:val="22"/>
        </w:rPr>
      </w:pPr>
      <w:r>
        <w:rPr>
          <w:szCs w:val="22"/>
        </w:rPr>
        <w:t>The PSCR stated that data from the KN-002 trial demonstrates that there was a small increase in adverse events with the 10 mg/kg dose</w:t>
      </w:r>
      <w:r w:rsidR="00D77DDA">
        <w:rPr>
          <w:szCs w:val="22"/>
        </w:rPr>
        <w:t xml:space="preserve"> relative to the 2 mg/kg dose.</w:t>
      </w:r>
    </w:p>
    <w:p w:rsidR="00D77DDA" w:rsidRDefault="00D77DDA" w:rsidP="00D77DDA">
      <w:pPr>
        <w:widowControl/>
        <w:rPr>
          <w:szCs w:val="22"/>
        </w:rPr>
      </w:pPr>
    </w:p>
    <w:p w:rsidR="00D77DDA" w:rsidRPr="00F77844" w:rsidRDefault="00D77DDA" w:rsidP="00D77DDA">
      <w:pPr>
        <w:pStyle w:val="ListParagraph"/>
        <w:widowControl/>
        <w:numPr>
          <w:ilvl w:val="1"/>
          <w:numId w:val="1"/>
        </w:numPr>
        <w:rPr>
          <w:szCs w:val="22"/>
        </w:rPr>
      </w:pPr>
      <w:r>
        <w:t xml:space="preserve">The PSCR (p7) also included statistical comparisons of PFS and OS for the 2 mg/kg Q3W and 10 mg/kg Q3W doses </w:t>
      </w:r>
      <w:r>
        <w:rPr>
          <w:szCs w:val="22"/>
        </w:rPr>
        <w:t>from the Part D (ipilimumab-naïve), Part B2 (ipilimumab-refractory) cohorts of KN-001</w:t>
      </w:r>
      <w:r>
        <w:t xml:space="preserve">. </w:t>
      </w:r>
      <w:r w:rsidRPr="00F77844">
        <w:rPr>
          <w:szCs w:val="22"/>
        </w:rPr>
        <w:t xml:space="preserve"> </w:t>
      </w:r>
      <w:r>
        <w:rPr>
          <w:szCs w:val="22"/>
        </w:rPr>
        <w:t>N</w:t>
      </w:r>
      <w:r w:rsidRPr="00F77844">
        <w:rPr>
          <w:szCs w:val="22"/>
        </w:rPr>
        <w:t xml:space="preserve">o significant differences </w:t>
      </w:r>
      <w:r>
        <w:rPr>
          <w:szCs w:val="22"/>
        </w:rPr>
        <w:t xml:space="preserve">were </w:t>
      </w:r>
      <w:r w:rsidRPr="00F77844">
        <w:rPr>
          <w:szCs w:val="22"/>
        </w:rPr>
        <w:t xml:space="preserve">observed between doses, but </w:t>
      </w:r>
      <w:r>
        <w:rPr>
          <w:szCs w:val="22"/>
        </w:rPr>
        <w:t xml:space="preserve">no </w:t>
      </w:r>
      <w:r w:rsidRPr="00F77844">
        <w:rPr>
          <w:szCs w:val="22"/>
        </w:rPr>
        <w:t xml:space="preserve">clear basis </w:t>
      </w:r>
      <w:r>
        <w:rPr>
          <w:szCs w:val="22"/>
        </w:rPr>
        <w:t xml:space="preserve">was provided </w:t>
      </w:r>
      <w:r w:rsidRPr="00F77844">
        <w:rPr>
          <w:szCs w:val="22"/>
        </w:rPr>
        <w:t>to establish non-inferiority between these doses.</w:t>
      </w:r>
    </w:p>
    <w:p w:rsidR="003E18D8" w:rsidRPr="003E18D8" w:rsidRDefault="003E18D8" w:rsidP="003E18D8">
      <w:pPr>
        <w:widowControl/>
        <w:rPr>
          <w:szCs w:val="22"/>
        </w:rPr>
      </w:pPr>
    </w:p>
    <w:p w:rsidR="00033153" w:rsidRPr="003E18D8" w:rsidRDefault="003E18D8" w:rsidP="003E18D8">
      <w:pPr>
        <w:widowControl/>
        <w:ind w:left="709"/>
        <w:rPr>
          <w:i/>
          <w:szCs w:val="22"/>
        </w:rPr>
      </w:pPr>
      <w:r w:rsidRPr="003E18D8">
        <w:rPr>
          <w:i/>
          <w:szCs w:val="22"/>
        </w:rPr>
        <w:t>For more detail on PBAC’s view, see section 7 “PBAC outcome”</w:t>
      </w:r>
    </w:p>
    <w:p w:rsidR="003E18D8" w:rsidRDefault="003E18D8" w:rsidP="003E18D8">
      <w:pPr>
        <w:widowControl/>
        <w:rPr>
          <w:szCs w:val="22"/>
        </w:rPr>
      </w:pPr>
    </w:p>
    <w:p w:rsidR="00A96524" w:rsidRPr="00437EDB" w:rsidRDefault="00A96524" w:rsidP="00A96524">
      <w:pPr>
        <w:widowControl/>
        <w:rPr>
          <w:i/>
          <w:szCs w:val="22"/>
          <w:u w:val="single"/>
        </w:rPr>
      </w:pPr>
      <w:r w:rsidRPr="00437EDB">
        <w:rPr>
          <w:i/>
          <w:szCs w:val="22"/>
          <w:u w:val="single"/>
        </w:rPr>
        <w:t>KN-006 data (received 13 February 2015)</w:t>
      </w:r>
    </w:p>
    <w:p w:rsidR="00A96524" w:rsidRPr="00437EDB" w:rsidRDefault="00A96524" w:rsidP="00A96524">
      <w:pPr>
        <w:widowControl/>
        <w:rPr>
          <w:szCs w:val="22"/>
        </w:rPr>
      </w:pPr>
    </w:p>
    <w:p w:rsidR="00A96524" w:rsidRDefault="00A96524" w:rsidP="00A96524">
      <w:pPr>
        <w:pStyle w:val="Heading2"/>
        <w:rPr>
          <w:i/>
          <w:szCs w:val="22"/>
        </w:rPr>
      </w:pPr>
      <w:r w:rsidRPr="00093AF3">
        <w:rPr>
          <w:i/>
          <w:szCs w:val="22"/>
        </w:rPr>
        <w:t>Clinical trials</w:t>
      </w:r>
    </w:p>
    <w:p w:rsidR="00A96524" w:rsidRPr="00437EDB" w:rsidRDefault="00A96524" w:rsidP="00A96524">
      <w:pPr>
        <w:widowControl/>
        <w:rPr>
          <w:szCs w:val="22"/>
        </w:rPr>
      </w:pPr>
    </w:p>
    <w:p w:rsidR="00B01051" w:rsidRPr="00CD5085" w:rsidRDefault="00E67942" w:rsidP="00B01051">
      <w:pPr>
        <w:pStyle w:val="ListParagraph"/>
        <w:widowControl/>
        <w:numPr>
          <w:ilvl w:val="1"/>
          <w:numId w:val="1"/>
        </w:numPr>
        <w:rPr>
          <w:szCs w:val="22"/>
        </w:rPr>
      </w:pPr>
      <w:r>
        <w:rPr>
          <w:szCs w:val="22"/>
        </w:rPr>
        <w:t>T</w:t>
      </w:r>
      <w:r w:rsidR="00B01051" w:rsidRPr="00FB00EA">
        <w:rPr>
          <w:szCs w:val="22"/>
        </w:rPr>
        <w:t>he sponsor provided early results for trial KN-006, a phase III trial comparing pembrolizumab 10 mg/kg to ipilimumab</w:t>
      </w:r>
      <w:r w:rsidR="00437EDB">
        <w:rPr>
          <w:szCs w:val="22"/>
        </w:rPr>
        <w:t xml:space="preserve"> after the finalisation of both the </w:t>
      </w:r>
      <w:r w:rsidR="00B01051" w:rsidRPr="00FB00EA">
        <w:rPr>
          <w:szCs w:val="22"/>
        </w:rPr>
        <w:t>commentary</w:t>
      </w:r>
      <w:r w:rsidR="00437EDB">
        <w:rPr>
          <w:szCs w:val="22"/>
        </w:rPr>
        <w:t xml:space="preserve"> on the submission and the ESC Advice</w:t>
      </w:r>
      <w:r w:rsidR="00B01051" w:rsidRPr="00FB00EA">
        <w:rPr>
          <w:szCs w:val="22"/>
        </w:rPr>
        <w:t>.</w:t>
      </w:r>
      <w:r w:rsidR="00437EDB">
        <w:rPr>
          <w:szCs w:val="22"/>
        </w:rPr>
        <w:t xml:space="preserve"> </w:t>
      </w:r>
      <w:r w:rsidR="00B01051" w:rsidRPr="00FB00EA">
        <w:t xml:space="preserve"> The following </w:t>
      </w:r>
      <w:r w:rsidR="00437EDB">
        <w:t xml:space="preserve">summarises </w:t>
      </w:r>
      <w:r w:rsidR="00B01051" w:rsidRPr="00FB00EA">
        <w:t>the information provided</w:t>
      </w:r>
      <w:r w:rsidR="0071550E">
        <w:t>,</w:t>
      </w:r>
      <w:r w:rsidR="00437EDB">
        <w:t xml:space="preserve"> given that the</w:t>
      </w:r>
      <w:r w:rsidR="00B01051" w:rsidRPr="00CD5085">
        <w:t xml:space="preserve"> results became the basis for PBAC decision making</w:t>
      </w:r>
      <w:r w:rsidR="00437EDB">
        <w:rPr>
          <w:szCs w:val="22"/>
        </w:rPr>
        <w:t>.</w:t>
      </w:r>
    </w:p>
    <w:p w:rsidR="000778F7" w:rsidRPr="00437EDB" w:rsidRDefault="000778F7" w:rsidP="00437EDB">
      <w:pPr>
        <w:pStyle w:val="PBACHeading1"/>
        <w:numPr>
          <w:ilvl w:val="0"/>
          <w:numId w:val="0"/>
        </w:numPr>
        <w:rPr>
          <w:b w:val="0"/>
        </w:rPr>
      </w:pPr>
    </w:p>
    <w:p w:rsidR="00B01051" w:rsidRDefault="00B01051" w:rsidP="005C1AC0">
      <w:pPr>
        <w:pStyle w:val="ListParagraph"/>
        <w:widowControl/>
        <w:numPr>
          <w:ilvl w:val="1"/>
          <w:numId w:val="1"/>
        </w:numPr>
        <w:rPr>
          <w:szCs w:val="22"/>
        </w:rPr>
      </w:pPr>
      <w:r>
        <w:rPr>
          <w:szCs w:val="22"/>
        </w:rPr>
        <w:t>Details of Trial KN-006 a</w:t>
      </w:r>
      <w:r w:rsidR="00CD7DC7">
        <w:rPr>
          <w:szCs w:val="22"/>
        </w:rPr>
        <w:t>re provided in the table below.</w:t>
      </w:r>
    </w:p>
    <w:p w:rsidR="00B01051" w:rsidRPr="00CD7DC7" w:rsidRDefault="00B01051" w:rsidP="00B01051">
      <w:pPr>
        <w:widowControl/>
        <w:rPr>
          <w:szCs w:val="22"/>
        </w:rPr>
      </w:pPr>
    </w:p>
    <w:p w:rsidR="00CD5085" w:rsidRPr="00CD5085" w:rsidRDefault="00CD5085" w:rsidP="00CD5085">
      <w:pPr>
        <w:pStyle w:val="ListParagraph"/>
        <w:widowControl/>
        <w:rPr>
          <w:rFonts w:ascii="Arial Narrow" w:hAnsi="Arial Narrow"/>
          <w:b/>
          <w:sz w:val="20"/>
          <w:szCs w:val="16"/>
        </w:rPr>
      </w:pPr>
      <w:r w:rsidRPr="000812CA">
        <w:rPr>
          <w:rStyle w:val="CommentReference"/>
        </w:rPr>
        <w:lastRenderedPageBreak/>
        <w:t xml:space="preserve">Trials and associated reports presented </w:t>
      </w:r>
      <w:r>
        <w:rPr>
          <w:rStyle w:val="CommentReference"/>
        </w:rPr>
        <w:t xml:space="preserve">after the ESC meeting </w:t>
      </w:r>
    </w:p>
    <w:tbl>
      <w:tblPr>
        <w:tblW w:w="468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74"/>
        <w:gridCol w:w="6034"/>
        <w:gridCol w:w="1593"/>
      </w:tblGrid>
      <w:tr w:rsidR="00B01051" w:rsidRPr="004E2ADC" w:rsidTr="00B01051">
        <w:tc>
          <w:tcPr>
            <w:tcW w:w="514" w:type="pct"/>
          </w:tcPr>
          <w:p w:rsidR="00B01051" w:rsidRPr="004E2ADC" w:rsidRDefault="00B01051" w:rsidP="00B01051">
            <w:pPr>
              <w:jc w:val="left"/>
              <w:rPr>
                <w:rFonts w:ascii="Arial Narrow" w:hAnsi="Arial Narrow"/>
                <w:b/>
                <w:sz w:val="20"/>
              </w:rPr>
            </w:pPr>
            <w:r w:rsidRPr="004E2ADC">
              <w:rPr>
                <w:rFonts w:ascii="Arial Narrow" w:hAnsi="Arial Narrow"/>
                <w:b/>
                <w:sz w:val="20"/>
              </w:rPr>
              <w:t>Trial ID</w:t>
            </w:r>
          </w:p>
        </w:tc>
        <w:tc>
          <w:tcPr>
            <w:tcW w:w="3549" w:type="pct"/>
          </w:tcPr>
          <w:p w:rsidR="00B01051" w:rsidRPr="004E2ADC" w:rsidRDefault="00B01051" w:rsidP="00B01051">
            <w:pPr>
              <w:jc w:val="center"/>
              <w:rPr>
                <w:rFonts w:ascii="Arial Narrow" w:hAnsi="Arial Narrow"/>
                <w:b/>
                <w:sz w:val="20"/>
              </w:rPr>
            </w:pPr>
            <w:r w:rsidRPr="004E2ADC">
              <w:rPr>
                <w:rFonts w:ascii="Arial Narrow" w:hAnsi="Arial Narrow"/>
                <w:b/>
                <w:sz w:val="20"/>
              </w:rPr>
              <w:t>Protocol title/ Publication title</w:t>
            </w:r>
          </w:p>
        </w:tc>
        <w:tc>
          <w:tcPr>
            <w:tcW w:w="937" w:type="pct"/>
          </w:tcPr>
          <w:p w:rsidR="00B01051" w:rsidRPr="004E2ADC" w:rsidRDefault="00B01051" w:rsidP="00B01051">
            <w:pPr>
              <w:jc w:val="center"/>
              <w:rPr>
                <w:rFonts w:ascii="Arial Narrow" w:hAnsi="Arial Narrow"/>
                <w:b/>
                <w:sz w:val="20"/>
              </w:rPr>
            </w:pPr>
            <w:r w:rsidRPr="004E2ADC">
              <w:rPr>
                <w:rFonts w:ascii="Arial Narrow" w:hAnsi="Arial Narrow"/>
                <w:b/>
                <w:sz w:val="20"/>
              </w:rPr>
              <w:t>Publication citation</w:t>
            </w:r>
          </w:p>
        </w:tc>
      </w:tr>
      <w:tr w:rsidR="00B01051" w:rsidRPr="004E2ADC" w:rsidTr="00B01051">
        <w:tc>
          <w:tcPr>
            <w:tcW w:w="514" w:type="pct"/>
          </w:tcPr>
          <w:p w:rsidR="00B01051" w:rsidRPr="004E2ADC" w:rsidRDefault="00B01051" w:rsidP="00B01051">
            <w:pPr>
              <w:jc w:val="left"/>
              <w:rPr>
                <w:rFonts w:ascii="Arial Narrow" w:hAnsi="Arial Narrow"/>
                <w:sz w:val="20"/>
              </w:rPr>
            </w:pPr>
            <w:r>
              <w:rPr>
                <w:rFonts w:ascii="Arial Narrow" w:hAnsi="Arial Narrow"/>
                <w:sz w:val="20"/>
              </w:rPr>
              <w:t>KN-006</w:t>
            </w:r>
          </w:p>
        </w:tc>
        <w:tc>
          <w:tcPr>
            <w:tcW w:w="3549" w:type="pct"/>
          </w:tcPr>
          <w:p w:rsidR="00B01051" w:rsidRPr="00624684" w:rsidRDefault="00CD7DC7" w:rsidP="00B01051">
            <w:pPr>
              <w:autoSpaceDE w:val="0"/>
              <w:autoSpaceDN w:val="0"/>
              <w:adjustRightInd w:val="0"/>
              <w:jc w:val="left"/>
              <w:rPr>
                <w:rFonts w:ascii="Arial Narrow" w:hAnsi="Arial Narrow" w:cs="Times"/>
                <w:snapToGrid/>
                <w:sz w:val="20"/>
                <w:lang w:val="en-US" w:eastAsia="en-AU"/>
              </w:rPr>
            </w:pPr>
            <w:r>
              <w:rPr>
                <w:rFonts w:ascii="Arial Narrow" w:hAnsi="Arial Narrow" w:cs="Times"/>
                <w:snapToGrid/>
                <w:sz w:val="20"/>
                <w:lang w:val="en-US" w:eastAsia="en-AU"/>
              </w:rPr>
              <w:t>I</w:t>
            </w:r>
            <w:r w:rsidR="008B662A">
              <w:rPr>
                <w:rFonts w:ascii="Arial Narrow" w:hAnsi="Arial Narrow" w:cs="Times"/>
                <w:snapToGrid/>
                <w:sz w:val="20"/>
                <w:lang w:val="en-US" w:eastAsia="en-AU"/>
              </w:rPr>
              <w:t>nterim analysis:</w:t>
            </w:r>
            <w:r>
              <w:rPr>
                <w:rFonts w:ascii="Arial Narrow" w:hAnsi="Arial Narrow" w:cs="Times"/>
                <w:snapToGrid/>
                <w:sz w:val="20"/>
                <w:lang w:val="en-US" w:eastAsia="en-AU"/>
              </w:rPr>
              <w:t xml:space="preserve"> early results report. First Interim Analysis of MK-3475 Phase III Advanced Melanoma Study (protocol 006-04).  09-Feb-2015</w:t>
            </w:r>
          </w:p>
        </w:tc>
        <w:tc>
          <w:tcPr>
            <w:tcW w:w="937" w:type="pct"/>
          </w:tcPr>
          <w:p w:rsidR="00B01051" w:rsidRPr="004E2ADC" w:rsidRDefault="00CD5085" w:rsidP="00B01051">
            <w:pPr>
              <w:jc w:val="left"/>
              <w:rPr>
                <w:rFonts w:ascii="Arial Narrow" w:hAnsi="Arial Narrow"/>
                <w:b/>
                <w:sz w:val="20"/>
              </w:rPr>
            </w:pPr>
            <w:r>
              <w:rPr>
                <w:rFonts w:ascii="Arial Narrow" w:hAnsi="Arial Narrow"/>
                <w:b/>
                <w:sz w:val="20"/>
              </w:rPr>
              <w:t>Unpublished</w:t>
            </w:r>
          </w:p>
        </w:tc>
      </w:tr>
    </w:tbl>
    <w:p w:rsidR="00B01051" w:rsidRPr="00CD7DC7" w:rsidRDefault="00B01051" w:rsidP="00CD7DC7">
      <w:pPr>
        <w:widowControl/>
        <w:rPr>
          <w:szCs w:val="22"/>
        </w:rPr>
      </w:pPr>
    </w:p>
    <w:p w:rsidR="00B01051" w:rsidRPr="00C01833" w:rsidRDefault="00B01051" w:rsidP="00B01051">
      <w:pPr>
        <w:pStyle w:val="ListParagraph"/>
        <w:widowControl/>
        <w:numPr>
          <w:ilvl w:val="1"/>
          <w:numId w:val="1"/>
        </w:numPr>
        <w:rPr>
          <w:szCs w:val="22"/>
        </w:rPr>
      </w:pPr>
      <w:r>
        <w:rPr>
          <w:szCs w:val="22"/>
        </w:rPr>
        <w:t xml:space="preserve">KN-006 is a randomised, open label phase III trial comparing pembrolizumab 10 mg/kg </w:t>
      </w:r>
      <w:r w:rsidR="00093AF3">
        <w:rPr>
          <w:szCs w:val="22"/>
        </w:rPr>
        <w:t>every 2 weeks (</w:t>
      </w:r>
      <w:r>
        <w:rPr>
          <w:szCs w:val="22"/>
        </w:rPr>
        <w:t>Q2W</w:t>
      </w:r>
      <w:r w:rsidR="00093AF3">
        <w:rPr>
          <w:szCs w:val="22"/>
        </w:rPr>
        <w:t>)</w:t>
      </w:r>
      <w:r>
        <w:rPr>
          <w:szCs w:val="22"/>
        </w:rPr>
        <w:t xml:space="preserve"> </w:t>
      </w:r>
      <w:r w:rsidR="00CD7DC7">
        <w:rPr>
          <w:szCs w:val="22"/>
        </w:rPr>
        <w:t xml:space="preserve">for up to 2 years </w:t>
      </w:r>
      <w:r>
        <w:rPr>
          <w:szCs w:val="22"/>
        </w:rPr>
        <w:t>and 10 mg/kg</w:t>
      </w:r>
      <w:r w:rsidR="00093AF3">
        <w:rPr>
          <w:szCs w:val="22"/>
        </w:rPr>
        <w:t xml:space="preserve"> every 3 weeks</w:t>
      </w:r>
      <w:r>
        <w:rPr>
          <w:szCs w:val="22"/>
        </w:rPr>
        <w:t xml:space="preserve"> </w:t>
      </w:r>
      <w:r w:rsidR="00093AF3">
        <w:rPr>
          <w:szCs w:val="22"/>
        </w:rPr>
        <w:t>(</w:t>
      </w:r>
      <w:r>
        <w:rPr>
          <w:szCs w:val="22"/>
        </w:rPr>
        <w:t>Q3W</w:t>
      </w:r>
      <w:r w:rsidR="00093AF3">
        <w:rPr>
          <w:szCs w:val="22"/>
        </w:rPr>
        <w:t>)</w:t>
      </w:r>
      <w:r>
        <w:rPr>
          <w:szCs w:val="22"/>
        </w:rPr>
        <w:t xml:space="preserve"> </w:t>
      </w:r>
      <w:r w:rsidR="00CD7DC7">
        <w:rPr>
          <w:szCs w:val="22"/>
        </w:rPr>
        <w:t xml:space="preserve">for up to 2 years </w:t>
      </w:r>
      <w:r>
        <w:rPr>
          <w:szCs w:val="22"/>
        </w:rPr>
        <w:t xml:space="preserve">with ipilimumab 3 mg/kg Q3W </w:t>
      </w:r>
      <w:r w:rsidR="00CD7DC7">
        <w:rPr>
          <w:szCs w:val="22"/>
        </w:rPr>
        <w:t>for 4 doses in</w:t>
      </w:r>
      <w:r>
        <w:rPr>
          <w:szCs w:val="22"/>
        </w:rPr>
        <w:t xml:space="preserve"> the treatment of ipilimumab-naïve patients with unresectable or metastatic melanoma.</w:t>
      </w:r>
    </w:p>
    <w:p w:rsidR="00B01051" w:rsidRPr="00C01833" w:rsidRDefault="00B01051" w:rsidP="00B01051">
      <w:pPr>
        <w:rPr>
          <w:szCs w:val="22"/>
        </w:rPr>
      </w:pPr>
    </w:p>
    <w:p w:rsidR="00B01051" w:rsidRPr="00902D0A" w:rsidRDefault="00B01051" w:rsidP="00B01051">
      <w:pPr>
        <w:ind w:left="709"/>
        <w:rPr>
          <w:rFonts w:ascii="Arial Narrow" w:hAnsi="Arial Narrow"/>
          <w:b/>
          <w:sz w:val="20"/>
        </w:rPr>
      </w:pPr>
      <w:r w:rsidRPr="00902D0A">
        <w:rPr>
          <w:rFonts w:ascii="Arial Narrow" w:hAnsi="Arial Narrow"/>
          <w:b/>
          <w:sz w:val="20"/>
        </w:rPr>
        <w:t xml:space="preserve">Summary of </w:t>
      </w:r>
      <w:r>
        <w:rPr>
          <w:rFonts w:ascii="Arial Narrow" w:hAnsi="Arial Narrow"/>
          <w:b/>
          <w:sz w:val="20"/>
        </w:rPr>
        <w:t>KN-006</w:t>
      </w:r>
    </w:p>
    <w:tbl>
      <w:tblPr>
        <w:tblStyle w:val="TableGrid"/>
        <w:tblW w:w="4680" w:type="pct"/>
        <w:tblInd w:w="737" w:type="dxa"/>
        <w:tblCellMar>
          <w:left w:w="28" w:type="dxa"/>
          <w:right w:w="28" w:type="dxa"/>
        </w:tblCellMar>
        <w:tblLook w:val="04A0" w:firstRow="1" w:lastRow="0" w:firstColumn="1" w:lastColumn="0" w:noHBand="0" w:noVBand="1"/>
      </w:tblPr>
      <w:tblGrid>
        <w:gridCol w:w="729"/>
        <w:gridCol w:w="418"/>
        <w:gridCol w:w="2396"/>
        <w:gridCol w:w="1012"/>
        <w:gridCol w:w="1409"/>
        <w:gridCol w:w="2537"/>
      </w:tblGrid>
      <w:tr w:rsidR="00B01051" w:rsidRPr="00CD0F2E" w:rsidTr="00CD7DC7">
        <w:trPr>
          <w:tblHeader/>
        </w:trPr>
        <w:tc>
          <w:tcPr>
            <w:tcW w:w="429" w:type="pct"/>
            <w:vAlign w:val="center"/>
          </w:tcPr>
          <w:p w:rsidR="00B01051" w:rsidRPr="00CD0F2E" w:rsidRDefault="00B01051" w:rsidP="00B01051">
            <w:pPr>
              <w:rPr>
                <w:rFonts w:ascii="Arial Narrow" w:hAnsi="Arial Narrow"/>
                <w:b/>
                <w:sz w:val="20"/>
              </w:rPr>
            </w:pPr>
            <w:r w:rsidRPr="00CD0F2E">
              <w:rPr>
                <w:rFonts w:ascii="Arial Narrow" w:hAnsi="Arial Narrow"/>
                <w:b/>
                <w:sz w:val="20"/>
              </w:rPr>
              <w:t>Trial</w:t>
            </w:r>
            <w:r>
              <w:rPr>
                <w:rFonts w:ascii="Arial Narrow" w:hAnsi="Arial Narrow"/>
                <w:b/>
                <w:sz w:val="20"/>
              </w:rPr>
              <w:t xml:space="preserve"> ID</w:t>
            </w:r>
          </w:p>
        </w:tc>
        <w:tc>
          <w:tcPr>
            <w:tcW w:w="246" w:type="pct"/>
            <w:vAlign w:val="center"/>
          </w:tcPr>
          <w:p w:rsidR="00B01051" w:rsidRPr="00CD0F2E" w:rsidRDefault="00B01051" w:rsidP="00B01051">
            <w:pPr>
              <w:jc w:val="center"/>
              <w:rPr>
                <w:rFonts w:ascii="Arial Narrow" w:hAnsi="Arial Narrow"/>
                <w:b/>
                <w:sz w:val="20"/>
              </w:rPr>
            </w:pPr>
            <w:r>
              <w:rPr>
                <w:rFonts w:ascii="Arial Narrow" w:hAnsi="Arial Narrow"/>
                <w:b/>
                <w:sz w:val="20"/>
              </w:rPr>
              <w:t>N</w:t>
            </w:r>
          </w:p>
        </w:tc>
        <w:tc>
          <w:tcPr>
            <w:tcW w:w="1409" w:type="pct"/>
            <w:vAlign w:val="center"/>
          </w:tcPr>
          <w:p w:rsidR="00B01051" w:rsidRPr="008F0268" w:rsidRDefault="00B01051" w:rsidP="00B01051">
            <w:pPr>
              <w:jc w:val="center"/>
              <w:rPr>
                <w:rFonts w:ascii="Arial Narrow" w:hAnsi="Arial Narrow"/>
                <w:b/>
                <w:sz w:val="20"/>
              </w:rPr>
            </w:pPr>
            <w:r w:rsidRPr="00CD0F2E">
              <w:rPr>
                <w:rFonts w:ascii="Arial Narrow" w:hAnsi="Arial Narrow"/>
                <w:b/>
                <w:sz w:val="20"/>
              </w:rPr>
              <w:t>Treatment arms</w:t>
            </w:r>
          </w:p>
        </w:tc>
        <w:tc>
          <w:tcPr>
            <w:tcW w:w="595" w:type="pct"/>
            <w:vAlign w:val="center"/>
          </w:tcPr>
          <w:p w:rsidR="00B01051" w:rsidRPr="00CD0F2E" w:rsidRDefault="00B01051" w:rsidP="00B01051">
            <w:pPr>
              <w:jc w:val="center"/>
              <w:rPr>
                <w:rFonts w:ascii="Arial Narrow" w:hAnsi="Arial Narrow"/>
                <w:b/>
                <w:sz w:val="20"/>
              </w:rPr>
            </w:pPr>
            <w:r>
              <w:rPr>
                <w:rFonts w:ascii="Arial Narrow" w:hAnsi="Arial Narrow"/>
                <w:b/>
                <w:sz w:val="20"/>
              </w:rPr>
              <w:t>Trial d</w:t>
            </w:r>
            <w:r w:rsidRPr="00CD0F2E">
              <w:rPr>
                <w:rFonts w:ascii="Arial Narrow" w:hAnsi="Arial Narrow"/>
                <w:b/>
                <w:sz w:val="20"/>
              </w:rPr>
              <w:t>esign</w:t>
            </w:r>
          </w:p>
        </w:tc>
        <w:tc>
          <w:tcPr>
            <w:tcW w:w="829" w:type="pct"/>
            <w:vAlign w:val="center"/>
          </w:tcPr>
          <w:p w:rsidR="00B01051" w:rsidRPr="00CD0F2E" w:rsidRDefault="00B01051" w:rsidP="00B01051">
            <w:pPr>
              <w:jc w:val="center"/>
              <w:rPr>
                <w:rFonts w:ascii="Arial Narrow" w:hAnsi="Arial Narrow"/>
                <w:b/>
                <w:sz w:val="20"/>
              </w:rPr>
            </w:pPr>
            <w:r w:rsidRPr="00CD0F2E">
              <w:rPr>
                <w:rFonts w:ascii="Arial Narrow" w:hAnsi="Arial Narrow"/>
                <w:b/>
                <w:sz w:val="20"/>
              </w:rPr>
              <w:t xml:space="preserve">Primary </w:t>
            </w:r>
            <w:r>
              <w:rPr>
                <w:rFonts w:ascii="Arial Narrow" w:hAnsi="Arial Narrow"/>
                <w:b/>
                <w:sz w:val="20"/>
              </w:rPr>
              <w:t>o</w:t>
            </w:r>
            <w:r w:rsidRPr="00CD0F2E">
              <w:rPr>
                <w:rFonts w:ascii="Arial Narrow" w:hAnsi="Arial Narrow"/>
                <w:b/>
                <w:sz w:val="20"/>
              </w:rPr>
              <w:t>utcome</w:t>
            </w:r>
          </w:p>
        </w:tc>
        <w:tc>
          <w:tcPr>
            <w:tcW w:w="1492" w:type="pct"/>
            <w:vAlign w:val="center"/>
          </w:tcPr>
          <w:p w:rsidR="00B01051" w:rsidRPr="00CD0F2E" w:rsidRDefault="00B01051" w:rsidP="00B01051">
            <w:pPr>
              <w:jc w:val="center"/>
              <w:rPr>
                <w:rFonts w:ascii="Arial Narrow" w:hAnsi="Arial Narrow"/>
                <w:b/>
                <w:sz w:val="20"/>
              </w:rPr>
            </w:pPr>
            <w:r>
              <w:rPr>
                <w:rFonts w:ascii="Arial Narrow" w:hAnsi="Arial Narrow"/>
                <w:b/>
                <w:sz w:val="20"/>
              </w:rPr>
              <w:t>Use in the economic evaluation</w:t>
            </w:r>
          </w:p>
        </w:tc>
      </w:tr>
      <w:tr w:rsidR="00B01051" w:rsidTr="00CD7DC7">
        <w:tc>
          <w:tcPr>
            <w:tcW w:w="429" w:type="pct"/>
            <w:vMerge w:val="restart"/>
            <w:vAlign w:val="center"/>
          </w:tcPr>
          <w:p w:rsidR="00B01051" w:rsidRDefault="00B01051" w:rsidP="00B01051">
            <w:pPr>
              <w:rPr>
                <w:rFonts w:ascii="Arial Narrow" w:hAnsi="Arial Narrow"/>
                <w:sz w:val="20"/>
              </w:rPr>
            </w:pPr>
            <w:r>
              <w:rPr>
                <w:rFonts w:ascii="Arial Narrow" w:hAnsi="Arial Narrow"/>
                <w:sz w:val="20"/>
              </w:rPr>
              <w:t>KN-006</w:t>
            </w:r>
          </w:p>
        </w:tc>
        <w:tc>
          <w:tcPr>
            <w:tcW w:w="246" w:type="pct"/>
            <w:vMerge w:val="restart"/>
            <w:vAlign w:val="center"/>
          </w:tcPr>
          <w:p w:rsidR="00B01051" w:rsidRDefault="00B01051" w:rsidP="00B01051">
            <w:pPr>
              <w:jc w:val="center"/>
              <w:rPr>
                <w:rFonts w:ascii="Arial Narrow" w:hAnsi="Arial Narrow"/>
                <w:sz w:val="20"/>
              </w:rPr>
            </w:pPr>
            <w:r>
              <w:rPr>
                <w:rFonts w:ascii="Arial Narrow" w:hAnsi="Arial Narrow"/>
                <w:sz w:val="20"/>
              </w:rPr>
              <w:t>834</w:t>
            </w:r>
          </w:p>
        </w:tc>
        <w:tc>
          <w:tcPr>
            <w:tcW w:w="1409" w:type="pct"/>
            <w:vAlign w:val="center"/>
          </w:tcPr>
          <w:p w:rsidR="00B01051" w:rsidRDefault="00B01051" w:rsidP="00B01051">
            <w:pPr>
              <w:jc w:val="center"/>
              <w:rPr>
                <w:rFonts w:ascii="Arial Narrow" w:hAnsi="Arial Narrow"/>
                <w:sz w:val="20"/>
              </w:rPr>
            </w:pPr>
            <w:r>
              <w:rPr>
                <w:rFonts w:ascii="Arial Narrow" w:hAnsi="Arial Narrow"/>
                <w:sz w:val="20"/>
              </w:rPr>
              <w:t>Pembro 10</w:t>
            </w:r>
            <w:r w:rsidR="00CD7DC7">
              <w:rPr>
                <w:rFonts w:ascii="Arial Narrow" w:hAnsi="Arial Narrow"/>
                <w:sz w:val="20"/>
              </w:rPr>
              <w:t> </w:t>
            </w:r>
            <w:r>
              <w:rPr>
                <w:rFonts w:ascii="Arial Narrow" w:hAnsi="Arial Narrow"/>
                <w:sz w:val="20"/>
              </w:rPr>
              <w:t>mg/kg Q2W n=279</w:t>
            </w:r>
          </w:p>
        </w:tc>
        <w:tc>
          <w:tcPr>
            <w:tcW w:w="595" w:type="pct"/>
            <w:vMerge w:val="restart"/>
            <w:vAlign w:val="center"/>
          </w:tcPr>
          <w:p w:rsidR="00B01051" w:rsidRDefault="00CD7DC7" w:rsidP="00B01051">
            <w:pPr>
              <w:jc w:val="center"/>
              <w:rPr>
                <w:rFonts w:ascii="Arial Narrow" w:hAnsi="Arial Narrow"/>
                <w:sz w:val="20"/>
              </w:rPr>
            </w:pPr>
            <w:r>
              <w:rPr>
                <w:rFonts w:ascii="Arial Narrow" w:hAnsi="Arial Narrow"/>
                <w:sz w:val="20"/>
              </w:rPr>
              <w:t>Phase III</w:t>
            </w:r>
          </w:p>
          <w:p w:rsidR="00B01051" w:rsidRDefault="00B01051" w:rsidP="00B01051">
            <w:pPr>
              <w:jc w:val="center"/>
              <w:rPr>
                <w:rFonts w:ascii="Arial Narrow" w:hAnsi="Arial Narrow"/>
                <w:sz w:val="20"/>
              </w:rPr>
            </w:pPr>
            <w:r>
              <w:rPr>
                <w:rFonts w:ascii="Arial Narrow" w:hAnsi="Arial Narrow"/>
                <w:sz w:val="20"/>
              </w:rPr>
              <w:t>R, OL</w:t>
            </w:r>
          </w:p>
        </w:tc>
        <w:tc>
          <w:tcPr>
            <w:tcW w:w="829" w:type="pct"/>
            <w:vMerge w:val="restart"/>
            <w:vAlign w:val="center"/>
          </w:tcPr>
          <w:p w:rsidR="00B01051" w:rsidRDefault="00B01051" w:rsidP="00B01051">
            <w:pPr>
              <w:jc w:val="center"/>
              <w:rPr>
                <w:rFonts w:ascii="Arial Narrow" w:hAnsi="Arial Narrow"/>
                <w:sz w:val="20"/>
              </w:rPr>
            </w:pPr>
            <w:r>
              <w:rPr>
                <w:rFonts w:ascii="Arial Narrow" w:hAnsi="Arial Narrow"/>
                <w:sz w:val="20"/>
              </w:rPr>
              <w:t>PFS and OS</w:t>
            </w:r>
          </w:p>
        </w:tc>
        <w:tc>
          <w:tcPr>
            <w:tcW w:w="1492" w:type="pct"/>
            <w:vMerge w:val="restart"/>
            <w:vAlign w:val="center"/>
          </w:tcPr>
          <w:p w:rsidR="00B01051" w:rsidRDefault="00B01051" w:rsidP="00CD7DC7">
            <w:pPr>
              <w:jc w:val="center"/>
              <w:rPr>
                <w:rFonts w:ascii="Arial Narrow" w:hAnsi="Arial Narrow"/>
                <w:sz w:val="20"/>
              </w:rPr>
            </w:pPr>
            <w:r>
              <w:rPr>
                <w:rFonts w:ascii="Arial Narrow" w:hAnsi="Arial Narrow"/>
                <w:sz w:val="20"/>
              </w:rPr>
              <w:t>PSCR propose</w:t>
            </w:r>
            <w:r w:rsidR="00CD7DC7">
              <w:rPr>
                <w:rFonts w:ascii="Arial Narrow" w:hAnsi="Arial Narrow"/>
                <w:sz w:val="20"/>
              </w:rPr>
              <w:t>d</w:t>
            </w:r>
            <w:r>
              <w:rPr>
                <w:rFonts w:ascii="Arial Narrow" w:hAnsi="Arial Narrow"/>
                <w:sz w:val="20"/>
              </w:rPr>
              <w:t xml:space="preserve"> use in a future model; no details of use provided</w:t>
            </w:r>
          </w:p>
        </w:tc>
      </w:tr>
      <w:tr w:rsidR="00B01051" w:rsidTr="00CD7DC7">
        <w:tc>
          <w:tcPr>
            <w:tcW w:w="429" w:type="pct"/>
            <w:vMerge/>
            <w:vAlign w:val="center"/>
          </w:tcPr>
          <w:p w:rsidR="00B01051" w:rsidRDefault="00B01051" w:rsidP="00B01051">
            <w:pPr>
              <w:rPr>
                <w:rFonts w:ascii="Arial Narrow" w:hAnsi="Arial Narrow"/>
                <w:sz w:val="20"/>
              </w:rPr>
            </w:pPr>
          </w:p>
        </w:tc>
        <w:tc>
          <w:tcPr>
            <w:tcW w:w="246" w:type="pct"/>
            <w:vMerge/>
            <w:vAlign w:val="center"/>
          </w:tcPr>
          <w:p w:rsidR="00B01051" w:rsidRDefault="00B01051" w:rsidP="00B01051">
            <w:pPr>
              <w:jc w:val="center"/>
              <w:rPr>
                <w:rFonts w:ascii="Arial Narrow" w:hAnsi="Arial Narrow"/>
                <w:sz w:val="20"/>
              </w:rPr>
            </w:pPr>
          </w:p>
        </w:tc>
        <w:tc>
          <w:tcPr>
            <w:tcW w:w="1409" w:type="pct"/>
            <w:vAlign w:val="center"/>
          </w:tcPr>
          <w:p w:rsidR="00B01051" w:rsidRDefault="00B01051" w:rsidP="00B01051">
            <w:pPr>
              <w:jc w:val="center"/>
              <w:rPr>
                <w:rFonts w:ascii="Arial Narrow" w:hAnsi="Arial Narrow"/>
                <w:sz w:val="20"/>
              </w:rPr>
            </w:pPr>
            <w:r>
              <w:rPr>
                <w:rFonts w:ascii="Arial Narrow" w:hAnsi="Arial Narrow"/>
                <w:sz w:val="20"/>
              </w:rPr>
              <w:t>Pembro 10</w:t>
            </w:r>
            <w:r w:rsidR="00CD7DC7">
              <w:rPr>
                <w:rFonts w:ascii="Arial Narrow" w:hAnsi="Arial Narrow"/>
                <w:sz w:val="20"/>
              </w:rPr>
              <w:t> </w:t>
            </w:r>
            <w:r>
              <w:rPr>
                <w:rFonts w:ascii="Arial Narrow" w:hAnsi="Arial Narrow"/>
                <w:sz w:val="20"/>
              </w:rPr>
              <w:t>mg/kg Q3W n=277</w:t>
            </w:r>
          </w:p>
        </w:tc>
        <w:tc>
          <w:tcPr>
            <w:tcW w:w="595" w:type="pct"/>
            <w:vMerge/>
            <w:vAlign w:val="center"/>
          </w:tcPr>
          <w:p w:rsidR="00B01051" w:rsidRDefault="00B01051" w:rsidP="00B01051">
            <w:pPr>
              <w:jc w:val="center"/>
              <w:rPr>
                <w:rFonts w:ascii="Arial Narrow" w:hAnsi="Arial Narrow"/>
                <w:sz w:val="20"/>
              </w:rPr>
            </w:pPr>
          </w:p>
        </w:tc>
        <w:tc>
          <w:tcPr>
            <w:tcW w:w="829" w:type="pct"/>
            <w:vMerge/>
            <w:vAlign w:val="center"/>
          </w:tcPr>
          <w:p w:rsidR="00B01051" w:rsidRDefault="00B01051" w:rsidP="00B01051">
            <w:pPr>
              <w:jc w:val="center"/>
              <w:rPr>
                <w:rFonts w:ascii="Arial Narrow" w:hAnsi="Arial Narrow"/>
                <w:sz w:val="20"/>
              </w:rPr>
            </w:pPr>
          </w:p>
        </w:tc>
        <w:tc>
          <w:tcPr>
            <w:tcW w:w="1492" w:type="pct"/>
            <w:vMerge/>
          </w:tcPr>
          <w:p w:rsidR="00B01051" w:rsidRDefault="00B01051" w:rsidP="00B01051">
            <w:pPr>
              <w:jc w:val="center"/>
              <w:rPr>
                <w:rFonts w:ascii="Arial Narrow" w:hAnsi="Arial Narrow"/>
                <w:sz w:val="20"/>
              </w:rPr>
            </w:pPr>
          </w:p>
        </w:tc>
      </w:tr>
      <w:tr w:rsidR="00B01051" w:rsidTr="00CD7DC7">
        <w:tc>
          <w:tcPr>
            <w:tcW w:w="429" w:type="pct"/>
            <w:vMerge/>
            <w:vAlign w:val="center"/>
          </w:tcPr>
          <w:p w:rsidR="00B01051" w:rsidRDefault="00B01051" w:rsidP="00B01051">
            <w:pPr>
              <w:rPr>
                <w:rFonts w:ascii="Arial Narrow" w:hAnsi="Arial Narrow"/>
                <w:sz w:val="20"/>
              </w:rPr>
            </w:pPr>
          </w:p>
        </w:tc>
        <w:tc>
          <w:tcPr>
            <w:tcW w:w="246" w:type="pct"/>
            <w:vMerge/>
            <w:vAlign w:val="center"/>
          </w:tcPr>
          <w:p w:rsidR="00B01051" w:rsidRDefault="00B01051" w:rsidP="00B01051">
            <w:pPr>
              <w:jc w:val="center"/>
              <w:rPr>
                <w:rFonts w:ascii="Arial Narrow" w:hAnsi="Arial Narrow"/>
                <w:sz w:val="20"/>
              </w:rPr>
            </w:pPr>
          </w:p>
        </w:tc>
        <w:tc>
          <w:tcPr>
            <w:tcW w:w="1409" w:type="pct"/>
            <w:vAlign w:val="center"/>
          </w:tcPr>
          <w:p w:rsidR="00B01051" w:rsidRDefault="00B01051" w:rsidP="00B01051">
            <w:pPr>
              <w:jc w:val="center"/>
              <w:rPr>
                <w:rFonts w:ascii="Arial Narrow" w:hAnsi="Arial Narrow"/>
                <w:sz w:val="20"/>
              </w:rPr>
            </w:pPr>
            <w:r>
              <w:rPr>
                <w:rFonts w:ascii="Arial Narrow" w:hAnsi="Arial Narrow"/>
                <w:sz w:val="20"/>
              </w:rPr>
              <w:t>Ipi 3</w:t>
            </w:r>
            <w:r w:rsidR="00CD7DC7">
              <w:rPr>
                <w:rFonts w:ascii="Arial Narrow" w:hAnsi="Arial Narrow"/>
                <w:sz w:val="20"/>
              </w:rPr>
              <w:t> </w:t>
            </w:r>
            <w:r>
              <w:rPr>
                <w:rFonts w:ascii="Arial Narrow" w:hAnsi="Arial Narrow"/>
                <w:sz w:val="20"/>
              </w:rPr>
              <w:t>mg/kg Q3W n=278</w:t>
            </w:r>
          </w:p>
        </w:tc>
        <w:tc>
          <w:tcPr>
            <w:tcW w:w="595" w:type="pct"/>
            <w:vMerge/>
            <w:vAlign w:val="center"/>
          </w:tcPr>
          <w:p w:rsidR="00B01051" w:rsidRDefault="00B01051" w:rsidP="00B01051">
            <w:pPr>
              <w:jc w:val="center"/>
              <w:rPr>
                <w:rFonts w:ascii="Arial Narrow" w:hAnsi="Arial Narrow"/>
                <w:sz w:val="20"/>
              </w:rPr>
            </w:pPr>
          </w:p>
        </w:tc>
        <w:tc>
          <w:tcPr>
            <w:tcW w:w="829" w:type="pct"/>
            <w:vMerge/>
            <w:vAlign w:val="center"/>
          </w:tcPr>
          <w:p w:rsidR="00B01051" w:rsidRDefault="00B01051" w:rsidP="00B01051">
            <w:pPr>
              <w:jc w:val="center"/>
              <w:rPr>
                <w:rFonts w:ascii="Arial Narrow" w:hAnsi="Arial Narrow"/>
                <w:sz w:val="20"/>
              </w:rPr>
            </w:pPr>
          </w:p>
        </w:tc>
        <w:tc>
          <w:tcPr>
            <w:tcW w:w="1492" w:type="pct"/>
            <w:vMerge/>
          </w:tcPr>
          <w:p w:rsidR="00B01051" w:rsidRDefault="00B01051" w:rsidP="00B01051">
            <w:pPr>
              <w:jc w:val="center"/>
              <w:rPr>
                <w:rFonts w:ascii="Arial Narrow" w:hAnsi="Arial Narrow"/>
                <w:sz w:val="20"/>
              </w:rPr>
            </w:pPr>
          </w:p>
        </w:tc>
      </w:tr>
    </w:tbl>
    <w:p w:rsidR="00B01051" w:rsidRDefault="00B01051" w:rsidP="00B01051">
      <w:pPr>
        <w:ind w:left="709"/>
        <w:rPr>
          <w:rFonts w:ascii="Arial Narrow" w:hAnsi="Arial Narrow"/>
          <w:sz w:val="18"/>
          <w:szCs w:val="18"/>
        </w:rPr>
      </w:pPr>
      <w:r>
        <w:rPr>
          <w:rFonts w:ascii="Arial Narrow" w:hAnsi="Arial Narrow"/>
          <w:sz w:val="18"/>
          <w:szCs w:val="18"/>
        </w:rPr>
        <w:t xml:space="preserve">Ipi=ipilimumab; OL=open label; OS=overall survival; Pembro=pembrolizumab; PFS=progression-free survival; PSCR=Pre-Sub-Committee Response; Q2W=every 2 weeks; Q3W=every 3 weeks; R=randomised </w:t>
      </w:r>
    </w:p>
    <w:p w:rsidR="00B01051" w:rsidRDefault="00B01051" w:rsidP="00B01051">
      <w:pPr>
        <w:pStyle w:val="TableFooter"/>
        <w:ind w:left="709"/>
      </w:pPr>
      <w:r>
        <w:t>Source: p35-36 of the interim analysis document</w:t>
      </w:r>
    </w:p>
    <w:p w:rsidR="00B01051" w:rsidRPr="000D65D0" w:rsidRDefault="00B01051" w:rsidP="00B01051">
      <w:pPr>
        <w:rPr>
          <w:szCs w:val="22"/>
        </w:rPr>
      </w:pPr>
    </w:p>
    <w:p w:rsidR="00B01051" w:rsidRPr="00CD5085" w:rsidRDefault="00CD7DC7" w:rsidP="00B01051">
      <w:pPr>
        <w:pStyle w:val="ListParagraph"/>
        <w:widowControl/>
        <w:numPr>
          <w:ilvl w:val="1"/>
          <w:numId w:val="1"/>
        </w:numPr>
        <w:rPr>
          <w:szCs w:val="22"/>
        </w:rPr>
      </w:pPr>
      <w:r>
        <w:rPr>
          <w:szCs w:val="22"/>
        </w:rPr>
        <w:t>N</w:t>
      </w:r>
      <w:r w:rsidR="00B01051">
        <w:rPr>
          <w:szCs w:val="22"/>
        </w:rPr>
        <w:t xml:space="preserve">o crossover of the randomised therapies </w:t>
      </w:r>
      <w:r>
        <w:rPr>
          <w:szCs w:val="22"/>
        </w:rPr>
        <w:t xml:space="preserve">was </w:t>
      </w:r>
      <w:r w:rsidR="00B01051">
        <w:rPr>
          <w:szCs w:val="22"/>
        </w:rPr>
        <w:t>permitted in the trial</w:t>
      </w:r>
      <w:r w:rsidR="00CD5085">
        <w:rPr>
          <w:szCs w:val="22"/>
        </w:rPr>
        <w:t xml:space="preserve">, however, </w:t>
      </w:r>
      <w:r w:rsidR="00CD5085" w:rsidRPr="00CD5085">
        <w:rPr>
          <w:szCs w:val="22"/>
        </w:rPr>
        <w:t>t</w:t>
      </w:r>
      <w:r w:rsidR="00B01051" w:rsidRPr="00CD5085">
        <w:rPr>
          <w:szCs w:val="22"/>
        </w:rPr>
        <w:t xml:space="preserve">he description of the management of crossover in the report did not clearly align with the corresponding description in Attachment 1 of the PSCR, which stated that a rank preserving structural failure time (RPSFT) model would be required “to control for receipt of non-study treatment (e.g. other PD-1 </w:t>
      </w:r>
      <w:r w:rsidR="007A1C07">
        <w:rPr>
          <w:szCs w:val="22"/>
        </w:rPr>
        <w:t>inhibitors</w:t>
      </w:r>
      <w:r w:rsidR="00B01051" w:rsidRPr="00CD5085">
        <w:rPr>
          <w:szCs w:val="22"/>
        </w:rPr>
        <w:t xml:space="preserve">) post-progression with ipilimumab (as pre-specified in the protocol)”.  </w:t>
      </w:r>
      <w:r>
        <w:rPr>
          <w:szCs w:val="22"/>
        </w:rPr>
        <w:t xml:space="preserve">It appeared that efforts were made to minimise the use of </w:t>
      </w:r>
      <w:r w:rsidR="008B662A">
        <w:rPr>
          <w:szCs w:val="22"/>
        </w:rPr>
        <w:t>ipilimumab or pembrolizumab when following trial participants after disease progression, but that the use of other post-progression medicines was not similarly constrained.</w:t>
      </w:r>
    </w:p>
    <w:p w:rsidR="00B01051" w:rsidRPr="00B119B6" w:rsidRDefault="00B01051" w:rsidP="00B01051">
      <w:pPr>
        <w:rPr>
          <w:szCs w:val="22"/>
        </w:rPr>
      </w:pPr>
    </w:p>
    <w:p w:rsidR="00B01051" w:rsidRPr="0071550E" w:rsidRDefault="00B01051" w:rsidP="00B01051">
      <w:pPr>
        <w:pStyle w:val="ListParagraph"/>
        <w:widowControl/>
        <w:numPr>
          <w:ilvl w:val="1"/>
          <w:numId w:val="1"/>
        </w:numPr>
        <w:rPr>
          <w:szCs w:val="22"/>
        </w:rPr>
      </w:pPr>
      <w:r>
        <w:rPr>
          <w:szCs w:val="22"/>
        </w:rPr>
        <w:t xml:space="preserve">The trial report stated that the interim analysis </w:t>
      </w:r>
      <w:r w:rsidR="008B662A">
        <w:rPr>
          <w:szCs w:val="22"/>
        </w:rPr>
        <w:t>wa</w:t>
      </w:r>
      <w:r>
        <w:rPr>
          <w:szCs w:val="22"/>
        </w:rPr>
        <w:t xml:space="preserve">s based on the February 2015 database lock and that results </w:t>
      </w:r>
      <w:r w:rsidR="008B662A">
        <w:rPr>
          <w:szCs w:val="22"/>
        </w:rPr>
        <w:t>we</w:t>
      </w:r>
      <w:r>
        <w:rPr>
          <w:szCs w:val="22"/>
        </w:rPr>
        <w:t xml:space="preserve">re virtually identical between the February 2015 data cut and the September 2014 data cut.  </w:t>
      </w:r>
      <w:r w:rsidRPr="00CD5085">
        <w:rPr>
          <w:szCs w:val="22"/>
        </w:rPr>
        <w:t>All results provided in the report were labelled as the September 2014 data cut.</w:t>
      </w:r>
    </w:p>
    <w:p w:rsidR="00B01051" w:rsidRPr="0071550E" w:rsidRDefault="00B01051" w:rsidP="00B01051">
      <w:pPr>
        <w:rPr>
          <w:szCs w:val="22"/>
        </w:rPr>
      </w:pPr>
    </w:p>
    <w:p w:rsidR="00B01051" w:rsidRPr="0071550E" w:rsidRDefault="00B01051" w:rsidP="00B01051">
      <w:pPr>
        <w:pStyle w:val="ListParagraph"/>
        <w:widowControl/>
        <w:numPr>
          <w:ilvl w:val="1"/>
          <w:numId w:val="1"/>
        </w:numPr>
        <w:rPr>
          <w:szCs w:val="22"/>
        </w:rPr>
      </w:pPr>
      <w:r w:rsidRPr="0071550E">
        <w:rPr>
          <w:szCs w:val="22"/>
        </w:rPr>
        <w:t>The table below provides baseline demographic data from KN-006.</w:t>
      </w:r>
    </w:p>
    <w:p w:rsidR="00B01051" w:rsidRPr="0071550E" w:rsidRDefault="00B01051" w:rsidP="00B01051">
      <w:pPr>
        <w:rPr>
          <w:szCs w:val="22"/>
        </w:rPr>
      </w:pPr>
    </w:p>
    <w:p w:rsidR="00CA498A" w:rsidRDefault="00CA498A">
      <w:pPr>
        <w:widowControl/>
        <w:jc w:val="left"/>
        <w:rPr>
          <w:rFonts w:ascii="Arial Narrow" w:hAnsi="Arial Narrow"/>
          <w:b/>
          <w:sz w:val="20"/>
          <w:lang w:val="en-US" w:eastAsia="en-AU"/>
        </w:rPr>
      </w:pPr>
      <w:r>
        <w:rPr>
          <w:rFonts w:ascii="Arial Narrow" w:hAnsi="Arial Narrow"/>
          <w:b/>
          <w:sz w:val="20"/>
          <w:lang w:val="en-US" w:eastAsia="en-AU"/>
        </w:rPr>
        <w:br w:type="page"/>
      </w:r>
    </w:p>
    <w:p w:rsidR="00B01051" w:rsidRPr="008A40DC" w:rsidRDefault="00B01051" w:rsidP="005C65C5">
      <w:pPr>
        <w:ind w:left="720"/>
        <w:rPr>
          <w:rFonts w:ascii="Arial Narrow" w:hAnsi="Arial Narrow"/>
          <w:b/>
          <w:sz w:val="20"/>
          <w:szCs w:val="16"/>
        </w:rPr>
      </w:pPr>
      <w:r w:rsidRPr="00234B4E">
        <w:rPr>
          <w:rFonts w:ascii="Arial Narrow" w:hAnsi="Arial Narrow"/>
          <w:b/>
          <w:sz w:val="20"/>
          <w:lang w:val="en-US" w:eastAsia="en-AU"/>
        </w:rPr>
        <w:lastRenderedPageBreak/>
        <w:t>Summary of baseline demographic characteristics in KN-00</w:t>
      </w:r>
      <w:r>
        <w:rPr>
          <w:rFonts w:ascii="Arial Narrow" w:hAnsi="Arial Narrow"/>
          <w:b/>
          <w:sz w:val="20"/>
          <w:lang w:val="en-US" w:eastAsia="en-AU"/>
        </w:rPr>
        <w:t>6</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2128"/>
        <w:gridCol w:w="2124"/>
        <w:gridCol w:w="1984"/>
      </w:tblGrid>
      <w:tr w:rsidR="00B01051" w:rsidRPr="008A40DC" w:rsidTr="00B01051">
        <w:trPr>
          <w:tblHeader/>
        </w:trPr>
        <w:tc>
          <w:tcPr>
            <w:tcW w:w="1272" w:type="pct"/>
            <w:shd w:val="clear" w:color="auto" w:fill="auto"/>
            <w:vAlign w:val="center"/>
          </w:tcPr>
          <w:p w:rsidR="00B01051" w:rsidRPr="008A40DC" w:rsidRDefault="00B01051" w:rsidP="00B01051">
            <w:pPr>
              <w:rPr>
                <w:rFonts w:ascii="Arial Narrow" w:hAnsi="Arial Narrow"/>
                <w:b/>
                <w:sz w:val="20"/>
                <w:lang w:val="en-US"/>
              </w:rPr>
            </w:pPr>
          </w:p>
        </w:tc>
        <w:tc>
          <w:tcPr>
            <w:tcW w:w="1272" w:type="pct"/>
            <w:shd w:val="clear" w:color="auto" w:fill="auto"/>
            <w:vAlign w:val="center"/>
          </w:tcPr>
          <w:p w:rsidR="00B01051" w:rsidRDefault="00B01051" w:rsidP="00B01051">
            <w:pPr>
              <w:jc w:val="center"/>
              <w:rPr>
                <w:rFonts w:ascii="Arial Narrow" w:hAnsi="Arial Narrow"/>
                <w:b/>
                <w:sz w:val="20"/>
                <w:lang w:val="en-US"/>
              </w:rPr>
            </w:pPr>
            <w:r>
              <w:rPr>
                <w:rFonts w:ascii="Arial Narrow" w:hAnsi="Arial Narrow"/>
                <w:b/>
                <w:sz w:val="20"/>
                <w:lang w:val="en-US"/>
              </w:rPr>
              <w:t>Pembro 10 mg/kg Q2W</w:t>
            </w:r>
          </w:p>
          <w:p w:rsidR="00B01051" w:rsidRPr="008A40DC" w:rsidRDefault="00B01051" w:rsidP="00B01051">
            <w:pPr>
              <w:jc w:val="center"/>
              <w:rPr>
                <w:rFonts w:ascii="Arial Narrow" w:hAnsi="Arial Narrow"/>
                <w:b/>
                <w:sz w:val="20"/>
                <w:lang w:val="en-US"/>
              </w:rPr>
            </w:pPr>
            <w:r>
              <w:rPr>
                <w:rFonts w:ascii="Arial Narrow" w:hAnsi="Arial Narrow"/>
                <w:b/>
                <w:sz w:val="20"/>
                <w:lang w:val="en-US"/>
              </w:rPr>
              <w:t>N=279</w:t>
            </w:r>
          </w:p>
        </w:tc>
        <w:tc>
          <w:tcPr>
            <w:tcW w:w="1270" w:type="pct"/>
            <w:shd w:val="clear" w:color="auto" w:fill="auto"/>
            <w:vAlign w:val="center"/>
          </w:tcPr>
          <w:p w:rsidR="00B01051" w:rsidRDefault="00B01051" w:rsidP="00B01051">
            <w:pPr>
              <w:jc w:val="center"/>
              <w:rPr>
                <w:rFonts w:ascii="Arial Narrow" w:hAnsi="Arial Narrow"/>
                <w:b/>
                <w:sz w:val="20"/>
                <w:lang w:val="en-US"/>
              </w:rPr>
            </w:pPr>
            <w:r>
              <w:rPr>
                <w:rFonts w:ascii="Arial Narrow" w:hAnsi="Arial Narrow"/>
                <w:b/>
                <w:sz w:val="20"/>
                <w:lang w:val="en-US"/>
              </w:rPr>
              <w:t>Pembro 10 mg/kg Q3W</w:t>
            </w:r>
          </w:p>
          <w:p w:rsidR="00B01051" w:rsidRPr="008A40DC" w:rsidRDefault="00B01051" w:rsidP="00B01051">
            <w:pPr>
              <w:jc w:val="center"/>
              <w:rPr>
                <w:rFonts w:ascii="Arial Narrow" w:hAnsi="Arial Narrow"/>
                <w:b/>
                <w:sz w:val="20"/>
                <w:lang w:val="en-US"/>
              </w:rPr>
            </w:pPr>
            <w:r>
              <w:rPr>
                <w:rFonts w:ascii="Arial Narrow" w:hAnsi="Arial Narrow"/>
                <w:b/>
                <w:sz w:val="20"/>
                <w:lang w:val="en-US"/>
              </w:rPr>
              <w:t>N=277</w:t>
            </w:r>
          </w:p>
        </w:tc>
        <w:tc>
          <w:tcPr>
            <w:tcW w:w="1186" w:type="pct"/>
            <w:shd w:val="clear" w:color="auto" w:fill="auto"/>
            <w:vAlign w:val="center"/>
          </w:tcPr>
          <w:p w:rsidR="00B01051" w:rsidRDefault="00B01051" w:rsidP="00B01051">
            <w:pPr>
              <w:jc w:val="center"/>
              <w:rPr>
                <w:rFonts w:ascii="Arial Narrow" w:hAnsi="Arial Narrow"/>
                <w:b/>
                <w:sz w:val="20"/>
                <w:lang w:val="en-US"/>
              </w:rPr>
            </w:pPr>
            <w:r>
              <w:rPr>
                <w:rFonts w:ascii="Arial Narrow" w:hAnsi="Arial Narrow"/>
                <w:b/>
                <w:sz w:val="20"/>
                <w:lang w:val="en-US"/>
              </w:rPr>
              <w:t>Ipi 3 mg/kg Q3W</w:t>
            </w:r>
          </w:p>
          <w:p w:rsidR="00B01051" w:rsidRPr="008A40DC" w:rsidRDefault="00B01051" w:rsidP="00B01051">
            <w:pPr>
              <w:jc w:val="center"/>
              <w:rPr>
                <w:rFonts w:ascii="Arial Narrow" w:hAnsi="Arial Narrow"/>
                <w:b/>
                <w:sz w:val="20"/>
                <w:lang w:val="en-US"/>
              </w:rPr>
            </w:pPr>
            <w:r>
              <w:rPr>
                <w:rFonts w:ascii="Arial Narrow" w:hAnsi="Arial Narrow"/>
                <w:b/>
                <w:sz w:val="20"/>
                <w:lang w:val="en-US"/>
              </w:rPr>
              <w:t>N=278</w:t>
            </w:r>
          </w:p>
        </w:tc>
      </w:tr>
      <w:tr w:rsidR="00B01051" w:rsidRPr="008A40DC" w:rsidTr="00B01051">
        <w:tc>
          <w:tcPr>
            <w:tcW w:w="1272" w:type="pct"/>
            <w:shd w:val="clear" w:color="auto" w:fill="auto"/>
          </w:tcPr>
          <w:p w:rsidR="00B01051" w:rsidRPr="008A40DC" w:rsidRDefault="00B01051" w:rsidP="00B01051">
            <w:pPr>
              <w:rPr>
                <w:rFonts w:ascii="Arial Narrow" w:hAnsi="Arial Narrow"/>
                <w:sz w:val="20"/>
                <w:lang w:val="en-US"/>
              </w:rPr>
            </w:pPr>
            <w:r w:rsidRPr="00AB538A">
              <w:rPr>
                <w:rFonts w:ascii="Arial Narrow" w:hAnsi="Arial Narrow" w:cs="Times"/>
                <w:sz w:val="19"/>
                <w:szCs w:val="19"/>
                <w:lang w:val="en-US" w:eastAsia="en-AU"/>
              </w:rPr>
              <w:t>Age (mean years)</w:t>
            </w:r>
          </w:p>
        </w:tc>
        <w:tc>
          <w:tcPr>
            <w:tcW w:w="1272"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59.9</w:t>
            </w:r>
          </w:p>
        </w:tc>
        <w:tc>
          <w:tcPr>
            <w:tcW w:w="1270"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61.2</w:t>
            </w:r>
          </w:p>
        </w:tc>
        <w:tc>
          <w:tcPr>
            <w:tcW w:w="1186"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59.9</w:t>
            </w:r>
          </w:p>
        </w:tc>
      </w:tr>
      <w:tr w:rsidR="00B01051" w:rsidRPr="008A40DC" w:rsidTr="00B01051">
        <w:tc>
          <w:tcPr>
            <w:tcW w:w="1272" w:type="pct"/>
            <w:shd w:val="clear" w:color="auto" w:fill="auto"/>
          </w:tcPr>
          <w:p w:rsidR="00B01051" w:rsidRPr="008A40DC" w:rsidRDefault="00B01051" w:rsidP="00B01051">
            <w:pPr>
              <w:rPr>
                <w:rFonts w:ascii="Arial Narrow" w:hAnsi="Arial Narrow"/>
                <w:sz w:val="20"/>
                <w:lang w:val="en-US"/>
              </w:rPr>
            </w:pPr>
            <w:r w:rsidRPr="00AB538A">
              <w:rPr>
                <w:rFonts w:ascii="Arial Narrow" w:hAnsi="Arial Narrow" w:cs="Times"/>
                <w:sz w:val="19"/>
                <w:szCs w:val="19"/>
                <w:lang w:val="en-US" w:eastAsia="en-AU"/>
              </w:rPr>
              <w:t>Gender (% male)</w:t>
            </w:r>
          </w:p>
        </w:tc>
        <w:tc>
          <w:tcPr>
            <w:tcW w:w="1272"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57.7%</w:t>
            </w:r>
          </w:p>
        </w:tc>
        <w:tc>
          <w:tcPr>
            <w:tcW w:w="1270"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62.8%</w:t>
            </w:r>
          </w:p>
        </w:tc>
        <w:tc>
          <w:tcPr>
            <w:tcW w:w="1186"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58.3%</w:t>
            </w:r>
          </w:p>
        </w:tc>
      </w:tr>
      <w:tr w:rsidR="00B01051" w:rsidRPr="008A40DC" w:rsidTr="00B01051">
        <w:tc>
          <w:tcPr>
            <w:tcW w:w="1272" w:type="pct"/>
            <w:shd w:val="clear" w:color="auto" w:fill="auto"/>
          </w:tcPr>
          <w:p w:rsidR="00B01051" w:rsidRPr="008A40DC" w:rsidRDefault="00B01051" w:rsidP="00B01051">
            <w:pPr>
              <w:rPr>
                <w:rFonts w:ascii="Arial Narrow" w:hAnsi="Arial Narrow"/>
                <w:sz w:val="20"/>
                <w:lang w:val="en-US"/>
              </w:rPr>
            </w:pPr>
            <w:r w:rsidRPr="00AB538A">
              <w:rPr>
                <w:rFonts w:ascii="Arial Narrow" w:hAnsi="Arial Narrow" w:cs="Times"/>
                <w:sz w:val="19"/>
                <w:szCs w:val="19"/>
                <w:lang w:val="en-US" w:eastAsia="en-AU"/>
              </w:rPr>
              <w:t>Race (% Caucasian)</w:t>
            </w:r>
          </w:p>
        </w:tc>
        <w:tc>
          <w:tcPr>
            <w:tcW w:w="1272"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97.8%</w:t>
            </w:r>
          </w:p>
        </w:tc>
        <w:tc>
          <w:tcPr>
            <w:tcW w:w="1270"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97.8%</w:t>
            </w:r>
          </w:p>
        </w:tc>
        <w:tc>
          <w:tcPr>
            <w:tcW w:w="1186" w:type="pct"/>
            <w:shd w:val="clear" w:color="auto" w:fill="auto"/>
            <w:vAlign w:val="center"/>
          </w:tcPr>
          <w:p w:rsidR="00B01051" w:rsidRPr="008A40DC" w:rsidRDefault="00B01051" w:rsidP="00B01051">
            <w:pPr>
              <w:jc w:val="center"/>
              <w:rPr>
                <w:rFonts w:ascii="Arial Narrow" w:hAnsi="Arial Narrow"/>
                <w:sz w:val="20"/>
                <w:lang w:val="en-US"/>
              </w:rPr>
            </w:pPr>
            <w:r>
              <w:rPr>
                <w:rFonts w:ascii="Arial Narrow" w:hAnsi="Arial Narrow"/>
                <w:sz w:val="20"/>
                <w:lang w:val="en-US"/>
              </w:rPr>
              <w:t>97.8%</w:t>
            </w:r>
          </w:p>
        </w:tc>
      </w:tr>
      <w:tr w:rsidR="00B01051" w:rsidRPr="008A40DC" w:rsidTr="00B01051">
        <w:tc>
          <w:tcPr>
            <w:tcW w:w="1272" w:type="pct"/>
            <w:shd w:val="clear" w:color="auto" w:fill="auto"/>
          </w:tcPr>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ECOG n</w:t>
            </w:r>
            <w:r>
              <w:rPr>
                <w:rFonts w:ascii="Arial Narrow" w:hAnsi="Arial Narrow" w:cs="Times"/>
                <w:sz w:val="19"/>
                <w:szCs w:val="19"/>
                <w:lang w:val="en-US" w:eastAsia="en-AU"/>
              </w:rPr>
              <w:t xml:space="preserve"> </w:t>
            </w:r>
            <w:r w:rsidRPr="00AB538A">
              <w:rPr>
                <w:rFonts w:ascii="Arial Narrow" w:hAnsi="Arial Narrow" w:cs="Times"/>
                <w:sz w:val="19"/>
                <w:szCs w:val="19"/>
                <w:lang w:val="en-US" w:eastAsia="en-AU"/>
              </w:rPr>
              <w:t>(%)</w:t>
            </w:r>
          </w:p>
          <w:p w:rsidR="00B01051" w:rsidRPr="00AB538A" w:rsidRDefault="00B01051" w:rsidP="00B01051">
            <w:pPr>
              <w:tabs>
                <w:tab w:val="left" w:pos="142"/>
              </w:tabs>
              <w:rPr>
                <w:rFonts w:ascii="Arial Narrow" w:hAnsi="Arial Narrow" w:cs="Times"/>
                <w:sz w:val="19"/>
                <w:szCs w:val="19"/>
                <w:lang w:val="en-US" w:eastAsia="en-AU"/>
              </w:rPr>
            </w:pPr>
            <w:r>
              <w:rPr>
                <w:rFonts w:ascii="Arial Narrow" w:hAnsi="Arial Narrow" w:cs="Times"/>
                <w:sz w:val="19"/>
                <w:szCs w:val="19"/>
                <w:lang w:val="en-US" w:eastAsia="en-AU"/>
              </w:rPr>
              <w:tab/>
            </w:r>
            <w:r w:rsidRPr="00AB538A">
              <w:rPr>
                <w:rFonts w:ascii="Arial Narrow" w:hAnsi="Arial Narrow" w:cs="Times"/>
                <w:sz w:val="19"/>
                <w:szCs w:val="19"/>
                <w:lang w:val="en-US" w:eastAsia="en-AU"/>
              </w:rPr>
              <w:t>0</w:t>
            </w:r>
          </w:p>
          <w:p w:rsidR="00B01051" w:rsidRPr="008A40DC" w:rsidRDefault="00B01051" w:rsidP="00B01051">
            <w:pPr>
              <w:tabs>
                <w:tab w:val="left" w:pos="114"/>
              </w:tabs>
              <w:rPr>
                <w:rFonts w:ascii="Arial Narrow" w:hAnsi="Arial Narrow"/>
                <w:sz w:val="20"/>
                <w:lang w:val="en-US"/>
              </w:rPr>
            </w:pPr>
            <w:r w:rsidRPr="00AB538A">
              <w:rPr>
                <w:rFonts w:ascii="Arial Narrow" w:hAnsi="Arial Narrow" w:cs="Times"/>
                <w:sz w:val="19"/>
                <w:szCs w:val="19"/>
                <w:lang w:val="en-US" w:eastAsia="en-AU"/>
              </w:rPr>
              <w:tab/>
              <w:t>1</w:t>
            </w:r>
          </w:p>
        </w:tc>
        <w:tc>
          <w:tcPr>
            <w:tcW w:w="1272"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196 (70.3%)</w:t>
            </w:r>
          </w:p>
          <w:p w:rsidR="00B01051" w:rsidRPr="008A40DC" w:rsidRDefault="00B01051" w:rsidP="00B01051">
            <w:pPr>
              <w:jc w:val="center"/>
              <w:rPr>
                <w:rFonts w:ascii="Arial Narrow" w:hAnsi="Arial Narrow"/>
                <w:sz w:val="20"/>
                <w:lang w:val="en-US"/>
              </w:rPr>
            </w:pPr>
            <w:r>
              <w:rPr>
                <w:rFonts w:ascii="Arial Narrow" w:hAnsi="Arial Narrow"/>
                <w:sz w:val="20"/>
                <w:lang w:val="en-US"/>
              </w:rPr>
              <w:t>83 (29.7%)</w:t>
            </w:r>
          </w:p>
        </w:tc>
        <w:tc>
          <w:tcPr>
            <w:tcW w:w="1270"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189 (68.2%)</w:t>
            </w:r>
          </w:p>
          <w:p w:rsidR="00B01051" w:rsidRPr="008A40DC" w:rsidRDefault="00B01051" w:rsidP="00B01051">
            <w:pPr>
              <w:jc w:val="center"/>
              <w:rPr>
                <w:rFonts w:ascii="Arial Narrow" w:hAnsi="Arial Narrow"/>
                <w:sz w:val="20"/>
                <w:lang w:val="en-US"/>
              </w:rPr>
            </w:pPr>
            <w:r>
              <w:rPr>
                <w:rFonts w:ascii="Arial Narrow" w:hAnsi="Arial Narrow"/>
                <w:sz w:val="20"/>
                <w:lang w:val="en-US"/>
              </w:rPr>
              <w:t>88 (31.8%)</w:t>
            </w:r>
          </w:p>
        </w:tc>
        <w:tc>
          <w:tcPr>
            <w:tcW w:w="1186"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188 (67.6%)</w:t>
            </w:r>
          </w:p>
          <w:p w:rsidR="00B01051" w:rsidRPr="008A40DC" w:rsidRDefault="00B01051" w:rsidP="00B01051">
            <w:pPr>
              <w:jc w:val="center"/>
              <w:rPr>
                <w:rFonts w:ascii="Arial Narrow" w:hAnsi="Arial Narrow"/>
                <w:sz w:val="20"/>
                <w:lang w:val="en-US"/>
              </w:rPr>
            </w:pPr>
            <w:r>
              <w:rPr>
                <w:rFonts w:ascii="Arial Narrow" w:hAnsi="Arial Narrow"/>
                <w:sz w:val="20"/>
                <w:lang w:val="en-US"/>
              </w:rPr>
              <w:t>90 (32.4%)</w:t>
            </w:r>
          </w:p>
        </w:tc>
      </w:tr>
      <w:tr w:rsidR="00B01051" w:rsidRPr="008A40DC" w:rsidTr="00B01051">
        <w:tc>
          <w:tcPr>
            <w:tcW w:w="1272" w:type="pct"/>
            <w:shd w:val="clear" w:color="auto" w:fill="auto"/>
          </w:tcPr>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BRAF mutation n</w:t>
            </w:r>
            <w:r>
              <w:rPr>
                <w:rFonts w:ascii="Arial Narrow" w:hAnsi="Arial Narrow" w:cs="Times"/>
                <w:sz w:val="19"/>
                <w:szCs w:val="19"/>
                <w:lang w:val="en-US" w:eastAsia="en-AU"/>
              </w:rPr>
              <w:t xml:space="preserve"> </w:t>
            </w:r>
            <w:r w:rsidRPr="00AB538A">
              <w:rPr>
                <w:rFonts w:ascii="Arial Narrow" w:hAnsi="Arial Narrow" w:cs="Times"/>
                <w:sz w:val="19"/>
                <w:szCs w:val="19"/>
                <w:lang w:val="en-US" w:eastAsia="en-AU"/>
              </w:rPr>
              <w:t>(%)</w:t>
            </w:r>
          </w:p>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ab/>
              <w:t>Mutant</w:t>
            </w:r>
          </w:p>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ab/>
              <w:t>Wild type</w:t>
            </w:r>
          </w:p>
          <w:p w:rsidR="00B01051" w:rsidRPr="008A40DC" w:rsidRDefault="00B01051" w:rsidP="00B01051">
            <w:pPr>
              <w:tabs>
                <w:tab w:val="left" w:pos="114"/>
              </w:tabs>
              <w:rPr>
                <w:rFonts w:ascii="Arial Narrow" w:hAnsi="Arial Narrow"/>
                <w:sz w:val="20"/>
                <w:lang w:val="en-US"/>
              </w:rPr>
            </w:pPr>
            <w:r w:rsidRPr="00AB538A">
              <w:rPr>
                <w:rFonts w:ascii="Arial Narrow" w:hAnsi="Arial Narrow" w:cs="Times"/>
                <w:sz w:val="19"/>
                <w:szCs w:val="19"/>
                <w:lang w:val="en-US" w:eastAsia="en-AU"/>
              </w:rPr>
              <w:tab/>
              <w:t>Unknown</w:t>
            </w:r>
          </w:p>
        </w:tc>
        <w:tc>
          <w:tcPr>
            <w:tcW w:w="1272"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98 (35.1%)</w:t>
            </w:r>
          </w:p>
          <w:p w:rsidR="00B01051" w:rsidRDefault="00B01051" w:rsidP="00B01051">
            <w:pPr>
              <w:jc w:val="center"/>
              <w:rPr>
                <w:rFonts w:ascii="Arial Narrow" w:hAnsi="Arial Narrow"/>
                <w:sz w:val="20"/>
                <w:lang w:val="en-US"/>
              </w:rPr>
            </w:pPr>
            <w:r>
              <w:rPr>
                <w:rFonts w:ascii="Arial Narrow" w:hAnsi="Arial Narrow"/>
                <w:sz w:val="20"/>
                <w:lang w:val="en-US"/>
              </w:rPr>
              <w:t>177 (63.4%)</w:t>
            </w:r>
          </w:p>
          <w:p w:rsidR="00B01051" w:rsidRPr="008A40DC" w:rsidRDefault="00B01051" w:rsidP="00B01051">
            <w:pPr>
              <w:jc w:val="center"/>
              <w:rPr>
                <w:rFonts w:ascii="Arial Narrow" w:hAnsi="Arial Narrow"/>
                <w:sz w:val="20"/>
                <w:lang w:val="en-US"/>
              </w:rPr>
            </w:pPr>
            <w:r>
              <w:rPr>
                <w:rFonts w:ascii="Arial Narrow" w:hAnsi="Arial Narrow"/>
                <w:sz w:val="20"/>
                <w:lang w:val="en-US"/>
              </w:rPr>
              <w:t>4 (1.4%)</w:t>
            </w:r>
          </w:p>
        </w:tc>
        <w:tc>
          <w:tcPr>
            <w:tcW w:w="1270"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97 (35.0%)</w:t>
            </w:r>
          </w:p>
          <w:p w:rsidR="00B01051" w:rsidRDefault="00B01051" w:rsidP="00B01051">
            <w:pPr>
              <w:jc w:val="center"/>
              <w:rPr>
                <w:rFonts w:ascii="Arial Narrow" w:hAnsi="Arial Narrow"/>
                <w:sz w:val="20"/>
                <w:lang w:val="en-US"/>
              </w:rPr>
            </w:pPr>
            <w:r>
              <w:rPr>
                <w:rFonts w:ascii="Arial Narrow" w:hAnsi="Arial Narrow"/>
                <w:sz w:val="20"/>
                <w:lang w:val="en-US"/>
              </w:rPr>
              <w:t>178 (64.3%)</w:t>
            </w:r>
          </w:p>
          <w:p w:rsidR="00B01051" w:rsidRPr="008A40DC" w:rsidRDefault="00B01051" w:rsidP="00B01051">
            <w:pPr>
              <w:jc w:val="center"/>
              <w:rPr>
                <w:rFonts w:ascii="Arial Narrow" w:hAnsi="Arial Narrow"/>
                <w:sz w:val="20"/>
                <w:lang w:val="en-US"/>
              </w:rPr>
            </w:pPr>
            <w:r>
              <w:rPr>
                <w:rFonts w:ascii="Arial Narrow" w:hAnsi="Arial Narrow"/>
                <w:sz w:val="20"/>
                <w:lang w:val="en-US"/>
              </w:rPr>
              <w:t>2 (0.7%)</w:t>
            </w:r>
          </w:p>
        </w:tc>
        <w:tc>
          <w:tcPr>
            <w:tcW w:w="1186"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107 (38.5%)</w:t>
            </w:r>
          </w:p>
          <w:p w:rsidR="00B01051" w:rsidRDefault="00B01051" w:rsidP="00B01051">
            <w:pPr>
              <w:jc w:val="center"/>
              <w:rPr>
                <w:rFonts w:ascii="Arial Narrow" w:hAnsi="Arial Narrow"/>
                <w:sz w:val="20"/>
                <w:lang w:val="en-US"/>
              </w:rPr>
            </w:pPr>
            <w:r>
              <w:rPr>
                <w:rFonts w:ascii="Arial Narrow" w:hAnsi="Arial Narrow"/>
                <w:sz w:val="20"/>
                <w:lang w:val="en-US"/>
              </w:rPr>
              <w:t>170 (61.2%)</w:t>
            </w:r>
          </w:p>
          <w:p w:rsidR="00B01051" w:rsidRPr="008A40DC" w:rsidRDefault="00B01051" w:rsidP="00B01051">
            <w:pPr>
              <w:jc w:val="center"/>
              <w:rPr>
                <w:rFonts w:ascii="Arial Narrow" w:hAnsi="Arial Narrow"/>
                <w:sz w:val="20"/>
                <w:lang w:val="en-US"/>
              </w:rPr>
            </w:pPr>
            <w:r>
              <w:rPr>
                <w:rFonts w:ascii="Arial Narrow" w:hAnsi="Arial Narrow"/>
                <w:sz w:val="20"/>
                <w:lang w:val="en-US"/>
              </w:rPr>
              <w:t>1 (0.4%)</w:t>
            </w:r>
          </w:p>
        </w:tc>
      </w:tr>
      <w:tr w:rsidR="00B01051" w:rsidRPr="008A40DC" w:rsidTr="00B01051">
        <w:tc>
          <w:tcPr>
            <w:tcW w:w="1272" w:type="pct"/>
            <w:shd w:val="clear" w:color="auto" w:fill="auto"/>
          </w:tcPr>
          <w:p w:rsidR="00B01051" w:rsidRDefault="00B01051" w:rsidP="00B01051">
            <w:pPr>
              <w:tabs>
                <w:tab w:val="left" w:pos="142"/>
              </w:tabs>
              <w:rPr>
                <w:rFonts w:ascii="Arial Narrow" w:hAnsi="Arial Narrow" w:cs="Times"/>
                <w:sz w:val="19"/>
                <w:szCs w:val="19"/>
                <w:lang w:val="en-US" w:eastAsia="en-AU"/>
              </w:rPr>
            </w:pPr>
            <w:r w:rsidRPr="007E2876">
              <w:rPr>
                <w:rFonts w:ascii="Arial Narrow" w:hAnsi="Arial Narrow" w:cs="Times"/>
                <w:sz w:val="19"/>
                <w:szCs w:val="19"/>
                <w:lang w:val="en-US" w:eastAsia="en-AU"/>
              </w:rPr>
              <w:t>PD-L1 status</w:t>
            </w:r>
          </w:p>
          <w:p w:rsidR="00B01051" w:rsidRDefault="00B01051" w:rsidP="00B01051">
            <w:pPr>
              <w:tabs>
                <w:tab w:val="left" w:pos="142"/>
              </w:tabs>
              <w:rPr>
                <w:rFonts w:ascii="Arial Narrow" w:hAnsi="Arial Narrow" w:cs="Times"/>
                <w:sz w:val="19"/>
                <w:szCs w:val="19"/>
                <w:lang w:val="en-US" w:eastAsia="en-AU"/>
              </w:rPr>
            </w:pPr>
            <w:r>
              <w:rPr>
                <w:rFonts w:ascii="Arial Narrow" w:hAnsi="Arial Narrow" w:cs="Times"/>
                <w:sz w:val="19"/>
                <w:szCs w:val="19"/>
                <w:lang w:val="en-US" w:eastAsia="en-AU"/>
              </w:rPr>
              <w:tab/>
              <w:t>Low</w:t>
            </w:r>
          </w:p>
          <w:p w:rsidR="00B01051" w:rsidRDefault="00B01051" w:rsidP="00B01051">
            <w:pPr>
              <w:tabs>
                <w:tab w:val="left" w:pos="142"/>
              </w:tabs>
              <w:rPr>
                <w:rFonts w:ascii="Arial Narrow" w:hAnsi="Arial Narrow" w:cs="Times"/>
                <w:sz w:val="19"/>
                <w:szCs w:val="19"/>
                <w:lang w:val="en-US" w:eastAsia="en-AU"/>
              </w:rPr>
            </w:pPr>
            <w:r>
              <w:rPr>
                <w:rFonts w:ascii="Arial Narrow" w:hAnsi="Arial Narrow" w:cs="Times"/>
                <w:sz w:val="19"/>
                <w:szCs w:val="19"/>
                <w:lang w:val="en-US" w:eastAsia="en-AU"/>
              </w:rPr>
              <w:tab/>
              <w:t>High</w:t>
            </w:r>
          </w:p>
          <w:p w:rsidR="00B01051" w:rsidRPr="00AB538A" w:rsidRDefault="00B01051" w:rsidP="00B01051">
            <w:pPr>
              <w:tabs>
                <w:tab w:val="left" w:pos="142"/>
              </w:tabs>
              <w:rPr>
                <w:rFonts w:ascii="Arial Narrow" w:hAnsi="Arial Narrow" w:cs="Times"/>
                <w:sz w:val="19"/>
                <w:szCs w:val="19"/>
                <w:lang w:val="en-US" w:eastAsia="en-AU"/>
              </w:rPr>
            </w:pPr>
            <w:r>
              <w:rPr>
                <w:rFonts w:ascii="Arial Narrow" w:hAnsi="Arial Narrow" w:cs="Times"/>
                <w:sz w:val="19"/>
                <w:szCs w:val="19"/>
                <w:lang w:val="en-US" w:eastAsia="en-AU"/>
              </w:rPr>
              <w:tab/>
              <w:t>Missing</w:t>
            </w:r>
          </w:p>
        </w:tc>
        <w:tc>
          <w:tcPr>
            <w:tcW w:w="1272"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49 (17.6%)</w:t>
            </w:r>
          </w:p>
          <w:p w:rsidR="00B01051" w:rsidRDefault="00B01051" w:rsidP="00B01051">
            <w:pPr>
              <w:jc w:val="center"/>
              <w:rPr>
                <w:rFonts w:ascii="Arial Narrow" w:hAnsi="Arial Narrow"/>
                <w:sz w:val="20"/>
                <w:lang w:val="en-US"/>
              </w:rPr>
            </w:pPr>
            <w:r>
              <w:rPr>
                <w:rFonts w:ascii="Arial Narrow" w:hAnsi="Arial Narrow"/>
                <w:sz w:val="20"/>
                <w:lang w:val="en-US"/>
              </w:rPr>
              <w:t>219 (78.5%)</w:t>
            </w:r>
          </w:p>
          <w:p w:rsidR="00B01051" w:rsidRDefault="00B01051" w:rsidP="00B01051">
            <w:pPr>
              <w:jc w:val="center"/>
              <w:rPr>
                <w:rFonts w:ascii="Arial Narrow" w:hAnsi="Arial Narrow"/>
                <w:sz w:val="20"/>
                <w:lang w:val="en-US"/>
              </w:rPr>
            </w:pPr>
            <w:r>
              <w:rPr>
                <w:rFonts w:ascii="Arial Narrow" w:hAnsi="Arial Narrow"/>
                <w:sz w:val="20"/>
                <w:lang w:val="en-US"/>
              </w:rPr>
              <w:t>11 (3.9%)</w:t>
            </w:r>
          </w:p>
        </w:tc>
        <w:tc>
          <w:tcPr>
            <w:tcW w:w="1270"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53 (19.1%)</w:t>
            </w:r>
          </w:p>
          <w:p w:rsidR="00B01051" w:rsidRDefault="00B01051" w:rsidP="00B01051">
            <w:pPr>
              <w:jc w:val="center"/>
              <w:rPr>
                <w:rFonts w:ascii="Arial Narrow" w:hAnsi="Arial Narrow"/>
                <w:sz w:val="20"/>
                <w:lang w:val="en-US"/>
              </w:rPr>
            </w:pPr>
            <w:r>
              <w:rPr>
                <w:rFonts w:ascii="Arial Narrow" w:hAnsi="Arial Narrow"/>
                <w:sz w:val="20"/>
                <w:lang w:val="en-US"/>
              </w:rPr>
              <w:t>217 (78.3%)</w:t>
            </w:r>
          </w:p>
          <w:p w:rsidR="00B01051" w:rsidRDefault="00B01051" w:rsidP="00B01051">
            <w:pPr>
              <w:jc w:val="center"/>
              <w:rPr>
                <w:rFonts w:ascii="Arial Narrow" w:hAnsi="Arial Narrow"/>
                <w:sz w:val="20"/>
                <w:lang w:val="en-US"/>
              </w:rPr>
            </w:pPr>
            <w:r>
              <w:rPr>
                <w:rFonts w:ascii="Arial Narrow" w:hAnsi="Arial Narrow"/>
                <w:sz w:val="20"/>
                <w:lang w:val="en-US"/>
              </w:rPr>
              <w:t>7 (2.5%)</w:t>
            </w:r>
          </w:p>
        </w:tc>
        <w:tc>
          <w:tcPr>
            <w:tcW w:w="1186"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46 (16.5%)</w:t>
            </w:r>
          </w:p>
          <w:p w:rsidR="00B01051" w:rsidRDefault="00B01051" w:rsidP="00B01051">
            <w:pPr>
              <w:jc w:val="center"/>
              <w:rPr>
                <w:rFonts w:ascii="Arial Narrow" w:hAnsi="Arial Narrow"/>
                <w:sz w:val="20"/>
                <w:lang w:val="en-US"/>
              </w:rPr>
            </w:pPr>
            <w:r>
              <w:rPr>
                <w:rFonts w:ascii="Arial Narrow" w:hAnsi="Arial Narrow"/>
                <w:sz w:val="20"/>
                <w:lang w:val="en-US"/>
              </w:rPr>
              <w:t>223 (80.2%)</w:t>
            </w:r>
          </w:p>
          <w:p w:rsidR="00B01051" w:rsidRDefault="00B01051" w:rsidP="00B01051">
            <w:pPr>
              <w:jc w:val="center"/>
              <w:rPr>
                <w:rFonts w:ascii="Arial Narrow" w:hAnsi="Arial Narrow"/>
                <w:sz w:val="20"/>
                <w:lang w:val="en-US"/>
              </w:rPr>
            </w:pPr>
            <w:r>
              <w:rPr>
                <w:rFonts w:ascii="Arial Narrow" w:hAnsi="Arial Narrow"/>
                <w:sz w:val="20"/>
                <w:lang w:val="en-US"/>
              </w:rPr>
              <w:t>9 (3.2%)</w:t>
            </w:r>
          </w:p>
        </w:tc>
      </w:tr>
      <w:tr w:rsidR="00B01051" w:rsidRPr="008A40DC" w:rsidTr="00B01051">
        <w:tc>
          <w:tcPr>
            <w:tcW w:w="1272" w:type="pct"/>
            <w:shd w:val="clear" w:color="auto" w:fill="auto"/>
          </w:tcPr>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 xml:space="preserve">Prior </w:t>
            </w:r>
            <w:r>
              <w:rPr>
                <w:rFonts w:ascii="Arial Narrow" w:hAnsi="Arial Narrow" w:cs="Times"/>
                <w:sz w:val="19"/>
                <w:szCs w:val="19"/>
                <w:lang w:val="en-US" w:eastAsia="en-AU"/>
              </w:rPr>
              <w:t>systemic therapy</w:t>
            </w:r>
            <w:r w:rsidRPr="00AB538A">
              <w:rPr>
                <w:rFonts w:ascii="Arial Narrow" w:hAnsi="Arial Narrow" w:cs="Times"/>
                <w:sz w:val="19"/>
                <w:szCs w:val="19"/>
                <w:lang w:val="en-US" w:eastAsia="en-AU"/>
              </w:rPr>
              <w:t xml:space="preserve"> n</w:t>
            </w:r>
            <w:r>
              <w:rPr>
                <w:rFonts w:ascii="Arial Narrow" w:hAnsi="Arial Narrow" w:cs="Times"/>
                <w:sz w:val="19"/>
                <w:szCs w:val="19"/>
                <w:lang w:val="en-US" w:eastAsia="en-AU"/>
              </w:rPr>
              <w:t xml:space="preserve"> </w:t>
            </w:r>
            <w:r w:rsidRPr="00AB538A">
              <w:rPr>
                <w:rFonts w:ascii="Arial Narrow" w:hAnsi="Arial Narrow" w:cs="Times"/>
                <w:sz w:val="19"/>
                <w:szCs w:val="19"/>
                <w:lang w:val="en-US" w:eastAsia="en-AU"/>
              </w:rPr>
              <w:t>(%)</w:t>
            </w:r>
          </w:p>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ab/>
            </w:r>
            <w:r>
              <w:rPr>
                <w:rFonts w:ascii="Arial Narrow" w:hAnsi="Arial Narrow" w:cs="Times"/>
                <w:sz w:val="19"/>
                <w:szCs w:val="19"/>
                <w:lang w:val="en-US" w:eastAsia="en-AU"/>
              </w:rPr>
              <w:t>None</w:t>
            </w:r>
          </w:p>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ab/>
            </w:r>
            <w:r>
              <w:rPr>
                <w:rFonts w:ascii="Arial Narrow" w:hAnsi="Arial Narrow" w:cs="Times"/>
                <w:sz w:val="19"/>
                <w:szCs w:val="19"/>
                <w:lang w:val="en-US" w:eastAsia="en-AU"/>
              </w:rPr>
              <w:t>Adjuvant</w:t>
            </w:r>
          </w:p>
          <w:p w:rsidR="00B01051" w:rsidRPr="00AB538A" w:rsidRDefault="00B01051" w:rsidP="00B01051">
            <w:pPr>
              <w:tabs>
                <w:tab w:val="left" w:pos="142"/>
              </w:tabs>
              <w:rPr>
                <w:rFonts w:ascii="Arial Narrow" w:hAnsi="Arial Narrow" w:cs="Times"/>
                <w:sz w:val="19"/>
                <w:szCs w:val="19"/>
                <w:lang w:val="en-US" w:eastAsia="en-AU"/>
              </w:rPr>
            </w:pPr>
            <w:r w:rsidRPr="00AB538A">
              <w:rPr>
                <w:rFonts w:ascii="Arial Narrow" w:hAnsi="Arial Narrow" w:cs="Times"/>
                <w:sz w:val="19"/>
                <w:szCs w:val="19"/>
                <w:lang w:val="en-US" w:eastAsia="en-AU"/>
              </w:rPr>
              <w:tab/>
            </w:r>
            <w:r>
              <w:rPr>
                <w:rFonts w:ascii="Arial Narrow" w:hAnsi="Arial Narrow" w:cs="Times"/>
                <w:sz w:val="19"/>
                <w:szCs w:val="19"/>
                <w:lang w:val="en-US" w:eastAsia="en-AU"/>
              </w:rPr>
              <w:t>First line</w:t>
            </w:r>
          </w:p>
          <w:p w:rsidR="00B01051" w:rsidRPr="008A40DC" w:rsidRDefault="00B01051" w:rsidP="00B01051">
            <w:pPr>
              <w:tabs>
                <w:tab w:val="left" w:pos="114"/>
              </w:tabs>
              <w:rPr>
                <w:rFonts w:ascii="Arial Narrow" w:hAnsi="Arial Narrow"/>
                <w:sz w:val="20"/>
                <w:lang w:val="en-US"/>
              </w:rPr>
            </w:pPr>
            <w:r w:rsidRPr="00AB538A">
              <w:rPr>
                <w:rFonts w:ascii="Arial Narrow" w:hAnsi="Arial Narrow" w:cs="Times"/>
                <w:sz w:val="19"/>
                <w:szCs w:val="19"/>
                <w:lang w:val="en-US" w:eastAsia="en-AU"/>
              </w:rPr>
              <w:tab/>
            </w:r>
            <w:r>
              <w:rPr>
                <w:rFonts w:ascii="Arial Narrow" w:hAnsi="Arial Narrow" w:cs="Times"/>
                <w:sz w:val="19"/>
                <w:szCs w:val="19"/>
                <w:lang w:val="en-US" w:eastAsia="en-AU"/>
              </w:rPr>
              <w:t>Second line</w:t>
            </w:r>
          </w:p>
        </w:tc>
        <w:tc>
          <w:tcPr>
            <w:tcW w:w="1272"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161 (57.7%)</w:t>
            </w:r>
          </w:p>
          <w:p w:rsidR="00B01051" w:rsidRDefault="00B01051" w:rsidP="00B01051">
            <w:pPr>
              <w:jc w:val="center"/>
              <w:rPr>
                <w:rFonts w:ascii="Arial Narrow" w:hAnsi="Arial Narrow"/>
                <w:sz w:val="20"/>
                <w:lang w:val="en-US"/>
              </w:rPr>
            </w:pPr>
            <w:r>
              <w:rPr>
                <w:rFonts w:ascii="Arial Narrow" w:hAnsi="Arial Narrow"/>
                <w:sz w:val="20"/>
                <w:lang w:val="en-US"/>
              </w:rPr>
              <w:t>22 (7.9%)</w:t>
            </w:r>
          </w:p>
          <w:p w:rsidR="00B01051" w:rsidRDefault="00B01051" w:rsidP="00B01051">
            <w:pPr>
              <w:jc w:val="center"/>
              <w:rPr>
                <w:rFonts w:ascii="Arial Narrow" w:hAnsi="Arial Narrow"/>
                <w:sz w:val="20"/>
                <w:lang w:val="en-US"/>
              </w:rPr>
            </w:pPr>
            <w:r>
              <w:rPr>
                <w:rFonts w:ascii="Arial Narrow" w:hAnsi="Arial Narrow"/>
                <w:sz w:val="20"/>
                <w:lang w:val="en-US"/>
              </w:rPr>
              <w:t>96 (34.4%)</w:t>
            </w:r>
          </w:p>
          <w:p w:rsidR="00B01051" w:rsidRPr="008A40DC" w:rsidRDefault="00B01051" w:rsidP="00B01051">
            <w:pPr>
              <w:jc w:val="center"/>
              <w:rPr>
                <w:rFonts w:ascii="Arial Narrow" w:hAnsi="Arial Narrow"/>
                <w:sz w:val="20"/>
                <w:lang w:val="en-US"/>
              </w:rPr>
            </w:pPr>
            <w:r>
              <w:rPr>
                <w:rFonts w:ascii="Arial Narrow" w:hAnsi="Arial Narrow"/>
                <w:sz w:val="20"/>
                <w:lang w:val="en-US"/>
              </w:rPr>
              <w:t>0 (0.0%)</w:t>
            </w:r>
          </w:p>
        </w:tc>
        <w:tc>
          <w:tcPr>
            <w:tcW w:w="1270"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165 (59.6%)</w:t>
            </w:r>
          </w:p>
          <w:p w:rsidR="00B01051" w:rsidRDefault="00B01051" w:rsidP="00B01051">
            <w:pPr>
              <w:jc w:val="center"/>
              <w:rPr>
                <w:rFonts w:ascii="Arial Narrow" w:hAnsi="Arial Narrow"/>
                <w:sz w:val="20"/>
                <w:lang w:val="en-US"/>
              </w:rPr>
            </w:pPr>
            <w:r>
              <w:rPr>
                <w:rFonts w:ascii="Arial Narrow" w:hAnsi="Arial Narrow"/>
                <w:sz w:val="20"/>
                <w:lang w:val="en-US"/>
              </w:rPr>
              <w:t>20 (7.2%)</w:t>
            </w:r>
          </w:p>
          <w:p w:rsidR="00B01051" w:rsidRDefault="00B01051" w:rsidP="00B01051">
            <w:pPr>
              <w:jc w:val="center"/>
              <w:rPr>
                <w:rFonts w:ascii="Arial Narrow" w:hAnsi="Arial Narrow"/>
                <w:sz w:val="20"/>
                <w:lang w:val="en-US"/>
              </w:rPr>
            </w:pPr>
            <w:r>
              <w:rPr>
                <w:rFonts w:ascii="Arial Narrow" w:hAnsi="Arial Narrow"/>
                <w:sz w:val="20"/>
                <w:lang w:val="en-US"/>
              </w:rPr>
              <w:t>91 (32.9%)</w:t>
            </w:r>
          </w:p>
          <w:p w:rsidR="00B01051" w:rsidRPr="008A40DC" w:rsidRDefault="00B01051" w:rsidP="00B01051">
            <w:pPr>
              <w:jc w:val="center"/>
              <w:rPr>
                <w:rFonts w:ascii="Arial Narrow" w:hAnsi="Arial Narrow"/>
                <w:sz w:val="20"/>
                <w:lang w:val="en-US"/>
              </w:rPr>
            </w:pPr>
            <w:r>
              <w:rPr>
                <w:rFonts w:ascii="Arial Narrow" w:hAnsi="Arial Narrow"/>
                <w:sz w:val="20"/>
                <w:lang w:val="en-US"/>
              </w:rPr>
              <w:t>1 (0.4%)</w:t>
            </w:r>
          </w:p>
        </w:tc>
        <w:tc>
          <w:tcPr>
            <w:tcW w:w="1186" w:type="pct"/>
            <w:shd w:val="clear" w:color="auto" w:fill="auto"/>
          </w:tcPr>
          <w:p w:rsidR="00B01051" w:rsidRDefault="00B01051" w:rsidP="00B01051">
            <w:pPr>
              <w:jc w:val="center"/>
              <w:rPr>
                <w:rFonts w:ascii="Arial Narrow" w:hAnsi="Arial Narrow"/>
                <w:sz w:val="20"/>
                <w:lang w:val="en-US"/>
              </w:rPr>
            </w:pPr>
          </w:p>
          <w:p w:rsidR="00B01051" w:rsidRDefault="00B01051" w:rsidP="00B01051">
            <w:pPr>
              <w:jc w:val="center"/>
              <w:rPr>
                <w:rFonts w:ascii="Arial Narrow" w:hAnsi="Arial Narrow"/>
                <w:sz w:val="20"/>
                <w:lang w:val="en-US"/>
              </w:rPr>
            </w:pPr>
            <w:r>
              <w:rPr>
                <w:rFonts w:ascii="Arial Narrow" w:hAnsi="Arial Narrow"/>
                <w:sz w:val="20"/>
                <w:lang w:val="en-US"/>
              </w:rPr>
              <w:t>159 (57.2%)</w:t>
            </w:r>
          </w:p>
          <w:p w:rsidR="00B01051" w:rsidRDefault="00B01051" w:rsidP="00B01051">
            <w:pPr>
              <w:jc w:val="center"/>
              <w:rPr>
                <w:rFonts w:ascii="Arial Narrow" w:hAnsi="Arial Narrow"/>
                <w:sz w:val="20"/>
                <w:lang w:val="en-US"/>
              </w:rPr>
            </w:pPr>
            <w:r>
              <w:rPr>
                <w:rFonts w:ascii="Arial Narrow" w:hAnsi="Arial Narrow"/>
                <w:sz w:val="20"/>
                <w:lang w:val="en-US"/>
              </w:rPr>
              <w:t>22 (7.9%)</w:t>
            </w:r>
          </w:p>
          <w:p w:rsidR="00B01051" w:rsidRDefault="00B01051" w:rsidP="00B01051">
            <w:pPr>
              <w:jc w:val="center"/>
              <w:rPr>
                <w:rFonts w:ascii="Arial Narrow" w:hAnsi="Arial Narrow"/>
                <w:sz w:val="20"/>
                <w:lang w:val="en-US"/>
              </w:rPr>
            </w:pPr>
            <w:r>
              <w:rPr>
                <w:rFonts w:ascii="Arial Narrow" w:hAnsi="Arial Narrow"/>
                <w:sz w:val="20"/>
                <w:lang w:val="en-US"/>
              </w:rPr>
              <w:t>97 (34.9%)</w:t>
            </w:r>
          </w:p>
          <w:p w:rsidR="00B01051" w:rsidRPr="008A40DC" w:rsidRDefault="00B01051" w:rsidP="00B01051">
            <w:pPr>
              <w:jc w:val="center"/>
              <w:rPr>
                <w:rFonts w:ascii="Arial Narrow" w:hAnsi="Arial Narrow"/>
                <w:sz w:val="20"/>
                <w:lang w:val="en-US"/>
              </w:rPr>
            </w:pPr>
            <w:r>
              <w:rPr>
                <w:rFonts w:ascii="Arial Narrow" w:hAnsi="Arial Narrow"/>
                <w:sz w:val="20"/>
                <w:lang w:val="en-US"/>
              </w:rPr>
              <w:t>0 (0.0%)</w:t>
            </w:r>
          </w:p>
        </w:tc>
      </w:tr>
    </w:tbl>
    <w:p w:rsidR="00B01051" w:rsidRDefault="00B01051" w:rsidP="00B01051">
      <w:pPr>
        <w:ind w:left="709"/>
        <w:rPr>
          <w:rFonts w:ascii="Arial Narrow" w:hAnsi="Arial Narrow"/>
          <w:sz w:val="18"/>
        </w:rPr>
      </w:pPr>
      <w:r>
        <w:rPr>
          <w:rFonts w:ascii="Arial Narrow" w:hAnsi="Arial Narrow"/>
          <w:sz w:val="18"/>
        </w:rPr>
        <w:t>Ipi=ipilimumab; Pembro=pembrolizumab</w:t>
      </w:r>
    </w:p>
    <w:p w:rsidR="00B01051" w:rsidRPr="00B01051" w:rsidRDefault="00B01051" w:rsidP="00B01051">
      <w:pPr>
        <w:ind w:left="709"/>
      </w:pPr>
      <w:r w:rsidRPr="008A40DC">
        <w:rPr>
          <w:rFonts w:ascii="Arial Narrow" w:hAnsi="Arial Narrow"/>
          <w:sz w:val="18"/>
        </w:rPr>
        <w:t xml:space="preserve">Source: </w:t>
      </w:r>
      <w:r>
        <w:rPr>
          <w:rFonts w:ascii="Arial Narrow" w:hAnsi="Arial Narrow"/>
          <w:sz w:val="18"/>
        </w:rPr>
        <w:t>Table 2, p9-12 of the interim analysis document</w:t>
      </w:r>
    </w:p>
    <w:p w:rsidR="00B01051" w:rsidRDefault="00B01051" w:rsidP="00033153">
      <w:pPr>
        <w:widowControl/>
        <w:rPr>
          <w:szCs w:val="22"/>
        </w:rPr>
      </w:pPr>
    </w:p>
    <w:p w:rsidR="00033153" w:rsidRPr="008B662A" w:rsidRDefault="00033153" w:rsidP="00033153">
      <w:pPr>
        <w:pStyle w:val="ListParagraph"/>
        <w:widowControl/>
        <w:numPr>
          <w:ilvl w:val="1"/>
          <w:numId w:val="1"/>
        </w:numPr>
        <w:rPr>
          <w:szCs w:val="22"/>
        </w:rPr>
      </w:pPr>
      <w:r w:rsidRPr="008B662A">
        <w:rPr>
          <w:szCs w:val="22"/>
        </w:rPr>
        <w:t>The table below provides a summary of drug exposure at the interim analysis of KN-006.  For patients treated with pembrolizumab</w:t>
      </w:r>
      <w:r w:rsidR="008B662A">
        <w:rPr>
          <w:szCs w:val="22"/>
        </w:rPr>
        <w:t>,</w:t>
      </w:r>
      <w:r w:rsidRPr="008B662A">
        <w:rPr>
          <w:szCs w:val="22"/>
        </w:rPr>
        <w:t xml:space="preserve"> the mean exposure was 164 days in the 10 mg/kg Q2W arm and 151 days in the 10 mg/kg Q3W arm.  The mean number of ipilimumab doses was 3.3 (limit of 4 doses), administered over approximately 50 days.</w:t>
      </w:r>
    </w:p>
    <w:p w:rsidR="00033153" w:rsidRPr="008B662A" w:rsidRDefault="00033153" w:rsidP="00033153">
      <w:pPr>
        <w:rPr>
          <w:szCs w:val="22"/>
        </w:rPr>
      </w:pPr>
    </w:p>
    <w:p w:rsidR="00033153" w:rsidRPr="008B662A" w:rsidRDefault="00033153" w:rsidP="00033153">
      <w:pPr>
        <w:pStyle w:val="ListParagraph"/>
        <w:widowControl/>
        <w:numPr>
          <w:ilvl w:val="1"/>
          <w:numId w:val="1"/>
        </w:numPr>
        <w:rPr>
          <w:szCs w:val="22"/>
        </w:rPr>
      </w:pPr>
      <w:r w:rsidRPr="008B662A">
        <w:rPr>
          <w:szCs w:val="22"/>
        </w:rPr>
        <w:t>Median response duration was only reached for the 10 mg/kg Q2W dose of pembrolizumab (251 days).  A reliable estimate of drug cost per patient c</w:t>
      </w:r>
      <w:r w:rsidR="008B662A">
        <w:rPr>
          <w:szCs w:val="22"/>
        </w:rPr>
        <w:t xml:space="preserve">ould </w:t>
      </w:r>
      <w:r w:rsidRPr="008B662A">
        <w:rPr>
          <w:szCs w:val="22"/>
        </w:rPr>
        <w:t>not yet be made.</w:t>
      </w:r>
    </w:p>
    <w:p w:rsidR="00033153" w:rsidRPr="008B662A" w:rsidRDefault="00033153" w:rsidP="00033153">
      <w:pPr>
        <w:rPr>
          <w:szCs w:val="22"/>
        </w:rPr>
      </w:pPr>
    </w:p>
    <w:p w:rsidR="00033153" w:rsidRPr="008A40DC" w:rsidRDefault="00033153" w:rsidP="00033153">
      <w:pPr>
        <w:ind w:left="709"/>
        <w:rPr>
          <w:rFonts w:ascii="Arial Narrow" w:hAnsi="Arial Narrow"/>
          <w:b/>
          <w:sz w:val="20"/>
          <w:szCs w:val="16"/>
        </w:rPr>
      </w:pPr>
      <w:r>
        <w:rPr>
          <w:rFonts w:ascii="Arial Narrow" w:hAnsi="Arial Narrow"/>
          <w:b/>
          <w:sz w:val="20"/>
          <w:lang w:val="en-US" w:eastAsia="en-AU"/>
        </w:rPr>
        <w:t>Drug exposure in KN-006</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2126"/>
        <w:gridCol w:w="2128"/>
        <w:gridCol w:w="1699"/>
      </w:tblGrid>
      <w:tr w:rsidR="00033153" w:rsidRPr="008A40DC" w:rsidTr="00DD7E75">
        <w:trPr>
          <w:tblHeader/>
        </w:trPr>
        <w:tc>
          <w:tcPr>
            <w:tcW w:w="1441" w:type="pct"/>
            <w:shd w:val="clear" w:color="auto" w:fill="auto"/>
            <w:vAlign w:val="center"/>
          </w:tcPr>
          <w:p w:rsidR="00033153" w:rsidRPr="008A40DC" w:rsidRDefault="00033153" w:rsidP="00DD7E75">
            <w:pPr>
              <w:rPr>
                <w:rFonts w:ascii="Arial Narrow" w:hAnsi="Arial Narrow"/>
                <w:b/>
                <w:sz w:val="20"/>
                <w:lang w:val="en-US"/>
              </w:rPr>
            </w:pPr>
          </w:p>
        </w:tc>
        <w:tc>
          <w:tcPr>
            <w:tcW w:w="1271" w:type="pct"/>
            <w:shd w:val="clear" w:color="auto" w:fill="auto"/>
            <w:vAlign w:val="center"/>
          </w:tcPr>
          <w:p w:rsidR="00033153" w:rsidRDefault="00033153" w:rsidP="00DD7E75">
            <w:pPr>
              <w:jc w:val="center"/>
              <w:rPr>
                <w:rFonts w:ascii="Arial Narrow" w:hAnsi="Arial Narrow"/>
                <w:b/>
                <w:sz w:val="20"/>
                <w:lang w:val="en-US"/>
              </w:rPr>
            </w:pPr>
            <w:r>
              <w:rPr>
                <w:rFonts w:ascii="Arial Narrow" w:hAnsi="Arial Narrow"/>
                <w:b/>
                <w:sz w:val="20"/>
                <w:lang w:val="en-US"/>
              </w:rPr>
              <w:t>Pembro 10 mg/kg Q2W</w:t>
            </w:r>
          </w:p>
          <w:p w:rsidR="00033153" w:rsidRPr="008A40DC" w:rsidRDefault="00033153" w:rsidP="00DD7E75">
            <w:pPr>
              <w:jc w:val="center"/>
              <w:rPr>
                <w:rFonts w:ascii="Arial Narrow" w:hAnsi="Arial Narrow"/>
                <w:b/>
                <w:sz w:val="20"/>
                <w:lang w:val="en-US"/>
              </w:rPr>
            </w:pPr>
            <w:r>
              <w:rPr>
                <w:rFonts w:ascii="Arial Narrow" w:hAnsi="Arial Narrow"/>
                <w:b/>
                <w:sz w:val="20"/>
                <w:lang w:val="en-US"/>
              </w:rPr>
              <w:t>N=279</w:t>
            </w:r>
          </w:p>
        </w:tc>
        <w:tc>
          <w:tcPr>
            <w:tcW w:w="1272" w:type="pct"/>
            <w:shd w:val="clear" w:color="auto" w:fill="auto"/>
            <w:vAlign w:val="center"/>
          </w:tcPr>
          <w:p w:rsidR="00033153" w:rsidRDefault="00033153" w:rsidP="00DD7E75">
            <w:pPr>
              <w:jc w:val="center"/>
              <w:rPr>
                <w:rFonts w:ascii="Arial Narrow" w:hAnsi="Arial Narrow"/>
                <w:b/>
                <w:sz w:val="20"/>
                <w:lang w:val="en-US"/>
              </w:rPr>
            </w:pPr>
            <w:r>
              <w:rPr>
                <w:rFonts w:ascii="Arial Narrow" w:hAnsi="Arial Narrow"/>
                <w:b/>
                <w:sz w:val="20"/>
                <w:lang w:val="en-US"/>
              </w:rPr>
              <w:t>Pembro 10 mg/kg Q3W</w:t>
            </w:r>
          </w:p>
          <w:p w:rsidR="00033153" w:rsidRPr="008A40DC" w:rsidRDefault="00033153" w:rsidP="00DD7E75">
            <w:pPr>
              <w:jc w:val="center"/>
              <w:rPr>
                <w:rFonts w:ascii="Arial Narrow" w:hAnsi="Arial Narrow"/>
                <w:b/>
                <w:sz w:val="20"/>
                <w:lang w:val="en-US"/>
              </w:rPr>
            </w:pPr>
            <w:r>
              <w:rPr>
                <w:rFonts w:ascii="Arial Narrow" w:hAnsi="Arial Narrow"/>
                <w:b/>
                <w:sz w:val="20"/>
                <w:lang w:val="en-US"/>
              </w:rPr>
              <w:t>N=277</w:t>
            </w:r>
          </w:p>
        </w:tc>
        <w:tc>
          <w:tcPr>
            <w:tcW w:w="1016" w:type="pct"/>
            <w:shd w:val="clear" w:color="auto" w:fill="auto"/>
            <w:vAlign w:val="center"/>
          </w:tcPr>
          <w:p w:rsidR="00033153" w:rsidRDefault="00033153" w:rsidP="00DD7E75">
            <w:pPr>
              <w:jc w:val="center"/>
              <w:rPr>
                <w:rFonts w:ascii="Arial Narrow" w:hAnsi="Arial Narrow"/>
                <w:b/>
                <w:sz w:val="20"/>
                <w:lang w:val="en-US"/>
              </w:rPr>
            </w:pPr>
            <w:r>
              <w:rPr>
                <w:rFonts w:ascii="Arial Narrow" w:hAnsi="Arial Narrow"/>
                <w:b/>
                <w:sz w:val="20"/>
                <w:lang w:val="en-US"/>
              </w:rPr>
              <w:t>Ipi 3 mg/kg Q3W</w:t>
            </w:r>
          </w:p>
          <w:p w:rsidR="00033153" w:rsidRPr="008A40DC" w:rsidRDefault="00033153" w:rsidP="00DD7E75">
            <w:pPr>
              <w:jc w:val="center"/>
              <w:rPr>
                <w:rFonts w:ascii="Arial Narrow" w:hAnsi="Arial Narrow"/>
                <w:b/>
                <w:sz w:val="20"/>
                <w:lang w:val="en-US"/>
              </w:rPr>
            </w:pPr>
            <w:r>
              <w:rPr>
                <w:rFonts w:ascii="Arial Narrow" w:hAnsi="Arial Narrow"/>
                <w:b/>
                <w:sz w:val="20"/>
                <w:lang w:val="en-US"/>
              </w:rPr>
              <w:t>N=256</w:t>
            </w:r>
          </w:p>
        </w:tc>
      </w:tr>
      <w:tr w:rsidR="00033153" w:rsidRPr="008A40DC" w:rsidTr="00DD7E75">
        <w:tc>
          <w:tcPr>
            <w:tcW w:w="1441" w:type="pct"/>
            <w:shd w:val="clear" w:color="auto" w:fill="auto"/>
          </w:tcPr>
          <w:p w:rsidR="00033153" w:rsidRPr="008A40DC" w:rsidRDefault="00033153" w:rsidP="00DD7E75">
            <w:pPr>
              <w:rPr>
                <w:rFonts w:ascii="Arial Narrow" w:hAnsi="Arial Narrow"/>
                <w:sz w:val="20"/>
                <w:lang w:val="en-US"/>
              </w:rPr>
            </w:pPr>
            <w:r>
              <w:rPr>
                <w:rFonts w:ascii="Arial Narrow" w:hAnsi="Arial Narrow" w:cs="Times"/>
                <w:sz w:val="19"/>
                <w:szCs w:val="19"/>
                <w:lang w:val="en-US" w:eastAsia="en-AU"/>
              </w:rPr>
              <w:t>Days on therapy, mean (range)</w:t>
            </w:r>
          </w:p>
        </w:tc>
        <w:tc>
          <w:tcPr>
            <w:tcW w:w="1271" w:type="pct"/>
            <w:shd w:val="clear" w:color="auto" w:fill="auto"/>
            <w:vAlign w:val="center"/>
          </w:tcPr>
          <w:p w:rsidR="00033153" w:rsidRPr="008A40DC" w:rsidRDefault="00033153" w:rsidP="00DD7E75">
            <w:pPr>
              <w:jc w:val="center"/>
              <w:rPr>
                <w:rFonts w:ascii="Arial Narrow" w:hAnsi="Arial Narrow"/>
                <w:sz w:val="20"/>
                <w:lang w:val="en-US"/>
              </w:rPr>
            </w:pPr>
            <w:r>
              <w:rPr>
                <w:rFonts w:ascii="Arial Narrow" w:hAnsi="Arial Narrow"/>
                <w:sz w:val="20"/>
                <w:lang w:val="en-US"/>
              </w:rPr>
              <w:t>163.93 (1 to 336)</w:t>
            </w:r>
          </w:p>
        </w:tc>
        <w:tc>
          <w:tcPr>
            <w:tcW w:w="1272" w:type="pct"/>
            <w:shd w:val="clear" w:color="auto" w:fill="auto"/>
            <w:vAlign w:val="center"/>
          </w:tcPr>
          <w:p w:rsidR="00033153" w:rsidRPr="008A40DC" w:rsidRDefault="00033153" w:rsidP="00DD7E75">
            <w:pPr>
              <w:jc w:val="center"/>
              <w:rPr>
                <w:rFonts w:ascii="Arial Narrow" w:hAnsi="Arial Narrow"/>
                <w:sz w:val="20"/>
                <w:lang w:val="en-US"/>
              </w:rPr>
            </w:pPr>
            <w:r>
              <w:rPr>
                <w:rFonts w:ascii="Arial Narrow" w:hAnsi="Arial Narrow"/>
                <w:sz w:val="20"/>
                <w:lang w:val="en-US"/>
              </w:rPr>
              <w:t>151.45 (1 to 332)</w:t>
            </w:r>
          </w:p>
        </w:tc>
        <w:tc>
          <w:tcPr>
            <w:tcW w:w="1016" w:type="pct"/>
            <w:shd w:val="clear" w:color="auto" w:fill="auto"/>
            <w:vAlign w:val="center"/>
          </w:tcPr>
          <w:p w:rsidR="00033153" w:rsidRPr="008A40DC" w:rsidRDefault="00033153" w:rsidP="00DD7E75">
            <w:pPr>
              <w:jc w:val="center"/>
              <w:rPr>
                <w:rFonts w:ascii="Arial Narrow" w:hAnsi="Arial Narrow"/>
                <w:sz w:val="20"/>
                <w:lang w:val="en-US"/>
              </w:rPr>
            </w:pPr>
            <w:r>
              <w:rPr>
                <w:rFonts w:ascii="Arial Narrow" w:hAnsi="Arial Narrow"/>
                <w:sz w:val="20"/>
                <w:lang w:val="en-US"/>
              </w:rPr>
              <w:t>49.89 (1 to 92)</w:t>
            </w:r>
          </w:p>
        </w:tc>
      </w:tr>
    </w:tbl>
    <w:p w:rsidR="00033153" w:rsidRDefault="00033153" w:rsidP="00033153">
      <w:pPr>
        <w:ind w:left="709"/>
        <w:rPr>
          <w:rFonts w:ascii="Arial Narrow" w:hAnsi="Arial Narrow"/>
          <w:sz w:val="18"/>
        </w:rPr>
      </w:pPr>
      <w:r>
        <w:rPr>
          <w:rFonts w:ascii="Arial Narrow" w:hAnsi="Arial Narrow"/>
          <w:sz w:val="18"/>
        </w:rPr>
        <w:t>Ipi=ipilimumab; Pembro=pembrolizumab</w:t>
      </w:r>
    </w:p>
    <w:p w:rsidR="00033153" w:rsidRDefault="00033153" w:rsidP="00033153">
      <w:pPr>
        <w:ind w:left="709"/>
        <w:rPr>
          <w:szCs w:val="22"/>
        </w:rPr>
      </w:pPr>
      <w:r w:rsidRPr="008A40DC">
        <w:rPr>
          <w:rFonts w:ascii="Arial Narrow" w:hAnsi="Arial Narrow"/>
          <w:sz w:val="18"/>
        </w:rPr>
        <w:t xml:space="preserve">Source: </w:t>
      </w:r>
      <w:r>
        <w:rPr>
          <w:rFonts w:ascii="Arial Narrow" w:hAnsi="Arial Narrow"/>
          <w:sz w:val="18"/>
        </w:rPr>
        <w:t>Table 4, p26 of the interim analysis document</w:t>
      </w:r>
    </w:p>
    <w:p w:rsidR="00033153" w:rsidRPr="00033153" w:rsidRDefault="00033153" w:rsidP="00033153">
      <w:pPr>
        <w:widowControl/>
        <w:rPr>
          <w:szCs w:val="22"/>
        </w:rPr>
      </w:pPr>
    </w:p>
    <w:p w:rsidR="00B60939" w:rsidRPr="002C2775" w:rsidRDefault="00B60939" w:rsidP="002C2775">
      <w:pPr>
        <w:pStyle w:val="Heading2"/>
        <w:rPr>
          <w:i/>
        </w:rPr>
      </w:pPr>
      <w:bookmarkStart w:id="11" w:name="_Toc409607367"/>
      <w:r w:rsidRPr="002C2775">
        <w:rPr>
          <w:i/>
        </w:rPr>
        <w:t>Comparative effectiveness</w:t>
      </w:r>
      <w:bookmarkEnd w:id="11"/>
    </w:p>
    <w:p w:rsidR="00B60939" w:rsidRDefault="00B60939" w:rsidP="00B60939">
      <w:pPr>
        <w:rPr>
          <w:szCs w:val="22"/>
        </w:rPr>
      </w:pPr>
    </w:p>
    <w:p w:rsidR="00EA1D15" w:rsidRPr="00EA1D15" w:rsidRDefault="00B01051" w:rsidP="00B01051">
      <w:pPr>
        <w:numPr>
          <w:ilvl w:val="1"/>
          <w:numId w:val="1"/>
        </w:numPr>
        <w:contextualSpacing/>
        <w:rPr>
          <w:szCs w:val="22"/>
        </w:rPr>
      </w:pPr>
      <w:r>
        <w:t>The table below provides a summary of progression-free and</w:t>
      </w:r>
      <w:r w:rsidR="008B662A">
        <w:t xml:space="preserve"> overall survival from KN-006.</w:t>
      </w:r>
    </w:p>
    <w:p w:rsidR="00EA1D15" w:rsidRDefault="00EA1D15" w:rsidP="00EA1D15"/>
    <w:p w:rsidR="00CA498A" w:rsidRDefault="00CA498A">
      <w:pPr>
        <w:widowControl/>
        <w:jc w:val="left"/>
        <w:rPr>
          <w:rFonts w:ascii="Arial Narrow" w:hAnsi="Arial Narrow"/>
          <w:b/>
          <w:sz w:val="20"/>
          <w:lang w:val="en-US" w:eastAsia="en-AU"/>
        </w:rPr>
      </w:pPr>
      <w:r>
        <w:rPr>
          <w:rFonts w:ascii="Arial Narrow" w:hAnsi="Arial Narrow"/>
          <w:b/>
          <w:sz w:val="20"/>
          <w:lang w:val="en-US" w:eastAsia="en-AU"/>
        </w:rPr>
        <w:br w:type="page"/>
      </w:r>
    </w:p>
    <w:p w:rsidR="00EA1D15" w:rsidRPr="008A40DC" w:rsidRDefault="00EA1D15" w:rsidP="00EA1D15">
      <w:pPr>
        <w:keepNext/>
        <w:ind w:left="709"/>
        <w:rPr>
          <w:rFonts w:ascii="Arial Narrow" w:hAnsi="Arial Narrow"/>
          <w:b/>
          <w:sz w:val="20"/>
          <w:szCs w:val="16"/>
        </w:rPr>
      </w:pPr>
      <w:r>
        <w:rPr>
          <w:rFonts w:ascii="Arial Narrow" w:hAnsi="Arial Narrow"/>
          <w:b/>
          <w:sz w:val="20"/>
          <w:lang w:val="en-US" w:eastAsia="en-AU"/>
        </w:rPr>
        <w:lastRenderedPageBreak/>
        <w:t>Progression-free and overall survival in KN-006 (September 2014 data cut)</w:t>
      </w:r>
    </w:p>
    <w:tbl>
      <w:tblPr>
        <w:tblW w:w="463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1301"/>
        <w:gridCol w:w="1245"/>
        <w:gridCol w:w="1223"/>
        <w:gridCol w:w="2185"/>
        <w:gridCol w:w="1478"/>
      </w:tblGrid>
      <w:tr w:rsidR="00EA1D15" w:rsidRPr="008A40DC" w:rsidTr="00DE495E">
        <w:trPr>
          <w:tblHeader/>
        </w:trPr>
        <w:tc>
          <w:tcPr>
            <w:tcW w:w="589" w:type="pct"/>
            <w:shd w:val="clear" w:color="auto" w:fill="auto"/>
            <w:vAlign w:val="center"/>
          </w:tcPr>
          <w:p w:rsidR="00EA1D15" w:rsidRPr="008A40DC" w:rsidRDefault="00EA1D15" w:rsidP="00DE495E">
            <w:pPr>
              <w:keepNext/>
              <w:rPr>
                <w:rFonts w:ascii="Arial Narrow" w:hAnsi="Arial Narrow"/>
                <w:b/>
                <w:sz w:val="20"/>
                <w:lang w:val="en-US"/>
              </w:rPr>
            </w:pPr>
          </w:p>
        </w:tc>
        <w:tc>
          <w:tcPr>
            <w:tcW w:w="772" w:type="pct"/>
            <w:shd w:val="clear" w:color="auto" w:fill="auto"/>
            <w:vAlign w:val="center"/>
          </w:tcPr>
          <w:p w:rsidR="00EA1D15" w:rsidRDefault="00EA1D15" w:rsidP="00DE495E">
            <w:pPr>
              <w:keepNext/>
              <w:jc w:val="center"/>
              <w:rPr>
                <w:rFonts w:ascii="Arial Narrow" w:hAnsi="Arial Narrow"/>
                <w:b/>
                <w:sz w:val="20"/>
                <w:lang w:val="en-US"/>
              </w:rPr>
            </w:pPr>
            <w:r>
              <w:rPr>
                <w:rFonts w:ascii="Arial Narrow" w:hAnsi="Arial Narrow"/>
                <w:b/>
                <w:sz w:val="20"/>
                <w:lang w:val="en-US"/>
              </w:rPr>
              <w:t>Pembro 10 mg/kg Q2W</w:t>
            </w:r>
          </w:p>
          <w:p w:rsidR="00EA1D15" w:rsidRPr="008A40DC" w:rsidRDefault="00EA1D15" w:rsidP="00DE495E">
            <w:pPr>
              <w:keepNext/>
              <w:jc w:val="center"/>
              <w:rPr>
                <w:rFonts w:ascii="Arial Narrow" w:hAnsi="Arial Narrow"/>
                <w:b/>
                <w:sz w:val="20"/>
                <w:lang w:val="en-US"/>
              </w:rPr>
            </w:pPr>
            <w:r>
              <w:rPr>
                <w:rFonts w:ascii="Arial Narrow" w:hAnsi="Arial Narrow"/>
                <w:b/>
                <w:sz w:val="20"/>
                <w:lang w:val="en-US"/>
              </w:rPr>
              <w:t>N=279</w:t>
            </w:r>
          </w:p>
        </w:tc>
        <w:tc>
          <w:tcPr>
            <w:tcW w:w="739" w:type="pct"/>
            <w:vAlign w:val="center"/>
          </w:tcPr>
          <w:p w:rsidR="00EA1D15" w:rsidRDefault="00EA1D15" w:rsidP="00DE495E">
            <w:pPr>
              <w:keepNext/>
              <w:jc w:val="center"/>
              <w:rPr>
                <w:rFonts w:ascii="Arial Narrow" w:hAnsi="Arial Narrow"/>
                <w:b/>
                <w:sz w:val="20"/>
                <w:lang w:val="en-US"/>
              </w:rPr>
            </w:pPr>
            <w:r>
              <w:rPr>
                <w:rFonts w:ascii="Arial Narrow" w:hAnsi="Arial Narrow"/>
                <w:b/>
                <w:sz w:val="20"/>
                <w:lang w:val="en-US"/>
              </w:rPr>
              <w:t>Pembro 10 mg/kg Q3W</w:t>
            </w:r>
          </w:p>
          <w:p w:rsidR="00EA1D15" w:rsidRDefault="00EA1D15" w:rsidP="00DE495E">
            <w:pPr>
              <w:keepNext/>
              <w:jc w:val="center"/>
              <w:rPr>
                <w:rFonts w:ascii="Arial Narrow" w:hAnsi="Arial Narrow"/>
                <w:b/>
                <w:sz w:val="20"/>
                <w:lang w:val="en-US"/>
              </w:rPr>
            </w:pPr>
            <w:r>
              <w:rPr>
                <w:rFonts w:ascii="Arial Narrow" w:hAnsi="Arial Narrow"/>
                <w:b/>
                <w:sz w:val="20"/>
                <w:lang w:val="en-US"/>
              </w:rPr>
              <w:t>N=277</w:t>
            </w:r>
          </w:p>
        </w:tc>
        <w:tc>
          <w:tcPr>
            <w:tcW w:w="726" w:type="pct"/>
            <w:vAlign w:val="center"/>
          </w:tcPr>
          <w:p w:rsidR="00EA1D15" w:rsidRDefault="00EA1D15" w:rsidP="00DE495E">
            <w:pPr>
              <w:keepNext/>
              <w:jc w:val="center"/>
              <w:rPr>
                <w:rFonts w:ascii="Arial Narrow" w:hAnsi="Arial Narrow"/>
                <w:b/>
                <w:sz w:val="20"/>
                <w:lang w:val="en-US"/>
              </w:rPr>
            </w:pPr>
            <w:r>
              <w:rPr>
                <w:rFonts w:ascii="Arial Narrow" w:hAnsi="Arial Narrow"/>
                <w:b/>
                <w:sz w:val="20"/>
                <w:lang w:val="en-US"/>
              </w:rPr>
              <w:t xml:space="preserve">Ipi </w:t>
            </w:r>
          </w:p>
          <w:p w:rsidR="00EA1D15" w:rsidRDefault="00EA1D15" w:rsidP="00DE495E">
            <w:pPr>
              <w:keepNext/>
              <w:jc w:val="center"/>
              <w:rPr>
                <w:rFonts w:ascii="Arial Narrow" w:hAnsi="Arial Narrow"/>
                <w:b/>
                <w:sz w:val="20"/>
                <w:lang w:val="en-US"/>
              </w:rPr>
            </w:pPr>
            <w:r>
              <w:rPr>
                <w:rFonts w:ascii="Arial Narrow" w:hAnsi="Arial Narrow"/>
                <w:b/>
                <w:sz w:val="20"/>
                <w:lang w:val="en-US"/>
              </w:rPr>
              <w:t>3 mg/kg Q3W</w:t>
            </w:r>
          </w:p>
          <w:p w:rsidR="00EA1D15" w:rsidRDefault="00EA1D15" w:rsidP="00DE495E">
            <w:pPr>
              <w:keepNext/>
              <w:jc w:val="center"/>
              <w:rPr>
                <w:rFonts w:ascii="Arial Narrow" w:hAnsi="Arial Narrow"/>
                <w:b/>
                <w:sz w:val="20"/>
                <w:lang w:val="en-US"/>
              </w:rPr>
            </w:pPr>
            <w:r>
              <w:rPr>
                <w:rFonts w:ascii="Arial Narrow" w:hAnsi="Arial Narrow"/>
                <w:b/>
                <w:sz w:val="20"/>
                <w:lang w:val="en-US"/>
              </w:rPr>
              <w:t>N=278</w:t>
            </w:r>
          </w:p>
        </w:tc>
        <w:tc>
          <w:tcPr>
            <w:tcW w:w="1297" w:type="pct"/>
            <w:shd w:val="clear" w:color="auto" w:fill="auto"/>
            <w:vAlign w:val="center"/>
          </w:tcPr>
          <w:p w:rsidR="00EA1D15" w:rsidRPr="008A40DC" w:rsidRDefault="00EA1D15" w:rsidP="00DE495E">
            <w:pPr>
              <w:keepNext/>
              <w:jc w:val="center"/>
              <w:rPr>
                <w:rFonts w:ascii="Arial Narrow" w:hAnsi="Arial Narrow"/>
                <w:b/>
                <w:sz w:val="20"/>
                <w:lang w:val="en-US"/>
              </w:rPr>
            </w:pPr>
            <w:r>
              <w:rPr>
                <w:rFonts w:ascii="Arial Narrow" w:hAnsi="Arial Narrow"/>
                <w:b/>
                <w:sz w:val="20"/>
                <w:lang w:val="en-US"/>
              </w:rPr>
              <w:t>Absolute difference</w:t>
            </w:r>
          </w:p>
        </w:tc>
        <w:tc>
          <w:tcPr>
            <w:tcW w:w="877" w:type="pct"/>
            <w:shd w:val="clear" w:color="auto" w:fill="auto"/>
            <w:vAlign w:val="center"/>
          </w:tcPr>
          <w:p w:rsidR="00EA1D15" w:rsidRPr="008A40DC" w:rsidRDefault="00EA1D15" w:rsidP="00DE495E">
            <w:pPr>
              <w:keepNext/>
              <w:jc w:val="center"/>
              <w:rPr>
                <w:rFonts w:ascii="Arial Narrow" w:hAnsi="Arial Narrow"/>
                <w:b/>
                <w:sz w:val="20"/>
                <w:lang w:val="en-US"/>
              </w:rPr>
            </w:pPr>
            <w:r>
              <w:rPr>
                <w:rFonts w:ascii="Arial Narrow" w:hAnsi="Arial Narrow"/>
                <w:b/>
                <w:sz w:val="20"/>
                <w:lang w:val="en-US"/>
              </w:rPr>
              <w:t>HR (95% CI)</w:t>
            </w:r>
          </w:p>
        </w:tc>
      </w:tr>
      <w:tr w:rsidR="00EA1D15" w:rsidRPr="008A40DC" w:rsidTr="00DE495E">
        <w:tc>
          <w:tcPr>
            <w:tcW w:w="5000" w:type="pct"/>
            <w:gridSpan w:val="6"/>
            <w:shd w:val="clear" w:color="auto" w:fill="auto"/>
          </w:tcPr>
          <w:p w:rsidR="00EA1D15" w:rsidRPr="00BC5723" w:rsidRDefault="00EA1D15" w:rsidP="00DE495E">
            <w:pPr>
              <w:rPr>
                <w:rFonts w:ascii="Arial Narrow" w:hAnsi="Arial Narrow"/>
                <w:b/>
                <w:sz w:val="20"/>
                <w:lang w:val="en-US"/>
              </w:rPr>
            </w:pPr>
            <w:r>
              <w:rPr>
                <w:rFonts w:ascii="Arial Narrow" w:hAnsi="Arial Narrow"/>
                <w:b/>
                <w:sz w:val="20"/>
                <w:lang w:val="en-US"/>
              </w:rPr>
              <w:t>Progression-free survival (IRO review per RECIST 1.1)</w:t>
            </w:r>
          </w:p>
        </w:tc>
      </w:tr>
      <w:tr w:rsidR="00EA1D15" w:rsidRPr="008A40DC" w:rsidTr="00DE495E">
        <w:tc>
          <w:tcPr>
            <w:tcW w:w="589" w:type="pct"/>
            <w:shd w:val="clear" w:color="auto" w:fill="auto"/>
            <w:vAlign w:val="center"/>
          </w:tcPr>
          <w:p w:rsidR="00EA1D15" w:rsidRPr="00646D28" w:rsidRDefault="00EA1D15" w:rsidP="00DE495E">
            <w:pPr>
              <w:rPr>
                <w:rFonts w:ascii="Arial Narrow" w:hAnsi="Arial Narrow"/>
                <w:sz w:val="19"/>
                <w:szCs w:val="19"/>
              </w:rPr>
            </w:pPr>
            <w:r w:rsidRPr="00646D28">
              <w:rPr>
                <w:rFonts w:ascii="Arial Narrow" w:hAnsi="Arial Narrow"/>
                <w:sz w:val="19"/>
                <w:szCs w:val="19"/>
              </w:rPr>
              <w:t>Progressed</w:t>
            </w:r>
          </w:p>
        </w:tc>
        <w:tc>
          <w:tcPr>
            <w:tcW w:w="772"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 xml:space="preserve">157 </w:t>
            </w:r>
          </w:p>
          <w:p w:rsidR="00EA1D15" w:rsidRDefault="00EA1D15" w:rsidP="00DE495E">
            <w:pPr>
              <w:jc w:val="center"/>
              <w:rPr>
                <w:rFonts w:ascii="Arial Narrow" w:hAnsi="Arial Narrow"/>
                <w:sz w:val="20"/>
                <w:lang w:val="en-US"/>
              </w:rPr>
            </w:pPr>
            <w:r>
              <w:rPr>
                <w:rFonts w:ascii="Arial Narrow" w:hAnsi="Arial Narrow"/>
                <w:sz w:val="20"/>
                <w:lang w:val="en-US"/>
              </w:rPr>
              <w:t>(56.3%)</w:t>
            </w:r>
          </w:p>
        </w:tc>
        <w:tc>
          <w:tcPr>
            <w:tcW w:w="739"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157 </w:t>
            </w:r>
          </w:p>
          <w:p w:rsidR="00EA1D15" w:rsidRDefault="00EA1D15" w:rsidP="00DE495E">
            <w:pPr>
              <w:jc w:val="center"/>
              <w:rPr>
                <w:rFonts w:ascii="Arial Narrow" w:hAnsi="Arial Narrow"/>
                <w:sz w:val="20"/>
                <w:lang w:val="en-US"/>
              </w:rPr>
            </w:pPr>
            <w:r>
              <w:rPr>
                <w:rFonts w:ascii="Arial Narrow" w:hAnsi="Arial Narrow"/>
                <w:sz w:val="20"/>
                <w:lang w:val="en-US"/>
              </w:rPr>
              <w:t>(56.7%)</w:t>
            </w:r>
          </w:p>
        </w:tc>
        <w:tc>
          <w:tcPr>
            <w:tcW w:w="726"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188 </w:t>
            </w:r>
          </w:p>
          <w:p w:rsidR="00EA1D15" w:rsidRDefault="00EA1D15" w:rsidP="00DE495E">
            <w:pPr>
              <w:jc w:val="center"/>
              <w:rPr>
                <w:rFonts w:ascii="Arial Narrow" w:hAnsi="Arial Narrow"/>
                <w:sz w:val="20"/>
                <w:lang w:val="en-US"/>
              </w:rPr>
            </w:pPr>
            <w:r>
              <w:rPr>
                <w:rFonts w:ascii="Arial Narrow" w:hAnsi="Arial Narrow"/>
                <w:sz w:val="20"/>
                <w:lang w:val="en-US"/>
              </w:rPr>
              <w:t>(67.6%)</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-11.3%</w:t>
            </w:r>
          </w:p>
          <w:p w:rsidR="00EA1D15" w:rsidRDefault="00EA1D15" w:rsidP="00DE495E">
            <w:pPr>
              <w:jc w:val="center"/>
              <w:rPr>
                <w:rFonts w:ascii="Arial Narrow" w:hAnsi="Arial Narrow"/>
                <w:sz w:val="20"/>
                <w:lang w:val="en-US"/>
              </w:rPr>
            </w:pPr>
            <w:r>
              <w:rPr>
                <w:rFonts w:ascii="Arial Narrow" w:hAnsi="Arial Narrow"/>
                <w:sz w:val="20"/>
                <w:lang w:val="en-US"/>
              </w:rPr>
              <w:t>10mg/kg Q3W vs. ipi: -10.9%</w:t>
            </w:r>
          </w:p>
        </w:tc>
        <w:tc>
          <w:tcPr>
            <w:tcW w:w="87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w:t>
            </w:r>
          </w:p>
        </w:tc>
      </w:tr>
      <w:tr w:rsidR="00EA1D15" w:rsidRPr="008A40DC" w:rsidTr="00DE495E">
        <w:tc>
          <w:tcPr>
            <w:tcW w:w="589" w:type="pct"/>
            <w:shd w:val="clear" w:color="auto" w:fill="auto"/>
            <w:vAlign w:val="center"/>
          </w:tcPr>
          <w:p w:rsidR="00EA1D15" w:rsidRPr="00646D28" w:rsidRDefault="00EA1D15" w:rsidP="00DE495E">
            <w:pPr>
              <w:rPr>
                <w:rFonts w:ascii="Arial Narrow" w:hAnsi="Arial Narrow"/>
                <w:sz w:val="19"/>
                <w:szCs w:val="19"/>
              </w:rPr>
            </w:pPr>
            <w:r>
              <w:rPr>
                <w:rFonts w:ascii="Arial Narrow" w:hAnsi="Arial Narrow"/>
                <w:sz w:val="19"/>
                <w:szCs w:val="19"/>
              </w:rPr>
              <w:t>Median m</w:t>
            </w:r>
            <w:r w:rsidRPr="00646D28">
              <w:rPr>
                <w:rFonts w:ascii="Arial Narrow" w:hAnsi="Arial Narrow"/>
                <w:sz w:val="19"/>
                <w:szCs w:val="19"/>
              </w:rPr>
              <w:t>ths (95% CI)</w:t>
            </w:r>
          </w:p>
        </w:tc>
        <w:tc>
          <w:tcPr>
            <w:tcW w:w="772"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 xml:space="preserve">5.5 </w:t>
            </w:r>
          </w:p>
          <w:p w:rsidR="00EA1D15" w:rsidRDefault="00EA1D15" w:rsidP="00DE495E">
            <w:pPr>
              <w:jc w:val="center"/>
              <w:rPr>
                <w:rFonts w:ascii="Arial Narrow" w:hAnsi="Arial Narrow"/>
                <w:sz w:val="20"/>
                <w:lang w:val="en-US"/>
              </w:rPr>
            </w:pPr>
            <w:r>
              <w:rPr>
                <w:rFonts w:ascii="Arial Narrow" w:hAnsi="Arial Narrow"/>
                <w:sz w:val="20"/>
                <w:lang w:val="en-US"/>
              </w:rPr>
              <w:t>(3.4, 6.9)</w:t>
            </w:r>
          </w:p>
        </w:tc>
        <w:tc>
          <w:tcPr>
            <w:tcW w:w="739"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4.1 </w:t>
            </w:r>
          </w:p>
          <w:p w:rsidR="00EA1D15" w:rsidRDefault="00EA1D15" w:rsidP="00DE495E">
            <w:pPr>
              <w:jc w:val="center"/>
              <w:rPr>
                <w:rFonts w:ascii="Arial Narrow" w:hAnsi="Arial Narrow"/>
                <w:sz w:val="20"/>
                <w:lang w:val="en-US"/>
              </w:rPr>
            </w:pPr>
            <w:r>
              <w:rPr>
                <w:rFonts w:ascii="Arial Narrow" w:hAnsi="Arial Narrow"/>
                <w:sz w:val="20"/>
                <w:lang w:val="en-US"/>
              </w:rPr>
              <w:t>(2.9, 6.9)</w:t>
            </w:r>
          </w:p>
        </w:tc>
        <w:tc>
          <w:tcPr>
            <w:tcW w:w="726"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2.8 </w:t>
            </w:r>
          </w:p>
          <w:p w:rsidR="00EA1D15" w:rsidRDefault="00EA1D15" w:rsidP="00DE495E">
            <w:pPr>
              <w:jc w:val="center"/>
              <w:rPr>
                <w:rFonts w:ascii="Arial Narrow" w:hAnsi="Arial Narrow"/>
                <w:sz w:val="20"/>
                <w:lang w:val="en-US"/>
              </w:rPr>
            </w:pPr>
            <w:r>
              <w:rPr>
                <w:rFonts w:ascii="Arial Narrow" w:hAnsi="Arial Narrow"/>
                <w:sz w:val="20"/>
                <w:lang w:val="en-US"/>
              </w:rPr>
              <w:t>(2.8, 2.9)</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2.7</w:t>
            </w:r>
          </w:p>
          <w:p w:rsidR="00EA1D15" w:rsidRDefault="00EA1D15" w:rsidP="00DE495E">
            <w:pPr>
              <w:jc w:val="center"/>
              <w:rPr>
                <w:rFonts w:ascii="Arial Narrow" w:hAnsi="Arial Narrow"/>
                <w:sz w:val="20"/>
                <w:lang w:val="en-US"/>
              </w:rPr>
            </w:pPr>
            <w:r>
              <w:rPr>
                <w:rFonts w:ascii="Arial Narrow" w:hAnsi="Arial Narrow"/>
                <w:sz w:val="20"/>
                <w:lang w:val="en-US"/>
              </w:rPr>
              <w:t>10mg/kg Q3W vs. ipi: 1.3</w:t>
            </w:r>
          </w:p>
        </w:tc>
        <w:tc>
          <w:tcPr>
            <w:tcW w:w="87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0.58 (0.46, 0.72)</w:t>
            </w:r>
          </w:p>
          <w:p w:rsidR="00EA1D15" w:rsidRDefault="00EA1D15" w:rsidP="00DE495E">
            <w:pPr>
              <w:jc w:val="center"/>
              <w:rPr>
                <w:rFonts w:ascii="Arial Narrow" w:hAnsi="Arial Narrow"/>
                <w:sz w:val="20"/>
                <w:lang w:val="en-US"/>
              </w:rPr>
            </w:pPr>
            <w:r>
              <w:rPr>
                <w:rFonts w:ascii="Arial Narrow" w:hAnsi="Arial Narrow"/>
                <w:sz w:val="20"/>
                <w:lang w:val="en-US"/>
              </w:rPr>
              <w:t>0.58 (0.47, 0.72)</w:t>
            </w:r>
          </w:p>
        </w:tc>
      </w:tr>
      <w:tr w:rsidR="00EA1D15" w:rsidRPr="008A40DC" w:rsidTr="00DE495E">
        <w:tc>
          <w:tcPr>
            <w:tcW w:w="589" w:type="pct"/>
            <w:shd w:val="clear" w:color="auto" w:fill="auto"/>
            <w:vAlign w:val="center"/>
          </w:tcPr>
          <w:p w:rsidR="00EA1D15" w:rsidRPr="00646D28" w:rsidRDefault="00EA1D15" w:rsidP="00DE495E">
            <w:pPr>
              <w:rPr>
                <w:rFonts w:ascii="Arial Narrow" w:hAnsi="Arial Narrow"/>
                <w:sz w:val="19"/>
                <w:szCs w:val="19"/>
              </w:rPr>
            </w:pPr>
            <w:r w:rsidRPr="00646D28">
              <w:rPr>
                <w:rFonts w:ascii="Arial Narrow" w:hAnsi="Arial Narrow"/>
                <w:sz w:val="19"/>
                <w:szCs w:val="19"/>
              </w:rPr>
              <w:t>PFS rate</w:t>
            </w:r>
            <w:r>
              <w:rPr>
                <w:rFonts w:ascii="Arial Narrow" w:hAnsi="Arial Narrow"/>
                <w:sz w:val="19"/>
                <w:szCs w:val="19"/>
              </w:rPr>
              <w:t xml:space="preserve"> at</w:t>
            </w:r>
            <w:r w:rsidRPr="00646D28">
              <w:rPr>
                <w:rFonts w:ascii="Arial Narrow" w:hAnsi="Arial Narrow"/>
                <w:sz w:val="19"/>
                <w:szCs w:val="19"/>
              </w:rPr>
              <w:t xml:space="preserve"> </w:t>
            </w:r>
            <w:r>
              <w:rPr>
                <w:rFonts w:ascii="Arial Narrow" w:hAnsi="Arial Narrow"/>
                <w:sz w:val="19"/>
                <w:szCs w:val="19"/>
              </w:rPr>
              <w:t>6 m</w:t>
            </w:r>
            <w:r w:rsidRPr="00646D28">
              <w:rPr>
                <w:rFonts w:ascii="Arial Narrow" w:hAnsi="Arial Narrow"/>
                <w:sz w:val="19"/>
                <w:szCs w:val="19"/>
              </w:rPr>
              <w:t>ths (%)</w:t>
            </w:r>
          </w:p>
        </w:tc>
        <w:tc>
          <w:tcPr>
            <w:tcW w:w="772" w:type="pct"/>
            <w:shd w:val="clear" w:color="auto" w:fill="auto"/>
          </w:tcPr>
          <w:p w:rsidR="00EA1D15" w:rsidRDefault="00EA1D15" w:rsidP="00DE495E">
            <w:pPr>
              <w:autoSpaceDE w:val="0"/>
              <w:autoSpaceDN w:val="0"/>
              <w:adjustRightInd w:val="0"/>
              <w:jc w:val="center"/>
              <w:rPr>
                <w:rFonts w:ascii="Arial Narrow" w:hAnsi="Arial Narrow"/>
                <w:sz w:val="20"/>
                <w:lang w:val="en-US" w:eastAsia="en-AU"/>
              </w:rPr>
            </w:pPr>
            <w:r w:rsidRPr="0055434D">
              <w:rPr>
                <w:rFonts w:ascii="Arial Narrow" w:hAnsi="Arial Narrow"/>
                <w:sz w:val="20"/>
                <w:lang w:val="en-US" w:eastAsia="en-AU"/>
              </w:rPr>
              <w:t>47.3</w:t>
            </w:r>
            <w:r>
              <w:rPr>
                <w:rFonts w:ascii="Arial Narrow" w:hAnsi="Arial Narrow"/>
                <w:sz w:val="20"/>
                <w:lang w:val="en-US" w:eastAsia="en-AU"/>
              </w:rPr>
              <w:t>%</w:t>
            </w:r>
          </w:p>
          <w:p w:rsidR="00EA1D15" w:rsidRDefault="00EA1D15" w:rsidP="00DE495E">
            <w:pPr>
              <w:jc w:val="center"/>
              <w:rPr>
                <w:rFonts w:ascii="Arial Narrow" w:hAnsi="Arial Narrow"/>
                <w:sz w:val="20"/>
                <w:lang w:val="en-US"/>
              </w:rPr>
            </w:pPr>
            <w:r w:rsidRPr="0055434D">
              <w:rPr>
                <w:rFonts w:ascii="Arial Narrow" w:hAnsi="Arial Narrow"/>
                <w:sz w:val="20"/>
                <w:lang w:val="en-US" w:eastAsia="en-AU"/>
              </w:rPr>
              <w:t>(41.2, 53.2)</w:t>
            </w:r>
          </w:p>
        </w:tc>
        <w:tc>
          <w:tcPr>
            <w:tcW w:w="739" w:type="pct"/>
          </w:tcPr>
          <w:p w:rsidR="00EA1D15" w:rsidRDefault="00EA1D15" w:rsidP="00DE495E">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46.4%</w:t>
            </w:r>
          </w:p>
          <w:p w:rsidR="00EA1D15" w:rsidRDefault="00EA1D15" w:rsidP="00DE495E">
            <w:pPr>
              <w:jc w:val="center"/>
              <w:rPr>
                <w:rFonts w:ascii="Arial Narrow" w:hAnsi="Arial Narrow"/>
                <w:sz w:val="20"/>
                <w:lang w:val="en-US"/>
              </w:rPr>
            </w:pPr>
            <w:r>
              <w:rPr>
                <w:rFonts w:ascii="Arial Narrow" w:hAnsi="Arial Narrow"/>
                <w:sz w:val="20"/>
                <w:lang w:val="en-US" w:eastAsia="en-AU"/>
              </w:rPr>
              <w:t>(40.3, 52.3)</w:t>
            </w:r>
          </w:p>
        </w:tc>
        <w:tc>
          <w:tcPr>
            <w:tcW w:w="726" w:type="pct"/>
          </w:tcPr>
          <w:p w:rsidR="00EA1D15" w:rsidRDefault="00EA1D15" w:rsidP="00DE495E">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26.5%</w:t>
            </w:r>
          </w:p>
          <w:p w:rsidR="00EA1D15" w:rsidRDefault="00EA1D15" w:rsidP="00DE495E">
            <w:pPr>
              <w:jc w:val="center"/>
              <w:rPr>
                <w:rFonts w:ascii="Arial Narrow" w:hAnsi="Arial Narrow"/>
                <w:sz w:val="20"/>
                <w:lang w:val="en-US"/>
              </w:rPr>
            </w:pPr>
            <w:r>
              <w:rPr>
                <w:rFonts w:ascii="Arial Narrow" w:hAnsi="Arial Narrow"/>
                <w:sz w:val="20"/>
                <w:lang w:val="en-US" w:eastAsia="en-AU"/>
              </w:rPr>
              <w:t>(20.9, 32.4)</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20.8%</w:t>
            </w:r>
          </w:p>
          <w:p w:rsidR="00EA1D15" w:rsidRDefault="00EA1D15" w:rsidP="00DE495E">
            <w:pPr>
              <w:jc w:val="center"/>
              <w:rPr>
                <w:rFonts w:ascii="Arial Narrow" w:hAnsi="Arial Narrow"/>
                <w:sz w:val="20"/>
                <w:lang w:val="en-US"/>
              </w:rPr>
            </w:pPr>
            <w:r>
              <w:rPr>
                <w:rFonts w:ascii="Arial Narrow" w:hAnsi="Arial Narrow"/>
                <w:sz w:val="20"/>
                <w:lang w:val="en-US"/>
              </w:rPr>
              <w:t>10mg/kg Q3W vs. ipi: 19.9%</w:t>
            </w:r>
          </w:p>
        </w:tc>
        <w:tc>
          <w:tcPr>
            <w:tcW w:w="87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w:t>
            </w:r>
          </w:p>
        </w:tc>
      </w:tr>
      <w:tr w:rsidR="00EA1D15" w:rsidRPr="008A40DC" w:rsidTr="00DE495E">
        <w:tc>
          <w:tcPr>
            <w:tcW w:w="5000" w:type="pct"/>
            <w:gridSpan w:val="6"/>
            <w:shd w:val="clear" w:color="auto" w:fill="auto"/>
          </w:tcPr>
          <w:p w:rsidR="00EA1D15" w:rsidRPr="002C2018" w:rsidRDefault="00EA1D15" w:rsidP="00DE495E">
            <w:pPr>
              <w:rPr>
                <w:rFonts w:ascii="Arial Narrow" w:hAnsi="Arial Narrow"/>
                <w:b/>
                <w:sz w:val="20"/>
                <w:lang w:val="en-US"/>
              </w:rPr>
            </w:pPr>
            <w:r>
              <w:rPr>
                <w:rFonts w:ascii="Arial Narrow" w:hAnsi="Arial Narrow"/>
                <w:b/>
                <w:sz w:val="20"/>
                <w:lang w:val="en-US"/>
              </w:rPr>
              <w:t>Progression-free survival (investigator evaluation per irRC</w:t>
            </w:r>
            <w:r w:rsidRPr="000C7B36">
              <w:rPr>
                <w:rFonts w:ascii="Arial Narrow" w:hAnsi="Arial Narrow"/>
                <w:b/>
                <w:sz w:val="20"/>
                <w:vertAlign w:val="superscript"/>
                <w:lang w:val="en-US"/>
              </w:rPr>
              <w:t>a</w:t>
            </w:r>
            <w:r>
              <w:rPr>
                <w:rFonts w:ascii="Arial Narrow" w:hAnsi="Arial Narrow"/>
                <w:b/>
                <w:sz w:val="20"/>
                <w:lang w:val="en-US"/>
              </w:rPr>
              <w:t>)</w:t>
            </w:r>
          </w:p>
        </w:tc>
      </w:tr>
      <w:tr w:rsidR="00EA1D15" w:rsidRPr="008A40DC" w:rsidTr="00DE495E">
        <w:tc>
          <w:tcPr>
            <w:tcW w:w="589" w:type="pct"/>
            <w:shd w:val="clear" w:color="auto" w:fill="auto"/>
            <w:vAlign w:val="center"/>
          </w:tcPr>
          <w:p w:rsidR="00EA1D15" w:rsidRPr="008A40DC" w:rsidRDefault="00EA1D15" w:rsidP="00DE495E">
            <w:pPr>
              <w:rPr>
                <w:rFonts w:ascii="Arial Narrow" w:hAnsi="Arial Narrow"/>
                <w:sz w:val="20"/>
                <w:lang w:val="en-US"/>
              </w:rPr>
            </w:pPr>
            <w:r w:rsidRPr="00646D28">
              <w:rPr>
                <w:rFonts w:ascii="Arial Narrow" w:hAnsi="Arial Narrow"/>
                <w:sz w:val="19"/>
                <w:szCs w:val="19"/>
              </w:rPr>
              <w:t>Progressed</w:t>
            </w:r>
          </w:p>
        </w:tc>
        <w:tc>
          <w:tcPr>
            <w:tcW w:w="772"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 xml:space="preserve">142 </w:t>
            </w:r>
          </w:p>
          <w:p w:rsidR="00EA1D15" w:rsidRPr="008A40DC" w:rsidRDefault="00EA1D15" w:rsidP="00DE495E">
            <w:pPr>
              <w:jc w:val="center"/>
              <w:rPr>
                <w:rFonts w:ascii="Arial Narrow" w:hAnsi="Arial Narrow"/>
                <w:sz w:val="20"/>
                <w:lang w:val="en-US"/>
              </w:rPr>
            </w:pPr>
            <w:r>
              <w:rPr>
                <w:rFonts w:ascii="Arial Narrow" w:hAnsi="Arial Narrow"/>
                <w:sz w:val="20"/>
                <w:lang w:val="en-US"/>
              </w:rPr>
              <w:t>(50.9%)</w:t>
            </w:r>
          </w:p>
        </w:tc>
        <w:tc>
          <w:tcPr>
            <w:tcW w:w="739" w:type="pct"/>
          </w:tcPr>
          <w:p w:rsidR="00EA1D15" w:rsidRDefault="00EA1D15" w:rsidP="00DE495E">
            <w:pPr>
              <w:jc w:val="center"/>
              <w:rPr>
                <w:rFonts w:ascii="Arial Narrow" w:hAnsi="Arial Narrow"/>
                <w:sz w:val="20"/>
                <w:lang w:val="en-US"/>
              </w:rPr>
            </w:pPr>
            <w:r>
              <w:rPr>
                <w:rFonts w:ascii="Arial Narrow" w:hAnsi="Arial Narrow"/>
                <w:sz w:val="20"/>
                <w:lang w:val="en-US"/>
              </w:rPr>
              <w:t>145</w:t>
            </w:r>
          </w:p>
          <w:p w:rsidR="00EA1D15" w:rsidRPr="008A40DC" w:rsidRDefault="00EA1D15" w:rsidP="00DE495E">
            <w:pPr>
              <w:jc w:val="center"/>
              <w:rPr>
                <w:rFonts w:ascii="Arial Narrow" w:hAnsi="Arial Narrow"/>
                <w:sz w:val="20"/>
                <w:lang w:val="en-US"/>
              </w:rPr>
            </w:pPr>
            <w:r>
              <w:rPr>
                <w:rFonts w:ascii="Arial Narrow" w:hAnsi="Arial Narrow"/>
                <w:sz w:val="20"/>
                <w:lang w:val="en-US"/>
              </w:rPr>
              <w:t>(52.3%)</w:t>
            </w:r>
          </w:p>
        </w:tc>
        <w:tc>
          <w:tcPr>
            <w:tcW w:w="726"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177 </w:t>
            </w:r>
          </w:p>
          <w:p w:rsidR="00EA1D15" w:rsidRPr="008A40DC" w:rsidRDefault="00EA1D15" w:rsidP="00DE495E">
            <w:pPr>
              <w:jc w:val="center"/>
              <w:rPr>
                <w:rFonts w:ascii="Arial Narrow" w:hAnsi="Arial Narrow"/>
                <w:sz w:val="20"/>
                <w:lang w:val="en-US"/>
              </w:rPr>
            </w:pPr>
            <w:r>
              <w:rPr>
                <w:rFonts w:ascii="Arial Narrow" w:hAnsi="Arial Narrow"/>
                <w:sz w:val="20"/>
                <w:lang w:val="en-US"/>
              </w:rPr>
              <w:t>(63.7%)</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-12.8%</w:t>
            </w:r>
          </w:p>
          <w:p w:rsidR="00EA1D15" w:rsidRPr="008A40DC" w:rsidRDefault="00EA1D15" w:rsidP="00DE495E">
            <w:pPr>
              <w:jc w:val="center"/>
              <w:rPr>
                <w:rFonts w:ascii="Arial Narrow" w:hAnsi="Arial Narrow"/>
                <w:sz w:val="20"/>
                <w:lang w:val="en-US"/>
              </w:rPr>
            </w:pPr>
            <w:r>
              <w:rPr>
                <w:rFonts w:ascii="Arial Narrow" w:hAnsi="Arial Narrow"/>
                <w:sz w:val="20"/>
                <w:lang w:val="en-US"/>
              </w:rPr>
              <w:t>10mg/kg Q3W vs. ipi: -11.4%</w:t>
            </w:r>
          </w:p>
        </w:tc>
        <w:tc>
          <w:tcPr>
            <w:tcW w:w="877" w:type="pct"/>
            <w:shd w:val="clear" w:color="auto" w:fill="auto"/>
            <w:vAlign w:val="center"/>
          </w:tcPr>
          <w:p w:rsidR="00EA1D15" w:rsidRPr="008A40DC" w:rsidRDefault="00EA1D15" w:rsidP="00DE495E">
            <w:pPr>
              <w:jc w:val="center"/>
              <w:rPr>
                <w:rFonts w:ascii="Arial Narrow" w:hAnsi="Arial Narrow"/>
                <w:sz w:val="20"/>
                <w:lang w:val="en-US"/>
              </w:rPr>
            </w:pPr>
            <w:r>
              <w:rPr>
                <w:rFonts w:ascii="Arial Narrow" w:hAnsi="Arial Narrow"/>
                <w:sz w:val="20"/>
                <w:lang w:val="en-US"/>
              </w:rPr>
              <w:t>-</w:t>
            </w:r>
          </w:p>
        </w:tc>
      </w:tr>
      <w:tr w:rsidR="00EA1D15" w:rsidRPr="008A40DC" w:rsidTr="00DE495E">
        <w:tc>
          <w:tcPr>
            <w:tcW w:w="589" w:type="pct"/>
            <w:shd w:val="clear" w:color="auto" w:fill="auto"/>
            <w:vAlign w:val="center"/>
          </w:tcPr>
          <w:p w:rsidR="00EA1D15" w:rsidRPr="008A40DC" w:rsidRDefault="00EA1D15" w:rsidP="00DE495E">
            <w:pPr>
              <w:rPr>
                <w:rFonts w:ascii="Arial Narrow" w:hAnsi="Arial Narrow"/>
                <w:sz w:val="20"/>
                <w:lang w:val="en-US"/>
              </w:rPr>
            </w:pPr>
            <w:r>
              <w:rPr>
                <w:rFonts w:ascii="Arial Narrow" w:hAnsi="Arial Narrow"/>
                <w:sz w:val="19"/>
                <w:szCs w:val="19"/>
              </w:rPr>
              <w:t>Median m</w:t>
            </w:r>
            <w:r w:rsidRPr="00646D28">
              <w:rPr>
                <w:rFonts w:ascii="Arial Narrow" w:hAnsi="Arial Narrow"/>
                <w:sz w:val="19"/>
                <w:szCs w:val="19"/>
              </w:rPr>
              <w:t>ths (95% CI)</w:t>
            </w:r>
          </w:p>
        </w:tc>
        <w:tc>
          <w:tcPr>
            <w:tcW w:w="772"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 xml:space="preserve">7.0 </w:t>
            </w:r>
          </w:p>
          <w:p w:rsidR="00EA1D15" w:rsidRPr="008A40DC" w:rsidRDefault="00EA1D15" w:rsidP="00DE495E">
            <w:pPr>
              <w:jc w:val="center"/>
              <w:rPr>
                <w:rFonts w:ascii="Arial Narrow" w:hAnsi="Arial Narrow"/>
                <w:sz w:val="20"/>
                <w:lang w:val="en-US"/>
              </w:rPr>
            </w:pPr>
            <w:r>
              <w:rPr>
                <w:rFonts w:ascii="Arial Narrow" w:hAnsi="Arial Narrow"/>
                <w:sz w:val="20"/>
                <w:lang w:val="en-US"/>
              </w:rPr>
              <w:t>(5.6, 9.6)</w:t>
            </w:r>
          </w:p>
        </w:tc>
        <w:tc>
          <w:tcPr>
            <w:tcW w:w="739" w:type="pct"/>
          </w:tcPr>
          <w:p w:rsidR="00EA1D15" w:rsidRDefault="00EA1D15" w:rsidP="00DE495E">
            <w:pPr>
              <w:jc w:val="center"/>
              <w:rPr>
                <w:rFonts w:ascii="Arial Narrow" w:hAnsi="Arial Narrow"/>
                <w:sz w:val="20"/>
                <w:lang w:val="en-US"/>
              </w:rPr>
            </w:pPr>
            <w:r>
              <w:rPr>
                <w:rFonts w:ascii="Arial Narrow" w:hAnsi="Arial Narrow"/>
                <w:sz w:val="20"/>
                <w:lang w:val="en-US"/>
              </w:rPr>
              <w:t>7.2</w:t>
            </w:r>
          </w:p>
          <w:p w:rsidR="00EA1D15" w:rsidRPr="008A40DC" w:rsidRDefault="00EA1D15" w:rsidP="00DE495E">
            <w:pPr>
              <w:jc w:val="center"/>
              <w:rPr>
                <w:rFonts w:ascii="Arial Narrow" w:hAnsi="Arial Narrow"/>
                <w:sz w:val="20"/>
                <w:lang w:val="en-US"/>
              </w:rPr>
            </w:pPr>
            <w:r>
              <w:rPr>
                <w:rFonts w:ascii="Arial Narrow" w:hAnsi="Arial Narrow"/>
                <w:sz w:val="20"/>
                <w:lang w:val="en-US"/>
              </w:rPr>
              <w:t>(5.6, 9.7)</w:t>
            </w:r>
          </w:p>
        </w:tc>
        <w:tc>
          <w:tcPr>
            <w:tcW w:w="726"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3.3 </w:t>
            </w:r>
          </w:p>
          <w:p w:rsidR="00EA1D15" w:rsidRPr="008A40DC" w:rsidRDefault="00EA1D15" w:rsidP="00DE495E">
            <w:pPr>
              <w:jc w:val="center"/>
              <w:rPr>
                <w:rFonts w:ascii="Arial Narrow" w:hAnsi="Arial Narrow"/>
                <w:sz w:val="20"/>
                <w:lang w:val="en-US"/>
              </w:rPr>
            </w:pPr>
            <w:r>
              <w:rPr>
                <w:rFonts w:ascii="Arial Narrow" w:hAnsi="Arial Narrow"/>
                <w:sz w:val="20"/>
                <w:lang w:val="en-US"/>
              </w:rPr>
              <w:t>(2.9, 4.2)</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3.7</w:t>
            </w:r>
          </w:p>
          <w:p w:rsidR="00EA1D15" w:rsidRPr="008A40DC" w:rsidRDefault="00EA1D15" w:rsidP="00DE495E">
            <w:pPr>
              <w:jc w:val="center"/>
              <w:rPr>
                <w:rFonts w:ascii="Arial Narrow" w:hAnsi="Arial Narrow"/>
                <w:sz w:val="20"/>
                <w:lang w:val="en-US"/>
              </w:rPr>
            </w:pPr>
            <w:r>
              <w:rPr>
                <w:rFonts w:ascii="Arial Narrow" w:hAnsi="Arial Narrow"/>
                <w:sz w:val="20"/>
                <w:lang w:val="en-US"/>
              </w:rPr>
              <w:t>10mg/kg Q3W vs. ipi: 3.9</w:t>
            </w:r>
          </w:p>
        </w:tc>
        <w:tc>
          <w:tcPr>
            <w:tcW w:w="87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0.56 (0.45, 0.70)</w:t>
            </w:r>
          </w:p>
          <w:p w:rsidR="00EA1D15" w:rsidRPr="008A40DC" w:rsidRDefault="00EA1D15" w:rsidP="00DE495E">
            <w:pPr>
              <w:jc w:val="center"/>
              <w:rPr>
                <w:rFonts w:ascii="Arial Narrow" w:hAnsi="Arial Narrow"/>
                <w:sz w:val="20"/>
                <w:lang w:val="en-US"/>
              </w:rPr>
            </w:pPr>
            <w:r>
              <w:rPr>
                <w:rFonts w:ascii="Arial Narrow" w:hAnsi="Arial Narrow"/>
                <w:sz w:val="20"/>
                <w:lang w:val="en-US"/>
              </w:rPr>
              <w:t>0.56 (0.45, 0.70)</w:t>
            </w:r>
          </w:p>
        </w:tc>
      </w:tr>
      <w:tr w:rsidR="00EA1D15" w:rsidRPr="008A40DC" w:rsidTr="00DE495E">
        <w:tc>
          <w:tcPr>
            <w:tcW w:w="589" w:type="pct"/>
            <w:shd w:val="clear" w:color="auto" w:fill="auto"/>
            <w:vAlign w:val="center"/>
          </w:tcPr>
          <w:p w:rsidR="00EA1D15" w:rsidRPr="008A40DC" w:rsidRDefault="00EA1D15" w:rsidP="00DE495E">
            <w:pPr>
              <w:rPr>
                <w:rFonts w:ascii="Arial Narrow" w:hAnsi="Arial Narrow"/>
                <w:sz w:val="20"/>
                <w:lang w:val="en-US"/>
              </w:rPr>
            </w:pPr>
            <w:r w:rsidRPr="00646D28">
              <w:rPr>
                <w:rFonts w:ascii="Arial Narrow" w:hAnsi="Arial Narrow"/>
                <w:sz w:val="19"/>
                <w:szCs w:val="19"/>
              </w:rPr>
              <w:t xml:space="preserve">PFS rate </w:t>
            </w:r>
            <w:r>
              <w:rPr>
                <w:rFonts w:ascii="Arial Narrow" w:hAnsi="Arial Narrow"/>
                <w:sz w:val="19"/>
                <w:szCs w:val="19"/>
              </w:rPr>
              <w:t>at 6 m</w:t>
            </w:r>
            <w:r w:rsidRPr="00646D28">
              <w:rPr>
                <w:rFonts w:ascii="Arial Narrow" w:hAnsi="Arial Narrow"/>
                <w:sz w:val="19"/>
                <w:szCs w:val="19"/>
              </w:rPr>
              <w:t>ths (%)</w:t>
            </w:r>
          </w:p>
        </w:tc>
        <w:tc>
          <w:tcPr>
            <w:tcW w:w="772" w:type="pct"/>
            <w:shd w:val="clear" w:color="auto" w:fill="auto"/>
          </w:tcPr>
          <w:p w:rsidR="00EA1D15" w:rsidRDefault="00EA1D15" w:rsidP="00DE495E">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54.5%</w:t>
            </w:r>
          </w:p>
          <w:p w:rsidR="00EA1D15" w:rsidRPr="0055434D" w:rsidRDefault="00EA1D15" w:rsidP="00DE495E">
            <w:pPr>
              <w:autoSpaceDE w:val="0"/>
              <w:autoSpaceDN w:val="0"/>
              <w:adjustRightInd w:val="0"/>
              <w:jc w:val="center"/>
              <w:rPr>
                <w:rFonts w:ascii="Arial Narrow" w:hAnsi="Arial Narrow" w:cs="Times"/>
                <w:sz w:val="20"/>
                <w:lang w:val="en-US" w:eastAsia="en-AU"/>
              </w:rPr>
            </w:pPr>
            <w:r w:rsidRPr="0055434D">
              <w:rPr>
                <w:rFonts w:ascii="Arial Narrow" w:hAnsi="Arial Narrow"/>
                <w:sz w:val="20"/>
                <w:lang w:val="en-US" w:eastAsia="en-AU"/>
              </w:rPr>
              <w:t>(</w:t>
            </w:r>
            <w:r>
              <w:rPr>
                <w:rFonts w:ascii="Arial Narrow" w:hAnsi="Arial Narrow"/>
                <w:sz w:val="20"/>
                <w:lang w:val="en-US" w:eastAsia="en-AU"/>
              </w:rPr>
              <w:t>48.3</w:t>
            </w:r>
            <w:r w:rsidRPr="0055434D">
              <w:rPr>
                <w:rFonts w:ascii="Arial Narrow" w:hAnsi="Arial Narrow"/>
                <w:sz w:val="20"/>
                <w:lang w:val="en-US" w:eastAsia="en-AU"/>
              </w:rPr>
              <w:t xml:space="preserve">, </w:t>
            </w:r>
            <w:r>
              <w:rPr>
                <w:rFonts w:ascii="Arial Narrow" w:hAnsi="Arial Narrow"/>
                <w:sz w:val="20"/>
                <w:lang w:val="en-US" w:eastAsia="en-AU"/>
              </w:rPr>
              <w:t>60.3</w:t>
            </w:r>
            <w:r w:rsidRPr="0055434D">
              <w:rPr>
                <w:rFonts w:ascii="Arial Narrow" w:hAnsi="Arial Narrow"/>
                <w:sz w:val="20"/>
                <w:lang w:val="en-US" w:eastAsia="en-AU"/>
              </w:rPr>
              <w:t>)</w:t>
            </w:r>
          </w:p>
        </w:tc>
        <w:tc>
          <w:tcPr>
            <w:tcW w:w="739" w:type="pct"/>
          </w:tcPr>
          <w:p w:rsidR="00EA1D15" w:rsidRDefault="00EA1D15" w:rsidP="00DE495E">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55.0%</w:t>
            </w:r>
          </w:p>
          <w:p w:rsidR="00EA1D15" w:rsidRPr="0055434D" w:rsidRDefault="00EA1D15" w:rsidP="00DE495E">
            <w:pPr>
              <w:autoSpaceDE w:val="0"/>
              <w:autoSpaceDN w:val="0"/>
              <w:adjustRightInd w:val="0"/>
              <w:jc w:val="center"/>
              <w:rPr>
                <w:rFonts w:ascii="Arial Narrow" w:hAnsi="Arial Narrow" w:cs="Times"/>
                <w:sz w:val="20"/>
                <w:lang w:val="en-US" w:eastAsia="en-AU"/>
              </w:rPr>
            </w:pPr>
            <w:r>
              <w:rPr>
                <w:rFonts w:ascii="Arial Narrow" w:hAnsi="Arial Narrow"/>
                <w:sz w:val="20"/>
                <w:lang w:val="en-US" w:eastAsia="en-AU"/>
              </w:rPr>
              <w:t>(48.8, 60.7)</w:t>
            </w:r>
          </w:p>
        </w:tc>
        <w:tc>
          <w:tcPr>
            <w:tcW w:w="726" w:type="pct"/>
          </w:tcPr>
          <w:p w:rsidR="00EA1D15" w:rsidRDefault="00EA1D15" w:rsidP="00DE495E">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33.6%</w:t>
            </w:r>
          </w:p>
          <w:p w:rsidR="00EA1D15" w:rsidRPr="0055434D" w:rsidRDefault="00EA1D15" w:rsidP="00DE495E">
            <w:pPr>
              <w:autoSpaceDE w:val="0"/>
              <w:autoSpaceDN w:val="0"/>
              <w:adjustRightInd w:val="0"/>
              <w:jc w:val="center"/>
              <w:rPr>
                <w:rFonts w:ascii="Arial Narrow" w:hAnsi="Arial Narrow" w:cs="Times"/>
                <w:sz w:val="20"/>
                <w:lang w:val="en-US" w:eastAsia="en-AU"/>
              </w:rPr>
            </w:pPr>
            <w:r>
              <w:rPr>
                <w:rFonts w:ascii="Arial Narrow" w:hAnsi="Arial Narrow"/>
                <w:sz w:val="20"/>
                <w:lang w:val="en-US" w:eastAsia="en-AU"/>
              </w:rPr>
              <w:t>(27.6, 39.7)</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20.9%</w:t>
            </w:r>
          </w:p>
          <w:p w:rsidR="00EA1D15" w:rsidRPr="008A40DC" w:rsidRDefault="00EA1D15" w:rsidP="00DE495E">
            <w:pPr>
              <w:jc w:val="center"/>
              <w:rPr>
                <w:rFonts w:ascii="Arial Narrow" w:hAnsi="Arial Narrow"/>
                <w:sz w:val="20"/>
                <w:lang w:val="en-US"/>
              </w:rPr>
            </w:pPr>
            <w:r>
              <w:rPr>
                <w:rFonts w:ascii="Arial Narrow" w:hAnsi="Arial Narrow"/>
                <w:sz w:val="20"/>
                <w:lang w:val="en-US"/>
              </w:rPr>
              <w:t>10mg/kg Q3W vs. ipi: 21.4%</w:t>
            </w:r>
          </w:p>
        </w:tc>
        <w:tc>
          <w:tcPr>
            <w:tcW w:w="877" w:type="pct"/>
            <w:shd w:val="clear" w:color="auto" w:fill="auto"/>
            <w:vAlign w:val="center"/>
          </w:tcPr>
          <w:p w:rsidR="00EA1D15" w:rsidRPr="008A40DC" w:rsidRDefault="00EA1D15" w:rsidP="00DE495E">
            <w:pPr>
              <w:jc w:val="center"/>
              <w:rPr>
                <w:rFonts w:ascii="Arial Narrow" w:hAnsi="Arial Narrow"/>
                <w:sz w:val="20"/>
                <w:lang w:val="en-US"/>
              </w:rPr>
            </w:pPr>
            <w:r>
              <w:rPr>
                <w:rFonts w:ascii="Arial Narrow" w:hAnsi="Arial Narrow"/>
                <w:sz w:val="20"/>
                <w:lang w:val="en-US"/>
              </w:rPr>
              <w:t>-</w:t>
            </w:r>
          </w:p>
        </w:tc>
      </w:tr>
      <w:tr w:rsidR="00EA1D15" w:rsidRPr="008A40DC" w:rsidTr="00DE495E">
        <w:tc>
          <w:tcPr>
            <w:tcW w:w="5000" w:type="pct"/>
            <w:gridSpan w:val="6"/>
            <w:shd w:val="clear" w:color="auto" w:fill="auto"/>
          </w:tcPr>
          <w:p w:rsidR="00EA1D15" w:rsidRPr="0055434D" w:rsidRDefault="00EA1D15" w:rsidP="00DE495E">
            <w:pPr>
              <w:rPr>
                <w:rFonts w:ascii="Arial Narrow" w:hAnsi="Arial Narrow"/>
                <w:b/>
                <w:sz w:val="20"/>
                <w:lang w:val="en-US"/>
              </w:rPr>
            </w:pPr>
            <w:r>
              <w:rPr>
                <w:rFonts w:ascii="Arial Narrow" w:hAnsi="Arial Narrow"/>
                <w:b/>
                <w:sz w:val="20"/>
                <w:lang w:val="en-US"/>
              </w:rPr>
              <w:t>Overall survival</w:t>
            </w:r>
          </w:p>
        </w:tc>
      </w:tr>
      <w:tr w:rsidR="00EA1D15" w:rsidRPr="008A40DC" w:rsidTr="00DE495E">
        <w:tc>
          <w:tcPr>
            <w:tcW w:w="589" w:type="pct"/>
            <w:shd w:val="clear" w:color="auto" w:fill="auto"/>
            <w:vAlign w:val="center"/>
          </w:tcPr>
          <w:p w:rsidR="00EA1D15" w:rsidRPr="008A40DC" w:rsidRDefault="00EA1D15" w:rsidP="00DE495E">
            <w:pPr>
              <w:tabs>
                <w:tab w:val="left" w:pos="114"/>
              </w:tabs>
              <w:rPr>
                <w:rFonts w:ascii="Arial Narrow" w:hAnsi="Arial Narrow"/>
                <w:sz w:val="20"/>
                <w:lang w:val="en-US"/>
              </w:rPr>
            </w:pPr>
            <w:r>
              <w:rPr>
                <w:rFonts w:ascii="Arial Narrow" w:hAnsi="Arial Narrow"/>
                <w:sz w:val="19"/>
                <w:szCs w:val="19"/>
              </w:rPr>
              <w:t>Died</w:t>
            </w:r>
          </w:p>
        </w:tc>
        <w:tc>
          <w:tcPr>
            <w:tcW w:w="772" w:type="pct"/>
            <w:shd w:val="clear" w:color="auto" w:fill="auto"/>
          </w:tcPr>
          <w:p w:rsidR="00EA1D15" w:rsidRDefault="00EA1D15" w:rsidP="00DE495E">
            <w:pPr>
              <w:jc w:val="center"/>
              <w:rPr>
                <w:rFonts w:ascii="Arial Narrow" w:hAnsi="Arial Narrow"/>
                <w:sz w:val="20"/>
                <w:lang w:val="en-US"/>
              </w:rPr>
            </w:pPr>
            <w:r>
              <w:rPr>
                <w:rFonts w:ascii="Arial Narrow" w:hAnsi="Arial Narrow"/>
                <w:sz w:val="20"/>
                <w:lang w:val="en-US"/>
              </w:rPr>
              <w:t xml:space="preserve">61 </w:t>
            </w:r>
          </w:p>
          <w:p w:rsidR="00EA1D15" w:rsidRPr="008A40DC" w:rsidRDefault="00EA1D15" w:rsidP="00DE495E">
            <w:pPr>
              <w:jc w:val="center"/>
              <w:rPr>
                <w:rFonts w:ascii="Arial Narrow" w:hAnsi="Arial Narrow"/>
                <w:sz w:val="20"/>
                <w:lang w:val="en-US"/>
              </w:rPr>
            </w:pPr>
            <w:r>
              <w:rPr>
                <w:rFonts w:ascii="Arial Narrow" w:hAnsi="Arial Narrow"/>
                <w:sz w:val="20"/>
                <w:lang w:val="en-US"/>
              </w:rPr>
              <w:t>(21.9%)</w:t>
            </w:r>
          </w:p>
        </w:tc>
        <w:tc>
          <w:tcPr>
            <w:tcW w:w="739"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56 </w:t>
            </w:r>
          </w:p>
          <w:p w:rsidR="00EA1D15" w:rsidRPr="008A40DC" w:rsidRDefault="00EA1D15" w:rsidP="00DE495E">
            <w:pPr>
              <w:jc w:val="center"/>
              <w:rPr>
                <w:rFonts w:ascii="Arial Narrow" w:hAnsi="Arial Narrow"/>
                <w:sz w:val="20"/>
                <w:lang w:val="en-US"/>
              </w:rPr>
            </w:pPr>
            <w:r>
              <w:rPr>
                <w:rFonts w:ascii="Arial Narrow" w:hAnsi="Arial Narrow"/>
                <w:sz w:val="20"/>
                <w:lang w:val="en-US"/>
              </w:rPr>
              <w:t>(20.2%)</w:t>
            </w:r>
          </w:p>
        </w:tc>
        <w:tc>
          <w:tcPr>
            <w:tcW w:w="726"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85 </w:t>
            </w:r>
          </w:p>
          <w:p w:rsidR="00EA1D15" w:rsidRPr="008A40DC" w:rsidRDefault="00EA1D15" w:rsidP="00DE495E">
            <w:pPr>
              <w:jc w:val="center"/>
              <w:rPr>
                <w:rFonts w:ascii="Arial Narrow" w:hAnsi="Arial Narrow"/>
                <w:sz w:val="20"/>
                <w:lang w:val="en-US"/>
              </w:rPr>
            </w:pPr>
            <w:r>
              <w:rPr>
                <w:rFonts w:ascii="Arial Narrow" w:hAnsi="Arial Narrow"/>
                <w:sz w:val="20"/>
                <w:lang w:val="en-US"/>
              </w:rPr>
              <w:t>(30.6%)</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-8.7%</w:t>
            </w:r>
          </w:p>
          <w:p w:rsidR="00EA1D15" w:rsidRPr="008A40DC" w:rsidRDefault="00EA1D15" w:rsidP="00DE495E">
            <w:pPr>
              <w:jc w:val="center"/>
              <w:rPr>
                <w:rFonts w:ascii="Arial Narrow" w:hAnsi="Arial Narrow"/>
                <w:sz w:val="20"/>
                <w:lang w:val="en-US"/>
              </w:rPr>
            </w:pPr>
            <w:r>
              <w:rPr>
                <w:rFonts w:ascii="Arial Narrow" w:hAnsi="Arial Narrow"/>
                <w:sz w:val="20"/>
                <w:lang w:val="en-US"/>
              </w:rPr>
              <w:t>10mg/kg Q3W vs. ipi: -10.4%</w:t>
            </w:r>
          </w:p>
        </w:tc>
        <w:tc>
          <w:tcPr>
            <w:tcW w:w="877" w:type="pct"/>
            <w:shd w:val="clear" w:color="auto" w:fill="auto"/>
          </w:tcPr>
          <w:p w:rsidR="00EA1D15" w:rsidRPr="008A40DC" w:rsidRDefault="00EA1D15" w:rsidP="00DE495E">
            <w:pPr>
              <w:jc w:val="center"/>
              <w:rPr>
                <w:rFonts w:ascii="Arial Narrow" w:hAnsi="Arial Narrow"/>
                <w:sz w:val="20"/>
                <w:lang w:val="en-US"/>
              </w:rPr>
            </w:pPr>
          </w:p>
        </w:tc>
      </w:tr>
      <w:tr w:rsidR="00EA1D15" w:rsidRPr="008A40DC" w:rsidTr="00DE495E">
        <w:tc>
          <w:tcPr>
            <w:tcW w:w="589" w:type="pct"/>
            <w:shd w:val="clear" w:color="auto" w:fill="auto"/>
            <w:vAlign w:val="center"/>
          </w:tcPr>
          <w:p w:rsidR="00EA1D15" w:rsidRPr="008A40DC" w:rsidRDefault="00EA1D15" w:rsidP="00DE495E">
            <w:pPr>
              <w:tabs>
                <w:tab w:val="left" w:pos="114"/>
              </w:tabs>
              <w:rPr>
                <w:rFonts w:ascii="Arial Narrow" w:hAnsi="Arial Narrow"/>
                <w:sz w:val="20"/>
                <w:lang w:val="en-US"/>
              </w:rPr>
            </w:pPr>
            <w:r>
              <w:rPr>
                <w:rFonts w:ascii="Arial Narrow" w:hAnsi="Arial Narrow"/>
                <w:sz w:val="19"/>
                <w:szCs w:val="19"/>
              </w:rPr>
              <w:t>Median m</w:t>
            </w:r>
            <w:r w:rsidRPr="00646D28">
              <w:rPr>
                <w:rFonts w:ascii="Arial Narrow" w:hAnsi="Arial Narrow"/>
                <w:sz w:val="19"/>
                <w:szCs w:val="19"/>
              </w:rPr>
              <w:t>ths (95% CI)</w:t>
            </w:r>
          </w:p>
        </w:tc>
        <w:tc>
          <w:tcPr>
            <w:tcW w:w="772" w:type="pct"/>
            <w:shd w:val="clear" w:color="auto" w:fill="auto"/>
            <w:vAlign w:val="center"/>
          </w:tcPr>
          <w:p w:rsidR="00EA1D15" w:rsidRPr="008A40DC" w:rsidRDefault="00EA1D15" w:rsidP="00DE495E">
            <w:pPr>
              <w:jc w:val="center"/>
              <w:rPr>
                <w:rFonts w:ascii="Arial Narrow" w:hAnsi="Arial Narrow"/>
                <w:sz w:val="20"/>
                <w:lang w:val="en-US"/>
              </w:rPr>
            </w:pPr>
            <w:r>
              <w:rPr>
                <w:rFonts w:ascii="Arial Narrow" w:hAnsi="Arial Narrow"/>
                <w:sz w:val="20"/>
                <w:lang w:val="en-US"/>
              </w:rPr>
              <w:t>NR</w:t>
            </w:r>
          </w:p>
        </w:tc>
        <w:tc>
          <w:tcPr>
            <w:tcW w:w="739" w:type="pct"/>
            <w:vAlign w:val="center"/>
          </w:tcPr>
          <w:p w:rsidR="00EA1D15" w:rsidRPr="008A40DC" w:rsidRDefault="00EA1D15" w:rsidP="00DE495E">
            <w:pPr>
              <w:jc w:val="center"/>
              <w:rPr>
                <w:rFonts w:ascii="Arial Narrow" w:hAnsi="Arial Narrow"/>
                <w:sz w:val="20"/>
                <w:lang w:val="en-US"/>
              </w:rPr>
            </w:pPr>
            <w:r>
              <w:rPr>
                <w:rFonts w:ascii="Arial Narrow" w:hAnsi="Arial Narrow"/>
                <w:sz w:val="20"/>
                <w:lang w:val="en-US"/>
              </w:rPr>
              <w:t>NR</w:t>
            </w:r>
          </w:p>
        </w:tc>
        <w:tc>
          <w:tcPr>
            <w:tcW w:w="726" w:type="pct"/>
            <w:vAlign w:val="center"/>
          </w:tcPr>
          <w:p w:rsidR="00EA1D15" w:rsidRPr="008A40DC" w:rsidRDefault="00EA1D15" w:rsidP="00DE495E">
            <w:pPr>
              <w:jc w:val="center"/>
              <w:rPr>
                <w:rFonts w:ascii="Arial Narrow" w:hAnsi="Arial Narrow"/>
                <w:sz w:val="20"/>
                <w:lang w:val="en-US"/>
              </w:rPr>
            </w:pPr>
            <w:r>
              <w:rPr>
                <w:rFonts w:ascii="Arial Narrow" w:hAnsi="Arial Narrow"/>
                <w:sz w:val="20"/>
                <w:lang w:val="en-US"/>
              </w:rPr>
              <w:t>NR</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w:t>
            </w:r>
          </w:p>
          <w:p w:rsidR="00EA1D15" w:rsidRPr="008A40DC" w:rsidRDefault="00EA1D15" w:rsidP="00DE495E">
            <w:pPr>
              <w:jc w:val="center"/>
              <w:rPr>
                <w:rFonts w:ascii="Arial Narrow" w:hAnsi="Arial Narrow"/>
                <w:sz w:val="20"/>
                <w:lang w:val="en-US"/>
              </w:rPr>
            </w:pPr>
            <w:r>
              <w:rPr>
                <w:rFonts w:ascii="Arial Narrow" w:hAnsi="Arial Narrow"/>
                <w:sz w:val="20"/>
                <w:lang w:val="en-US"/>
              </w:rPr>
              <w:t>10mg/kg Q3W vs. ipi:  -</w:t>
            </w:r>
          </w:p>
        </w:tc>
        <w:tc>
          <w:tcPr>
            <w:tcW w:w="877" w:type="pct"/>
            <w:shd w:val="clear" w:color="auto" w:fill="auto"/>
          </w:tcPr>
          <w:p w:rsidR="00EA1D15" w:rsidRDefault="00EA1D15" w:rsidP="00DE495E">
            <w:pPr>
              <w:jc w:val="center"/>
              <w:rPr>
                <w:rFonts w:ascii="Arial Narrow" w:hAnsi="Arial Narrow"/>
                <w:sz w:val="20"/>
                <w:lang w:val="en-US"/>
              </w:rPr>
            </w:pPr>
            <w:r>
              <w:rPr>
                <w:rFonts w:ascii="Arial Narrow" w:hAnsi="Arial Narrow"/>
                <w:sz w:val="20"/>
                <w:lang w:val="en-US"/>
              </w:rPr>
              <w:t>0.60 (0.43, 0.84)</w:t>
            </w:r>
          </w:p>
          <w:p w:rsidR="00EA1D15" w:rsidRPr="008A40DC" w:rsidRDefault="00EA1D15" w:rsidP="00DE495E">
            <w:pPr>
              <w:jc w:val="center"/>
              <w:rPr>
                <w:rFonts w:ascii="Arial Narrow" w:hAnsi="Arial Narrow"/>
                <w:sz w:val="20"/>
                <w:lang w:val="en-US"/>
              </w:rPr>
            </w:pPr>
            <w:r>
              <w:rPr>
                <w:rFonts w:ascii="Arial Narrow" w:hAnsi="Arial Narrow"/>
                <w:sz w:val="20"/>
                <w:lang w:val="en-US"/>
              </w:rPr>
              <w:t>0.56 (0.40, 0.78)</w:t>
            </w:r>
          </w:p>
        </w:tc>
      </w:tr>
      <w:tr w:rsidR="00EA1D15" w:rsidRPr="008A40DC" w:rsidTr="00DE495E">
        <w:tc>
          <w:tcPr>
            <w:tcW w:w="589" w:type="pct"/>
            <w:shd w:val="clear" w:color="auto" w:fill="auto"/>
            <w:vAlign w:val="center"/>
          </w:tcPr>
          <w:p w:rsidR="00EA1D15" w:rsidRPr="008A40DC" w:rsidRDefault="00EA1D15" w:rsidP="00DE495E">
            <w:pPr>
              <w:tabs>
                <w:tab w:val="left" w:pos="114"/>
              </w:tabs>
              <w:rPr>
                <w:rFonts w:ascii="Arial Narrow" w:hAnsi="Arial Narrow"/>
                <w:sz w:val="20"/>
                <w:lang w:val="en-US"/>
              </w:rPr>
            </w:pPr>
            <w:r>
              <w:rPr>
                <w:rFonts w:ascii="Arial Narrow" w:hAnsi="Arial Narrow"/>
                <w:sz w:val="19"/>
                <w:szCs w:val="19"/>
              </w:rPr>
              <w:t>O</w:t>
            </w:r>
            <w:r w:rsidRPr="00646D28">
              <w:rPr>
                <w:rFonts w:ascii="Arial Narrow" w:hAnsi="Arial Narrow"/>
                <w:sz w:val="19"/>
                <w:szCs w:val="19"/>
              </w:rPr>
              <w:t xml:space="preserve">S rate </w:t>
            </w:r>
            <w:r>
              <w:rPr>
                <w:rFonts w:ascii="Arial Narrow" w:hAnsi="Arial Narrow"/>
                <w:sz w:val="19"/>
                <w:szCs w:val="19"/>
              </w:rPr>
              <w:t>at 6 m</w:t>
            </w:r>
            <w:r w:rsidRPr="00646D28">
              <w:rPr>
                <w:rFonts w:ascii="Arial Narrow" w:hAnsi="Arial Narrow"/>
                <w:sz w:val="19"/>
                <w:szCs w:val="19"/>
              </w:rPr>
              <w:t>ths (%)</w:t>
            </w:r>
          </w:p>
        </w:tc>
        <w:tc>
          <w:tcPr>
            <w:tcW w:w="772" w:type="pct"/>
            <w:shd w:val="clear" w:color="auto" w:fill="auto"/>
          </w:tcPr>
          <w:p w:rsidR="00EA1D15" w:rsidRDefault="00EA1D15" w:rsidP="00DE495E">
            <w:pPr>
              <w:jc w:val="center"/>
              <w:rPr>
                <w:rFonts w:ascii="Arial Narrow" w:hAnsi="Arial Narrow"/>
                <w:sz w:val="20"/>
                <w:lang w:val="en-US"/>
              </w:rPr>
            </w:pPr>
            <w:r>
              <w:rPr>
                <w:rFonts w:ascii="Arial Narrow" w:hAnsi="Arial Narrow"/>
                <w:sz w:val="20"/>
                <w:lang w:val="en-US"/>
              </w:rPr>
              <w:t xml:space="preserve">84.8% </w:t>
            </w:r>
          </w:p>
          <w:p w:rsidR="00EA1D15" w:rsidRPr="008A40DC" w:rsidRDefault="00EA1D15" w:rsidP="00DE495E">
            <w:pPr>
              <w:jc w:val="center"/>
              <w:rPr>
                <w:rFonts w:ascii="Arial Narrow" w:hAnsi="Arial Narrow"/>
                <w:sz w:val="20"/>
                <w:lang w:val="en-US"/>
              </w:rPr>
            </w:pPr>
            <w:r>
              <w:rPr>
                <w:rFonts w:ascii="Arial Narrow" w:hAnsi="Arial Narrow"/>
                <w:sz w:val="20"/>
                <w:lang w:val="en-US"/>
              </w:rPr>
              <w:t>(80.0%, 88.5%)</w:t>
            </w:r>
          </w:p>
        </w:tc>
        <w:tc>
          <w:tcPr>
            <w:tcW w:w="739"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87.6% </w:t>
            </w:r>
          </w:p>
          <w:p w:rsidR="00EA1D15" w:rsidRPr="008A40DC" w:rsidRDefault="00EA1D15" w:rsidP="00DE495E">
            <w:pPr>
              <w:jc w:val="center"/>
              <w:rPr>
                <w:rFonts w:ascii="Arial Narrow" w:hAnsi="Arial Narrow"/>
                <w:sz w:val="20"/>
                <w:lang w:val="en-US"/>
              </w:rPr>
            </w:pPr>
            <w:r>
              <w:rPr>
                <w:rFonts w:ascii="Arial Narrow" w:hAnsi="Arial Narrow"/>
                <w:sz w:val="20"/>
                <w:lang w:val="en-US"/>
              </w:rPr>
              <w:t>(83.1%), 91.0%)</w:t>
            </w:r>
          </w:p>
        </w:tc>
        <w:tc>
          <w:tcPr>
            <w:tcW w:w="726" w:type="pct"/>
          </w:tcPr>
          <w:p w:rsidR="00EA1D15" w:rsidRDefault="00EA1D15" w:rsidP="00DE495E">
            <w:pPr>
              <w:jc w:val="center"/>
              <w:rPr>
                <w:rFonts w:ascii="Arial Narrow" w:hAnsi="Arial Narrow"/>
                <w:sz w:val="20"/>
                <w:lang w:val="en-US"/>
              </w:rPr>
            </w:pPr>
            <w:r>
              <w:rPr>
                <w:rFonts w:ascii="Arial Narrow" w:hAnsi="Arial Narrow"/>
                <w:sz w:val="20"/>
                <w:lang w:val="en-US"/>
              </w:rPr>
              <w:t xml:space="preserve">74.6% </w:t>
            </w:r>
          </w:p>
          <w:p w:rsidR="00EA1D15" w:rsidRPr="008A40DC" w:rsidRDefault="00EA1D15" w:rsidP="00DE495E">
            <w:pPr>
              <w:jc w:val="center"/>
              <w:rPr>
                <w:rFonts w:ascii="Arial Narrow" w:hAnsi="Arial Narrow"/>
                <w:sz w:val="20"/>
                <w:lang w:val="en-US"/>
              </w:rPr>
            </w:pPr>
            <w:r>
              <w:rPr>
                <w:rFonts w:ascii="Arial Narrow" w:hAnsi="Arial Narrow"/>
                <w:sz w:val="20"/>
                <w:lang w:val="en-US"/>
              </w:rPr>
              <w:t>(68.8%, 79.5%)</w:t>
            </w:r>
          </w:p>
        </w:tc>
        <w:tc>
          <w:tcPr>
            <w:tcW w:w="1297" w:type="pct"/>
            <w:shd w:val="clear" w:color="auto" w:fill="auto"/>
            <w:vAlign w:val="center"/>
          </w:tcPr>
          <w:p w:rsidR="00EA1D15" w:rsidRDefault="00EA1D15" w:rsidP="00DE495E">
            <w:pPr>
              <w:jc w:val="center"/>
              <w:rPr>
                <w:rFonts w:ascii="Arial Narrow" w:hAnsi="Arial Narrow"/>
                <w:sz w:val="20"/>
                <w:lang w:val="en-US"/>
              </w:rPr>
            </w:pPr>
            <w:r>
              <w:rPr>
                <w:rFonts w:ascii="Arial Narrow" w:hAnsi="Arial Narrow"/>
                <w:sz w:val="20"/>
                <w:lang w:val="en-US"/>
              </w:rPr>
              <w:t>10mg/kg Q2W vs. ipi: 10.2%</w:t>
            </w:r>
          </w:p>
          <w:p w:rsidR="00EA1D15" w:rsidRPr="008A40DC" w:rsidRDefault="00EA1D15" w:rsidP="00DE495E">
            <w:pPr>
              <w:jc w:val="center"/>
              <w:rPr>
                <w:rFonts w:ascii="Arial Narrow" w:hAnsi="Arial Narrow"/>
                <w:sz w:val="20"/>
                <w:lang w:val="en-US"/>
              </w:rPr>
            </w:pPr>
            <w:r>
              <w:rPr>
                <w:rFonts w:ascii="Arial Narrow" w:hAnsi="Arial Narrow"/>
                <w:sz w:val="20"/>
                <w:lang w:val="en-US"/>
              </w:rPr>
              <w:t>10mg/kg Q3W vs. ipi: 13.0%</w:t>
            </w:r>
          </w:p>
        </w:tc>
        <w:tc>
          <w:tcPr>
            <w:tcW w:w="877" w:type="pct"/>
            <w:shd w:val="clear" w:color="auto" w:fill="auto"/>
          </w:tcPr>
          <w:p w:rsidR="00EA1D15" w:rsidRPr="008A40DC" w:rsidRDefault="00EA1D15" w:rsidP="00DE495E">
            <w:pPr>
              <w:jc w:val="center"/>
              <w:rPr>
                <w:rFonts w:ascii="Arial Narrow" w:hAnsi="Arial Narrow"/>
                <w:sz w:val="20"/>
                <w:lang w:val="en-US"/>
              </w:rPr>
            </w:pPr>
          </w:p>
        </w:tc>
      </w:tr>
    </w:tbl>
    <w:p w:rsidR="00EA1D15" w:rsidRPr="00B95329" w:rsidRDefault="00EA1D15" w:rsidP="00EA1D15">
      <w:pPr>
        <w:tabs>
          <w:tab w:val="left" w:pos="851"/>
        </w:tabs>
        <w:ind w:left="851" w:hanging="142"/>
        <w:rPr>
          <w:rFonts w:ascii="Arial Narrow" w:hAnsi="Arial Narrow"/>
          <w:sz w:val="18"/>
        </w:rPr>
      </w:pPr>
      <w:r w:rsidRPr="00B95329">
        <w:rPr>
          <w:rFonts w:ascii="Arial Narrow" w:hAnsi="Arial Narrow"/>
          <w:sz w:val="18"/>
          <w:vertAlign w:val="superscript"/>
        </w:rPr>
        <w:t>a</w:t>
      </w:r>
      <w:r>
        <w:rPr>
          <w:rFonts w:ascii="Arial Narrow" w:hAnsi="Arial Narrow"/>
          <w:sz w:val="18"/>
        </w:rPr>
        <w:tab/>
        <w:t>The interim report states that irRC differs from RECIST 1.1 in that progression of disease generally requires confirmation at least 4 weeks after an initial assessment (unless the patient has rapid or symptomatic disease progression based on clinical judgment and is unsuitable to wait for confirmation of progression).  In addition, new lesions are counted into the total disease burden in irRC and do not automatically trigger an assessment of disease progression as in RECIST 1.1.</w:t>
      </w:r>
    </w:p>
    <w:p w:rsidR="00EA1D15" w:rsidRDefault="00EA1D15" w:rsidP="00EA1D15">
      <w:pPr>
        <w:ind w:left="709"/>
        <w:rPr>
          <w:rFonts w:ascii="Arial Narrow" w:hAnsi="Arial Narrow"/>
          <w:sz w:val="18"/>
        </w:rPr>
      </w:pPr>
      <w:r>
        <w:rPr>
          <w:rFonts w:ascii="Arial Narrow" w:hAnsi="Arial Narrow"/>
          <w:sz w:val="18"/>
        </w:rPr>
        <w:t>Ipi=ipilimumab; IRO=independent radiologist plus oncologist’s review (defined in the submission for KN-001 as integrated radiology and oncology assessment, which is the same as independent central review reported in KN-001); irRC=immune-related response criteria; NR=not reached; OS=overall survival</w:t>
      </w:r>
      <w:r w:rsidR="00455BA9">
        <w:rPr>
          <w:rFonts w:ascii="Arial Narrow" w:hAnsi="Arial Narrow"/>
          <w:sz w:val="18"/>
        </w:rPr>
        <w:t>; Pembro=pembrolizumab; PFS=progression-free survival</w:t>
      </w:r>
    </w:p>
    <w:p w:rsidR="00EA1D15" w:rsidRPr="008A40DC" w:rsidRDefault="00EA1D15" w:rsidP="00EA1D15">
      <w:pPr>
        <w:ind w:left="709"/>
        <w:contextualSpacing/>
        <w:rPr>
          <w:szCs w:val="22"/>
        </w:rPr>
      </w:pPr>
      <w:r w:rsidRPr="008A40DC">
        <w:rPr>
          <w:rFonts w:ascii="Arial Narrow" w:hAnsi="Arial Narrow"/>
          <w:sz w:val="18"/>
        </w:rPr>
        <w:t xml:space="preserve">Source: </w:t>
      </w:r>
      <w:r>
        <w:rPr>
          <w:rFonts w:ascii="Arial Narrow" w:hAnsi="Arial Narrow"/>
          <w:sz w:val="18"/>
        </w:rPr>
        <w:t xml:space="preserve">Table 3, p13; </w:t>
      </w:r>
      <w:r w:rsidR="00DE4F22">
        <w:rPr>
          <w:rFonts w:ascii="Arial Narrow" w:hAnsi="Arial Narrow"/>
          <w:sz w:val="18"/>
        </w:rPr>
        <w:t xml:space="preserve">Table 1, p15; </w:t>
      </w:r>
      <w:r>
        <w:rPr>
          <w:rFonts w:ascii="Arial Narrow" w:hAnsi="Arial Narrow"/>
          <w:sz w:val="18"/>
        </w:rPr>
        <w:t xml:space="preserve">Table </w:t>
      </w:r>
      <w:r w:rsidRPr="00A12DA1">
        <w:rPr>
          <w:rFonts w:ascii="Arial Narrow" w:hAnsi="Arial Narrow"/>
          <w:sz w:val="18"/>
        </w:rPr>
        <w:t>5, p17</w:t>
      </w:r>
      <w:r>
        <w:rPr>
          <w:rFonts w:ascii="Arial Narrow" w:hAnsi="Arial Narrow"/>
          <w:sz w:val="18"/>
        </w:rPr>
        <w:t xml:space="preserve"> of the interim analysis document</w:t>
      </w:r>
    </w:p>
    <w:p w:rsidR="00EA1D15" w:rsidRDefault="00EA1D15" w:rsidP="00EA1D15"/>
    <w:p w:rsidR="00B01051" w:rsidRPr="00BC5723" w:rsidRDefault="00B01051" w:rsidP="00B01051">
      <w:pPr>
        <w:numPr>
          <w:ilvl w:val="1"/>
          <w:numId w:val="1"/>
        </w:numPr>
        <w:contextualSpacing/>
        <w:rPr>
          <w:szCs w:val="22"/>
        </w:rPr>
      </w:pPr>
      <w:r>
        <w:t>The Kaplan-Meier plot</w:t>
      </w:r>
      <w:r w:rsidR="00355255">
        <w:t>s</w:t>
      </w:r>
      <w:r>
        <w:t xml:space="preserve"> of PFS and OS </w:t>
      </w:r>
      <w:r w:rsidR="00EA1D15">
        <w:t>are</w:t>
      </w:r>
      <w:r w:rsidR="00355255">
        <w:t xml:space="preserve"> provided in the figures below.</w:t>
      </w:r>
    </w:p>
    <w:p w:rsidR="00B01051" w:rsidRPr="00355255" w:rsidRDefault="00B01051" w:rsidP="00B01051">
      <w:pPr>
        <w:rPr>
          <w:szCs w:val="22"/>
        </w:rPr>
      </w:pPr>
    </w:p>
    <w:p w:rsidR="00CA498A" w:rsidRDefault="00CA498A">
      <w:pPr>
        <w:widowControl/>
        <w:jc w:val="left"/>
        <w:rPr>
          <w:rFonts w:ascii="Arial Narrow" w:hAnsi="Arial Narrow"/>
          <w:b/>
          <w:sz w:val="20"/>
          <w:lang w:val="en-US" w:eastAsia="en-AU"/>
        </w:rPr>
      </w:pPr>
      <w:r>
        <w:rPr>
          <w:rFonts w:ascii="Arial Narrow" w:hAnsi="Arial Narrow"/>
          <w:b/>
          <w:sz w:val="20"/>
          <w:lang w:val="en-US" w:eastAsia="en-AU"/>
        </w:rPr>
        <w:br w:type="page"/>
      </w:r>
    </w:p>
    <w:p w:rsidR="00B01051" w:rsidRPr="006C3418" w:rsidRDefault="00B01051" w:rsidP="00EA1D15">
      <w:pPr>
        <w:ind w:firstLine="720"/>
        <w:rPr>
          <w:szCs w:val="22"/>
        </w:rPr>
      </w:pPr>
      <w:r>
        <w:rPr>
          <w:rFonts w:ascii="Arial Narrow" w:hAnsi="Arial Narrow"/>
          <w:b/>
          <w:sz w:val="20"/>
          <w:lang w:val="en-US" w:eastAsia="en-AU"/>
        </w:rPr>
        <w:lastRenderedPageBreak/>
        <w:t>Kaplan-Meier PFS curves (September 2014 data cut)</w:t>
      </w:r>
    </w:p>
    <w:p w:rsidR="00B01051" w:rsidRPr="00A52B27" w:rsidRDefault="001A6FF4" w:rsidP="00B01051">
      <w:pPr>
        <w:autoSpaceDE w:val="0"/>
        <w:autoSpaceDN w:val="0"/>
        <w:adjustRightInd w:val="0"/>
        <w:rPr>
          <w:szCs w:val="22"/>
          <w:lang w:val="en-US" w:eastAsia="en-AU"/>
        </w:rPr>
      </w:pPr>
      <w:r w:rsidRPr="00400618">
        <w:rPr>
          <w:rFonts w:ascii="Times" w:hAnsi="Times" w:cs="Times"/>
          <w:noProof/>
          <w:lang w:eastAsia="en-AU"/>
        </w:rPr>
        <w:drawing>
          <wp:inline distT="0" distB="0" distL="0" distR="0" wp14:anchorId="79DDDB26" wp14:editId="4F2D4428">
            <wp:extent cx="52578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2057400"/>
                    </a:xfrm>
                    <a:prstGeom prst="rect">
                      <a:avLst/>
                    </a:prstGeom>
                    <a:noFill/>
                    <a:ln>
                      <a:noFill/>
                    </a:ln>
                  </pic:spPr>
                </pic:pic>
              </a:graphicData>
            </a:graphic>
          </wp:inline>
        </w:drawing>
      </w:r>
      <w:r w:rsidR="00B01051" w:rsidRPr="00A52B27">
        <w:rPr>
          <w:szCs w:val="22"/>
          <w:lang w:val="en-US" w:eastAsia="en-AU"/>
        </w:rPr>
        <w:t xml:space="preserve"> </w:t>
      </w:r>
      <w:r w:rsidRPr="00400618">
        <w:rPr>
          <w:rFonts w:ascii="Times" w:hAnsi="Times" w:cs="Times"/>
          <w:noProof/>
          <w:lang w:eastAsia="en-AU"/>
        </w:rPr>
        <w:drawing>
          <wp:inline distT="0" distB="0" distL="0" distR="0" wp14:anchorId="169C816F" wp14:editId="0D1E3D12">
            <wp:extent cx="5259185" cy="205601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2728" cy="2057400"/>
                    </a:xfrm>
                    <a:prstGeom prst="rect">
                      <a:avLst/>
                    </a:prstGeom>
                    <a:noFill/>
                    <a:ln>
                      <a:noFill/>
                    </a:ln>
                  </pic:spPr>
                </pic:pic>
              </a:graphicData>
            </a:graphic>
          </wp:inline>
        </w:drawing>
      </w:r>
    </w:p>
    <w:p w:rsidR="00B01051" w:rsidRPr="00205118" w:rsidRDefault="00B01051" w:rsidP="00B01051">
      <w:pPr>
        <w:ind w:left="709"/>
        <w:rPr>
          <w:rFonts w:ascii="Arial Narrow" w:hAnsi="Arial Narrow"/>
          <w:sz w:val="18"/>
          <w:szCs w:val="18"/>
        </w:rPr>
      </w:pPr>
      <w:r w:rsidRPr="00205118">
        <w:rPr>
          <w:rFonts w:ascii="Arial Narrow" w:hAnsi="Arial Narrow"/>
          <w:sz w:val="18"/>
          <w:szCs w:val="18"/>
        </w:rPr>
        <w:t>Source: Figure 1, p14 of the interim analysis document</w:t>
      </w:r>
    </w:p>
    <w:p w:rsidR="00B01051" w:rsidRDefault="00B01051" w:rsidP="00B01051">
      <w:pPr>
        <w:rPr>
          <w:szCs w:val="22"/>
        </w:rPr>
      </w:pPr>
    </w:p>
    <w:p w:rsidR="00CA498A" w:rsidRDefault="00033153" w:rsidP="00033153">
      <w:pPr>
        <w:rPr>
          <w:rFonts w:ascii="Arial Narrow" w:hAnsi="Arial Narrow"/>
          <w:b/>
          <w:sz w:val="20"/>
          <w:szCs w:val="16"/>
        </w:rPr>
      </w:pPr>
      <w:r>
        <w:rPr>
          <w:rFonts w:ascii="Arial Narrow" w:hAnsi="Arial Narrow"/>
          <w:b/>
          <w:sz w:val="20"/>
          <w:szCs w:val="16"/>
        </w:rPr>
        <w:tab/>
      </w:r>
    </w:p>
    <w:p w:rsidR="00CA498A" w:rsidRDefault="00CA498A">
      <w:pPr>
        <w:widowControl/>
        <w:jc w:val="left"/>
        <w:rPr>
          <w:rFonts w:ascii="Arial Narrow" w:hAnsi="Arial Narrow"/>
          <w:b/>
          <w:sz w:val="20"/>
          <w:szCs w:val="16"/>
        </w:rPr>
      </w:pPr>
      <w:r>
        <w:rPr>
          <w:rFonts w:ascii="Arial Narrow" w:hAnsi="Arial Narrow"/>
          <w:b/>
          <w:sz w:val="20"/>
          <w:szCs w:val="16"/>
        </w:rPr>
        <w:br w:type="page"/>
      </w:r>
    </w:p>
    <w:p w:rsidR="00B01051" w:rsidRDefault="00B01051" w:rsidP="00033153">
      <w:pPr>
        <w:rPr>
          <w:szCs w:val="22"/>
        </w:rPr>
      </w:pPr>
      <w:r>
        <w:rPr>
          <w:rFonts w:ascii="Arial Narrow" w:hAnsi="Arial Narrow"/>
          <w:b/>
          <w:sz w:val="20"/>
          <w:lang w:val="en-US" w:eastAsia="en-AU"/>
        </w:rPr>
        <w:lastRenderedPageBreak/>
        <w:t>Kaplan-Meier OS curves (September 2014 data cut)</w:t>
      </w:r>
    </w:p>
    <w:p w:rsidR="00B01051" w:rsidRPr="00A52B27" w:rsidRDefault="001A6FF4" w:rsidP="00B01051">
      <w:pPr>
        <w:autoSpaceDE w:val="0"/>
        <w:autoSpaceDN w:val="0"/>
        <w:adjustRightInd w:val="0"/>
        <w:rPr>
          <w:szCs w:val="22"/>
          <w:lang w:val="en-US" w:eastAsia="en-AU"/>
        </w:rPr>
      </w:pPr>
      <w:r w:rsidRPr="00400618">
        <w:rPr>
          <w:rFonts w:ascii="Times" w:hAnsi="Times" w:cs="Times"/>
          <w:noProof/>
          <w:lang w:eastAsia="en-AU"/>
        </w:rPr>
        <w:drawing>
          <wp:inline distT="0" distB="0" distL="0" distR="0" wp14:anchorId="5C19826D" wp14:editId="59AD73DA">
            <wp:extent cx="5486400" cy="205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057400"/>
                    </a:xfrm>
                    <a:prstGeom prst="rect">
                      <a:avLst/>
                    </a:prstGeom>
                    <a:noFill/>
                    <a:ln>
                      <a:noFill/>
                    </a:ln>
                  </pic:spPr>
                </pic:pic>
              </a:graphicData>
            </a:graphic>
          </wp:inline>
        </w:drawing>
      </w:r>
      <w:r w:rsidR="00B01051" w:rsidRPr="00A52B27">
        <w:rPr>
          <w:szCs w:val="22"/>
          <w:lang w:val="en-US" w:eastAsia="en-AU"/>
        </w:rPr>
        <w:t xml:space="preserve"> </w:t>
      </w:r>
      <w:r w:rsidRPr="00400618">
        <w:rPr>
          <w:rFonts w:ascii="Times" w:hAnsi="Times" w:cs="Times"/>
          <w:noProof/>
          <w:lang w:eastAsia="en-AU"/>
        </w:rPr>
        <w:drawing>
          <wp:inline distT="0" distB="0" distL="0" distR="0" wp14:anchorId="6E424D61" wp14:editId="009F849E">
            <wp:extent cx="5486400"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057400"/>
                    </a:xfrm>
                    <a:prstGeom prst="rect">
                      <a:avLst/>
                    </a:prstGeom>
                    <a:noFill/>
                    <a:ln>
                      <a:noFill/>
                    </a:ln>
                  </pic:spPr>
                </pic:pic>
              </a:graphicData>
            </a:graphic>
          </wp:inline>
        </w:drawing>
      </w:r>
    </w:p>
    <w:p w:rsidR="00B01051" w:rsidRDefault="00B01051" w:rsidP="00B01051">
      <w:pPr>
        <w:ind w:left="709"/>
        <w:rPr>
          <w:szCs w:val="22"/>
        </w:rPr>
      </w:pPr>
      <w:r w:rsidRPr="00205118">
        <w:rPr>
          <w:rFonts w:ascii="Arial Narrow" w:hAnsi="Arial Narrow"/>
          <w:sz w:val="18"/>
          <w:szCs w:val="18"/>
        </w:rPr>
        <w:t xml:space="preserve">Source: Figure </w:t>
      </w:r>
      <w:r>
        <w:rPr>
          <w:rFonts w:ascii="Arial Narrow" w:hAnsi="Arial Narrow"/>
          <w:sz w:val="18"/>
          <w:szCs w:val="18"/>
        </w:rPr>
        <w:t>3</w:t>
      </w:r>
      <w:r w:rsidRPr="00205118">
        <w:rPr>
          <w:rFonts w:ascii="Arial Narrow" w:hAnsi="Arial Narrow"/>
          <w:sz w:val="18"/>
          <w:szCs w:val="18"/>
        </w:rPr>
        <w:t>, p1</w:t>
      </w:r>
      <w:r>
        <w:rPr>
          <w:rFonts w:ascii="Arial Narrow" w:hAnsi="Arial Narrow"/>
          <w:sz w:val="18"/>
          <w:szCs w:val="18"/>
        </w:rPr>
        <w:t>8</w:t>
      </w:r>
      <w:r w:rsidRPr="00205118">
        <w:rPr>
          <w:rFonts w:ascii="Arial Narrow" w:hAnsi="Arial Narrow"/>
          <w:sz w:val="18"/>
          <w:szCs w:val="18"/>
        </w:rPr>
        <w:t xml:space="preserve"> of the interim analysis document</w:t>
      </w:r>
    </w:p>
    <w:p w:rsidR="00B01051" w:rsidRPr="008A40DC" w:rsidRDefault="00B01051" w:rsidP="00B01051">
      <w:pPr>
        <w:rPr>
          <w:szCs w:val="22"/>
        </w:rPr>
      </w:pPr>
    </w:p>
    <w:p w:rsidR="00B01051" w:rsidRDefault="00B01051" w:rsidP="007A1C07">
      <w:pPr>
        <w:numPr>
          <w:ilvl w:val="1"/>
          <w:numId w:val="1"/>
        </w:numPr>
        <w:contextualSpacing/>
        <w:rPr>
          <w:szCs w:val="22"/>
        </w:rPr>
      </w:pPr>
      <w:r w:rsidRPr="005C65C5">
        <w:rPr>
          <w:szCs w:val="22"/>
        </w:rPr>
        <w:t>Both 10 mg/kg doses of pembrolizumab showed statistically significantly longer PFS compared to ipilimumab.</w:t>
      </w:r>
      <w:r w:rsidR="00355255">
        <w:rPr>
          <w:szCs w:val="22"/>
        </w:rPr>
        <w:t xml:space="preserve">  </w:t>
      </w:r>
      <w:r>
        <w:rPr>
          <w:szCs w:val="22"/>
        </w:rPr>
        <w:t xml:space="preserve">The median months of PFS were longer using the </w:t>
      </w:r>
      <w:r w:rsidR="007A1C07" w:rsidRPr="007A1C07">
        <w:rPr>
          <w:szCs w:val="22"/>
        </w:rPr>
        <w:t xml:space="preserve">immune-related response criteria </w:t>
      </w:r>
      <w:r w:rsidR="007A1C07">
        <w:rPr>
          <w:szCs w:val="22"/>
        </w:rPr>
        <w:t>(</w:t>
      </w:r>
      <w:r>
        <w:rPr>
          <w:szCs w:val="22"/>
        </w:rPr>
        <w:t>irRC</w:t>
      </w:r>
      <w:r w:rsidR="007A1C07">
        <w:rPr>
          <w:szCs w:val="22"/>
        </w:rPr>
        <w:t>)</w:t>
      </w:r>
      <w:r>
        <w:rPr>
          <w:szCs w:val="22"/>
        </w:rPr>
        <w:t xml:space="preserve"> assessment.  The interim report state</w:t>
      </w:r>
      <w:r w:rsidR="00355255">
        <w:rPr>
          <w:szCs w:val="22"/>
        </w:rPr>
        <w:t>d</w:t>
      </w:r>
      <w:r>
        <w:rPr>
          <w:szCs w:val="22"/>
        </w:rPr>
        <w:t xml:space="preserve"> that </w:t>
      </w:r>
      <w:r w:rsidRPr="00661A58">
        <w:rPr>
          <w:szCs w:val="22"/>
        </w:rPr>
        <w:t xml:space="preserve">irRC differs from RECIST 1.1 in that progression of disease generally requires confirmation at least 4 weeks after an initial assessment </w:t>
      </w:r>
      <w:r>
        <w:rPr>
          <w:szCs w:val="22"/>
        </w:rPr>
        <w:t xml:space="preserve">and </w:t>
      </w:r>
      <w:r w:rsidRPr="00661A58">
        <w:rPr>
          <w:szCs w:val="22"/>
        </w:rPr>
        <w:t>new lesions are counted into the total disease burden in irRC and do not automatically trigger an assessment of disease progression as in RECIST 1.1.</w:t>
      </w:r>
    </w:p>
    <w:p w:rsidR="00B01051" w:rsidRDefault="00B01051" w:rsidP="00B01051">
      <w:pPr>
        <w:contextualSpacing/>
        <w:rPr>
          <w:szCs w:val="22"/>
        </w:rPr>
      </w:pPr>
    </w:p>
    <w:p w:rsidR="00B01051" w:rsidRDefault="00B01051" w:rsidP="00B01051">
      <w:pPr>
        <w:numPr>
          <w:ilvl w:val="1"/>
          <w:numId w:val="1"/>
        </w:numPr>
        <w:contextualSpacing/>
        <w:rPr>
          <w:szCs w:val="22"/>
        </w:rPr>
      </w:pPr>
      <w:r>
        <w:rPr>
          <w:szCs w:val="22"/>
        </w:rPr>
        <w:t>Median overall survival was not reached in any arm of KN-006 and was not statistically significant at the pre-specified alpha level of 0.00002 that would warrant early stopping for efficacy.  The interim report state</w:t>
      </w:r>
      <w:r w:rsidR="00355255">
        <w:rPr>
          <w:szCs w:val="22"/>
        </w:rPr>
        <w:t>d</w:t>
      </w:r>
      <w:r>
        <w:rPr>
          <w:szCs w:val="22"/>
        </w:rPr>
        <w:t xml:space="preserve"> that the OS data is not mature at the first interim analysis, which had a median OS follow-up of approximately</w:t>
      </w:r>
      <w:r w:rsidR="00355255">
        <w:rPr>
          <w:szCs w:val="22"/>
        </w:rPr>
        <w:t xml:space="preserve"> 8 months.  The report indicated</w:t>
      </w:r>
      <w:r>
        <w:rPr>
          <w:szCs w:val="22"/>
        </w:rPr>
        <w:t xml:space="preserve"> that a second interim analysis will be performed when the minimum follow-up is 9 months and 290 deaths have occurred, or will be performed when minimum follow-up is 12 months if it takes longer than 12 months of follow-up to observ</w:t>
      </w:r>
      <w:r w:rsidR="00355255">
        <w:rPr>
          <w:szCs w:val="22"/>
        </w:rPr>
        <w:t>e 290 deaths.  The report stated</w:t>
      </w:r>
      <w:r>
        <w:rPr>
          <w:szCs w:val="22"/>
        </w:rPr>
        <w:t xml:space="preserve"> that it is projected that the second interim analysis will begin on 3</w:t>
      </w:r>
      <w:r w:rsidR="00EA1D15">
        <w:rPr>
          <w:szCs w:val="22"/>
        </w:rPr>
        <w:t xml:space="preserve"> </w:t>
      </w:r>
      <w:r>
        <w:rPr>
          <w:szCs w:val="22"/>
        </w:rPr>
        <w:t xml:space="preserve">March 2015 when there is a minimum of 12 months </w:t>
      </w:r>
      <w:r w:rsidR="00355255">
        <w:rPr>
          <w:szCs w:val="22"/>
        </w:rPr>
        <w:t xml:space="preserve">of </w:t>
      </w:r>
      <w:r>
        <w:rPr>
          <w:szCs w:val="22"/>
        </w:rPr>
        <w:t>follow-up.  The final analysis of OS will take place when 435 deaths have occurred or when all patients have been followed for 21 months, whichever occurs first.</w:t>
      </w:r>
    </w:p>
    <w:p w:rsidR="00B01051" w:rsidRDefault="00B01051" w:rsidP="00B01051">
      <w:pPr>
        <w:contextualSpacing/>
        <w:rPr>
          <w:szCs w:val="22"/>
        </w:rPr>
      </w:pPr>
    </w:p>
    <w:p w:rsidR="00B01051" w:rsidRDefault="00B01051" w:rsidP="00B01051">
      <w:pPr>
        <w:numPr>
          <w:ilvl w:val="1"/>
          <w:numId w:val="1"/>
        </w:numPr>
        <w:contextualSpacing/>
        <w:rPr>
          <w:szCs w:val="22"/>
        </w:rPr>
      </w:pPr>
      <w:r>
        <w:rPr>
          <w:szCs w:val="22"/>
        </w:rPr>
        <w:lastRenderedPageBreak/>
        <w:t>Overall response rate (ORR), time to response and response duration are summarised in the table below.  There was a significantly greater ORR in both the pembrolizumab 10 mg/kg Q2W group (proportion difference=16.1%; 95% CI: 7.8%, 24.5%) and 10 mg/kg Q3W group (proportion difference=17.2%; 95% CI: 9.5%, 25.6%) compared to patients treated with ipilimumab.  Median response duration was only reached in the 10 mg/kg Q2W group treated with pembrolizumab (days=251; range: 42+, 251).</w:t>
      </w:r>
    </w:p>
    <w:p w:rsidR="00B01051" w:rsidRDefault="00B01051" w:rsidP="00B01051">
      <w:pPr>
        <w:contextualSpacing/>
        <w:rPr>
          <w:szCs w:val="22"/>
        </w:rPr>
      </w:pPr>
    </w:p>
    <w:p w:rsidR="00B01051" w:rsidRPr="008A40DC" w:rsidRDefault="00B01051" w:rsidP="00B01051">
      <w:pPr>
        <w:keepNext/>
        <w:ind w:left="709"/>
        <w:rPr>
          <w:rFonts w:ascii="Arial Narrow" w:hAnsi="Arial Narrow"/>
          <w:b/>
          <w:sz w:val="20"/>
          <w:szCs w:val="16"/>
        </w:rPr>
      </w:pPr>
      <w:r w:rsidRPr="00234B4E">
        <w:rPr>
          <w:rFonts w:ascii="Arial Narrow" w:hAnsi="Arial Narrow"/>
          <w:b/>
          <w:sz w:val="20"/>
          <w:lang w:val="en-US" w:eastAsia="en-AU"/>
        </w:rPr>
        <w:t xml:space="preserve">Summary of </w:t>
      </w:r>
      <w:r>
        <w:rPr>
          <w:rFonts w:ascii="Arial Narrow" w:hAnsi="Arial Narrow"/>
          <w:b/>
          <w:sz w:val="20"/>
          <w:lang w:val="en-US" w:eastAsia="en-AU"/>
        </w:rPr>
        <w:t>ORR, time to response and response duration in KN-006 (September 2014 data cut)</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90"/>
        <w:gridCol w:w="1259"/>
        <w:gridCol w:w="1256"/>
        <w:gridCol w:w="1166"/>
        <w:gridCol w:w="1244"/>
        <w:gridCol w:w="1348"/>
      </w:tblGrid>
      <w:tr w:rsidR="00B01051" w:rsidRPr="008A40DC" w:rsidTr="00B01051">
        <w:trPr>
          <w:tblHeader/>
        </w:trPr>
        <w:tc>
          <w:tcPr>
            <w:tcW w:w="1249" w:type="pct"/>
            <w:vMerge w:val="restart"/>
            <w:shd w:val="clear" w:color="auto" w:fill="auto"/>
            <w:vAlign w:val="bottom"/>
          </w:tcPr>
          <w:p w:rsidR="00B01051" w:rsidRPr="00CD1209" w:rsidRDefault="00B01051" w:rsidP="00B01051">
            <w:pPr>
              <w:keepNext/>
              <w:rPr>
                <w:rFonts w:ascii="Arial Narrow" w:hAnsi="Arial Narrow"/>
                <w:b/>
                <w:sz w:val="19"/>
                <w:szCs w:val="19"/>
                <w:lang w:val="en-US"/>
              </w:rPr>
            </w:pPr>
          </w:p>
        </w:tc>
        <w:tc>
          <w:tcPr>
            <w:tcW w:w="753" w:type="pct"/>
            <w:vMerge w:val="restart"/>
            <w:shd w:val="clear" w:color="auto" w:fill="auto"/>
            <w:vAlign w:val="center"/>
          </w:tcPr>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Pembro 10</w:t>
            </w:r>
            <w:r>
              <w:rPr>
                <w:rFonts w:ascii="Arial Narrow" w:hAnsi="Arial Narrow"/>
                <w:b/>
                <w:sz w:val="19"/>
                <w:szCs w:val="19"/>
                <w:lang w:val="en-US"/>
              </w:rPr>
              <w:t> </w:t>
            </w:r>
            <w:r w:rsidRPr="00CD1209">
              <w:rPr>
                <w:rFonts w:ascii="Arial Narrow" w:hAnsi="Arial Narrow"/>
                <w:b/>
                <w:sz w:val="19"/>
                <w:szCs w:val="19"/>
                <w:lang w:val="en-US"/>
              </w:rPr>
              <w:t>mg/kg Q2W</w:t>
            </w:r>
          </w:p>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N=27</w:t>
            </w:r>
            <w:r>
              <w:rPr>
                <w:rFonts w:ascii="Arial Narrow" w:hAnsi="Arial Narrow"/>
                <w:b/>
                <w:sz w:val="19"/>
                <w:szCs w:val="19"/>
                <w:lang w:val="en-US"/>
              </w:rPr>
              <w:t>9</w:t>
            </w:r>
          </w:p>
        </w:tc>
        <w:tc>
          <w:tcPr>
            <w:tcW w:w="751" w:type="pct"/>
            <w:vMerge w:val="restart"/>
            <w:shd w:val="clear" w:color="auto" w:fill="auto"/>
            <w:vAlign w:val="center"/>
          </w:tcPr>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Pembro 10</w:t>
            </w:r>
            <w:r>
              <w:rPr>
                <w:rFonts w:ascii="Arial Narrow" w:hAnsi="Arial Narrow"/>
                <w:b/>
                <w:sz w:val="19"/>
                <w:szCs w:val="19"/>
                <w:lang w:val="en-US"/>
              </w:rPr>
              <w:t> mg/kg Q3W</w:t>
            </w:r>
          </w:p>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N=277</w:t>
            </w:r>
          </w:p>
        </w:tc>
        <w:tc>
          <w:tcPr>
            <w:tcW w:w="697" w:type="pct"/>
            <w:vMerge w:val="restart"/>
            <w:vAlign w:val="center"/>
          </w:tcPr>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 xml:space="preserve">Ipi </w:t>
            </w:r>
          </w:p>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3</w:t>
            </w:r>
            <w:r>
              <w:rPr>
                <w:rFonts w:ascii="Arial Narrow" w:hAnsi="Arial Narrow"/>
                <w:b/>
                <w:sz w:val="19"/>
                <w:szCs w:val="19"/>
                <w:lang w:val="en-US"/>
              </w:rPr>
              <w:t> </w:t>
            </w:r>
            <w:r w:rsidRPr="00CD1209">
              <w:rPr>
                <w:rFonts w:ascii="Arial Narrow" w:hAnsi="Arial Narrow"/>
                <w:b/>
                <w:sz w:val="19"/>
                <w:szCs w:val="19"/>
                <w:lang w:val="en-US"/>
              </w:rPr>
              <w:t>mg/kg Q3W</w:t>
            </w:r>
          </w:p>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N=2</w:t>
            </w:r>
            <w:r>
              <w:rPr>
                <w:rFonts w:ascii="Arial Narrow" w:hAnsi="Arial Narrow"/>
                <w:b/>
                <w:sz w:val="19"/>
                <w:szCs w:val="19"/>
                <w:lang w:val="en-US"/>
              </w:rPr>
              <w:t>78</w:t>
            </w:r>
          </w:p>
        </w:tc>
        <w:tc>
          <w:tcPr>
            <w:tcW w:w="1550" w:type="pct"/>
            <w:gridSpan w:val="2"/>
          </w:tcPr>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Difference in %</w:t>
            </w:r>
            <w:r w:rsidRPr="00CD1209">
              <w:rPr>
                <w:rFonts w:ascii="Arial Narrow" w:hAnsi="Arial Narrow"/>
                <w:b/>
                <w:sz w:val="19"/>
                <w:szCs w:val="19"/>
                <w:vertAlign w:val="superscript"/>
                <w:lang w:val="en-US"/>
              </w:rPr>
              <w:t>a</w:t>
            </w:r>
            <w:r w:rsidRPr="00CD1209">
              <w:rPr>
                <w:rFonts w:ascii="Arial Narrow" w:hAnsi="Arial Narrow"/>
                <w:b/>
                <w:sz w:val="19"/>
                <w:szCs w:val="19"/>
                <w:lang w:val="en-US"/>
              </w:rPr>
              <w:t xml:space="preserve"> (95% CI)</w:t>
            </w:r>
          </w:p>
        </w:tc>
      </w:tr>
      <w:tr w:rsidR="00B01051" w:rsidRPr="008A40DC" w:rsidTr="00B01051">
        <w:trPr>
          <w:tblHeader/>
        </w:trPr>
        <w:tc>
          <w:tcPr>
            <w:tcW w:w="1249" w:type="pct"/>
            <w:vMerge/>
            <w:shd w:val="clear" w:color="auto" w:fill="auto"/>
            <w:vAlign w:val="center"/>
          </w:tcPr>
          <w:p w:rsidR="00B01051" w:rsidRPr="00CD1209" w:rsidRDefault="00B01051" w:rsidP="00B01051">
            <w:pPr>
              <w:keepNext/>
              <w:rPr>
                <w:rFonts w:ascii="Arial Narrow" w:hAnsi="Arial Narrow"/>
                <w:b/>
                <w:sz w:val="19"/>
                <w:szCs w:val="19"/>
                <w:lang w:val="en-US"/>
              </w:rPr>
            </w:pPr>
          </w:p>
        </w:tc>
        <w:tc>
          <w:tcPr>
            <w:tcW w:w="753" w:type="pct"/>
            <w:vMerge/>
            <w:shd w:val="clear" w:color="auto" w:fill="auto"/>
            <w:vAlign w:val="center"/>
          </w:tcPr>
          <w:p w:rsidR="00B01051" w:rsidRPr="00CD1209" w:rsidRDefault="00B01051" w:rsidP="00B01051">
            <w:pPr>
              <w:keepNext/>
              <w:jc w:val="center"/>
              <w:rPr>
                <w:rFonts w:ascii="Arial Narrow" w:hAnsi="Arial Narrow"/>
                <w:b/>
                <w:sz w:val="19"/>
                <w:szCs w:val="19"/>
                <w:lang w:val="en-US"/>
              </w:rPr>
            </w:pPr>
          </w:p>
        </w:tc>
        <w:tc>
          <w:tcPr>
            <w:tcW w:w="751" w:type="pct"/>
            <w:vMerge/>
            <w:shd w:val="clear" w:color="auto" w:fill="auto"/>
            <w:vAlign w:val="center"/>
          </w:tcPr>
          <w:p w:rsidR="00B01051" w:rsidRPr="00CD1209" w:rsidRDefault="00B01051" w:rsidP="00B01051">
            <w:pPr>
              <w:keepNext/>
              <w:jc w:val="center"/>
              <w:rPr>
                <w:rFonts w:ascii="Arial Narrow" w:hAnsi="Arial Narrow"/>
                <w:b/>
                <w:sz w:val="19"/>
                <w:szCs w:val="19"/>
                <w:lang w:val="en-US"/>
              </w:rPr>
            </w:pPr>
          </w:p>
        </w:tc>
        <w:tc>
          <w:tcPr>
            <w:tcW w:w="697" w:type="pct"/>
            <w:vMerge/>
            <w:vAlign w:val="center"/>
          </w:tcPr>
          <w:p w:rsidR="00B01051" w:rsidRPr="00CD1209" w:rsidRDefault="00B01051" w:rsidP="00B01051">
            <w:pPr>
              <w:keepNext/>
              <w:jc w:val="center"/>
              <w:rPr>
                <w:rFonts w:ascii="Arial Narrow" w:hAnsi="Arial Narrow"/>
                <w:b/>
                <w:sz w:val="19"/>
                <w:szCs w:val="19"/>
                <w:lang w:val="en-US"/>
              </w:rPr>
            </w:pPr>
          </w:p>
        </w:tc>
        <w:tc>
          <w:tcPr>
            <w:tcW w:w="744" w:type="pct"/>
            <w:vAlign w:val="center"/>
          </w:tcPr>
          <w:p w:rsidR="00B01051"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10</w:t>
            </w:r>
            <w:r>
              <w:rPr>
                <w:rFonts w:ascii="Arial Narrow" w:hAnsi="Arial Narrow"/>
                <w:b/>
                <w:sz w:val="19"/>
                <w:szCs w:val="19"/>
                <w:lang w:val="en-US"/>
              </w:rPr>
              <w:t> mg/kg Q2W</w:t>
            </w:r>
          </w:p>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vs. ipi</w:t>
            </w:r>
          </w:p>
        </w:tc>
        <w:tc>
          <w:tcPr>
            <w:tcW w:w="806" w:type="pct"/>
            <w:shd w:val="clear" w:color="auto" w:fill="auto"/>
            <w:vAlign w:val="center"/>
          </w:tcPr>
          <w:p w:rsidR="00B01051"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10</w:t>
            </w:r>
            <w:r>
              <w:rPr>
                <w:rFonts w:ascii="Arial Narrow" w:hAnsi="Arial Narrow"/>
                <w:b/>
                <w:sz w:val="19"/>
                <w:szCs w:val="19"/>
                <w:lang w:val="en-US"/>
              </w:rPr>
              <w:t> mg/kg Q3W</w:t>
            </w:r>
          </w:p>
          <w:p w:rsidR="00B01051" w:rsidRPr="00CD1209" w:rsidRDefault="00B01051" w:rsidP="00B01051">
            <w:pPr>
              <w:keepNext/>
              <w:jc w:val="center"/>
              <w:rPr>
                <w:rFonts w:ascii="Arial Narrow" w:hAnsi="Arial Narrow"/>
                <w:b/>
                <w:sz w:val="19"/>
                <w:szCs w:val="19"/>
                <w:lang w:val="en-US"/>
              </w:rPr>
            </w:pPr>
            <w:r w:rsidRPr="00CD1209">
              <w:rPr>
                <w:rFonts w:ascii="Arial Narrow" w:hAnsi="Arial Narrow"/>
                <w:b/>
                <w:sz w:val="19"/>
                <w:szCs w:val="19"/>
                <w:lang w:val="en-US"/>
              </w:rPr>
              <w:t>vs. ipi</w:t>
            </w:r>
          </w:p>
        </w:tc>
      </w:tr>
      <w:tr w:rsidR="00B01051" w:rsidRPr="008A40DC" w:rsidTr="00B01051">
        <w:tc>
          <w:tcPr>
            <w:tcW w:w="1249" w:type="pct"/>
            <w:shd w:val="clear" w:color="auto" w:fill="auto"/>
          </w:tcPr>
          <w:p w:rsidR="00B01051" w:rsidRPr="00CD1209" w:rsidRDefault="00B01051" w:rsidP="00B01051">
            <w:pPr>
              <w:rPr>
                <w:rFonts w:ascii="Arial Narrow" w:hAnsi="Arial Narrow"/>
                <w:sz w:val="19"/>
                <w:szCs w:val="19"/>
                <w:lang w:val="en-US"/>
              </w:rPr>
            </w:pPr>
            <w:r>
              <w:rPr>
                <w:rFonts w:ascii="Arial Narrow" w:hAnsi="Arial Narrow"/>
                <w:sz w:val="19"/>
                <w:szCs w:val="19"/>
                <w:lang w:val="en-US"/>
              </w:rPr>
              <w:t>Number of overall responses</w:t>
            </w:r>
          </w:p>
        </w:tc>
        <w:tc>
          <w:tcPr>
            <w:tcW w:w="753"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94</w:t>
            </w:r>
          </w:p>
        </w:tc>
        <w:tc>
          <w:tcPr>
            <w:tcW w:w="751"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91</w:t>
            </w:r>
          </w:p>
        </w:tc>
        <w:tc>
          <w:tcPr>
            <w:tcW w:w="697" w:type="pct"/>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33</w:t>
            </w:r>
          </w:p>
        </w:tc>
        <w:tc>
          <w:tcPr>
            <w:tcW w:w="1550" w:type="pct"/>
            <w:gridSpan w:val="2"/>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w:t>
            </w:r>
          </w:p>
        </w:tc>
      </w:tr>
      <w:tr w:rsidR="00B01051" w:rsidRPr="008A40DC" w:rsidTr="00B01051">
        <w:tc>
          <w:tcPr>
            <w:tcW w:w="1249" w:type="pct"/>
            <w:shd w:val="clear" w:color="auto" w:fill="auto"/>
            <w:vAlign w:val="center"/>
          </w:tcPr>
          <w:p w:rsidR="00B01051" w:rsidRPr="00CD1209" w:rsidRDefault="00B01051" w:rsidP="00B01051">
            <w:pPr>
              <w:rPr>
                <w:rFonts w:ascii="Arial Narrow" w:hAnsi="Arial Narrow"/>
                <w:sz w:val="19"/>
                <w:szCs w:val="19"/>
                <w:lang w:val="en-US"/>
              </w:rPr>
            </w:pPr>
            <w:r>
              <w:rPr>
                <w:rFonts w:ascii="Arial Narrow" w:hAnsi="Arial Narrow"/>
                <w:sz w:val="19"/>
                <w:szCs w:val="19"/>
                <w:lang w:val="en-US"/>
              </w:rPr>
              <w:t>ORR % (95% CI)</w:t>
            </w:r>
          </w:p>
        </w:tc>
        <w:tc>
          <w:tcPr>
            <w:tcW w:w="753" w:type="pct"/>
            <w:shd w:val="clear" w:color="auto" w:fill="auto"/>
            <w:vAlign w:val="center"/>
          </w:tcPr>
          <w:p w:rsidR="00B01051" w:rsidRDefault="00B01051" w:rsidP="00B01051">
            <w:pPr>
              <w:jc w:val="center"/>
              <w:rPr>
                <w:rFonts w:ascii="Arial Narrow" w:hAnsi="Arial Narrow"/>
                <w:sz w:val="19"/>
                <w:szCs w:val="19"/>
                <w:lang w:val="en-US"/>
              </w:rPr>
            </w:pPr>
            <w:r>
              <w:rPr>
                <w:rFonts w:ascii="Arial Narrow" w:hAnsi="Arial Narrow"/>
                <w:sz w:val="19"/>
                <w:szCs w:val="19"/>
                <w:lang w:val="en-US"/>
              </w:rPr>
              <w:t>33.7%</w:t>
            </w:r>
          </w:p>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(28.2, 39.6)</w:t>
            </w:r>
          </w:p>
        </w:tc>
        <w:tc>
          <w:tcPr>
            <w:tcW w:w="751" w:type="pct"/>
            <w:shd w:val="clear" w:color="auto" w:fill="auto"/>
            <w:vAlign w:val="center"/>
          </w:tcPr>
          <w:p w:rsidR="00B01051" w:rsidRDefault="00B01051" w:rsidP="00B01051">
            <w:pPr>
              <w:jc w:val="center"/>
              <w:rPr>
                <w:rFonts w:ascii="Arial Narrow" w:hAnsi="Arial Narrow"/>
                <w:sz w:val="19"/>
                <w:szCs w:val="19"/>
                <w:lang w:val="en-US"/>
              </w:rPr>
            </w:pPr>
            <w:r>
              <w:rPr>
                <w:rFonts w:ascii="Arial Narrow" w:hAnsi="Arial Narrow"/>
                <w:sz w:val="19"/>
                <w:szCs w:val="19"/>
                <w:lang w:val="en-US"/>
              </w:rPr>
              <w:t>32.9%</w:t>
            </w:r>
          </w:p>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(27.4, 38.7)</w:t>
            </w:r>
          </w:p>
        </w:tc>
        <w:tc>
          <w:tcPr>
            <w:tcW w:w="697" w:type="pct"/>
            <w:vAlign w:val="center"/>
          </w:tcPr>
          <w:p w:rsidR="00B01051" w:rsidRDefault="00B01051" w:rsidP="00B01051">
            <w:pPr>
              <w:jc w:val="center"/>
              <w:rPr>
                <w:rFonts w:ascii="Arial Narrow" w:hAnsi="Arial Narrow"/>
                <w:sz w:val="19"/>
                <w:szCs w:val="19"/>
                <w:lang w:val="en-US"/>
              </w:rPr>
            </w:pPr>
            <w:r>
              <w:rPr>
                <w:rFonts w:ascii="Arial Narrow" w:hAnsi="Arial Narrow"/>
                <w:sz w:val="19"/>
                <w:szCs w:val="19"/>
                <w:lang w:val="en-US"/>
              </w:rPr>
              <w:t>11.9%</w:t>
            </w:r>
          </w:p>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(8.3, 16.3)</w:t>
            </w:r>
          </w:p>
        </w:tc>
        <w:tc>
          <w:tcPr>
            <w:tcW w:w="744" w:type="pct"/>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16.1 (7.8, 24.5)</w:t>
            </w:r>
          </w:p>
        </w:tc>
        <w:tc>
          <w:tcPr>
            <w:tcW w:w="806"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17.2 (9.5, 25.6)</w:t>
            </w:r>
          </w:p>
        </w:tc>
      </w:tr>
      <w:tr w:rsidR="00B01051" w:rsidRPr="008A40DC" w:rsidTr="00B01051">
        <w:tc>
          <w:tcPr>
            <w:tcW w:w="1249" w:type="pct"/>
            <w:shd w:val="clear" w:color="auto" w:fill="auto"/>
            <w:vAlign w:val="center"/>
          </w:tcPr>
          <w:p w:rsidR="00B01051" w:rsidRDefault="00B01051" w:rsidP="00B01051">
            <w:pPr>
              <w:rPr>
                <w:rFonts w:ascii="Arial Narrow" w:hAnsi="Arial Narrow"/>
                <w:sz w:val="19"/>
                <w:szCs w:val="19"/>
                <w:lang w:val="en-US"/>
              </w:rPr>
            </w:pPr>
            <w:r>
              <w:rPr>
                <w:rFonts w:ascii="Arial Narrow" w:hAnsi="Arial Narrow"/>
                <w:sz w:val="19"/>
                <w:szCs w:val="19"/>
                <w:lang w:val="en-US"/>
              </w:rPr>
              <w:t>Ongoing response n (%)</w:t>
            </w:r>
          </w:p>
        </w:tc>
        <w:tc>
          <w:tcPr>
            <w:tcW w:w="753"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84 (89%)</w:t>
            </w:r>
          </w:p>
        </w:tc>
        <w:tc>
          <w:tcPr>
            <w:tcW w:w="751"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88 (97%)</w:t>
            </w:r>
          </w:p>
        </w:tc>
        <w:tc>
          <w:tcPr>
            <w:tcW w:w="697" w:type="pct"/>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29 (88%)</w:t>
            </w:r>
          </w:p>
        </w:tc>
        <w:tc>
          <w:tcPr>
            <w:tcW w:w="1550" w:type="pct"/>
            <w:gridSpan w:val="2"/>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Not reported</w:t>
            </w:r>
          </w:p>
        </w:tc>
      </w:tr>
      <w:tr w:rsidR="00B01051" w:rsidRPr="008A40DC" w:rsidTr="00B01051">
        <w:tc>
          <w:tcPr>
            <w:tcW w:w="1249" w:type="pct"/>
            <w:shd w:val="clear" w:color="auto" w:fill="auto"/>
            <w:vAlign w:val="center"/>
          </w:tcPr>
          <w:p w:rsidR="00B01051" w:rsidRPr="00CD1209" w:rsidRDefault="00B01051" w:rsidP="00B01051">
            <w:pPr>
              <w:rPr>
                <w:rFonts w:ascii="Arial Narrow" w:hAnsi="Arial Narrow"/>
                <w:sz w:val="19"/>
                <w:szCs w:val="19"/>
                <w:lang w:val="en-US"/>
              </w:rPr>
            </w:pPr>
            <w:r>
              <w:rPr>
                <w:rFonts w:ascii="Arial Narrow" w:hAnsi="Arial Narrow"/>
                <w:sz w:val="19"/>
                <w:szCs w:val="19"/>
                <w:lang w:val="en-US"/>
              </w:rPr>
              <w:t>Median time to response days (range)</w:t>
            </w:r>
          </w:p>
        </w:tc>
        <w:tc>
          <w:tcPr>
            <w:tcW w:w="753"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86 (32-212)</w:t>
            </w:r>
          </w:p>
        </w:tc>
        <w:tc>
          <w:tcPr>
            <w:tcW w:w="751"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85 (36-251)</w:t>
            </w:r>
          </w:p>
        </w:tc>
        <w:tc>
          <w:tcPr>
            <w:tcW w:w="697" w:type="pct"/>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87 (80-250)</w:t>
            </w:r>
          </w:p>
        </w:tc>
        <w:tc>
          <w:tcPr>
            <w:tcW w:w="1550" w:type="pct"/>
            <w:gridSpan w:val="2"/>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Not reported</w:t>
            </w:r>
          </w:p>
        </w:tc>
      </w:tr>
      <w:tr w:rsidR="00B01051" w:rsidRPr="008A40DC" w:rsidTr="00B01051">
        <w:tc>
          <w:tcPr>
            <w:tcW w:w="1249" w:type="pct"/>
            <w:shd w:val="clear" w:color="auto" w:fill="auto"/>
            <w:vAlign w:val="center"/>
          </w:tcPr>
          <w:p w:rsidR="00B01051" w:rsidRPr="00CD1209" w:rsidRDefault="00B01051" w:rsidP="00B01051">
            <w:pPr>
              <w:rPr>
                <w:rFonts w:ascii="Arial Narrow" w:hAnsi="Arial Narrow"/>
                <w:sz w:val="19"/>
                <w:szCs w:val="19"/>
                <w:lang w:val="en-US"/>
              </w:rPr>
            </w:pPr>
            <w:r>
              <w:rPr>
                <w:rFonts w:ascii="Arial Narrow" w:hAnsi="Arial Narrow"/>
                <w:sz w:val="19"/>
                <w:szCs w:val="19"/>
                <w:lang w:val="en-US"/>
              </w:rPr>
              <w:t>Median response duration days (range)</w:t>
            </w:r>
          </w:p>
        </w:tc>
        <w:tc>
          <w:tcPr>
            <w:tcW w:w="753"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251 (42+, 251)</w:t>
            </w:r>
          </w:p>
        </w:tc>
        <w:tc>
          <w:tcPr>
            <w:tcW w:w="751" w:type="pct"/>
            <w:shd w:val="clear" w:color="auto" w:fill="auto"/>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NR (42+, 246+)</w:t>
            </w:r>
          </w:p>
        </w:tc>
        <w:tc>
          <w:tcPr>
            <w:tcW w:w="697" w:type="pct"/>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NR (33+, 239+)</w:t>
            </w:r>
          </w:p>
        </w:tc>
        <w:tc>
          <w:tcPr>
            <w:tcW w:w="1550" w:type="pct"/>
            <w:gridSpan w:val="2"/>
            <w:vAlign w:val="center"/>
          </w:tcPr>
          <w:p w:rsidR="00B01051" w:rsidRPr="00CD1209" w:rsidRDefault="00B01051" w:rsidP="00B01051">
            <w:pPr>
              <w:jc w:val="center"/>
              <w:rPr>
                <w:rFonts w:ascii="Arial Narrow" w:hAnsi="Arial Narrow"/>
                <w:sz w:val="19"/>
                <w:szCs w:val="19"/>
                <w:lang w:val="en-US"/>
              </w:rPr>
            </w:pPr>
            <w:r>
              <w:rPr>
                <w:rFonts w:ascii="Arial Narrow" w:hAnsi="Arial Narrow"/>
                <w:sz w:val="19"/>
                <w:szCs w:val="19"/>
                <w:lang w:val="en-US"/>
              </w:rPr>
              <w:t>Not reported</w:t>
            </w:r>
          </w:p>
        </w:tc>
      </w:tr>
    </w:tbl>
    <w:p w:rsidR="00B01051" w:rsidRPr="007D2827" w:rsidRDefault="00B01051" w:rsidP="00B01051">
      <w:pPr>
        <w:tabs>
          <w:tab w:val="left" w:pos="851"/>
        </w:tabs>
        <w:ind w:left="851" w:hanging="142"/>
        <w:rPr>
          <w:rFonts w:ascii="Arial Narrow" w:hAnsi="Arial Narrow"/>
          <w:sz w:val="18"/>
        </w:rPr>
      </w:pPr>
      <w:r w:rsidRPr="007D2827">
        <w:rPr>
          <w:rFonts w:ascii="Arial Narrow" w:hAnsi="Arial Narrow"/>
          <w:sz w:val="20"/>
          <w:vertAlign w:val="superscript"/>
          <w:lang w:val="en-US"/>
        </w:rPr>
        <w:t>a</w:t>
      </w:r>
      <w:r>
        <w:rPr>
          <w:rFonts w:ascii="Arial Narrow" w:hAnsi="Arial Narrow"/>
          <w:sz w:val="20"/>
          <w:lang w:val="en-US"/>
        </w:rPr>
        <w:tab/>
      </w:r>
      <w:r w:rsidRPr="00CE7FAD">
        <w:rPr>
          <w:rFonts w:ascii="Arial Narrow" w:hAnsi="Arial Narrow"/>
          <w:sz w:val="18"/>
          <w:szCs w:val="18"/>
          <w:lang w:val="en-US"/>
        </w:rPr>
        <w:t>Based on Miettinen &amp; Nurminen method stratified by line of therapy (1</w:t>
      </w:r>
      <w:r w:rsidRPr="00CE7FAD">
        <w:rPr>
          <w:rFonts w:ascii="Arial Narrow" w:hAnsi="Arial Narrow"/>
          <w:sz w:val="18"/>
          <w:szCs w:val="18"/>
          <w:vertAlign w:val="superscript"/>
          <w:lang w:val="en-US"/>
        </w:rPr>
        <w:t>st</w:t>
      </w:r>
      <w:r w:rsidRPr="00CE7FAD">
        <w:rPr>
          <w:rFonts w:ascii="Arial Narrow" w:hAnsi="Arial Narrow"/>
          <w:sz w:val="18"/>
          <w:szCs w:val="18"/>
          <w:lang w:val="en-US"/>
        </w:rPr>
        <w:t xml:space="preserve"> vs. 2</w:t>
      </w:r>
      <w:r w:rsidRPr="00CE7FAD">
        <w:rPr>
          <w:rFonts w:ascii="Arial Narrow" w:hAnsi="Arial Narrow"/>
          <w:sz w:val="18"/>
          <w:szCs w:val="18"/>
          <w:vertAlign w:val="superscript"/>
          <w:lang w:val="en-US"/>
        </w:rPr>
        <w:t>nd</w:t>
      </w:r>
      <w:r w:rsidRPr="00CE7FAD">
        <w:rPr>
          <w:rFonts w:ascii="Arial Narrow" w:hAnsi="Arial Narrow"/>
          <w:sz w:val="18"/>
          <w:szCs w:val="18"/>
          <w:lang w:val="en-US"/>
        </w:rPr>
        <w:t>), PD-L1 status (high positive vs. low positive) and ECOG (0 vs. 1).</w:t>
      </w:r>
    </w:p>
    <w:p w:rsidR="00B01051" w:rsidRDefault="00B01051" w:rsidP="00B01051">
      <w:pPr>
        <w:ind w:left="709"/>
        <w:rPr>
          <w:rFonts w:ascii="Arial Narrow" w:hAnsi="Arial Narrow"/>
          <w:sz w:val="18"/>
        </w:rPr>
      </w:pPr>
      <w:r>
        <w:rPr>
          <w:rFonts w:ascii="Arial Narrow" w:hAnsi="Arial Narrow"/>
          <w:sz w:val="18"/>
        </w:rPr>
        <w:t>Ipi=ipilimumab; NR=not reached; ORR=overall response rate; Pembro=pembrolizumab</w:t>
      </w:r>
    </w:p>
    <w:p w:rsidR="00B01051" w:rsidRPr="00B01051" w:rsidRDefault="00B01051" w:rsidP="00B01051">
      <w:pPr>
        <w:ind w:left="709"/>
        <w:contextualSpacing/>
        <w:rPr>
          <w:szCs w:val="22"/>
        </w:rPr>
      </w:pPr>
      <w:r w:rsidRPr="008A40DC">
        <w:rPr>
          <w:rFonts w:ascii="Arial Narrow" w:hAnsi="Arial Narrow"/>
          <w:sz w:val="18"/>
        </w:rPr>
        <w:t xml:space="preserve">Source: </w:t>
      </w:r>
      <w:r>
        <w:rPr>
          <w:rFonts w:ascii="Arial Narrow" w:hAnsi="Arial Narrow"/>
          <w:sz w:val="18"/>
        </w:rPr>
        <w:t>Table 2, p27; Table 7, p29-30 of the interim analysis document</w:t>
      </w:r>
    </w:p>
    <w:p w:rsidR="009E2AC7" w:rsidRPr="00355255" w:rsidDel="00EA1D15" w:rsidRDefault="009E2AC7" w:rsidP="005C65C5">
      <w:pPr>
        <w:pStyle w:val="TableFooter"/>
        <w:tabs>
          <w:tab w:val="left" w:pos="851"/>
        </w:tabs>
        <w:rPr>
          <w:rFonts w:ascii="Arial" w:hAnsi="Arial"/>
          <w:sz w:val="22"/>
          <w:szCs w:val="22"/>
        </w:rPr>
      </w:pPr>
    </w:p>
    <w:p w:rsidR="00655B06" w:rsidRPr="00655B06" w:rsidRDefault="00655B06" w:rsidP="00655B06">
      <w:pPr>
        <w:pStyle w:val="PBACHeading1"/>
        <w:numPr>
          <w:ilvl w:val="0"/>
          <w:numId w:val="0"/>
        </w:numPr>
        <w:ind w:firstLine="720"/>
        <w:rPr>
          <w:b w:val="0"/>
          <w:i/>
        </w:rPr>
      </w:pPr>
      <w:r w:rsidRPr="00655B06">
        <w:rPr>
          <w:b w:val="0"/>
          <w:i/>
        </w:rPr>
        <w:t>For more detail on PBAC’s view, see section 7 “PBAC outcome”</w:t>
      </w:r>
    </w:p>
    <w:p w:rsidR="00B60939" w:rsidRPr="00882085" w:rsidRDefault="00B60939" w:rsidP="00B60939">
      <w:pPr>
        <w:rPr>
          <w:szCs w:val="22"/>
        </w:rPr>
      </w:pPr>
    </w:p>
    <w:p w:rsidR="00B60939" w:rsidRDefault="00B60939" w:rsidP="002C2775">
      <w:pPr>
        <w:pStyle w:val="Heading2"/>
        <w:rPr>
          <w:i/>
        </w:rPr>
      </w:pPr>
      <w:bookmarkStart w:id="12" w:name="_Toc409607368"/>
      <w:r w:rsidRPr="002C2775">
        <w:rPr>
          <w:i/>
        </w:rPr>
        <w:t>Comparative harms</w:t>
      </w:r>
      <w:bookmarkEnd w:id="12"/>
    </w:p>
    <w:p w:rsidR="00033153" w:rsidRDefault="00033153">
      <w:pPr>
        <w:widowControl/>
        <w:jc w:val="left"/>
        <w:rPr>
          <w:i/>
          <w:szCs w:val="22"/>
        </w:rPr>
      </w:pPr>
    </w:p>
    <w:p w:rsidR="00033153" w:rsidRPr="008A40DC" w:rsidRDefault="00033153" w:rsidP="00033153">
      <w:pPr>
        <w:numPr>
          <w:ilvl w:val="1"/>
          <w:numId w:val="1"/>
        </w:numPr>
        <w:contextualSpacing/>
        <w:rPr>
          <w:szCs w:val="22"/>
        </w:rPr>
      </w:pPr>
      <w:r>
        <w:rPr>
          <w:szCs w:val="22"/>
        </w:rPr>
        <w:t>The table below summarises adverse event data provided for KN-006.</w:t>
      </w:r>
    </w:p>
    <w:p w:rsidR="00033153" w:rsidRDefault="00033153" w:rsidP="00033153">
      <w:pPr>
        <w:rPr>
          <w:szCs w:val="22"/>
        </w:rPr>
      </w:pPr>
    </w:p>
    <w:p w:rsidR="00CA498A" w:rsidRDefault="00CA498A">
      <w:pPr>
        <w:widowControl/>
        <w:jc w:val="left"/>
        <w:rPr>
          <w:rFonts w:ascii="Arial Narrow" w:hAnsi="Arial Narrow"/>
          <w:b/>
          <w:sz w:val="20"/>
          <w:lang w:val="en-US" w:eastAsia="en-AU"/>
        </w:rPr>
      </w:pPr>
      <w:r>
        <w:rPr>
          <w:rFonts w:ascii="Arial Narrow" w:hAnsi="Arial Narrow"/>
          <w:b/>
          <w:sz w:val="20"/>
          <w:lang w:val="en-US" w:eastAsia="en-AU"/>
        </w:rPr>
        <w:br w:type="page"/>
      </w:r>
    </w:p>
    <w:p w:rsidR="00033153" w:rsidRPr="008A40DC" w:rsidRDefault="00033153" w:rsidP="00E67942">
      <w:pPr>
        <w:ind w:firstLine="720"/>
        <w:rPr>
          <w:rFonts w:ascii="Arial Narrow" w:hAnsi="Arial Narrow"/>
          <w:b/>
          <w:sz w:val="20"/>
          <w:szCs w:val="16"/>
        </w:rPr>
      </w:pPr>
      <w:r w:rsidRPr="00234B4E">
        <w:rPr>
          <w:rFonts w:ascii="Arial Narrow" w:hAnsi="Arial Narrow"/>
          <w:b/>
          <w:sz w:val="20"/>
          <w:lang w:val="en-US" w:eastAsia="en-AU"/>
        </w:rPr>
        <w:lastRenderedPageBreak/>
        <w:t xml:space="preserve">Summary of </w:t>
      </w:r>
      <w:r>
        <w:rPr>
          <w:rFonts w:ascii="Arial Narrow" w:hAnsi="Arial Narrow"/>
          <w:b/>
          <w:sz w:val="20"/>
          <w:lang w:val="en-US" w:eastAsia="en-AU"/>
        </w:rPr>
        <w:t>adverse events in KN-006 (September 2014 data cut)</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90"/>
        <w:gridCol w:w="1259"/>
        <w:gridCol w:w="1256"/>
        <w:gridCol w:w="1166"/>
        <w:gridCol w:w="1244"/>
        <w:gridCol w:w="1348"/>
      </w:tblGrid>
      <w:tr w:rsidR="00033153" w:rsidRPr="008A40DC" w:rsidTr="00DD7E75">
        <w:trPr>
          <w:tblHeader/>
        </w:trPr>
        <w:tc>
          <w:tcPr>
            <w:tcW w:w="1249" w:type="pct"/>
            <w:vMerge w:val="restart"/>
            <w:shd w:val="clear" w:color="auto" w:fill="auto"/>
            <w:vAlign w:val="bottom"/>
          </w:tcPr>
          <w:p w:rsidR="00033153" w:rsidRPr="00CD1209" w:rsidRDefault="00033153" w:rsidP="00DD7E75">
            <w:pPr>
              <w:keepNext/>
              <w:rPr>
                <w:rFonts w:ascii="Arial Narrow" w:hAnsi="Arial Narrow"/>
                <w:b/>
                <w:sz w:val="19"/>
                <w:szCs w:val="19"/>
                <w:lang w:val="en-US"/>
              </w:rPr>
            </w:pPr>
            <w:r>
              <w:rPr>
                <w:rFonts w:ascii="Arial Narrow" w:hAnsi="Arial Narrow"/>
                <w:b/>
                <w:sz w:val="19"/>
                <w:szCs w:val="19"/>
                <w:lang w:val="en-US"/>
              </w:rPr>
              <w:t>Adverse event</w:t>
            </w:r>
          </w:p>
        </w:tc>
        <w:tc>
          <w:tcPr>
            <w:tcW w:w="753" w:type="pct"/>
            <w:vMerge w:val="restart"/>
            <w:shd w:val="clear" w:color="auto" w:fill="auto"/>
            <w:vAlign w:val="center"/>
          </w:tcPr>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Pembro 10</w:t>
            </w:r>
            <w:r>
              <w:rPr>
                <w:rFonts w:ascii="Arial Narrow" w:hAnsi="Arial Narrow"/>
                <w:b/>
                <w:sz w:val="19"/>
                <w:szCs w:val="19"/>
                <w:lang w:val="en-US"/>
              </w:rPr>
              <w:t> </w:t>
            </w:r>
            <w:r w:rsidRPr="00CD1209">
              <w:rPr>
                <w:rFonts w:ascii="Arial Narrow" w:hAnsi="Arial Narrow"/>
                <w:b/>
                <w:sz w:val="19"/>
                <w:szCs w:val="19"/>
                <w:lang w:val="en-US"/>
              </w:rPr>
              <w:t>mg/kg Q2W</w:t>
            </w:r>
          </w:p>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N=278</w:t>
            </w:r>
          </w:p>
        </w:tc>
        <w:tc>
          <w:tcPr>
            <w:tcW w:w="751" w:type="pct"/>
            <w:vMerge w:val="restart"/>
            <w:shd w:val="clear" w:color="auto" w:fill="auto"/>
            <w:vAlign w:val="center"/>
          </w:tcPr>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Pembro 10</w:t>
            </w:r>
            <w:r>
              <w:rPr>
                <w:rFonts w:ascii="Arial Narrow" w:hAnsi="Arial Narrow"/>
                <w:b/>
                <w:sz w:val="19"/>
                <w:szCs w:val="19"/>
                <w:lang w:val="en-US"/>
              </w:rPr>
              <w:t> mg/kg Q3W</w:t>
            </w:r>
          </w:p>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N=277</w:t>
            </w:r>
          </w:p>
        </w:tc>
        <w:tc>
          <w:tcPr>
            <w:tcW w:w="697" w:type="pct"/>
            <w:vMerge w:val="restart"/>
            <w:vAlign w:val="center"/>
          </w:tcPr>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 xml:space="preserve">Ipi </w:t>
            </w:r>
          </w:p>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3</w:t>
            </w:r>
            <w:r>
              <w:rPr>
                <w:rFonts w:ascii="Arial Narrow" w:hAnsi="Arial Narrow"/>
                <w:b/>
                <w:sz w:val="19"/>
                <w:szCs w:val="19"/>
                <w:lang w:val="en-US"/>
              </w:rPr>
              <w:t> </w:t>
            </w:r>
            <w:r w:rsidRPr="00CD1209">
              <w:rPr>
                <w:rFonts w:ascii="Arial Narrow" w:hAnsi="Arial Narrow"/>
                <w:b/>
                <w:sz w:val="19"/>
                <w:szCs w:val="19"/>
                <w:lang w:val="en-US"/>
              </w:rPr>
              <w:t>mg/kg Q3W</w:t>
            </w:r>
          </w:p>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N=256</w:t>
            </w:r>
          </w:p>
        </w:tc>
        <w:tc>
          <w:tcPr>
            <w:tcW w:w="1550" w:type="pct"/>
            <w:gridSpan w:val="2"/>
          </w:tcPr>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Difference in %</w:t>
            </w:r>
            <w:r w:rsidRPr="00CD1209">
              <w:rPr>
                <w:rFonts w:ascii="Arial Narrow" w:hAnsi="Arial Narrow"/>
                <w:b/>
                <w:sz w:val="19"/>
                <w:szCs w:val="19"/>
                <w:vertAlign w:val="superscript"/>
                <w:lang w:val="en-US"/>
              </w:rPr>
              <w:t>a</w:t>
            </w:r>
            <w:r w:rsidRPr="00CD1209">
              <w:rPr>
                <w:rFonts w:ascii="Arial Narrow" w:hAnsi="Arial Narrow"/>
                <w:b/>
                <w:sz w:val="19"/>
                <w:szCs w:val="19"/>
                <w:lang w:val="en-US"/>
              </w:rPr>
              <w:t xml:space="preserve"> (95% CI)</w:t>
            </w:r>
          </w:p>
        </w:tc>
      </w:tr>
      <w:tr w:rsidR="00033153" w:rsidRPr="008A40DC" w:rsidTr="00DD7E75">
        <w:trPr>
          <w:tblHeader/>
        </w:trPr>
        <w:tc>
          <w:tcPr>
            <w:tcW w:w="1249" w:type="pct"/>
            <w:vMerge/>
            <w:shd w:val="clear" w:color="auto" w:fill="auto"/>
            <w:vAlign w:val="center"/>
          </w:tcPr>
          <w:p w:rsidR="00033153" w:rsidRPr="00CD1209" w:rsidRDefault="00033153" w:rsidP="00DD7E75">
            <w:pPr>
              <w:keepNext/>
              <w:rPr>
                <w:rFonts w:ascii="Arial Narrow" w:hAnsi="Arial Narrow"/>
                <w:b/>
                <w:sz w:val="19"/>
                <w:szCs w:val="19"/>
                <w:lang w:val="en-US"/>
              </w:rPr>
            </w:pPr>
          </w:p>
        </w:tc>
        <w:tc>
          <w:tcPr>
            <w:tcW w:w="753" w:type="pct"/>
            <w:vMerge/>
            <w:shd w:val="clear" w:color="auto" w:fill="auto"/>
            <w:vAlign w:val="center"/>
          </w:tcPr>
          <w:p w:rsidR="00033153" w:rsidRPr="00CD1209" w:rsidRDefault="00033153" w:rsidP="00DD7E75">
            <w:pPr>
              <w:keepNext/>
              <w:jc w:val="center"/>
              <w:rPr>
                <w:rFonts w:ascii="Arial Narrow" w:hAnsi="Arial Narrow"/>
                <w:b/>
                <w:sz w:val="19"/>
                <w:szCs w:val="19"/>
                <w:lang w:val="en-US"/>
              </w:rPr>
            </w:pPr>
          </w:p>
        </w:tc>
        <w:tc>
          <w:tcPr>
            <w:tcW w:w="751" w:type="pct"/>
            <w:vMerge/>
            <w:shd w:val="clear" w:color="auto" w:fill="auto"/>
            <w:vAlign w:val="center"/>
          </w:tcPr>
          <w:p w:rsidR="00033153" w:rsidRPr="00CD1209" w:rsidRDefault="00033153" w:rsidP="00DD7E75">
            <w:pPr>
              <w:keepNext/>
              <w:jc w:val="center"/>
              <w:rPr>
                <w:rFonts w:ascii="Arial Narrow" w:hAnsi="Arial Narrow"/>
                <w:b/>
                <w:sz w:val="19"/>
                <w:szCs w:val="19"/>
                <w:lang w:val="en-US"/>
              </w:rPr>
            </w:pPr>
          </w:p>
        </w:tc>
        <w:tc>
          <w:tcPr>
            <w:tcW w:w="697" w:type="pct"/>
            <w:vMerge/>
            <w:vAlign w:val="center"/>
          </w:tcPr>
          <w:p w:rsidR="00033153" w:rsidRPr="00CD1209" w:rsidRDefault="00033153" w:rsidP="00DD7E75">
            <w:pPr>
              <w:keepNext/>
              <w:jc w:val="center"/>
              <w:rPr>
                <w:rFonts w:ascii="Arial Narrow" w:hAnsi="Arial Narrow"/>
                <w:b/>
                <w:sz w:val="19"/>
                <w:szCs w:val="19"/>
                <w:lang w:val="en-US"/>
              </w:rPr>
            </w:pPr>
          </w:p>
        </w:tc>
        <w:tc>
          <w:tcPr>
            <w:tcW w:w="744" w:type="pct"/>
            <w:vAlign w:val="center"/>
          </w:tcPr>
          <w:p w:rsidR="00033153"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10</w:t>
            </w:r>
            <w:r>
              <w:rPr>
                <w:rFonts w:ascii="Arial Narrow" w:hAnsi="Arial Narrow"/>
                <w:b/>
                <w:sz w:val="19"/>
                <w:szCs w:val="19"/>
                <w:lang w:val="en-US"/>
              </w:rPr>
              <w:t> mg/kg Q2W</w:t>
            </w:r>
          </w:p>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vs. ipi</w:t>
            </w:r>
          </w:p>
        </w:tc>
        <w:tc>
          <w:tcPr>
            <w:tcW w:w="806" w:type="pct"/>
            <w:shd w:val="clear" w:color="auto" w:fill="auto"/>
            <w:vAlign w:val="center"/>
          </w:tcPr>
          <w:p w:rsidR="00033153"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10</w:t>
            </w:r>
            <w:r>
              <w:rPr>
                <w:rFonts w:ascii="Arial Narrow" w:hAnsi="Arial Narrow"/>
                <w:b/>
                <w:sz w:val="19"/>
                <w:szCs w:val="19"/>
                <w:lang w:val="en-US"/>
              </w:rPr>
              <w:t> mg/kg Q3W</w:t>
            </w:r>
          </w:p>
          <w:p w:rsidR="00033153" w:rsidRPr="00CD1209" w:rsidRDefault="00033153" w:rsidP="00DD7E75">
            <w:pPr>
              <w:keepNext/>
              <w:jc w:val="center"/>
              <w:rPr>
                <w:rFonts w:ascii="Arial Narrow" w:hAnsi="Arial Narrow"/>
                <w:b/>
                <w:sz w:val="19"/>
                <w:szCs w:val="19"/>
                <w:lang w:val="en-US"/>
              </w:rPr>
            </w:pPr>
            <w:r w:rsidRPr="00CD1209">
              <w:rPr>
                <w:rFonts w:ascii="Arial Narrow" w:hAnsi="Arial Narrow"/>
                <w:b/>
                <w:sz w:val="19"/>
                <w:szCs w:val="19"/>
                <w:lang w:val="en-US"/>
              </w:rPr>
              <w:t>vs. ipi</w:t>
            </w:r>
          </w:p>
        </w:tc>
      </w:tr>
      <w:tr w:rsidR="00033153" w:rsidRPr="008A40DC" w:rsidTr="00DD7E75">
        <w:tc>
          <w:tcPr>
            <w:tcW w:w="1249" w:type="pct"/>
            <w:shd w:val="clear" w:color="auto" w:fill="auto"/>
          </w:tcPr>
          <w:p w:rsidR="00033153" w:rsidRPr="00CD1209" w:rsidRDefault="00033153" w:rsidP="00DD7E75">
            <w:pPr>
              <w:rPr>
                <w:rFonts w:ascii="Arial Narrow" w:hAnsi="Arial Narrow"/>
                <w:sz w:val="19"/>
                <w:szCs w:val="19"/>
                <w:lang w:val="en-US"/>
              </w:rPr>
            </w:pPr>
            <w:r w:rsidRPr="00CD1209">
              <w:rPr>
                <w:rFonts w:ascii="Arial Narrow" w:hAnsi="Arial Narrow"/>
                <w:sz w:val="19"/>
                <w:szCs w:val="19"/>
                <w:lang w:val="en-US"/>
              </w:rPr>
              <w:t>Grade 3-5 drug-related AE</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37 (13.3%)</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28 (10.1%)</w:t>
            </w:r>
          </w:p>
        </w:tc>
        <w:tc>
          <w:tcPr>
            <w:tcW w:w="697" w:type="pct"/>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51 (19.9%)</w:t>
            </w:r>
          </w:p>
        </w:tc>
        <w:tc>
          <w:tcPr>
            <w:tcW w:w="744" w:type="pct"/>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NR</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NR</w:t>
            </w:r>
          </w:p>
        </w:tc>
      </w:tr>
      <w:tr w:rsidR="00033153" w:rsidRPr="008A40DC" w:rsidTr="00DD7E75">
        <w:tc>
          <w:tcPr>
            <w:tcW w:w="1249" w:type="pct"/>
            <w:shd w:val="clear" w:color="auto" w:fill="auto"/>
            <w:vAlign w:val="center"/>
          </w:tcPr>
          <w:p w:rsidR="00033153" w:rsidRPr="00CD1209" w:rsidRDefault="00033153" w:rsidP="00DD7E75">
            <w:pPr>
              <w:rPr>
                <w:rFonts w:ascii="Arial Narrow" w:hAnsi="Arial Narrow"/>
                <w:sz w:val="19"/>
                <w:szCs w:val="19"/>
                <w:lang w:val="en-US"/>
              </w:rPr>
            </w:pPr>
            <w:r>
              <w:rPr>
                <w:rFonts w:ascii="Arial Narrow" w:hAnsi="Arial Narrow"/>
                <w:sz w:val="19"/>
                <w:szCs w:val="19"/>
                <w:lang w:val="en-US"/>
              </w:rPr>
              <w:t>Sponsor-</w:t>
            </w:r>
            <w:r w:rsidRPr="00CD1209">
              <w:rPr>
                <w:rFonts w:ascii="Arial Narrow" w:hAnsi="Arial Narrow"/>
                <w:sz w:val="19"/>
                <w:szCs w:val="19"/>
                <w:lang w:val="en-US"/>
              </w:rPr>
              <w:t>defined events of clinical interest</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126 (45.3%)</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122 (44.0%</w:t>
            </w:r>
            <w:r>
              <w:rPr>
                <w:rFonts w:ascii="Arial Narrow" w:hAnsi="Arial Narrow"/>
                <w:sz w:val="19"/>
                <w:szCs w:val="19"/>
                <w:lang w:val="en-US"/>
              </w:rPr>
              <w:t>)</w:t>
            </w:r>
          </w:p>
        </w:tc>
        <w:tc>
          <w:tcPr>
            <w:tcW w:w="697" w:type="pct"/>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127 (49.6%)</w:t>
            </w:r>
          </w:p>
        </w:tc>
        <w:tc>
          <w:tcPr>
            <w:tcW w:w="744" w:type="pct"/>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-9.9 (-21.7, 2.3)</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sidRPr="00CD1209">
              <w:rPr>
                <w:rFonts w:ascii="Arial Narrow" w:hAnsi="Arial Narrow"/>
                <w:sz w:val="19"/>
                <w:szCs w:val="19"/>
                <w:lang w:val="en-US"/>
              </w:rPr>
              <w:t>-14.1 (-25.4, -2.4)</w:t>
            </w:r>
          </w:p>
        </w:tc>
      </w:tr>
      <w:tr w:rsidR="00033153" w:rsidRPr="008A40DC" w:rsidTr="00DD7E75">
        <w:tc>
          <w:tcPr>
            <w:tcW w:w="1249" w:type="pct"/>
            <w:shd w:val="clear" w:color="auto" w:fill="auto"/>
            <w:vAlign w:val="center"/>
          </w:tcPr>
          <w:p w:rsidR="00033153" w:rsidRPr="00CD1209" w:rsidRDefault="00033153" w:rsidP="00DD7E75">
            <w:pPr>
              <w:rPr>
                <w:rFonts w:ascii="Arial Narrow" w:hAnsi="Arial Narrow"/>
                <w:sz w:val="19"/>
                <w:szCs w:val="19"/>
                <w:lang w:val="en-US"/>
              </w:rPr>
            </w:pPr>
            <w:r w:rsidRPr="00CD1209">
              <w:rPr>
                <w:rFonts w:ascii="Arial Narrow" w:hAnsi="Arial Narrow"/>
                <w:sz w:val="19"/>
                <w:szCs w:val="19"/>
                <w:lang w:val="en-US"/>
              </w:rPr>
              <w:t>Grade ≥3 hyper or hypothyroidism, hypophysitis or any grade resulting in dose modification</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3 (1.1%)</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5 (1.8%)</w:t>
            </w:r>
          </w:p>
        </w:tc>
        <w:tc>
          <w:tcPr>
            <w:tcW w:w="697"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4 (1.6%)</w:t>
            </w:r>
          </w:p>
        </w:tc>
        <w:tc>
          <w:tcPr>
            <w:tcW w:w="744"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-0.4 (-2.9, 1.4)</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0.4 (-2.6, 2.9)</w:t>
            </w:r>
          </w:p>
        </w:tc>
      </w:tr>
      <w:tr w:rsidR="00033153" w:rsidRPr="008A40DC" w:rsidTr="00DD7E75">
        <w:tc>
          <w:tcPr>
            <w:tcW w:w="1249" w:type="pct"/>
            <w:shd w:val="clear" w:color="auto" w:fill="auto"/>
            <w:vAlign w:val="center"/>
          </w:tcPr>
          <w:p w:rsidR="00033153" w:rsidRPr="00CD1209" w:rsidRDefault="00033153" w:rsidP="00DD7E75">
            <w:pPr>
              <w:rPr>
                <w:rFonts w:ascii="Arial Narrow" w:hAnsi="Arial Narrow"/>
                <w:sz w:val="19"/>
                <w:szCs w:val="19"/>
                <w:lang w:val="en-US"/>
              </w:rPr>
            </w:pPr>
            <w:r w:rsidRPr="00CD1209">
              <w:rPr>
                <w:rFonts w:ascii="Arial Narrow" w:hAnsi="Arial Narrow"/>
                <w:sz w:val="19"/>
                <w:szCs w:val="19"/>
                <w:lang w:val="en-US"/>
              </w:rPr>
              <w:t>Grade ≥2 pneumonitis</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 (0.4%)</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4 (1.4%)</w:t>
            </w:r>
          </w:p>
        </w:tc>
        <w:tc>
          <w:tcPr>
            <w:tcW w:w="697"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 (0.4%)</w:t>
            </w:r>
          </w:p>
        </w:tc>
        <w:tc>
          <w:tcPr>
            <w:tcW w:w="744"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-0.2 (-3.3, 2.6)</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1.5 (-1.3, 5.1)</w:t>
            </w:r>
          </w:p>
        </w:tc>
      </w:tr>
      <w:tr w:rsidR="00033153" w:rsidRPr="008A40DC" w:rsidTr="00DD7E75">
        <w:tc>
          <w:tcPr>
            <w:tcW w:w="1249" w:type="pct"/>
            <w:shd w:val="clear" w:color="auto" w:fill="auto"/>
            <w:vAlign w:val="center"/>
          </w:tcPr>
          <w:p w:rsidR="00033153" w:rsidRPr="00CD1209" w:rsidRDefault="00033153" w:rsidP="00DD7E75">
            <w:pPr>
              <w:rPr>
                <w:rFonts w:ascii="Arial Narrow" w:hAnsi="Arial Narrow"/>
                <w:sz w:val="19"/>
                <w:szCs w:val="19"/>
                <w:lang w:val="en-US"/>
              </w:rPr>
            </w:pPr>
            <w:r w:rsidRPr="00CD1209">
              <w:rPr>
                <w:rFonts w:ascii="Arial Narrow" w:hAnsi="Arial Narrow"/>
                <w:sz w:val="19"/>
                <w:szCs w:val="19"/>
                <w:lang w:val="en-US"/>
              </w:rPr>
              <w:t>Grade ≥3 rash or any grade resulting in dose modification</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2 (0.07%)</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3 (1.1%)</w:t>
            </w:r>
          </w:p>
        </w:tc>
        <w:tc>
          <w:tcPr>
            <w:tcW w:w="697"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6 (2.3%)</w:t>
            </w:r>
          </w:p>
        </w:tc>
        <w:tc>
          <w:tcPr>
            <w:tcW w:w="744"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-2.2 (-6.6, 0.7)</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-2.0 (-6.3, 1.3)</w:t>
            </w:r>
          </w:p>
        </w:tc>
      </w:tr>
      <w:tr w:rsidR="00033153" w:rsidRPr="008A40DC" w:rsidTr="00DD7E75">
        <w:tc>
          <w:tcPr>
            <w:tcW w:w="1249" w:type="pct"/>
            <w:shd w:val="clear" w:color="auto" w:fill="auto"/>
            <w:vAlign w:val="center"/>
          </w:tcPr>
          <w:p w:rsidR="00033153" w:rsidRPr="00CD1209" w:rsidRDefault="00033153" w:rsidP="00DD7E75">
            <w:pPr>
              <w:rPr>
                <w:rFonts w:ascii="Arial Narrow" w:hAnsi="Arial Narrow"/>
                <w:sz w:val="19"/>
                <w:szCs w:val="19"/>
                <w:lang w:val="en-US"/>
              </w:rPr>
            </w:pPr>
            <w:r w:rsidRPr="00CD1209">
              <w:rPr>
                <w:rFonts w:ascii="Arial Narrow" w:hAnsi="Arial Narrow"/>
                <w:sz w:val="19"/>
                <w:szCs w:val="19"/>
                <w:lang w:val="en-US"/>
              </w:rPr>
              <w:t>Grade ≥2 renal event or any grade resulting in dose modification</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2 (0.7%)</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4 (1.4%)</w:t>
            </w:r>
          </w:p>
        </w:tc>
        <w:tc>
          <w:tcPr>
            <w:tcW w:w="697"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4 (1.6%)</w:t>
            </w:r>
          </w:p>
        </w:tc>
        <w:tc>
          <w:tcPr>
            <w:tcW w:w="744"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-0.4 (-2.7, 1.2)</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0.5 (-2.2, 2.9)</w:t>
            </w:r>
          </w:p>
        </w:tc>
      </w:tr>
      <w:tr w:rsidR="00033153" w:rsidRPr="008A40DC" w:rsidTr="00DD7E75">
        <w:tc>
          <w:tcPr>
            <w:tcW w:w="1249" w:type="pct"/>
            <w:shd w:val="clear" w:color="auto" w:fill="auto"/>
            <w:vAlign w:val="center"/>
          </w:tcPr>
          <w:p w:rsidR="00033153" w:rsidRPr="00CD1209" w:rsidRDefault="00033153" w:rsidP="00DD7E75">
            <w:pPr>
              <w:rPr>
                <w:rFonts w:ascii="Arial Narrow" w:hAnsi="Arial Narrow"/>
                <w:sz w:val="19"/>
                <w:szCs w:val="19"/>
                <w:lang w:val="en-US"/>
              </w:rPr>
            </w:pPr>
            <w:r w:rsidRPr="00CD1209">
              <w:rPr>
                <w:rFonts w:ascii="Arial Narrow" w:hAnsi="Arial Narrow"/>
                <w:sz w:val="19"/>
                <w:szCs w:val="19"/>
                <w:lang w:val="en-US"/>
              </w:rPr>
              <w:t>Grade ≥2 uveitis or iritis or any grade resulting in dose modification</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 (0.4%)</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2 (0.7%)</w:t>
            </w:r>
          </w:p>
        </w:tc>
        <w:tc>
          <w:tcPr>
            <w:tcW w:w="697"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 (0.0%)</w:t>
            </w:r>
          </w:p>
        </w:tc>
        <w:tc>
          <w:tcPr>
            <w:tcW w:w="744"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0.7 (-2.3, 4.0)</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0.4 (-2.3, 3.3)</w:t>
            </w:r>
          </w:p>
        </w:tc>
      </w:tr>
      <w:tr w:rsidR="00033153" w:rsidRPr="008A40DC" w:rsidTr="00DD7E75">
        <w:tc>
          <w:tcPr>
            <w:tcW w:w="1249" w:type="pct"/>
            <w:shd w:val="clear" w:color="auto" w:fill="auto"/>
            <w:vAlign w:val="center"/>
          </w:tcPr>
          <w:p w:rsidR="00033153" w:rsidRPr="00CD1209" w:rsidRDefault="00033153" w:rsidP="00DD7E75">
            <w:pPr>
              <w:tabs>
                <w:tab w:val="left" w:pos="114"/>
              </w:tabs>
              <w:rPr>
                <w:rFonts w:ascii="Arial Narrow" w:hAnsi="Arial Narrow"/>
                <w:sz w:val="19"/>
                <w:szCs w:val="19"/>
                <w:lang w:val="en-US"/>
              </w:rPr>
            </w:pPr>
            <w:r w:rsidRPr="00CD1209">
              <w:rPr>
                <w:rFonts w:ascii="Arial Narrow" w:hAnsi="Arial Narrow"/>
                <w:sz w:val="19"/>
                <w:szCs w:val="19"/>
                <w:lang w:val="en-US"/>
              </w:rPr>
              <w:t>Grade ≥2 hepatitis or any grade resulting in dose modification</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3 (1.1%)</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4 (1.4%)</w:t>
            </w:r>
          </w:p>
        </w:tc>
        <w:tc>
          <w:tcPr>
            <w:tcW w:w="697"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 (0.4%)</w:t>
            </w:r>
          </w:p>
        </w:tc>
        <w:tc>
          <w:tcPr>
            <w:tcW w:w="744"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0.2 (-2.3, 2.9)</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0.4 (-2.0, 3.0)</w:t>
            </w:r>
          </w:p>
        </w:tc>
      </w:tr>
      <w:tr w:rsidR="00033153" w:rsidRPr="008A40DC" w:rsidTr="00DD7E75">
        <w:tc>
          <w:tcPr>
            <w:tcW w:w="1249" w:type="pct"/>
            <w:shd w:val="clear" w:color="auto" w:fill="auto"/>
            <w:vAlign w:val="center"/>
          </w:tcPr>
          <w:p w:rsidR="00033153" w:rsidRPr="00CD1209" w:rsidRDefault="00033153" w:rsidP="00DD7E75">
            <w:pPr>
              <w:tabs>
                <w:tab w:val="left" w:pos="114"/>
              </w:tabs>
              <w:rPr>
                <w:rFonts w:ascii="Arial Narrow" w:hAnsi="Arial Narrow"/>
                <w:sz w:val="19"/>
                <w:szCs w:val="19"/>
                <w:lang w:val="en-US"/>
              </w:rPr>
            </w:pPr>
            <w:r w:rsidRPr="00CD1209">
              <w:rPr>
                <w:rFonts w:ascii="Arial Narrow" w:hAnsi="Arial Narrow"/>
                <w:sz w:val="19"/>
                <w:szCs w:val="19"/>
                <w:lang w:val="en-US"/>
              </w:rPr>
              <w:t>Investigator-assessed immune related AE</w:t>
            </w:r>
          </w:p>
        </w:tc>
        <w:tc>
          <w:tcPr>
            <w:tcW w:w="753"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114 (41.0%)</w:t>
            </w:r>
          </w:p>
        </w:tc>
        <w:tc>
          <w:tcPr>
            <w:tcW w:w="751"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109 (39.4%)</w:t>
            </w:r>
          </w:p>
        </w:tc>
        <w:tc>
          <w:tcPr>
            <w:tcW w:w="697"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110 (43.0%)</w:t>
            </w:r>
          </w:p>
        </w:tc>
        <w:tc>
          <w:tcPr>
            <w:tcW w:w="744" w:type="pct"/>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-3.4 (-14.1, 6.7)</w:t>
            </w:r>
          </w:p>
        </w:tc>
        <w:tc>
          <w:tcPr>
            <w:tcW w:w="806" w:type="pct"/>
            <w:shd w:val="clear" w:color="auto" w:fill="auto"/>
            <w:vAlign w:val="center"/>
          </w:tcPr>
          <w:p w:rsidR="00033153" w:rsidRPr="00CD1209" w:rsidRDefault="00033153" w:rsidP="00DD7E75">
            <w:pPr>
              <w:jc w:val="center"/>
              <w:rPr>
                <w:rFonts w:ascii="Arial Narrow" w:hAnsi="Arial Narrow"/>
                <w:sz w:val="19"/>
                <w:szCs w:val="19"/>
                <w:lang w:val="en-US"/>
              </w:rPr>
            </w:pPr>
            <w:r>
              <w:rPr>
                <w:rFonts w:ascii="Arial Narrow" w:hAnsi="Arial Narrow"/>
                <w:sz w:val="19"/>
                <w:szCs w:val="19"/>
                <w:lang w:val="en-US"/>
              </w:rPr>
              <w:t>-4.4 (-15.4, 6.0)</w:t>
            </w:r>
          </w:p>
        </w:tc>
      </w:tr>
    </w:tbl>
    <w:p w:rsidR="00033153" w:rsidRPr="007D2827" w:rsidRDefault="00033153" w:rsidP="00033153">
      <w:pPr>
        <w:tabs>
          <w:tab w:val="left" w:pos="851"/>
        </w:tabs>
        <w:ind w:left="851" w:hanging="142"/>
        <w:rPr>
          <w:rFonts w:ascii="Arial Narrow" w:hAnsi="Arial Narrow"/>
          <w:sz w:val="18"/>
        </w:rPr>
      </w:pPr>
      <w:r w:rsidRPr="007D2827">
        <w:rPr>
          <w:rFonts w:ascii="Arial Narrow" w:hAnsi="Arial Narrow"/>
          <w:sz w:val="20"/>
          <w:vertAlign w:val="superscript"/>
          <w:lang w:val="en-US"/>
        </w:rPr>
        <w:t>a</w:t>
      </w:r>
      <w:r>
        <w:rPr>
          <w:rFonts w:ascii="Arial Narrow" w:hAnsi="Arial Narrow"/>
          <w:sz w:val="20"/>
          <w:lang w:val="en-US"/>
        </w:rPr>
        <w:tab/>
      </w:r>
      <w:r w:rsidRPr="00B32CFF">
        <w:rPr>
          <w:rFonts w:ascii="Arial Narrow" w:hAnsi="Arial Narrow"/>
          <w:sz w:val="18"/>
          <w:szCs w:val="18"/>
          <w:lang w:val="en-US"/>
        </w:rPr>
        <w:t>Based on Miettinen &amp; Nurminen method stratified by line of therapy (1</w:t>
      </w:r>
      <w:r w:rsidRPr="00B32CFF">
        <w:rPr>
          <w:rFonts w:ascii="Arial Narrow" w:hAnsi="Arial Narrow"/>
          <w:sz w:val="18"/>
          <w:szCs w:val="18"/>
          <w:vertAlign w:val="superscript"/>
          <w:lang w:val="en-US"/>
        </w:rPr>
        <w:t>st</w:t>
      </w:r>
      <w:r w:rsidRPr="00B32CFF">
        <w:rPr>
          <w:rFonts w:ascii="Arial Narrow" w:hAnsi="Arial Narrow"/>
          <w:sz w:val="18"/>
          <w:szCs w:val="18"/>
          <w:lang w:val="en-US"/>
        </w:rPr>
        <w:t xml:space="preserve"> vs. 2</w:t>
      </w:r>
      <w:r w:rsidRPr="00B32CFF">
        <w:rPr>
          <w:rFonts w:ascii="Arial Narrow" w:hAnsi="Arial Narrow"/>
          <w:sz w:val="18"/>
          <w:szCs w:val="18"/>
          <w:vertAlign w:val="superscript"/>
          <w:lang w:val="en-US"/>
        </w:rPr>
        <w:t>nd</w:t>
      </w:r>
      <w:r w:rsidRPr="00B32CFF">
        <w:rPr>
          <w:rFonts w:ascii="Arial Narrow" w:hAnsi="Arial Narrow"/>
          <w:sz w:val="18"/>
          <w:szCs w:val="18"/>
          <w:lang w:val="en-US"/>
        </w:rPr>
        <w:t>), PD-L1 status (high positive vs. low positive) and ECOG (0 vs. 1).</w:t>
      </w:r>
    </w:p>
    <w:p w:rsidR="00033153" w:rsidRDefault="00033153" w:rsidP="00033153">
      <w:pPr>
        <w:ind w:left="709"/>
        <w:rPr>
          <w:rFonts w:ascii="Arial Narrow" w:hAnsi="Arial Narrow"/>
          <w:sz w:val="18"/>
        </w:rPr>
      </w:pPr>
      <w:r>
        <w:rPr>
          <w:rFonts w:ascii="Arial Narrow" w:hAnsi="Arial Narrow"/>
          <w:sz w:val="18"/>
        </w:rPr>
        <w:t>Ipi=ipilimumab; NR=not reported; Pembro=pembrolizumab</w:t>
      </w:r>
    </w:p>
    <w:p w:rsidR="00033153" w:rsidRDefault="00033153" w:rsidP="00033153">
      <w:pPr>
        <w:ind w:left="709"/>
        <w:rPr>
          <w:szCs w:val="22"/>
        </w:rPr>
      </w:pPr>
      <w:r w:rsidRPr="008A40DC">
        <w:rPr>
          <w:rFonts w:ascii="Arial Narrow" w:hAnsi="Arial Narrow"/>
          <w:sz w:val="18"/>
        </w:rPr>
        <w:t xml:space="preserve">Source: </w:t>
      </w:r>
      <w:r>
        <w:rPr>
          <w:rFonts w:ascii="Arial Narrow" w:hAnsi="Arial Narrow"/>
          <w:sz w:val="18"/>
        </w:rPr>
        <w:t xml:space="preserve">Table </w:t>
      </w:r>
      <w:r w:rsidR="004F46EF">
        <w:rPr>
          <w:rFonts w:ascii="Arial Narrow" w:hAnsi="Arial Narrow"/>
          <w:sz w:val="18"/>
        </w:rPr>
        <w:t>5</w:t>
      </w:r>
      <w:r>
        <w:rPr>
          <w:rFonts w:ascii="Arial Narrow" w:hAnsi="Arial Narrow"/>
          <w:sz w:val="18"/>
        </w:rPr>
        <w:t>, p27; Table 7, p29-30 of the interim analysis document</w:t>
      </w:r>
    </w:p>
    <w:p w:rsidR="00033153" w:rsidRDefault="00033153" w:rsidP="00033153">
      <w:pPr>
        <w:rPr>
          <w:rFonts w:ascii="Times" w:hAnsi="Times" w:cs="Times"/>
          <w:lang w:val="en-US" w:eastAsia="en-AU"/>
        </w:rPr>
      </w:pPr>
    </w:p>
    <w:p w:rsidR="00033153" w:rsidRPr="00115507" w:rsidRDefault="00033153" w:rsidP="00033153">
      <w:pPr>
        <w:numPr>
          <w:ilvl w:val="1"/>
          <w:numId w:val="1"/>
        </w:numPr>
        <w:contextualSpacing/>
        <w:rPr>
          <w:szCs w:val="22"/>
        </w:rPr>
      </w:pPr>
      <w:r>
        <w:t xml:space="preserve">With the exception of </w:t>
      </w:r>
      <w:r w:rsidR="00355255">
        <w:t>‘</w:t>
      </w:r>
      <w:r>
        <w:t>sponsor-defined events of clinical interest</w:t>
      </w:r>
      <w:r w:rsidR="00355255">
        <w:t>’</w:t>
      </w:r>
      <w:r>
        <w:t>, which showed significantly fewer adverse events with pembrolizumab 10 mg/kg Q3W compared to ipilimumab, there were no statistically significant differences in the adverse events presented in the interim report.</w:t>
      </w:r>
    </w:p>
    <w:p w:rsidR="00033153" w:rsidRDefault="00033153">
      <w:pPr>
        <w:widowControl/>
        <w:jc w:val="left"/>
        <w:rPr>
          <w:i/>
          <w:szCs w:val="22"/>
        </w:rPr>
      </w:pPr>
    </w:p>
    <w:p w:rsidR="00655B06" w:rsidRPr="00655B06" w:rsidRDefault="00655B06" w:rsidP="00655B06">
      <w:pPr>
        <w:pStyle w:val="PBACHeading1"/>
        <w:numPr>
          <w:ilvl w:val="0"/>
          <w:numId w:val="0"/>
        </w:numPr>
        <w:ind w:firstLine="720"/>
        <w:rPr>
          <w:b w:val="0"/>
          <w:i/>
        </w:rPr>
      </w:pPr>
      <w:r w:rsidRPr="00655B06">
        <w:rPr>
          <w:b w:val="0"/>
          <w:i/>
        </w:rPr>
        <w:t>For more detail on PBAC’s view, see section 7 “PBAC outcome”</w:t>
      </w:r>
    </w:p>
    <w:p w:rsidR="00D25757" w:rsidRPr="00355255" w:rsidRDefault="00D25757" w:rsidP="007F1017">
      <w:pPr>
        <w:pStyle w:val="ListParagraph"/>
        <w:ind w:left="0"/>
        <w:rPr>
          <w:szCs w:val="22"/>
        </w:rPr>
      </w:pPr>
    </w:p>
    <w:p w:rsidR="00655B06" w:rsidRDefault="00D25757" w:rsidP="007F1017">
      <w:pPr>
        <w:pStyle w:val="ListParagraph"/>
        <w:ind w:left="0"/>
        <w:rPr>
          <w:b/>
          <w:i/>
          <w:szCs w:val="22"/>
        </w:rPr>
      </w:pPr>
      <w:r>
        <w:rPr>
          <w:b/>
          <w:i/>
          <w:szCs w:val="22"/>
        </w:rPr>
        <w:t>Benefits/harms</w:t>
      </w:r>
    </w:p>
    <w:p w:rsidR="000E29A7" w:rsidRPr="007F1017" w:rsidRDefault="000E29A7" w:rsidP="000E29A7">
      <w:pPr>
        <w:pStyle w:val="ListParagraph"/>
        <w:ind w:left="0"/>
        <w:rPr>
          <w:szCs w:val="22"/>
        </w:rPr>
      </w:pPr>
      <w:bookmarkStart w:id="13" w:name="_Toc409607370"/>
    </w:p>
    <w:p w:rsidR="000E29A7" w:rsidRPr="00F77844" w:rsidRDefault="000E29A7" w:rsidP="000E29A7">
      <w:pPr>
        <w:pStyle w:val="ListParagraph"/>
        <w:widowControl/>
        <w:numPr>
          <w:ilvl w:val="1"/>
          <w:numId w:val="1"/>
        </w:numPr>
        <w:rPr>
          <w:szCs w:val="22"/>
        </w:rPr>
      </w:pPr>
      <w:r>
        <w:rPr>
          <w:szCs w:val="22"/>
        </w:rPr>
        <w:t>A</w:t>
      </w:r>
      <w:r w:rsidRPr="00BB4AC4">
        <w:rPr>
          <w:szCs w:val="22"/>
        </w:rPr>
        <w:t xml:space="preserve"> summary of benefits and harms </w:t>
      </w:r>
      <w:r w:rsidR="00095B3A">
        <w:rPr>
          <w:szCs w:val="22"/>
        </w:rPr>
        <w:t xml:space="preserve">is presented below </w:t>
      </w:r>
      <w:r>
        <w:rPr>
          <w:szCs w:val="22"/>
        </w:rPr>
        <w:t>using the data from KN-00</w:t>
      </w:r>
      <w:r w:rsidR="00095B3A">
        <w:rPr>
          <w:szCs w:val="22"/>
        </w:rPr>
        <w:t>6</w:t>
      </w:r>
      <w:r w:rsidR="003D6F69">
        <w:rPr>
          <w:szCs w:val="22"/>
        </w:rPr>
        <w:t>.</w:t>
      </w:r>
    </w:p>
    <w:p w:rsidR="000E29A7" w:rsidRPr="00F77844" w:rsidRDefault="000E29A7" w:rsidP="000E29A7">
      <w:pPr>
        <w:rPr>
          <w:rStyle w:val="CommentReference"/>
          <w:rFonts w:ascii="Arial" w:hAnsi="Arial"/>
          <w:b w:val="0"/>
          <w:sz w:val="22"/>
          <w:szCs w:val="22"/>
        </w:rPr>
      </w:pPr>
    </w:p>
    <w:p w:rsidR="00CA498A" w:rsidRDefault="00CA498A">
      <w:pPr>
        <w:widowControl/>
        <w:jc w:val="left"/>
        <w:rPr>
          <w:rStyle w:val="CommentReference"/>
        </w:rPr>
      </w:pPr>
      <w:r>
        <w:rPr>
          <w:rStyle w:val="CommentReference"/>
        </w:rPr>
        <w:br w:type="page"/>
      </w:r>
    </w:p>
    <w:p w:rsidR="00A12ADD" w:rsidRPr="00A12ADD" w:rsidRDefault="00095B3A" w:rsidP="00A12ADD">
      <w:pPr>
        <w:pStyle w:val="ListParagraph"/>
        <w:widowControl/>
        <w:rPr>
          <w:szCs w:val="22"/>
        </w:rPr>
      </w:pPr>
      <w:r w:rsidRPr="00A578DC">
        <w:rPr>
          <w:rStyle w:val="CommentReference"/>
        </w:rPr>
        <w:lastRenderedPageBreak/>
        <w:t xml:space="preserve">Summary of benefits and harms for </w:t>
      </w:r>
      <w:r>
        <w:rPr>
          <w:rStyle w:val="CommentReference"/>
        </w:rPr>
        <w:t>pembrolizumab and ipilimumab</w:t>
      </w:r>
    </w:p>
    <w:tbl>
      <w:tblPr>
        <w:tblStyle w:val="TableGrid"/>
        <w:tblW w:w="4665" w:type="pct"/>
        <w:tblInd w:w="698" w:type="dxa"/>
        <w:tblLayout w:type="fixed"/>
        <w:tblCellMar>
          <w:left w:w="28" w:type="dxa"/>
          <w:right w:w="28" w:type="dxa"/>
        </w:tblCellMar>
        <w:tblLook w:val="04A0" w:firstRow="1" w:lastRow="0" w:firstColumn="1" w:lastColumn="0" w:noHBand="0" w:noVBand="1"/>
      </w:tblPr>
      <w:tblGrid>
        <w:gridCol w:w="1028"/>
        <w:gridCol w:w="712"/>
        <w:gridCol w:w="569"/>
        <w:gridCol w:w="851"/>
        <w:gridCol w:w="568"/>
        <w:gridCol w:w="858"/>
        <w:gridCol w:w="419"/>
        <w:gridCol w:w="863"/>
        <w:gridCol w:w="1291"/>
        <w:gridCol w:w="1315"/>
      </w:tblGrid>
      <w:tr w:rsidR="00652482" w:rsidRPr="00E2771E" w:rsidTr="00652482">
        <w:trPr>
          <w:trHeight w:val="165"/>
        </w:trPr>
        <w:tc>
          <w:tcPr>
            <w:tcW w:w="1027" w:type="pct"/>
            <w:gridSpan w:val="2"/>
            <w:vMerge w:val="restart"/>
            <w:shd w:val="clear" w:color="auto" w:fill="auto"/>
            <w:vAlign w:val="center"/>
          </w:tcPr>
          <w:p w:rsidR="00652482" w:rsidRPr="008A40DC" w:rsidRDefault="00652482" w:rsidP="00BB6F83">
            <w:pPr>
              <w:keepNext/>
              <w:rPr>
                <w:rFonts w:ascii="Arial Narrow" w:hAnsi="Arial Narrow"/>
                <w:b/>
                <w:sz w:val="20"/>
                <w:lang w:val="en-US"/>
              </w:rPr>
            </w:pPr>
          </w:p>
        </w:tc>
        <w:tc>
          <w:tcPr>
            <w:tcW w:w="838" w:type="pct"/>
            <w:gridSpan w:val="2"/>
            <w:vMerge w:val="restart"/>
            <w:vAlign w:val="center"/>
          </w:tcPr>
          <w:p w:rsidR="00652482" w:rsidRDefault="00652482" w:rsidP="00BB6F83">
            <w:pPr>
              <w:keepNext/>
              <w:jc w:val="center"/>
              <w:rPr>
                <w:rFonts w:ascii="Arial Narrow" w:hAnsi="Arial Narrow"/>
                <w:b/>
                <w:sz w:val="20"/>
                <w:lang w:val="en-US"/>
              </w:rPr>
            </w:pPr>
            <w:r>
              <w:rPr>
                <w:rFonts w:ascii="Arial Narrow" w:hAnsi="Arial Narrow"/>
                <w:b/>
                <w:sz w:val="20"/>
                <w:lang w:val="en-US"/>
              </w:rPr>
              <w:t>Pembrolizumab 10 mg/kg Q2W</w:t>
            </w:r>
          </w:p>
          <w:p w:rsidR="00652482" w:rsidRPr="008A40DC" w:rsidRDefault="00652482" w:rsidP="00BB6F83">
            <w:pPr>
              <w:keepNext/>
              <w:jc w:val="center"/>
              <w:rPr>
                <w:rFonts w:ascii="Arial Narrow" w:hAnsi="Arial Narrow"/>
                <w:b/>
                <w:sz w:val="20"/>
                <w:lang w:val="en-US"/>
              </w:rPr>
            </w:pPr>
            <w:r>
              <w:rPr>
                <w:rFonts w:ascii="Arial Narrow" w:hAnsi="Arial Narrow"/>
                <w:b/>
                <w:sz w:val="20"/>
                <w:lang w:val="en-US"/>
              </w:rPr>
              <w:t>N=279</w:t>
            </w:r>
          </w:p>
        </w:tc>
        <w:tc>
          <w:tcPr>
            <w:tcW w:w="841" w:type="pct"/>
            <w:gridSpan w:val="2"/>
            <w:vMerge w:val="restart"/>
            <w:vAlign w:val="center"/>
          </w:tcPr>
          <w:p w:rsidR="00652482" w:rsidRDefault="00652482" w:rsidP="00BB6F83">
            <w:pPr>
              <w:keepNext/>
              <w:jc w:val="center"/>
              <w:rPr>
                <w:rFonts w:ascii="Arial Narrow" w:hAnsi="Arial Narrow"/>
                <w:b/>
                <w:sz w:val="20"/>
                <w:lang w:val="en-US"/>
              </w:rPr>
            </w:pPr>
            <w:r>
              <w:rPr>
                <w:rFonts w:ascii="Arial Narrow" w:hAnsi="Arial Narrow"/>
                <w:b/>
                <w:sz w:val="20"/>
                <w:lang w:val="en-US"/>
              </w:rPr>
              <w:t>Pembrolizumab 10 mg/kg Q3W</w:t>
            </w:r>
          </w:p>
          <w:p w:rsidR="00652482" w:rsidRDefault="00652482" w:rsidP="00BB6F83">
            <w:pPr>
              <w:keepNext/>
              <w:jc w:val="center"/>
              <w:rPr>
                <w:rFonts w:ascii="Arial Narrow" w:hAnsi="Arial Narrow"/>
                <w:b/>
                <w:sz w:val="20"/>
                <w:lang w:val="en-US"/>
              </w:rPr>
            </w:pPr>
            <w:r>
              <w:rPr>
                <w:rFonts w:ascii="Arial Narrow" w:hAnsi="Arial Narrow"/>
                <w:b/>
                <w:sz w:val="20"/>
                <w:lang w:val="en-US"/>
              </w:rPr>
              <w:t>N=277</w:t>
            </w:r>
          </w:p>
        </w:tc>
        <w:tc>
          <w:tcPr>
            <w:tcW w:w="756" w:type="pct"/>
            <w:gridSpan w:val="2"/>
            <w:vMerge w:val="restart"/>
            <w:vAlign w:val="center"/>
          </w:tcPr>
          <w:p w:rsidR="00652482" w:rsidRDefault="00652482" w:rsidP="00BB6F83">
            <w:pPr>
              <w:keepNext/>
              <w:jc w:val="center"/>
              <w:rPr>
                <w:rFonts w:ascii="Arial Narrow" w:hAnsi="Arial Narrow"/>
                <w:b/>
                <w:sz w:val="20"/>
                <w:lang w:val="en-US"/>
              </w:rPr>
            </w:pPr>
            <w:r>
              <w:rPr>
                <w:rFonts w:ascii="Arial Narrow" w:hAnsi="Arial Narrow"/>
                <w:b/>
                <w:sz w:val="20"/>
                <w:lang w:val="en-US"/>
              </w:rPr>
              <w:t>Ipilimumab 3 mg/kg Q3W</w:t>
            </w:r>
          </w:p>
          <w:p w:rsidR="00652482" w:rsidRDefault="00652482" w:rsidP="00BB6F83">
            <w:pPr>
              <w:keepNext/>
              <w:jc w:val="center"/>
              <w:rPr>
                <w:rFonts w:ascii="Arial Narrow" w:hAnsi="Arial Narrow"/>
                <w:b/>
                <w:sz w:val="20"/>
                <w:lang w:val="en-US"/>
              </w:rPr>
            </w:pPr>
            <w:r>
              <w:rPr>
                <w:rFonts w:ascii="Arial Narrow" w:hAnsi="Arial Narrow"/>
                <w:b/>
                <w:sz w:val="20"/>
                <w:lang w:val="en-US"/>
              </w:rPr>
              <w:t>N=278</w:t>
            </w:r>
          </w:p>
        </w:tc>
        <w:tc>
          <w:tcPr>
            <w:tcW w:w="1538" w:type="pct"/>
            <w:gridSpan w:val="2"/>
          </w:tcPr>
          <w:p w:rsidR="00652482" w:rsidRPr="00E944A6" w:rsidRDefault="00652482" w:rsidP="00F37552">
            <w:pPr>
              <w:keepNext/>
              <w:jc w:val="center"/>
              <w:rPr>
                <w:rFonts w:ascii="Arial Narrow" w:hAnsi="Arial Narrow"/>
                <w:b/>
                <w:sz w:val="20"/>
                <w:lang w:val="en-US"/>
              </w:rPr>
            </w:pPr>
            <w:r w:rsidRPr="00E944A6">
              <w:rPr>
                <w:rFonts w:ascii="Arial Narrow" w:hAnsi="Arial Narrow"/>
                <w:b/>
                <w:sz w:val="20"/>
                <w:lang w:val="en-US"/>
              </w:rPr>
              <w:t>Difference in %</w:t>
            </w:r>
            <w:r w:rsidR="00455BA9">
              <w:rPr>
                <w:rFonts w:ascii="Arial Narrow" w:hAnsi="Arial Narrow"/>
                <w:b/>
                <w:sz w:val="20"/>
                <w:vertAlign w:val="superscript"/>
                <w:lang w:val="en-US"/>
              </w:rPr>
              <w:t>a</w:t>
            </w:r>
            <w:r w:rsidRPr="00E944A6">
              <w:rPr>
                <w:rFonts w:ascii="Arial Narrow" w:hAnsi="Arial Narrow"/>
                <w:b/>
                <w:sz w:val="20"/>
                <w:lang w:val="en-US"/>
              </w:rPr>
              <w:t xml:space="preserve"> (95% CI)</w:t>
            </w:r>
          </w:p>
        </w:tc>
      </w:tr>
      <w:tr w:rsidR="00652482" w:rsidRPr="00E2771E" w:rsidTr="00652482">
        <w:trPr>
          <w:trHeight w:val="312"/>
        </w:trPr>
        <w:tc>
          <w:tcPr>
            <w:tcW w:w="1027" w:type="pct"/>
            <w:gridSpan w:val="2"/>
            <w:vMerge/>
            <w:shd w:val="clear" w:color="auto" w:fill="auto"/>
            <w:vAlign w:val="center"/>
          </w:tcPr>
          <w:p w:rsidR="00652482" w:rsidRPr="008A40DC" w:rsidRDefault="00652482" w:rsidP="00BB6F83">
            <w:pPr>
              <w:keepNext/>
              <w:rPr>
                <w:rFonts w:ascii="Arial Narrow" w:hAnsi="Arial Narrow"/>
                <w:b/>
                <w:sz w:val="20"/>
                <w:lang w:val="en-US"/>
              </w:rPr>
            </w:pPr>
          </w:p>
        </w:tc>
        <w:tc>
          <w:tcPr>
            <w:tcW w:w="838" w:type="pct"/>
            <w:gridSpan w:val="2"/>
            <w:vMerge/>
            <w:vAlign w:val="center"/>
          </w:tcPr>
          <w:p w:rsidR="00652482" w:rsidRDefault="00652482" w:rsidP="00BB6F83">
            <w:pPr>
              <w:keepNext/>
              <w:jc w:val="center"/>
              <w:rPr>
                <w:rFonts w:ascii="Arial Narrow" w:hAnsi="Arial Narrow"/>
                <w:b/>
                <w:sz w:val="20"/>
                <w:lang w:val="en-US"/>
              </w:rPr>
            </w:pPr>
          </w:p>
        </w:tc>
        <w:tc>
          <w:tcPr>
            <w:tcW w:w="841" w:type="pct"/>
            <w:gridSpan w:val="2"/>
            <w:vMerge/>
            <w:vAlign w:val="center"/>
          </w:tcPr>
          <w:p w:rsidR="00652482" w:rsidRDefault="00652482" w:rsidP="00BB6F83">
            <w:pPr>
              <w:keepNext/>
              <w:jc w:val="center"/>
              <w:rPr>
                <w:rFonts w:ascii="Arial Narrow" w:hAnsi="Arial Narrow"/>
                <w:b/>
                <w:sz w:val="20"/>
                <w:lang w:val="en-US"/>
              </w:rPr>
            </w:pPr>
          </w:p>
        </w:tc>
        <w:tc>
          <w:tcPr>
            <w:tcW w:w="756" w:type="pct"/>
            <w:gridSpan w:val="2"/>
            <w:vMerge/>
            <w:vAlign w:val="center"/>
          </w:tcPr>
          <w:p w:rsidR="00652482" w:rsidRDefault="00652482" w:rsidP="00BB6F83">
            <w:pPr>
              <w:keepNext/>
              <w:jc w:val="center"/>
              <w:rPr>
                <w:rFonts w:ascii="Arial Narrow" w:hAnsi="Arial Narrow"/>
                <w:b/>
                <w:sz w:val="20"/>
                <w:lang w:val="en-US"/>
              </w:rPr>
            </w:pPr>
          </w:p>
        </w:tc>
        <w:tc>
          <w:tcPr>
            <w:tcW w:w="762" w:type="pct"/>
            <w:vAlign w:val="center"/>
          </w:tcPr>
          <w:p w:rsidR="00652482" w:rsidRPr="00E944A6" w:rsidRDefault="00652482" w:rsidP="00F37552">
            <w:pPr>
              <w:keepNext/>
              <w:jc w:val="center"/>
              <w:rPr>
                <w:rFonts w:ascii="Arial Narrow" w:hAnsi="Arial Narrow"/>
                <w:b/>
                <w:sz w:val="20"/>
                <w:lang w:val="en-US"/>
              </w:rPr>
            </w:pPr>
            <w:r w:rsidRPr="00E944A6">
              <w:rPr>
                <w:rFonts w:ascii="Arial Narrow" w:hAnsi="Arial Narrow"/>
                <w:b/>
                <w:sz w:val="20"/>
                <w:lang w:val="en-US"/>
              </w:rPr>
              <w:t>10 mg/kg Q2W</w:t>
            </w:r>
          </w:p>
          <w:p w:rsidR="00652482" w:rsidRPr="00E944A6" w:rsidRDefault="00652482" w:rsidP="00F37552">
            <w:pPr>
              <w:keepNext/>
              <w:jc w:val="center"/>
              <w:rPr>
                <w:rFonts w:ascii="Arial Narrow" w:hAnsi="Arial Narrow"/>
                <w:b/>
                <w:sz w:val="20"/>
                <w:lang w:val="en-US"/>
              </w:rPr>
            </w:pPr>
            <w:r w:rsidRPr="00E944A6">
              <w:rPr>
                <w:rFonts w:ascii="Arial Narrow" w:hAnsi="Arial Narrow"/>
                <w:b/>
                <w:sz w:val="20"/>
                <w:lang w:val="en-US"/>
              </w:rPr>
              <w:t>vs. ipilimumab</w:t>
            </w:r>
          </w:p>
        </w:tc>
        <w:tc>
          <w:tcPr>
            <w:tcW w:w="776" w:type="pct"/>
            <w:vAlign w:val="center"/>
          </w:tcPr>
          <w:p w:rsidR="00652482" w:rsidRPr="00E944A6" w:rsidRDefault="00652482" w:rsidP="00F37552">
            <w:pPr>
              <w:keepNext/>
              <w:jc w:val="center"/>
              <w:rPr>
                <w:rFonts w:ascii="Arial Narrow" w:hAnsi="Arial Narrow"/>
                <w:b/>
                <w:sz w:val="20"/>
                <w:lang w:val="en-US"/>
              </w:rPr>
            </w:pPr>
            <w:r w:rsidRPr="00E944A6">
              <w:rPr>
                <w:rFonts w:ascii="Arial Narrow" w:hAnsi="Arial Narrow"/>
                <w:b/>
                <w:sz w:val="20"/>
                <w:lang w:val="en-US"/>
              </w:rPr>
              <w:t>10 mg/kg Q3W</w:t>
            </w:r>
          </w:p>
          <w:p w:rsidR="00652482" w:rsidRPr="00E944A6" w:rsidRDefault="00652482" w:rsidP="00F37552">
            <w:pPr>
              <w:keepNext/>
              <w:jc w:val="center"/>
              <w:rPr>
                <w:rFonts w:ascii="Arial Narrow" w:hAnsi="Arial Narrow"/>
                <w:b/>
                <w:sz w:val="20"/>
                <w:lang w:val="en-US"/>
              </w:rPr>
            </w:pPr>
            <w:r w:rsidRPr="00E944A6">
              <w:rPr>
                <w:rFonts w:ascii="Arial Narrow" w:hAnsi="Arial Narrow"/>
                <w:b/>
                <w:sz w:val="20"/>
                <w:lang w:val="en-US"/>
              </w:rPr>
              <w:t>vs. ipilimumab</w:t>
            </w:r>
          </w:p>
        </w:tc>
      </w:tr>
      <w:tr w:rsidR="00652482" w:rsidRPr="00E2771E" w:rsidTr="00BB6F83">
        <w:tc>
          <w:tcPr>
            <w:tcW w:w="5000" w:type="pct"/>
            <w:gridSpan w:val="10"/>
            <w:shd w:val="clear" w:color="auto" w:fill="auto"/>
            <w:vAlign w:val="center"/>
          </w:tcPr>
          <w:p w:rsidR="00652482" w:rsidRPr="00E2771E" w:rsidRDefault="00652482" w:rsidP="00BB6F83">
            <w:pPr>
              <w:keepNext/>
              <w:rPr>
                <w:rFonts w:ascii="Arial Narrow" w:hAnsi="Arial Narrow"/>
                <w:b/>
                <w:color w:val="000000"/>
                <w:sz w:val="20"/>
                <w:szCs w:val="18"/>
              </w:rPr>
            </w:pPr>
            <w:r w:rsidRPr="00E2771E">
              <w:rPr>
                <w:rFonts w:ascii="Arial Narrow" w:hAnsi="Arial Narrow"/>
                <w:b/>
                <w:color w:val="000000"/>
                <w:sz w:val="20"/>
                <w:szCs w:val="18"/>
              </w:rPr>
              <w:t>Benefits</w:t>
            </w:r>
          </w:p>
        </w:tc>
      </w:tr>
      <w:tr w:rsidR="00652482" w:rsidRPr="00E2771E" w:rsidTr="00BB6F83">
        <w:tc>
          <w:tcPr>
            <w:tcW w:w="5000" w:type="pct"/>
            <w:gridSpan w:val="10"/>
            <w:shd w:val="clear" w:color="auto" w:fill="auto"/>
          </w:tcPr>
          <w:p w:rsidR="00652482" w:rsidRPr="00BC5723" w:rsidRDefault="00652482" w:rsidP="00BB6F83">
            <w:pPr>
              <w:rPr>
                <w:rFonts w:ascii="Arial Narrow" w:hAnsi="Arial Narrow"/>
                <w:b/>
                <w:sz w:val="20"/>
                <w:lang w:val="en-US"/>
              </w:rPr>
            </w:pPr>
            <w:r>
              <w:rPr>
                <w:rFonts w:ascii="Arial Narrow" w:hAnsi="Arial Narrow"/>
                <w:b/>
                <w:sz w:val="20"/>
                <w:lang w:val="en-US"/>
              </w:rPr>
              <w:t>Overall responses</w:t>
            </w:r>
          </w:p>
        </w:tc>
      </w:tr>
      <w:tr w:rsidR="00652482" w:rsidRPr="00E2771E" w:rsidTr="00652482">
        <w:tc>
          <w:tcPr>
            <w:tcW w:w="1027" w:type="pct"/>
            <w:gridSpan w:val="2"/>
            <w:tcBorders>
              <w:bottom w:val="single" w:sz="4" w:space="0" w:color="auto"/>
            </w:tcBorders>
            <w:shd w:val="clear" w:color="auto" w:fill="auto"/>
            <w:vAlign w:val="center"/>
          </w:tcPr>
          <w:p w:rsidR="00652482" w:rsidRPr="00646D28" w:rsidRDefault="00652482" w:rsidP="00A12ADD">
            <w:pPr>
              <w:rPr>
                <w:rFonts w:ascii="Arial Narrow" w:hAnsi="Arial Narrow"/>
                <w:sz w:val="19"/>
                <w:szCs w:val="19"/>
              </w:rPr>
            </w:pPr>
            <w:r>
              <w:rPr>
                <w:rFonts w:ascii="Arial Narrow" w:hAnsi="Arial Narrow"/>
                <w:sz w:val="19"/>
                <w:szCs w:val="19"/>
              </w:rPr>
              <w:t>Number</w:t>
            </w:r>
          </w:p>
        </w:tc>
        <w:tc>
          <w:tcPr>
            <w:tcW w:w="838" w:type="pct"/>
            <w:gridSpan w:val="2"/>
            <w:tcBorders>
              <w:bottom w:val="single" w:sz="4" w:space="0" w:color="auto"/>
            </w:tcBorders>
            <w:vAlign w:val="center"/>
          </w:tcPr>
          <w:p w:rsidR="00652482" w:rsidRPr="00CD1209" w:rsidRDefault="00652482" w:rsidP="00F37552">
            <w:pPr>
              <w:jc w:val="center"/>
              <w:rPr>
                <w:rFonts w:ascii="Arial Narrow" w:hAnsi="Arial Narrow"/>
                <w:sz w:val="19"/>
                <w:szCs w:val="19"/>
                <w:lang w:val="en-US"/>
              </w:rPr>
            </w:pPr>
            <w:r>
              <w:rPr>
                <w:rFonts w:ascii="Arial Narrow" w:hAnsi="Arial Narrow"/>
                <w:sz w:val="19"/>
                <w:szCs w:val="19"/>
                <w:lang w:val="en-US"/>
              </w:rPr>
              <w:t>94</w:t>
            </w:r>
          </w:p>
        </w:tc>
        <w:tc>
          <w:tcPr>
            <w:tcW w:w="841" w:type="pct"/>
            <w:gridSpan w:val="2"/>
            <w:tcBorders>
              <w:bottom w:val="single" w:sz="4" w:space="0" w:color="auto"/>
            </w:tcBorders>
            <w:vAlign w:val="center"/>
          </w:tcPr>
          <w:p w:rsidR="00652482" w:rsidRPr="00CD1209" w:rsidRDefault="00652482" w:rsidP="00F37552">
            <w:pPr>
              <w:jc w:val="center"/>
              <w:rPr>
                <w:rFonts w:ascii="Arial Narrow" w:hAnsi="Arial Narrow"/>
                <w:sz w:val="19"/>
                <w:szCs w:val="19"/>
                <w:lang w:val="en-US"/>
              </w:rPr>
            </w:pPr>
            <w:r>
              <w:rPr>
                <w:rFonts w:ascii="Arial Narrow" w:hAnsi="Arial Narrow"/>
                <w:sz w:val="19"/>
                <w:szCs w:val="19"/>
                <w:lang w:val="en-US"/>
              </w:rPr>
              <w:t>91</w:t>
            </w:r>
          </w:p>
        </w:tc>
        <w:tc>
          <w:tcPr>
            <w:tcW w:w="756" w:type="pct"/>
            <w:gridSpan w:val="2"/>
            <w:tcBorders>
              <w:bottom w:val="single" w:sz="4" w:space="0" w:color="auto"/>
            </w:tcBorders>
            <w:vAlign w:val="center"/>
          </w:tcPr>
          <w:p w:rsidR="00652482" w:rsidRPr="00CD1209" w:rsidRDefault="00652482" w:rsidP="00F37552">
            <w:pPr>
              <w:jc w:val="center"/>
              <w:rPr>
                <w:rFonts w:ascii="Arial Narrow" w:hAnsi="Arial Narrow"/>
                <w:sz w:val="19"/>
                <w:szCs w:val="19"/>
                <w:lang w:val="en-US"/>
              </w:rPr>
            </w:pPr>
            <w:r>
              <w:rPr>
                <w:rFonts w:ascii="Arial Narrow" w:hAnsi="Arial Narrow"/>
                <w:sz w:val="19"/>
                <w:szCs w:val="19"/>
                <w:lang w:val="en-US"/>
              </w:rPr>
              <w:t>33</w:t>
            </w:r>
          </w:p>
        </w:tc>
        <w:tc>
          <w:tcPr>
            <w:tcW w:w="1538" w:type="pct"/>
            <w:gridSpan w:val="2"/>
            <w:tcBorders>
              <w:bottom w:val="sing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w:t>
            </w:r>
          </w:p>
        </w:tc>
      </w:tr>
      <w:tr w:rsidR="00652482" w:rsidRPr="00E2771E" w:rsidTr="00652482">
        <w:tc>
          <w:tcPr>
            <w:tcW w:w="1027" w:type="pct"/>
            <w:gridSpan w:val="2"/>
            <w:tcBorders>
              <w:bottom w:val="single" w:sz="4" w:space="0" w:color="auto"/>
            </w:tcBorders>
            <w:shd w:val="clear" w:color="auto" w:fill="auto"/>
            <w:vAlign w:val="center"/>
          </w:tcPr>
          <w:p w:rsidR="00652482" w:rsidRPr="00CD1209" w:rsidRDefault="00652482" w:rsidP="00652482">
            <w:pPr>
              <w:rPr>
                <w:rFonts w:ascii="Arial Narrow" w:hAnsi="Arial Narrow"/>
                <w:sz w:val="19"/>
                <w:szCs w:val="19"/>
                <w:lang w:val="en-US"/>
              </w:rPr>
            </w:pPr>
            <w:r>
              <w:rPr>
                <w:rFonts w:ascii="Arial Narrow" w:hAnsi="Arial Narrow"/>
                <w:sz w:val="19"/>
                <w:szCs w:val="19"/>
                <w:lang w:val="en-US"/>
              </w:rPr>
              <w:t>ORR % (95% CI)</w:t>
            </w:r>
          </w:p>
        </w:tc>
        <w:tc>
          <w:tcPr>
            <w:tcW w:w="838" w:type="pct"/>
            <w:gridSpan w:val="2"/>
            <w:tcBorders>
              <w:bottom w:val="single" w:sz="4" w:space="0" w:color="auto"/>
            </w:tcBorders>
            <w:vAlign w:val="center"/>
          </w:tcPr>
          <w:p w:rsidR="00652482" w:rsidRPr="00CD1209" w:rsidRDefault="00652482" w:rsidP="00652482">
            <w:pPr>
              <w:jc w:val="center"/>
              <w:rPr>
                <w:rFonts w:ascii="Arial Narrow" w:hAnsi="Arial Narrow"/>
                <w:sz w:val="19"/>
                <w:szCs w:val="19"/>
                <w:lang w:val="en-US"/>
              </w:rPr>
            </w:pPr>
            <w:r>
              <w:rPr>
                <w:rFonts w:ascii="Arial Narrow" w:hAnsi="Arial Narrow"/>
                <w:sz w:val="19"/>
                <w:szCs w:val="19"/>
                <w:lang w:val="en-US"/>
              </w:rPr>
              <w:t>33.7% (28.2, 39.6)</w:t>
            </w:r>
          </w:p>
        </w:tc>
        <w:tc>
          <w:tcPr>
            <w:tcW w:w="841" w:type="pct"/>
            <w:gridSpan w:val="2"/>
            <w:tcBorders>
              <w:bottom w:val="single" w:sz="4" w:space="0" w:color="auto"/>
            </w:tcBorders>
            <w:vAlign w:val="center"/>
          </w:tcPr>
          <w:p w:rsidR="00652482" w:rsidRPr="00CD1209" w:rsidRDefault="00652482" w:rsidP="00652482">
            <w:pPr>
              <w:jc w:val="center"/>
              <w:rPr>
                <w:rFonts w:ascii="Arial Narrow" w:hAnsi="Arial Narrow"/>
                <w:sz w:val="19"/>
                <w:szCs w:val="19"/>
                <w:lang w:val="en-US"/>
              </w:rPr>
            </w:pPr>
            <w:r>
              <w:rPr>
                <w:rFonts w:ascii="Arial Narrow" w:hAnsi="Arial Narrow"/>
                <w:sz w:val="19"/>
                <w:szCs w:val="19"/>
                <w:lang w:val="en-US"/>
              </w:rPr>
              <w:t>32.9% (27.4, 38.7)</w:t>
            </w:r>
          </w:p>
        </w:tc>
        <w:tc>
          <w:tcPr>
            <w:tcW w:w="756" w:type="pct"/>
            <w:gridSpan w:val="2"/>
            <w:tcBorders>
              <w:bottom w:val="single" w:sz="4" w:space="0" w:color="auto"/>
            </w:tcBorders>
            <w:vAlign w:val="center"/>
          </w:tcPr>
          <w:p w:rsidR="00652482" w:rsidRPr="00CD1209" w:rsidRDefault="00652482" w:rsidP="00652482">
            <w:pPr>
              <w:jc w:val="center"/>
              <w:rPr>
                <w:rFonts w:ascii="Arial Narrow" w:hAnsi="Arial Narrow"/>
                <w:sz w:val="19"/>
                <w:szCs w:val="19"/>
                <w:lang w:val="en-US"/>
              </w:rPr>
            </w:pPr>
            <w:r>
              <w:rPr>
                <w:rFonts w:ascii="Arial Narrow" w:hAnsi="Arial Narrow"/>
                <w:sz w:val="19"/>
                <w:szCs w:val="19"/>
                <w:lang w:val="en-US"/>
              </w:rPr>
              <w:t>11.9% (8.3, 16.3)</w:t>
            </w:r>
          </w:p>
        </w:tc>
        <w:tc>
          <w:tcPr>
            <w:tcW w:w="762" w:type="pct"/>
            <w:tcBorders>
              <w:bottom w:val="single" w:sz="4" w:space="0" w:color="auto"/>
            </w:tcBorders>
            <w:vAlign w:val="center"/>
          </w:tcPr>
          <w:p w:rsidR="00652482" w:rsidRPr="00CD1209" w:rsidRDefault="00652482" w:rsidP="00F37552">
            <w:pPr>
              <w:jc w:val="center"/>
              <w:rPr>
                <w:rFonts w:ascii="Arial Narrow" w:hAnsi="Arial Narrow"/>
                <w:sz w:val="19"/>
                <w:szCs w:val="19"/>
                <w:lang w:val="en-US"/>
              </w:rPr>
            </w:pPr>
            <w:r>
              <w:rPr>
                <w:rFonts w:ascii="Arial Narrow" w:hAnsi="Arial Narrow"/>
                <w:sz w:val="19"/>
                <w:szCs w:val="19"/>
                <w:lang w:val="en-US"/>
              </w:rPr>
              <w:t>16.1 (7.8, 24.5)</w:t>
            </w:r>
          </w:p>
        </w:tc>
        <w:tc>
          <w:tcPr>
            <w:tcW w:w="776" w:type="pct"/>
            <w:tcBorders>
              <w:bottom w:val="single" w:sz="4" w:space="0" w:color="auto"/>
            </w:tcBorders>
            <w:vAlign w:val="center"/>
          </w:tcPr>
          <w:p w:rsidR="00652482" w:rsidRPr="00CD1209" w:rsidRDefault="00652482" w:rsidP="00F37552">
            <w:pPr>
              <w:jc w:val="center"/>
              <w:rPr>
                <w:rFonts w:ascii="Arial Narrow" w:hAnsi="Arial Narrow"/>
                <w:sz w:val="19"/>
                <w:szCs w:val="19"/>
                <w:lang w:val="en-US"/>
              </w:rPr>
            </w:pPr>
            <w:r>
              <w:rPr>
                <w:rFonts w:ascii="Arial Narrow" w:hAnsi="Arial Narrow"/>
                <w:sz w:val="19"/>
                <w:szCs w:val="19"/>
                <w:lang w:val="en-US"/>
              </w:rPr>
              <w:t>17.2 (9.5, 25.6)</w:t>
            </w:r>
          </w:p>
        </w:tc>
      </w:tr>
      <w:tr w:rsidR="00652482" w:rsidRPr="00E2771E" w:rsidTr="00652482">
        <w:tc>
          <w:tcPr>
            <w:tcW w:w="607" w:type="pct"/>
            <w:tcBorders>
              <w:bottom w:val="single" w:sz="4" w:space="0" w:color="auto"/>
            </w:tcBorders>
            <w:shd w:val="clear" w:color="auto" w:fill="auto"/>
            <w:vAlign w:val="center"/>
          </w:tcPr>
          <w:p w:rsidR="00652482" w:rsidRPr="008A40DC" w:rsidRDefault="00652482" w:rsidP="00F37552">
            <w:pPr>
              <w:keepNext/>
              <w:rPr>
                <w:rFonts w:ascii="Arial Narrow" w:hAnsi="Arial Narrow"/>
                <w:b/>
                <w:sz w:val="20"/>
                <w:lang w:val="en-US"/>
              </w:rPr>
            </w:pPr>
          </w:p>
        </w:tc>
        <w:tc>
          <w:tcPr>
            <w:tcW w:w="756" w:type="pct"/>
            <w:gridSpan w:val="2"/>
            <w:tcBorders>
              <w:bottom w:val="single" w:sz="4" w:space="0" w:color="auto"/>
            </w:tcBorders>
            <w:vAlign w:val="center"/>
          </w:tcPr>
          <w:p w:rsidR="00652482" w:rsidRDefault="00652482" w:rsidP="00F37552">
            <w:pPr>
              <w:keepNext/>
              <w:jc w:val="center"/>
              <w:rPr>
                <w:rFonts w:ascii="Arial Narrow" w:hAnsi="Arial Narrow"/>
                <w:b/>
                <w:sz w:val="20"/>
                <w:lang w:val="en-US"/>
              </w:rPr>
            </w:pPr>
            <w:r>
              <w:rPr>
                <w:rFonts w:ascii="Arial Narrow" w:hAnsi="Arial Narrow"/>
                <w:b/>
                <w:sz w:val="20"/>
                <w:lang w:val="en-US"/>
              </w:rPr>
              <w:t>Pembrolizumab 10 mg/kg Q2W</w:t>
            </w:r>
          </w:p>
          <w:p w:rsidR="00652482" w:rsidRPr="008A40DC" w:rsidRDefault="00652482" w:rsidP="00F37552">
            <w:pPr>
              <w:keepNext/>
              <w:jc w:val="center"/>
              <w:rPr>
                <w:rFonts w:ascii="Arial Narrow" w:hAnsi="Arial Narrow"/>
                <w:b/>
                <w:sz w:val="20"/>
                <w:lang w:val="en-US"/>
              </w:rPr>
            </w:pPr>
            <w:r>
              <w:rPr>
                <w:rFonts w:ascii="Arial Narrow" w:hAnsi="Arial Narrow"/>
                <w:b/>
                <w:sz w:val="20"/>
                <w:lang w:val="en-US"/>
              </w:rPr>
              <w:t>N=279</w:t>
            </w:r>
          </w:p>
        </w:tc>
        <w:tc>
          <w:tcPr>
            <w:tcW w:w="837" w:type="pct"/>
            <w:gridSpan w:val="2"/>
            <w:tcBorders>
              <w:bottom w:val="single" w:sz="4" w:space="0" w:color="auto"/>
            </w:tcBorders>
            <w:vAlign w:val="center"/>
          </w:tcPr>
          <w:p w:rsidR="00652482" w:rsidRDefault="00652482" w:rsidP="00F37552">
            <w:pPr>
              <w:keepNext/>
              <w:jc w:val="center"/>
              <w:rPr>
                <w:rFonts w:ascii="Arial Narrow" w:hAnsi="Arial Narrow"/>
                <w:b/>
                <w:sz w:val="20"/>
                <w:lang w:val="en-US"/>
              </w:rPr>
            </w:pPr>
            <w:r>
              <w:rPr>
                <w:rFonts w:ascii="Arial Narrow" w:hAnsi="Arial Narrow"/>
                <w:b/>
                <w:sz w:val="20"/>
                <w:lang w:val="en-US"/>
              </w:rPr>
              <w:t>Pembrolizumab 10 mg/kg Q3W</w:t>
            </w:r>
          </w:p>
          <w:p w:rsidR="00652482" w:rsidRDefault="00652482" w:rsidP="00F37552">
            <w:pPr>
              <w:keepNext/>
              <w:jc w:val="center"/>
              <w:rPr>
                <w:rFonts w:ascii="Arial Narrow" w:hAnsi="Arial Narrow"/>
                <w:b/>
                <w:sz w:val="20"/>
                <w:lang w:val="en-US"/>
              </w:rPr>
            </w:pPr>
            <w:r>
              <w:rPr>
                <w:rFonts w:ascii="Arial Narrow" w:hAnsi="Arial Narrow"/>
                <w:b/>
                <w:sz w:val="20"/>
                <w:lang w:val="en-US"/>
              </w:rPr>
              <w:t>N=277</w:t>
            </w:r>
          </w:p>
        </w:tc>
        <w:tc>
          <w:tcPr>
            <w:tcW w:w="753" w:type="pct"/>
            <w:gridSpan w:val="2"/>
            <w:tcBorders>
              <w:bottom w:val="single" w:sz="4" w:space="0" w:color="auto"/>
            </w:tcBorders>
            <w:vAlign w:val="center"/>
          </w:tcPr>
          <w:p w:rsidR="00652482" w:rsidRDefault="00652482" w:rsidP="00F37552">
            <w:pPr>
              <w:keepNext/>
              <w:jc w:val="center"/>
              <w:rPr>
                <w:rFonts w:ascii="Arial Narrow" w:hAnsi="Arial Narrow"/>
                <w:b/>
                <w:sz w:val="20"/>
                <w:lang w:val="en-US"/>
              </w:rPr>
            </w:pPr>
            <w:r>
              <w:rPr>
                <w:rFonts w:ascii="Arial Narrow" w:hAnsi="Arial Narrow"/>
                <w:b/>
                <w:sz w:val="20"/>
                <w:lang w:val="en-US"/>
              </w:rPr>
              <w:t>Ipilimumab 3 mg/kg Q3W</w:t>
            </w:r>
          </w:p>
          <w:p w:rsidR="00652482" w:rsidRDefault="00652482" w:rsidP="00F37552">
            <w:pPr>
              <w:keepNext/>
              <w:jc w:val="center"/>
              <w:rPr>
                <w:rFonts w:ascii="Arial Narrow" w:hAnsi="Arial Narrow"/>
                <w:b/>
                <w:sz w:val="20"/>
                <w:lang w:val="en-US"/>
              </w:rPr>
            </w:pPr>
            <w:r>
              <w:rPr>
                <w:rFonts w:ascii="Arial Narrow" w:hAnsi="Arial Narrow"/>
                <w:b/>
                <w:sz w:val="20"/>
                <w:lang w:val="en-US"/>
              </w:rPr>
              <w:t>N=278</w:t>
            </w:r>
          </w:p>
        </w:tc>
        <w:tc>
          <w:tcPr>
            <w:tcW w:w="1271" w:type="pct"/>
            <w:gridSpan w:val="2"/>
            <w:tcBorders>
              <w:bottom w:val="single" w:sz="4" w:space="0" w:color="auto"/>
            </w:tcBorders>
            <w:vAlign w:val="center"/>
          </w:tcPr>
          <w:p w:rsidR="00652482" w:rsidRPr="008A40DC" w:rsidRDefault="00652482" w:rsidP="00F37552">
            <w:pPr>
              <w:keepNext/>
              <w:jc w:val="center"/>
              <w:rPr>
                <w:rFonts w:ascii="Arial Narrow" w:hAnsi="Arial Narrow"/>
                <w:b/>
                <w:sz w:val="20"/>
                <w:lang w:val="en-US"/>
              </w:rPr>
            </w:pPr>
            <w:r>
              <w:rPr>
                <w:rFonts w:ascii="Arial Narrow" w:hAnsi="Arial Narrow"/>
                <w:b/>
                <w:sz w:val="20"/>
                <w:lang w:val="en-US"/>
              </w:rPr>
              <w:t>Absolute difference</w:t>
            </w:r>
          </w:p>
        </w:tc>
        <w:tc>
          <w:tcPr>
            <w:tcW w:w="776" w:type="pct"/>
            <w:tcBorders>
              <w:bottom w:val="single" w:sz="4" w:space="0" w:color="auto"/>
            </w:tcBorders>
            <w:vAlign w:val="center"/>
          </w:tcPr>
          <w:p w:rsidR="00652482" w:rsidRPr="008A40DC" w:rsidRDefault="00652482" w:rsidP="00F37552">
            <w:pPr>
              <w:keepNext/>
              <w:jc w:val="center"/>
              <w:rPr>
                <w:rFonts w:ascii="Arial Narrow" w:hAnsi="Arial Narrow"/>
                <w:b/>
                <w:sz w:val="20"/>
                <w:lang w:val="en-US"/>
              </w:rPr>
            </w:pPr>
            <w:r>
              <w:rPr>
                <w:rFonts w:ascii="Arial Narrow" w:hAnsi="Arial Narrow"/>
                <w:b/>
                <w:sz w:val="20"/>
                <w:lang w:val="en-US"/>
              </w:rPr>
              <w:t>HR (95% CI)</w:t>
            </w:r>
          </w:p>
        </w:tc>
      </w:tr>
      <w:tr w:rsidR="00652482" w:rsidRPr="00E2771E" w:rsidTr="00F37552">
        <w:tc>
          <w:tcPr>
            <w:tcW w:w="5000" w:type="pct"/>
            <w:gridSpan w:val="10"/>
            <w:tcBorders>
              <w:bottom w:val="single" w:sz="4" w:space="0" w:color="auto"/>
            </w:tcBorders>
            <w:shd w:val="clear" w:color="auto" w:fill="auto"/>
          </w:tcPr>
          <w:p w:rsidR="00652482" w:rsidRPr="00BC5723" w:rsidRDefault="00652482" w:rsidP="00F37552">
            <w:pPr>
              <w:rPr>
                <w:rFonts w:ascii="Arial Narrow" w:hAnsi="Arial Narrow"/>
                <w:b/>
                <w:sz w:val="20"/>
                <w:lang w:val="en-US"/>
              </w:rPr>
            </w:pPr>
            <w:r>
              <w:rPr>
                <w:rFonts w:ascii="Arial Narrow" w:hAnsi="Arial Narrow"/>
                <w:b/>
                <w:sz w:val="20"/>
                <w:lang w:val="en-US"/>
              </w:rPr>
              <w:t>Progression-free survival (IRO review per RECIST 1.1)</w:t>
            </w:r>
          </w:p>
        </w:tc>
      </w:tr>
      <w:tr w:rsidR="00652482" w:rsidRPr="00E2771E" w:rsidTr="00652482">
        <w:tc>
          <w:tcPr>
            <w:tcW w:w="607" w:type="pct"/>
            <w:tcBorders>
              <w:bottom w:val="single" w:sz="4" w:space="0" w:color="auto"/>
            </w:tcBorders>
            <w:shd w:val="clear" w:color="auto" w:fill="auto"/>
            <w:vAlign w:val="center"/>
          </w:tcPr>
          <w:p w:rsidR="00652482" w:rsidRPr="00646D28" w:rsidRDefault="00652482" w:rsidP="00F37552">
            <w:pPr>
              <w:rPr>
                <w:rFonts w:ascii="Arial Narrow" w:hAnsi="Arial Narrow"/>
                <w:sz w:val="19"/>
                <w:szCs w:val="19"/>
              </w:rPr>
            </w:pPr>
            <w:r>
              <w:rPr>
                <w:rFonts w:ascii="Arial Narrow" w:hAnsi="Arial Narrow"/>
                <w:sz w:val="19"/>
                <w:szCs w:val="19"/>
              </w:rPr>
              <w:t>Median m</w:t>
            </w:r>
            <w:r w:rsidRPr="00646D28">
              <w:rPr>
                <w:rFonts w:ascii="Arial Narrow" w:hAnsi="Arial Narrow"/>
                <w:sz w:val="19"/>
                <w:szCs w:val="19"/>
              </w:rPr>
              <w:t>ths (95% CI)</w:t>
            </w:r>
          </w:p>
        </w:tc>
        <w:tc>
          <w:tcPr>
            <w:tcW w:w="756" w:type="pct"/>
            <w:gridSpan w:val="2"/>
            <w:tcBorders>
              <w:bottom w:val="single" w:sz="4" w:space="0" w:color="auto"/>
            </w:tcBorders>
            <w:vAlign w:val="center"/>
          </w:tcPr>
          <w:p w:rsidR="00652482" w:rsidRDefault="00652482" w:rsidP="00F37552">
            <w:pPr>
              <w:jc w:val="center"/>
              <w:rPr>
                <w:rFonts w:ascii="Arial Narrow" w:hAnsi="Arial Narrow"/>
                <w:sz w:val="20"/>
                <w:lang w:val="en-US"/>
              </w:rPr>
            </w:pPr>
            <w:r>
              <w:rPr>
                <w:rFonts w:ascii="Arial Narrow" w:hAnsi="Arial Narrow"/>
                <w:sz w:val="20"/>
                <w:lang w:val="en-US"/>
              </w:rPr>
              <w:t xml:space="preserve">5.5 </w:t>
            </w:r>
          </w:p>
          <w:p w:rsidR="00652482" w:rsidRDefault="00652482" w:rsidP="00F37552">
            <w:pPr>
              <w:jc w:val="center"/>
              <w:rPr>
                <w:rFonts w:ascii="Arial Narrow" w:hAnsi="Arial Narrow"/>
                <w:sz w:val="20"/>
                <w:lang w:val="en-US"/>
              </w:rPr>
            </w:pPr>
            <w:r>
              <w:rPr>
                <w:rFonts w:ascii="Arial Narrow" w:hAnsi="Arial Narrow"/>
                <w:sz w:val="20"/>
                <w:lang w:val="en-US"/>
              </w:rPr>
              <w:t>(3.4, 6.9)</w:t>
            </w:r>
          </w:p>
        </w:tc>
        <w:tc>
          <w:tcPr>
            <w:tcW w:w="837" w:type="pct"/>
            <w:gridSpan w:val="2"/>
            <w:tcBorders>
              <w:bottom w:val="single" w:sz="4" w:space="0" w:color="auto"/>
            </w:tcBorders>
          </w:tcPr>
          <w:p w:rsidR="00652482" w:rsidRDefault="00652482" w:rsidP="00F37552">
            <w:pPr>
              <w:jc w:val="center"/>
              <w:rPr>
                <w:rFonts w:ascii="Arial Narrow" w:hAnsi="Arial Narrow"/>
                <w:sz w:val="20"/>
                <w:lang w:val="en-US"/>
              </w:rPr>
            </w:pPr>
            <w:r>
              <w:rPr>
                <w:rFonts w:ascii="Arial Narrow" w:hAnsi="Arial Narrow"/>
                <w:sz w:val="20"/>
                <w:lang w:val="en-US"/>
              </w:rPr>
              <w:t xml:space="preserve">4.1 </w:t>
            </w:r>
          </w:p>
          <w:p w:rsidR="00652482" w:rsidRDefault="00652482" w:rsidP="00F37552">
            <w:pPr>
              <w:jc w:val="center"/>
              <w:rPr>
                <w:rFonts w:ascii="Arial Narrow" w:hAnsi="Arial Narrow"/>
                <w:sz w:val="20"/>
                <w:lang w:val="en-US"/>
              </w:rPr>
            </w:pPr>
            <w:r>
              <w:rPr>
                <w:rFonts w:ascii="Arial Narrow" w:hAnsi="Arial Narrow"/>
                <w:sz w:val="20"/>
                <w:lang w:val="en-US"/>
              </w:rPr>
              <w:t>(2.9, 6.9)</w:t>
            </w:r>
          </w:p>
        </w:tc>
        <w:tc>
          <w:tcPr>
            <w:tcW w:w="753" w:type="pct"/>
            <w:gridSpan w:val="2"/>
            <w:tcBorders>
              <w:bottom w:val="single" w:sz="4" w:space="0" w:color="auto"/>
            </w:tcBorders>
          </w:tcPr>
          <w:p w:rsidR="00652482" w:rsidRDefault="00652482" w:rsidP="00F37552">
            <w:pPr>
              <w:jc w:val="center"/>
              <w:rPr>
                <w:rFonts w:ascii="Arial Narrow" w:hAnsi="Arial Narrow"/>
                <w:sz w:val="20"/>
                <w:lang w:val="en-US"/>
              </w:rPr>
            </w:pPr>
            <w:r>
              <w:rPr>
                <w:rFonts w:ascii="Arial Narrow" w:hAnsi="Arial Narrow"/>
                <w:sz w:val="20"/>
                <w:lang w:val="en-US"/>
              </w:rPr>
              <w:t xml:space="preserve">2.8 </w:t>
            </w:r>
          </w:p>
          <w:p w:rsidR="00652482" w:rsidRDefault="00652482" w:rsidP="00F37552">
            <w:pPr>
              <w:jc w:val="center"/>
              <w:rPr>
                <w:rFonts w:ascii="Arial Narrow" w:hAnsi="Arial Narrow"/>
                <w:sz w:val="20"/>
                <w:lang w:val="en-US"/>
              </w:rPr>
            </w:pPr>
            <w:r>
              <w:rPr>
                <w:rFonts w:ascii="Arial Narrow" w:hAnsi="Arial Narrow"/>
                <w:sz w:val="20"/>
                <w:lang w:val="en-US"/>
              </w:rPr>
              <w:t>(2.8, 2.9)</w:t>
            </w:r>
          </w:p>
        </w:tc>
        <w:tc>
          <w:tcPr>
            <w:tcW w:w="1271" w:type="pct"/>
            <w:gridSpan w:val="2"/>
            <w:tcBorders>
              <w:bottom w:val="single" w:sz="4" w:space="0" w:color="auto"/>
            </w:tcBorders>
            <w:vAlign w:val="center"/>
          </w:tcPr>
          <w:p w:rsidR="00652482" w:rsidRDefault="00652482" w:rsidP="00F37552">
            <w:pPr>
              <w:jc w:val="center"/>
              <w:rPr>
                <w:rFonts w:ascii="Arial Narrow" w:hAnsi="Arial Narrow"/>
                <w:sz w:val="20"/>
                <w:lang w:val="en-US"/>
              </w:rPr>
            </w:pPr>
            <w:r>
              <w:rPr>
                <w:rFonts w:ascii="Arial Narrow" w:hAnsi="Arial Narrow"/>
                <w:sz w:val="20"/>
                <w:lang w:val="en-US"/>
              </w:rPr>
              <w:t>10mg/kg Q2W vs. ipi: 2.7</w:t>
            </w:r>
          </w:p>
          <w:p w:rsidR="00652482" w:rsidRDefault="00652482" w:rsidP="00F37552">
            <w:pPr>
              <w:jc w:val="center"/>
              <w:rPr>
                <w:rFonts w:ascii="Arial Narrow" w:hAnsi="Arial Narrow"/>
                <w:sz w:val="20"/>
                <w:lang w:val="en-US"/>
              </w:rPr>
            </w:pPr>
            <w:r>
              <w:rPr>
                <w:rFonts w:ascii="Arial Narrow" w:hAnsi="Arial Narrow"/>
                <w:sz w:val="20"/>
                <w:lang w:val="en-US"/>
              </w:rPr>
              <w:t>10mg/kg Q3W vs. ipi: 1.3</w:t>
            </w:r>
          </w:p>
        </w:tc>
        <w:tc>
          <w:tcPr>
            <w:tcW w:w="776" w:type="pct"/>
            <w:tcBorders>
              <w:bottom w:val="single" w:sz="4" w:space="0" w:color="auto"/>
            </w:tcBorders>
            <w:vAlign w:val="center"/>
          </w:tcPr>
          <w:p w:rsidR="00652482" w:rsidRDefault="00652482" w:rsidP="00F37552">
            <w:pPr>
              <w:jc w:val="center"/>
              <w:rPr>
                <w:rFonts w:ascii="Arial Narrow" w:hAnsi="Arial Narrow"/>
                <w:sz w:val="20"/>
                <w:lang w:val="en-US"/>
              </w:rPr>
            </w:pPr>
            <w:r>
              <w:rPr>
                <w:rFonts w:ascii="Arial Narrow" w:hAnsi="Arial Narrow"/>
                <w:sz w:val="20"/>
                <w:lang w:val="en-US"/>
              </w:rPr>
              <w:t>0.58 (0.46, 0.72)</w:t>
            </w:r>
          </w:p>
          <w:p w:rsidR="00652482" w:rsidRDefault="00652482" w:rsidP="00F37552">
            <w:pPr>
              <w:jc w:val="center"/>
              <w:rPr>
                <w:rFonts w:ascii="Arial Narrow" w:hAnsi="Arial Narrow"/>
                <w:sz w:val="20"/>
                <w:lang w:val="en-US"/>
              </w:rPr>
            </w:pPr>
            <w:r>
              <w:rPr>
                <w:rFonts w:ascii="Arial Narrow" w:hAnsi="Arial Narrow"/>
                <w:sz w:val="20"/>
                <w:lang w:val="en-US"/>
              </w:rPr>
              <w:t>0.58 (0.47, 0.72)</w:t>
            </w:r>
          </w:p>
        </w:tc>
      </w:tr>
      <w:tr w:rsidR="00652482" w:rsidRPr="00E2771E" w:rsidTr="00652482">
        <w:tc>
          <w:tcPr>
            <w:tcW w:w="607" w:type="pct"/>
            <w:tcBorders>
              <w:bottom w:val="single" w:sz="4" w:space="0" w:color="auto"/>
            </w:tcBorders>
            <w:shd w:val="clear" w:color="auto" w:fill="auto"/>
            <w:vAlign w:val="center"/>
          </w:tcPr>
          <w:p w:rsidR="00652482" w:rsidRPr="00646D28" w:rsidRDefault="00652482" w:rsidP="00A12ADD">
            <w:pPr>
              <w:rPr>
                <w:rFonts w:ascii="Arial Narrow" w:hAnsi="Arial Narrow"/>
                <w:sz w:val="19"/>
                <w:szCs w:val="19"/>
              </w:rPr>
            </w:pPr>
            <w:r w:rsidRPr="00646D28">
              <w:rPr>
                <w:rFonts w:ascii="Arial Narrow" w:hAnsi="Arial Narrow"/>
                <w:sz w:val="19"/>
                <w:szCs w:val="19"/>
              </w:rPr>
              <w:t>PFS rate</w:t>
            </w:r>
            <w:r>
              <w:rPr>
                <w:rFonts w:ascii="Arial Narrow" w:hAnsi="Arial Narrow"/>
                <w:sz w:val="19"/>
                <w:szCs w:val="19"/>
              </w:rPr>
              <w:t xml:space="preserve"> at</w:t>
            </w:r>
            <w:r w:rsidRPr="00646D28">
              <w:rPr>
                <w:rFonts w:ascii="Arial Narrow" w:hAnsi="Arial Narrow"/>
                <w:sz w:val="19"/>
                <w:szCs w:val="19"/>
              </w:rPr>
              <w:t xml:space="preserve"> </w:t>
            </w:r>
            <w:r>
              <w:rPr>
                <w:rFonts w:ascii="Arial Narrow" w:hAnsi="Arial Narrow"/>
                <w:sz w:val="19"/>
                <w:szCs w:val="19"/>
              </w:rPr>
              <w:t>6 mon</w:t>
            </w:r>
            <w:r w:rsidRPr="00646D28">
              <w:rPr>
                <w:rFonts w:ascii="Arial Narrow" w:hAnsi="Arial Narrow"/>
                <w:sz w:val="19"/>
                <w:szCs w:val="19"/>
              </w:rPr>
              <w:t>ths</w:t>
            </w:r>
          </w:p>
        </w:tc>
        <w:tc>
          <w:tcPr>
            <w:tcW w:w="756" w:type="pct"/>
            <w:gridSpan w:val="2"/>
            <w:tcBorders>
              <w:bottom w:val="single" w:sz="4" w:space="0" w:color="auto"/>
            </w:tcBorders>
          </w:tcPr>
          <w:p w:rsidR="00652482" w:rsidRDefault="00652482" w:rsidP="00BB6F83">
            <w:pPr>
              <w:autoSpaceDE w:val="0"/>
              <w:autoSpaceDN w:val="0"/>
              <w:adjustRightInd w:val="0"/>
              <w:jc w:val="center"/>
              <w:rPr>
                <w:rFonts w:ascii="Arial Narrow" w:hAnsi="Arial Narrow"/>
                <w:sz w:val="20"/>
                <w:lang w:val="en-US" w:eastAsia="en-AU"/>
              </w:rPr>
            </w:pPr>
            <w:r w:rsidRPr="0055434D">
              <w:rPr>
                <w:rFonts w:ascii="Arial Narrow" w:hAnsi="Arial Narrow"/>
                <w:sz w:val="20"/>
                <w:lang w:val="en-US" w:eastAsia="en-AU"/>
              </w:rPr>
              <w:t>47.3</w:t>
            </w:r>
            <w:r>
              <w:rPr>
                <w:rFonts w:ascii="Arial Narrow" w:hAnsi="Arial Narrow"/>
                <w:sz w:val="20"/>
                <w:lang w:val="en-US" w:eastAsia="en-AU"/>
              </w:rPr>
              <w:t>%</w:t>
            </w:r>
          </w:p>
          <w:p w:rsidR="00652482" w:rsidRDefault="00652482" w:rsidP="00BB6F83">
            <w:pPr>
              <w:jc w:val="center"/>
              <w:rPr>
                <w:rFonts w:ascii="Arial Narrow" w:hAnsi="Arial Narrow"/>
                <w:sz w:val="20"/>
                <w:lang w:val="en-US"/>
              </w:rPr>
            </w:pPr>
            <w:r w:rsidRPr="0055434D">
              <w:rPr>
                <w:rFonts w:ascii="Arial Narrow" w:hAnsi="Arial Narrow"/>
                <w:sz w:val="20"/>
                <w:lang w:val="en-US" w:eastAsia="en-AU"/>
              </w:rPr>
              <w:t>(41.2, 53.2)</w:t>
            </w:r>
          </w:p>
        </w:tc>
        <w:tc>
          <w:tcPr>
            <w:tcW w:w="837" w:type="pct"/>
            <w:gridSpan w:val="2"/>
            <w:tcBorders>
              <w:bottom w:val="single" w:sz="4" w:space="0" w:color="auto"/>
            </w:tcBorders>
          </w:tcPr>
          <w:p w:rsidR="00652482" w:rsidRDefault="00652482" w:rsidP="00BB6F83">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46.4%</w:t>
            </w:r>
          </w:p>
          <w:p w:rsidR="00652482" w:rsidRDefault="00652482" w:rsidP="00BB6F83">
            <w:pPr>
              <w:jc w:val="center"/>
              <w:rPr>
                <w:rFonts w:ascii="Arial Narrow" w:hAnsi="Arial Narrow"/>
                <w:sz w:val="20"/>
                <w:lang w:val="en-US"/>
              </w:rPr>
            </w:pPr>
            <w:r>
              <w:rPr>
                <w:rFonts w:ascii="Arial Narrow" w:hAnsi="Arial Narrow"/>
                <w:sz w:val="20"/>
                <w:lang w:val="en-US" w:eastAsia="en-AU"/>
              </w:rPr>
              <w:t>(40.3, 52.3)</w:t>
            </w:r>
          </w:p>
        </w:tc>
        <w:tc>
          <w:tcPr>
            <w:tcW w:w="753" w:type="pct"/>
            <w:gridSpan w:val="2"/>
            <w:tcBorders>
              <w:bottom w:val="single" w:sz="4" w:space="0" w:color="auto"/>
            </w:tcBorders>
          </w:tcPr>
          <w:p w:rsidR="00652482" w:rsidRDefault="00652482" w:rsidP="00BB6F83">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26.5%</w:t>
            </w:r>
          </w:p>
          <w:p w:rsidR="00652482" w:rsidRDefault="00652482" w:rsidP="00BB6F83">
            <w:pPr>
              <w:jc w:val="center"/>
              <w:rPr>
                <w:rFonts w:ascii="Arial Narrow" w:hAnsi="Arial Narrow"/>
                <w:sz w:val="20"/>
                <w:lang w:val="en-US"/>
              </w:rPr>
            </w:pPr>
            <w:r>
              <w:rPr>
                <w:rFonts w:ascii="Arial Narrow" w:hAnsi="Arial Narrow"/>
                <w:sz w:val="20"/>
                <w:lang w:val="en-US" w:eastAsia="en-AU"/>
              </w:rPr>
              <w:t>(20.9, 32.4)</w:t>
            </w:r>
          </w:p>
        </w:tc>
        <w:tc>
          <w:tcPr>
            <w:tcW w:w="1271" w:type="pct"/>
            <w:gridSpan w:val="2"/>
            <w:tcBorders>
              <w:bottom w:val="sing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10mg/kg Q2W vs. ipi: 20.8%</w:t>
            </w:r>
          </w:p>
          <w:p w:rsidR="00652482" w:rsidRDefault="00652482" w:rsidP="00BB6F83">
            <w:pPr>
              <w:jc w:val="center"/>
              <w:rPr>
                <w:rFonts w:ascii="Arial Narrow" w:hAnsi="Arial Narrow"/>
                <w:sz w:val="20"/>
                <w:lang w:val="en-US"/>
              </w:rPr>
            </w:pPr>
            <w:r>
              <w:rPr>
                <w:rFonts w:ascii="Arial Narrow" w:hAnsi="Arial Narrow"/>
                <w:sz w:val="20"/>
                <w:lang w:val="en-US"/>
              </w:rPr>
              <w:t>10mg/kg Q3W vs. ipi: 19.9%</w:t>
            </w:r>
          </w:p>
        </w:tc>
        <w:tc>
          <w:tcPr>
            <w:tcW w:w="776" w:type="pct"/>
            <w:tcBorders>
              <w:bottom w:val="sing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w:t>
            </w:r>
          </w:p>
        </w:tc>
      </w:tr>
      <w:tr w:rsidR="00652482" w:rsidRPr="00E2771E" w:rsidTr="00BB6F83">
        <w:tc>
          <w:tcPr>
            <w:tcW w:w="5000" w:type="pct"/>
            <w:gridSpan w:val="10"/>
            <w:tcBorders>
              <w:bottom w:val="single" w:sz="4" w:space="0" w:color="auto"/>
            </w:tcBorders>
            <w:shd w:val="clear" w:color="auto" w:fill="auto"/>
          </w:tcPr>
          <w:p w:rsidR="00652482" w:rsidRPr="002C2018" w:rsidRDefault="00652482" w:rsidP="00BB6F83">
            <w:pPr>
              <w:rPr>
                <w:rFonts w:ascii="Arial Narrow" w:hAnsi="Arial Narrow"/>
                <w:b/>
                <w:sz w:val="20"/>
                <w:lang w:val="en-US"/>
              </w:rPr>
            </w:pPr>
            <w:r>
              <w:rPr>
                <w:rFonts w:ascii="Arial Narrow" w:hAnsi="Arial Narrow"/>
                <w:b/>
                <w:sz w:val="20"/>
                <w:lang w:val="en-US"/>
              </w:rPr>
              <w:t>Progression-free survival (investigator evaluation per irRC</w:t>
            </w:r>
            <w:r w:rsidR="00455BA9">
              <w:rPr>
                <w:rFonts w:ascii="Arial Narrow" w:hAnsi="Arial Narrow"/>
                <w:b/>
                <w:sz w:val="20"/>
                <w:vertAlign w:val="superscript"/>
                <w:lang w:val="en-US"/>
              </w:rPr>
              <w:t>b</w:t>
            </w:r>
            <w:r>
              <w:rPr>
                <w:rFonts w:ascii="Arial Narrow" w:hAnsi="Arial Narrow"/>
                <w:b/>
                <w:sz w:val="20"/>
                <w:lang w:val="en-US"/>
              </w:rPr>
              <w:t>)</w:t>
            </w:r>
          </w:p>
        </w:tc>
      </w:tr>
      <w:tr w:rsidR="00652482" w:rsidRPr="00E2771E" w:rsidTr="00652482">
        <w:tc>
          <w:tcPr>
            <w:tcW w:w="607" w:type="pct"/>
            <w:tcBorders>
              <w:bottom w:val="single" w:sz="4" w:space="0" w:color="auto"/>
            </w:tcBorders>
            <w:shd w:val="clear" w:color="auto" w:fill="auto"/>
            <w:vAlign w:val="center"/>
          </w:tcPr>
          <w:p w:rsidR="00652482" w:rsidRPr="008A40DC" w:rsidRDefault="00652482" w:rsidP="00BB6F83">
            <w:pPr>
              <w:rPr>
                <w:rFonts w:ascii="Arial Narrow" w:hAnsi="Arial Narrow"/>
                <w:sz w:val="20"/>
                <w:lang w:val="en-US"/>
              </w:rPr>
            </w:pPr>
            <w:r>
              <w:rPr>
                <w:rFonts w:ascii="Arial Narrow" w:hAnsi="Arial Narrow"/>
                <w:sz w:val="19"/>
                <w:szCs w:val="19"/>
              </w:rPr>
              <w:t>Median m</w:t>
            </w:r>
            <w:r w:rsidRPr="00646D28">
              <w:rPr>
                <w:rFonts w:ascii="Arial Narrow" w:hAnsi="Arial Narrow"/>
                <w:sz w:val="19"/>
                <w:szCs w:val="19"/>
              </w:rPr>
              <w:t>ths (95% CI)</w:t>
            </w:r>
          </w:p>
        </w:tc>
        <w:tc>
          <w:tcPr>
            <w:tcW w:w="756" w:type="pct"/>
            <w:gridSpan w:val="2"/>
            <w:tcBorders>
              <w:bottom w:val="sing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 xml:space="preserve">7.0 </w:t>
            </w:r>
          </w:p>
          <w:p w:rsidR="00652482" w:rsidRPr="008A40DC" w:rsidRDefault="00652482" w:rsidP="00BB6F83">
            <w:pPr>
              <w:jc w:val="center"/>
              <w:rPr>
                <w:rFonts w:ascii="Arial Narrow" w:hAnsi="Arial Narrow"/>
                <w:sz w:val="20"/>
                <w:lang w:val="en-US"/>
              </w:rPr>
            </w:pPr>
            <w:r>
              <w:rPr>
                <w:rFonts w:ascii="Arial Narrow" w:hAnsi="Arial Narrow"/>
                <w:sz w:val="20"/>
                <w:lang w:val="en-US"/>
              </w:rPr>
              <w:t>(5.6, 9.6)</w:t>
            </w:r>
          </w:p>
        </w:tc>
        <w:tc>
          <w:tcPr>
            <w:tcW w:w="837" w:type="pct"/>
            <w:gridSpan w:val="2"/>
            <w:tcBorders>
              <w:bottom w:val="single" w:sz="4" w:space="0" w:color="auto"/>
            </w:tcBorders>
          </w:tcPr>
          <w:p w:rsidR="00652482" w:rsidRDefault="00652482" w:rsidP="00BB6F83">
            <w:pPr>
              <w:jc w:val="center"/>
              <w:rPr>
                <w:rFonts w:ascii="Arial Narrow" w:hAnsi="Arial Narrow"/>
                <w:sz w:val="20"/>
                <w:lang w:val="en-US"/>
              </w:rPr>
            </w:pPr>
            <w:r>
              <w:rPr>
                <w:rFonts w:ascii="Arial Narrow" w:hAnsi="Arial Narrow"/>
                <w:sz w:val="20"/>
                <w:lang w:val="en-US"/>
              </w:rPr>
              <w:t>7.2</w:t>
            </w:r>
          </w:p>
          <w:p w:rsidR="00652482" w:rsidRPr="008A40DC" w:rsidRDefault="00652482" w:rsidP="00BB6F83">
            <w:pPr>
              <w:jc w:val="center"/>
              <w:rPr>
                <w:rFonts w:ascii="Arial Narrow" w:hAnsi="Arial Narrow"/>
                <w:sz w:val="20"/>
                <w:lang w:val="en-US"/>
              </w:rPr>
            </w:pPr>
            <w:r>
              <w:rPr>
                <w:rFonts w:ascii="Arial Narrow" w:hAnsi="Arial Narrow"/>
                <w:sz w:val="20"/>
                <w:lang w:val="en-US"/>
              </w:rPr>
              <w:t>(5.6, 9.7)</w:t>
            </w:r>
          </w:p>
        </w:tc>
        <w:tc>
          <w:tcPr>
            <w:tcW w:w="753" w:type="pct"/>
            <w:gridSpan w:val="2"/>
            <w:tcBorders>
              <w:bottom w:val="single" w:sz="4" w:space="0" w:color="auto"/>
            </w:tcBorders>
          </w:tcPr>
          <w:p w:rsidR="00652482" w:rsidRDefault="00652482" w:rsidP="00BB6F83">
            <w:pPr>
              <w:jc w:val="center"/>
              <w:rPr>
                <w:rFonts w:ascii="Arial Narrow" w:hAnsi="Arial Narrow"/>
                <w:sz w:val="20"/>
                <w:lang w:val="en-US"/>
              </w:rPr>
            </w:pPr>
            <w:r>
              <w:rPr>
                <w:rFonts w:ascii="Arial Narrow" w:hAnsi="Arial Narrow"/>
                <w:sz w:val="20"/>
                <w:lang w:val="en-US"/>
              </w:rPr>
              <w:t xml:space="preserve">3.3 </w:t>
            </w:r>
          </w:p>
          <w:p w:rsidR="00652482" w:rsidRPr="008A40DC" w:rsidRDefault="00652482" w:rsidP="00BB6F83">
            <w:pPr>
              <w:jc w:val="center"/>
              <w:rPr>
                <w:rFonts w:ascii="Arial Narrow" w:hAnsi="Arial Narrow"/>
                <w:sz w:val="20"/>
                <w:lang w:val="en-US"/>
              </w:rPr>
            </w:pPr>
            <w:r>
              <w:rPr>
                <w:rFonts w:ascii="Arial Narrow" w:hAnsi="Arial Narrow"/>
                <w:sz w:val="20"/>
                <w:lang w:val="en-US"/>
              </w:rPr>
              <w:t>(2.9, 4.2)</w:t>
            </w:r>
          </w:p>
        </w:tc>
        <w:tc>
          <w:tcPr>
            <w:tcW w:w="1271" w:type="pct"/>
            <w:gridSpan w:val="2"/>
            <w:tcBorders>
              <w:bottom w:val="sing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10mg/kg Q2W vs. ipi: 3.7</w:t>
            </w:r>
          </w:p>
          <w:p w:rsidR="00652482" w:rsidRPr="008A40DC" w:rsidRDefault="00652482" w:rsidP="00BB6F83">
            <w:pPr>
              <w:jc w:val="center"/>
              <w:rPr>
                <w:rFonts w:ascii="Arial Narrow" w:hAnsi="Arial Narrow"/>
                <w:sz w:val="20"/>
                <w:lang w:val="en-US"/>
              </w:rPr>
            </w:pPr>
            <w:r>
              <w:rPr>
                <w:rFonts w:ascii="Arial Narrow" w:hAnsi="Arial Narrow"/>
                <w:sz w:val="20"/>
                <w:lang w:val="en-US"/>
              </w:rPr>
              <w:t>10mg/kg Q3W vs. ipi: 3.9</w:t>
            </w:r>
          </w:p>
        </w:tc>
        <w:tc>
          <w:tcPr>
            <w:tcW w:w="776" w:type="pct"/>
            <w:tcBorders>
              <w:bottom w:val="sing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0.56 (0.45, 0.70)</w:t>
            </w:r>
          </w:p>
          <w:p w:rsidR="00652482" w:rsidRPr="008A40DC" w:rsidRDefault="00652482" w:rsidP="00BB6F83">
            <w:pPr>
              <w:jc w:val="center"/>
              <w:rPr>
                <w:rFonts w:ascii="Arial Narrow" w:hAnsi="Arial Narrow"/>
                <w:sz w:val="20"/>
                <w:lang w:val="en-US"/>
              </w:rPr>
            </w:pPr>
            <w:r>
              <w:rPr>
                <w:rFonts w:ascii="Arial Narrow" w:hAnsi="Arial Narrow"/>
                <w:sz w:val="20"/>
                <w:lang w:val="en-US"/>
              </w:rPr>
              <w:t>0.56 (0.45, 0.70)</w:t>
            </w:r>
          </w:p>
        </w:tc>
      </w:tr>
      <w:tr w:rsidR="00652482" w:rsidRPr="00E2771E" w:rsidTr="00652482">
        <w:tc>
          <w:tcPr>
            <w:tcW w:w="607" w:type="pct"/>
            <w:tcBorders>
              <w:bottom w:val="single" w:sz="4" w:space="0" w:color="auto"/>
            </w:tcBorders>
            <w:shd w:val="clear" w:color="auto" w:fill="auto"/>
            <w:vAlign w:val="center"/>
          </w:tcPr>
          <w:p w:rsidR="00652482" w:rsidRPr="008A40DC" w:rsidRDefault="00652482" w:rsidP="00BB6F83">
            <w:pPr>
              <w:rPr>
                <w:rFonts w:ascii="Arial Narrow" w:hAnsi="Arial Narrow"/>
                <w:sz w:val="20"/>
                <w:lang w:val="en-US"/>
              </w:rPr>
            </w:pPr>
            <w:r w:rsidRPr="00646D28">
              <w:rPr>
                <w:rFonts w:ascii="Arial Narrow" w:hAnsi="Arial Narrow"/>
                <w:sz w:val="19"/>
                <w:szCs w:val="19"/>
              </w:rPr>
              <w:t xml:space="preserve">PFS rate </w:t>
            </w:r>
            <w:r>
              <w:rPr>
                <w:rFonts w:ascii="Arial Narrow" w:hAnsi="Arial Narrow"/>
                <w:sz w:val="19"/>
                <w:szCs w:val="19"/>
              </w:rPr>
              <w:t>at 6 m</w:t>
            </w:r>
            <w:r w:rsidRPr="00646D28">
              <w:rPr>
                <w:rFonts w:ascii="Arial Narrow" w:hAnsi="Arial Narrow"/>
                <w:sz w:val="19"/>
                <w:szCs w:val="19"/>
              </w:rPr>
              <w:t>ths (%)</w:t>
            </w:r>
          </w:p>
        </w:tc>
        <w:tc>
          <w:tcPr>
            <w:tcW w:w="756" w:type="pct"/>
            <w:gridSpan w:val="2"/>
            <w:tcBorders>
              <w:bottom w:val="single" w:sz="4" w:space="0" w:color="auto"/>
            </w:tcBorders>
          </w:tcPr>
          <w:p w:rsidR="00652482" w:rsidRDefault="00652482" w:rsidP="00BB6F83">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54.5%</w:t>
            </w:r>
          </w:p>
          <w:p w:rsidR="00652482" w:rsidRPr="0055434D" w:rsidRDefault="00652482" w:rsidP="00BB6F83">
            <w:pPr>
              <w:autoSpaceDE w:val="0"/>
              <w:autoSpaceDN w:val="0"/>
              <w:adjustRightInd w:val="0"/>
              <w:jc w:val="center"/>
              <w:rPr>
                <w:rFonts w:ascii="Arial Narrow" w:hAnsi="Arial Narrow" w:cs="Times"/>
                <w:sz w:val="20"/>
                <w:lang w:val="en-US" w:eastAsia="en-AU"/>
              </w:rPr>
            </w:pPr>
            <w:r w:rsidRPr="0055434D">
              <w:rPr>
                <w:rFonts w:ascii="Arial Narrow" w:hAnsi="Arial Narrow"/>
                <w:sz w:val="20"/>
                <w:lang w:val="en-US" w:eastAsia="en-AU"/>
              </w:rPr>
              <w:t>(</w:t>
            </w:r>
            <w:r>
              <w:rPr>
                <w:rFonts w:ascii="Arial Narrow" w:hAnsi="Arial Narrow"/>
                <w:sz w:val="20"/>
                <w:lang w:val="en-US" w:eastAsia="en-AU"/>
              </w:rPr>
              <w:t>48.3</w:t>
            </w:r>
            <w:r w:rsidRPr="0055434D">
              <w:rPr>
                <w:rFonts w:ascii="Arial Narrow" w:hAnsi="Arial Narrow"/>
                <w:sz w:val="20"/>
                <w:lang w:val="en-US" w:eastAsia="en-AU"/>
              </w:rPr>
              <w:t xml:space="preserve">, </w:t>
            </w:r>
            <w:r>
              <w:rPr>
                <w:rFonts w:ascii="Arial Narrow" w:hAnsi="Arial Narrow"/>
                <w:sz w:val="20"/>
                <w:lang w:val="en-US" w:eastAsia="en-AU"/>
              </w:rPr>
              <w:t>60.3</w:t>
            </w:r>
            <w:r w:rsidRPr="0055434D">
              <w:rPr>
                <w:rFonts w:ascii="Arial Narrow" w:hAnsi="Arial Narrow"/>
                <w:sz w:val="20"/>
                <w:lang w:val="en-US" w:eastAsia="en-AU"/>
              </w:rPr>
              <w:t>)</w:t>
            </w:r>
          </w:p>
        </w:tc>
        <w:tc>
          <w:tcPr>
            <w:tcW w:w="837" w:type="pct"/>
            <w:gridSpan w:val="2"/>
            <w:tcBorders>
              <w:bottom w:val="single" w:sz="4" w:space="0" w:color="auto"/>
            </w:tcBorders>
          </w:tcPr>
          <w:p w:rsidR="00652482" w:rsidRDefault="00652482" w:rsidP="00BB6F83">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55.0%</w:t>
            </w:r>
          </w:p>
          <w:p w:rsidR="00652482" w:rsidRPr="0055434D" w:rsidRDefault="00652482" w:rsidP="00BB6F83">
            <w:pPr>
              <w:autoSpaceDE w:val="0"/>
              <w:autoSpaceDN w:val="0"/>
              <w:adjustRightInd w:val="0"/>
              <w:jc w:val="center"/>
              <w:rPr>
                <w:rFonts w:ascii="Arial Narrow" w:hAnsi="Arial Narrow" w:cs="Times"/>
                <w:sz w:val="20"/>
                <w:lang w:val="en-US" w:eastAsia="en-AU"/>
              </w:rPr>
            </w:pPr>
            <w:r>
              <w:rPr>
                <w:rFonts w:ascii="Arial Narrow" w:hAnsi="Arial Narrow"/>
                <w:sz w:val="20"/>
                <w:lang w:val="en-US" w:eastAsia="en-AU"/>
              </w:rPr>
              <w:t>(48.8, 60.7)</w:t>
            </w:r>
          </w:p>
        </w:tc>
        <w:tc>
          <w:tcPr>
            <w:tcW w:w="753" w:type="pct"/>
            <w:gridSpan w:val="2"/>
            <w:tcBorders>
              <w:bottom w:val="single" w:sz="4" w:space="0" w:color="auto"/>
            </w:tcBorders>
          </w:tcPr>
          <w:p w:rsidR="00652482" w:rsidRDefault="00652482" w:rsidP="00BB6F83">
            <w:pPr>
              <w:autoSpaceDE w:val="0"/>
              <w:autoSpaceDN w:val="0"/>
              <w:adjustRightInd w:val="0"/>
              <w:jc w:val="center"/>
              <w:rPr>
                <w:rFonts w:ascii="Arial Narrow" w:hAnsi="Arial Narrow"/>
                <w:sz w:val="20"/>
                <w:lang w:val="en-US" w:eastAsia="en-AU"/>
              </w:rPr>
            </w:pPr>
            <w:r>
              <w:rPr>
                <w:rFonts w:ascii="Arial Narrow" w:hAnsi="Arial Narrow"/>
                <w:sz w:val="20"/>
                <w:lang w:val="en-US" w:eastAsia="en-AU"/>
              </w:rPr>
              <w:t>33.6%</w:t>
            </w:r>
          </w:p>
          <w:p w:rsidR="00652482" w:rsidRPr="0055434D" w:rsidRDefault="00652482" w:rsidP="00BB6F83">
            <w:pPr>
              <w:autoSpaceDE w:val="0"/>
              <w:autoSpaceDN w:val="0"/>
              <w:adjustRightInd w:val="0"/>
              <w:jc w:val="center"/>
              <w:rPr>
                <w:rFonts w:ascii="Arial Narrow" w:hAnsi="Arial Narrow" w:cs="Times"/>
                <w:sz w:val="20"/>
                <w:lang w:val="en-US" w:eastAsia="en-AU"/>
              </w:rPr>
            </w:pPr>
            <w:r>
              <w:rPr>
                <w:rFonts w:ascii="Arial Narrow" w:hAnsi="Arial Narrow"/>
                <w:sz w:val="20"/>
                <w:lang w:val="en-US" w:eastAsia="en-AU"/>
              </w:rPr>
              <w:t>(27.6, 39.7)</w:t>
            </w:r>
          </w:p>
        </w:tc>
        <w:tc>
          <w:tcPr>
            <w:tcW w:w="1271" w:type="pct"/>
            <w:gridSpan w:val="2"/>
            <w:tcBorders>
              <w:bottom w:val="sing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10mg/kg Q2W vs. ipi: 20.9%</w:t>
            </w:r>
          </w:p>
          <w:p w:rsidR="00652482" w:rsidRPr="008A40DC" w:rsidRDefault="00652482" w:rsidP="00BB6F83">
            <w:pPr>
              <w:jc w:val="center"/>
              <w:rPr>
                <w:rFonts w:ascii="Arial Narrow" w:hAnsi="Arial Narrow"/>
                <w:sz w:val="20"/>
                <w:lang w:val="en-US"/>
              </w:rPr>
            </w:pPr>
            <w:r>
              <w:rPr>
                <w:rFonts w:ascii="Arial Narrow" w:hAnsi="Arial Narrow"/>
                <w:sz w:val="20"/>
                <w:lang w:val="en-US"/>
              </w:rPr>
              <w:t>10mg/kg Q3W vs. ipi: 21.4%</w:t>
            </w:r>
          </w:p>
        </w:tc>
        <w:tc>
          <w:tcPr>
            <w:tcW w:w="776" w:type="pct"/>
            <w:tcBorders>
              <w:bottom w:val="single" w:sz="4" w:space="0" w:color="auto"/>
            </w:tcBorders>
            <w:vAlign w:val="center"/>
          </w:tcPr>
          <w:p w:rsidR="00652482" w:rsidRPr="008A40DC" w:rsidRDefault="00652482" w:rsidP="00BB6F83">
            <w:pPr>
              <w:jc w:val="center"/>
              <w:rPr>
                <w:rFonts w:ascii="Arial Narrow" w:hAnsi="Arial Narrow"/>
                <w:sz w:val="20"/>
                <w:lang w:val="en-US"/>
              </w:rPr>
            </w:pPr>
            <w:r>
              <w:rPr>
                <w:rFonts w:ascii="Arial Narrow" w:hAnsi="Arial Narrow"/>
                <w:sz w:val="20"/>
                <w:lang w:val="en-US"/>
              </w:rPr>
              <w:t>-</w:t>
            </w:r>
          </w:p>
        </w:tc>
      </w:tr>
      <w:tr w:rsidR="00652482" w:rsidRPr="00E2771E" w:rsidTr="00652482">
        <w:tc>
          <w:tcPr>
            <w:tcW w:w="2953" w:type="pct"/>
            <w:gridSpan w:val="7"/>
            <w:tcBorders>
              <w:top w:val="single" w:sz="4" w:space="0" w:color="auto"/>
            </w:tcBorders>
            <w:shd w:val="clear" w:color="auto" w:fill="auto"/>
          </w:tcPr>
          <w:p w:rsidR="00652482" w:rsidRPr="0055434D" w:rsidRDefault="00652482" w:rsidP="00BB6F83">
            <w:pPr>
              <w:rPr>
                <w:rFonts w:ascii="Arial Narrow" w:hAnsi="Arial Narrow"/>
                <w:b/>
                <w:sz w:val="20"/>
                <w:lang w:val="en-US"/>
              </w:rPr>
            </w:pPr>
            <w:r>
              <w:rPr>
                <w:rFonts w:ascii="Arial Narrow" w:hAnsi="Arial Narrow"/>
                <w:b/>
                <w:sz w:val="20"/>
                <w:lang w:val="en-US"/>
              </w:rPr>
              <w:t>Overall survival</w:t>
            </w:r>
          </w:p>
        </w:tc>
        <w:tc>
          <w:tcPr>
            <w:tcW w:w="1271" w:type="pct"/>
            <w:gridSpan w:val="2"/>
            <w:tcBorders>
              <w:top w:val="single" w:sz="4" w:space="0" w:color="auto"/>
            </w:tcBorders>
            <w:vAlign w:val="center"/>
          </w:tcPr>
          <w:p w:rsidR="00652482" w:rsidRPr="00E2771E" w:rsidRDefault="00652482" w:rsidP="00BB6F83">
            <w:pPr>
              <w:keepNext/>
              <w:jc w:val="center"/>
              <w:rPr>
                <w:rFonts w:ascii="Arial Narrow" w:hAnsi="Arial Narrow"/>
                <w:color w:val="000000"/>
                <w:sz w:val="20"/>
                <w:szCs w:val="18"/>
              </w:rPr>
            </w:pPr>
          </w:p>
        </w:tc>
        <w:tc>
          <w:tcPr>
            <w:tcW w:w="776" w:type="pct"/>
            <w:tcBorders>
              <w:top w:val="single" w:sz="4" w:space="0" w:color="auto"/>
            </w:tcBorders>
            <w:vAlign w:val="center"/>
          </w:tcPr>
          <w:p w:rsidR="00652482" w:rsidRDefault="00652482" w:rsidP="00BB6F83">
            <w:pPr>
              <w:keepNext/>
              <w:tabs>
                <w:tab w:val="left" w:pos="647"/>
              </w:tabs>
              <w:jc w:val="center"/>
              <w:rPr>
                <w:rFonts w:ascii="Arial Narrow" w:hAnsi="Arial Narrow"/>
                <w:sz w:val="20"/>
                <w:lang w:val="en-US"/>
              </w:rPr>
            </w:pPr>
          </w:p>
        </w:tc>
      </w:tr>
      <w:tr w:rsidR="00652482" w:rsidRPr="00E2771E" w:rsidTr="00652482">
        <w:tc>
          <w:tcPr>
            <w:tcW w:w="607" w:type="pct"/>
            <w:shd w:val="clear" w:color="auto" w:fill="auto"/>
            <w:vAlign w:val="center"/>
          </w:tcPr>
          <w:p w:rsidR="00652482" w:rsidRPr="008A40DC" w:rsidRDefault="00652482" w:rsidP="00BB6F83">
            <w:pPr>
              <w:tabs>
                <w:tab w:val="left" w:pos="114"/>
              </w:tabs>
              <w:rPr>
                <w:rFonts w:ascii="Arial Narrow" w:hAnsi="Arial Narrow"/>
                <w:sz w:val="20"/>
                <w:lang w:val="en-US"/>
              </w:rPr>
            </w:pPr>
            <w:r>
              <w:rPr>
                <w:rFonts w:ascii="Arial Narrow" w:hAnsi="Arial Narrow"/>
                <w:sz w:val="19"/>
                <w:szCs w:val="19"/>
              </w:rPr>
              <w:t>Median m</w:t>
            </w:r>
            <w:r w:rsidRPr="00646D28">
              <w:rPr>
                <w:rFonts w:ascii="Arial Narrow" w:hAnsi="Arial Narrow"/>
                <w:sz w:val="19"/>
                <w:szCs w:val="19"/>
              </w:rPr>
              <w:t>ths (95% CI)</w:t>
            </w:r>
          </w:p>
        </w:tc>
        <w:tc>
          <w:tcPr>
            <w:tcW w:w="756" w:type="pct"/>
            <w:gridSpan w:val="2"/>
            <w:vAlign w:val="center"/>
          </w:tcPr>
          <w:p w:rsidR="00652482" w:rsidRPr="008A40DC" w:rsidRDefault="00652482" w:rsidP="00BB6F83">
            <w:pPr>
              <w:jc w:val="center"/>
              <w:rPr>
                <w:rFonts w:ascii="Arial Narrow" w:hAnsi="Arial Narrow"/>
                <w:sz w:val="20"/>
                <w:lang w:val="en-US"/>
              </w:rPr>
            </w:pPr>
            <w:r>
              <w:rPr>
                <w:rFonts w:ascii="Arial Narrow" w:hAnsi="Arial Narrow"/>
                <w:sz w:val="20"/>
                <w:lang w:val="en-US"/>
              </w:rPr>
              <w:t>NR</w:t>
            </w:r>
          </w:p>
        </w:tc>
        <w:tc>
          <w:tcPr>
            <w:tcW w:w="837" w:type="pct"/>
            <w:gridSpan w:val="2"/>
            <w:vAlign w:val="center"/>
          </w:tcPr>
          <w:p w:rsidR="00652482" w:rsidRPr="008A40DC" w:rsidRDefault="00652482" w:rsidP="00BB6F83">
            <w:pPr>
              <w:jc w:val="center"/>
              <w:rPr>
                <w:rFonts w:ascii="Arial Narrow" w:hAnsi="Arial Narrow"/>
                <w:sz w:val="20"/>
                <w:lang w:val="en-US"/>
              </w:rPr>
            </w:pPr>
            <w:r>
              <w:rPr>
                <w:rFonts w:ascii="Arial Narrow" w:hAnsi="Arial Narrow"/>
                <w:sz w:val="20"/>
                <w:lang w:val="en-US"/>
              </w:rPr>
              <w:t>NR</w:t>
            </w:r>
          </w:p>
        </w:tc>
        <w:tc>
          <w:tcPr>
            <w:tcW w:w="753" w:type="pct"/>
            <w:gridSpan w:val="2"/>
            <w:vAlign w:val="center"/>
          </w:tcPr>
          <w:p w:rsidR="00652482" w:rsidRPr="008A40DC" w:rsidRDefault="00652482" w:rsidP="00BB6F83">
            <w:pPr>
              <w:jc w:val="center"/>
              <w:rPr>
                <w:rFonts w:ascii="Arial Narrow" w:hAnsi="Arial Narrow"/>
                <w:sz w:val="20"/>
                <w:lang w:val="en-US"/>
              </w:rPr>
            </w:pPr>
            <w:r>
              <w:rPr>
                <w:rFonts w:ascii="Arial Narrow" w:hAnsi="Arial Narrow"/>
                <w:sz w:val="20"/>
                <w:lang w:val="en-US"/>
              </w:rPr>
              <w:t>NR</w:t>
            </w:r>
          </w:p>
        </w:tc>
        <w:tc>
          <w:tcPr>
            <w:tcW w:w="1271" w:type="pct"/>
            <w:gridSpan w:val="2"/>
            <w:vAlign w:val="center"/>
          </w:tcPr>
          <w:p w:rsidR="00652482" w:rsidRDefault="00652482" w:rsidP="00BB6F83">
            <w:pPr>
              <w:jc w:val="center"/>
              <w:rPr>
                <w:rFonts w:ascii="Arial Narrow" w:hAnsi="Arial Narrow"/>
                <w:sz w:val="20"/>
                <w:lang w:val="en-US"/>
              </w:rPr>
            </w:pPr>
            <w:r>
              <w:rPr>
                <w:rFonts w:ascii="Arial Narrow" w:hAnsi="Arial Narrow"/>
                <w:sz w:val="20"/>
                <w:lang w:val="en-US"/>
              </w:rPr>
              <w:t>10mg/kg Q2W vs. ipi:  -</w:t>
            </w:r>
          </w:p>
          <w:p w:rsidR="00652482" w:rsidRPr="008A40DC" w:rsidRDefault="00652482" w:rsidP="00BB6F83">
            <w:pPr>
              <w:jc w:val="center"/>
              <w:rPr>
                <w:rFonts w:ascii="Arial Narrow" w:hAnsi="Arial Narrow"/>
                <w:sz w:val="20"/>
                <w:lang w:val="en-US"/>
              </w:rPr>
            </w:pPr>
            <w:r>
              <w:rPr>
                <w:rFonts w:ascii="Arial Narrow" w:hAnsi="Arial Narrow"/>
                <w:sz w:val="20"/>
                <w:lang w:val="en-US"/>
              </w:rPr>
              <w:t>10mg/kg Q3W vs. ipi:  -</w:t>
            </w:r>
          </w:p>
        </w:tc>
        <w:tc>
          <w:tcPr>
            <w:tcW w:w="776" w:type="pct"/>
          </w:tcPr>
          <w:p w:rsidR="00652482" w:rsidRDefault="00652482" w:rsidP="00BB6F83">
            <w:pPr>
              <w:jc w:val="center"/>
              <w:rPr>
                <w:rFonts w:ascii="Arial Narrow" w:hAnsi="Arial Narrow"/>
                <w:sz w:val="20"/>
                <w:lang w:val="en-US"/>
              </w:rPr>
            </w:pPr>
            <w:r>
              <w:rPr>
                <w:rFonts w:ascii="Arial Narrow" w:hAnsi="Arial Narrow"/>
                <w:sz w:val="20"/>
                <w:lang w:val="en-US"/>
              </w:rPr>
              <w:t>0.60 (0.43, 0.84)</w:t>
            </w:r>
          </w:p>
          <w:p w:rsidR="00652482" w:rsidRPr="008A40DC" w:rsidRDefault="00652482" w:rsidP="00BB6F83">
            <w:pPr>
              <w:jc w:val="center"/>
              <w:rPr>
                <w:rFonts w:ascii="Arial Narrow" w:hAnsi="Arial Narrow"/>
                <w:sz w:val="20"/>
                <w:lang w:val="en-US"/>
              </w:rPr>
            </w:pPr>
            <w:r>
              <w:rPr>
                <w:rFonts w:ascii="Arial Narrow" w:hAnsi="Arial Narrow"/>
                <w:sz w:val="20"/>
                <w:lang w:val="en-US"/>
              </w:rPr>
              <w:t>0.56 (0.40, 0.78)</w:t>
            </w:r>
          </w:p>
        </w:tc>
      </w:tr>
      <w:tr w:rsidR="00652482" w:rsidRPr="00E2771E" w:rsidTr="00652482">
        <w:tc>
          <w:tcPr>
            <w:tcW w:w="607" w:type="pct"/>
            <w:tcBorders>
              <w:bottom w:val="double" w:sz="4" w:space="0" w:color="auto"/>
            </w:tcBorders>
            <w:shd w:val="clear" w:color="auto" w:fill="auto"/>
            <w:vAlign w:val="center"/>
          </w:tcPr>
          <w:p w:rsidR="00652482" w:rsidRPr="008A40DC" w:rsidRDefault="00652482" w:rsidP="00BB6F83">
            <w:pPr>
              <w:tabs>
                <w:tab w:val="left" w:pos="114"/>
              </w:tabs>
              <w:rPr>
                <w:rFonts w:ascii="Arial Narrow" w:hAnsi="Arial Narrow"/>
                <w:sz w:val="20"/>
                <w:lang w:val="en-US"/>
              </w:rPr>
            </w:pPr>
            <w:r>
              <w:rPr>
                <w:rFonts w:ascii="Arial Narrow" w:hAnsi="Arial Narrow"/>
                <w:sz w:val="19"/>
                <w:szCs w:val="19"/>
              </w:rPr>
              <w:t>O</w:t>
            </w:r>
            <w:r w:rsidRPr="00646D28">
              <w:rPr>
                <w:rFonts w:ascii="Arial Narrow" w:hAnsi="Arial Narrow"/>
                <w:sz w:val="19"/>
                <w:szCs w:val="19"/>
              </w:rPr>
              <w:t xml:space="preserve">S rate </w:t>
            </w:r>
            <w:r>
              <w:rPr>
                <w:rFonts w:ascii="Arial Narrow" w:hAnsi="Arial Narrow"/>
                <w:sz w:val="19"/>
                <w:szCs w:val="19"/>
              </w:rPr>
              <w:t>at 6 m</w:t>
            </w:r>
            <w:r w:rsidRPr="00646D28">
              <w:rPr>
                <w:rFonts w:ascii="Arial Narrow" w:hAnsi="Arial Narrow"/>
                <w:sz w:val="19"/>
                <w:szCs w:val="19"/>
              </w:rPr>
              <w:t>ths (%)</w:t>
            </w:r>
          </w:p>
        </w:tc>
        <w:tc>
          <w:tcPr>
            <w:tcW w:w="756" w:type="pct"/>
            <w:gridSpan w:val="2"/>
            <w:tcBorders>
              <w:bottom w:val="double" w:sz="4" w:space="0" w:color="auto"/>
            </w:tcBorders>
          </w:tcPr>
          <w:p w:rsidR="00652482" w:rsidRDefault="00652482" w:rsidP="00BB6F83">
            <w:pPr>
              <w:jc w:val="center"/>
              <w:rPr>
                <w:rFonts w:ascii="Arial Narrow" w:hAnsi="Arial Narrow"/>
                <w:sz w:val="20"/>
                <w:lang w:val="en-US"/>
              </w:rPr>
            </w:pPr>
            <w:r>
              <w:rPr>
                <w:rFonts w:ascii="Arial Narrow" w:hAnsi="Arial Narrow"/>
                <w:sz w:val="20"/>
                <w:lang w:val="en-US"/>
              </w:rPr>
              <w:t xml:space="preserve">84.8% </w:t>
            </w:r>
          </w:p>
          <w:p w:rsidR="00652482" w:rsidRPr="008A40DC" w:rsidRDefault="00652482" w:rsidP="00BB6F83">
            <w:pPr>
              <w:jc w:val="center"/>
              <w:rPr>
                <w:rFonts w:ascii="Arial Narrow" w:hAnsi="Arial Narrow"/>
                <w:sz w:val="20"/>
                <w:lang w:val="en-US"/>
              </w:rPr>
            </w:pPr>
            <w:r>
              <w:rPr>
                <w:rFonts w:ascii="Arial Narrow" w:hAnsi="Arial Narrow"/>
                <w:sz w:val="20"/>
                <w:lang w:val="en-US"/>
              </w:rPr>
              <w:t>(80.0%, 88.5%)</w:t>
            </w:r>
          </w:p>
        </w:tc>
        <w:tc>
          <w:tcPr>
            <w:tcW w:w="837" w:type="pct"/>
            <w:gridSpan w:val="2"/>
            <w:tcBorders>
              <w:bottom w:val="double" w:sz="4" w:space="0" w:color="auto"/>
            </w:tcBorders>
          </w:tcPr>
          <w:p w:rsidR="00652482" w:rsidRDefault="00652482" w:rsidP="00BB6F83">
            <w:pPr>
              <w:jc w:val="center"/>
              <w:rPr>
                <w:rFonts w:ascii="Arial Narrow" w:hAnsi="Arial Narrow"/>
                <w:sz w:val="20"/>
                <w:lang w:val="en-US"/>
              </w:rPr>
            </w:pPr>
            <w:r>
              <w:rPr>
                <w:rFonts w:ascii="Arial Narrow" w:hAnsi="Arial Narrow"/>
                <w:sz w:val="20"/>
                <w:lang w:val="en-US"/>
              </w:rPr>
              <w:t xml:space="preserve">87.6% </w:t>
            </w:r>
          </w:p>
          <w:p w:rsidR="00652482" w:rsidRPr="008A40DC" w:rsidRDefault="00652482" w:rsidP="00BB6F83">
            <w:pPr>
              <w:jc w:val="center"/>
              <w:rPr>
                <w:rFonts w:ascii="Arial Narrow" w:hAnsi="Arial Narrow"/>
                <w:sz w:val="20"/>
                <w:lang w:val="en-US"/>
              </w:rPr>
            </w:pPr>
            <w:r>
              <w:rPr>
                <w:rFonts w:ascii="Arial Narrow" w:hAnsi="Arial Narrow"/>
                <w:sz w:val="20"/>
                <w:lang w:val="en-US"/>
              </w:rPr>
              <w:t>(83.1%), 91.0%)</w:t>
            </w:r>
          </w:p>
        </w:tc>
        <w:tc>
          <w:tcPr>
            <w:tcW w:w="753" w:type="pct"/>
            <w:gridSpan w:val="2"/>
            <w:tcBorders>
              <w:bottom w:val="double" w:sz="4" w:space="0" w:color="auto"/>
            </w:tcBorders>
          </w:tcPr>
          <w:p w:rsidR="00652482" w:rsidRDefault="00652482" w:rsidP="00BB6F83">
            <w:pPr>
              <w:jc w:val="center"/>
              <w:rPr>
                <w:rFonts w:ascii="Arial Narrow" w:hAnsi="Arial Narrow"/>
                <w:sz w:val="20"/>
                <w:lang w:val="en-US"/>
              </w:rPr>
            </w:pPr>
            <w:r>
              <w:rPr>
                <w:rFonts w:ascii="Arial Narrow" w:hAnsi="Arial Narrow"/>
                <w:sz w:val="20"/>
                <w:lang w:val="en-US"/>
              </w:rPr>
              <w:t xml:space="preserve">74.6% </w:t>
            </w:r>
          </w:p>
          <w:p w:rsidR="00652482" w:rsidRPr="008A40DC" w:rsidRDefault="00652482" w:rsidP="00BB6F83">
            <w:pPr>
              <w:jc w:val="center"/>
              <w:rPr>
                <w:rFonts w:ascii="Arial Narrow" w:hAnsi="Arial Narrow"/>
                <w:sz w:val="20"/>
                <w:lang w:val="en-US"/>
              </w:rPr>
            </w:pPr>
            <w:r>
              <w:rPr>
                <w:rFonts w:ascii="Arial Narrow" w:hAnsi="Arial Narrow"/>
                <w:sz w:val="20"/>
                <w:lang w:val="en-US"/>
              </w:rPr>
              <w:t>(68.8%, 79.5%)</w:t>
            </w:r>
          </w:p>
        </w:tc>
        <w:tc>
          <w:tcPr>
            <w:tcW w:w="1271" w:type="pct"/>
            <w:gridSpan w:val="2"/>
            <w:tcBorders>
              <w:bottom w:val="double" w:sz="4" w:space="0" w:color="auto"/>
            </w:tcBorders>
            <w:vAlign w:val="center"/>
          </w:tcPr>
          <w:p w:rsidR="00652482" w:rsidRDefault="00652482" w:rsidP="00BB6F83">
            <w:pPr>
              <w:jc w:val="center"/>
              <w:rPr>
                <w:rFonts w:ascii="Arial Narrow" w:hAnsi="Arial Narrow"/>
                <w:sz w:val="20"/>
                <w:lang w:val="en-US"/>
              </w:rPr>
            </w:pPr>
            <w:r>
              <w:rPr>
                <w:rFonts w:ascii="Arial Narrow" w:hAnsi="Arial Narrow"/>
                <w:sz w:val="20"/>
                <w:lang w:val="en-US"/>
              </w:rPr>
              <w:t>10mg/kg Q2W vs. ipi: 10.2%</w:t>
            </w:r>
          </w:p>
          <w:p w:rsidR="00652482" w:rsidRPr="008A40DC" w:rsidRDefault="00652482" w:rsidP="00BB6F83">
            <w:pPr>
              <w:jc w:val="center"/>
              <w:rPr>
                <w:rFonts w:ascii="Arial Narrow" w:hAnsi="Arial Narrow"/>
                <w:sz w:val="20"/>
                <w:lang w:val="en-US"/>
              </w:rPr>
            </w:pPr>
            <w:r>
              <w:rPr>
                <w:rFonts w:ascii="Arial Narrow" w:hAnsi="Arial Narrow"/>
                <w:sz w:val="20"/>
                <w:lang w:val="en-US"/>
              </w:rPr>
              <w:t>10mg/kg Q3W vs. ipi: 13.0%</w:t>
            </w:r>
          </w:p>
        </w:tc>
        <w:tc>
          <w:tcPr>
            <w:tcW w:w="776" w:type="pct"/>
            <w:tcBorders>
              <w:bottom w:val="double" w:sz="4" w:space="0" w:color="auto"/>
            </w:tcBorders>
          </w:tcPr>
          <w:p w:rsidR="00652482" w:rsidRPr="008A40DC" w:rsidRDefault="00652482" w:rsidP="00BB6F83">
            <w:pPr>
              <w:jc w:val="center"/>
              <w:rPr>
                <w:rFonts w:ascii="Arial Narrow" w:hAnsi="Arial Narrow"/>
                <w:sz w:val="20"/>
                <w:lang w:val="en-US"/>
              </w:rPr>
            </w:pPr>
          </w:p>
        </w:tc>
      </w:tr>
      <w:tr w:rsidR="00652482" w:rsidRPr="00E2771E" w:rsidTr="00BB6F83">
        <w:tc>
          <w:tcPr>
            <w:tcW w:w="5000" w:type="pct"/>
            <w:gridSpan w:val="10"/>
            <w:tcBorders>
              <w:top w:val="double" w:sz="4" w:space="0" w:color="auto"/>
            </w:tcBorders>
            <w:shd w:val="clear" w:color="auto" w:fill="auto"/>
            <w:vAlign w:val="center"/>
          </w:tcPr>
          <w:p w:rsidR="00652482" w:rsidRPr="00E2771E" w:rsidRDefault="00652482" w:rsidP="00BB6F83">
            <w:pPr>
              <w:keepNext/>
              <w:rPr>
                <w:rFonts w:ascii="Arial Narrow" w:hAnsi="Arial Narrow"/>
                <w:b/>
                <w:color w:val="000000"/>
                <w:sz w:val="20"/>
                <w:szCs w:val="18"/>
              </w:rPr>
            </w:pPr>
            <w:r w:rsidRPr="00E2771E">
              <w:rPr>
                <w:rFonts w:ascii="Arial Narrow" w:hAnsi="Arial Narrow"/>
                <w:b/>
                <w:color w:val="000000"/>
                <w:sz w:val="20"/>
                <w:szCs w:val="18"/>
              </w:rPr>
              <w:t>Harms</w:t>
            </w:r>
          </w:p>
        </w:tc>
      </w:tr>
      <w:tr w:rsidR="00652482" w:rsidRPr="00E2771E" w:rsidTr="00652482">
        <w:trPr>
          <w:trHeight w:val="246"/>
        </w:trPr>
        <w:tc>
          <w:tcPr>
            <w:tcW w:w="1027" w:type="pct"/>
            <w:gridSpan w:val="2"/>
            <w:vMerge w:val="restart"/>
            <w:shd w:val="clear" w:color="auto" w:fill="auto"/>
            <w:vAlign w:val="center"/>
          </w:tcPr>
          <w:p w:rsidR="00652482" w:rsidRPr="008A40DC" w:rsidRDefault="00652482" w:rsidP="00BB6F83">
            <w:pPr>
              <w:keepNext/>
              <w:rPr>
                <w:rFonts w:ascii="Arial Narrow" w:hAnsi="Arial Narrow"/>
                <w:b/>
                <w:sz w:val="20"/>
                <w:lang w:val="en-US"/>
              </w:rPr>
            </w:pPr>
          </w:p>
        </w:tc>
        <w:tc>
          <w:tcPr>
            <w:tcW w:w="838" w:type="pct"/>
            <w:gridSpan w:val="2"/>
            <w:vMerge w:val="restart"/>
            <w:vAlign w:val="center"/>
          </w:tcPr>
          <w:p w:rsidR="00652482" w:rsidRDefault="00652482" w:rsidP="00BB6F83">
            <w:pPr>
              <w:keepNext/>
              <w:jc w:val="center"/>
              <w:rPr>
                <w:rFonts w:ascii="Arial Narrow" w:hAnsi="Arial Narrow"/>
                <w:b/>
                <w:sz w:val="20"/>
                <w:lang w:val="en-US"/>
              </w:rPr>
            </w:pPr>
            <w:r>
              <w:rPr>
                <w:rFonts w:ascii="Arial Narrow" w:hAnsi="Arial Narrow"/>
                <w:b/>
                <w:sz w:val="20"/>
                <w:lang w:val="en-US"/>
              </w:rPr>
              <w:t>Pembrolizumab 10 mg/kg Q2W</w:t>
            </w:r>
          </w:p>
          <w:p w:rsidR="00652482" w:rsidRPr="008A40DC" w:rsidRDefault="00652482" w:rsidP="00BB6F83">
            <w:pPr>
              <w:keepNext/>
              <w:jc w:val="center"/>
              <w:rPr>
                <w:rFonts w:ascii="Arial Narrow" w:hAnsi="Arial Narrow"/>
                <w:b/>
                <w:sz w:val="20"/>
                <w:lang w:val="en-US"/>
              </w:rPr>
            </w:pPr>
            <w:r>
              <w:rPr>
                <w:rFonts w:ascii="Arial Narrow" w:hAnsi="Arial Narrow"/>
                <w:b/>
                <w:sz w:val="20"/>
                <w:lang w:val="en-US"/>
              </w:rPr>
              <w:t>N=279</w:t>
            </w:r>
          </w:p>
        </w:tc>
        <w:tc>
          <w:tcPr>
            <w:tcW w:w="841" w:type="pct"/>
            <w:gridSpan w:val="2"/>
            <w:vMerge w:val="restart"/>
            <w:vAlign w:val="center"/>
          </w:tcPr>
          <w:p w:rsidR="00652482" w:rsidRDefault="00652482" w:rsidP="00BB6F83">
            <w:pPr>
              <w:keepNext/>
              <w:jc w:val="center"/>
              <w:rPr>
                <w:rFonts w:ascii="Arial Narrow" w:hAnsi="Arial Narrow"/>
                <w:b/>
                <w:sz w:val="20"/>
                <w:lang w:val="en-US"/>
              </w:rPr>
            </w:pPr>
            <w:r>
              <w:rPr>
                <w:rFonts w:ascii="Arial Narrow" w:hAnsi="Arial Narrow"/>
                <w:b/>
                <w:sz w:val="20"/>
                <w:lang w:val="en-US"/>
              </w:rPr>
              <w:t>Pembrolizumab 10 mg/kg Q3W</w:t>
            </w:r>
          </w:p>
          <w:p w:rsidR="00652482" w:rsidRDefault="00652482" w:rsidP="00BB6F83">
            <w:pPr>
              <w:keepNext/>
              <w:jc w:val="center"/>
              <w:rPr>
                <w:rFonts w:ascii="Arial Narrow" w:hAnsi="Arial Narrow"/>
                <w:b/>
                <w:sz w:val="20"/>
                <w:lang w:val="en-US"/>
              </w:rPr>
            </w:pPr>
            <w:r>
              <w:rPr>
                <w:rFonts w:ascii="Arial Narrow" w:hAnsi="Arial Narrow"/>
                <w:b/>
                <w:sz w:val="20"/>
                <w:lang w:val="en-US"/>
              </w:rPr>
              <w:t>N=277</w:t>
            </w:r>
          </w:p>
        </w:tc>
        <w:tc>
          <w:tcPr>
            <w:tcW w:w="756" w:type="pct"/>
            <w:gridSpan w:val="2"/>
            <w:vMerge w:val="restart"/>
            <w:vAlign w:val="center"/>
          </w:tcPr>
          <w:p w:rsidR="00652482" w:rsidRDefault="00652482" w:rsidP="00BB6F83">
            <w:pPr>
              <w:keepNext/>
              <w:jc w:val="center"/>
              <w:rPr>
                <w:rFonts w:ascii="Arial Narrow" w:hAnsi="Arial Narrow"/>
                <w:b/>
                <w:sz w:val="20"/>
                <w:lang w:val="en-US"/>
              </w:rPr>
            </w:pPr>
            <w:r>
              <w:rPr>
                <w:rFonts w:ascii="Arial Narrow" w:hAnsi="Arial Narrow"/>
                <w:b/>
                <w:sz w:val="20"/>
                <w:lang w:val="en-US"/>
              </w:rPr>
              <w:t>Ipilimumab 3 mg/kg Q3W</w:t>
            </w:r>
          </w:p>
          <w:p w:rsidR="00652482" w:rsidRDefault="00652482" w:rsidP="00BB6F83">
            <w:pPr>
              <w:keepNext/>
              <w:jc w:val="center"/>
              <w:rPr>
                <w:rFonts w:ascii="Arial Narrow" w:hAnsi="Arial Narrow"/>
                <w:b/>
                <w:sz w:val="20"/>
                <w:lang w:val="en-US"/>
              </w:rPr>
            </w:pPr>
            <w:r>
              <w:rPr>
                <w:rFonts w:ascii="Arial Narrow" w:hAnsi="Arial Narrow"/>
                <w:b/>
                <w:sz w:val="20"/>
                <w:lang w:val="en-US"/>
              </w:rPr>
              <w:t>N=278</w:t>
            </w:r>
          </w:p>
        </w:tc>
        <w:tc>
          <w:tcPr>
            <w:tcW w:w="1538" w:type="pct"/>
            <w:gridSpan w:val="2"/>
          </w:tcPr>
          <w:p w:rsidR="00652482" w:rsidRPr="00E944A6" w:rsidRDefault="00652482" w:rsidP="00BB6F83">
            <w:pPr>
              <w:keepNext/>
              <w:jc w:val="center"/>
              <w:rPr>
                <w:rFonts w:ascii="Arial Narrow" w:hAnsi="Arial Narrow"/>
                <w:b/>
                <w:sz w:val="20"/>
                <w:lang w:val="en-US"/>
              </w:rPr>
            </w:pPr>
            <w:r w:rsidRPr="00E944A6">
              <w:rPr>
                <w:rFonts w:ascii="Arial Narrow" w:hAnsi="Arial Narrow"/>
                <w:b/>
                <w:sz w:val="20"/>
                <w:lang w:val="en-US"/>
              </w:rPr>
              <w:t>Difference in %</w:t>
            </w:r>
            <w:r w:rsidR="00455BA9">
              <w:rPr>
                <w:rFonts w:ascii="Arial Narrow" w:hAnsi="Arial Narrow"/>
                <w:b/>
                <w:sz w:val="20"/>
                <w:vertAlign w:val="superscript"/>
                <w:lang w:val="en-US"/>
              </w:rPr>
              <w:t>a</w:t>
            </w:r>
            <w:r w:rsidRPr="00E944A6">
              <w:rPr>
                <w:rFonts w:ascii="Arial Narrow" w:hAnsi="Arial Narrow"/>
                <w:b/>
                <w:sz w:val="20"/>
                <w:lang w:val="en-US"/>
              </w:rPr>
              <w:t xml:space="preserve"> (95% CI)</w:t>
            </w:r>
          </w:p>
        </w:tc>
      </w:tr>
      <w:tr w:rsidR="00652482" w:rsidRPr="00E2771E" w:rsidTr="00652482">
        <w:trPr>
          <w:trHeight w:val="312"/>
        </w:trPr>
        <w:tc>
          <w:tcPr>
            <w:tcW w:w="1027" w:type="pct"/>
            <w:gridSpan w:val="2"/>
            <w:vMerge/>
            <w:shd w:val="clear" w:color="auto" w:fill="auto"/>
            <w:vAlign w:val="center"/>
          </w:tcPr>
          <w:p w:rsidR="00652482" w:rsidRPr="008A40DC" w:rsidRDefault="00652482" w:rsidP="00BB6F83">
            <w:pPr>
              <w:keepNext/>
              <w:rPr>
                <w:rFonts w:ascii="Arial Narrow" w:hAnsi="Arial Narrow"/>
                <w:b/>
                <w:sz w:val="20"/>
                <w:lang w:val="en-US"/>
              </w:rPr>
            </w:pPr>
          </w:p>
        </w:tc>
        <w:tc>
          <w:tcPr>
            <w:tcW w:w="838" w:type="pct"/>
            <w:gridSpan w:val="2"/>
            <w:vMerge/>
            <w:vAlign w:val="center"/>
          </w:tcPr>
          <w:p w:rsidR="00652482" w:rsidRDefault="00652482" w:rsidP="00BB6F83">
            <w:pPr>
              <w:keepNext/>
              <w:jc w:val="center"/>
              <w:rPr>
                <w:rFonts w:ascii="Arial Narrow" w:hAnsi="Arial Narrow"/>
                <w:b/>
                <w:sz w:val="20"/>
                <w:lang w:val="en-US"/>
              </w:rPr>
            </w:pPr>
          </w:p>
        </w:tc>
        <w:tc>
          <w:tcPr>
            <w:tcW w:w="841" w:type="pct"/>
            <w:gridSpan w:val="2"/>
            <w:vMerge/>
            <w:vAlign w:val="center"/>
          </w:tcPr>
          <w:p w:rsidR="00652482" w:rsidRDefault="00652482" w:rsidP="00BB6F83">
            <w:pPr>
              <w:keepNext/>
              <w:jc w:val="center"/>
              <w:rPr>
                <w:rFonts w:ascii="Arial Narrow" w:hAnsi="Arial Narrow"/>
                <w:b/>
                <w:sz w:val="20"/>
                <w:lang w:val="en-US"/>
              </w:rPr>
            </w:pPr>
          </w:p>
        </w:tc>
        <w:tc>
          <w:tcPr>
            <w:tcW w:w="756" w:type="pct"/>
            <w:gridSpan w:val="2"/>
            <w:vMerge/>
            <w:vAlign w:val="center"/>
          </w:tcPr>
          <w:p w:rsidR="00652482" w:rsidRDefault="00652482" w:rsidP="00BB6F83">
            <w:pPr>
              <w:keepNext/>
              <w:jc w:val="center"/>
              <w:rPr>
                <w:rFonts w:ascii="Arial Narrow" w:hAnsi="Arial Narrow"/>
                <w:b/>
                <w:sz w:val="20"/>
                <w:lang w:val="en-US"/>
              </w:rPr>
            </w:pPr>
          </w:p>
        </w:tc>
        <w:tc>
          <w:tcPr>
            <w:tcW w:w="762" w:type="pct"/>
            <w:vAlign w:val="center"/>
          </w:tcPr>
          <w:p w:rsidR="00652482" w:rsidRPr="00E944A6" w:rsidRDefault="00652482" w:rsidP="00BB6F83">
            <w:pPr>
              <w:keepNext/>
              <w:jc w:val="center"/>
              <w:rPr>
                <w:rFonts w:ascii="Arial Narrow" w:hAnsi="Arial Narrow"/>
                <w:b/>
                <w:sz w:val="20"/>
                <w:lang w:val="en-US"/>
              </w:rPr>
            </w:pPr>
            <w:r w:rsidRPr="00E944A6">
              <w:rPr>
                <w:rFonts w:ascii="Arial Narrow" w:hAnsi="Arial Narrow"/>
                <w:b/>
                <w:sz w:val="20"/>
                <w:lang w:val="en-US"/>
              </w:rPr>
              <w:t>10 mg/kg Q2W</w:t>
            </w:r>
          </w:p>
          <w:p w:rsidR="00652482" w:rsidRPr="00E944A6" w:rsidRDefault="00652482" w:rsidP="00BB6F83">
            <w:pPr>
              <w:keepNext/>
              <w:jc w:val="center"/>
              <w:rPr>
                <w:rFonts w:ascii="Arial Narrow" w:hAnsi="Arial Narrow"/>
                <w:b/>
                <w:sz w:val="20"/>
                <w:lang w:val="en-US"/>
              </w:rPr>
            </w:pPr>
            <w:r w:rsidRPr="00E944A6">
              <w:rPr>
                <w:rFonts w:ascii="Arial Narrow" w:hAnsi="Arial Narrow"/>
                <w:b/>
                <w:sz w:val="20"/>
                <w:lang w:val="en-US"/>
              </w:rPr>
              <w:t>vs. ipilimumab</w:t>
            </w:r>
          </w:p>
        </w:tc>
        <w:tc>
          <w:tcPr>
            <w:tcW w:w="776" w:type="pct"/>
            <w:vAlign w:val="center"/>
          </w:tcPr>
          <w:p w:rsidR="00652482" w:rsidRPr="00E944A6" w:rsidRDefault="00652482" w:rsidP="00BB6F83">
            <w:pPr>
              <w:keepNext/>
              <w:jc w:val="center"/>
              <w:rPr>
                <w:rFonts w:ascii="Arial Narrow" w:hAnsi="Arial Narrow"/>
                <w:b/>
                <w:sz w:val="20"/>
                <w:lang w:val="en-US"/>
              </w:rPr>
            </w:pPr>
            <w:r w:rsidRPr="00E944A6">
              <w:rPr>
                <w:rFonts w:ascii="Arial Narrow" w:hAnsi="Arial Narrow"/>
                <w:b/>
                <w:sz w:val="20"/>
                <w:lang w:val="en-US"/>
              </w:rPr>
              <w:t>10 mg/kg Q3W</w:t>
            </w:r>
          </w:p>
          <w:p w:rsidR="00652482" w:rsidRPr="00E944A6" w:rsidRDefault="00652482" w:rsidP="00BB6F83">
            <w:pPr>
              <w:keepNext/>
              <w:jc w:val="center"/>
              <w:rPr>
                <w:rFonts w:ascii="Arial Narrow" w:hAnsi="Arial Narrow"/>
                <w:b/>
                <w:sz w:val="20"/>
                <w:lang w:val="en-US"/>
              </w:rPr>
            </w:pPr>
            <w:r w:rsidRPr="00E944A6">
              <w:rPr>
                <w:rFonts w:ascii="Arial Narrow" w:hAnsi="Arial Narrow"/>
                <w:b/>
                <w:sz w:val="20"/>
                <w:lang w:val="en-US"/>
              </w:rPr>
              <w:t>vs. ipilimumab</w:t>
            </w:r>
          </w:p>
        </w:tc>
      </w:tr>
      <w:tr w:rsidR="00652482" w:rsidRPr="00E2771E" w:rsidTr="00652482">
        <w:tc>
          <w:tcPr>
            <w:tcW w:w="1027" w:type="pct"/>
            <w:gridSpan w:val="2"/>
            <w:shd w:val="clear" w:color="auto" w:fill="auto"/>
            <w:vAlign w:val="center"/>
          </w:tcPr>
          <w:p w:rsidR="00652482" w:rsidRPr="00CD1209" w:rsidRDefault="00652482" w:rsidP="00BB6F83">
            <w:pPr>
              <w:rPr>
                <w:rFonts w:ascii="Arial Narrow" w:hAnsi="Arial Narrow"/>
                <w:sz w:val="19"/>
                <w:szCs w:val="19"/>
                <w:lang w:val="en-US"/>
              </w:rPr>
            </w:pPr>
            <w:r>
              <w:rPr>
                <w:rFonts w:ascii="Arial Narrow" w:hAnsi="Arial Narrow"/>
                <w:sz w:val="19"/>
                <w:szCs w:val="19"/>
                <w:lang w:val="en-US"/>
              </w:rPr>
              <w:t>Sponsor-</w:t>
            </w:r>
            <w:r w:rsidRPr="00CD1209">
              <w:rPr>
                <w:rFonts w:ascii="Arial Narrow" w:hAnsi="Arial Narrow"/>
                <w:sz w:val="19"/>
                <w:szCs w:val="19"/>
                <w:lang w:val="en-US"/>
              </w:rPr>
              <w:t>defined events of clinical interest</w:t>
            </w:r>
          </w:p>
        </w:tc>
        <w:tc>
          <w:tcPr>
            <w:tcW w:w="838" w:type="pct"/>
            <w:gridSpan w:val="2"/>
            <w:vAlign w:val="center"/>
          </w:tcPr>
          <w:p w:rsidR="00652482" w:rsidRPr="00CD1209" w:rsidRDefault="00652482" w:rsidP="00BB6F83">
            <w:pPr>
              <w:jc w:val="center"/>
              <w:rPr>
                <w:rFonts w:ascii="Arial Narrow" w:hAnsi="Arial Narrow"/>
                <w:sz w:val="19"/>
                <w:szCs w:val="19"/>
                <w:lang w:val="en-US"/>
              </w:rPr>
            </w:pPr>
            <w:r w:rsidRPr="00CD1209">
              <w:rPr>
                <w:rFonts w:ascii="Arial Narrow" w:hAnsi="Arial Narrow"/>
                <w:sz w:val="19"/>
                <w:szCs w:val="19"/>
                <w:lang w:val="en-US"/>
              </w:rPr>
              <w:t>126 (45.3%)</w:t>
            </w:r>
          </w:p>
        </w:tc>
        <w:tc>
          <w:tcPr>
            <w:tcW w:w="841" w:type="pct"/>
            <w:gridSpan w:val="2"/>
            <w:vAlign w:val="center"/>
          </w:tcPr>
          <w:p w:rsidR="00652482" w:rsidRPr="00CD1209" w:rsidRDefault="00652482" w:rsidP="00BB6F83">
            <w:pPr>
              <w:jc w:val="center"/>
              <w:rPr>
                <w:rFonts w:ascii="Arial Narrow" w:hAnsi="Arial Narrow"/>
                <w:sz w:val="19"/>
                <w:szCs w:val="19"/>
                <w:lang w:val="en-US"/>
              </w:rPr>
            </w:pPr>
            <w:r w:rsidRPr="00CD1209">
              <w:rPr>
                <w:rFonts w:ascii="Arial Narrow" w:hAnsi="Arial Narrow"/>
                <w:sz w:val="19"/>
                <w:szCs w:val="19"/>
                <w:lang w:val="en-US"/>
              </w:rPr>
              <w:t>122 (44.0%</w:t>
            </w:r>
            <w:r>
              <w:rPr>
                <w:rFonts w:ascii="Arial Narrow" w:hAnsi="Arial Narrow"/>
                <w:sz w:val="19"/>
                <w:szCs w:val="19"/>
                <w:lang w:val="en-US"/>
              </w:rPr>
              <w:t>)</w:t>
            </w:r>
          </w:p>
        </w:tc>
        <w:tc>
          <w:tcPr>
            <w:tcW w:w="756" w:type="pct"/>
            <w:gridSpan w:val="2"/>
            <w:vAlign w:val="center"/>
          </w:tcPr>
          <w:p w:rsidR="00652482" w:rsidRPr="00CD1209" w:rsidRDefault="00652482" w:rsidP="00BB6F83">
            <w:pPr>
              <w:jc w:val="center"/>
              <w:rPr>
                <w:rFonts w:ascii="Arial Narrow" w:hAnsi="Arial Narrow"/>
                <w:sz w:val="19"/>
                <w:szCs w:val="19"/>
                <w:lang w:val="en-US"/>
              </w:rPr>
            </w:pPr>
            <w:r w:rsidRPr="00CD1209">
              <w:rPr>
                <w:rFonts w:ascii="Arial Narrow" w:hAnsi="Arial Narrow"/>
                <w:sz w:val="19"/>
                <w:szCs w:val="19"/>
                <w:lang w:val="en-US"/>
              </w:rPr>
              <w:t>127 (49.6%)</w:t>
            </w:r>
          </w:p>
        </w:tc>
        <w:tc>
          <w:tcPr>
            <w:tcW w:w="762" w:type="pct"/>
            <w:vAlign w:val="center"/>
          </w:tcPr>
          <w:p w:rsidR="00652482" w:rsidRPr="00CD1209" w:rsidRDefault="00652482" w:rsidP="00BB6F83">
            <w:pPr>
              <w:jc w:val="center"/>
              <w:rPr>
                <w:rFonts w:ascii="Arial Narrow" w:hAnsi="Arial Narrow"/>
                <w:sz w:val="19"/>
                <w:szCs w:val="19"/>
                <w:lang w:val="en-US"/>
              </w:rPr>
            </w:pPr>
            <w:r w:rsidRPr="00CD1209">
              <w:rPr>
                <w:rFonts w:ascii="Arial Narrow" w:hAnsi="Arial Narrow"/>
                <w:sz w:val="19"/>
                <w:szCs w:val="19"/>
                <w:lang w:val="en-US"/>
              </w:rPr>
              <w:t>-9.9 (-21.7, 2.3)</w:t>
            </w:r>
          </w:p>
        </w:tc>
        <w:tc>
          <w:tcPr>
            <w:tcW w:w="776" w:type="pct"/>
            <w:vAlign w:val="center"/>
          </w:tcPr>
          <w:p w:rsidR="00652482" w:rsidRPr="00CD1209" w:rsidRDefault="00652482" w:rsidP="00BB6F83">
            <w:pPr>
              <w:jc w:val="center"/>
              <w:rPr>
                <w:rFonts w:ascii="Arial Narrow" w:hAnsi="Arial Narrow"/>
                <w:sz w:val="19"/>
                <w:szCs w:val="19"/>
                <w:lang w:val="en-US"/>
              </w:rPr>
            </w:pPr>
            <w:r w:rsidRPr="00CD1209">
              <w:rPr>
                <w:rFonts w:ascii="Arial Narrow" w:hAnsi="Arial Narrow"/>
                <w:sz w:val="19"/>
                <w:szCs w:val="19"/>
                <w:lang w:val="en-US"/>
              </w:rPr>
              <w:t>-14.1 (-25.4, -2.4)</w:t>
            </w:r>
          </w:p>
        </w:tc>
      </w:tr>
    </w:tbl>
    <w:p w:rsidR="00455BA9" w:rsidRPr="007D2827" w:rsidRDefault="00455BA9" w:rsidP="00455BA9">
      <w:pPr>
        <w:tabs>
          <w:tab w:val="left" w:pos="851"/>
        </w:tabs>
        <w:ind w:left="851" w:hanging="142"/>
        <w:rPr>
          <w:rFonts w:ascii="Arial Narrow" w:hAnsi="Arial Narrow"/>
          <w:sz w:val="18"/>
        </w:rPr>
      </w:pPr>
      <w:r>
        <w:rPr>
          <w:rFonts w:ascii="Arial Narrow" w:hAnsi="Arial Narrow"/>
          <w:sz w:val="20"/>
          <w:vertAlign w:val="superscript"/>
          <w:lang w:val="en-US"/>
        </w:rPr>
        <w:t>a</w:t>
      </w:r>
      <w:r>
        <w:rPr>
          <w:rFonts w:ascii="Arial Narrow" w:hAnsi="Arial Narrow"/>
          <w:sz w:val="20"/>
          <w:lang w:val="en-US"/>
        </w:rPr>
        <w:tab/>
      </w:r>
      <w:r w:rsidRPr="00B32CFF">
        <w:rPr>
          <w:rFonts w:ascii="Arial Narrow" w:hAnsi="Arial Narrow"/>
          <w:sz w:val="18"/>
          <w:szCs w:val="18"/>
          <w:lang w:val="en-US"/>
        </w:rPr>
        <w:t>Based on Miettinen &amp; Nurminen method stratified by line of therapy (1</w:t>
      </w:r>
      <w:r w:rsidRPr="00B32CFF">
        <w:rPr>
          <w:rFonts w:ascii="Arial Narrow" w:hAnsi="Arial Narrow"/>
          <w:sz w:val="18"/>
          <w:szCs w:val="18"/>
          <w:vertAlign w:val="superscript"/>
          <w:lang w:val="en-US"/>
        </w:rPr>
        <w:t>st</w:t>
      </w:r>
      <w:r w:rsidRPr="00B32CFF">
        <w:rPr>
          <w:rFonts w:ascii="Arial Narrow" w:hAnsi="Arial Narrow"/>
          <w:sz w:val="18"/>
          <w:szCs w:val="18"/>
          <w:lang w:val="en-US"/>
        </w:rPr>
        <w:t xml:space="preserve"> vs. 2</w:t>
      </w:r>
      <w:r w:rsidRPr="00B32CFF">
        <w:rPr>
          <w:rFonts w:ascii="Arial Narrow" w:hAnsi="Arial Narrow"/>
          <w:sz w:val="18"/>
          <w:szCs w:val="18"/>
          <w:vertAlign w:val="superscript"/>
          <w:lang w:val="en-US"/>
        </w:rPr>
        <w:t>nd</w:t>
      </w:r>
      <w:r w:rsidRPr="00B32CFF">
        <w:rPr>
          <w:rFonts w:ascii="Arial Narrow" w:hAnsi="Arial Narrow"/>
          <w:sz w:val="18"/>
          <w:szCs w:val="18"/>
          <w:lang w:val="en-US"/>
        </w:rPr>
        <w:t>), PD-L1 status (high positive vs. low positive) and ECOG (0 vs. 1).</w:t>
      </w:r>
    </w:p>
    <w:p w:rsidR="004F46EF" w:rsidRPr="00B95329" w:rsidRDefault="00455BA9" w:rsidP="004F46EF">
      <w:pPr>
        <w:tabs>
          <w:tab w:val="left" w:pos="851"/>
        </w:tabs>
        <w:ind w:left="851" w:hanging="142"/>
        <w:rPr>
          <w:rFonts w:ascii="Arial Narrow" w:hAnsi="Arial Narrow"/>
          <w:sz w:val="18"/>
        </w:rPr>
      </w:pPr>
      <w:r>
        <w:rPr>
          <w:rFonts w:ascii="Arial Narrow" w:hAnsi="Arial Narrow"/>
          <w:sz w:val="18"/>
          <w:vertAlign w:val="superscript"/>
        </w:rPr>
        <w:t>b</w:t>
      </w:r>
      <w:r w:rsidR="004F46EF">
        <w:rPr>
          <w:rFonts w:ascii="Arial Narrow" w:hAnsi="Arial Narrow"/>
          <w:sz w:val="18"/>
        </w:rPr>
        <w:tab/>
        <w:t>The interim report states that irRC differs from RECIST 1.1 in that progression of disease generally requires confirmation at least 4 weeks after an initial assessment (unless the patient has rapid or symptomatic disease progression based on clinical judgment and is unsuitable to wait for confirmation of progression).  In addition, new lesions are counted into the total disease burden in irRC and do not automatically trigger an assessment of disease progression as in RECIST 1.1.</w:t>
      </w:r>
    </w:p>
    <w:p w:rsidR="004F46EF" w:rsidRDefault="004F46EF" w:rsidP="004F46EF">
      <w:pPr>
        <w:ind w:left="709"/>
        <w:rPr>
          <w:rFonts w:ascii="Arial Narrow" w:hAnsi="Arial Narrow"/>
          <w:sz w:val="18"/>
        </w:rPr>
      </w:pPr>
      <w:r>
        <w:rPr>
          <w:rFonts w:ascii="Arial Narrow" w:hAnsi="Arial Narrow"/>
          <w:sz w:val="18"/>
        </w:rPr>
        <w:t xml:space="preserve">IRO=independent radiologist plus oncologist’s review (defined in the submission for KN-001 as integrated radiology and oncology assessment, which is the same as independent central review reported in KN-001); irRC=immune-related response criteria; NR=not reached; </w:t>
      </w:r>
      <w:r w:rsidR="00455BA9">
        <w:rPr>
          <w:rFonts w:ascii="Arial Narrow" w:hAnsi="Arial Narrow"/>
          <w:sz w:val="18"/>
        </w:rPr>
        <w:t xml:space="preserve">ORR=overall response rate; </w:t>
      </w:r>
      <w:r>
        <w:rPr>
          <w:rFonts w:ascii="Arial Narrow" w:hAnsi="Arial Narrow"/>
          <w:sz w:val="18"/>
        </w:rPr>
        <w:t>OS=overall survival</w:t>
      </w:r>
      <w:r w:rsidR="00455BA9">
        <w:rPr>
          <w:rFonts w:ascii="Arial Narrow" w:hAnsi="Arial Narrow"/>
          <w:sz w:val="18"/>
        </w:rPr>
        <w:t>; PFS=progression-free survival</w:t>
      </w:r>
    </w:p>
    <w:p w:rsidR="000E29A7" w:rsidRPr="00DE4F22" w:rsidRDefault="004F46EF" w:rsidP="00DE4F22">
      <w:pPr>
        <w:ind w:left="709"/>
        <w:rPr>
          <w:rFonts w:ascii="Arial Narrow" w:hAnsi="Arial Narrow"/>
          <w:sz w:val="18"/>
          <w:szCs w:val="18"/>
        </w:rPr>
      </w:pPr>
      <w:r w:rsidRPr="008A40DC">
        <w:rPr>
          <w:rFonts w:ascii="Arial Narrow" w:hAnsi="Arial Narrow"/>
          <w:sz w:val="18"/>
        </w:rPr>
        <w:t xml:space="preserve">Source: </w:t>
      </w:r>
      <w:r w:rsidR="00DE4F22">
        <w:rPr>
          <w:rFonts w:ascii="Arial Narrow" w:hAnsi="Arial Narrow"/>
          <w:sz w:val="18"/>
        </w:rPr>
        <w:t xml:space="preserve">Table 3, p13; Table 1, p15; Table </w:t>
      </w:r>
      <w:r w:rsidR="00DE4F22" w:rsidRPr="00A12DA1">
        <w:rPr>
          <w:rFonts w:ascii="Arial Narrow" w:hAnsi="Arial Narrow"/>
          <w:sz w:val="18"/>
        </w:rPr>
        <w:t>5, p17</w:t>
      </w:r>
      <w:r w:rsidR="00DE4F22">
        <w:rPr>
          <w:rFonts w:ascii="Arial Narrow" w:hAnsi="Arial Narrow"/>
          <w:sz w:val="18"/>
        </w:rPr>
        <w:t>;</w:t>
      </w:r>
      <w:r w:rsidR="00DE4F22" w:rsidRPr="00DE4F22">
        <w:rPr>
          <w:rFonts w:ascii="Arial Narrow" w:hAnsi="Arial Narrow"/>
          <w:sz w:val="18"/>
        </w:rPr>
        <w:t xml:space="preserve"> </w:t>
      </w:r>
      <w:r w:rsidR="00DE4F22">
        <w:rPr>
          <w:rFonts w:ascii="Arial Narrow" w:hAnsi="Arial Narrow"/>
          <w:sz w:val="18"/>
        </w:rPr>
        <w:t>Table 7, p29-30 of the interim analysis document</w:t>
      </w:r>
    </w:p>
    <w:p w:rsidR="00ED4586" w:rsidRPr="007F1017" w:rsidRDefault="00ED4586" w:rsidP="00ED4586">
      <w:pPr>
        <w:pStyle w:val="ListParagraph"/>
        <w:ind w:left="0"/>
        <w:rPr>
          <w:szCs w:val="22"/>
        </w:rPr>
      </w:pPr>
    </w:p>
    <w:p w:rsidR="00ED4586" w:rsidRDefault="00ED4586" w:rsidP="00ED4586">
      <w:pPr>
        <w:pStyle w:val="ListParagraph"/>
        <w:widowControl/>
        <w:numPr>
          <w:ilvl w:val="1"/>
          <w:numId w:val="1"/>
        </w:numPr>
        <w:rPr>
          <w:szCs w:val="22"/>
        </w:rPr>
      </w:pPr>
      <w:r>
        <w:rPr>
          <w:szCs w:val="22"/>
        </w:rPr>
        <w:t>On the basis of the early KN-006 data</w:t>
      </w:r>
      <w:r w:rsidRPr="00ED4586">
        <w:rPr>
          <w:szCs w:val="22"/>
        </w:rPr>
        <w:t xml:space="preserve"> </w:t>
      </w:r>
      <w:r>
        <w:rPr>
          <w:szCs w:val="22"/>
        </w:rPr>
        <w:t>with a median follow-up of approximately eight months</w:t>
      </w:r>
      <w:r w:rsidRPr="00BB4AC4">
        <w:rPr>
          <w:szCs w:val="22"/>
        </w:rPr>
        <w:t xml:space="preserve">, </w:t>
      </w:r>
      <w:r>
        <w:rPr>
          <w:szCs w:val="22"/>
        </w:rPr>
        <w:t>for every 100 patients treated with pembrolizumab compared with ipilimumab:</w:t>
      </w:r>
    </w:p>
    <w:p w:rsidR="00AE6998" w:rsidRDefault="00AE6998" w:rsidP="00ED4586">
      <w:pPr>
        <w:pStyle w:val="ListParagraph"/>
        <w:numPr>
          <w:ilvl w:val="0"/>
          <w:numId w:val="24"/>
        </w:numPr>
        <w:ind w:left="993" w:hanging="284"/>
        <w:rPr>
          <w:szCs w:val="22"/>
        </w:rPr>
      </w:pPr>
      <w:r>
        <w:rPr>
          <w:szCs w:val="22"/>
        </w:rPr>
        <w:t>10-13 more patients will be alive at 6 months</w:t>
      </w:r>
    </w:p>
    <w:p w:rsidR="00AE6998" w:rsidRDefault="00B46920" w:rsidP="00ED4586">
      <w:pPr>
        <w:pStyle w:val="ListParagraph"/>
        <w:numPr>
          <w:ilvl w:val="0"/>
          <w:numId w:val="24"/>
        </w:numPr>
        <w:ind w:left="993" w:hanging="284"/>
        <w:rPr>
          <w:szCs w:val="22"/>
        </w:rPr>
      </w:pPr>
      <w:r>
        <w:rPr>
          <w:szCs w:val="22"/>
        </w:rPr>
        <w:t>20-</w:t>
      </w:r>
      <w:r w:rsidR="00AE6998">
        <w:rPr>
          <w:szCs w:val="22"/>
        </w:rPr>
        <w:t>21 more patients will not have progressed at 6 months</w:t>
      </w:r>
    </w:p>
    <w:p w:rsidR="00AE6998" w:rsidRDefault="00AE6998" w:rsidP="00AE6998">
      <w:pPr>
        <w:pStyle w:val="ListParagraph"/>
        <w:numPr>
          <w:ilvl w:val="0"/>
          <w:numId w:val="24"/>
        </w:numPr>
        <w:ind w:left="993" w:hanging="284"/>
        <w:rPr>
          <w:szCs w:val="22"/>
        </w:rPr>
      </w:pPr>
      <w:r>
        <w:rPr>
          <w:szCs w:val="22"/>
        </w:rPr>
        <w:t>16-17 more patients will have experienced a response</w:t>
      </w:r>
    </w:p>
    <w:p w:rsidR="00ED4586" w:rsidRPr="00F77844" w:rsidRDefault="00AE6998" w:rsidP="00ED4586">
      <w:pPr>
        <w:pStyle w:val="ListParagraph"/>
        <w:numPr>
          <w:ilvl w:val="0"/>
          <w:numId w:val="24"/>
        </w:numPr>
        <w:ind w:left="993" w:hanging="284"/>
        <w:rPr>
          <w:szCs w:val="22"/>
        </w:rPr>
      </w:pPr>
      <w:r>
        <w:rPr>
          <w:szCs w:val="22"/>
        </w:rPr>
        <w:t>10-14 fewer patients will have a sponsor-defined event of clinical interest</w:t>
      </w:r>
      <w:r w:rsidR="00ED4586">
        <w:t>.</w:t>
      </w:r>
    </w:p>
    <w:p w:rsidR="00ED4586" w:rsidRPr="00F77844" w:rsidRDefault="00ED4586" w:rsidP="00ED4586">
      <w:pPr>
        <w:rPr>
          <w:rStyle w:val="CommentReference"/>
          <w:rFonts w:ascii="Arial" w:hAnsi="Arial"/>
          <w:b w:val="0"/>
          <w:sz w:val="22"/>
          <w:szCs w:val="22"/>
        </w:rPr>
      </w:pPr>
    </w:p>
    <w:p w:rsidR="00CA498A" w:rsidRDefault="00CA498A">
      <w:pPr>
        <w:widowControl/>
        <w:jc w:val="left"/>
        <w:rPr>
          <w:b/>
          <w:i/>
        </w:rPr>
      </w:pPr>
      <w:r>
        <w:rPr>
          <w:i/>
        </w:rPr>
        <w:br w:type="page"/>
      </w:r>
    </w:p>
    <w:p w:rsidR="00560A24" w:rsidRDefault="00B60939" w:rsidP="00560A24">
      <w:pPr>
        <w:pStyle w:val="Heading2"/>
        <w:rPr>
          <w:i/>
        </w:rPr>
      </w:pPr>
      <w:r w:rsidRPr="002C2775">
        <w:rPr>
          <w:i/>
        </w:rPr>
        <w:lastRenderedPageBreak/>
        <w:t>Clinical claim</w:t>
      </w:r>
      <w:bookmarkEnd w:id="13"/>
    </w:p>
    <w:p w:rsidR="00560A24" w:rsidRPr="00560A24" w:rsidRDefault="00560A24" w:rsidP="00560A24"/>
    <w:p w:rsidR="00560A24" w:rsidRDefault="00560A24" w:rsidP="00560A24">
      <w:pPr>
        <w:numPr>
          <w:ilvl w:val="1"/>
          <w:numId w:val="1"/>
        </w:numPr>
        <w:contextualSpacing/>
        <w:rPr>
          <w:szCs w:val="22"/>
        </w:rPr>
      </w:pPr>
      <w:r>
        <w:rPr>
          <w:szCs w:val="22"/>
        </w:rPr>
        <w:t xml:space="preserve">The interim analysis </w:t>
      </w:r>
      <w:r w:rsidR="00956D27">
        <w:rPr>
          <w:szCs w:val="22"/>
        </w:rPr>
        <w:t>report of</w:t>
      </w:r>
      <w:r w:rsidR="00DE495E">
        <w:rPr>
          <w:szCs w:val="22"/>
        </w:rPr>
        <w:t xml:space="preserve"> KN-006 </w:t>
      </w:r>
      <w:r>
        <w:rPr>
          <w:szCs w:val="22"/>
        </w:rPr>
        <w:t>stated that the data demonstrate that pembrolizumab improves PFS and OS of ipilimumab-naïve patients compared to ipilimumab, and that pembrolizumab has a favourable safety profile on major categories of adverse events in comparison to ipilimumab.</w:t>
      </w:r>
    </w:p>
    <w:p w:rsidR="00560A24" w:rsidRDefault="00560A24" w:rsidP="00560A24">
      <w:pPr>
        <w:contextualSpacing/>
        <w:rPr>
          <w:szCs w:val="22"/>
        </w:rPr>
      </w:pPr>
    </w:p>
    <w:p w:rsidR="00560A24" w:rsidRPr="00071327" w:rsidRDefault="00560A24" w:rsidP="00560A24">
      <w:pPr>
        <w:numPr>
          <w:ilvl w:val="1"/>
          <w:numId w:val="1"/>
        </w:numPr>
        <w:contextualSpacing/>
        <w:rPr>
          <w:szCs w:val="22"/>
        </w:rPr>
      </w:pPr>
      <w:r w:rsidRPr="00071327">
        <w:rPr>
          <w:szCs w:val="22"/>
        </w:rPr>
        <w:t>Although the interim results of KN-006 provide comparative evidence versus ipilimumab, and there is evidence of statistically significant improvement in PFS for pembrolizumab-treated patients, the following concerns remained:</w:t>
      </w:r>
    </w:p>
    <w:p w:rsidR="00DE495E" w:rsidRPr="00071327" w:rsidRDefault="00560A24" w:rsidP="00560A24">
      <w:pPr>
        <w:pStyle w:val="ListParagraph"/>
        <w:numPr>
          <w:ilvl w:val="0"/>
          <w:numId w:val="24"/>
        </w:numPr>
        <w:ind w:left="993" w:hanging="284"/>
        <w:rPr>
          <w:szCs w:val="22"/>
        </w:rPr>
      </w:pPr>
      <w:r w:rsidRPr="00071327">
        <w:rPr>
          <w:szCs w:val="22"/>
        </w:rPr>
        <w:t>KN-006 used two regimens of the 10 mg/kg dose of pembrolizumab while registration in Australia has only been sought for the 2 mg/kg dose.  Evidence provided in the submission and the PSCR did not adequately demonstrate the equivalence of the 2 mg/kg and 10 mg/kg doses, particularly for safety</w:t>
      </w:r>
      <w:r w:rsidR="00956D27">
        <w:rPr>
          <w:szCs w:val="22"/>
        </w:rPr>
        <w:t>.</w:t>
      </w:r>
    </w:p>
    <w:p w:rsidR="00701556" w:rsidRPr="00071327" w:rsidRDefault="00560A24" w:rsidP="00560A24">
      <w:pPr>
        <w:pStyle w:val="ListParagraph"/>
        <w:numPr>
          <w:ilvl w:val="0"/>
          <w:numId w:val="24"/>
        </w:numPr>
        <w:ind w:left="993" w:hanging="284"/>
        <w:rPr>
          <w:szCs w:val="22"/>
        </w:rPr>
      </w:pPr>
      <w:r w:rsidRPr="00071327">
        <w:rPr>
          <w:szCs w:val="22"/>
        </w:rPr>
        <w:t>Overall survival data had not yet reached maturity and no statistically significant difference was observed at the trial’s pre-specified level for an interim analysis.</w:t>
      </w:r>
    </w:p>
    <w:p w:rsidR="00071327" w:rsidRPr="00701556" w:rsidRDefault="00560A24" w:rsidP="00701556">
      <w:pPr>
        <w:pStyle w:val="ListParagraph"/>
        <w:numPr>
          <w:ilvl w:val="0"/>
          <w:numId w:val="24"/>
        </w:numPr>
        <w:ind w:left="993" w:hanging="284"/>
        <w:rPr>
          <w:szCs w:val="22"/>
        </w:rPr>
      </w:pPr>
      <w:r w:rsidRPr="00701556">
        <w:rPr>
          <w:szCs w:val="22"/>
        </w:rPr>
        <w:t>Given the recent availability of the KN-006 data, the comparative results versus ipilimumab were not yet applied in an economic evaluation</w:t>
      </w:r>
      <w:r w:rsidR="00071327" w:rsidRPr="00701556">
        <w:rPr>
          <w:szCs w:val="22"/>
        </w:rPr>
        <w:t>.</w:t>
      </w:r>
    </w:p>
    <w:p w:rsidR="00B60939" w:rsidRPr="00375B7E" w:rsidRDefault="00B60939" w:rsidP="00956D27">
      <w:pPr>
        <w:rPr>
          <w:i/>
          <w:szCs w:val="22"/>
        </w:rPr>
      </w:pPr>
    </w:p>
    <w:p w:rsidR="00655B06" w:rsidRPr="00375B7E" w:rsidRDefault="00375B7E" w:rsidP="00655B06">
      <w:pPr>
        <w:pStyle w:val="ListParagraph"/>
        <w:widowControl/>
        <w:numPr>
          <w:ilvl w:val="1"/>
          <w:numId w:val="1"/>
        </w:numPr>
        <w:rPr>
          <w:szCs w:val="22"/>
        </w:rPr>
      </w:pPr>
      <w:r w:rsidRPr="00375B7E">
        <w:rPr>
          <w:szCs w:val="22"/>
        </w:rPr>
        <w:t>The PBAC considered that the claim of superior comparative effectiveness of pembrolizumab over ipilimumab was probably reasonable, but noted that the extent of incremental effectiveness and duration of benefit could not be estimated with confidence given the limitations of the current evidence base.</w:t>
      </w:r>
    </w:p>
    <w:p w:rsidR="00655B06" w:rsidRPr="00375B7E" w:rsidRDefault="00655B06" w:rsidP="00655B06">
      <w:pPr>
        <w:rPr>
          <w:szCs w:val="22"/>
        </w:rPr>
      </w:pPr>
    </w:p>
    <w:p w:rsidR="00655B06" w:rsidRPr="00375B7E" w:rsidRDefault="00375B7E" w:rsidP="00655B06">
      <w:pPr>
        <w:pStyle w:val="ListParagraph"/>
        <w:widowControl/>
        <w:numPr>
          <w:ilvl w:val="1"/>
          <w:numId w:val="1"/>
        </w:numPr>
        <w:rPr>
          <w:szCs w:val="22"/>
        </w:rPr>
      </w:pPr>
      <w:r w:rsidRPr="00375B7E">
        <w:rPr>
          <w:szCs w:val="22"/>
        </w:rPr>
        <w:t>The PBAC concluded that pembrolizumab is no worse than ipilimumab in terms of safety, and possibly less toxic.</w:t>
      </w:r>
    </w:p>
    <w:p w:rsidR="00655B06" w:rsidRPr="00BB4AC4" w:rsidRDefault="00655B06" w:rsidP="00630F65">
      <w:pPr>
        <w:rPr>
          <w:szCs w:val="22"/>
        </w:rPr>
      </w:pPr>
    </w:p>
    <w:p w:rsidR="00655B06" w:rsidRPr="00655B06" w:rsidRDefault="00655B06" w:rsidP="00655B06">
      <w:pPr>
        <w:pStyle w:val="PBACHeading1"/>
        <w:numPr>
          <w:ilvl w:val="0"/>
          <w:numId w:val="0"/>
        </w:numPr>
        <w:ind w:firstLine="720"/>
        <w:rPr>
          <w:b w:val="0"/>
          <w:i/>
        </w:rPr>
      </w:pPr>
      <w:bookmarkStart w:id="14" w:name="_Toc409607371"/>
      <w:r w:rsidRPr="00655B06">
        <w:rPr>
          <w:b w:val="0"/>
          <w:i/>
        </w:rPr>
        <w:t>For more detail on PBAC’s view, see section 7 “PBAC outcome”</w:t>
      </w:r>
    </w:p>
    <w:p w:rsidR="00E0791E" w:rsidRPr="00956D27" w:rsidRDefault="00E0791E" w:rsidP="002C2775">
      <w:pPr>
        <w:pStyle w:val="Heading2"/>
        <w:rPr>
          <w:b w:val="0"/>
        </w:rPr>
      </w:pPr>
    </w:p>
    <w:p w:rsidR="00B60939" w:rsidRPr="002C2775" w:rsidRDefault="00B60939" w:rsidP="002C2775">
      <w:pPr>
        <w:pStyle w:val="Heading2"/>
        <w:rPr>
          <w:i/>
        </w:rPr>
      </w:pPr>
      <w:r w:rsidRPr="002C2775">
        <w:rPr>
          <w:i/>
        </w:rPr>
        <w:t>Economic analysis</w:t>
      </w:r>
      <w:bookmarkEnd w:id="14"/>
    </w:p>
    <w:p w:rsidR="00B60939" w:rsidRDefault="00B60939" w:rsidP="00B60939">
      <w:pPr>
        <w:ind w:left="720" w:hanging="720"/>
        <w:rPr>
          <w:szCs w:val="22"/>
        </w:rPr>
      </w:pPr>
    </w:p>
    <w:p w:rsidR="0035277E" w:rsidRPr="00956D27" w:rsidRDefault="0035277E" w:rsidP="00B60939">
      <w:pPr>
        <w:ind w:left="720" w:hanging="720"/>
        <w:rPr>
          <w:i/>
          <w:szCs w:val="22"/>
          <w:u w:val="single"/>
        </w:rPr>
      </w:pPr>
      <w:r w:rsidRPr="00956D27">
        <w:rPr>
          <w:i/>
          <w:szCs w:val="22"/>
          <w:u w:val="single"/>
        </w:rPr>
        <w:t>Original submission (5 November 2014)</w:t>
      </w:r>
    </w:p>
    <w:p w:rsidR="0035277E" w:rsidRPr="00375B7E" w:rsidRDefault="0035277E" w:rsidP="00B60939">
      <w:pPr>
        <w:ind w:left="720" w:hanging="720"/>
        <w:rPr>
          <w:szCs w:val="22"/>
        </w:rPr>
      </w:pPr>
    </w:p>
    <w:p w:rsidR="00630F65" w:rsidRPr="00BB4AC4" w:rsidRDefault="00630F65" w:rsidP="005C1AC0">
      <w:pPr>
        <w:pStyle w:val="ListParagraph"/>
        <w:widowControl/>
        <w:numPr>
          <w:ilvl w:val="1"/>
          <w:numId w:val="1"/>
        </w:numPr>
        <w:rPr>
          <w:szCs w:val="22"/>
        </w:rPr>
      </w:pPr>
      <w:r>
        <w:t>The submission presented</w:t>
      </w:r>
      <w:r w:rsidR="00D601BD">
        <w:t xml:space="preserve"> a modelled cost-</w:t>
      </w:r>
      <w:r w:rsidRPr="000640CC">
        <w:t>utility analysis.</w:t>
      </w:r>
      <w:r>
        <w:t xml:space="preserve">  </w:t>
      </w:r>
      <w:r w:rsidRPr="00BB4AC4">
        <w:t>The clinical evidence</w:t>
      </w:r>
      <w:r w:rsidR="00071327">
        <w:t xml:space="preserve"> </w:t>
      </w:r>
      <w:r w:rsidRPr="00BB4AC4">
        <w:t>presented</w:t>
      </w:r>
      <w:r w:rsidR="00071327">
        <w:t xml:space="preserve"> in </w:t>
      </w:r>
      <w:r w:rsidRPr="00BB4AC4">
        <w:t xml:space="preserve">the submission </w:t>
      </w:r>
      <w:r w:rsidR="00071327">
        <w:t xml:space="preserve">was used in the economic model despite </w:t>
      </w:r>
      <w:r w:rsidR="007A5E56">
        <w:t xml:space="preserve">its </w:t>
      </w:r>
      <w:r w:rsidR="00071327">
        <w:t>many limitations</w:t>
      </w:r>
      <w:r w:rsidR="007A5E56">
        <w:t>,</w:t>
      </w:r>
      <w:r w:rsidR="00071327">
        <w:t xml:space="preserve"> which </w:t>
      </w:r>
      <w:r w:rsidR="00D601BD">
        <w:t>did not support a cost-</w:t>
      </w:r>
      <w:r w:rsidRPr="00BB4AC4">
        <w:t>utility analysis.</w:t>
      </w:r>
    </w:p>
    <w:p w:rsidR="00630F65" w:rsidRDefault="00630F65" w:rsidP="00630F65">
      <w:pPr>
        <w:widowControl/>
        <w:rPr>
          <w:szCs w:val="22"/>
        </w:rPr>
      </w:pPr>
    </w:p>
    <w:p w:rsidR="00CA498A" w:rsidRDefault="00CA498A">
      <w:pPr>
        <w:widowControl/>
        <w:jc w:val="left"/>
        <w:rPr>
          <w:rStyle w:val="CommentReference"/>
        </w:rPr>
      </w:pPr>
      <w:r>
        <w:rPr>
          <w:rStyle w:val="CommentReference"/>
        </w:rPr>
        <w:br w:type="page"/>
      </w:r>
    </w:p>
    <w:p w:rsidR="00630F65" w:rsidRDefault="00630F65" w:rsidP="00630F65">
      <w:pPr>
        <w:ind w:firstLine="720"/>
        <w:rPr>
          <w:rStyle w:val="CommentReference"/>
        </w:rPr>
      </w:pPr>
      <w:r w:rsidRPr="00A56B6A">
        <w:rPr>
          <w:rStyle w:val="CommentReference"/>
        </w:rPr>
        <w:lastRenderedPageBreak/>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components"/>
      </w:tblPr>
      <w:tblGrid>
        <w:gridCol w:w="2552"/>
        <w:gridCol w:w="5793"/>
      </w:tblGrid>
      <w:tr w:rsidR="00630F65" w:rsidRPr="00E2771E" w:rsidTr="00C638E9">
        <w:trPr>
          <w:tblHeader/>
        </w:trPr>
        <w:tc>
          <w:tcPr>
            <w:tcW w:w="1529" w:type="pct"/>
            <w:shd w:val="clear" w:color="auto" w:fill="auto"/>
            <w:vAlign w:val="center"/>
          </w:tcPr>
          <w:p w:rsidR="00630F65" w:rsidRPr="00E2771E" w:rsidRDefault="00630F65" w:rsidP="00C638E9">
            <w:pPr>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630F65" w:rsidRPr="00E2771E" w:rsidRDefault="00630F65" w:rsidP="00C638E9">
            <w:pPr>
              <w:jc w:val="center"/>
              <w:rPr>
                <w:rFonts w:ascii="Arial Narrow" w:hAnsi="Arial Narrow"/>
                <w:b/>
                <w:sz w:val="20"/>
              </w:rPr>
            </w:pPr>
            <w:r w:rsidRPr="00E2771E">
              <w:rPr>
                <w:rFonts w:ascii="Arial Narrow" w:hAnsi="Arial Narrow"/>
                <w:b/>
                <w:sz w:val="20"/>
              </w:rPr>
              <w:t>Summary</w:t>
            </w:r>
          </w:p>
        </w:tc>
      </w:tr>
      <w:tr w:rsidR="00630F65" w:rsidRPr="00E2771E" w:rsidTr="00C638E9">
        <w:tc>
          <w:tcPr>
            <w:tcW w:w="1529" w:type="pct"/>
            <w:shd w:val="clear" w:color="auto" w:fill="auto"/>
            <w:vAlign w:val="center"/>
          </w:tcPr>
          <w:p w:rsidR="00630F65" w:rsidRPr="00E2771E" w:rsidRDefault="00630F65" w:rsidP="00C638E9">
            <w:pPr>
              <w:jc w:val="left"/>
              <w:rPr>
                <w:rFonts w:ascii="Arial Narrow" w:hAnsi="Arial Narrow"/>
                <w:sz w:val="20"/>
              </w:rPr>
            </w:pPr>
            <w:r w:rsidRPr="00E2771E">
              <w:rPr>
                <w:rFonts w:ascii="Arial Narrow" w:hAnsi="Arial Narrow"/>
                <w:sz w:val="20"/>
              </w:rPr>
              <w:t>Time horizon</w:t>
            </w:r>
          </w:p>
        </w:tc>
        <w:tc>
          <w:tcPr>
            <w:tcW w:w="3471" w:type="pct"/>
            <w:shd w:val="clear" w:color="auto" w:fill="auto"/>
            <w:vAlign w:val="center"/>
          </w:tcPr>
          <w:p w:rsidR="00630F65" w:rsidRPr="005C2F28" w:rsidRDefault="00630F65" w:rsidP="0035277E">
            <w:pPr>
              <w:jc w:val="left"/>
              <w:rPr>
                <w:rFonts w:ascii="Arial Narrow" w:hAnsi="Arial Narrow"/>
                <w:i/>
                <w:sz w:val="20"/>
              </w:rPr>
            </w:pPr>
            <w:r>
              <w:rPr>
                <w:rFonts w:ascii="Arial Narrow" w:hAnsi="Arial Narrow"/>
                <w:sz w:val="20"/>
              </w:rPr>
              <w:t>5</w:t>
            </w:r>
            <w:r w:rsidRPr="00E2771E">
              <w:rPr>
                <w:rFonts w:ascii="Arial Narrow" w:hAnsi="Arial Narrow"/>
                <w:sz w:val="20"/>
              </w:rPr>
              <w:t xml:space="preserve"> years in the base case versus </w:t>
            </w:r>
            <w:r>
              <w:rPr>
                <w:rFonts w:ascii="Arial Narrow" w:hAnsi="Arial Narrow"/>
                <w:sz w:val="20"/>
              </w:rPr>
              <w:t>3.1 to 8.7 months across KN-001 cohorts</w:t>
            </w:r>
            <w:r w:rsidR="005C2F28">
              <w:rPr>
                <w:rFonts w:ascii="Arial Narrow" w:hAnsi="Arial Narrow"/>
                <w:sz w:val="20"/>
              </w:rPr>
              <w:t>.</w:t>
            </w:r>
          </w:p>
        </w:tc>
      </w:tr>
      <w:tr w:rsidR="00630F65" w:rsidRPr="00E2771E" w:rsidTr="00C638E9">
        <w:tc>
          <w:tcPr>
            <w:tcW w:w="1529" w:type="pct"/>
            <w:shd w:val="clear" w:color="auto" w:fill="auto"/>
            <w:vAlign w:val="center"/>
          </w:tcPr>
          <w:p w:rsidR="00630F65" w:rsidRPr="00E2771E" w:rsidRDefault="00630F65" w:rsidP="00C638E9">
            <w:pPr>
              <w:jc w:val="left"/>
              <w:rPr>
                <w:rFonts w:ascii="Arial Narrow" w:hAnsi="Arial Narrow"/>
                <w:sz w:val="20"/>
              </w:rPr>
            </w:pPr>
            <w:r w:rsidRPr="00E2771E">
              <w:rPr>
                <w:rFonts w:ascii="Arial Narrow" w:hAnsi="Arial Narrow"/>
                <w:sz w:val="20"/>
              </w:rPr>
              <w:t>Outcomes</w:t>
            </w:r>
          </w:p>
        </w:tc>
        <w:tc>
          <w:tcPr>
            <w:tcW w:w="3471" w:type="pct"/>
            <w:shd w:val="clear" w:color="auto" w:fill="auto"/>
            <w:vAlign w:val="center"/>
          </w:tcPr>
          <w:p w:rsidR="00630F65" w:rsidRPr="00E2771E" w:rsidRDefault="00673951" w:rsidP="00C638E9">
            <w:pPr>
              <w:jc w:val="left"/>
              <w:rPr>
                <w:rFonts w:ascii="Arial Narrow" w:hAnsi="Arial Narrow"/>
                <w:sz w:val="20"/>
              </w:rPr>
            </w:pPr>
            <w:r>
              <w:rPr>
                <w:rFonts w:ascii="Arial Narrow" w:hAnsi="Arial Narrow"/>
                <w:sz w:val="20"/>
              </w:rPr>
              <w:t>Quality-adjusted life-years (</w:t>
            </w:r>
            <w:r w:rsidR="00630F65">
              <w:rPr>
                <w:rFonts w:ascii="Arial Narrow" w:hAnsi="Arial Narrow"/>
                <w:sz w:val="20"/>
              </w:rPr>
              <w:t>QALYs</w:t>
            </w:r>
            <w:r>
              <w:rPr>
                <w:rFonts w:ascii="Arial Narrow" w:hAnsi="Arial Narrow"/>
                <w:sz w:val="20"/>
              </w:rPr>
              <w:t>)</w:t>
            </w:r>
          </w:p>
        </w:tc>
      </w:tr>
      <w:tr w:rsidR="00630F65" w:rsidRPr="00E2771E" w:rsidTr="00C638E9">
        <w:tc>
          <w:tcPr>
            <w:tcW w:w="1529" w:type="pct"/>
            <w:shd w:val="clear" w:color="auto" w:fill="auto"/>
            <w:vAlign w:val="center"/>
          </w:tcPr>
          <w:p w:rsidR="00630F65" w:rsidRPr="00E2771E" w:rsidRDefault="00630F65" w:rsidP="00C638E9">
            <w:pPr>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vAlign w:val="center"/>
          </w:tcPr>
          <w:p w:rsidR="00630F65" w:rsidRPr="00E2771E" w:rsidRDefault="00630F65" w:rsidP="00C638E9">
            <w:pPr>
              <w:jc w:val="left"/>
              <w:rPr>
                <w:rFonts w:ascii="Arial Narrow" w:hAnsi="Arial Narrow"/>
                <w:sz w:val="20"/>
              </w:rPr>
            </w:pPr>
            <w:r>
              <w:rPr>
                <w:rFonts w:ascii="Arial Narrow" w:hAnsi="Arial Narrow"/>
                <w:sz w:val="20"/>
              </w:rPr>
              <w:t>Partitioned survival analysis using piece-wise fitting of exponential functions</w:t>
            </w:r>
          </w:p>
        </w:tc>
      </w:tr>
      <w:tr w:rsidR="00630F65" w:rsidRPr="00E2771E" w:rsidTr="00C638E9">
        <w:tc>
          <w:tcPr>
            <w:tcW w:w="1529" w:type="pct"/>
            <w:shd w:val="clear" w:color="auto" w:fill="auto"/>
            <w:vAlign w:val="center"/>
          </w:tcPr>
          <w:p w:rsidR="00630F65" w:rsidRPr="00E2771E" w:rsidRDefault="00630F65" w:rsidP="00C638E9">
            <w:pPr>
              <w:jc w:val="left"/>
              <w:rPr>
                <w:rFonts w:ascii="Arial Narrow" w:hAnsi="Arial Narrow"/>
                <w:sz w:val="20"/>
              </w:rPr>
            </w:pPr>
            <w:r w:rsidRPr="00E2771E">
              <w:rPr>
                <w:rFonts w:ascii="Arial Narrow" w:hAnsi="Arial Narrow"/>
                <w:sz w:val="20"/>
              </w:rPr>
              <w:t>Health states</w:t>
            </w:r>
          </w:p>
        </w:tc>
        <w:tc>
          <w:tcPr>
            <w:tcW w:w="3471" w:type="pct"/>
            <w:shd w:val="clear" w:color="auto" w:fill="auto"/>
            <w:vAlign w:val="center"/>
          </w:tcPr>
          <w:p w:rsidR="00630F65" w:rsidRPr="00EE3771" w:rsidRDefault="00630F65" w:rsidP="00C638E9">
            <w:pPr>
              <w:jc w:val="left"/>
              <w:rPr>
                <w:rFonts w:ascii="Arial Narrow" w:hAnsi="Arial Narrow"/>
                <w:sz w:val="20"/>
              </w:rPr>
            </w:pPr>
            <w:r w:rsidRPr="00EE3771">
              <w:rPr>
                <w:rFonts w:ascii="Arial Narrow" w:hAnsi="Arial Narrow"/>
                <w:sz w:val="20"/>
              </w:rPr>
              <w:t xml:space="preserve">Progression free </w:t>
            </w:r>
            <w:r w:rsidR="00BF3730">
              <w:rPr>
                <w:rFonts w:ascii="Arial Narrow" w:hAnsi="Arial Narrow"/>
                <w:sz w:val="20"/>
              </w:rPr>
              <w:t xml:space="preserve">(referred to in the submission model as </w:t>
            </w:r>
            <w:r w:rsidRPr="00EE3771">
              <w:rPr>
                <w:rFonts w:ascii="Arial Narrow" w:hAnsi="Arial Narrow"/>
                <w:sz w:val="20"/>
              </w:rPr>
              <w:t>PFS)</w:t>
            </w:r>
          </w:p>
          <w:p w:rsidR="00630F65" w:rsidRPr="00EE3771" w:rsidRDefault="00630F65" w:rsidP="00C638E9">
            <w:pPr>
              <w:jc w:val="left"/>
              <w:rPr>
                <w:rFonts w:ascii="Arial Narrow" w:hAnsi="Arial Narrow"/>
                <w:sz w:val="20"/>
              </w:rPr>
            </w:pPr>
            <w:r w:rsidRPr="00EE3771">
              <w:rPr>
                <w:rFonts w:ascii="Arial Narrow" w:hAnsi="Arial Narrow"/>
                <w:sz w:val="20"/>
              </w:rPr>
              <w:t>Progressio</w:t>
            </w:r>
            <w:r>
              <w:rPr>
                <w:rFonts w:ascii="Arial Narrow" w:hAnsi="Arial Narrow"/>
                <w:sz w:val="20"/>
              </w:rPr>
              <w:t>n (referred to in the submission model as p</w:t>
            </w:r>
            <w:r w:rsidRPr="00EE3771">
              <w:rPr>
                <w:rFonts w:ascii="Arial Narrow" w:hAnsi="Arial Narrow"/>
                <w:sz w:val="20"/>
              </w:rPr>
              <w:t>ost-PD)</w:t>
            </w:r>
          </w:p>
          <w:p w:rsidR="00630F65" w:rsidRPr="00E2771E" w:rsidRDefault="00630F65" w:rsidP="00C638E9">
            <w:pPr>
              <w:jc w:val="left"/>
              <w:rPr>
                <w:rFonts w:ascii="Arial Narrow" w:hAnsi="Arial Narrow"/>
                <w:sz w:val="20"/>
              </w:rPr>
            </w:pPr>
            <w:r w:rsidRPr="00EE3771">
              <w:rPr>
                <w:rFonts w:ascii="Arial Narrow" w:hAnsi="Arial Narrow"/>
                <w:sz w:val="20"/>
              </w:rPr>
              <w:t>Death</w:t>
            </w:r>
          </w:p>
        </w:tc>
      </w:tr>
      <w:tr w:rsidR="00630F65" w:rsidRPr="00E2771E" w:rsidTr="00C638E9">
        <w:tc>
          <w:tcPr>
            <w:tcW w:w="1529" w:type="pct"/>
            <w:shd w:val="clear" w:color="auto" w:fill="auto"/>
            <w:vAlign w:val="center"/>
          </w:tcPr>
          <w:p w:rsidR="00630F65" w:rsidRPr="00E2771E" w:rsidRDefault="00630F65" w:rsidP="00C638E9">
            <w:pPr>
              <w:jc w:val="left"/>
              <w:rPr>
                <w:rFonts w:ascii="Arial Narrow" w:hAnsi="Arial Narrow"/>
                <w:sz w:val="20"/>
              </w:rPr>
            </w:pPr>
            <w:r w:rsidRPr="00E2771E">
              <w:rPr>
                <w:rFonts w:ascii="Arial Narrow" w:hAnsi="Arial Narrow"/>
                <w:sz w:val="20"/>
              </w:rPr>
              <w:t>Cycle length</w:t>
            </w:r>
          </w:p>
        </w:tc>
        <w:tc>
          <w:tcPr>
            <w:tcW w:w="3471" w:type="pct"/>
            <w:shd w:val="clear" w:color="auto" w:fill="auto"/>
            <w:vAlign w:val="center"/>
          </w:tcPr>
          <w:p w:rsidR="00630F65" w:rsidRPr="00E2771E" w:rsidRDefault="00630F65" w:rsidP="00C638E9">
            <w:pPr>
              <w:jc w:val="left"/>
              <w:rPr>
                <w:rFonts w:ascii="Arial Narrow" w:hAnsi="Arial Narrow"/>
                <w:sz w:val="20"/>
              </w:rPr>
            </w:pPr>
            <w:r>
              <w:rPr>
                <w:rFonts w:ascii="Arial Narrow" w:hAnsi="Arial Narrow"/>
                <w:sz w:val="20"/>
              </w:rPr>
              <w:t>1 week</w:t>
            </w:r>
          </w:p>
        </w:tc>
      </w:tr>
      <w:tr w:rsidR="00630F65" w:rsidRPr="00E2771E" w:rsidTr="00C638E9">
        <w:tc>
          <w:tcPr>
            <w:tcW w:w="1529" w:type="pct"/>
            <w:shd w:val="clear" w:color="auto" w:fill="auto"/>
            <w:vAlign w:val="center"/>
          </w:tcPr>
          <w:p w:rsidR="00630F65" w:rsidRPr="00E2771E" w:rsidRDefault="00630F65" w:rsidP="00C638E9">
            <w:pPr>
              <w:jc w:val="left"/>
              <w:rPr>
                <w:rFonts w:ascii="Arial Narrow" w:hAnsi="Arial Narrow"/>
                <w:sz w:val="20"/>
              </w:rPr>
            </w:pPr>
            <w:r w:rsidRPr="00E2771E">
              <w:rPr>
                <w:rFonts w:ascii="Arial Narrow" w:hAnsi="Arial Narrow"/>
                <w:sz w:val="20"/>
              </w:rPr>
              <w:t>Transition probabilities</w:t>
            </w:r>
            <w:r>
              <w:rPr>
                <w:rFonts w:ascii="Arial Narrow" w:hAnsi="Arial Narrow"/>
                <w:sz w:val="20"/>
              </w:rPr>
              <w:t xml:space="preserve"> </w:t>
            </w:r>
            <w:r w:rsidRPr="00BB4AC4">
              <w:rPr>
                <w:rFonts w:ascii="Arial Narrow" w:hAnsi="Arial Narrow"/>
                <w:sz w:val="20"/>
              </w:rPr>
              <w:t>(i.e. distributions; explicit transition probabilities not used)</w:t>
            </w:r>
          </w:p>
        </w:tc>
        <w:tc>
          <w:tcPr>
            <w:tcW w:w="3471" w:type="pct"/>
            <w:shd w:val="clear" w:color="auto" w:fill="auto"/>
            <w:vAlign w:val="center"/>
          </w:tcPr>
          <w:p w:rsidR="00630F65" w:rsidRDefault="00630F65" w:rsidP="00C638E9">
            <w:pPr>
              <w:jc w:val="left"/>
              <w:rPr>
                <w:rFonts w:ascii="Arial Narrow" w:hAnsi="Arial Narrow" w:cs="Times New Roman"/>
                <w:sz w:val="20"/>
              </w:rPr>
            </w:pPr>
            <w:r>
              <w:rPr>
                <w:rFonts w:ascii="Arial Narrow" w:hAnsi="Arial Narrow" w:cs="Times New Roman"/>
                <w:sz w:val="20"/>
              </w:rPr>
              <w:t xml:space="preserve">Ipilimumab: Cumulative hazard </w:t>
            </w:r>
            <w:r w:rsidR="00385466">
              <w:rPr>
                <w:rFonts w:ascii="Arial Narrow" w:hAnsi="Arial Narrow" w:cs="Times New Roman"/>
                <w:sz w:val="20"/>
              </w:rPr>
              <w:t>f</w:t>
            </w:r>
            <w:r>
              <w:rPr>
                <w:rFonts w:ascii="Arial Narrow" w:hAnsi="Arial Narrow" w:cs="Times New Roman"/>
                <w:sz w:val="20"/>
              </w:rPr>
              <w:t>igures</w:t>
            </w:r>
            <w:r w:rsidRPr="00A12D05">
              <w:rPr>
                <w:rFonts w:ascii="Arial Narrow" w:hAnsi="Arial Narrow" w:cs="Times New Roman"/>
                <w:sz w:val="20"/>
              </w:rPr>
              <w:t xml:space="preserve"> </w:t>
            </w:r>
            <w:r>
              <w:rPr>
                <w:rFonts w:ascii="Arial Narrow" w:hAnsi="Arial Narrow" w:cs="Times New Roman"/>
                <w:sz w:val="20"/>
              </w:rPr>
              <w:t xml:space="preserve">in Dickson 2011 </w:t>
            </w:r>
            <w:r w:rsidR="00E07EDA">
              <w:rPr>
                <w:rFonts w:ascii="Arial Narrow" w:hAnsi="Arial Narrow" w:cs="Times New Roman"/>
                <w:sz w:val="20"/>
              </w:rPr>
              <w:t xml:space="preserve">based on Hodi 2010 </w:t>
            </w:r>
            <w:r w:rsidRPr="00A12D05">
              <w:rPr>
                <w:rFonts w:ascii="Arial Narrow" w:hAnsi="Arial Narrow" w:cs="Times New Roman"/>
                <w:sz w:val="20"/>
              </w:rPr>
              <w:t>were digiti</w:t>
            </w:r>
            <w:r>
              <w:rPr>
                <w:rFonts w:ascii="Arial Narrow" w:hAnsi="Arial Narrow" w:cs="Times New Roman"/>
                <w:sz w:val="20"/>
              </w:rPr>
              <w:t>s</w:t>
            </w:r>
            <w:r w:rsidRPr="00A12D05">
              <w:rPr>
                <w:rFonts w:ascii="Arial Narrow" w:hAnsi="Arial Narrow" w:cs="Times New Roman"/>
                <w:sz w:val="20"/>
              </w:rPr>
              <w:t xml:space="preserve">ed and fitted in </w:t>
            </w:r>
            <w:r>
              <w:rPr>
                <w:rFonts w:ascii="Arial Narrow" w:hAnsi="Arial Narrow" w:cs="Times New Roman"/>
                <w:sz w:val="20"/>
              </w:rPr>
              <w:t>piece wise exponential function parameters</w:t>
            </w:r>
            <w:r w:rsidRPr="00A12D05">
              <w:rPr>
                <w:rFonts w:ascii="Arial Narrow" w:hAnsi="Arial Narrow" w:cs="Times New Roman"/>
                <w:sz w:val="20"/>
              </w:rPr>
              <w:t xml:space="preserve"> </w:t>
            </w:r>
            <w:r w:rsidRPr="00B01824">
              <w:rPr>
                <w:rFonts w:ascii="Arial Narrow" w:hAnsi="Arial Narrow" w:cs="Times New Roman"/>
                <w:sz w:val="20"/>
              </w:rPr>
              <w:t>using the gamlss package within R</w:t>
            </w:r>
            <w:r>
              <w:rPr>
                <w:rFonts w:ascii="Arial Narrow" w:hAnsi="Arial Narrow" w:cs="Times New Roman"/>
                <w:sz w:val="20"/>
              </w:rPr>
              <w:t xml:space="preserve"> for PFS and separately for OS.</w:t>
            </w:r>
          </w:p>
          <w:p w:rsidR="00630F65" w:rsidRPr="00E2771E" w:rsidRDefault="00630F65" w:rsidP="0027793F">
            <w:pPr>
              <w:jc w:val="left"/>
              <w:rPr>
                <w:rFonts w:ascii="Arial Narrow" w:hAnsi="Arial Narrow"/>
                <w:sz w:val="20"/>
              </w:rPr>
            </w:pPr>
            <w:r>
              <w:rPr>
                <w:rFonts w:ascii="Arial Narrow" w:hAnsi="Arial Narrow" w:cs="Times New Roman"/>
                <w:sz w:val="20"/>
              </w:rPr>
              <w:t xml:space="preserve">Pembrolizumab: Piece-wise exponential functions </w:t>
            </w:r>
            <w:r w:rsidR="00385466">
              <w:rPr>
                <w:rFonts w:ascii="Arial Narrow" w:hAnsi="Arial Narrow" w:cs="Times New Roman"/>
                <w:sz w:val="20"/>
              </w:rPr>
              <w:t xml:space="preserve">were </w:t>
            </w:r>
            <w:r>
              <w:rPr>
                <w:rFonts w:ascii="Arial Narrow" w:hAnsi="Arial Narrow" w:cs="Times New Roman"/>
                <w:sz w:val="20"/>
              </w:rPr>
              <w:t>estimated</w:t>
            </w:r>
            <w:r w:rsidRPr="00B01824">
              <w:rPr>
                <w:rFonts w:ascii="Arial Narrow" w:hAnsi="Arial Narrow" w:cs="Times New Roman"/>
                <w:sz w:val="20"/>
              </w:rPr>
              <w:t xml:space="preserve"> </w:t>
            </w:r>
            <w:r>
              <w:rPr>
                <w:rFonts w:ascii="Arial Narrow" w:hAnsi="Arial Narrow" w:cs="Times New Roman"/>
                <w:sz w:val="20"/>
              </w:rPr>
              <w:t>from pooled data for ipilimumab-naïve patients (</w:t>
            </w:r>
            <w:r w:rsidR="0027793F">
              <w:rPr>
                <w:rFonts w:ascii="Arial Narrow" w:hAnsi="Arial Narrow" w:cs="Times New Roman"/>
                <w:sz w:val="20"/>
              </w:rPr>
              <w:t>2 </w:t>
            </w:r>
            <w:r w:rsidRPr="0018106F">
              <w:rPr>
                <w:rFonts w:ascii="Arial Narrow" w:hAnsi="Arial Narrow" w:cs="Times New Roman"/>
                <w:sz w:val="20"/>
              </w:rPr>
              <w:t>mg/kg Q3W, 10</w:t>
            </w:r>
            <w:r w:rsidR="0027793F">
              <w:rPr>
                <w:rFonts w:ascii="Arial Narrow" w:hAnsi="Arial Narrow" w:cs="Times New Roman"/>
                <w:sz w:val="20"/>
              </w:rPr>
              <w:t> </w:t>
            </w:r>
            <w:r w:rsidRPr="0018106F">
              <w:rPr>
                <w:rFonts w:ascii="Arial Narrow" w:hAnsi="Arial Narrow" w:cs="Times New Roman"/>
                <w:sz w:val="20"/>
              </w:rPr>
              <w:t>mg/kg Q2W, and 10</w:t>
            </w:r>
            <w:r w:rsidR="0027793F">
              <w:rPr>
                <w:rFonts w:ascii="Arial Narrow" w:hAnsi="Arial Narrow" w:cs="Times New Roman"/>
                <w:sz w:val="20"/>
              </w:rPr>
              <w:t> </w:t>
            </w:r>
            <w:r w:rsidRPr="0018106F">
              <w:rPr>
                <w:rFonts w:ascii="Arial Narrow" w:hAnsi="Arial Narrow" w:cs="Times New Roman"/>
                <w:sz w:val="20"/>
              </w:rPr>
              <w:t>mg/kg Q3W</w:t>
            </w:r>
            <w:r>
              <w:rPr>
                <w:rFonts w:ascii="Arial Narrow" w:hAnsi="Arial Narrow" w:cs="Times New Roman"/>
                <w:sz w:val="20"/>
              </w:rPr>
              <w:t>) in</w:t>
            </w:r>
            <w:r w:rsidRPr="00B01824">
              <w:rPr>
                <w:rFonts w:ascii="Arial Narrow" w:hAnsi="Arial Narrow" w:cs="Times New Roman"/>
                <w:sz w:val="20"/>
              </w:rPr>
              <w:t xml:space="preserve"> KN-001</w:t>
            </w:r>
            <w:r>
              <w:rPr>
                <w:rFonts w:ascii="Arial Narrow" w:hAnsi="Arial Narrow" w:cs="Times New Roman"/>
                <w:sz w:val="20"/>
              </w:rPr>
              <w:t xml:space="preserve"> for PFS and separately for OS.</w:t>
            </w:r>
          </w:p>
        </w:tc>
      </w:tr>
    </w:tbl>
    <w:p w:rsidR="00630F65" w:rsidRPr="00275C5A" w:rsidRDefault="00630F65" w:rsidP="00630F65">
      <w:pPr>
        <w:pStyle w:val="TableFooter"/>
        <w:ind w:firstLine="720"/>
      </w:pPr>
      <w:r w:rsidRPr="00275C5A">
        <w:t>Source: compiled during the evaluation</w:t>
      </w:r>
    </w:p>
    <w:p w:rsidR="00630F65" w:rsidRPr="00275C5A" w:rsidRDefault="00630F65" w:rsidP="00630F65">
      <w:pPr>
        <w:widowControl/>
        <w:rPr>
          <w:szCs w:val="22"/>
        </w:rPr>
      </w:pPr>
    </w:p>
    <w:p w:rsidR="00630F65" w:rsidRPr="00B50DB8" w:rsidRDefault="00630F65" w:rsidP="005C1AC0">
      <w:pPr>
        <w:pStyle w:val="ListParagraph"/>
        <w:widowControl/>
        <w:numPr>
          <w:ilvl w:val="1"/>
          <w:numId w:val="1"/>
        </w:numPr>
        <w:rPr>
          <w:szCs w:val="22"/>
        </w:rPr>
      </w:pPr>
      <w:r w:rsidRPr="001946EB">
        <w:t xml:space="preserve">Key drivers of the model are identified in </w:t>
      </w:r>
      <w:r>
        <w:t>the table below.</w:t>
      </w:r>
    </w:p>
    <w:p w:rsidR="00630F65" w:rsidRDefault="00630F65" w:rsidP="00630F65">
      <w:pPr>
        <w:widowControl/>
        <w:rPr>
          <w:szCs w:val="22"/>
        </w:rPr>
      </w:pPr>
    </w:p>
    <w:p w:rsidR="00630F65" w:rsidRDefault="00630F65" w:rsidP="00630F65">
      <w:pPr>
        <w:ind w:firstLine="720"/>
        <w:rPr>
          <w:rStyle w:val="CommentReference"/>
        </w:rPr>
      </w:pPr>
      <w:r w:rsidRPr="00A56B6A">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1418"/>
        <w:gridCol w:w="4111"/>
        <w:gridCol w:w="2816"/>
      </w:tblGrid>
      <w:tr w:rsidR="00630F65" w:rsidRPr="00E2771E" w:rsidTr="00385466">
        <w:trPr>
          <w:tblHeader/>
        </w:trPr>
        <w:tc>
          <w:tcPr>
            <w:tcW w:w="850" w:type="pct"/>
            <w:shd w:val="clear" w:color="auto" w:fill="auto"/>
            <w:vAlign w:val="center"/>
          </w:tcPr>
          <w:p w:rsidR="00630F65" w:rsidRPr="00E2771E" w:rsidRDefault="00630F65" w:rsidP="00C638E9">
            <w:pPr>
              <w:jc w:val="left"/>
              <w:rPr>
                <w:rFonts w:ascii="Arial Narrow" w:hAnsi="Arial Narrow"/>
                <w:b/>
                <w:sz w:val="20"/>
                <w:lang w:val="en-US"/>
              </w:rPr>
            </w:pPr>
            <w:r w:rsidRPr="00E2771E">
              <w:rPr>
                <w:rFonts w:ascii="Arial Narrow" w:hAnsi="Arial Narrow"/>
                <w:b/>
                <w:sz w:val="20"/>
                <w:lang w:val="en-US"/>
              </w:rPr>
              <w:t>Description</w:t>
            </w:r>
          </w:p>
        </w:tc>
        <w:tc>
          <w:tcPr>
            <w:tcW w:w="2463" w:type="pct"/>
            <w:shd w:val="clear" w:color="auto" w:fill="auto"/>
            <w:vAlign w:val="center"/>
          </w:tcPr>
          <w:p w:rsidR="00630F65" w:rsidRPr="00E2771E" w:rsidRDefault="00630F65" w:rsidP="00C638E9">
            <w:pPr>
              <w:jc w:val="center"/>
              <w:rPr>
                <w:rFonts w:ascii="Arial Narrow" w:hAnsi="Arial Narrow"/>
                <w:b/>
                <w:sz w:val="20"/>
                <w:lang w:val="en-US"/>
              </w:rPr>
            </w:pPr>
            <w:r w:rsidRPr="00E2771E">
              <w:rPr>
                <w:rFonts w:ascii="Arial Narrow" w:hAnsi="Arial Narrow"/>
                <w:b/>
                <w:sz w:val="20"/>
                <w:lang w:val="en-US"/>
              </w:rPr>
              <w:t>Method/Value</w:t>
            </w:r>
          </w:p>
        </w:tc>
        <w:tc>
          <w:tcPr>
            <w:tcW w:w="1688" w:type="pct"/>
            <w:shd w:val="clear" w:color="auto" w:fill="auto"/>
            <w:vAlign w:val="center"/>
          </w:tcPr>
          <w:p w:rsidR="00630F65" w:rsidRPr="00E2771E" w:rsidRDefault="00630F65" w:rsidP="00C638E9">
            <w:pPr>
              <w:jc w:val="center"/>
              <w:rPr>
                <w:rFonts w:ascii="Arial Narrow" w:hAnsi="Arial Narrow"/>
                <w:b/>
                <w:sz w:val="20"/>
                <w:lang w:val="en-US"/>
              </w:rPr>
            </w:pPr>
            <w:r w:rsidRPr="00E2771E">
              <w:rPr>
                <w:rFonts w:ascii="Arial Narrow" w:hAnsi="Arial Narrow"/>
                <w:b/>
                <w:sz w:val="20"/>
                <w:lang w:val="en-US"/>
              </w:rPr>
              <w:t>Impact</w:t>
            </w:r>
          </w:p>
        </w:tc>
      </w:tr>
      <w:tr w:rsidR="00630F65" w:rsidRPr="00E2771E" w:rsidTr="00385466">
        <w:tc>
          <w:tcPr>
            <w:tcW w:w="850" w:type="pct"/>
            <w:shd w:val="clear" w:color="auto" w:fill="auto"/>
            <w:vAlign w:val="center"/>
          </w:tcPr>
          <w:p w:rsidR="00630F65" w:rsidRPr="00E2771E" w:rsidRDefault="00630F65" w:rsidP="00C638E9">
            <w:pPr>
              <w:jc w:val="left"/>
              <w:rPr>
                <w:rFonts w:ascii="Arial Narrow" w:hAnsi="Arial Narrow"/>
                <w:sz w:val="20"/>
                <w:lang w:val="en-US"/>
              </w:rPr>
            </w:pPr>
            <w:r>
              <w:rPr>
                <w:rFonts w:ascii="Arial Narrow" w:hAnsi="Arial Narrow"/>
                <w:sz w:val="20"/>
                <w:lang w:val="en-US"/>
              </w:rPr>
              <w:t>Estimate of OS</w:t>
            </w:r>
          </w:p>
        </w:tc>
        <w:tc>
          <w:tcPr>
            <w:tcW w:w="2463" w:type="pct"/>
            <w:shd w:val="clear" w:color="auto" w:fill="auto"/>
            <w:vAlign w:val="center"/>
          </w:tcPr>
          <w:p w:rsidR="00630F65" w:rsidRPr="00CF5B43" w:rsidRDefault="005C2F28" w:rsidP="00C638E9">
            <w:pPr>
              <w:jc w:val="center"/>
              <w:rPr>
                <w:rFonts w:ascii="Arial Narrow" w:hAnsi="Arial Narrow"/>
                <w:sz w:val="20"/>
                <w:lang w:val="en-US"/>
              </w:rPr>
            </w:pPr>
            <w:r w:rsidRPr="00CF5B43">
              <w:rPr>
                <w:rFonts w:ascii="Arial Narrow" w:hAnsi="Arial Narrow"/>
                <w:sz w:val="20"/>
                <w:lang w:val="en-US"/>
              </w:rPr>
              <w:t xml:space="preserve">The estimate of incremental OS for pembrolizumab </w:t>
            </w:r>
            <w:r w:rsidR="00956F5A" w:rsidRPr="00CF5B43">
              <w:rPr>
                <w:rFonts w:ascii="Arial Narrow" w:hAnsi="Arial Narrow"/>
                <w:sz w:val="20"/>
                <w:lang w:val="en-US"/>
              </w:rPr>
              <w:t xml:space="preserve">over ipilimumab </w:t>
            </w:r>
            <w:r w:rsidRPr="00CF5B43">
              <w:rPr>
                <w:rFonts w:ascii="Arial Narrow" w:hAnsi="Arial Narrow"/>
                <w:sz w:val="20"/>
                <w:lang w:val="en-US"/>
              </w:rPr>
              <w:t>is unreliable given the available data and the modelling methods used</w:t>
            </w:r>
          </w:p>
        </w:tc>
        <w:tc>
          <w:tcPr>
            <w:tcW w:w="1688" w:type="pct"/>
            <w:shd w:val="clear" w:color="auto" w:fill="auto"/>
            <w:vAlign w:val="center"/>
          </w:tcPr>
          <w:p w:rsidR="00630F65" w:rsidRPr="00E2771E" w:rsidRDefault="00630F65" w:rsidP="00C638E9">
            <w:pPr>
              <w:jc w:val="center"/>
              <w:rPr>
                <w:rFonts w:ascii="Arial Narrow" w:hAnsi="Arial Narrow"/>
                <w:sz w:val="20"/>
                <w:lang w:val="en-US"/>
              </w:rPr>
            </w:pPr>
            <w:r w:rsidRPr="00E2771E">
              <w:rPr>
                <w:rFonts w:ascii="Arial Narrow" w:hAnsi="Arial Narrow"/>
                <w:sz w:val="20"/>
                <w:lang w:val="en-US"/>
              </w:rPr>
              <w:t xml:space="preserve">High, favours </w:t>
            </w:r>
            <w:r>
              <w:rPr>
                <w:rFonts w:ascii="Arial Narrow" w:hAnsi="Arial Narrow"/>
                <w:sz w:val="20"/>
                <w:lang w:val="en-US"/>
              </w:rPr>
              <w:t>pembrolizumab</w:t>
            </w:r>
          </w:p>
        </w:tc>
      </w:tr>
      <w:tr w:rsidR="00630F65" w:rsidRPr="00E2771E" w:rsidTr="00385466">
        <w:tc>
          <w:tcPr>
            <w:tcW w:w="850" w:type="pct"/>
            <w:shd w:val="clear" w:color="auto" w:fill="auto"/>
            <w:vAlign w:val="center"/>
          </w:tcPr>
          <w:p w:rsidR="00630F65" w:rsidRPr="00E2771E" w:rsidRDefault="00630F65" w:rsidP="00C638E9">
            <w:pPr>
              <w:jc w:val="left"/>
              <w:rPr>
                <w:rFonts w:ascii="Arial Narrow" w:hAnsi="Arial Narrow"/>
                <w:sz w:val="20"/>
                <w:lang w:val="en-US"/>
              </w:rPr>
            </w:pPr>
            <w:r w:rsidRPr="004A632D">
              <w:rPr>
                <w:rFonts w:ascii="Arial Narrow" w:hAnsi="Arial Narrow"/>
                <w:sz w:val="20"/>
                <w:lang w:val="en-US"/>
              </w:rPr>
              <w:t>Utility values</w:t>
            </w:r>
          </w:p>
        </w:tc>
        <w:tc>
          <w:tcPr>
            <w:tcW w:w="2463" w:type="pct"/>
            <w:shd w:val="clear" w:color="auto" w:fill="auto"/>
            <w:vAlign w:val="center"/>
          </w:tcPr>
          <w:p w:rsidR="00630F65" w:rsidRPr="00E2771E" w:rsidRDefault="00630F65" w:rsidP="00C638E9">
            <w:pPr>
              <w:jc w:val="center"/>
              <w:rPr>
                <w:rFonts w:ascii="Arial Narrow" w:hAnsi="Arial Narrow"/>
                <w:sz w:val="20"/>
                <w:lang w:val="en-US"/>
              </w:rPr>
            </w:pPr>
            <w:r>
              <w:rPr>
                <w:rFonts w:ascii="Arial Narrow" w:hAnsi="Arial Narrow"/>
                <w:sz w:val="20"/>
                <w:lang w:val="en-US"/>
              </w:rPr>
              <w:t>T</w:t>
            </w:r>
            <w:r w:rsidRPr="004A632D">
              <w:rPr>
                <w:rFonts w:ascii="Arial Narrow" w:hAnsi="Arial Narrow"/>
                <w:sz w:val="20"/>
                <w:lang w:val="en-US"/>
              </w:rPr>
              <w:t xml:space="preserve">he utility value of </w:t>
            </w:r>
            <w:r>
              <w:rPr>
                <w:rFonts w:ascii="Arial Narrow" w:hAnsi="Arial Narrow"/>
                <w:sz w:val="20"/>
                <w:lang w:val="en-US"/>
              </w:rPr>
              <w:t>post-</w:t>
            </w:r>
            <w:r w:rsidRPr="004A632D">
              <w:rPr>
                <w:rFonts w:ascii="Arial Narrow" w:hAnsi="Arial Narrow"/>
                <w:sz w:val="20"/>
                <w:lang w:val="en-US"/>
              </w:rPr>
              <w:t>PD in particular</w:t>
            </w:r>
          </w:p>
        </w:tc>
        <w:tc>
          <w:tcPr>
            <w:tcW w:w="1688" w:type="pct"/>
            <w:shd w:val="clear" w:color="auto" w:fill="auto"/>
            <w:vAlign w:val="center"/>
          </w:tcPr>
          <w:p w:rsidR="00630F65" w:rsidRPr="00E2771E" w:rsidRDefault="00630F65" w:rsidP="00C638E9">
            <w:pPr>
              <w:jc w:val="center"/>
              <w:rPr>
                <w:rFonts w:ascii="Arial Narrow" w:hAnsi="Arial Narrow"/>
                <w:sz w:val="20"/>
                <w:lang w:val="en-US"/>
              </w:rPr>
            </w:pPr>
            <w:r>
              <w:rPr>
                <w:rFonts w:ascii="Arial Narrow" w:hAnsi="Arial Narrow"/>
                <w:sz w:val="20"/>
                <w:lang w:val="en-US"/>
              </w:rPr>
              <w:t xml:space="preserve">Moderate, </w:t>
            </w:r>
            <w:r w:rsidRPr="00E2771E">
              <w:rPr>
                <w:rFonts w:ascii="Arial Narrow" w:hAnsi="Arial Narrow"/>
                <w:sz w:val="20"/>
                <w:lang w:val="en-US"/>
              </w:rPr>
              <w:t xml:space="preserve">favours </w:t>
            </w:r>
            <w:r>
              <w:rPr>
                <w:rFonts w:ascii="Arial Narrow" w:hAnsi="Arial Narrow"/>
                <w:sz w:val="20"/>
                <w:lang w:val="en-US"/>
              </w:rPr>
              <w:t>pembrolizumab</w:t>
            </w:r>
          </w:p>
        </w:tc>
      </w:tr>
    </w:tbl>
    <w:p w:rsidR="00630F65" w:rsidRDefault="00630F65" w:rsidP="00630F65">
      <w:pPr>
        <w:pStyle w:val="TableFooter"/>
        <w:ind w:firstLine="720"/>
      </w:pPr>
      <w:r>
        <w:t>OS=overall survival; PD=progressive disease</w:t>
      </w:r>
    </w:p>
    <w:p w:rsidR="00630F65" w:rsidRPr="00D110BD" w:rsidRDefault="00630F65" w:rsidP="00630F65">
      <w:pPr>
        <w:pStyle w:val="TableFooter"/>
        <w:ind w:firstLine="720"/>
      </w:pPr>
      <w:r w:rsidRPr="00D110BD">
        <w:t>Source: compiled during the evaluation</w:t>
      </w:r>
    </w:p>
    <w:p w:rsidR="00630F65" w:rsidRPr="00275C5A" w:rsidRDefault="00630F65" w:rsidP="00630F65">
      <w:pPr>
        <w:widowControl/>
        <w:rPr>
          <w:szCs w:val="22"/>
        </w:rPr>
      </w:pPr>
    </w:p>
    <w:p w:rsidR="00763DAC" w:rsidRDefault="00630F65" w:rsidP="00AE3120">
      <w:pPr>
        <w:pStyle w:val="ListParagraph"/>
        <w:widowControl/>
        <w:numPr>
          <w:ilvl w:val="1"/>
          <w:numId w:val="1"/>
        </w:numPr>
      </w:pPr>
      <w:r w:rsidRPr="00A12902">
        <w:t xml:space="preserve">The results of the modelled evaluation are provided in </w:t>
      </w:r>
      <w:r w:rsidR="00071327">
        <w:t xml:space="preserve">the table </w:t>
      </w:r>
      <w:r w:rsidR="004904BA">
        <w:t>below</w:t>
      </w:r>
      <w:r w:rsidR="004E5B91">
        <w:t>.</w:t>
      </w:r>
    </w:p>
    <w:p w:rsidR="00AE3120" w:rsidRPr="004E5B91" w:rsidRDefault="00AE3120" w:rsidP="004E5B91">
      <w:pPr>
        <w:pStyle w:val="PBACHeading1"/>
        <w:numPr>
          <w:ilvl w:val="0"/>
          <w:numId w:val="0"/>
        </w:numPr>
        <w:rPr>
          <w:rStyle w:val="CommentReference"/>
          <w:rFonts w:ascii="Arial" w:hAnsi="Arial"/>
          <w:sz w:val="22"/>
          <w:szCs w:val="22"/>
        </w:rPr>
      </w:pPr>
    </w:p>
    <w:p w:rsidR="00150046" w:rsidRPr="004E5B91" w:rsidRDefault="00150046" w:rsidP="00150046">
      <w:pPr>
        <w:ind w:firstLine="720"/>
        <w:rPr>
          <w:rStyle w:val="CommentReference"/>
        </w:rPr>
      </w:pPr>
      <w:r w:rsidRPr="004E5B91">
        <w:rPr>
          <w:rStyle w:val="CommentReference"/>
        </w:rPr>
        <w:t>Results of the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model"/>
      </w:tblPr>
      <w:tblGrid>
        <w:gridCol w:w="2269"/>
        <w:gridCol w:w="2024"/>
        <w:gridCol w:w="2086"/>
        <w:gridCol w:w="1966"/>
      </w:tblGrid>
      <w:tr w:rsidR="00150046" w:rsidRPr="004E5B91" w:rsidTr="007834B7">
        <w:trPr>
          <w:tblHeader/>
        </w:trPr>
        <w:tc>
          <w:tcPr>
            <w:tcW w:w="1359" w:type="pct"/>
            <w:vAlign w:val="center"/>
          </w:tcPr>
          <w:p w:rsidR="00150046" w:rsidRPr="004E5B91" w:rsidRDefault="00150046" w:rsidP="007834B7">
            <w:pPr>
              <w:keepNext/>
              <w:jc w:val="left"/>
              <w:rPr>
                <w:rFonts w:ascii="Arial Narrow" w:hAnsi="Arial Narrow"/>
                <w:b/>
                <w:sz w:val="20"/>
              </w:rPr>
            </w:pPr>
            <w:r w:rsidRPr="004E5B91">
              <w:rPr>
                <w:rFonts w:ascii="Arial Narrow" w:hAnsi="Arial Narrow"/>
                <w:b/>
                <w:sz w:val="20"/>
              </w:rPr>
              <w:t>Component</w:t>
            </w:r>
          </w:p>
        </w:tc>
        <w:tc>
          <w:tcPr>
            <w:tcW w:w="1213" w:type="pct"/>
            <w:vAlign w:val="center"/>
          </w:tcPr>
          <w:p w:rsidR="00150046" w:rsidRPr="004E5B91" w:rsidRDefault="00150046" w:rsidP="007834B7">
            <w:pPr>
              <w:keepNext/>
              <w:jc w:val="center"/>
              <w:rPr>
                <w:rFonts w:ascii="Arial Narrow" w:hAnsi="Arial Narrow"/>
                <w:b/>
                <w:sz w:val="20"/>
              </w:rPr>
            </w:pPr>
            <w:r w:rsidRPr="004E5B91">
              <w:rPr>
                <w:rFonts w:ascii="Arial Narrow" w:hAnsi="Arial Narrow"/>
                <w:b/>
                <w:sz w:val="20"/>
              </w:rPr>
              <w:t xml:space="preserve">Pembrolizumab </w:t>
            </w:r>
          </w:p>
        </w:tc>
        <w:tc>
          <w:tcPr>
            <w:tcW w:w="1250" w:type="pct"/>
            <w:vAlign w:val="center"/>
          </w:tcPr>
          <w:p w:rsidR="00150046" w:rsidRPr="004E5B91" w:rsidRDefault="00150046" w:rsidP="007834B7">
            <w:pPr>
              <w:keepNext/>
              <w:jc w:val="center"/>
              <w:rPr>
                <w:rFonts w:ascii="Arial Narrow" w:hAnsi="Arial Narrow"/>
                <w:b/>
                <w:sz w:val="20"/>
              </w:rPr>
            </w:pPr>
            <w:r w:rsidRPr="004E5B91">
              <w:rPr>
                <w:rFonts w:ascii="Arial Narrow" w:hAnsi="Arial Narrow"/>
                <w:b/>
                <w:sz w:val="20"/>
              </w:rPr>
              <w:t xml:space="preserve">Ipilimumab </w:t>
            </w:r>
          </w:p>
        </w:tc>
        <w:tc>
          <w:tcPr>
            <w:tcW w:w="1178" w:type="pct"/>
            <w:vAlign w:val="center"/>
          </w:tcPr>
          <w:p w:rsidR="00150046" w:rsidRPr="004E5B91" w:rsidRDefault="00150046" w:rsidP="007834B7">
            <w:pPr>
              <w:keepNext/>
              <w:jc w:val="center"/>
              <w:rPr>
                <w:rFonts w:ascii="Arial Narrow" w:hAnsi="Arial Narrow"/>
                <w:b/>
                <w:sz w:val="20"/>
              </w:rPr>
            </w:pPr>
            <w:r w:rsidRPr="004E5B91">
              <w:rPr>
                <w:rFonts w:ascii="Arial Narrow" w:hAnsi="Arial Narrow"/>
                <w:b/>
                <w:sz w:val="20"/>
              </w:rPr>
              <w:t>Increment</w:t>
            </w:r>
          </w:p>
        </w:tc>
      </w:tr>
      <w:tr w:rsidR="00150046" w:rsidRPr="004E5B91" w:rsidTr="007834B7">
        <w:tc>
          <w:tcPr>
            <w:tcW w:w="1359" w:type="pct"/>
            <w:vAlign w:val="center"/>
          </w:tcPr>
          <w:p w:rsidR="00150046" w:rsidRPr="004E5B91" w:rsidRDefault="00150046" w:rsidP="007834B7">
            <w:pPr>
              <w:jc w:val="left"/>
              <w:rPr>
                <w:rFonts w:ascii="Arial Narrow" w:hAnsi="Arial Narrow"/>
                <w:sz w:val="20"/>
              </w:rPr>
            </w:pPr>
            <w:r w:rsidRPr="004E5B91">
              <w:rPr>
                <w:rFonts w:ascii="Arial Narrow" w:hAnsi="Arial Narrow"/>
                <w:sz w:val="20"/>
              </w:rPr>
              <w:t>Costs</w:t>
            </w:r>
          </w:p>
        </w:tc>
        <w:tc>
          <w:tcPr>
            <w:tcW w:w="1213" w:type="pct"/>
            <w:vAlign w:val="center"/>
          </w:tcPr>
          <w:p w:rsidR="00150046" w:rsidRPr="004E5B91" w:rsidRDefault="00150046" w:rsidP="007834B7">
            <w:pPr>
              <w:jc w:val="center"/>
              <w:rPr>
                <w:rFonts w:ascii="Arial Narrow" w:hAnsi="Arial Narrow" w:cs="Times New Roman"/>
                <w:sz w:val="20"/>
              </w:rPr>
            </w:pPr>
            <w:r w:rsidRPr="004E5B91">
              <w:rPr>
                <w:rFonts w:ascii="Arial Narrow" w:hAnsi="Arial Narrow" w:cs="Times New Roman"/>
                <w:sz w:val="20"/>
              </w:rPr>
              <w:t>$</w:t>
            </w:r>
            <w:r w:rsidR="00112B75">
              <w:rPr>
                <w:rFonts w:ascii="Arial Narrow" w:hAnsi="Arial Narrow" w:cs="Times New Roman"/>
                <w:noProof/>
                <w:color w:val="000000"/>
                <w:sz w:val="20"/>
                <w:highlight w:val="black"/>
              </w:rPr>
              <w:t>'''''''''''''''''''</w:t>
            </w:r>
            <w:r w:rsidRPr="004E5B91">
              <w:rPr>
                <w:rFonts w:ascii="Arial Narrow" w:hAnsi="Arial Narrow" w:cs="Times New Roman"/>
                <w:sz w:val="20"/>
              </w:rPr>
              <w:t xml:space="preserve"> </w:t>
            </w:r>
          </w:p>
        </w:tc>
        <w:tc>
          <w:tcPr>
            <w:tcW w:w="1250" w:type="pct"/>
          </w:tcPr>
          <w:p w:rsidR="00150046" w:rsidRPr="004E5B91" w:rsidRDefault="00150046" w:rsidP="007834B7">
            <w:pPr>
              <w:jc w:val="center"/>
              <w:rPr>
                <w:rFonts w:ascii="Arial Narrow" w:hAnsi="Arial Narrow"/>
                <w:sz w:val="20"/>
              </w:rPr>
            </w:pPr>
            <w:r w:rsidRPr="004E5B91">
              <w:rPr>
                <w:rFonts w:ascii="Arial Narrow" w:hAnsi="Arial Narrow" w:cs="Times New Roman"/>
                <w:sz w:val="20"/>
              </w:rPr>
              <w:t>$130,761</w:t>
            </w:r>
          </w:p>
        </w:tc>
        <w:tc>
          <w:tcPr>
            <w:tcW w:w="1178" w:type="pct"/>
          </w:tcPr>
          <w:p w:rsidR="00150046" w:rsidRPr="004E5B91" w:rsidRDefault="00150046" w:rsidP="007834B7">
            <w:pPr>
              <w:jc w:val="center"/>
              <w:rPr>
                <w:rFonts w:ascii="Arial Narrow" w:hAnsi="Arial Narrow"/>
                <w:sz w:val="20"/>
              </w:rPr>
            </w:pPr>
            <w:r w:rsidRPr="004E5B91">
              <w:rPr>
                <w:rFonts w:ascii="Arial Narrow" w:hAnsi="Arial Narrow" w:cs="Times New Roman"/>
                <w:sz w:val="20"/>
              </w:rPr>
              <w:t>$</w:t>
            </w:r>
            <w:r w:rsidR="00112B75">
              <w:rPr>
                <w:rFonts w:ascii="Arial Narrow" w:hAnsi="Arial Narrow" w:cs="Times New Roman"/>
                <w:noProof/>
                <w:color w:val="000000"/>
                <w:sz w:val="20"/>
                <w:highlight w:val="black"/>
              </w:rPr>
              <w:t>''''''''''''''''''</w:t>
            </w:r>
          </w:p>
        </w:tc>
      </w:tr>
      <w:tr w:rsidR="00150046" w:rsidRPr="004E5B91" w:rsidTr="007834B7">
        <w:tc>
          <w:tcPr>
            <w:tcW w:w="1359" w:type="pct"/>
            <w:vAlign w:val="center"/>
          </w:tcPr>
          <w:p w:rsidR="00150046" w:rsidRPr="004E5B91" w:rsidRDefault="00150046" w:rsidP="007834B7">
            <w:pPr>
              <w:jc w:val="left"/>
              <w:rPr>
                <w:rFonts w:ascii="Arial Narrow" w:hAnsi="Arial Narrow"/>
                <w:sz w:val="20"/>
              </w:rPr>
            </w:pPr>
            <w:r w:rsidRPr="004E5B91">
              <w:rPr>
                <w:rFonts w:ascii="Arial Narrow" w:hAnsi="Arial Narrow"/>
                <w:sz w:val="20"/>
              </w:rPr>
              <w:t>QALYs</w:t>
            </w:r>
          </w:p>
        </w:tc>
        <w:tc>
          <w:tcPr>
            <w:tcW w:w="1213" w:type="pct"/>
          </w:tcPr>
          <w:p w:rsidR="00150046" w:rsidRPr="004E5B91" w:rsidRDefault="00150046" w:rsidP="007834B7">
            <w:pPr>
              <w:jc w:val="center"/>
              <w:rPr>
                <w:rFonts w:ascii="Arial Narrow" w:hAnsi="Arial Narrow"/>
                <w:sz w:val="20"/>
              </w:rPr>
            </w:pPr>
            <w:r w:rsidRPr="004E5B91">
              <w:rPr>
                <w:rFonts w:ascii="Arial Narrow" w:hAnsi="Arial Narrow"/>
                <w:sz w:val="20"/>
              </w:rPr>
              <w:t>1.91</w:t>
            </w:r>
          </w:p>
        </w:tc>
        <w:tc>
          <w:tcPr>
            <w:tcW w:w="1250" w:type="pct"/>
          </w:tcPr>
          <w:p w:rsidR="00150046" w:rsidRPr="004E5B91" w:rsidRDefault="00150046" w:rsidP="007834B7">
            <w:pPr>
              <w:jc w:val="center"/>
              <w:rPr>
                <w:rFonts w:ascii="Arial Narrow" w:hAnsi="Arial Narrow"/>
                <w:sz w:val="20"/>
              </w:rPr>
            </w:pPr>
            <w:r w:rsidRPr="004E5B91">
              <w:rPr>
                <w:rFonts w:ascii="Arial Narrow" w:hAnsi="Arial Narrow"/>
                <w:sz w:val="20"/>
              </w:rPr>
              <w:t>1.12</w:t>
            </w:r>
          </w:p>
        </w:tc>
        <w:tc>
          <w:tcPr>
            <w:tcW w:w="1178" w:type="pct"/>
          </w:tcPr>
          <w:p w:rsidR="00150046" w:rsidRPr="004E5B91" w:rsidRDefault="00150046" w:rsidP="007834B7">
            <w:pPr>
              <w:jc w:val="center"/>
              <w:rPr>
                <w:rFonts w:ascii="Arial Narrow" w:hAnsi="Arial Narrow"/>
                <w:sz w:val="20"/>
              </w:rPr>
            </w:pPr>
            <w:r w:rsidRPr="004E5B91">
              <w:rPr>
                <w:rFonts w:ascii="Arial Narrow" w:hAnsi="Arial Narrow"/>
                <w:sz w:val="20"/>
              </w:rPr>
              <w:t>0.79</w:t>
            </w:r>
          </w:p>
        </w:tc>
      </w:tr>
      <w:tr w:rsidR="00150046" w:rsidRPr="004E5B91" w:rsidTr="007834B7">
        <w:tc>
          <w:tcPr>
            <w:tcW w:w="3822" w:type="pct"/>
            <w:gridSpan w:val="3"/>
            <w:vAlign w:val="center"/>
          </w:tcPr>
          <w:p w:rsidR="00150046" w:rsidRPr="004E5B91" w:rsidRDefault="00150046" w:rsidP="007834B7">
            <w:pPr>
              <w:jc w:val="left"/>
              <w:rPr>
                <w:rFonts w:ascii="Arial Narrow" w:hAnsi="Arial Narrow"/>
                <w:b/>
                <w:sz w:val="20"/>
              </w:rPr>
            </w:pPr>
            <w:r w:rsidRPr="004E5B91">
              <w:rPr>
                <w:rFonts w:ascii="Arial Narrow" w:hAnsi="Arial Narrow"/>
                <w:b/>
                <w:sz w:val="20"/>
              </w:rPr>
              <w:t>Incremental cost/extra QALY gained</w:t>
            </w:r>
          </w:p>
        </w:tc>
        <w:tc>
          <w:tcPr>
            <w:tcW w:w="1178" w:type="pct"/>
            <w:vAlign w:val="center"/>
          </w:tcPr>
          <w:p w:rsidR="00150046" w:rsidRPr="004E5B91" w:rsidRDefault="00150046" w:rsidP="007834B7">
            <w:pPr>
              <w:jc w:val="center"/>
              <w:rPr>
                <w:rFonts w:ascii="Arial Narrow" w:hAnsi="Arial Narrow"/>
                <w:sz w:val="20"/>
              </w:rPr>
            </w:pPr>
            <w:r w:rsidRPr="004E5B91">
              <w:rPr>
                <w:rFonts w:ascii="Arial Narrow" w:hAnsi="Arial Narrow" w:cs="Times New Roman"/>
                <w:sz w:val="20"/>
              </w:rPr>
              <w:t>$</w:t>
            </w:r>
            <w:r w:rsidR="00112B75">
              <w:rPr>
                <w:rFonts w:ascii="Arial Narrow" w:hAnsi="Arial Narrow" w:cs="Times New Roman"/>
                <w:noProof/>
                <w:color w:val="000000"/>
                <w:sz w:val="20"/>
                <w:highlight w:val="black"/>
              </w:rPr>
              <w:t>'''''''''''''''''</w:t>
            </w:r>
          </w:p>
        </w:tc>
      </w:tr>
    </w:tbl>
    <w:p w:rsidR="00150046" w:rsidRPr="004E5B91" w:rsidRDefault="00150046" w:rsidP="00150046">
      <w:pPr>
        <w:pStyle w:val="TableFooter"/>
        <w:ind w:firstLine="720"/>
      </w:pPr>
      <w:r w:rsidRPr="004E5B91">
        <w:t>Source: Table D.5.8, p.21</w:t>
      </w:r>
      <w:r w:rsidR="00DD2317">
        <w:t>6 of the submission</w:t>
      </w:r>
    </w:p>
    <w:p w:rsidR="004E5B91" w:rsidRPr="004E5B91" w:rsidRDefault="004E5B91" w:rsidP="004E5B91">
      <w:pPr>
        <w:pStyle w:val="PBACHeading1"/>
        <w:numPr>
          <w:ilvl w:val="0"/>
          <w:numId w:val="0"/>
        </w:numPr>
        <w:ind w:left="720" w:hanging="720"/>
        <w:rPr>
          <w:rStyle w:val="CommentReference"/>
          <w:rFonts w:ascii="Arial" w:hAnsi="Arial"/>
          <w:sz w:val="22"/>
          <w:szCs w:val="22"/>
        </w:rPr>
      </w:pPr>
    </w:p>
    <w:p w:rsidR="00150046" w:rsidRPr="005F6FFA" w:rsidRDefault="00150046" w:rsidP="00150046">
      <w:pPr>
        <w:pStyle w:val="ListParagraph"/>
        <w:widowControl/>
        <w:numPr>
          <w:ilvl w:val="1"/>
          <w:numId w:val="1"/>
        </w:numPr>
        <w:rPr>
          <w:szCs w:val="22"/>
        </w:rPr>
      </w:pPr>
      <w:r w:rsidRPr="00A12902">
        <w:t xml:space="preserve">The submission used ex-manufacturer prices of pembrolizumab and ipilimumab in the model.  </w:t>
      </w:r>
      <w:r w:rsidR="00673951">
        <w:t xml:space="preserve">Each </w:t>
      </w:r>
      <w:r w:rsidRPr="00A12902">
        <w:t>price</w:t>
      </w:r>
      <w:r w:rsidR="00673951">
        <w:t xml:space="preserve"> was</w:t>
      </w:r>
      <w:r w:rsidRPr="00A12902">
        <w:t xml:space="preserve"> converted during the evaluation to </w:t>
      </w:r>
      <w:r w:rsidR="00673951">
        <w:t>the corresponding dispensed price for maximum amount (</w:t>
      </w:r>
      <w:r w:rsidRPr="00A12902">
        <w:t>DPMA</w:t>
      </w:r>
      <w:r w:rsidR="00673951">
        <w:t>)</w:t>
      </w:r>
      <w:r w:rsidR="007047A9">
        <w:t>.</w:t>
      </w:r>
    </w:p>
    <w:p w:rsidR="00150046" w:rsidRPr="004E5B91" w:rsidRDefault="00150046" w:rsidP="00150046">
      <w:pPr>
        <w:pStyle w:val="PBACHeading1"/>
        <w:numPr>
          <w:ilvl w:val="0"/>
          <w:numId w:val="0"/>
        </w:numPr>
        <w:rPr>
          <w:rStyle w:val="CommentReference"/>
          <w:rFonts w:ascii="Arial" w:hAnsi="Arial"/>
          <w:sz w:val="22"/>
          <w:szCs w:val="22"/>
        </w:rPr>
      </w:pPr>
    </w:p>
    <w:p w:rsidR="00150046" w:rsidRPr="004E5B91" w:rsidRDefault="00150046" w:rsidP="00150046">
      <w:pPr>
        <w:widowControl/>
        <w:jc w:val="left"/>
        <w:rPr>
          <w:i/>
          <w:szCs w:val="22"/>
          <w:u w:val="single"/>
        </w:rPr>
      </w:pPr>
      <w:r w:rsidRPr="004E5B91">
        <w:rPr>
          <w:i/>
          <w:szCs w:val="22"/>
          <w:u w:val="single"/>
        </w:rPr>
        <w:t>Pre-Sub-Committee Response (received 28 January 2015)</w:t>
      </w:r>
    </w:p>
    <w:p w:rsidR="00150046" w:rsidRPr="004E5B91" w:rsidRDefault="00150046" w:rsidP="00150046">
      <w:pPr>
        <w:pStyle w:val="PBACHeading1"/>
        <w:numPr>
          <w:ilvl w:val="0"/>
          <w:numId w:val="0"/>
        </w:numPr>
        <w:rPr>
          <w:rStyle w:val="CommentReference"/>
          <w:rFonts w:ascii="Arial" w:hAnsi="Arial"/>
          <w:sz w:val="22"/>
          <w:szCs w:val="22"/>
        </w:rPr>
      </w:pPr>
    </w:p>
    <w:p w:rsidR="00150046" w:rsidRPr="004E5B91" w:rsidRDefault="00150046" w:rsidP="004E5B91">
      <w:pPr>
        <w:pStyle w:val="ListParagraph"/>
        <w:widowControl/>
        <w:numPr>
          <w:ilvl w:val="1"/>
          <w:numId w:val="1"/>
        </w:numPr>
        <w:rPr>
          <w:szCs w:val="22"/>
        </w:rPr>
      </w:pPr>
      <w:r w:rsidRPr="00150046">
        <w:rPr>
          <w:rStyle w:val="CommentReference"/>
          <w:rFonts w:ascii="Arial" w:hAnsi="Arial"/>
          <w:b w:val="0"/>
          <w:sz w:val="22"/>
          <w:szCs w:val="22"/>
        </w:rPr>
        <w:t xml:space="preserve">The results of the modelled evaluation as updated in the PSCR are provided in the table below. </w:t>
      </w:r>
      <w:r w:rsidR="004E5B91">
        <w:rPr>
          <w:rStyle w:val="CommentReference"/>
          <w:rFonts w:ascii="Arial" w:hAnsi="Arial"/>
          <w:b w:val="0"/>
          <w:sz w:val="22"/>
          <w:szCs w:val="22"/>
        </w:rPr>
        <w:t xml:space="preserve"> </w:t>
      </w:r>
      <w:r w:rsidRPr="00150046">
        <w:t xml:space="preserve">The </w:t>
      </w:r>
      <w:r w:rsidR="004E5B91">
        <w:t xml:space="preserve">main </w:t>
      </w:r>
      <w:r w:rsidRPr="00CF5B43">
        <w:t xml:space="preserve">change made to the </w:t>
      </w:r>
      <w:r w:rsidR="004E5B91">
        <w:t xml:space="preserve">revised </w:t>
      </w:r>
      <w:r w:rsidRPr="00CF5B43">
        <w:t xml:space="preserve">model reported in the PSCR </w:t>
      </w:r>
      <w:r w:rsidR="004E5B91">
        <w:t>was the c</w:t>
      </w:r>
      <w:r w:rsidRPr="00CF5B43">
        <w:t>onvergence of the OS curves for pembrolizumab and ipilimumab at 10 years instead of 40 years as in the submission.</w:t>
      </w:r>
      <w:r w:rsidRPr="004E5B91">
        <w:rPr>
          <w:szCs w:val="22"/>
        </w:rPr>
        <w:t xml:space="preserve"> This increased the sponsor’s ICER estimate from </w:t>
      </w:r>
      <w:r w:rsidR="00840248" w:rsidRPr="00840248">
        <w:rPr>
          <w:szCs w:val="22"/>
        </w:rPr>
        <w:t>$45,000/QALY - $75,000/QALY</w:t>
      </w:r>
      <w:r w:rsidR="00840248" w:rsidRPr="004E5B91">
        <w:rPr>
          <w:szCs w:val="22"/>
        </w:rPr>
        <w:t xml:space="preserve"> </w:t>
      </w:r>
      <w:r w:rsidRPr="004E5B91">
        <w:rPr>
          <w:szCs w:val="22"/>
        </w:rPr>
        <w:t xml:space="preserve">to </w:t>
      </w:r>
      <w:r w:rsidR="00840248" w:rsidRPr="00840248">
        <w:rPr>
          <w:szCs w:val="22"/>
        </w:rPr>
        <w:t>$45,000/QALY - $75,000/QALY</w:t>
      </w:r>
      <w:r w:rsidR="00840248" w:rsidRPr="004E5B91">
        <w:rPr>
          <w:szCs w:val="22"/>
        </w:rPr>
        <w:t xml:space="preserve"> </w:t>
      </w:r>
      <w:r w:rsidRPr="004E5B91">
        <w:rPr>
          <w:szCs w:val="22"/>
        </w:rPr>
        <w:t>(</w:t>
      </w:r>
      <w:r w:rsidR="00673951">
        <w:rPr>
          <w:szCs w:val="22"/>
        </w:rPr>
        <w:t>using</w:t>
      </w:r>
      <w:r w:rsidRPr="004E5B91">
        <w:rPr>
          <w:szCs w:val="22"/>
        </w:rPr>
        <w:t xml:space="preserve"> </w:t>
      </w:r>
      <w:r w:rsidR="004E5B91">
        <w:rPr>
          <w:szCs w:val="22"/>
        </w:rPr>
        <w:t>DPMA).</w:t>
      </w:r>
    </w:p>
    <w:p w:rsidR="00150046" w:rsidRPr="00150046" w:rsidRDefault="00150046" w:rsidP="00150046">
      <w:pPr>
        <w:pStyle w:val="PBACHeading1"/>
        <w:numPr>
          <w:ilvl w:val="0"/>
          <w:numId w:val="0"/>
        </w:numPr>
        <w:rPr>
          <w:rStyle w:val="CommentReference"/>
          <w:rFonts w:ascii="Arial" w:hAnsi="Arial"/>
          <w:sz w:val="22"/>
          <w:szCs w:val="22"/>
        </w:rPr>
      </w:pPr>
    </w:p>
    <w:p w:rsidR="00CA498A" w:rsidRDefault="00CA498A">
      <w:pPr>
        <w:widowControl/>
        <w:jc w:val="left"/>
        <w:rPr>
          <w:rStyle w:val="CommentReference"/>
        </w:rPr>
      </w:pPr>
      <w:r>
        <w:rPr>
          <w:rStyle w:val="CommentReference"/>
          <w:b w:val="0"/>
        </w:rPr>
        <w:br w:type="page"/>
      </w:r>
    </w:p>
    <w:p w:rsidR="00AE3120" w:rsidRPr="00AE3120" w:rsidRDefault="00AE3120" w:rsidP="00AE3120">
      <w:pPr>
        <w:pStyle w:val="PBACHeading1"/>
        <w:numPr>
          <w:ilvl w:val="0"/>
          <w:numId w:val="0"/>
        </w:numPr>
        <w:ind w:left="720"/>
        <w:rPr>
          <w:rStyle w:val="CommentReference"/>
          <w:b/>
        </w:rPr>
      </w:pPr>
      <w:r w:rsidRPr="00AE3120">
        <w:rPr>
          <w:rStyle w:val="CommentReference"/>
          <w:b/>
        </w:rPr>
        <w:lastRenderedPageBreak/>
        <w:t>Results of the economic evaluation – submission and PSCR</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conomic evaluation"/>
      </w:tblPr>
      <w:tblGrid>
        <w:gridCol w:w="3119"/>
        <w:gridCol w:w="1984"/>
        <w:gridCol w:w="1561"/>
        <w:gridCol w:w="1681"/>
      </w:tblGrid>
      <w:tr w:rsidR="004E5B91" w:rsidRPr="00CF5B43" w:rsidTr="004E5B91">
        <w:trPr>
          <w:tblHeader/>
        </w:trPr>
        <w:tc>
          <w:tcPr>
            <w:tcW w:w="186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keepNext/>
              <w:snapToGrid w:val="0"/>
              <w:jc w:val="left"/>
              <w:rPr>
                <w:rFonts w:ascii="Arial Narrow" w:hAnsi="Arial Narrow"/>
                <w:b/>
                <w:sz w:val="20"/>
              </w:rPr>
            </w:pPr>
            <w:r w:rsidRPr="00CF5B43">
              <w:rPr>
                <w:rFonts w:ascii="Arial Narrow" w:hAnsi="Arial Narrow"/>
                <w:b/>
                <w:sz w:val="20"/>
              </w:rPr>
              <w:t>Component</w:t>
            </w:r>
          </w:p>
        </w:tc>
        <w:tc>
          <w:tcPr>
            <w:tcW w:w="118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4E5B91" w:rsidP="00DD7E75">
            <w:pPr>
              <w:keepNext/>
              <w:snapToGrid w:val="0"/>
              <w:jc w:val="center"/>
              <w:rPr>
                <w:rFonts w:ascii="Arial Narrow" w:hAnsi="Arial Narrow"/>
                <w:b/>
                <w:sz w:val="20"/>
              </w:rPr>
            </w:pPr>
            <w:r>
              <w:rPr>
                <w:rFonts w:ascii="Arial Narrow" w:hAnsi="Arial Narrow"/>
                <w:b/>
                <w:sz w:val="20"/>
              </w:rPr>
              <w:t>Pembrolizumab</w:t>
            </w:r>
          </w:p>
        </w:tc>
        <w:tc>
          <w:tcPr>
            <w:tcW w:w="935"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4E5B91" w:rsidP="00DD7E75">
            <w:pPr>
              <w:keepNext/>
              <w:snapToGrid w:val="0"/>
              <w:jc w:val="center"/>
              <w:rPr>
                <w:rFonts w:ascii="Arial Narrow" w:hAnsi="Arial Narrow"/>
                <w:b/>
                <w:sz w:val="20"/>
              </w:rPr>
            </w:pPr>
            <w:r>
              <w:rPr>
                <w:rFonts w:ascii="Arial Narrow" w:hAnsi="Arial Narrow"/>
                <w:b/>
                <w:sz w:val="20"/>
              </w:rPr>
              <w:t>Ipilimumab</w:t>
            </w:r>
          </w:p>
        </w:tc>
        <w:tc>
          <w:tcPr>
            <w:tcW w:w="1007"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keepNext/>
              <w:snapToGrid w:val="0"/>
              <w:jc w:val="center"/>
              <w:rPr>
                <w:rFonts w:ascii="Arial Narrow" w:hAnsi="Arial Narrow"/>
                <w:b/>
                <w:sz w:val="20"/>
              </w:rPr>
            </w:pPr>
            <w:r w:rsidRPr="00CF5B43">
              <w:rPr>
                <w:rFonts w:ascii="Arial Narrow" w:hAnsi="Arial Narrow"/>
                <w:b/>
                <w:sz w:val="20"/>
              </w:rPr>
              <w:t>Increment</w:t>
            </w:r>
          </w:p>
        </w:tc>
      </w:tr>
      <w:tr w:rsidR="00AE3120" w:rsidRPr="00CF5B43" w:rsidTr="00DD7E75">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cs="Times New Roman"/>
                <w:b/>
                <w:sz w:val="20"/>
              </w:rPr>
            </w:pPr>
            <w:r w:rsidRPr="00CF5B43">
              <w:rPr>
                <w:rFonts w:ascii="Arial Narrow" w:hAnsi="Arial Narrow" w:cs="Times New Roman"/>
                <w:b/>
                <w:sz w:val="20"/>
              </w:rPr>
              <w:t>Model results from the submission</w:t>
            </w:r>
          </w:p>
        </w:tc>
      </w:tr>
      <w:tr w:rsidR="004E5B91" w:rsidRPr="00CF5B43" w:rsidTr="004E5B91">
        <w:tc>
          <w:tcPr>
            <w:tcW w:w="186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Costs</w:t>
            </w:r>
            <w:r w:rsidRPr="00CF5B43">
              <w:rPr>
                <w:rFonts w:ascii="Arial Narrow" w:hAnsi="Arial Narrow"/>
                <w:sz w:val="20"/>
                <w:vertAlign w:val="superscript"/>
              </w:rPr>
              <w:t>a</w:t>
            </w:r>
          </w:p>
        </w:tc>
        <w:tc>
          <w:tcPr>
            <w:tcW w:w="118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4E5B91" w:rsidP="00DD7E75">
            <w:pPr>
              <w:snapToGrid w:val="0"/>
              <w:jc w:val="center"/>
              <w:rPr>
                <w:rFonts w:ascii="Arial Narrow" w:hAnsi="Arial Narrow" w:cs="Times New Roman"/>
                <w:sz w:val="20"/>
              </w:rPr>
            </w:pPr>
            <w:r>
              <w:rPr>
                <w:rFonts w:ascii="Arial Narrow" w:hAnsi="Arial Narrow" w:cs="Times New Roman"/>
                <w:sz w:val="20"/>
              </w:rPr>
              <w:t>$</w:t>
            </w:r>
            <w:r w:rsidR="00112B75">
              <w:rPr>
                <w:rFonts w:ascii="Arial Narrow" w:hAnsi="Arial Narrow" w:cs="Times New Roman"/>
                <w:noProof/>
                <w:color w:val="000000"/>
                <w:sz w:val="20"/>
                <w:highlight w:val="black"/>
              </w:rPr>
              <w:t>''''''''''''''''''</w:t>
            </w:r>
          </w:p>
        </w:tc>
        <w:tc>
          <w:tcPr>
            <w:tcW w:w="935"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cs="Times New Roman"/>
                <w:sz w:val="20"/>
              </w:rPr>
              <w:t>$130,761</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cs="Times New Roman"/>
                <w:sz w:val="20"/>
              </w:rPr>
              <w:t>$</w:t>
            </w:r>
            <w:r w:rsidR="00112B75">
              <w:rPr>
                <w:rFonts w:ascii="Arial Narrow" w:hAnsi="Arial Narrow" w:cs="Times New Roman"/>
                <w:noProof/>
                <w:color w:val="000000"/>
                <w:sz w:val="20"/>
                <w:highlight w:val="black"/>
              </w:rPr>
              <w:t>'''''''''''''''''</w:t>
            </w:r>
          </w:p>
        </w:tc>
      </w:tr>
      <w:tr w:rsidR="004E5B91" w:rsidRPr="00CF5B43" w:rsidTr="004E5B91">
        <w:tc>
          <w:tcPr>
            <w:tcW w:w="186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QALYs</w:t>
            </w:r>
          </w:p>
        </w:tc>
        <w:tc>
          <w:tcPr>
            <w:tcW w:w="1189"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sz w:val="20"/>
              </w:rPr>
              <w:t>1.91</w:t>
            </w:r>
          </w:p>
        </w:tc>
        <w:tc>
          <w:tcPr>
            <w:tcW w:w="935"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sz w:val="20"/>
              </w:rPr>
              <w:t>1.12</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sz w:val="20"/>
              </w:rPr>
              <w:t>0.79</w:t>
            </w:r>
          </w:p>
        </w:tc>
      </w:tr>
      <w:tr w:rsidR="00AE3120" w:rsidRPr="00CF5B43" w:rsidTr="004E5B91">
        <w:tc>
          <w:tcPr>
            <w:tcW w:w="3993" w:type="pct"/>
            <w:gridSpan w:val="3"/>
            <w:tcBorders>
              <w:top w:val="single" w:sz="4" w:space="0" w:color="auto"/>
              <w:left w:val="single" w:sz="4" w:space="0" w:color="auto"/>
              <w:bottom w:val="double" w:sz="4" w:space="0" w:color="auto"/>
              <w:right w:val="single" w:sz="4" w:space="0" w:color="auto"/>
            </w:tcBorders>
            <w:vAlign w:val="center"/>
            <w:hideMark/>
          </w:tcPr>
          <w:p w:rsidR="00AE3120" w:rsidRPr="00CF5B43" w:rsidRDefault="00AE3120" w:rsidP="00DD7E75">
            <w:pPr>
              <w:snapToGrid w:val="0"/>
              <w:jc w:val="left"/>
              <w:rPr>
                <w:rFonts w:ascii="Arial Narrow" w:hAnsi="Arial Narrow" w:cs="Times New Roman"/>
                <w:b/>
                <w:sz w:val="20"/>
              </w:rPr>
            </w:pPr>
            <w:r w:rsidRPr="00CF5B43">
              <w:rPr>
                <w:rFonts w:ascii="Arial Narrow" w:hAnsi="Arial Narrow"/>
                <w:b/>
                <w:sz w:val="20"/>
              </w:rPr>
              <w:t>Incremental cost/extra QALY gained</w:t>
            </w:r>
          </w:p>
        </w:tc>
        <w:tc>
          <w:tcPr>
            <w:tcW w:w="1007" w:type="pct"/>
            <w:tcBorders>
              <w:top w:val="single" w:sz="4" w:space="0" w:color="auto"/>
              <w:left w:val="single" w:sz="4" w:space="0" w:color="auto"/>
              <w:bottom w:val="double" w:sz="4" w:space="0" w:color="auto"/>
              <w:right w:val="single" w:sz="4" w:space="0" w:color="auto"/>
            </w:tcBorders>
            <w:hideMark/>
          </w:tcPr>
          <w:p w:rsidR="00AE3120" w:rsidRPr="00CF5B43" w:rsidRDefault="00AE3120" w:rsidP="00DD7E75">
            <w:pPr>
              <w:snapToGrid w:val="0"/>
              <w:jc w:val="center"/>
              <w:rPr>
                <w:rFonts w:ascii="Arial Narrow" w:hAnsi="Arial Narrow" w:cs="Times New Roman"/>
                <w:b/>
                <w:sz w:val="20"/>
              </w:rPr>
            </w:pPr>
            <w:r w:rsidRPr="00CF5B43">
              <w:rPr>
                <w:rFonts w:ascii="Arial Narrow" w:hAnsi="Arial Narrow" w:cs="Times New Roman"/>
                <w:b/>
                <w:sz w:val="20"/>
              </w:rPr>
              <w:t>$</w:t>
            </w:r>
            <w:r w:rsidR="00112B75">
              <w:rPr>
                <w:rFonts w:ascii="Arial Narrow" w:hAnsi="Arial Narrow" w:cs="Times New Roman"/>
                <w:b/>
                <w:noProof/>
                <w:color w:val="000000"/>
                <w:sz w:val="20"/>
                <w:highlight w:val="black"/>
              </w:rPr>
              <w:t>'''''''''''''</w:t>
            </w:r>
          </w:p>
        </w:tc>
      </w:tr>
      <w:tr w:rsidR="00AE3120" w:rsidRPr="00CF5B43" w:rsidTr="00DD7E75">
        <w:tc>
          <w:tcPr>
            <w:tcW w:w="5000" w:type="pct"/>
            <w:gridSpan w:val="4"/>
            <w:tcBorders>
              <w:top w:val="doub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cs="Times New Roman"/>
                <w:b/>
                <w:sz w:val="20"/>
              </w:rPr>
            </w:pPr>
            <w:r w:rsidRPr="00CF5B43">
              <w:rPr>
                <w:rFonts w:ascii="Arial Narrow" w:hAnsi="Arial Narrow" w:cs="Times New Roman"/>
                <w:b/>
                <w:sz w:val="20"/>
              </w:rPr>
              <w:t>Model results from the PSCR</w:t>
            </w:r>
          </w:p>
        </w:tc>
      </w:tr>
      <w:tr w:rsidR="004E5B91" w:rsidRPr="00CF5B43" w:rsidTr="004E5B91">
        <w:tc>
          <w:tcPr>
            <w:tcW w:w="186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Costs</w:t>
            </w:r>
            <w:r w:rsidRPr="00CF5B43">
              <w:rPr>
                <w:rFonts w:ascii="Arial Narrow" w:hAnsi="Arial Narrow"/>
                <w:sz w:val="20"/>
                <w:vertAlign w:val="superscript"/>
              </w:rPr>
              <w:t>a</w:t>
            </w:r>
          </w:p>
        </w:tc>
        <w:tc>
          <w:tcPr>
            <w:tcW w:w="118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cs="Times New Roman"/>
                <w:sz w:val="20"/>
              </w:rPr>
              <w:t>$</w:t>
            </w:r>
            <w:r w:rsidR="00112B75">
              <w:rPr>
                <w:rFonts w:ascii="Arial Narrow" w:hAnsi="Arial Narrow" w:cs="Times New Roman"/>
                <w:noProof/>
                <w:color w:val="000000"/>
                <w:sz w:val="20"/>
                <w:highlight w:val="black"/>
              </w:rPr>
              <w:t>''''''''''''''''''''</w:t>
            </w:r>
          </w:p>
        </w:tc>
        <w:tc>
          <w:tcPr>
            <w:tcW w:w="935"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cs="Times New Roman"/>
                <w:sz w:val="20"/>
              </w:rPr>
              <w:t>$130,950</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cs="Times New Roman"/>
                <w:sz w:val="20"/>
              </w:rPr>
              <w:t>$</w:t>
            </w:r>
            <w:r w:rsidR="00112B75">
              <w:rPr>
                <w:rFonts w:ascii="Arial Narrow" w:hAnsi="Arial Narrow" w:cs="Times New Roman"/>
                <w:noProof/>
                <w:color w:val="000000"/>
                <w:sz w:val="20"/>
                <w:highlight w:val="black"/>
              </w:rPr>
              <w:t>'''''''''''''''</w:t>
            </w:r>
          </w:p>
        </w:tc>
      </w:tr>
      <w:tr w:rsidR="004E5B91" w:rsidRPr="00CF5B43" w:rsidTr="004E5B91">
        <w:tc>
          <w:tcPr>
            <w:tcW w:w="186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QALYs</w:t>
            </w:r>
          </w:p>
        </w:tc>
        <w:tc>
          <w:tcPr>
            <w:tcW w:w="1189"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center"/>
              <w:rPr>
                <w:rFonts w:ascii="Arial Narrow" w:hAnsi="Arial Narrow" w:cs="Times New Roman"/>
                <w:sz w:val="20"/>
              </w:rPr>
            </w:pPr>
            <w:r w:rsidRPr="00CF5B43">
              <w:rPr>
                <w:rFonts w:ascii="Arial Narrow" w:hAnsi="Arial Narrow" w:cs="Times New Roman"/>
                <w:sz w:val="20"/>
              </w:rPr>
              <w:t>1.84</w:t>
            </w:r>
          </w:p>
        </w:tc>
        <w:tc>
          <w:tcPr>
            <w:tcW w:w="935"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sz w:val="20"/>
              </w:rPr>
            </w:pPr>
            <w:r w:rsidRPr="00CF5B43">
              <w:rPr>
                <w:rFonts w:ascii="Arial Narrow" w:hAnsi="Arial Narrow"/>
                <w:sz w:val="20"/>
              </w:rPr>
              <w:t>1.12</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sz w:val="20"/>
              </w:rPr>
            </w:pPr>
            <w:r w:rsidRPr="00CF5B43">
              <w:rPr>
                <w:rFonts w:ascii="Arial Narrow" w:hAnsi="Arial Narrow"/>
                <w:sz w:val="20"/>
              </w:rPr>
              <w:t>0.72</w:t>
            </w:r>
          </w:p>
        </w:tc>
      </w:tr>
      <w:tr w:rsidR="00AE3120" w:rsidRPr="00CF5B43" w:rsidTr="004E5B91">
        <w:tc>
          <w:tcPr>
            <w:tcW w:w="3993" w:type="pct"/>
            <w:gridSpan w:val="3"/>
            <w:tcBorders>
              <w:top w:val="single" w:sz="4" w:space="0" w:color="auto"/>
              <w:left w:val="single" w:sz="4" w:space="0" w:color="auto"/>
              <w:bottom w:val="double" w:sz="4" w:space="0" w:color="auto"/>
              <w:right w:val="single" w:sz="4" w:space="0" w:color="auto"/>
            </w:tcBorders>
            <w:vAlign w:val="center"/>
            <w:hideMark/>
          </w:tcPr>
          <w:p w:rsidR="00AE3120" w:rsidRPr="00CF5B43" w:rsidRDefault="00AE3120" w:rsidP="00DD7E75">
            <w:pPr>
              <w:snapToGrid w:val="0"/>
              <w:jc w:val="left"/>
              <w:rPr>
                <w:rFonts w:ascii="Arial Narrow" w:hAnsi="Arial Narrow"/>
                <w:b/>
                <w:sz w:val="20"/>
              </w:rPr>
            </w:pPr>
            <w:r w:rsidRPr="00CF5B43">
              <w:rPr>
                <w:rFonts w:ascii="Arial Narrow" w:hAnsi="Arial Narrow"/>
                <w:b/>
                <w:sz w:val="20"/>
              </w:rPr>
              <w:t>Incremental cost/extra QALY gained</w:t>
            </w:r>
          </w:p>
        </w:tc>
        <w:tc>
          <w:tcPr>
            <w:tcW w:w="1007" w:type="pct"/>
            <w:tcBorders>
              <w:top w:val="single" w:sz="4" w:space="0" w:color="auto"/>
              <w:left w:val="single" w:sz="4" w:space="0" w:color="auto"/>
              <w:bottom w:val="double" w:sz="4" w:space="0" w:color="auto"/>
              <w:right w:val="single" w:sz="4" w:space="0" w:color="auto"/>
            </w:tcBorders>
            <w:hideMark/>
          </w:tcPr>
          <w:p w:rsidR="00AE3120" w:rsidRPr="00CF5B43" w:rsidRDefault="00AE3120" w:rsidP="00DD7E75">
            <w:pPr>
              <w:snapToGrid w:val="0"/>
              <w:jc w:val="center"/>
              <w:rPr>
                <w:rFonts w:ascii="Arial Narrow" w:hAnsi="Arial Narrow"/>
                <w:b/>
                <w:sz w:val="20"/>
              </w:rPr>
            </w:pPr>
            <w:r w:rsidRPr="00CF5B43">
              <w:rPr>
                <w:rFonts w:ascii="Arial Narrow" w:hAnsi="Arial Narrow"/>
                <w:b/>
                <w:sz w:val="20"/>
              </w:rPr>
              <w:t>$</w:t>
            </w:r>
            <w:r w:rsidR="00112B75">
              <w:rPr>
                <w:rFonts w:ascii="Arial Narrow" w:hAnsi="Arial Narrow"/>
                <w:b/>
                <w:noProof/>
                <w:color w:val="000000"/>
                <w:sz w:val="20"/>
                <w:highlight w:val="black"/>
              </w:rPr>
              <w:t>'''''''''''''</w:t>
            </w:r>
          </w:p>
        </w:tc>
      </w:tr>
      <w:tr w:rsidR="00AE3120" w:rsidRPr="00CF5B43" w:rsidTr="004E5B91">
        <w:tc>
          <w:tcPr>
            <w:tcW w:w="3993" w:type="pct"/>
            <w:gridSpan w:val="3"/>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b/>
                <w:sz w:val="20"/>
              </w:rPr>
              <w:t>Sensitivity analyses from the PSCR</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b/>
                <w:sz w:val="20"/>
              </w:rPr>
            </w:pPr>
            <w:r w:rsidRPr="00CF5B43">
              <w:rPr>
                <w:rFonts w:ascii="Arial Narrow" w:hAnsi="Arial Narrow"/>
                <w:b/>
                <w:sz w:val="20"/>
              </w:rPr>
              <w:t>ICER</w:t>
            </w:r>
            <w:r w:rsidRPr="00CF5B43">
              <w:rPr>
                <w:rFonts w:ascii="Arial Narrow" w:hAnsi="Arial Narrow"/>
                <w:b/>
                <w:sz w:val="20"/>
                <w:vertAlign w:val="superscript"/>
              </w:rPr>
              <w:t>a</w:t>
            </w:r>
          </w:p>
        </w:tc>
      </w:tr>
      <w:tr w:rsidR="00AE3120" w:rsidRPr="00CF5B43" w:rsidTr="004E5B91">
        <w:tc>
          <w:tcPr>
            <w:tcW w:w="3993" w:type="pct"/>
            <w:gridSpan w:val="3"/>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OS curves converge at 5 years (base case 10 years)</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sz w:val="20"/>
              </w:rPr>
            </w:pPr>
            <w:r w:rsidRPr="00CF5B43">
              <w:rPr>
                <w:rFonts w:ascii="Arial Narrow" w:hAnsi="Arial Narrow"/>
                <w:sz w:val="20"/>
              </w:rPr>
              <w:t>$</w:t>
            </w:r>
            <w:r w:rsidR="00112B75">
              <w:rPr>
                <w:rFonts w:ascii="Arial Narrow" w:hAnsi="Arial Narrow"/>
                <w:noProof/>
                <w:color w:val="000000"/>
                <w:sz w:val="20"/>
                <w:highlight w:val="black"/>
              </w:rPr>
              <w:t>'''''''''''''''</w:t>
            </w:r>
          </w:p>
        </w:tc>
      </w:tr>
      <w:tr w:rsidR="00AE3120" w:rsidRPr="00CF5B43" w:rsidTr="004E5B91">
        <w:tc>
          <w:tcPr>
            <w:tcW w:w="3993" w:type="pct"/>
            <w:gridSpan w:val="3"/>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95% CI of pembrolizumab OS hazard (0.005148, 0.006516)</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sz w:val="20"/>
              </w:rPr>
            </w:pPr>
            <w:r w:rsidRPr="00CF5B43">
              <w:rPr>
                <w:rFonts w:ascii="Arial Narrow" w:hAnsi="Arial Narrow"/>
                <w:sz w:val="20"/>
              </w:rPr>
              <w:t>$</w:t>
            </w:r>
            <w:r w:rsidR="00112B75">
              <w:rPr>
                <w:rFonts w:ascii="Arial Narrow" w:hAnsi="Arial Narrow"/>
                <w:noProof/>
                <w:color w:val="000000"/>
                <w:sz w:val="20"/>
                <w:highlight w:val="black"/>
              </w:rPr>
              <w:t>'''''''''''''''''''''''''''''''''''</w:t>
            </w:r>
          </w:p>
        </w:tc>
      </w:tr>
      <w:tr w:rsidR="00AE3120" w:rsidRPr="00CF5B43" w:rsidTr="004E5B91">
        <w:tc>
          <w:tcPr>
            <w:tcW w:w="3993" w:type="pct"/>
            <w:gridSpan w:val="3"/>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BF3730">
            <w:pPr>
              <w:snapToGrid w:val="0"/>
              <w:jc w:val="left"/>
              <w:rPr>
                <w:rFonts w:ascii="Arial Narrow" w:hAnsi="Arial Narrow"/>
                <w:sz w:val="20"/>
              </w:rPr>
            </w:pPr>
            <w:r w:rsidRPr="00CF5B43">
              <w:rPr>
                <w:rFonts w:ascii="Arial Narrow" w:hAnsi="Arial Narrow"/>
                <w:sz w:val="20"/>
              </w:rPr>
              <w:t xml:space="preserve">Range of OS hazard of ipilimumab, based on point estimate of the hazard and the 95% CI of the hazard ratio over </w:t>
            </w:r>
            <w:r w:rsidR="00BF3730" w:rsidRPr="00BF3730">
              <w:rPr>
                <w:rFonts w:ascii="Arial Narrow" w:hAnsi="Arial Narrow"/>
                <w:sz w:val="20"/>
              </w:rPr>
              <w:t>glycoprotein 100 peptide vaccine</w:t>
            </w:r>
          </w:p>
        </w:tc>
        <w:tc>
          <w:tcPr>
            <w:tcW w:w="1007" w:type="pct"/>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center"/>
              <w:rPr>
                <w:rFonts w:ascii="Arial Narrow" w:hAnsi="Arial Narrow"/>
                <w:sz w:val="20"/>
              </w:rPr>
            </w:pPr>
            <w:r w:rsidRPr="00CF5B43">
              <w:rPr>
                <w:rFonts w:ascii="Arial Narrow" w:hAnsi="Arial Narrow"/>
                <w:sz w:val="20"/>
              </w:rPr>
              <w:t>$</w:t>
            </w:r>
            <w:r w:rsidR="00112B75">
              <w:rPr>
                <w:rFonts w:ascii="Arial Narrow" w:hAnsi="Arial Narrow"/>
                <w:noProof/>
                <w:color w:val="000000"/>
                <w:sz w:val="20"/>
                <w:highlight w:val="black"/>
              </w:rPr>
              <w:t>'''''''''''''''</w:t>
            </w:r>
            <w:r w:rsidRPr="00CF5B43">
              <w:rPr>
                <w:rFonts w:ascii="Arial Narrow" w:hAnsi="Arial Narrow"/>
                <w:sz w:val="20"/>
              </w:rPr>
              <w:t>-$</w:t>
            </w:r>
            <w:r w:rsidR="00112B75">
              <w:rPr>
                <w:rFonts w:ascii="Arial Narrow" w:hAnsi="Arial Narrow"/>
                <w:noProof/>
                <w:color w:val="000000"/>
                <w:sz w:val="20"/>
                <w:highlight w:val="black"/>
              </w:rPr>
              <w:t>''''''''''''''''</w:t>
            </w:r>
          </w:p>
        </w:tc>
      </w:tr>
      <w:tr w:rsidR="00AE3120" w:rsidRPr="00CF5B43" w:rsidTr="004E5B91">
        <w:tc>
          <w:tcPr>
            <w:tcW w:w="3993" w:type="pct"/>
            <w:gridSpan w:val="3"/>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Hazards of both pembrolizumab and ipilimumab (upper and lower 95% confidence limits)</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sz w:val="20"/>
              </w:rPr>
            </w:pPr>
            <w:r w:rsidRPr="00CF5B43">
              <w:rPr>
                <w:rFonts w:ascii="Arial Narrow" w:hAnsi="Arial Narrow"/>
                <w:sz w:val="20"/>
              </w:rPr>
              <w:t>$</w:t>
            </w:r>
            <w:r w:rsidR="00112B75">
              <w:rPr>
                <w:rFonts w:ascii="Arial Narrow" w:hAnsi="Arial Narrow"/>
                <w:noProof/>
                <w:color w:val="000000"/>
                <w:sz w:val="20"/>
                <w:highlight w:val="black"/>
              </w:rPr>
              <w:t>'''''''''''''''''</w:t>
            </w:r>
            <w:r w:rsidRPr="00CF5B43">
              <w:rPr>
                <w:rFonts w:ascii="Arial Narrow" w:hAnsi="Arial Narrow"/>
                <w:sz w:val="20"/>
              </w:rPr>
              <w:t>-$</w:t>
            </w:r>
            <w:r w:rsidR="00112B75">
              <w:rPr>
                <w:rFonts w:ascii="Arial Narrow" w:hAnsi="Arial Narrow"/>
                <w:noProof/>
                <w:color w:val="000000"/>
                <w:sz w:val="20"/>
                <w:highlight w:val="black"/>
              </w:rPr>
              <w:t>''''''''''''''''</w:t>
            </w:r>
          </w:p>
        </w:tc>
      </w:tr>
      <w:tr w:rsidR="00AE3120" w:rsidRPr="00CF5B43" w:rsidTr="004E5B91">
        <w:tc>
          <w:tcPr>
            <w:tcW w:w="3993" w:type="pct"/>
            <w:gridSpan w:val="3"/>
            <w:tcBorders>
              <w:top w:val="single" w:sz="4" w:space="0" w:color="auto"/>
              <w:left w:val="single" w:sz="4" w:space="0" w:color="auto"/>
              <w:bottom w:val="single" w:sz="4" w:space="0" w:color="auto"/>
              <w:right w:val="single" w:sz="4" w:space="0" w:color="auto"/>
            </w:tcBorders>
            <w:vAlign w:val="center"/>
            <w:hideMark/>
          </w:tcPr>
          <w:p w:rsidR="00AE3120" w:rsidRPr="00CF5B43" w:rsidRDefault="00AE3120" w:rsidP="00DD7E75">
            <w:pPr>
              <w:snapToGrid w:val="0"/>
              <w:jc w:val="left"/>
              <w:rPr>
                <w:rFonts w:ascii="Arial Narrow" w:hAnsi="Arial Narrow"/>
                <w:sz w:val="20"/>
              </w:rPr>
            </w:pPr>
            <w:r w:rsidRPr="00CF5B43">
              <w:rPr>
                <w:rFonts w:ascii="Arial Narrow" w:hAnsi="Arial Narrow"/>
                <w:sz w:val="20"/>
              </w:rPr>
              <w:t>Range of ipilimumab usage post pembrolizumab (0-20%)</w:t>
            </w:r>
          </w:p>
        </w:tc>
        <w:tc>
          <w:tcPr>
            <w:tcW w:w="1007" w:type="pct"/>
            <w:tcBorders>
              <w:top w:val="single" w:sz="4" w:space="0" w:color="auto"/>
              <w:left w:val="single" w:sz="4" w:space="0" w:color="auto"/>
              <w:bottom w:val="single" w:sz="4" w:space="0" w:color="auto"/>
              <w:right w:val="single" w:sz="4" w:space="0" w:color="auto"/>
            </w:tcBorders>
            <w:hideMark/>
          </w:tcPr>
          <w:p w:rsidR="00AE3120" w:rsidRPr="00CF5B43" w:rsidRDefault="00AE3120" w:rsidP="00DD7E75">
            <w:pPr>
              <w:snapToGrid w:val="0"/>
              <w:jc w:val="center"/>
              <w:rPr>
                <w:rFonts w:ascii="Arial Narrow" w:hAnsi="Arial Narrow"/>
                <w:sz w:val="20"/>
              </w:rPr>
            </w:pPr>
            <w:r w:rsidRPr="00CF5B43">
              <w:rPr>
                <w:rFonts w:ascii="Arial Narrow" w:hAnsi="Arial Narrow"/>
                <w:sz w:val="20"/>
              </w:rPr>
              <w:t>$</w:t>
            </w:r>
            <w:r w:rsidR="00112B75">
              <w:rPr>
                <w:rFonts w:ascii="Arial Narrow" w:hAnsi="Arial Narrow"/>
                <w:noProof/>
                <w:color w:val="000000"/>
                <w:sz w:val="20"/>
                <w:highlight w:val="black"/>
              </w:rPr>
              <w:t>'''''''''''''''</w:t>
            </w:r>
            <w:r w:rsidRPr="00CF5B43">
              <w:rPr>
                <w:rFonts w:ascii="Arial Narrow" w:hAnsi="Arial Narrow"/>
                <w:sz w:val="20"/>
              </w:rPr>
              <w:t>-$</w:t>
            </w:r>
            <w:r w:rsidR="00112B75">
              <w:rPr>
                <w:rFonts w:ascii="Arial Narrow" w:hAnsi="Arial Narrow"/>
                <w:noProof/>
                <w:color w:val="000000"/>
                <w:sz w:val="20"/>
                <w:highlight w:val="black"/>
              </w:rPr>
              <w:t>''''''''''''''''</w:t>
            </w:r>
          </w:p>
        </w:tc>
      </w:tr>
    </w:tbl>
    <w:p w:rsidR="00AE3120" w:rsidRPr="004E5B91" w:rsidRDefault="00AE3120" w:rsidP="004E5B91">
      <w:pPr>
        <w:tabs>
          <w:tab w:val="left" w:pos="851"/>
        </w:tabs>
        <w:ind w:left="851" w:hanging="142"/>
        <w:rPr>
          <w:rFonts w:ascii="Arial Narrow" w:hAnsi="Arial Narrow"/>
          <w:sz w:val="18"/>
          <w:szCs w:val="18"/>
        </w:rPr>
      </w:pPr>
      <w:r w:rsidRPr="004E5B91">
        <w:rPr>
          <w:rFonts w:ascii="Arial Narrow" w:hAnsi="Arial Narrow"/>
          <w:sz w:val="18"/>
          <w:szCs w:val="18"/>
          <w:vertAlign w:val="superscript"/>
        </w:rPr>
        <w:t>a</w:t>
      </w:r>
      <w:r w:rsidRPr="004E5B91">
        <w:rPr>
          <w:rFonts w:ascii="Arial Narrow" w:hAnsi="Arial Narrow"/>
          <w:sz w:val="18"/>
          <w:szCs w:val="18"/>
        </w:rPr>
        <w:t xml:space="preserve"> </w:t>
      </w:r>
      <w:r w:rsidRPr="004E5B91">
        <w:rPr>
          <w:rFonts w:ascii="Arial Narrow" w:hAnsi="Arial Narrow"/>
          <w:sz w:val="18"/>
          <w:szCs w:val="18"/>
        </w:rPr>
        <w:tab/>
        <w:t>Ex-manufacturer cost of $</w:t>
      </w:r>
      <w:r w:rsidR="00112B75">
        <w:rPr>
          <w:rFonts w:ascii="Arial Narrow" w:hAnsi="Arial Narrow"/>
          <w:noProof/>
          <w:color w:val="000000"/>
          <w:sz w:val="18"/>
          <w:szCs w:val="18"/>
          <w:highlight w:val="black"/>
        </w:rPr>
        <w:t>'''''''''''''''''''''''</w:t>
      </w:r>
      <w:r w:rsidRPr="004E5B91">
        <w:rPr>
          <w:rFonts w:ascii="Arial Narrow" w:hAnsi="Arial Narrow"/>
          <w:sz w:val="18"/>
          <w:szCs w:val="18"/>
        </w:rPr>
        <w:t xml:space="preserve"> per cycle for pembrolizumab and $31,351.58 per cycle for ipilimumab changed to DPMA cost of $</w:t>
      </w:r>
      <w:r w:rsidR="00112B75">
        <w:rPr>
          <w:rFonts w:ascii="Arial Narrow" w:hAnsi="Arial Narrow"/>
          <w:noProof/>
          <w:color w:val="000000"/>
          <w:sz w:val="18"/>
          <w:szCs w:val="18"/>
          <w:highlight w:val="black"/>
        </w:rPr>
        <w:t>'''''''''''''''''''''</w:t>
      </w:r>
      <w:r w:rsidRPr="004E5B91">
        <w:rPr>
          <w:rFonts w:ascii="Arial Narrow" w:hAnsi="Arial Narrow"/>
          <w:sz w:val="18"/>
          <w:szCs w:val="18"/>
        </w:rPr>
        <w:t xml:space="preserve"> per cycle for pembrolizumab and $31,793.74 per cycle for ipilimumab.</w:t>
      </w:r>
    </w:p>
    <w:p w:rsidR="00AE3120" w:rsidRPr="00AE3120" w:rsidRDefault="00AE3120" w:rsidP="00AE3120">
      <w:pPr>
        <w:pStyle w:val="PBACHeading1"/>
        <w:numPr>
          <w:ilvl w:val="0"/>
          <w:numId w:val="0"/>
        </w:numPr>
        <w:ind w:left="720"/>
        <w:rPr>
          <w:rFonts w:ascii="Arial Narrow" w:hAnsi="Arial Narrow"/>
          <w:b w:val="0"/>
          <w:sz w:val="18"/>
          <w:szCs w:val="18"/>
        </w:rPr>
      </w:pPr>
      <w:r w:rsidRPr="00AE3120">
        <w:rPr>
          <w:rFonts w:ascii="Arial Narrow" w:hAnsi="Arial Narrow"/>
          <w:b w:val="0"/>
          <w:sz w:val="18"/>
          <w:szCs w:val="18"/>
        </w:rPr>
        <w:t>Source: Table D.5.8, p.216 of the submission and p5 PSCR</w:t>
      </w:r>
    </w:p>
    <w:p w:rsidR="005F6FFA" w:rsidRPr="00956F5A" w:rsidRDefault="005F6FFA" w:rsidP="005F6FFA">
      <w:pPr>
        <w:widowControl/>
        <w:rPr>
          <w:szCs w:val="22"/>
        </w:rPr>
      </w:pPr>
    </w:p>
    <w:p w:rsidR="00D76230" w:rsidRPr="00BB4AC4" w:rsidRDefault="00630F65" w:rsidP="005C1AC0">
      <w:pPr>
        <w:pStyle w:val="ListParagraph"/>
        <w:widowControl/>
        <w:numPr>
          <w:ilvl w:val="1"/>
          <w:numId w:val="1"/>
        </w:numPr>
        <w:rPr>
          <w:szCs w:val="22"/>
        </w:rPr>
      </w:pPr>
      <w:r w:rsidRPr="00BB4AC4">
        <w:t>The ICER estimated by the model did not accurately represent the cost-effectiveness of pembrolizumab given</w:t>
      </w:r>
      <w:r w:rsidR="007A5E56">
        <w:t xml:space="preserve"> the following problems with the model</w:t>
      </w:r>
      <w:r w:rsidR="00D76230" w:rsidRPr="00BB4AC4">
        <w:t>:</w:t>
      </w:r>
    </w:p>
    <w:p w:rsidR="00622633" w:rsidRPr="00622633" w:rsidRDefault="00D76230" w:rsidP="00622633">
      <w:pPr>
        <w:pStyle w:val="ListParagraph"/>
        <w:widowControl/>
        <w:numPr>
          <w:ilvl w:val="1"/>
          <w:numId w:val="7"/>
        </w:numPr>
        <w:ind w:left="993" w:hanging="284"/>
        <w:rPr>
          <w:szCs w:val="22"/>
        </w:rPr>
      </w:pPr>
      <w:r w:rsidRPr="00BB4AC4">
        <w:t>S</w:t>
      </w:r>
      <w:r w:rsidR="00630F65" w:rsidRPr="00BB4AC4">
        <w:t xml:space="preserve">tructural </w:t>
      </w:r>
      <w:r w:rsidR="007A5E56">
        <w:t>problems</w:t>
      </w:r>
      <w:r w:rsidRPr="00BB4AC4">
        <w:t>:</w:t>
      </w:r>
      <w:r w:rsidR="00630F65" w:rsidRPr="00BB4AC4">
        <w:t xml:space="preserve"> </w:t>
      </w:r>
      <w:r w:rsidR="00CD4702" w:rsidRPr="00CD4702">
        <w:t xml:space="preserve">inappropriate application of all-cause mortality </w:t>
      </w:r>
      <w:r w:rsidR="00CD4702">
        <w:t xml:space="preserve">and </w:t>
      </w:r>
      <w:r w:rsidR="00630F65" w:rsidRPr="00BB4AC4">
        <w:t xml:space="preserve">inconsistency with </w:t>
      </w:r>
      <w:r w:rsidR="004E5B91">
        <w:t xml:space="preserve">the expected </w:t>
      </w:r>
      <w:r w:rsidR="00630F65" w:rsidRPr="00BB4AC4">
        <w:t>pembrolizumab treatment algorithm</w:t>
      </w:r>
      <w:r w:rsidR="00A30116">
        <w:t xml:space="preserve">. </w:t>
      </w:r>
      <w:r w:rsidR="004E5B91">
        <w:t xml:space="preserve"> In relation to the latter, t</w:t>
      </w:r>
      <w:r w:rsidR="00A30116" w:rsidRPr="00CF5B43">
        <w:t xml:space="preserve">he ESC noted that assuming the use of ipilimumab after pembrolizumab in 20% of patients </w:t>
      </w:r>
      <w:r w:rsidR="00DB67C4" w:rsidRPr="00CF5B43">
        <w:t xml:space="preserve">as per the sensitivity analysis in the PSCR </w:t>
      </w:r>
      <w:r w:rsidR="00A30116" w:rsidRPr="00CF5B43">
        <w:t>increase</w:t>
      </w:r>
      <w:r w:rsidR="00DB67C4" w:rsidRPr="00CF5B43">
        <w:t>d</w:t>
      </w:r>
      <w:r w:rsidR="00A30116" w:rsidRPr="00CF5B43">
        <w:t xml:space="preserve"> the ICER </w:t>
      </w:r>
      <w:r w:rsidR="004E5B91">
        <w:t xml:space="preserve">for the revised model </w:t>
      </w:r>
      <w:r w:rsidR="00E26A32" w:rsidRPr="00CF5B43">
        <w:t xml:space="preserve">in the PSCR </w:t>
      </w:r>
      <w:r w:rsidR="00A30116" w:rsidRPr="00CF5B43">
        <w:t xml:space="preserve">to </w:t>
      </w:r>
      <w:r w:rsidR="00B268E5" w:rsidRPr="00B268E5">
        <w:t>$75,000/QALY - $105,000/QALY</w:t>
      </w:r>
      <w:r w:rsidR="004E5B91">
        <w:t>.</w:t>
      </w:r>
    </w:p>
    <w:p w:rsidR="00D76230" w:rsidRPr="00622633" w:rsidRDefault="00D76230" w:rsidP="00622633">
      <w:pPr>
        <w:pStyle w:val="ListParagraph"/>
        <w:widowControl/>
        <w:numPr>
          <w:ilvl w:val="1"/>
          <w:numId w:val="7"/>
        </w:numPr>
        <w:ind w:left="993" w:hanging="284"/>
        <w:rPr>
          <w:szCs w:val="22"/>
        </w:rPr>
      </w:pPr>
      <w:r w:rsidRPr="00BB4AC4">
        <w:t>M</w:t>
      </w:r>
      <w:r w:rsidR="00630F65" w:rsidRPr="00BB4AC4">
        <w:t xml:space="preserve">ethodological </w:t>
      </w:r>
      <w:r w:rsidR="007A5E56">
        <w:t>problems</w:t>
      </w:r>
      <w:r w:rsidRPr="00BB4AC4">
        <w:t>: PFS and OS data used in the model were based on fitted values only.  The submission d</w:t>
      </w:r>
      <w:r w:rsidR="004E5B91">
        <w:t>id</w:t>
      </w:r>
      <w:r w:rsidRPr="00BB4AC4">
        <w:t xml:space="preserve"> not apply the available trial data (to the </w:t>
      </w:r>
      <w:r w:rsidR="00B04A82" w:rsidRPr="00BB4AC4">
        <w:t xml:space="preserve">most recent </w:t>
      </w:r>
      <w:r w:rsidRPr="00BB4AC4">
        <w:t>April 2014 data cut) and then extrapolate</w:t>
      </w:r>
      <w:r w:rsidR="004E5B91">
        <w:t>.</w:t>
      </w:r>
      <w:r w:rsidR="002509F8">
        <w:t xml:space="preserve"> </w:t>
      </w:r>
      <w:r w:rsidR="004E5B91">
        <w:t xml:space="preserve"> T</w:t>
      </w:r>
      <w:r w:rsidR="00385ADE" w:rsidRPr="00CF5B43">
        <w:t xml:space="preserve">he ESC noted that </w:t>
      </w:r>
      <w:r w:rsidR="00E26A32" w:rsidRPr="00CF5B43">
        <w:t xml:space="preserve">simultaneously </w:t>
      </w:r>
      <w:r w:rsidR="002509F8" w:rsidRPr="00CF5B43">
        <w:t xml:space="preserve">using </w:t>
      </w:r>
      <w:r w:rsidR="00E26A32" w:rsidRPr="00CF5B43">
        <w:t xml:space="preserve">the </w:t>
      </w:r>
      <w:r w:rsidR="002509F8" w:rsidRPr="00CF5B43">
        <w:t xml:space="preserve">upper 95% confidence </w:t>
      </w:r>
      <w:r w:rsidR="00E26A32" w:rsidRPr="00CF5B43">
        <w:t xml:space="preserve">limits </w:t>
      </w:r>
      <w:r w:rsidR="002509F8" w:rsidRPr="00CF5B43">
        <w:t xml:space="preserve">for </w:t>
      </w:r>
      <w:r w:rsidR="007E6AF6">
        <w:t xml:space="preserve">the </w:t>
      </w:r>
      <w:r w:rsidR="002509F8" w:rsidRPr="00CF5B43">
        <w:t>pembrolizumab and ipilimumab hazards</w:t>
      </w:r>
      <w:r w:rsidR="00E26A32" w:rsidRPr="00CF5B43">
        <w:t xml:space="preserve"> and simultaneously using the lower 95% confidence limits for </w:t>
      </w:r>
      <w:r w:rsidR="007E6AF6">
        <w:t xml:space="preserve">the </w:t>
      </w:r>
      <w:r w:rsidR="00E26A32" w:rsidRPr="00CF5B43">
        <w:t>pembrolizumab and ipilimumab hazards</w:t>
      </w:r>
      <w:r w:rsidR="002509F8" w:rsidRPr="00CF5B43">
        <w:t xml:space="preserve"> g</w:t>
      </w:r>
      <w:r w:rsidR="007E6AF6">
        <w:t>a</w:t>
      </w:r>
      <w:r w:rsidR="002509F8" w:rsidRPr="00CF5B43">
        <w:t xml:space="preserve">ve an ICER </w:t>
      </w:r>
      <w:r w:rsidR="00E26A32" w:rsidRPr="00CF5B43">
        <w:t>range f</w:t>
      </w:r>
      <w:r w:rsidR="007E6AF6">
        <w:t>o</w:t>
      </w:r>
      <w:r w:rsidR="00E26A32" w:rsidRPr="00CF5B43">
        <w:t xml:space="preserve">r the revised model in the PSCR </w:t>
      </w:r>
      <w:r w:rsidR="002509F8" w:rsidRPr="00CF5B43">
        <w:t xml:space="preserve">of </w:t>
      </w:r>
      <w:r w:rsidR="00B268E5">
        <w:t xml:space="preserve">$45,000/QALY - $75,000/QALY </w:t>
      </w:r>
      <w:r w:rsidR="00E26A32" w:rsidRPr="00CF5B43">
        <w:t xml:space="preserve">to </w:t>
      </w:r>
      <w:r w:rsidR="00B268E5" w:rsidRPr="00B268E5">
        <w:t>$75,000/QALY - $105,000/QALY</w:t>
      </w:r>
      <w:r w:rsidR="007E6AF6">
        <w:t xml:space="preserve">. </w:t>
      </w:r>
      <w:r w:rsidRPr="00BB4AC4">
        <w:t xml:space="preserve"> </w:t>
      </w:r>
      <w:r w:rsidR="007E6AF6">
        <w:t>E</w:t>
      </w:r>
      <w:r w:rsidR="00630F65" w:rsidRPr="00BB4AC4">
        <w:t xml:space="preserve">stimates of PFS and OS produced by the model </w:t>
      </w:r>
      <w:r w:rsidR="00493D74">
        <w:t>we</w:t>
      </w:r>
      <w:r w:rsidR="00630F65" w:rsidRPr="00BB4AC4">
        <w:t>re not consistent with the stated timeframe of the model and increase</w:t>
      </w:r>
      <w:r w:rsidR="00493D74">
        <w:t>d</w:t>
      </w:r>
      <w:r w:rsidR="00630F65" w:rsidRPr="00BB4AC4">
        <w:t xml:space="preserve"> the incremental benefit favouring pembrolizumab</w:t>
      </w:r>
      <w:r w:rsidR="002509F8">
        <w:t xml:space="preserve">. </w:t>
      </w:r>
      <w:r w:rsidR="007E6AF6">
        <w:t xml:space="preserve"> </w:t>
      </w:r>
      <w:r w:rsidR="002509F8" w:rsidRPr="00CF5B43">
        <w:t xml:space="preserve">The ESC noted that </w:t>
      </w:r>
      <w:r w:rsidR="007E6AF6">
        <w:t xml:space="preserve">also converging the OS curves by </w:t>
      </w:r>
      <w:r w:rsidR="002509F8" w:rsidRPr="00CF5B43">
        <w:t>5 years increase</w:t>
      </w:r>
      <w:r w:rsidR="007D0998" w:rsidRPr="00CF5B43">
        <w:t>d</w:t>
      </w:r>
      <w:r w:rsidR="002509F8" w:rsidRPr="00CF5B43">
        <w:t xml:space="preserve"> the ICER </w:t>
      </w:r>
      <w:r w:rsidR="00E26A32" w:rsidRPr="00CF5B43">
        <w:t>f</w:t>
      </w:r>
      <w:r w:rsidR="007E6AF6">
        <w:t>o</w:t>
      </w:r>
      <w:r w:rsidR="00E26A32" w:rsidRPr="00CF5B43">
        <w:t xml:space="preserve">r the revised model in the PSCR </w:t>
      </w:r>
      <w:r w:rsidR="002509F8" w:rsidRPr="00CF5B43">
        <w:t xml:space="preserve">to </w:t>
      </w:r>
      <w:r w:rsidR="003161E7">
        <w:t>$45,000/QALY - $75,000/QALY</w:t>
      </w:r>
      <w:r w:rsidR="007E6AF6">
        <w:t>.</w:t>
      </w:r>
    </w:p>
    <w:p w:rsidR="00630F65" w:rsidRPr="00BB4AC4" w:rsidRDefault="00D76230" w:rsidP="009E6854">
      <w:pPr>
        <w:pStyle w:val="ListParagraph"/>
        <w:widowControl/>
        <w:numPr>
          <w:ilvl w:val="1"/>
          <w:numId w:val="7"/>
        </w:numPr>
        <w:ind w:left="993"/>
        <w:rPr>
          <w:szCs w:val="22"/>
        </w:rPr>
      </w:pPr>
      <w:r w:rsidRPr="00BB4AC4">
        <w:t>C</w:t>
      </w:r>
      <w:r w:rsidR="00630F65" w:rsidRPr="00BB4AC4">
        <w:t xml:space="preserve">ontent </w:t>
      </w:r>
      <w:r w:rsidR="007A5E56">
        <w:t>problems</w:t>
      </w:r>
      <w:r w:rsidR="004E5B91">
        <w:t>:</w:t>
      </w:r>
      <w:r w:rsidR="00630F65" w:rsidRPr="00BB4AC4">
        <w:t xml:space="preserve"> disease management cost</w:t>
      </w:r>
      <w:r w:rsidR="004E5B91">
        <w:t>s</w:t>
      </w:r>
      <w:r w:rsidR="00630F65" w:rsidRPr="00BB4AC4">
        <w:t xml:space="preserve"> </w:t>
      </w:r>
      <w:r w:rsidR="009E6854">
        <w:t xml:space="preserve">estimated from the INTUITION study </w:t>
      </w:r>
      <w:r w:rsidR="00630F65" w:rsidRPr="00BB4AC4">
        <w:t>was not representative</w:t>
      </w:r>
      <w:r w:rsidR="009E6854" w:rsidRPr="009E6854">
        <w:t xml:space="preserve"> of Australian patients on ipilimumab and pembrolizumab in the model</w:t>
      </w:r>
      <w:r w:rsidR="00630F65" w:rsidRPr="00BB4AC4">
        <w:t>.</w:t>
      </w:r>
    </w:p>
    <w:p w:rsidR="00622633" w:rsidRDefault="00622633" w:rsidP="00622633">
      <w:pPr>
        <w:rPr>
          <w:szCs w:val="22"/>
        </w:rPr>
      </w:pPr>
    </w:p>
    <w:p w:rsidR="0035277E" w:rsidRPr="0035277E" w:rsidRDefault="0035277E" w:rsidP="00622633">
      <w:pPr>
        <w:pStyle w:val="ListParagraph"/>
        <w:widowControl/>
        <w:numPr>
          <w:ilvl w:val="1"/>
          <w:numId w:val="1"/>
        </w:numPr>
        <w:rPr>
          <w:szCs w:val="22"/>
        </w:rPr>
      </w:pPr>
      <w:r w:rsidRPr="00BB4AC4">
        <w:t xml:space="preserve">A particular concern with the model </w:t>
      </w:r>
      <w:r w:rsidR="00241B2F">
        <w:t>wa</w:t>
      </w:r>
      <w:r w:rsidRPr="00BB4AC4">
        <w:t xml:space="preserve">s that the projected </w:t>
      </w:r>
      <w:r w:rsidR="00241B2F">
        <w:t xml:space="preserve">incremental </w:t>
      </w:r>
      <w:r w:rsidRPr="00BB4AC4">
        <w:t xml:space="preserve">OS </w:t>
      </w:r>
      <w:r w:rsidR="00241B2F">
        <w:t xml:space="preserve">remained </w:t>
      </w:r>
      <w:r w:rsidRPr="00BB4AC4">
        <w:t>unreliable and</w:t>
      </w:r>
      <w:r w:rsidR="007A5E56">
        <w:t xml:space="preserve"> was</w:t>
      </w:r>
      <w:r w:rsidRPr="00BB4AC4">
        <w:t xml:space="preserve"> likely to be significantly overstated.  Importantly, the </w:t>
      </w:r>
      <w:r w:rsidR="007E6AF6">
        <w:t xml:space="preserve">revised base case still assumed convergence of OS beyond the 5-year time horizon of the model (reduced to 10 years for the revised model compared with 40 years for the original </w:t>
      </w:r>
      <w:r w:rsidRPr="00BB4AC4">
        <w:t>model</w:t>
      </w:r>
      <w:r w:rsidR="007E6AF6">
        <w:t>)</w:t>
      </w:r>
      <w:r w:rsidRPr="00BB4AC4">
        <w:t xml:space="preserve">. </w:t>
      </w:r>
      <w:r w:rsidR="007E6AF6">
        <w:t xml:space="preserve"> </w:t>
      </w:r>
      <w:r w:rsidRPr="00BB4AC4">
        <w:t xml:space="preserve">Therefore, even if the early data for PFS and OS in the model </w:t>
      </w:r>
      <w:r w:rsidR="007E6AF6">
        <w:t>we</w:t>
      </w:r>
      <w:r w:rsidRPr="00BB4AC4">
        <w:t xml:space="preserve">re </w:t>
      </w:r>
      <w:r w:rsidRPr="00BB4AC4">
        <w:lastRenderedPageBreak/>
        <w:t>considered reliable, this approach still significant</w:t>
      </w:r>
      <w:r w:rsidR="007E6AF6">
        <w:t xml:space="preserve">ly overstated the modelled incremental </w:t>
      </w:r>
      <w:r w:rsidRPr="00BB4AC4">
        <w:t>OS.</w:t>
      </w:r>
    </w:p>
    <w:p w:rsidR="0035277E" w:rsidRPr="007E6AF6" w:rsidRDefault="0035277E" w:rsidP="0035277E">
      <w:pPr>
        <w:widowControl/>
        <w:rPr>
          <w:szCs w:val="22"/>
        </w:rPr>
      </w:pPr>
    </w:p>
    <w:p w:rsidR="005D21A2" w:rsidRPr="005D21A2" w:rsidRDefault="0035277E" w:rsidP="005D21A2">
      <w:pPr>
        <w:pStyle w:val="ListParagraph"/>
        <w:widowControl/>
        <w:numPr>
          <w:ilvl w:val="1"/>
          <w:numId w:val="1"/>
        </w:numPr>
        <w:rPr>
          <w:szCs w:val="22"/>
        </w:rPr>
      </w:pPr>
      <w:r w:rsidRPr="00BB4AC4">
        <w:t>The submission did not provide any sensitivity analyses using 95% CIs for OS values</w:t>
      </w:r>
      <w:r w:rsidR="007E6AF6">
        <w:t xml:space="preserve"> for the original model</w:t>
      </w:r>
      <w:r w:rsidRPr="00BB4AC4">
        <w:t xml:space="preserve">. </w:t>
      </w:r>
      <w:r w:rsidR="007E6AF6">
        <w:t xml:space="preserve"> </w:t>
      </w:r>
      <w:r w:rsidRPr="00CF5B43">
        <w:t xml:space="preserve">The PSCR provided 95% confidence intervals </w:t>
      </w:r>
      <w:r w:rsidR="007E6AF6">
        <w:t>for</w:t>
      </w:r>
      <w:r w:rsidRPr="00CF5B43">
        <w:t xml:space="preserve"> the revised model.</w:t>
      </w:r>
      <w:r>
        <w:rPr>
          <w:i/>
        </w:rPr>
        <w:t xml:space="preserve"> </w:t>
      </w:r>
      <w:r w:rsidR="007E6AF6">
        <w:rPr>
          <w:i/>
        </w:rPr>
        <w:t xml:space="preserve"> </w:t>
      </w:r>
      <w:r w:rsidRPr="00BB4AC4">
        <w:t xml:space="preserve">In lieu of testing the 95% CI for </w:t>
      </w:r>
      <w:r>
        <w:t xml:space="preserve">incremental </w:t>
      </w:r>
      <w:r w:rsidRPr="00BB4AC4">
        <w:t>OS, and to explore the sensitivity of lambda values</w:t>
      </w:r>
      <w:r w:rsidR="00806E8A">
        <w:rPr>
          <w:rStyle w:val="FootnoteReference"/>
          <w:szCs w:val="22"/>
        </w:rPr>
        <w:footnoteReference w:id="2"/>
      </w:r>
      <w:r w:rsidRPr="00BB4AC4">
        <w:t xml:space="preserve"> in the fitted OS functions, sensitivity analyses conducted during the evaluation varied the lambda values.  A 20% reduction in the value of lambda in the OS function for ipilimumab combined with a 20% increase in the value of lambda in the OS function for pembrolizumab resulted in an ICER of </w:t>
      </w:r>
      <w:r w:rsidR="003161E7">
        <w:t>$75,000/QALY - $105,000/QALY</w:t>
      </w:r>
      <w:r w:rsidRPr="00BB4AC4">
        <w:t>.</w:t>
      </w:r>
      <w:r w:rsidR="005D21A2">
        <w:t xml:space="preserve"> </w:t>
      </w:r>
      <w:r w:rsidR="007E6AF6">
        <w:t xml:space="preserve"> </w:t>
      </w:r>
      <w:r w:rsidR="005D21A2" w:rsidRPr="005D21A2">
        <w:rPr>
          <w:szCs w:val="22"/>
        </w:rPr>
        <w:t xml:space="preserve">The PSCR also presented a sensitivity analysis assuming that up to 20% of pembrolizumab patients might be treated with ipilimumab.  This analysis increased the ICER to </w:t>
      </w:r>
      <w:r w:rsidR="003161E7">
        <w:t>$75,000/QALY - $105,000/QALY</w:t>
      </w:r>
      <w:r w:rsidR="003161E7" w:rsidRPr="005D21A2">
        <w:rPr>
          <w:szCs w:val="22"/>
        </w:rPr>
        <w:t xml:space="preserve"> </w:t>
      </w:r>
      <w:r w:rsidR="005D21A2" w:rsidRPr="005D21A2">
        <w:rPr>
          <w:szCs w:val="22"/>
        </w:rPr>
        <w:t xml:space="preserve">from the revised base case of </w:t>
      </w:r>
      <w:r w:rsidR="003161E7">
        <w:t>$45,000/QALY - $75,000/QALY</w:t>
      </w:r>
      <w:r w:rsidR="005D21A2" w:rsidRPr="005D21A2">
        <w:rPr>
          <w:szCs w:val="22"/>
        </w:rPr>
        <w:t>.</w:t>
      </w:r>
    </w:p>
    <w:p w:rsidR="0035277E" w:rsidRPr="00241B2F" w:rsidRDefault="0035277E">
      <w:pPr>
        <w:widowControl/>
        <w:jc w:val="left"/>
        <w:rPr>
          <w:szCs w:val="22"/>
        </w:rPr>
      </w:pPr>
    </w:p>
    <w:p w:rsidR="005D21A2" w:rsidRPr="00241B2F" w:rsidRDefault="005D21A2" w:rsidP="005D21A2">
      <w:pPr>
        <w:pStyle w:val="ListParagraph"/>
        <w:widowControl/>
        <w:numPr>
          <w:ilvl w:val="1"/>
          <w:numId w:val="1"/>
        </w:numPr>
        <w:rPr>
          <w:szCs w:val="22"/>
        </w:rPr>
      </w:pPr>
      <w:r w:rsidRPr="00241B2F">
        <w:rPr>
          <w:szCs w:val="22"/>
        </w:rPr>
        <w:t xml:space="preserve">The </w:t>
      </w:r>
      <w:r w:rsidR="00241B2F">
        <w:rPr>
          <w:szCs w:val="22"/>
        </w:rPr>
        <w:t xml:space="preserve">revised </w:t>
      </w:r>
      <w:r w:rsidRPr="00241B2F">
        <w:rPr>
          <w:szCs w:val="22"/>
        </w:rPr>
        <w:t xml:space="preserve">model's approach to all-cause mortality still underestimated </w:t>
      </w:r>
      <w:r w:rsidR="00241B2F">
        <w:rPr>
          <w:szCs w:val="22"/>
        </w:rPr>
        <w:t xml:space="preserve">true </w:t>
      </w:r>
      <w:r w:rsidRPr="00241B2F">
        <w:rPr>
          <w:szCs w:val="22"/>
        </w:rPr>
        <w:t xml:space="preserve">all-cause mortality because the model did not allow for the </w:t>
      </w:r>
      <w:r w:rsidR="00241B2F">
        <w:rPr>
          <w:szCs w:val="22"/>
        </w:rPr>
        <w:t xml:space="preserve">background rate </w:t>
      </w:r>
      <w:r w:rsidRPr="00241B2F">
        <w:rPr>
          <w:szCs w:val="22"/>
        </w:rPr>
        <w:t>of all-cause mortality to increase with age over the duration of the model.  This further inflated the overestimation of incremental OS in the model</w:t>
      </w:r>
      <w:r w:rsidR="00241B2F">
        <w:rPr>
          <w:szCs w:val="22"/>
        </w:rPr>
        <w:t xml:space="preserve">, with increasing consequence if the </w:t>
      </w:r>
      <w:r w:rsidRPr="00241B2F">
        <w:rPr>
          <w:szCs w:val="22"/>
        </w:rPr>
        <w:t xml:space="preserve">convergence of OS </w:t>
      </w:r>
      <w:r w:rsidR="00241B2F">
        <w:rPr>
          <w:szCs w:val="22"/>
        </w:rPr>
        <w:t xml:space="preserve">increases from 5 years to </w:t>
      </w:r>
      <w:r w:rsidRPr="00241B2F">
        <w:rPr>
          <w:szCs w:val="22"/>
        </w:rPr>
        <w:t xml:space="preserve">10 years </w:t>
      </w:r>
      <w:r w:rsidR="00241B2F">
        <w:rPr>
          <w:szCs w:val="22"/>
        </w:rPr>
        <w:t xml:space="preserve">and to 40 </w:t>
      </w:r>
      <w:r w:rsidRPr="00241B2F">
        <w:rPr>
          <w:szCs w:val="22"/>
        </w:rPr>
        <w:t>years.</w:t>
      </w:r>
    </w:p>
    <w:p w:rsidR="00150046" w:rsidRDefault="00150046">
      <w:pPr>
        <w:widowControl/>
        <w:jc w:val="left"/>
        <w:rPr>
          <w:i/>
          <w:szCs w:val="22"/>
        </w:rPr>
      </w:pPr>
    </w:p>
    <w:p w:rsidR="005D21A2" w:rsidRPr="00241B2F" w:rsidRDefault="005D21A2" w:rsidP="005D21A2">
      <w:pPr>
        <w:pStyle w:val="ListParagraph"/>
        <w:widowControl/>
        <w:numPr>
          <w:ilvl w:val="1"/>
          <w:numId w:val="1"/>
        </w:numPr>
        <w:rPr>
          <w:szCs w:val="22"/>
        </w:rPr>
      </w:pPr>
      <w:r w:rsidRPr="00622633">
        <w:rPr>
          <w:szCs w:val="22"/>
        </w:rPr>
        <w:t xml:space="preserve">The PFS and OS data used in the revised model </w:t>
      </w:r>
      <w:r w:rsidR="007A5E56">
        <w:rPr>
          <w:szCs w:val="22"/>
        </w:rPr>
        <w:t>we</w:t>
      </w:r>
      <w:r w:rsidRPr="00622633">
        <w:rPr>
          <w:szCs w:val="22"/>
        </w:rPr>
        <w:t>re</w:t>
      </w:r>
      <w:r w:rsidR="007A5E56">
        <w:rPr>
          <w:szCs w:val="22"/>
        </w:rPr>
        <w:t xml:space="preserve"> still</w:t>
      </w:r>
      <w:r w:rsidRPr="00622633">
        <w:rPr>
          <w:szCs w:val="22"/>
        </w:rPr>
        <w:t xml:space="preserve"> based on fitted data only.</w:t>
      </w:r>
      <w:r w:rsidRPr="00622633">
        <w:rPr>
          <w:i/>
          <w:szCs w:val="22"/>
        </w:rPr>
        <w:t xml:space="preserve">  </w:t>
      </w:r>
      <w:r w:rsidRPr="00622633">
        <w:rPr>
          <w:szCs w:val="22"/>
        </w:rPr>
        <w:t>The PSCR argued</w:t>
      </w:r>
      <w:r w:rsidR="00241B2F">
        <w:rPr>
          <w:szCs w:val="22"/>
        </w:rPr>
        <w:t xml:space="preserve"> that the fit of the functions wa</w:t>
      </w:r>
      <w:r w:rsidRPr="00622633">
        <w:rPr>
          <w:szCs w:val="22"/>
        </w:rPr>
        <w:t xml:space="preserve">s relatively good.  The PSCR stated that the sponsor </w:t>
      </w:r>
      <w:r w:rsidR="00241B2F">
        <w:rPr>
          <w:szCs w:val="22"/>
        </w:rPr>
        <w:t>would be</w:t>
      </w:r>
      <w:r w:rsidRPr="00622633">
        <w:rPr>
          <w:szCs w:val="22"/>
        </w:rPr>
        <w:t xml:space="preserve"> prepared to revise the model further, by applying Kaplan-Meier data until it bec</w:t>
      </w:r>
      <w:r w:rsidR="00241B2F">
        <w:rPr>
          <w:szCs w:val="22"/>
        </w:rPr>
        <w:t>ame</w:t>
      </w:r>
      <w:r w:rsidRPr="00622633">
        <w:rPr>
          <w:szCs w:val="22"/>
        </w:rPr>
        <w:t xml:space="preserve"> unreliable (</w:t>
      </w:r>
      <w:r w:rsidR="00241B2F">
        <w:rPr>
          <w:szCs w:val="22"/>
        </w:rPr>
        <w:t>proposed to b</w:t>
      </w:r>
      <w:r w:rsidRPr="00622633">
        <w:rPr>
          <w:szCs w:val="22"/>
        </w:rPr>
        <w:t>e where 20% of patients or 20 patients (whichever is less) are remaining at risk) and then only apply parametric functions beyond this time point</w:t>
      </w:r>
      <w:r w:rsidR="00241B2F">
        <w:rPr>
          <w:szCs w:val="22"/>
        </w:rPr>
        <w:t>.</w:t>
      </w:r>
    </w:p>
    <w:p w:rsidR="005D21A2" w:rsidRPr="00241B2F" w:rsidRDefault="005D21A2">
      <w:pPr>
        <w:widowControl/>
        <w:jc w:val="left"/>
        <w:rPr>
          <w:szCs w:val="22"/>
        </w:rPr>
      </w:pPr>
    </w:p>
    <w:p w:rsidR="00AE3120" w:rsidRPr="00241B2F" w:rsidRDefault="00241B2F" w:rsidP="00AE3120">
      <w:pPr>
        <w:pStyle w:val="ListParagraph"/>
        <w:widowControl/>
        <w:numPr>
          <w:ilvl w:val="1"/>
          <w:numId w:val="1"/>
        </w:numPr>
        <w:rPr>
          <w:szCs w:val="22"/>
        </w:rPr>
      </w:pPr>
      <w:r>
        <w:rPr>
          <w:szCs w:val="22"/>
        </w:rPr>
        <w:t>T</w:t>
      </w:r>
      <w:r w:rsidRPr="00241B2F">
        <w:rPr>
          <w:szCs w:val="22"/>
        </w:rPr>
        <w:t xml:space="preserve">he structure </w:t>
      </w:r>
      <w:r>
        <w:rPr>
          <w:szCs w:val="22"/>
        </w:rPr>
        <w:t xml:space="preserve">of </w:t>
      </w:r>
      <w:r w:rsidR="00AE3120" w:rsidRPr="00241B2F">
        <w:rPr>
          <w:szCs w:val="22"/>
        </w:rPr>
        <w:t xml:space="preserve">the </w:t>
      </w:r>
      <w:r>
        <w:rPr>
          <w:szCs w:val="22"/>
        </w:rPr>
        <w:t>revised model</w:t>
      </w:r>
      <w:r w:rsidR="00AE3120" w:rsidRPr="00241B2F">
        <w:rPr>
          <w:szCs w:val="22"/>
        </w:rPr>
        <w:t xml:space="preserve"> remained inconsistent with </w:t>
      </w:r>
      <w:r w:rsidRPr="00241B2F">
        <w:rPr>
          <w:szCs w:val="22"/>
        </w:rPr>
        <w:t xml:space="preserve">the treatment algorithm </w:t>
      </w:r>
      <w:r>
        <w:rPr>
          <w:szCs w:val="22"/>
        </w:rPr>
        <w:t>because</w:t>
      </w:r>
      <w:r w:rsidR="00AE3120" w:rsidRPr="00241B2F">
        <w:rPr>
          <w:szCs w:val="22"/>
        </w:rPr>
        <w:t xml:space="preserve"> patients failing pembrolizumab d</w:t>
      </w:r>
      <w:r>
        <w:rPr>
          <w:szCs w:val="22"/>
        </w:rPr>
        <w:t>o</w:t>
      </w:r>
      <w:r w:rsidR="00AE3120" w:rsidRPr="00241B2F">
        <w:rPr>
          <w:szCs w:val="22"/>
        </w:rPr>
        <w:t xml:space="preserve"> not receive ipilimumab</w:t>
      </w:r>
      <w:r>
        <w:rPr>
          <w:szCs w:val="22"/>
        </w:rPr>
        <w:t xml:space="preserve">. </w:t>
      </w:r>
      <w:r w:rsidR="00AE3120" w:rsidRPr="00241B2F">
        <w:rPr>
          <w:szCs w:val="22"/>
        </w:rPr>
        <w:t xml:space="preserve"> </w:t>
      </w:r>
      <w:r>
        <w:rPr>
          <w:szCs w:val="22"/>
        </w:rPr>
        <w:t xml:space="preserve">This assumption was only examined </w:t>
      </w:r>
      <w:r w:rsidR="00AE3120" w:rsidRPr="00241B2F">
        <w:rPr>
          <w:szCs w:val="22"/>
        </w:rPr>
        <w:t>in a sensitivity analysis.</w:t>
      </w:r>
    </w:p>
    <w:p w:rsidR="00AE3120" w:rsidRPr="00241B2F" w:rsidRDefault="00AE3120" w:rsidP="00AE3120">
      <w:pPr>
        <w:rPr>
          <w:szCs w:val="22"/>
        </w:rPr>
      </w:pPr>
    </w:p>
    <w:p w:rsidR="00AE3120" w:rsidRPr="00241B2F" w:rsidRDefault="00AE3120" w:rsidP="00AE3120">
      <w:pPr>
        <w:pStyle w:val="ListParagraph"/>
        <w:widowControl/>
        <w:numPr>
          <w:ilvl w:val="1"/>
          <w:numId w:val="1"/>
        </w:numPr>
        <w:rPr>
          <w:szCs w:val="22"/>
        </w:rPr>
      </w:pPr>
      <w:r w:rsidRPr="00241B2F">
        <w:rPr>
          <w:szCs w:val="22"/>
        </w:rPr>
        <w:t>Additionally, the cost of pembrolizumab during the induction phase was still understated in the model because patients with progressive disease in the model discontinue therapy even though the first assessment of PFS only occurs at 12 weeks (4 cycles) and patients are encouraged to complete all 4 cycles.</w:t>
      </w:r>
    </w:p>
    <w:p w:rsidR="00AE3120" w:rsidRPr="00241B2F" w:rsidRDefault="00AE3120" w:rsidP="00AE3120">
      <w:pPr>
        <w:widowControl/>
        <w:rPr>
          <w:szCs w:val="22"/>
        </w:rPr>
      </w:pPr>
    </w:p>
    <w:p w:rsidR="00AE3120" w:rsidRPr="00241B2F" w:rsidRDefault="00AE3120" w:rsidP="00AE3120">
      <w:pPr>
        <w:pStyle w:val="ListParagraph"/>
        <w:widowControl/>
        <w:numPr>
          <w:ilvl w:val="1"/>
          <w:numId w:val="1"/>
        </w:numPr>
        <w:rPr>
          <w:szCs w:val="22"/>
        </w:rPr>
      </w:pPr>
      <w:r w:rsidRPr="00241B2F">
        <w:rPr>
          <w:szCs w:val="22"/>
        </w:rPr>
        <w:t xml:space="preserve">The </w:t>
      </w:r>
      <w:r w:rsidR="006F39CA" w:rsidRPr="00241B2F">
        <w:rPr>
          <w:szCs w:val="22"/>
        </w:rPr>
        <w:t xml:space="preserve">populations </w:t>
      </w:r>
      <w:r w:rsidRPr="00241B2F">
        <w:rPr>
          <w:szCs w:val="22"/>
        </w:rPr>
        <w:t>modelled from KN-001 and Hodi 2010 appear</w:t>
      </w:r>
      <w:r w:rsidR="00E07EDA">
        <w:rPr>
          <w:szCs w:val="22"/>
        </w:rPr>
        <w:t>ed</w:t>
      </w:r>
      <w:r w:rsidRPr="00241B2F">
        <w:rPr>
          <w:szCs w:val="22"/>
        </w:rPr>
        <w:t xml:space="preserve"> to be different.  </w:t>
      </w:r>
      <w:r w:rsidR="007A5E56">
        <w:rPr>
          <w:szCs w:val="22"/>
        </w:rPr>
        <w:t xml:space="preserve">As noted above, </w:t>
      </w:r>
      <w:r w:rsidRPr="00241B2F">
        <w:rPr>
          <w:szCs w:val="22"/>
        </w:rPr>
        <w:t>Hodi 2010 recruited patients who had poorer performance and poorer prognosis, favouring pembrolizumab.  A model based on KN-006 data would remove this issue.</w:t>
      </w:r>
    </w:p>
    <w:p w:rsidR="00AE3120" w:rsidRPr="00241B2F" w:rsidRDefault="00AE3120" w:rsidP="00AE3120">
      <w:pPr>
        <w:rPr>
          <w:szCs w:val="22"/>
        </w:rPr>
      </w:pPr>
    </w:p>
    <w:p w:rsidR="00AE3120" w:rsidRPr="00241B2F" w:rsidRDefault="009F6C92" w:rsidP="00AE3120">
      <w:pPr>
        <w:pStyle w:val="ListParagraph"/>
        <w:widowControl/>
        <w:numPr>
          <w:ilvl w:val="1"/>
          <w:numId w:val="1"/>
        </w:numPr>
        <w:rPr>
          <w:szCs w:val="22"/>
        </w:rPr>
      </w:pPr>
      <w:r w:rsidRPr="00241B2F">
        <w:rPr>
          <w:szCs w:val="22"/>
        </w:rPr>
        <w:t xml:space="preserve">With the exception of the identification of all </w:t>
      </w:r>
      <w:r>
        <w:rPr>
          <w:szCs w:val="22"/>
        </w:rPr>
        <w:t xml:space="preserve">reported </w:t>
      </w:r>
      <w:r w:rsidRPr="00241B2F">
        <w:rPr>
          <w:szCs w:val="22"/>
        </w:rPr>
        <w:t>patients in the INTUITION study being from Australia, the PSCR provide</w:t>
      </w:r>
      <w:r>
        <w:rPr>
          <w:szCs w:val="22"/>
        </w:rPr>
        <w:t>d neither</w:t>
      </w:r>
      <w:r w:rsidRPr="00241B2F">
        <w:rPr>
          <w:szCs w:val="22"/>
        </w:rPr>
        <w:t xml:space="preserve"> adequate explanation nor referencing in relation to estimation of resource use.  </w:t>
      </w:r>
      <w:r w:rsidR="00AE3120" w:rsidRPr="00241B2F">
        <w:rPr>
          <w:szCs w:val="22"/>
        </w:rPr>
        <w:t>Consequently, the model still lacked transparency in the estimation of cost parameters.</w:t>
      </w:r>
    </w:p>
    <w:p w:rsidR="00AE3120" w:rsidRPr="00241B2F" w:rsidRDefault="00AE3120" w:rsidP="00AE3120">
      <w:pPr>
        <w:rPr>
          <w:szCs w:val="22"/>
        </w:rPr>
      </w:pPr>
    </w:p>
    <w:p w:rsidR="00AE3120" w:rsidRPr="00241B2F" w:rsidRDefault="00AE3120" w:rsidP="00AE3120">
      <w:pPr>
        <w:pStyle w:val="ListParagraph"/>
        <w:widowControl/>
        <w:numPr>
          <w:ilvl w:val="1"/>
          <w:numId w:val="1"/>
        </w:numPr>
        <w:rPr>
          <w:szCs w:val="22"/>
        </w:rPr>
      </w:pPr>
      <w:r w:rsidRPr="00241B2F">
        <w:rPr>
          <w:szCs w:val="22"/>
        </w:rPr>
        <w:lastRenderedPageBreak/>
        <w:t>The source of adverse events used in the revised model remained the same as those in the submission’s original model.  The PSCR stated that the adverse event rates were taken from the April 2014 data cut for Part B1 and Part D of KN-001.  This was incorrect.  The adverse event rates in the revised model were not changed from those used in the submission.  These rates were provided in Table D.4-4, p199 of the submission and were sourced from the October 2013 data cut of KN-001 and were based on the Part B1 (ipilimumab-naïve and ipilimumab-treated), Part B2 (ipilimumab-refractory) and Part D (ipilimumab-naïve) cohorts of KN-001.  Importantly, these events were based on a different population than that used for the efficacy parameters.</w:t>
      </w:r>
    </w:p>
    <w:p w:rsidR="00AE3120" w:rsidRPr="00E07EDA" w:rsidRDefault="00AE3120" w:rsidP="00AE3120">
      <w:pPr>
        <w:rPr>
          <w:szCs w:val="22"/>
        </w:rPr>
      </w:pPr>
    </w:p>
    <w:p w:rsidR="00AE3120" w:rsidRPr="00241B2F" w:rsidRDefault="00AE3120" w:rsidP="005860E5">
      <w:pPr>
        <w:pStyle w:val="ListParagraph"/>
        <w:widowControl/>
        <w:numPr>
          <w:ilvl w:val="1"/>
          <w:numId w:val="1"/>
        </w:numPr>
        <w:rPr>
          <w:szCs w:val="22"/>
        </w:rPr>
      </w:pPr>
      <w:r w:rsidRPr="00241B2F">
        <w:rPr>
          <w:szCs w:val="22"/>
        </w:rPr>
        <w:t xml:space="preserve">The </w:t>
      </w:r>
      <w:r w:rsidR="007A5E56">
        <w:rPr>
          <w:szCs w:val="22"/>
        </w:rPr>
        <w:t xml:space="preserve">table below shows the </w:t>
      </w:r>
      <w:r w:rsidRPr="00241B2F">
        <w:rPr>
          <w:szCs w:val="22"/>
        </w:rPr>
        <w:t xml:space="preserve">consequences </w:t>
      </w:r>
      <w:r w:rsidR="007A5E56" w:rsidRPr="00241B2F">
        <w:rPr>
          <w:szCs w:val="22"/>
        </w:rPr>
        <w:t>for key incremental results</w:t>
      </w:r>
      <w:r w:rsidR="007A5E56">
        <w:rPr>
          <w:szCs w:val="22"/>
        </w:rPr>
        <w:t xml:space="preserve"> of moving from </w:t>
      </w:r>
      <w:r w:rsidRPr="00241B2F">
        <w:rPr>
          <w:szCs w:val="22"/>
        </w:rPr>
        <w:t xml:space="preserve">the submission’s </w:t>
      </w:r>
      <w:r w:rsidR="00E07EDA">
        <w:rPr>
          <w:szCs w:val="22"/>
        </w:rPr>
        <w:t xml:space="preserve">original </w:t>
      </w:r>
      <w:r w:rsidR="002E13D3">
        <w:rPr>
          <w:szCs w:val="22"/>
        </w:rPr>
        <w:t>base case</w:t>
      </w:r>
      <w:r w:rsidR="007A5E56">
        <w:rPr>
          <w:szCs w:val="22"/>
        </w:rPr>
        <w:t xml:space="preserve"> to</w:t>
      </w:r>
      <w:r w:rsidRPr="00241B2F">
        <w:rPr>
          <w:szCs w:val="22"/>
        </w:rPr>
        <w:t xml:space="preserve"> the </w:t>
      </w:r>
      <w:r w:rsidR="002E13D3">
        <w:rPr>
          <w:szCs w:val="22"/>
        </w:rPr>
        <w:t xml:space="preserve">PSCR </w:t>
      </w:r>
      <w:r w:rsidRPr="00241B2F">
        <w:rPr>
          <w:szCs w:val="22"/>
        </w:rPr>
        <w:t xml:space="preserve">revised base case, and also </w:t>
      </w:r>
      <w:r w:rsidR="007A5E56">
        <w:rPr>
          <w:szCs w:val="22"/>
        </w:rPr>
        <w:t xml:space="preserve">to </w:t>
      </w:r>
      <w:r w:rsidRPr="00241B2F">
        <w:rPr>
          <w:szCs w:val="22"/>
        </w:rPr>
        <w:t xml:space="preserve">the 5-year </w:t>
      </w:r>
      <w:r w:rsidR="002E13D3">
        <w:rPr>
          <w:szCs w:val="22"/>
        </w:rPr>
        <w:t xml:space="preserve">OS convergence </w:t>
      </w:r>
      <w:r w:rsidRPr="00241B2F">
        <w:rPr>
          <w:szCs w:val="22"/>
        </w:rPr>
        <w:t xml:space="preserve">scenario </w:t>
      </w:r>
      <w:r w:rsidR="007A5E56">
        <w:rPr>
          <w:szCs w:val="22"/>
        </w:rPr>
        <w:t>in</w:t>
      </w:r>
      <w:r w:rsidRPr="00241B2F">
        <w:rPr>
          <w:szCs w:val="22"/>
        </w:rPr>
        <w:t xml:space="preserve"> the PSCR’s sensitivity analysis.  This table shows that</w:t>
      </w:r>
      <w:r w:rsidR="007A5E56">
        <w:rPr>
          <w:szCs w:val="22"/>
        </w:rPr>
        <w:t xml:space="preserve">, </w:t>
      </w:r>
      <w:r w:rsidR="007A5E56" w:rsidRPr="00241B2F">
        <w:rPr>
          <w:szCs w:val="22"/>
        </w:rPr>
        <w:t xml:space="preserve">compared to the </w:t>
      </w:r>
      <w:r w:rsidR="007A5E56">
        <w:rPr>
          <w:szCs w:val="22"/>
        </w:rPr>
        <w:t>original</w:t>
      </w:r>
      <w:r w:rsidR="007A5E56" w:rsidRPr="00241B2F">
        <w:rPr>
          <w:szCs w:val="22"/>
        </w:rPr>
        <w:t xml:space="preserve"> base case</w:t>
      </w:r>
      <w:r w:rsidRPr="00241B2F">
        <w:rPr>
          <w:szCs w:val="22"/>
        </w:rPr>
        <w:t>:</w:t>
      </w:r>
    </w:p>
    <w:p w:rsidR="00AE3120" w:rsidRPr="00241B2F" w:rsidRDefault="00AE3120" w:rsidP="00AE3120">
      <w:pPr>
        <w:pStyle w:val="ListParagraph"/>
        <w:widowControl/>
        <w:numPr>
          <w:ilvl w:val="0"/>
          <w:numId w:val="14"/>
        </w:numPr>
        <w:ind w:left="993" w:hanging="284"/>
        <w:rPr>
          <w:szCs w:val="22"/>
        </w:rPr>
      </w:pPr>
      <w:r w:rsidRPr="00241B2F">
        <w:rPr>
          <w:szCs w:val="22"/>
        </w:rPr>
        <w:t xml:space="preserve">incremental costs </w:t>
      </w:r>
      <w:r w:rsidR="002E13D3">
        <w:rPr>
          <w:szCs w:val="22"/>
        </w:rPr>
        <w:t xml:space="preserve">were </w:t>
      </w:r>
      <w:r w:rsidR="007A5E56">
        <w:rPr>
          <w:szCs w:val="22"/>
        </w:rPr>
        <w:t>decreased,</w:t>
      </w:r>
      <w:r w:rsidRPr="00241B2F">
        <w:rPr>
          <w:szCs w:val="22"/>
        </w:rPr>
        <w:t xml:space="preserve"> but only slightly (due to fewer survivors remaining on long-term therapy)</w:t>
      </w:r>
    </w:p>
    <w:p w:rsidR="00AE3120" w:rsidRPr="00241B2F" w:rsidRDefault="007A5E56" w:rsidP="00AE3120">
      <w:pPr>
        <w:pStyle w:val="ListParagraph"/>
        <w:widowControl/>
        <w:numPr>
          <w:ilvl w:val="0"/>
          <w:numId w:val="14"/>
        </w:numPr>
        <w:ind w:left="993" w:hanging="284"/>
        <w:rPr>
          <w:szCs w:val="22"/>
        </w:rPr>
      </w:pPr>
      <w:r>
        <w:rPr>
          <w:szCs w:val="22"/>
        </w:rPr>
        <w:t>incremental</w:t>
      </w:r>
      <w:r w:rsidR="00AE3120" w:rsidRPr="00241B2F">
        <w:rPr>
          <w:szCs w:val="22"/>
        </w:rPr>
        <w:t xml:space="preserve"> PFS remain</w:t>
      </w:r>
      <w:r w:rsidR="00E07EDA">
        <w:rPr>
          <w:szCs w:val="22"/>
        </w:rPr>
        <w:t>ed</w:t>
      </w:r>
      <w:r w:rsidR="00AE3120" w:rsidRPr="00241B2F">
        <w:rPr>
          <w:szCs w:val="22"/>
        </w:rPr>
        <w:t xml:space="preserve"> unchanged</w:t>
      </w:r>
      <w:r w:rsidR="002E13D3">
        <w:rPr>
          <w:szCs w:val="22"/>
        </w:rPr>
        <w:t>.</w:t>
      </w:r>
      <w:r w:rsidR="00AE3120" w:rsidRPr="00241B2F">
        <w:rPr>
          <w:szCs w:val="22"/>
        </w:rPr>
        <w:t xml:space="preserve"> </w:t>
      </w:r>
      <w:r w:rsidR="002E13D3">
        <w:rPr>
          <w:szCs w:val="22"/>
        </w:rPr>
        <w:t xml:space="preserve"> The original model </w:t>
      </w:r>
      <w:r w:rsidR="00AE3120" w:rsidRPr="00241B2F">
        <w:rPr>
          <w:szCs w:val="22"/>
        </w:rPr>
        <w:t xml:space="preserve">assumed convergence of OS at 40 years and PFS at 5 years.  However, if OS </w:t>
      </w:r>
      <w:r w:rsidR="00E07EDA">
        <w:rPr>
          <w:szCs w:val="22"/>
        </w:rPr>
        <w:t>wa</w:t>
      </w:r>
      <w:r w:rsidR="00AE3120" w:rsidRPr="00241B2F">
        <w:rPr>
          <w:szCs w:val="22"/>
        </w:rPr>
        <w:t xml:space="preserve">s now assumed </w:t>
      </w:r>
      <w:r w:rsidR="002E13D3">
        <w:rPr>
          <w:szCs w:val="22"/>
        </w:rPr>
        <w:t xml:space="preserve">in the revised model </w:t>
      </w:r>
      <w:r w:rsidR="00AE3120" w:rsidRPr="00241B2F">
        <w:rPr>
          <w:szCs w:val="22"/>
        </w:rPr>
        <w:t xml:space="preserve">to converge at either 10 </w:t>
      </w:r>
      <w:r w:rsidR="00E07EDA">
        <w:rPr>
          <w:szCs w:val="22"/>
        </w:rPr>
        <w:t>years or 5 years, it seemed</w:t>
      </w:r>
      <w:r w:rsidR="00AE3120" w:rsidRPr="00241B2F">
        <w:rPr>
          <w:szCs w:val="22"/>
        </w:rPr>
        <w:t xml:space="preserve"> improbable that PFS would not be reduced as well</w:t>
      </w:r>
    </w:p>
    <w:p w:rsidR="00AE3120" w:rsidRPr="00241B2F" w:rsidRDefault="007A5E56" w:rsidP="00AE3120">
      <w:pPr>
        <w:pStyle w:val="ListParagraph"/>
        <w:widowControl/>
        <w:numPr>
          <w:ilvl w:val="0"/>
          <w:numId w:val="14"/>
        </w:numPr>
        <w:ind w:left="993" w:hanging="284"/>
        <w:rPr>
          <w:szCs w:val="22"/>
        </w:rPr>
      </w:pPr>
      <w:r>
        <w:rPr>
          <w:szCs w:val="22"/>
        </w:rPr>
        <w:t xml:space="preserve">incremental </w:t>
      </w:r>
      <w:r w:rsidR="00AE3120" w:rsidRPr="00241B2F">
        <w:rPr>
          <w:szCs w:val="22"/>
        </w:rPr>
        <w:t xml:space="preserve">LYS and QALYs </w:t>
      </w:r>
      <w:r w:rsidR="002E13D3">
        <w:rPr>
          <w:szCs w:val="22"/>
        </w:rPr>
        <w:t xml:space="preserve">were </w:t>
      </w:r>
      <w:r w:rsidR="00AE3120" w:rsidRPr="00241B2F">
        <w:rPr>
          <w:szCs w:val="22"/>
        </w:rPr>
        <w:t>d</w:t>
      </w:r>
      <w:r>
        <w:rPr>
          <w:szCs w:val="22"/>
        </w:rPr>
        <w:t>ecreased</w:t>
      </w:r>
      <w:r w:rsidR="00AE3120" w:rsidRPr="00241B2F">
        <w:rPr>
          <w:szCs w:val="22"/>
        </w:rPr>
        <w:t>.</w:t>
      </w:r>
    </w:p>
    <w:p w:rsidR="00AE3120" w:rsidRPr="00241B2F" w:rsidRDefault="00AE3120" w:rsidP="00AE3120">
      <w:pPr>
        <w:rPr>
          <w:szCs w:val="22"/>
        </w:rPr>
      </w:pPr>
    </w:p>
    <w:p w:rsidR="00AE3120" w:rsidRPr="008A40DC" w:rsidRDefault="00AE3120" w:rsidP="00AE3120">
      <w:pPr>
        <w:ind w:left="709"/>
        <w:rPr>
          <w:rFonts w:ascii="Arial Narrow" w:hAnsi="Arial Narrow"/>
          <w:b/>
          <w:sz w:val="20"/>
          <w:szCs w:val="16"/>
        </w:rPr>
      </w:pPr>
      <w:r>
        <w:rPr>
          <w:rFonts w:ascii="Arial Narrow" w:hAnsi="Arial Narrow"/>
          <w:b/>
          <w:sz w:val="20"/>
          <w:lang w:val="en-US" w:eastAsia="en-AU"/>
        </w:rPr>
        <w:t>Incremental impacts across the submission’s model and the revised PSCR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9"/>
        <w:gridCol w:w="2268"/>
        <w:gridCol w:w="2268"/>
        <w:gridCol w:w="2268"/>
      </w:tblGrid>
      <w:tr w:rsidR="00AE3120" w:rsidRPr="008A40DC" w:rsidTr="00E07EDA">
        <w:trPr>
          <w:tblHeader/>
        </w:trPr>
        <w:tc>
          <w:tcPr>
            <w:tcW w:w="932" w:type="pct"/>
            <w:shd w:val="clear" w:color="auto" w:fill="auto"/>
            <w:vAlign w:val="center"/>
          </w:tcPr>
          <w:p w:rsidR="00AE3120" w:rsidRPr="008A40DC" w:rsidRDefault="00AE3120" w:rsidP="00DD7E75">
            <w:pPr>
              <w:rPr>
                <w:rFonts w:ascii="Arial Narrow" w:hAnsi="Arial Narrow"/>
                <w:b/>
                <w:sz w:val="20"/>
                <w:lang w:val="en-US"/>
              </w:rPr>
            </w:pPr>
          </w:p>
        </w:tc>
        <w:tc>
          <w:tcPr>
            <w:tcW w:w="1356" w:type="pct"/>
            <w:shd w:val="clear" w:color="auto" w:fill="auto"/>
            <w:vAlign w:val="center"/>
          </w:tcPr>
          <w:p w:rsidR="00AE3120" w:rsidRDefault="00AE3120" w:rsidP="00DD7E75">
            <w:pPr>
              <w:jc w:val="center"/>
              <w:rPr>
                <w:rFonts w:ascii="Arial Narrow" w:hAnsi="Arial Narrow"/>
                <w:b/>
                <w:sz w:val="20"/>
                <w:lang w:eastAsia="en-AU"/>
              </w:rPr>
            </w:pPr>
            <w:r>
              <w:rPr>
                <w:rFonts w:ascii="Arial Narrow" w:hAnsi="Arial Narrow"/>
                <w:b/>
                <w:sz w:val="20"/>
                <w:lang w:eastAsia="en-AU"/>
              </w:rPr>
              <w:t>Submission</w:t>
            </w:r>
            <w:r w:rsidR="00E07EDA">
              <w:rPr>
                <w:rFonts w:ascii="Arial Narrow" w:hAnsi="Arial Narrow"/>
                <w:b/>
                <w:sz w:val="20"/>
                <w:lang w:eastAsia="en-AU"/>
              </w:rPr>
              <w:t xml:space="preserve"> base case</w:t>
            </w:r>
          </w:p>
          <w:p w:rsidR="00AE3120" w:rsidRPr="008A40DC" w:rsidRDefault="00E07EDA" w:rsidP="00E07EDA">
            <w:pPr>
              <w:jc w:val="center"/>
              <w:rPr>
                <w:rFonts w:ascii="Arial Narrow" w:hAnsi="Arial Narrow"/>
                <w:b/>
                <w:sz w:val="20"/>
                <w:lang w:val="en-US"/>
              </w:rPr>
            </w:pPr>
            <w:r>
              <w:rPr>
                <w:rFonts w:ascii="Arial Narrow" w:hAnsi="Arial Narrow"/>
                <w:b/>
                <w:sz w:val="20"/>
                <w:lang w:eastAsia="en-AU"/>
              </w:rPr>
              <w:t>40-</w:t>
            </w:r>
            <w:r w:rsidR="00AE3120">
              <w:rPr>
                <w:rFonts w:ascii="Arial Narrow" w:hAnsi="Arial Narrow"/>
                <w:b/>
                <w:sz w:val="20"/>
                <w:lang w:eastAsia="en-AU"/>
              </w:rPr>
              <w:t xml:space="preserve">year </w:t>
            </w:r>
            <w:r>
              <w:rPr>
                <w:rFonts w:ascii="Arial Narrow" w:hAnsi="Arial Narrow"/>
                <w:b/>
                <w:sz w:val="20"/>
                <w:lang w:eastAsia="en-AU"/>
              </w:rPr>
              <w:t>OS convergence</w:t>
            </w:r>
          </w:p>
        </w:tc>
        <w:tc>
          <w:tcPr>
            <w:tcW w:w="1356" w:type="pct"/>
            <w:shd w:val="clear" w:color="auto" w:fill="auto"/>
            <w:vAlign w:val="center"/>
          </w:tcPr>
          <w:p w:rsidR="00AE3120" w:rsidRPr="0039136A" w:rsidRDefault="00AE3120" w:rsidP="00DD7E75">
            <w:pPr>
              <w:jc w:val="center"/>
              <w:rPr>
                <w:rFonts w:ascii="Arial Narrow" w:hAnsi="Arial Narrow"/>
                <w:b/>
                <w:sz w:val="20"/>
                <w:lang w:eastAsia="en-AU"/>
              </w:rPr>
            </w:pPr>
            <w:r>
              <w:rPr>
                <w:rFonts w:ascii="Arial Narrow" w:hAnsi="Arial Narrow"/>
                <w:b/>
                <w:sz w:val="20"/>
                <w:lang w:eastAsia="en-AU"/>
              </w:rPr>
              <w:t>PSCR</w:t>
            </w:r>
            <w:r w:rsidR="00E07EDA">
              <w:rPr>
                <w:rFonts w:ascii="Arial Narrow" w:hAnsi="Arial Narrow"/>
                <w:b/>
                <w:sz w:val="20"/>
                <w:lang w:eastAsia="en-AU"/>
              </w:rPr>
              <w:t xml:space="preserve"> base case</w:t>
            </w:r>
          </w:p>
          <w:p w:rsidR="00AE3120" w:rsidRPr="008A40DC" w:rsidRDefault="00AE3120" w:rsidP="00E07EDA">
            <w:pPr>
              <w:jc w:val="center"/>
              <w:rPr>
                <w:rFonts w:ascii="Arial Narrow" w:hAnsi="Arial Narrow"/>
                <w:b/>
                <w:sz w:val="20"/>
                <w:lang w:val="en-US"/>
              </w:rPr>
            </w:pPr>
            <w:r w:rsidRPr="0039136A">
              <w:rPr>
                <w:rFonts w:ascii="Arial Narrow" w:hAnsi="Arial Narrow"/>
                <w:b/>
                <w:sz w:val="20"/>
                <w:lang w:eastAsia="en-AU"/>
              </w:rPr>
              <w:t>10</w:t>
            </w:r>
            <w:r w:rsidR="00E07EDA">
              <w:rPr>
                <w:rFonts w:ascii="Arial Narrow" w:hAnsi="Arial Narrow"/>
                <w:b/>
                <w:sz w:val="20"/>
                <w:lang w:eastAsia="en-AU"/>
              </w:rPr>
              <w:t>-</w:t>
            </w:r>
            <w:r w:rsidRPr="0039136A">
              <w:rPr>
                <w:rFonts w:ascii="Arial Narrow" w:hAnsi="Arial Narrow"/>
                <w:b/>
                <w:sz w:val="20"/>
                <w:lang w:eastAsia="en-AU"/>
              </w:rPr>
              <w:t>y</w:t>
            </w:r>
            <w:r>
              <w:rPr>
                <w:rFonts w:ascii="Arial Narrow" w:hAnsi="Arial Narrow"/>
                <w:b/>
                <w:sz w:val="20"/>
                <w:lang w:eastAsia="en-AU"/>
              </w:rPr>
              <w:t>ea</w:t>
            </w:r>
            <w:r w:rsidRPr="0039136A">
              <w:rPr>
                <w:rFonts w:ascii="Arial Narrow" w:hAnsi="Arial Narrow"/>
                <w:b/>
                <w:sz w:val="20"/>
                <w:lang w:eastAsia="en-AU"/>
              </w:rPr>
              <w:t>r</w:t>
            </w:r>
            <w:r>
              <w:rPr>
                <w:rFonts w:ascii="Arial Narrow" w:hAnsi="Arial Narrow"/>
                <w:b/>
                <w:sz w:val="20"/>
                <w:lang w:eastAsia="en-AU"/>
              </w:rPr>
              <w:t xml:space="preserve"> </w:t>
            </w:r>
            <w:r w:rsidR="00E07EDA">
              <w:rPr>
                <w:rFonts w:ascii="Arial Narrow" w:hAnsi="Arial Narrow"/>
                <w:b/>
                <w:sz w:val="20"/>
                <w:lang w:eastAsia="en-AU"/>
              </w:rPr>
              <w:t>OS convergence</w:t>
            </w:r>
          </w:p>
        </w:tc>
        <w:tc>
          <w:tcPr>
            <w:tcW w:w="1356" w:type="pct"/>
            <w:shd w:val="clear" w:color="auto" w:fill="auto"/>
            <w:vAlign w:val="center"/>
          </w:tcPr>
          <w:p w:rsidR="00AE3120" w:rsidRPr="0039136A" w:rsidRDefault="00AE3120" w:rsidP="00DD7E75">
            <w:pPr>
              <w:jc w:val="center"/>
              <w:rPr>
                <w:rFonts w:ascii="Arial Narrow" w:hAnsi="Arial Narrow"/>
                <w:b/>
                <w:sz w:val="20"/>
                <w:lang w:eastAsia="en-AU"/>
              </w:rPr>
            </w:pPr>
            <w:r>
              <w:rPr>
                <w:rFonts w:ascii="Arial Narrow" w:hAnsi="Arial Narrow"/>
                <w:b/>
                <w:sz w:val="20"/>
                <w:lang w:eastAsia="en-AU"/>
              </w:rPr>
              <w:t>PSCR</w:t>
            </w:r>
            <w:r w:rsidR="00E07EDA">
              <w:rPr>
                <w:rFonts w:ascii="Arial Narrow" w:hAnsi="Arial Narrow"/>
                <w:b/>
                <w:sz w:val="20"/>
                <w:lang w:eastAsia="en-AU"/>
              </w:rPr>
              <w:t xml:space="preserve"> sensitivity analysis</w:t>
            </w:r>
          </w:p>
          <w:p w:rsidR="00AE3120" w:rsidRPr="008A40DC" w:rsidRDefault="00E07EDA" w:rsidP="00E07EDA">
            <w:pPr>
              <w:jc w:val="center"/>
              <w:rPr>
                <w:rFonts w:ascii="Arial Narrow" w:hAnsi="Arial Narrow"/>
                <w:b/>
                <w:sz w:val="20"/>
                <w:lang w:val="en-US"/>
              </w:rPr>
            </w:pPr>
            <w:r>
              <w:rPr>
                <w:rFonts w:ascii="Arial Narrow" w:hAnsi="Arial Narrow"/>
                <w:b/>
                <w:sz w:val="20"/>
                <w:lang w:eastAsia="en-AU"/>
              </w:rPr>
              <w:t>5-</w:t>
            </w:r>
            <w:r w:rsidR="00AE3120" w:rsidRPr="0039136A">
              <w:rPr>
                <w:rFonts w:ascii="Arial Narrow" w:hAnsi="Arial Narrow"/>
                <w:b/>
                <w:sz w:val="20"/>
                <w:lang w:eastAsia="en-AU"/>
              </w:rPr>
              <w:t>y</w:t>
            </w:r>
            <w:r w:rsidR="00AE3120">
              <w:rPr>
                <w:rFonts w:ascii="Arial Narrow" w:hAnsi="Arial Narrow"/>
                <w:b/>
                <w:sz w:val="20"/>
                <w:lang w:eastAsia="en-AU"/>
              </w:rPr>
              <w:t>ea</w:t>
            </w:r>
            <w:r w:rsidR="00AE3120" w:rsidRPr="0039136A">
              <w:rPr>
                <w:rFonts w:ascii="Arial Narrow" w:hAnsi="Arial Narrow"/>
                <w:b/>
                <w:sz w:val="20"/>
                <w:lang w:eastAsia="en-AU"/>
              </w:rPr>
              <w:t xml:space="preserve">r </w:t>
            </w:r>
            <w:r>
              <w:rPr>
                <w:rFonts w:ascii="Arial Narrow" w:hAnsi="Arial Narrow"/>
                <w:b/>
                <w:sz w:val="20"/>
                <w:lang w:eastAsia="en-AU"/>
              </w:rPr>
              <w:t>OS convergence</w:t>
            </w:r>
          </w:p>
        </w:tc>
      </w:tr>
      <w:tr w:rsidR="00AE3120" w:rsidRPr="008A40DC" w:rsidTr="00E07EDA">
        <w:tc>
          <w:tcPr>
            <w:tcW w:w="932" w:type="pct"/>
            <w:shd w:val="clear" w:color="auto" w:fill="auto"/>
            <w:vAlign w:val="bottom"/>
          </w:tcPr>
          <w:p w:rsidR="00AE3120" w:rsidRDefault="00AE3120" w:rsidP="00DD7E75">
            <w:pPr>
              <w:rPr>
                <w:rFonts w:ascii="Arial Narrow" w:hAnsi="Arial Narrow" w:cs="Times"/>
                <w:sz w:val="19"/>
                <w:szCs w:val="19"/>
                <w:lang w:val="en-US" w:eastAsia="en-AU"/>
              </w:rPr>
            </w:pPr>
            <w:r w:rsidRPr="0039136A">
              <w:rPr>
                <w:rFonts w:ascii="Arial Narrow" w:hAnsi="Arial Narrow"/>
                <w:sz w:val="20"/>
              </w:rPr>
              <w:t>Cost increment</w:t>
            </w:r>
            <w:r w:rsidRPr="0039136A">
              <w:rPr>
                <w:rFonts w:ascii="Arial Narrow" w:hAnsi="Arial Narrow"/>
                <w:sz w:val="20"/>
                <w:vertAlign w:val="superscript"/>
              </w:rPr>
              <w:t>a</w:t>
            </w:r>
          </w:p>
        </w:tc>
        <w:tc>
          <w:tcPr>
            <w:tcW w:w="1356" w:type="pct"/>
            <w:shd w:val="clear" w:color="auto" w:fill="auto"/>
            <w:vAlign w:val="bottom"/>
          </w:tcPr>
          <w:p w:rsidR="00AE3120" w:rsidRDefault="00AE3120" w:rsidP="00DD7E75">
            <w:pPr>
              <w:jc w:val="center"/>
              <w:rPr>
                <w:rFonts w:ascii="Arial Narrow" w:hAnsi="Arial Narrow"/>
                <w:sz w:val="20"/>
                <w:lang w:val="en-US"/>
              </w:rPr>
            </w:pPr>
            <w:r w:rsidRPr="0039136A">
              <w:rPr>
                <w:rFonts w:ascii="Arial Narrow" w:hAnsi="Arial Narrow"/>
                <w:sz w:val="20"/>
              </w:rPr>
              <w:t>$</w:t>
            </w:r>
            <w:r w:rsidR="00112B75">
              <w:rPr>
                <w:rFonts w:ascii="Arial Narrow" w:hAnsi="Arial Narrow"/>
                <w:noProof/>
                <w:color w:val="000000"/>
                <w:sz w:val="20"/>
                <w:highlight w:val="black"/>
              </w:rPr>
              <w:t>'''''''''''''''</w:t>
            </w:r>
          </w:p>
        </w:tc>
        <w:tc>
          <w:tcPr>
            <w:tcW w:w="1356" w:type="pct"/>
            <w:shd w:val="clear" w:color="auto" w:fill="auto"/>
            <w:vAlign w:val="bottom"/>
          </w:tcPr>
          <w:p w:rsidR="00AE3120" w:rsidRDefault="00AE3120" w:rsidP="00DD7E75">
            <w:pPr>
              <w:jc w:val="center"/>
              <w:rPr>
                <w:rFonts w:ascii="Arial Narrow" w:hAnsi="Arial Narrow"/>
                <w:sz w:val="20"/>
                <w:lang w:val="en-US"/>
              </w:rPr>
            </w:pPr>
            <w:r w:rsidRPr="0039136A">
              <w:rPr>
                <w:rFonts w:ascii="Arial Narrow" w:hAnsi="Arial Narrow"/>
                <w:sz w:val="20"/>
              </w:rPr>
              <w:t>$</w:t>
            </w:r>
            <w:r w:rsidR="00112B75">
              <w:rPr>
                <w:rFonts w:ascii="Arial Narrow" w:hAnsi="Arial Narrow"/>
                <w:noProof/>
                <w:color w:val="000000"/>
                <w:sz w:val="20"/>
                <w:highlight w:val="black"/>
              </w:rPr>
              <w:t>''''''''''''''''''</w:t>
            </w:r>
          </w:p>
        </w:tc>
        <w:tc>
          <w:tcPr>
            <w:tcW w:w="1356" w:type="pct"/>
            <w:shd w:val="clear" w:color="auto" w:fill="auto"/>
            <w:vAlign w:val="bottom"/>
          </w:tcPr>
          <w:p w:rsidR="00AE3120" w:rsidRDefault="00AE3120" w:rsidP="00DD7E75">
            <w:pPr>
              <w:jc w:val="center"/>
              <w:rPr>
                <w:rFonts w:ascii="Arial Narrow" w:hAnsi="Arial Narrow"/>
                <w:sz w:val="20"/>
                <w:lang w:val="en-US"/>
              </w:rPr>
            </w:pPr>
            <w:r w:rsidRPr="0039136A">
              <w:rPr>
                <w:rFonts w:ascii="Arial Narrow" w:hAnsi="Arial Narrow"/>
                <w:sz w:val="20"/>
              </w:rPr>
              <w:t>$</w:t>
            </w:r>
            <w:r w:rsidR="00112B75">
              <w:rPr>
                <w:rFonts w:ascii="Arial Narrow" w:hAnsi="Arial Narrow"/>
                <w:noProof/>
                <w:color w:val="000000"/>
                <w:sz w:val="20"/>
                <w:highlight w:val="black"/>
              </w:rPr>
              <w:t>'''''''''''''''''</w:t>
            </w:r>
          </w:p>
        </w:tc>
      </w:tr>
      <w:tr w:rsidR="00AE3120" w:rsidRPr="008A40DC" w:rsidTr="00E07EDA">
        <w:tc>
          <w:tcPr>
            <w:tcW w:w="932" w:type="pct"/>
            <w:shd w:val="clear" w:color="auto" w:fill="auto"/>
            <w:vAlign w:val="bottom"/>
          </w:tcPr>
          <w:p w:rsidR="00AE3120" w:rsidRDefault="00AE3120" w:rsidP="00DD7E75">
            <w:pPr>
              <w:rPr>
                <w:rFonts w:ascii="Arial Narrow" w:hAnsi="Arial Narrow" w:cs="Times"/>
                <w:sz w:val="19"/>
                <w:szCs w:val="19"/>
                <w:lang w:val="en-US" w:eastAsia="en-AU"/>
              </w:rPr>
            </w:pPr>
            <w:r w:rsidRPr="0039136A">
              <w:rPr>
                <w:rFonts w:ascii="Arial Narrow" w:hAnsi="Arial Narrow"/>
                <w:sz w:val="20"/>
                <w:lang w:eastAsia="en-AU"/>
              </w:rPr>
              <w:t>PFS increment</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0.61</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0.61</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0.61</w:t>
            </w:r>
          </w:p>
        </w:tc>
      </w:tr>
      <w:tr w:rsidR="00AE3120" w:rsidRPr="008A40DC" w:rsidTr="00E07EDA">
        <w:tc>
          <w:tcPr>
            <w:tcW w:w="932" w:type="pct"/>
            <w:shd w:val="clear" w:color="auto" w:fill="auto"/>
            <w:vAlign w:val="bottom"/>
          </w:tcPr>
          <w:p w:rsidR="00AE3120" w:rsidRDefault="00AE3120" w:rsidP="00DD7E75">
            <w:pPr>
              <w:rPr>
                <w:rFonts w:ascii="Arial Narrow" w:hAnsi="Arial Narrow" w:cs="Times"/>
                <w:sz w:val="19"/>
                <w:szCs w:val="19"/>
                <w:lang w:val="en-US" w:eastAsia="en-AU"/>
              </w:rPr>
            </w:pPr>
            <w:r w:rsidRPr="0039136A">
              <w:rPr>
                <w:rFonts w:ascii="Arial Narrow" w:hAnsi="Arial Narrow"/>
                <w:sz w:val="20"/>
                <w:lang w:eastAsia="en-AU"/>
              </w:rPr>
              <w:t>Post-PD increment</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0.52</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0.42</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0.22</w:t>
            </w:r>
          </w:p>
        </w:tc>
      </w:tr>
      <w:tr w:rsidR="00AE3120" w:rsidRPr="008A40DC" w:rsidTr="00E07EDA">
        <w:tc>
          <w:tcPr>
            <w:tcW w:w="932" w:type="pct"/>
            <w:shd w:val="clear" w:color="auto" w:fill="auto"/>
            <w:vAlign w:val="bottom"/>
          </w:tcPr>
          <w:p w:rsidR="00AE3120" w:rsidRDefault="00AE3120" w:rsidP="00DD7E75">
            <w:pPr>
              <w:rPr>
                <w:rFonts w:ascii="Arial Narrow" w:hAnsi="Arial Narrow" w:cs="Times"/>
                <w:sz w:val="19"/>
                <w:szCs w:val="19"/>
                <w:lang w:val="en-US" w:eastAsia="en-AU"/>
              </w:rPr>
            </w:pPr>
            <w:r w:rsidRPr="0039136A">
              <w:rPr>
                <w:rFonts w:ascii="Arial Narrow" w:hAnsi="Arial Narrow"/>
                <w:sz w:val="20"/>
                <w:lang w:eastAsia="en-AU"/>
              </w:rPr>
              <w:t>LYS increment</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1.01</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0.92</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0.76</w:t>
            </w:r>
          </w:p>
        </w:tc>
      </w:tr>
      <w:tr w:rsidR="00AE3120" w:rsidRPr="008A40DC" w:rsidTr="00E07EDA">
        <w:tc>
          <w:tcPr>
            <w:tcW w:w="932" w:type="pct"/>
            <w:shd w:val="clear" w:color="auto" w:fill="auto"/>
            <w:vAlign w:val="bottom"/>
          </w:tcPr>
          <w:p w:rsidR="00AE3120" w:rsidRDefault="00AE3120" w:rsidP="00DD7E75">
            <w:pPr>
              <w:rPr>
                <w:rFonts w:ascii="Arial Narrow" w:hAnsi="Arial Narrow" w:cs="Times"/>
                <w:sz w:val="19"/>
                <w:szCs w:val="19"/>
                <w:lang w:val="en-US" w:eastAsia="en-AU"/>
              </w:rPr>
            </w:pPr>
            <w:r w:rsidRPr="0039136A">
              <w:rPr>
                <w:rFonts w:ascii="Arial Narrow" w:hAnsi="Arial Narrow"/>
                <w:sz w:val="20"/>
                <w:lang w:eastAsia="en-AU"/>
              </w:rPr>
              <w:t>QALY increment</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0.79</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0.72</w:t>
            </w:r>
          </w:p>
        </w:tc>
        <w:tc>
          <w:tcPr>
            <w:tcW w:w="1356" w:type="pct"/>
            <w:shd w:val="clear" w:color="auto" w:fill="auto"/>
            <w:vAlign w:val="center"/>
          </w:tcPr>
          <w:p w:rsidR="00AE3120" w:rsidRDefault="00AE3120" w:rsidP="00DD7E75">
            <w:pPr>
              <w:jc w:val="center"/>
              <w:rPr>
                <w:rFonts w:ascii="Arial Narrow" w:hAnsi="Arial Narrow"/>
                <w:sz w:val="20"/>
                <w:lang w:val="en-US"/>
              </w:rPr>
            </w:pPr>
            <w:r w:rsidRPr="0039136A">
              <w:rPr>
                <w:rFonts w:ascii="Arial Narrow" w:hAnsi="Arial Narrow"/>
                <w:sz w:val="20"/>
                <w:lang w:eastAsia="en-AU"/>
              </w:rPr>
              <w:t>0.60</w:t>
            </w:r>
          </w:p>
        </w:tc>
      </w:tr>
    </w:tbl>
    <w:p w:rsidR="00AE3120" w:rsidRPr="0039136A" w:rsidRDefault="00AE3120" w:rsidP="00AE3120">
      <w:pPr>
        <w:tabs>
          <w:tab w:val="left" w:pos="851"/>
        </w:tabs>
        <w:ind w:left="709"/>
        <w:rPr>
          <w:rFonts w:ascii="Arial Narrow" w:hAnsi="Arial Narrow"/>
          <w:sz w:val="18"/>
          <w:szCs w:val="18"/>
        </w:rPr>
      </w:pPr>
      <w:r w:rsidRPr="0039136A">
        <w:rPr>
          <w:rFonts w:ascii="Arial Narrow" w:hAnsi="Arial Narrow"/>
          <w:sz w:val="18"/>
          <w:szCs w:val="18"/>
          <w:vertAlign w:val="superscript"/>
        </w:rPr>
        <w:t>a</w:t>
      </w:r>
      <w:r w:rsidRPr="0039136A">
        <w:rPr>
          <w:rFonts w:ascii="Arial Narrow" w:hAnsi="Arial Narrow"/>
          <w:sz w:val="18"/>
          <w:szCs w:val="18"/>
        </w:rPr>
        <w:tab/>
        <w:t>Results for DPMA costs</w:t>
      </w:r>
    </w:p>
    <w:p w:rsidR="00AE3120" w:rsidRDefault="00AE3120" w:rsidP="00AE3120">
      <w:pPr>
        <w:ind w:left="709"/>
        <w:rPr>
          <w:rFonts w:ascii="Arial Narrow" w:hAnsi="Arial Narrow"/>
          <w:sz w:val="18"/>
        </w:rPr>
      </w:pPr>
      <w:r>
        <w:rPr>
          <w:rFonts w:ascii="Arial Narrow" w:hAnsi="Arial Narrow"/>
          <w:sz w:val="18"/>
        </w:rPr>
        <w:t>PD=progressive disease; PSCR=Pre-Sub-Committee Response</w:t>
      </w:r>
    </w:p>
    <w:p w:rsidR="00AE3120" w:rsidRDefault="00AE3120" w:rsidP="00AE3120">
      <w:pPr>
        <w:ind w:left="709"/>
        <w:rPr>
          <w:rFonts w:ascii="Arial Narrow" w:hAnsi="Arial Narrow"/>
          <w:sz w:val="18"/>
        </w:rPr>
      </w:pPr>
      <w:r w:rsidRPr="008A40DC">
        <w:rPr>
          <w:rFonts w:ascii="Arial Narrow" w:hAnsi="Arial Narrow"/>
          <w:sz w:val="18"/>
        </w:rPr>
        <w:t xml:space="preserve">Source: </w:t>
      </w:r>
      <w:r>
        <w:rPr>
          <w:rFonts w:ascii="Arial Narrow" w:hAnsi="Arial Narrow"/>
          <w:sz w:val="18"/>
        </w:rPr>
        <w:t>compiled fr</w:t>
      </w:r>
      <w:r w:rsidR="00DD2317">
        <w:rPr>
          <w:rFonts w:ascii="Arial Narrow" w:hAnsi="Arial Narrow"/>
          <w:sz w:val="18"/>
        </w:rPr>
        <w:t>om</w:t>
      </w:r>
      <w:r>
        <w:rPr>
          <w:rFonts w:ascii="Arial Narrow" w:hAnsi="Arial Narrow"/>
          <w:sz w:val="18"/>
        </w:rPr>
        <w:t xml:space="preserve"> </w:t>
      </w:r>
      <w:r w:rsidR="00DD2317">
        <w:rPr>
          <w:rFonts w:ascii="Arial Narrow" w:hAnsi="Arial Narrow"/>
          <w:sz w:val="18"/>
        </w:rPr>
        <w:t>the submission and the PSCR</w:t>
      </w:r>
    </w:p>
    <w:p w:rsidR="00AE3120" w:rsidRPr="00E07EDA" w:rsidRDefault="00AE3120" w:rsidP="00AE3120">
      <w:pPr>
        <w:widowControl/>
        <w:rPr>
          <w:szCs w:val="22"/>
        </w:rPr>
      </w:pPr>
    </w:p>
    <w:p w:rsidR="00AE3120" w:rsidRPr="00E07EDA" w:rsidRDefault="00AE3120" w:rsidP="00AE3120">
      <w:pPr>
        <w:numPr>
          <w:ilvl w:val="1"/>
          <w:numId w:val="1"/>
        </w:numPr>
        <w:contextualSpacing/>
        <w:rPr>
          <w:szCs w:val="22"/>
        </w:rPr>
      </w:pPr>
      <w:r w:rsidRPr="00E07EDA">
        <w:rPr>
          <w:szCs w:val="22"/>
        </w:rPr>
        <w:t>The PSCR indicated that a proposed MES should include the specification of a model that could be used to review the cost-effectiveness of pembrolizumab versus ipilimumab when data from KN-006 are available.  The PSCR suggested that the finalisation of the model, including identification of appropriate inputs for the model both now and as part of the MES framework could be performed in consultation with the evaluator and/or a Departmental officer prior to PBAC consideration.</w:t>
      </w:r>
    </w:p>
    <w:p w:rsidR="00AE3120" w:rsidRPr="00E07EDA" w:rsidRDefault="00AE3120">
      <w:pPr>
        <w:widowControl/>
        <w:jc w:val="left"/>
        <w:rPr>
          <w:szCs w:val="22"/>
        </w:rPr>
      </w:pPr>
    </w:p>
    <w:p w:rsidR="0035277E" w:rsidRPr="00E07EDA" w:rsidRDefault="00AE3120">
      <w:pPr>
        <w:widowControl/>
        <w:jc w:val="left"/>
        <w:rPr>
          <w:i/>
          <w:szCs w:val="22"/>
          <w:u w:val="single"/>
        </w:rPr>
      </w:pPr>
      <w:r w:rsidRPr="00E07EDA">
        <w:rPr>
          <w:i/>
          <w:szCs w:val="22"/>
          <w:u w:val="single"/>
        </w:rPr>
        <w:t>P</w:t>
      </w:r>
      <w:r w:rsidR="00E07EDA" w:rsidRPr="00E07EDA">
        <w:rPr>
          <w:i/>
          <w:szCs w:val="22"/>
          <w:u w:val="single"/>
        </w:rPr>
        <w:t>re-PBAC response (4 March 2015)</w:t>
      </w:r>
    </w:p>
    <w:p w:rsidR="00940313" w:rsidRPr="00E07EDA" w:rsidRDefault="00940313">
      <w:pPr>
        <w:widowControl/>
        <w:jc w:val="left"/>
      </w:pPr>
    </w:p>
    <w:p w:rsidR="00AE3120" w:rsidRPr="00E07EDA" w:rsidRDefault="00940313" w:rsidP="00940313">
      <w:pPr>
        <w:numPr>
          <w:ilvl w:val="1"/>
          <w:numId w:val="1"/>
        </w:numPr>
        <w:contextualSpacing/>
        <w:rPr>
          <w:szCs w:val="22"/>
          <w:u w:val="single"/>
        </w:rPr>
      </w:pPr>
      <w:r w:rsidRPr="00940313">
        <w:t>The pre-PBAC response d</w:t>
      </w:r>
      <w:r w:rsidR="00E07EDA">
        <w:t>id</w:t>
      </w:r>
      <w:r w:rsidRPr="00940313">
        <w:t xml:space="preserve"> not </w:t>
      </w:r>
      <w:r w:rsidR="002E13D3">
        <w:t>use</w:t>
      </w:r>
      <w:r w:rsidRPr="00940313">
        <w:t xml:space="preserve"> the availability of </w:t>
      </w:r>
      <w:r w:rsidR="002E13D3">
        <w:t xml:space="preserve">directly </w:t>
      </w:r>
      <w:r w:rsidRPr="00940313">
        <w:t xml:space="preserve">comparative data (trial KN-006) </w:t>
      </w:r>
      <w:r w:rsidR="002E13D3">
        <w:t xml:space="preserve">to further update </w:t>
      </w:r>
      <w:r w:rsidRPr="00940313">
        <w:t xml:space="preserve">the modelled evaluation.  Instead, the pre-PBAC response </w:t>
      </w:r>
      <w:r w:rsidR="002E13D3">
        <w:t>proposed that</w:t>
      </w:r>
      <w:r w:rsidRPr="00940313">
        <w:t xml:space="preserve"> the base case of the revised model presented in the PSCR </w:t>
      </w:r>
      <w:r w:rsidR="002E13D3">
        <w:t>should be used for decision-making, with its</w:t>
      </w:r>
      <w:r w:rsidRPr="00940313">
        <w:t xml:space="preserve"> ICER of </w:t>
      </w:r>
      <w:r w:rsidR="00E00544">
        <w:t>$45,000/QALY - $75,000/QALY</w:t>
      </w:r>
      <w:r w:rsidRPr="00940313">
        <w:t xml:space="preserve"> (corrected </w:t>
      </w:r>
      <w:r w:rsidR="00673951">
        <w:t xml:space="preserve">to </w:t>
      </w:r>
      <w:r w:rsidRPr="00940313">
        <w:t>DPMA)</w:t>
      </w:r>
      <w:r w:rsidR="002E13D3">
        <w:t>,</w:t>
      </w:r>
      <w:r w:rsidRPr="00940313">
        <w:t xml:space="preserve"> and </w:t>
      </w:r>
      <w:r w:rsidR="00E22837">
        <w:t xml:space="preserve">also </w:t>
      </w:r>
      <w:r w:rsidRPr="00940313">
        <w:t>present</w:t>
      </w:r>
      <w:r w:rsidR="00E07EDA">
        <w:t>ed</w:t>
      </w:r>
      <w:r w:rsidRPr="00940313">
        <w:t xml:space="preserve"> additional sensitivity analyses</w:t>
      </w:r>
      <w:r w:rsidR="002E13D3">
        <w:t xml:space="preserve"> for this revised model</w:t>
      </w:r>
      <w:r>
        <w:t>.</w:t>
      </w:r>
    </w:p>
    <w:p w:rsidR="00940313" w:rsidRPr="00E07EDA" w:rsidRDefault="00940313" w:rsidP="00E07EDA">
      <w:pPr>
        <w:contextualSpacing/>
        <w:rPr>
          <w:szCs w:val="22"/>
          <w:u w:val="single"/>
        </w:rPr>
      </w:pPr>
    </w:p>
    <w:p w:rsidR="00940313" w:rsidRPr="00E07EDA" w:rsidRDefault="00940313" w:rsidP="00940313">
      <w:pPr>
        <w:numPr>
          <w:ilvl w:val="1"/>
          <w:numId w:val="1"/>
        </w:numPr>
        <w:contextualSpacing/>
        <w:rPr>
          <w:szCs w:val="22"/>
          <w:u w:val="single"/>
        </w:rPr>
      </w:pPr>
      <w:r w:rsidRPr="00E07EDA">
        <w:rPr>
          <w:szCs w:val="22"/>
        </w:rPr>
        <w:t xml:space="preserve">Consequently, there </w:t>
      </w:r>
      <w:r w:rsidR="002E13D3">
        <w:rPr>
          <w:szCs w:val="22"/>
        </w:rPr>
        <w:t xml:space="preserve">was </w:t>
      </w:r>
      <w:r w:rsidRPr="00E07EDA">
        <w:rPr>
          <w:szCs w:val="22"/>
        </w:rPr>
        <w:t xml:space="preserve">no estimate of the cost-effectiveness of pembrolizumab </w:t>
      </w:r>
      <w:r w:rsidRPr="00E07EDA">
        <w:rPr>
          <w:szCs w:val="22"/>
        </w:rPr>
        <w:lastRenderedPageBreak/>
        <w:t>based on the available comparative data from KN-006.</w:t>
      </w:r>
    </w:p>
    <w:p w:rsidR="003E18D8" w:rsidRPr="003E18D8" w:rsidRDefault="003E18D8" w:rsidP="003E18D8">
      <w:pPr>
        <w:widowControl/>
        <w:rPr>
          <w:szCs w:val="22"/>
        </w:rPr>
      </w:pPr>
    </w:p>
    <w:p w:rsidR="00560A24" w:rsidRPr="003E18D8" w:rsidRDefault="003E18D8" w:rsidP="003E18D8">
      <w:pPr>
        <w:widowControl/>
        <w:ind w:left="709"/>
        <w:rPr>
          <w:i/>
          <w:szCs w:val="22"/>
        </w:rPr>
      </w:pPr>
      <w:r w:rsidRPr="003E18D8">
        <w:rPr>
          <w:i/>
          <w:szCs w:val="22"/>
        </w:rPr>
        <w:t>For more detail on PBAC’s view, see section 7 “PBAC outcome”</w:t>
      </w:r>
    </w:p>
    <w:p w:rsidR="003E18D8" w:rsidRDefault="003E18D8" w:rsidP="003E18D8">
      <w:pPr>
        <w:widowControl/>
        <w:rPr>
          <w:szCs w:val="22"/>
        </w:rPr>
      </w:pPr>
    </w:p>
    <w:p w:rsidR="00C25D9C" w:rsidRPr="00D456B8" w:rsidRDefault="00C25D9C" w:rsidP="002C2775">
      <w:pPr>
        <w:pStyle w:val="Heading2"/>
        <w:rPr>
          <w:b w:val="0"/>
          <w:szCs w:val="22"/>
        </w:rPr>
      </w:pPr>
      <w:bookmarkStart w:id="15" w:name="_Toc409607372"/>
      <w:r w:rsidRPr="002C2775">
        <w:rPr>
          <w:i/>
        </w:rPr>
        <w:t>Drug cost/patient</w:t>
      </w:r>
      <w:r w:rsidR="00D6084F">
        <w:rPr>
          <w:i/>
        </w:rPr>
        <w:t>/course</w:t>
      </w:r>
      <w:r w:rsidRPr="002C2775">
        <w:rPr>
          <w:i/>
        </w:rPr>
        <w:t>:</w:t>
      </w:r>
      <w:r w:rsidRPr="00D456B8">
        <w:rPr>
          <w:b w:val="0"/>
          <w:i/>
        </w:rPr>
        <w:t xml:space="preserve"> </w:t>
      </w:r>
      <w:r w:rsidR="00667ED3" w:rsidRPr="00D456B8">
        <w:rPr>
          <w:b w:val="0"/>
        </w:rPr>
        <w:t>no reliable estimate</w:t>
      </w:r>
      <w:r w:rsidR="00D456B8" w:rsidRPr="00D456B8">
        <w:rPr>
          <w:b w:val="0"/>
        </w:rPr>
        <w:t xml:space="preserve"> could be made</w:t>
      </w:r>
      <w:r w:rsidRPr="00D456B8">
        <w:rPr>
          <w:b w:val="0"/>
        </w:rPr>
        <w:t>.</w:t>
      </w:r>
      <w:bookmarkEnd w:id="15"/>
    </w:p>
    <w:p w:rsidR="00C25D9C" w:rsidRPr="00C25D9C" w:rsidRDefault="00C25D9C" w:rsidP="00C25D9C">
      <w:pPr>
        <w:widowControl/>
        <w:rPr>
          <w:szCs w:val="22"/>
        </w:rPr>
      </w:pPr>
    </w:p>
    <w:p w:rsidR="00A86E8B" w:rsidRPr="00BB4AC4" w:rsidRDefault="006633AA" w:rsidP="005C1AC0">
      <w:pPr>
        <w:pStyle w:val="ListParagraph"/>
        <w:widowControl/>
        <w:numPr>
          <w:ilvl w:val="1"/>
          <w:numId w:val="1"/>
        </w:numPr>
        <w:rPr>
          <w:szCs w:val="22"/>
        </w:rPr>
      </w:pPr>
      <w:r w:rsidRPr="00BB4AC4">
        <w:rPr>
          <w:szCs w:val="22"/>
        </w:rPr>
        <w:t>Given the inadequacy of the available evidence, a reliable estimate of drug cost per patient could not be made</w:t>
      </w:r>
      <w:r w:rsidR="002E13D3">
        <w:rPr>
          <w:szCs w:val="22"/>
        </w:rPr>
        <w:t>.</w:t>
      </w:r>
      <w:r w:rsidRPr="00BB4AC4">
        <w:rPr>
          <w:szCs w:val="22"/>
        </w:rPr>
        <w:t xml:space="preserve">  </w:t>
      </w:r>
      <w:r w:rsidR="002E13D3">
        <w:rPr>
          <w:szCs w:val="22"/>
        </w:rPr>
        <w:t xml:space="preserve">Several </w:t>
      </w:r>
      <w:r w:rsidRPr="00BB4AC4">
        <w:rPr>
          <w:szCs w:val="22"/>
        </w:rPr>
        <w:t xml:space="preserve">values </w:t>
      </w:r>
      <w:r w:rsidR="002E13D3">
        <w:rPr>
          <w:szCs w:val="22"/>
        </w:rPr>
        <w:t xml:space="preserve">were </w:t>
      </w:r>
      <w:r w:rsidRPr="00BB4AC4">
        <w:rPr>
          <w:szCs w:val="22"/>
        </w:rPr>
        <w:t xml:space="preserve">possible.  </w:t>
      </w:r>
      <w:r w:rsidR="002E13D3">
        <w:rPr>
          <w:szCs w:val="22"/>
        </w:rPr>
        <w:t>Basing</w:t>
      </w:r>
      <w:r w:rsidR="0027266F" w:rsidRPr="00BB4AC4">
        <w:rPr>
          <w:szCs w:val="22"/>
        </w:rPr>
        <w:t xml:space="preserve"> drug cost </w:t>
      </w:r>
      <w:r w:rsidR="002E13D3">
        <w:rPr>
          <w:szCs w:val="22"/>
        </w:rPr>
        <w:t xml:space="preserve">on </w:t>
      </w:r>
      <w:r w:rsidR="0027266F" w:rsidRPr="00BB4AC4">
        <w:rPr>
          <w:szCs w:val="22"/>
        </w:rPr>
        <w:t>th</w:t>
      </w:r>
      <w:r w:rsidR="002E13D3">
        <w:rPr>
          <w:szCs w:val="22"/>
        </w:rPr>
        <w:t>e</w:t>
      </w:r>
      <w:r w:rsidR="0027266F" w:rsidRPr="00BB4AC4">
        <w:rPr>
          <w:szCs w:val="22"/>
        </w:rPr>
        <w:t xml:space="preserve"> PFS in the cohorts of KN-001 resulted in an estimate of drug cost ranging from $</w:t>
      </w:r>
      <w:r w:rsidR="00112B75">
        <w:rPr>
          <w:noProof/>
          <w:color w:val="000000"/>
          <w:szCs w:val="22"/>
          <w:highlight w:val="black"/>
        </w:rPr>
        <w:t>''''''''''''''''''</w:t>
      </w:r>
      <w:r w:rsidR="0027266F" w:rsidRPr="00BB4AC4">
        <w:rPr>
          <w:szCs w:val="22"/>
        </w:rPr>
        <w:t xml:space="preserve"> (3.1 months </w:t>
      </w:r>
      <w:r w:rsidR="006B3FC1" w:rsidRPr="00BB4AC4">
        <w:rPr>
          <w:szCs w:val="22"/>
        </w:rPr>
        <w:t xml:space="preserve">median </w:t>
      </w:r>
      <w:r w:rsidR="0027266F" w:rsidRPr="00BB4AC4">
        <w:rPr>
          <w:szCs w:val="22"/>
        </w:rPr>
        <w:t>PFS) to $</w:t>
      </w:r>
      <w:r w:rsidR="00112B75">
        <w:rPr>
          <w:noProof/>
          <w:color w:val="000000"/>
          <w:szCs w:val="22"/>
          <w:highlight w:val="black"/>
        </w:rPr>
        <w:t>'''''''''''''''''''</w:t>
      </w:r>
      <w:r w:rsidR="0027266F" w:rsidRPr="00BB4AC4">
        <w:rPr>
          <w:szCs w:val="22"/>
        </w:rPr>
        <w:t xml:space="preserve"> (8.7 months </w:t>
      </w:r>
      <w:r w:rsidR="006B3FC1" w:rsidRPr="00BB4AC4">
        <w:rPr>
          <w:szCs w:val="22"/>
        </w:rPr>
        <w:t xml:space="preserve">median </w:t>
      </w:r>
      <w:r w:rsidR="0027266F" w:rsidRPr="00BB4AC4">
        <w:rPr>
          <w:szCs w:val="22"/>
        </w:rPr>
        <w:t xml:space="preserve">PFS), assuming a </w:t>
      </w:r>
      <w:r w:rsidR="006B3FC1" w:rsidRPr="00BB4AC4">
        <w:rPr>
          <w:szCs w:val="22"/>
        </w:rPr>
        <w:t xml:space="preserve">drug </w:t>
      </w:r>
      <w:r w:rsidR="0027266F" w:rsidRPr="00BB4AC4">
        <w:rPr>
          <w:szCs w:val="22"/>
        </w:rPr>
        <w:t>cost of $</w:t>
      </w:r>
      <w:r w:rsidR="00112B75">
        <w:rPr>
          <w:noProof/>
          <w:color w:val="000000"/>
          <w:szCs w:val="22"/>
          <w:highlight w:val="black"/>
        </w:rPr>
        <w:t>'''''''''''''''''''''</w:t>
      </w:r>
      <w:r w:rsidR="0027266F" w:rsidRPr="00BB4AC4">
        <w:rPr>
          <w:szCs w:val="22"/>
        </w:rPr>
        <w:t xml:space="preserve"> per cycle.  If the estimate of </w:t>
      </w:r>
      <w:r w:rsidR="002E13D3">
        <w:rPr>
          <w:szCs w:val="22"/>
        </w:rPr>
        <w:t xml:space="preserve">mean </w:t>
      </w:r>
      <w:r w:rsidR="0027266F" w:rsidRPr="00BB4AC4">
        <w:rPr>
          <w:szCs w:val="22"/>
        </w:rPr>
        <w:t xml:space="preserve">PFS from the model </w:t>
      </w:r>
      <w:r w:rsidRPr="00BB4AC4">
        <w:rPr>
          <w:szCs w:val="22"/>
        </w:rPr>
        <w:t>wa</w:t>
      </w:r>
      <w:r w:rsidR="0027266F" w:rsidRPr="00BB4AC4">
        <w:rPr>
          <w:szCs w:val="22"/>
        </w:rPr>
        <w:t>s used (14.34 months)</w:t>
      </w:r>
      <w:r w:rsidR="00D456B8">
        <w:rPr>
          <w:szCs w:val="22"/>
        </w:rPr>
        <w:t>,</w:t>
      </w:r>
      <w:r w:rsidR="0027266F" w:rsidRPr="00BB4AC4">
        <w:rPr>
          <w:szCs w:val="22"/>
        </w:rPr>
        <w:t xml:space="preserve"> then the cost per treatment course </w:t>
      </w:r>
      <w:r w:rsidRPr="00BB4AC4">
        <w:rPr>
          <w:szCs w:val="22"/>
        </w:rPr>
        <w:t>w</w:t>
      </w:r>
      <w:r w:rsidR="006B3FC1" w:rsidRPr="00BB4AC4">
        <w:rPr>
          <w:szCs w:val="22"/>
        </w:rPr>
        <w:t>ould be</w:t>
      </w:r>
      <w:r w:rsidR="0027266F" w:rsidRPr="00BB4AC4">
        <w:rPr>
          <w:szCs w:val="22"/>
        </w:rPr>
        <w:t xml:space="preserve"> $</w:t>
      </w:r>
      <w:r w:rsidR="00112B75">
        <w:rPr>
          <w:noProof/>
          <w:color w:val="000000"/>
          <w:szCs w:val="22"/>
          <w:highlight w:val="black"/>
        </w:rPr>
        <w:t>''''''''''''''''''</w:t>
      </w:r>
      <w:r w:rsidR="0027266F" w:rsidRPr="00BB4AC4">
        <w:rPr>
          <w:szCs w:val="22"/>
        </w:rPr>
        <w:t xml:space="preserve">.  </w:t>
      </w:r>
      <w:r w:rsidR="00D6084F" w:rsidRPr="00BB4AC4">
        <w:rPr>
          <w:szCs w:val="22"/>
        </w:rPr>
        <w:t xml:space="preserve">Median response duration </w:t>
      </w:r>
      <w:r w:rsidRPr="00BB4AC4">
        <w:rPr>
          <w:szCs w:val="22"/>
        </w:rPr>
        <w:t>w</w:t>
      </w:r>
      <w:r w:rsidR="00D6084F" w:rsidRPr="00BB4AC4">
        <w:rPr>
          <w:szCs w:val="22"/>
        </w:rPr>
        <w:t xml:space="preserve">as not reached for most cohorts, with data </w:t>
      </w:r>
      <w:r w:rsidR="0027266F" w:rsidRPr="00BB4AC4">
        <w:rPr>
          <w:szCs w:val="22"/>
        </w:rPr>
        <w:t xml:space="preserve">only </w:t>
      </w:r>
      <w:r w:rsidR="00C1161E" w:rsidRPr="00BB4AC4">
        <w:rPr>
          <w:szCs w:val="22"/>
        </w:rPr>
        <w:t>available for the 10</w:t>
      </w:r>
      <w:r w:rsidR="0027793F">
        <w:rPr>
          <w:szCs w:val="22"/>
        </w:rPr>
        <w:t> </w:t>
      </w:r>
      <w:r w:rsidR="00C1161E" w:rsidRPr="00BB4AC4">
        <w:rPr>
          <w:szCs w:val="22"/>
        </w:rPr>
        <w:t xml:space="preserve">mg/kg Q3W dose in the combined Part B1 plus D cohort.  Median response </w:t>
      </w:r>
      <w:r w:rsidR="003F040E" w:rsidRPr="00BB4AC4">
        <w:rPr>
          <w:szCs w:val="22"/>
        </w:rPr>
        <w:t xml:space="preserve">reported in the submission and clinical study report (CSR) </w:t>
      </w:r>
      <w:r w:rsidR="000447F5" w:rsidRPr="00BB4AC4">
        <w:rPr>
          <w:szCs w:val="22"/>
        </w:rPr>
        <w:t xml:space="preserve">for this cohort </w:t>
      </w:r>
      <w:r w:rsidR="00C1161E" w:rsidRPr="00BB4AC4">
        <w:rPr>
          <w:szCs w:val="22"/>
        </w:rPr>
        <w:t xml:space="preserve">was 93 weeks, with a range of 6 to 93 weeks.  </w:t>
      </w:r>
      <w:r w:rsidR="0027266F" w:rsidRPr="00BB4AC4">
        <w:rPr>
          <w:szCs w:val="22"/>
        </w:rPr>
        <w:t>Using this source</w:t>
      </w:r>
      <w:r w:rsidR="00C1161E" w:rsidRPr="00BB4AC4">
        <w:rPr>
          <w:szCs w:val="22"/>
        </w:rPr>
        <w:t xml:space="preserve">, the drug cost per patient per course </w:t>
      </w:r>
      <w:r w:rsidR="0027266F" w:rsidRPr="00BB4AC4">
        <w:rPr>
          <w:szCs w:val="22"/>
        </w:rPr>
        <w:t>would</w:t>
      </w:r>
      <w:r w:rsidR="00C1161E" w:rsidRPr="00BB4AC4">
        <w:rPr>
          <w:szCs w:val="22"/>
        </w:rPr>
        <w:t xml:space="preserve"> range from $</w:t>
      </w:r>
      <w:r w:rsidR="00112B75">
        <w:rPr>
          <w:noProof/>
          <w:color w:val="000000"/>
          <w:szCs w:val="22"/>
          <w:highlight w:val="black"/>
        </w:rPr>
        <w:t>''''''''''''''''</w:t>
      </w:r>
      <w:r w:rsidR="00C1161E" w:rsidRPr="00BB4AC4">
        <w:rPr>
          <w:szCs w:val="22"/>
        </w:rPr>
        <w:t xml:space="preserve"> to $</w:t>
      </w:r>
      <w:r w:rsidR="00112B75">
        <w:rPr>
          <w:noProof/>
          <w:color w:val="000000"/>
          <w:szCs w:val="22"/>
          <w:highlight w:val="black"/>
        </w:rPr>
        <w:t>''''''''''''''''''''</w:t>
      </w:r>
      <w:r w:rsidR="00C1161E" w:rsidRPr="00BB4AC4">
        <w:rPr>
          <w:szCs w:val="22"/>
        </w:rPr>
        <w:t>.</w:t>
      </w:r>
    </w:p>
    <w:p w:rsidR="00B60939" w:rsidRPr="001E2B1E" w:rsidRDefault="00B60939" w:rsidP="001456B0">
      <w:pPr>
        <w:rPr>
          <w:szCs w:val="22"/>
        </w:rPr>
      </w:pPr>
    </w:p>
    <w:p w:rsidR="00655B06" w:rsidRPr="00655B06" w:rsidRDefault="00655B06" w:rsidP="00655B06">
      <w:pPr>
        <w:pStyle w:val="PBACHeading1"/>
        <w:numPr>
          <w:ilvl w:val="0"/>
          <w:numId w:val="0"/>
        </w:numPr>
        <w:ind w:firstLine="720"/>
        <w:rPr>
          <w:b w:val="0"/>
          <w:i/>
        </w:rPr>
      </w:pPr>
      <w:bookmarkStart w:id="16" w:name="_Toc409607373"/>
      <w:r w:rsidRPr="00655B06">
        <w:rPr>
          <w:b w:val="0"/>
          <w:i/>
        </w:rPr>
        <w:t>For more detail on PBAC’s view, see section 7 “PBAC outcome”</w:t>
      </w:r>
    </w:p>
    <w:p w:rsidR="00E0791E" w:rsidRPr="00EC4B80" w:rsidRDefault="00E0791E" w:rsidP="002C2775">
      <w:pPr>
        <w:pStyle w:val="Heading2"/>
        <w:rPr>
          <w:b w:val="0"/>
        </w:rPr>
      </w:pPr>
    </w:p>
    <w:p w:rsidR="00B60939" w:rsidRPr="002C2775" w:rsidRDefault="00B60939" w:rsidP="002C2775">
      <w:pPr>
        <w:pStyle w:val="Heading2"/>
        <w:rPr>
          <w:i/>
        </w:rPr>
      </w:pPr>
      <w:r w:rsidRPr="002C2775">
        <w:rPr>
          <w:i/>
        </w:rPr>
        <w:t>Estimated PBS usage &amp; financial implications</w:t>
      </w:r>
      <w:bookmarkEnd w:id="16"/>
    </w:p>
    <w:p w:rsidR="00B60939" w:rsidRPr="00A17A26" w:rsidRDefault="00B60939" w:rsidP="00B60939">
      <w:pPr>
        <w:ind w:left="720" w:hanging="720"/>
        <w:rPr>
          <w:szCs w:val="22"/>
        </w:rPr>
      </w:pPr>
    </w:p>
    <w:p w:rsidR="00630F65" w:rsidRPr="00CF5B43" w:rsidRDefault="00630F65" w:rsidP="005C1AC0">
      <w:pPr>
        <w:pStyle w:val="ListParagraph"/>
        <w:widowControl/>
        <w:numPr>
          <w:ilvl w:val="1"/>
          <w:numId w:val="1"/>
        </w:numPr>
        <w:rPr>
          <w:szCs w:val="22"/>
        </w:rPr>
      </w:pPr>
      <w:r>
        <w:t>This submission was not considered by DUSC</w:t>
      </w:r>
      <w:r w:rsidRPr="00B50DB8">
        <w:rPr>
          <w:color w:val="0070C0"/>
        </w:rPr>
        <w:t>.</w:t>
      </w:r>
      <w:r>
        <w:rPr>
          <w:color w:val="0070C0"/>
        </w:rPr>
        <w:t xml:space="preserve">  </w:t>
      </w:r>
      <w:r>
        <w:rPr>
          <w:snapToGrid/>
          <w:lang w:val="en-US" w:eastAsia="en-AU"/>
        </w:rPr>
        <w:t xml:space="preserve">The submission </w:t>
      </w:r>
      <w:r w:rsidR="009F6C92">
        <w:rPr>
          <w:snapToGrid/>
          <w:lang w:val="en-US" w:eastAsia="en-AU"/>
        </w:rPr>
        <w:t>used</w:t>
      </w:r>
      <w:r>
        <w:rPr>
          <w:snapToGrid/>
          <w:lang w:val="en-US" w:eastAsia="en-AU"/>
        </w:rPr>
        <w:t xml:space="preserve"> an epidemiological approach to estimate the extent of use and financial implications of listing pembrolizumab for the treatment of unresectable (stage III) or metastatic (stage IV) melanoma.</w:t>
      </w:r>
      <w:r w:rsidRPr="00B50DB8">
        <w:rPr>
          <w:color w:val="0070C0"/>
        </w:rPr>
        <w:t xml:space="preserve"> </w:t>
      </w:r>
      <w:r w:rsidR="005F6FFA" w:rsidRPr="00CF5B43">
        <w:t>The PSCR provided financial estimates based on the assumption that 12% of patients treated with pembrolizumab w</w:t>
      </w:r>
      <w:r w:rsidR="00AB3B44" w:rsidRPr="00CF5B43">
        <w:t>ould subsequently</w:t>
      </w:r>
      <w:r w:rsidR="005F6FFA" w:rsidRPr="00CF5B43">
        <w:t xml:space="preserve"> receive ipilimumab. </w:t>
      </w:r>
      <w:r w:rsidR="00D456B8">
        <w:t xml:space="preserve"> </w:t>
      </w:r>
      <w:r w:rsidR="005F6FFA" w:rsidRPr="00CF5B43">
        <w:t>These estimates could not be verified</w:t>
      </w:r>
      <w:r w:rsidR="00AB3B44" w:rsidRPr="00CF5B43">
        <w:t>,</w:t>
      </w:r>
      <w:r w:rsidR="005F6FFA" w:rsidRPr="00CF5B43">
        <w:t xml:space="preserve"> but </w:t>
      </w:r>
      <w:r w:rsidR="00A17A26" w:rsidRPr="00CF5B43">
        <w:t>a</w:t>
      </w:r>
      <w:r w:rsidR="005F6FFA" w:rsidRPr="00CF5B43">
        <w:t>re provided in the table below.</w:t>
      </w:r>
    </w:p>
    <w:p w:rsidR="00630F65" w:rsidRPr="00714613" w:rsidRDefault="00630F65" w:rsidP="00630F65">
      <w:pPr>
        <w:widowControl/>
        <w:rPr>
          <w:szCs w:val="22"/>
        </w:rPr>
      </w:pPr>
    </w:p>
    <w:p w:rsidR="00630F65" w:rsidRDefault="00630F65" w:rsidP="00630F65">
      <w:pPr>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Description w:val="Year 1 to 5"/>
      </w:tblPr>
      <w:tblGrid>
        <w:gridCol w:w="2258"/>
        <w:gridCol w:w="1123"/>
        <w:gridCol w:w="1185"/>
        <w:gridCol w:w="1265"/>
        <w:gridCol w:w="1265"/>
        <w:gridCol w:w="1250"/>
      </w:tblGrid>
      <w:tr w:rsidR="00630F65" w:rsidRPr="004E2ADC" w:rsidTr="00C638E9">
        <w:trPr>
          <w:tblHeader/>
        </w:trPr>
        <w:tc>
          <w:tcPr>
            <w:tcW w:w="1359" w:type="pct"/>
            <w:shd w:val="clear" w:color="auto" w:fill="auto"/>
            <w:vAlign w:val="center"/>
          </w:tcPr>
          <w:p w:rsidR="00630F65" w:rsidRPr="004E2ADC" w:rsidRDefault="00630F65" w:rsidP="00C638E9">
            <w:pPr>
              <w:tabs>
                <w:tab w:val="left" w:pos="142"/>
              </w:tabs>
              <w:jc w:val="left"/>
              <w:rPr>
                <w:rFonts w:ascii="Arial Narrow" w:hAnsi="Arial Narrow"/>
                <w:b/>
                <w:sz w:val="20"/>
              </w:rPr>
            </w:pPr>
          </w:p>
        </w:tc>
        <w:tc>
          <w:tcPr>
            <w:tcW w:w="679" w:type="pct"/>
            <w:shd w:val="clear" w:color="auto" w:fill="auto"/>
            <w:vAlign w:val="center"/>
          </w:tcPr>
          <w:p w:rsidR="00630F65" w:rsidRPr="004E2ADC" w:rsidRDefault="00630F65" w:rsidP="00C638E9">
            <w:pPr>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630F65" w:rsidRPr="004E2ADC" w:rsidRDefault="00630F65" w:rsidP="00C638E9">
            <w:pPr>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630F65" w:rsidRPr="004E2ADC" w:rsidRDefault="00630F65" w:rsidP="00C638E9">
            <w:pPr>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630F65" w:rsidRPr="004E2ADC" w:rsidRDefault="00630F65" w:rsidP="00C638E9">
            <w:pPr>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630F65" w:rsidRPr="004E2ADC" w:rsidRDefault="00630F65" w:rsidP="00C638E9">
            <w:pPr>
              <w:jc w:val="center"/>
              <w:rPr>
                <w:rFonts w:ascii="Arial Narrow" w:hAnsi="Arial Narrow"/>
                <w:b/>
                <w:sz w:val="20"/>
              </w:rPr>
            </w:pPr>
            <w:r w:rsidRPr="004E2ADC">
              <w:rPr>
                <w:rFonts w:ascii="Arial Narrow" w:hAnsi="Arial Narrow"/>
                <w:b/>
                <w:sz w:val="20"/>
              </w:rPr>
              <w:t>Year 5</w:t>
            </w:r>
          </w:p>
        </w:tc>
      </w:tr>
      <w:tr w:rsidR="00630F65" w:rsidRPr="004E2ADC" w:rsidTr="00C638E9">
        <w:tc>
          <w:tcPr>
            <w:tcW w:w="5000" w:type="pct"/>
            <w:gridSpan w:val="6"/>
            <w:shd w:val="clear" w:color="auto" w:fill="auto"/>
            <w:vAlign w:val="center"/>
          </w:tcPr>
          <w:p w:rsidR="00630F65" w:rsidRPr="004E2ADC" w:rsidRDefault="00630F65" w:rsidP="00C638E9">
            <w:pPr>
              <w:jc w:val="left"/>
              <w:rPr>
                <w:rFonts w:ascii="Arial Narrow" w:hAnsi="Arial Narrow"/>
                <w:b/>
                <w:bCs/>
                <w:color w:val="000000"/>
                <w:sz w:val="20"/>
              </w:rPr>
            </w:pPr>
            <w:r w:rsidRPr="004E2ADC">
              <w:rPr>
                <w:rFonts w:ascii="Arial Narrow" w:hAnsi="Arial Narrow"/>
                <w:b/>
                <w:bCs/>
                <w:color w:val="000000"/>
                <w:sz w:val="20"/>
              </w:rPr>
              <w:t>Estimated extent of use</w:t>
            </w:r>
          </w:p>
        </w:tc>
      </w:tr>
      <w:tr w:rsidR="00630F65" w:rsidRPr="004E2ADC" w:rsidTr="00C638E9">
        <w:tc>
          <w:tcPr>
            <w:tcW w:w="1359" w:type="pct"/>
            <w:shd w:val="clear" w:color="auto" w:fill="auto"/>
            <w:vAlign w:val="center"/>
          </w:tcPr>
          <w:p w:rsidR="00630F65" w:rsidRPr="004E2ADC" w:rsidRDefault="00630F65" w:rsidP="00C638E9">
            <w:pPr>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630F65" w:rsidRPr="004E2ADC" w:rsidTr="00C638E9">
        <w:tc>
          <w:tcPr>
            <w:tcW w:w="1359" w:type="pct"/>
            <w:shd w:val="clear" w:color="auto" w:fill="auto"/>
            <w:vAlign w:val="center"/>
          </w:tcPr>
          <w:p w:rsidR="00630F65" w:rsidRPr="00714613" w:rsidRDefault="00630F65" w:rsidP="00C638E9">
            <w:pPr>
              <w:tabs>
                <w:tab w:val="left" w:pos="142"/>
              </w:tabs>
              <w:jc w:val="left"/>
              <w:rPr>
                <w:rFonts w:ascii="Arial Narrow" w:hAnsi="Arial Narrow"/>
                <w:sz w:val="20"/>
              </w:rPr>
            </w:pPr>
            <w:r>
              <w:rPr>
                <w:rFonts w:ascii="Arial Narrow" w:hAnsi="Arial Narrow"/>
                <w:sz w:val="20"/>
              </w:rPr>
              <w:t>Vials (50</w:t>
            </w:r>
            <w:r w:rsidR="0027793F">
              <w:rPr>
                <w:rFonts w:ascii="Arial Narrow" w:hAnsi="Arial Narrow"/>
                <w:sz w:val="20"/>
              </w:rPr>
              <w:t> </w:t>
            </w:r>
            <w:r>
              <w:rPr>
                <w:rFonts w:ascii="Arial Narrow" w:hAnsi="Arial Narrow"/>
                <w:sz w:val="20"/>
              </w:rPr>
              <w:t>mg)</w:t>
            </w:r>
          </w:p>
        </w:tc>
        <w:tc>
          <w:tcPr>
            <w:tcW w:w="679"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630F65" w:rsidRPr="00112B75" w:rsidRDefault="00112B75" w:rsidP="00C638E9">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630F65" w:rsidRPr="004E2ADC" w:rsidTr="00C638E9">
        <w:tc>
          <w:tcPr>
            <w:tcW w:w="5000" w:type="pct"/>
            <w:gridSpan w:val="6"/>
            <w:shd w:val="clear" w:color="auto" w:fill="auto"/>
            <w:vAlign w:val="center"/>
          </w:tcPr>
          <w:p w:rsidR="00630F65" w:rsidRPr="004E2ADC" w:rsidRDefault="00630F65" w:rsidP="00C638E9">
            <w:pPr>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630F65" w:rsidRPr="004E2ADC" w:rsidTr="00C638E9">
        <w:tc>
          <w:tcPr>
            <w:tcW w:w="1359" w:type="pct"/>
            <w:shd w:val="clear" w:color="auto" w:fill="auto"/>
            <w:vAlign w:val="center"/>
          </w:tcPr>
          <w:p w:rsidR="00630F65" w:rsidRPr="004E2ADC" w:rsidRDefault="00630F65" w:rsidP="00C638E9">
            <w:pPr>
              <w:tabs>
                <w:tab w:val="left" w:pos="142"/>
              </w:tabs>
              <w:jc w:val="left"/>
              <w:rPr>
                <w:rFonts w:ascii="Arial Narrow" w:hAnsi="Arial Narrow"/>
                <w:sz w:val="20"/>
              </w:rPr>
            </w:pPr>
            <w:r>
              <w:rPr>
                <w:rFonts w:ascii="Arial Narrow" w:hAnsi="Arial Narrow"/>
                <w:sz w:val="19"/>
                <w:szCs w:val="19"/>
              </w:rPr>
              <w:t>C</w:t>
            </w:r>
            <w:r w:rsidRPr="004E2ADC">
              <w:rPr>
                <w:rFonts w:ascii="Arial Narrow" w:hAnsi="Arial Narrow"/>
                <w:sz w:val="19"/>
                <w:szCs w:val="19"/>
              </w:rPr>
              <w:t>ost to PBS</w:t>
            </w:r>
            <w:r>
              <w:rPr>
                <w:rFonts w:ascii="Arial Narrow" w:hAnsi="Arial Narrow"/>
                <w:sz w:val="19"/>
                <w:szCs w:val="19"/>
              </w:rPr>
              <w:t>/RPBS</w:t>
            </w:r>
          </w:p>
        </w:tc>
        <w:tc>
          <w:tcPr>
            <w:tcW w:w="679" w:type="pct"/>
            <w:shd w:val="clear" w:color="auto" w:fill="auto"/>
            <w:vAlign w:val="center"/>
          </w:tcPr>
          <w:p w:rsidR="00630F65" w:rsidRPr="004E2ADC" w:rsidRDefault="00630F65" w:rsidP="00C638E9">
            <w:pPr>
              <w:jc w:val="center"/>
              <w:rPr>
                <w:rFonts w:ascii="Arial Narrow" w:hAnsi="Arial Narrow"/>
                <w:bCs/>
                <w:color w:val="000000"/>
                <w:sz w:val="20"/>
              </w:rPr>
            </w:pPr>
            <w:r>
              <w:rPr>
                <w:rFonts w:ascii="Arial Narrow" w:hAnsi="Arial Narrow"/>
                <w:sz w:val="20"/>
              </w:rPr>
              <w:t>$</w:t>
            </w:r>
            <w:r w:rsidR="00112B75">
              <w:rPr>
                <w:rFonts w:ascii="Arial Narrow" w:hAnsi="Arial Narrow"/>
                <w:noProof/>
                <w:color w:val="000000"/>
                <w:sz w:val="20"/>
                <w:highlight w:val="black"/>
              </w:rPr>
              <w:t>'''''''''''''''''''''''''''''</w:t>
            </w:r>
          </w:p>
        </w:tc>
        <w:tc>
          <w:tcPr>
            <w:tcW w:w="679" w:type="pct"/>
            <w:shd w:val="clear" w:color="auto" w:fill="auto"/>
            <w:vAlign w:val="center"/>
          </w:tcPr>
          <w:p w:rsidR="00630F65" w:rsidRPr="004E2ADC" w:rsidRDefault="00630F65" w:rsidP="00C638E9">
            <w:pPr>
              <w:jc w:val="center"/>
              <w:rPr>
                <w:rFonts w:ascii="Arial Narrow" w:hAnsi="Arial Narrow"/>
                <w:bCs/>
                <w:color w:val="000000"/>
                <w:sz w:val="20"/>
              </w:rPr>
            </w:pPr>
            <w:r>
              <w:rPr>
                <w:rFonts w:ascii="Arial Narrow" w:hAnsi="Arial Narrow"/>
                <w:sz w:val="20"/>
              </w:rPr>
              <w:t>$</w:t>
            </w:r>
            <w:r w:rsidR="00112B75">
              <w:rPr>
                <w:rFonts w:ascii="Arial Narrow" w:hAnsi="Arial Narrow"/>
                <w:noProof/>
                <w:color w:val="000000"/>
                <w:sz w:val="20"/>
                <w:highlight w:val="black"/>
              </w:rPr>
              <w:t>'''''''''''''''''''''''''''''''''</w:t>
            </w:r>
          </w:p>
        </w:tc>
        <w:tc>
          <w:tcPr>
            <w:tcW w:w="764" w:type="pct"/>
            <w:shd w:val="clear" w:color="auto" w:fill="auto"/>
            <w:vAlign w:val="center"/>
          </w:tcPr>
          <w:p w:rsidR="00630F65" w:rsidRPr="004E2ADC" w:rsidRDefault="00630F65" w:rsidP="00C638E9">
            <w:pPr>
              <w:jc w:val="center"/>
              <w:rPr>
                <w:rFonts w:ascii="Arial Narrow" w:hAnsi="Arial Narrow"/>
                <w:bCs/>
                <w:color w:val="000000"/>
                <w:sz w:val="20"/>
              </w:rPr>
            </w:pPr>
            <w:r>
              <w:rPr>
                <w:rFonts w:ascii="Arial Narrow" w:hAnsi="Arial Narrow"/>
                <w:sz w:val="20"/>
              </w:rPr>
              <w:t>$</w:t>
            </w:r>
            <w:r w:rsidR="00112B75">
              <w:rPr>
                <w:rFonts w:ascii="Arial Narrow" w:hAnsi="Arial Narrow"/>
                <w:noProof/>
                <w:color w:val="000000"/>
                <w:sz w:val="20"/>
                <w:highlight w:val="black"/>
              </w:rPr>
              <w:t>'''''''''''''''''''''''''''''</w:t>
            </w:r>
          </w:p>
        </w:tc>
        <w:tc>
          <w:tcPr>
            <w:tcW w:w="764" w:type="pct"/>
            <w:shd w:val="clear" w:color="auto" w:fill="auto"/>
            <w:vAlign w:val="center"/>
          </w:tcPr>
          <w:p w:rsidR="00630F65" w:rsidRPr="004E2ADC" w:rsidRDefault="00630F65" w:rsidP="00C638E9">
            <w:pPr>
              <w:jc w:val="center"/>
              <w:rPr>
                <w:rFonts w:ascii="Arial Narrow" w:hAnsi="Arial Narrow"/>
                <w:bCs/>
                <w:color w:val="000000"/>
                <w:sz w:val="20"/>
              </w:rPr>
            </w:pPr>
            <w:r>
              <w:rPr>
                <w:rFonts w:ascii="Arial Narrow" w:hAnsi="Arial Narrow"/>
                <w:sz w:val="20"/>
              </w:rPr>
              <w:t>$</w:t>
            </w:r>
            <w:r w:rsidR="00112B75">
              <w:rPr>
                <w:rFonts w:ascii="Arial Narrow" w:hAnsi="Arial Narrow"/>
                <w:noProof/>
                <w:color w:val="000000"/>
                <w:sz w:val="20"/>
                <w:highlight w:val="black"/>
              </w:rPr>
              <w:t>''''''''''''''''''''''''''''''''</w:t>
            </w:r>
          </w:p>
        </w:tc>
        <w:tc>
          <w:tcPr>
            <w:tcW w:w="755" w:type="pct"/>
            <w:shd w:val="clear" w:color="auto" w:fill="auto"/>
            <w:vAlign w:val="center"/>
          </w:tcPr>
          <w:p w:rsidR="00630F65" w:rsidRPr="004E2ADC" w:rsidRDefault="00630F65" w:rsidP="00C638E9">
            <w:pPr>
              <w:jc w:val="center"/>
              <w:rPr>
                <w:rFonts w:ascii="Arial Narrow" w:hAnsi="Arial Narrow"/>
                <w:bCs/>
                <w:color w:val="000000"/>
                <w:sz w:val="20"/>
              </w:rPr>
            </w:pPr>
            <w:r>
              <w:rPr>
                <w:rFonts w:ascii="Arial Narrow" w:hAnsi="Arial Narrow"/>
                <w:sz w:val="20"/>
              </w:rPr>
              <w:t>$</w:t>
            </w:r>
            <w:r w:rsidR="00112B75">
              <w:rPr>
                <w:rFonts w:ascii="Arial Narrow" w:hAnsi="Arial Narrow"/>
                <w:noProof/>
                <w:color w:val="000000"/>
                <w:sz w:val="20"/>
                <w:highlight w:val="black"/>
              </w:rPr>
              <w:t>'''''''''''''''''''''''''''''</w:t>
            </w:r>
          </w:p>
        </w:tc>
      </w:tr>
      <w:tr w:rsidR="00630F65" w:rsidRPr="004E2ADC" w:rsidTr="00C638E9">
        <w:tc>
          <w:tcPr>
            <w:tcW w:w="1359" w:type="pct"/>
            <w:shd w:val="clear" w:color="auto" w:fill="auto"/>
            <w:vAlign w:val="center"/>
          </w:tcPr>
          <w:p w:rsidR="00630F65" w:rsidRPr="004E2ADC" w:rsidRDefault="00630F65" w:rsidP="00C638E9">
            <w:pPr>
              <w:tabs>
                <w:tab w:val="left" w:pos="142"/>
              </w:tabs>
              <w:jc w:val="left"/>
              <w:rPr>
                <w:rFonts w:ascii="Arial Narrow" w:hAnsi="Arial Narrow"/>
                <w:sz w:val="19"/>
                <w:szCs w:val="19"/>
              </w:rPr>
            </w:pPr>
            <w:r>
              <w:rPr>
                <w:rFonts w:ascii="Arial Narrow" w:hAnsi="Arial Narrow"/>
                <w:sz w:val="19"/>
                <w:szCs w:val="19"/>
              </w:rPr>
              <w:t>Rebate</w:t>
            </w:r>
            <w:r w:rsidR="00B04A82" w:rsidRPr="00B04A82">
              <w:rPr>
                <w:rFonts w:ascii="Arial Narrow" w:hAnsi="Arial Narrow"/>
                <w:sz w:val="20"/>
                <w:vertAlign w:val="superscript"/>
              </w:rPr>
              <w:t>b</w:t>
            </w:r>
          </w:p>
        </w:tc>
        <w:tc>
          <w:tcPr>
            <w:tcW w:w="679" w:type="pct"/>
            <w:shd w:val="clear" w:color="auto" w:fill="auto"/>
            <w:vAlign w:val="center"/>
          </w:tcPr>
          <w:p w:rsidR="00630F65" w:rsidRPr="004E2ADC" w:rsidRDefault="00630F65" w:rsidP="00C638E9">
            <w:pPr>
              <w:jc w:val="center"/>
              <w:rPr>
                <w:rFonts w:ascii="Arial Narrow" w:hAnsi="Arial Narrow"/>
                <w:bCs/>
                <w:sz w:val="19"/>
                <w:szCs w:val="19"/>
              </w:rPr>
            </w:pPr>
            <w:r>
              <w:rPr>
                <w:rFonts w:ascii="Arial Narrow" w:hAnsi="Arial Narrow"/>
                <w:bCs/>
                <w:sz w:val="19"/>
                <w:szCs w:val="19"/>
              </w:rPr>
              <w:t>$</w:t>
            </w:r>
            <w:r w:rsidR="00112B75">
              <w:rPr>
                <w:rFonts w:ascii="Arial Narrow" w:hAnsi="Arial Narrow"/>
                <w:bCs/>
                <w:noProof/>
                <w:color w:val="000000"/>
                <w:sz w:val="19"/>
                <w:szCs w:val="19"/>
                <w:highlight w:val="black"/>
              </w:rPr>
              <w:t>''''</w:t>
            </w:r>
          </w:p>
        </w:tc>
        <w:tc>
          <w:tcPr>
            <w:tcW w:w="679" w:type="pct"/>
            <w:shd w:val="clear" w:color="auto" w:fill="auto"/>
            <w:vAlign w:val="center"/>
          </w:tcPr>
          <w:p w:rsidR="00630F65" w:rsidRPr="004E2ADC" w:rsidRDefault="00630F65" w:rsidP="00C638E9">
            <w:pPr>
              <w:jc w:val="center"/>
              <w:rPr>
                <w:rFonts w:ascii="Arial Narrow" w:hAnsi="Arial Narrow"/>
                <w:bCs/>
                <w:sz w:val="19"/>
                <w:szCs w:val="19"/>
              </w:rPr>
            </w:pPr>
            <w:r>
              <w:rPr>
                <w:rFonts w:ascii="Arial Narrow" w:hAnsi="Arial Narrow"/>
                <w:bCs/>
                <w:sz w:val="19"/>
                <w:szCs w:val="19"/>
              </w:rPr>
              <w:t>$</w:t>
            </w:r>
            <w:r w:rsidR="00112B75">
              <w:rPr>
                <w:rFonts w:ascii="Arial Narrow" w:hAnsi="Arial Narrow"/>
                <w:bCs/>
                <w:noProof/>
                <w:color w:val="000000"/>
                <w:sz w:val="19"/>
                <w:szCs w:val="19"/>
                <w:highlight w:val="black"/>
              </w:rPr>
              <w:t>''''</w:t>
            </w:r>
          </w:p>
        </w:tc>
        <w:tc>
          <w:tcPr>
            <w:tcW w:w="764" w:type="pct"/>
            <w:shd w:val="clear" w:color="auto" w:fill="auto"/>
            <w:vAlign w:val="center"/>
          </w:tcPr>
          <w:p w:rsidR="00630F65" w:rsidRPr="004E2ADC" w:rsidRDefault="00630F65" w:rsidP="00C638E9">
            <w:pPr>
              <w:jc w:val="center"/>
              <w:rPr>
                <w:rFonts w:ascii="Arial Narrow" w:hAnsi="Arial Narrow"/>
                <w:bCs/>
                <w:sz w:val="19"/>
                <w:szCs w:val="19"/>
              </w:rPr>
            </w:pPr>
            <w:r>
              <w:rPr>
                <w:rFonts w:ascii="Arial Narrow" w:hAnsi="Arial Narrow"/>
                <w:sz w:val="20"/>
              </w:rPr>
              <w:t>$</w:t>
            </w:r>
            <w:r w:rsidR="00112B75">
              <w:rPr>
                <w:rFonts w:ascii="Arial Narrow" w:hAnsi="Arial Narrow"/>
                <w:noProof/>
                <w:color w:val="000000"/>
                <w:sz w:val="20"/>
                <w:highlight w:val="black"/>
              </w:rPr>
              <w:t>'''''''''''''''''''''''</w:t>
            </w:r>
          </w:p>
        </w:tc>
        <w:tc>
          <w:tcPr>
            <w:tcW w:w="764" w:type="pct"/>
            <w:shd w:val="clear" w:color="auto" w:fill="auto"/>
            <w:vAlign w:val="center"/>
          </w:tcPr>
          <w:p w:rsidR="00630F65" w:rsidRPr="004E2ADC" w:rsidRDefault="00630F65" w:rsidP="00C638E9">
            <w:pPr>
              <w:jc w:val="center"/>
              <w:rPr>
                <w:rFonts w:ascii="Arial Narrow" w:hAnsi="Arial Narrow"/>
                <w:bCs/>
                <w:sz w:val="19"/>
                <w:szCs w:val="19"/>
              </w:rPr>
            </w:pPr>
            <w:r>
              <w:rPr>
                <w:rFonts w:ascii="Arial Narrow" w:hAnsi="Arial Narrow"/>
                <w:sz w:val="20"/>
              </w:rPr>
              <w:t>$</w:t>
            </w:r>
            <w:r w:rsidR="00112B75">
              <w:rPr>
                <w:rFonts w:ascii="Arial Narrow" w:hAnsi="Arial Narrow"/>
                <w:noProof/>
                <w:color w:val="000000"/>
                <w:sz w:val="20"/>
                <w:highlight w:val="black"/>
              </w:rPr>
              <w:t>''''''''''''''''''''''''''</w:t>
            </w:r>
          </w:p>
        </w:tc>
        <w:tc>
          <w:tcPr>
            <w:tcW w:w="755" w:type="pct"/>
            <w:shd w:val="clear" w:color="auto" w:fill="auto"/>
            <w:vAlign w:val="center"/>
          </w:tcPr>
          <w:p w:rsidR="00630F65" w:rsidRPr="004E2ADC" w:rsidRDefault="00630F65" w:rsidP="00C638E9">
            <w:pPr>
              <w:jc w:val="center"/>
              <w:rPr>
                <w:rFonts w:ascii="Arial Narrow" w:hAnsi="Arial Narrow"/>
                <w:bCs/>
                <w:sz w:val="19"/>
                <w:szCs w:val="19"/>
              </w:rPr>
            </w:pPr>
            <w:r>
              <w:rPr>
                <w:rFonts w:ascii="Arial Narrow" w:hAnsi="Arial Narrow"/>
                <w:sz w:val="20"/>
              </w:rPr>
              <w:t>$</w:t>
            </w:r>
            <w:r w:rsidR="00112B75">
              <w:rPr>
                <w:rFonts w:ascii="Arial Narrow" w:hAnsi="Arial Narrow"/>
                <w:noProof/>
                <w:color w:val="000000"/>
                <w:sz w:val="20"/>
                <w:highlight w:val="black"/>
              </w:rPr>
              <w:t>'''''''''''''''''''''''''''''</w:t>
            </w:r>
          </w:p>
        </w:tc>
      </w:tr>
      <w:tr w:rsidR="00630F65" w:rsidRPr="004E2ADC" w:rsidTr="00C638E9">
        <w:tc>
          <w:tcPr>
            <w:tcW w:w="1359" w:type="pct"/>
            <w:shd w:val="clear" w:color="auto" w:fill="auto"/>
            <w:vAlign w:val="center"/>
          </w:tcPr>
          <w:p w:rsidR="00630F65" w:rsidRPr="004E2ADC" w:rsidRDefault="00630F65" w:rsidP="00C638E9">
            <w:pPr>
              <w:tabs>
                <w:tab w:val="left" w:pos="142"/>
              </w:tabs>
              <w:jc w:val="left"/>
              <w:rPr>
                <w:rFonts w:ascii="Arial Narrow" w:hAnsi="Arial Narrow"/>
                <w:sz w:val="19"/>
                <w:szCs w:val="19"/>
              </w:rPr>
            </w:pPr>
            <w:r w:rsidRPr="004C0877">
              <w:rPr>
                <w:rFonts w:ascii="Arial Narrow" w:hAnsi="Arial Narrow" w:cs="Times New Roman"/>
                <w:snapToGrid/>
                <w:sz w:val="20"/>
                <w:lang w:eastAsia="en-AU"/>
              </w:rPr>
              <w:t>Total cost of ipilimumab</w:t>
            </w:r>
          </w:p>
        </w:tc>
        <w:tc>
          <w:tcPr>
            <w:tcW w:w="679" w:type="pct"/>
            <w:shd w:val="clear" w:color="auto" w:fill="auto"/>
            <w:vAlign w:val="center"/>
          </w:tcPr>
          <w:p w:rsidR="00630F65" w:rsidRPr="004E2ADC" w:rsidRDefault="00630F65" w:rsidP="00C638E9">
            <w:pPr>
              <w:jc w:val="center"/>
              <w:rPr>
                <w:rFonts w:ascii="Arial Narrow" w:hAnsi="Arial Narrow"/>
                <w:bCs/>
                <w:sz w:val="19"/>
                <w:szCs w:val="19"/>
              </w:rPr>
            </w:pPr>
            <w:r w:rsidRPr="00B563EC">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679" w:type="pct"/>
            <w:shd w:val="clear" w:color="auto" w:fill="auto"/>
            <w:vAlign w:val="center"/>
          </w:tcPr>
          <w:p w:rsidR="00630F65" w:rsidRPr="004E2ADC" w:rsidRDefault="00630F65" w:rsidP="00C638E9">
            <w:pPr>
              <w:jc w:val="center"/>
              <w:rPr>
                <w:rFonts w:ascii="Arial Narrow" w:hAnsi="Arial Narrow"/>
                <w:bCs/>
                <w:sz w:val="19"/>
                <w:szCs w:val="19"/>
              </w:rPr>
            </w:pPr>
            <w:r w:rsidRPr="00B563EC">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30F65" w:rsidRPr="004E2ADC" w:rsidRDefault="00630F65" w:rsidP="00C638E9">
            <w:pPr>
              <w:jc w:val="center"/>
              <w:rPr>
                <w:rFonts w:ascii="Arial Narrow" w:hAnsi="Arial Narrow"/>
                <w:bCs/>
                <w:sz w:val="19"/>
                <w:szCs w:val="19"/>
              </w:rPr>
            </w:pPr>
            <w:r w:rsidRPr="00B563EC">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30F65" w:rsidRPr="004E2ADC" w:rsidRDefault="00630F65" w:rsidP="00C638E9">
            <w:pPr>
              <w:jc w:val="center"/>
              <w:rPr>
                <w:rFonts w:ascii="Arial Narrow" w:hAnsi="Arial Narrow"/>
                <w:bCs/>
                <w:sz w:val="19"/>
                <w:szCs w:val="19"/>
              </w:rPr>
            </w:pPr>
            <w:r w:rsidRPr="00B563EC">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55" w:type="pct"/>
            <w:shd w:val="clear" w:color="auto" w:fill="auto"/>
            <w:vAlign w:val="center"/>
          </w:tcPr>
          <w:p w:rsidR="00630F65" w:rsidRPr="004E2ADC" w:rsidRDefault="00630F65" w:rsidP="00C638E9">
            <w:pPr>
              <w:jc w:val="center"/>
              <w:rPr>
                <w:rFonts w:ascii="Arial Narrow" w:hAnsi="Arial Narrow"/>
                <w:bCs/>
                <w:sz w:val="19"/>
                <w:szCs w:val="19"/>
              </w:rPr>
            </w:pPr>
            <w:r w:rsidRPr="00B563EC">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r>
      <w:tr w:rsidR="00630F65" w:rsidRPr="004E2ADC" w:rsidTr="00C638E9">
        <w:tc>
          <w:tcPr>
            <w:tcW w:w="1359" w:type="pct"/>
            <w:shd w:val="clear" w:color="auto" w:fill="auto"/>
            <w:vAlign w:val="center"/>
          </w:tcPr>
          <w:p w:rsidR="00630F65" w:rsidRPr="004E2ADC" w:rsidRDefault="00630F65" w:rsidP="00C638E9">
            <w:pPr>
              <w:tabs>
                <w:tab w:val="left" w:pos="142"/>
              </w:tabs>
              <w:jc w:val="left"/>
              <w:rPr>
                <w:rFonts w:ascii="Arial Narrow" w:hAnsi="Arial Narrow"/>
                <w:sz w:val="19"/>
                <w:szCs w:val="19"/>
              </w:rPr>
            </w:pPr>
            <w:r>
              <w:rPr>
                <w:rFonts w:ascii="Arial Narrow" w:hAnsi="Arial Narrow"/>
                <w:sz w:val="19"/>
                <w:szCs w:val="19"/>
              </w:rPr>
              <w:t>Net cost to PBS/RPBS</w:t>
            </w:r>
          </w:p>
        </w:tc>
        <w:tc>
          <w:tcPr>
            <w:tcW w:w="679" w:type="pct"/>
            <w:shd w:val="clear" w:color="auto" w:fill="auto"/>
            <w:vAlign w:val="center"/>
          </w:tcPr>
          <w:p w:rsidR="00630F65" w:rsidRPr="00714613" w:rsidRDefault="00630F65" w:rsidP="00C638E9">
            <w:pPr>
              <w:jc w:val="center"/>
              <w:rPr>
                <w:rFonts w:ascii="Arial Narrow" w:hAnsi="Arial Narrow"/>
                <w:bCs/>
                <w:color w:val="000000"/>
                <w:sz w:val="20"/>
              </w:rPr>
            </w:pPr>
            <w:r w:rsidRPr="00714613">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679" w:type="pct"/>
            <w:shd w:val="clear" w:color="auto" w:fill="auto"/>
            <w:vAlign w:val="center"/>
          </w:tcPr>
          <w:p w:rsidR="00630F65" w:rsidRPr="00714613" w:rsidRDefault="00630F65" w:rsidP="00C638E9">
            <w:pPr>
              <w:jc w:val="center"/>
              <w:rPr>
                <w:rFonts w:ascii="Arial Narrow" w:hAnsi="Arial Narrow"/>
                <w:bCs/>
                <w:color w:val="000000"/>
                <w:sz w:val="20"/>
              </w:rPr>
            </w:pPr>
            <w:r w:rsidRPr="00714613">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30F65" w:rsidRPr="00714613" w:rsidRDefault="00630F65" w:rsidP="00C638E9">
            <w:pPr>
              <w:jc w:val="center"/>
              <w:rPr>
                <w:rFonts w:ascii="Arial Narrow" w:hAnsi="Arial Narrow"/>
                <w:bCs/>
                <w:color w:val="000000"/>
                <w:sz w:val="20"/>
              </w:rPr>
            </w:pPr>
            <w:r w:rsidRPr="00714613">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630F65" w:rsidRPr="00714613" w:rsidRDefault="00630F65" w:rsidP="00C638E9">
            <w:pPr>
              <w:jc w:val="center"/>
              <w:rPr>
                <w:rFonts w:ascii="Arial Narrow" w:hAnsi="Arial Narrow"/>
                <w:bCs/>
                <w:color w:val="000000"/>
                <w:sz w:val="20"/>
              </w:rPr>
            </w:pPr>
            <w:r w:rsidRPr="00714613">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55" w:type="pct"/>
            <w:shd w:val="clear" w:color="auto" w:fill="auto"/>
            <w:vAlign w:val="center"/>
          </w:tcPr>
          <w:p w:rsidR="00630F65" w:rsidRPr="00714613" w:rsidRDefault="00630F65" w:rsidP="00C638E9">
            <w:pPr>
              <w:jc w:val="center"/>
              <w:rPr>
                <w:rFonts w:ascii="Arial Narrow" w:hAnsi="Arial Narrow"/>
                <w:bCs/>
                <w:color w:val="000000"/>
                <w:sz w:val="20"/>
              </w:rPr>
            </w:pPr>
            <w:r w:rsidRPr="00714613">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r>
      <w:tr w:rsidR="005F6FFA" w:rsidRPr="004E2ADC" w:rsidTr="008A6BDD">
        <w:tc>
          <w:tcPr>
            <w:tcW w:w="1359" w:type="pct"/>
            <w:shd w:val="clear" w:color="auto" w:fill="auto"/>
            <w:vAlign w:val="center"/>
          </w:tcPr>
          <w:p w:rsidR="005F6FFA" w:rsidRPr="005F6FFA" w:rsidRDefault="005F6FFA" w:rsidP="00C638E9">
            <w:pPr>
              <w:tabs>
                <w:tab w:val="left" w:pos="142"/>
              </w:tabs>
              <w:jc w:val="left"/>
              <w:rPr>
                <w:rFonts w:ascii="Arial Narrow" w:hAnsi="Arial Narrow"/>
                <w:i/>
                <w:sz w:val="19"/>
                <w:szCs w:val="19"/>
              </w:rPr>
            </w:pPr>
            <w:r>
              <w:rPr>
                <w:rFonts w:ascii="Arial Narrow" w:hAnsi="Arial Narrow"/>
                <w:i/>
                <w:sz w:val="19"/>
                <w:szCs w:val="19"/>
              </w:rPr>
              <w:t>Revised net cost to PBS/RPBS*</w:t>
            </w:r>
          </w:p>
        </w:tc>
        <w:tc>
          <w:tcPr>
            <w:tcW w:w="679" w:type="pct"/>
            <w:shd w:val="clear" w:color="auto" w:fill="auto"/>
          </w:tcPr>
          <w:p w:rsidR="005F6FFA" w:rsidRPr="00205AA5" w:rsidRDefault="005F6FFA" w:rsidP="00C638E9">
            <w:pPr>
              <w:jc w:val="center"/>
              <w:rPr>
                <w:rFonts w:ascii="Arial Narrow" w:hAnsi="Arial Narrow" w:cs="Times New Roman"/>
                <w:i/>
                <w:snapToGrid/>
                <w:sz w:val="20"/>
                <w:lang w:eastAsia="en-AU"/>
              </w:rPr>
            </w:pPr>
            <w:r w:rsidRPr="00205AA5">
              <w:rPr>
                <w:rFonts w:ascii="Arial Narrow" w:hAnsi="Arial Narrow"/>
                <w:i/>
                <w:sz w:val="20"/>
              </w:rPr>
              <w:t>$</w:t>
            </w:r>
            <w:r w:rsidR="00112B75">
              <w:rPr>
                <w:rFonts w:ascii="Arial Narrow" w:hAnsi="Arial Narrow"/>
                <w:i/>
                <w:noProof/>
                <w:color w:val="000000"/>
                <w:sz w:val="20"/>
                <w:highlight w:val="black"/>
              </w:rPr>
              <w:t>''''''''''''''''''''''''''''</w:t>
            </w:r>
          </w:p>
        </w:tc>
        <w:tc>
          <w:tcPr>
            <w:tcW w:w="679" w:type="pct"/>
            <w:shd w:val="clear" w:color="auto" w:fill="auto"/>
          </w:tcPr>
          <w:p w:rsidR="005F6FFA" w:rsidRPr="00205AA5" w:rsidRDefault="005F6FFA" w:rsidP="00C638E9">
            <w:pPr>
              <w:jc w:val="center"/>
              <w:rPr>
                <w:rFonts w:ascii="Arial Narrow" w:hAnsi="Arial Narrow" w:cs="Times New Roman"/>
                <w:i/>
                <w:snapToGrid/>
                <w:sz w:val="20"/>
                <w:lang w:eastAsia="en-AU"/>
              </w:rPr>
            </w:pPr>
            <w:r w:rsidRPr="00205AA5">
              <w:rPr>
                <w:rFonts w:ascii="Arial Narrow" w:hAnsi="Arial Narrow"/>
                <w:i/>
                <w:sz w:val="20"/>
              </w:rPr>
              <w:t>$</w:t>
            </w:r>
            <w:r w:rsidR="00112B75">
              <w:rPr>
                <w:rFonts w:ascii="Arial Narrow" w:hAnsi="Arial Narrow"/>
                <w:i/>
                <w:noProof/>
                <w:color w:val="000000"/>
                <w:sz w:val="20"/>
                <w:highlight w:val="black"/>
              </w:rPr>
              <w:t>''''''''''''''''''''''''''''''''</w:t>
            </w:r>
          </w:p>
        </w:tc>
        <w:tc>
          <w:tcPr>
            <w:tcW w:w="764" w:type="pct"/>
            <w:shd w:val="clear" w:color="auto" w:fill="auto"/>
          </w:tcPr>
          <w:p w:rsidR="005F6FFA" w:rsidRPr="00205AA5" w:rsidRDefault="005F6FFA" w:rsidP="00C638E9">
            <w:pPr>
              <w:jc w:val="center"/>
              <w:rPr>
                <w:rFonts w:ascii="Arial Narrow" w:hAnsi="Arial Narrow" w:cs="Times New Roman"/>
                <w:i/>
                <w:snapToGrid/>
                <w:sz w:val="20"/>
                <w:lang w:eastAsia="en-AU"/>
              </w:rPr>
            </w:pPr>
            <w:r w:rsidRPr="00205AA5">
              <w:rPr>
                <w:rFonts w:ascii="Arial Narrow" w:hAnsi="Arial Narrow"/>
                <w:i/>
                <w:sz w:val="20"/>
              </w:rPr>
              <w:t>$</w:t>
            </w:r>
            <w:r w:rsidR="00112B75">
              <w:rPr>
                <w:rFonts w:ascii="Arial Narrow" w:hAnsi="Arial Narrow"/>
                <w:i/>
                <w:noProof/>
                <w:color w:val="000000"/>
                <w:sz w:val="20"/>
                <w:highlight w:val="black"/>
              </w:rPr>
              <w:t>'''''''''''''''''''''''''</w:t>
            </w:r>
          </w:p>
        </w:tc>
        <w:tc>
          <w:tcPr>
            <w:tcW w:w="764" w:type="pct"/>
            <w:shd w:val="clear" w:color="auto" w:fill="auto"/>
          </w:tcPr>
          <w:p w:rsidR="005F6FFA" w:rsidRPr="00205AA5" w:rsidRDefault="005F6FFA" w:rsidP="00C638E9">
            <w:pPr>
              <w:jc w:val="center"/>
              <w:rPr>
                <w:rFonts w:ascii="Arial Narrow" w:hAnsi="Arial Narrow" w:cs="Times New Roman"/>
                <w:i/>
                <w:snapToGrid/>
                <w:sz w:val="20"/>
                <w:lang w:eastAsia="en-AU"/>
              </w:rPr>
            </w:pPr>
            <w:r w:rsidRPr="00205AA5">
              <w:rPr>
                <w:rFonts w:ascii="Arial Narrow" w:hAnsi="Arial Narrow"/>
                <w:i/>
                <w:sz w:val="20"/>
              </w:rPr>
              <w:t>$</w:t>
            </w:r>
            <w:r w:rsidR="00112B75">
              <w:rPr>
                <w:rFonts w:ascii="Arial Narrow" w:hAnsi="Arial Narrow"/>
                <w:i/>
                <w:noProof/>
                <w:color w:val="000000"/>
                <w:sz w:val="20"/>
                <w:highlight w:val="black"/>
              </w:rPr>
              <w:t>'''''''''''''''''''''''''''</w:t>
            </w:r>
          </w:p>
        </w:tc>
        <w:tc>
          <w:tcPr>
            <w:tcW w:w="755" w:type="pct"/>
            <w:shd w:val="clear" w:color="auto" w:fill="auto"/>
          </w:tcPr>
          <w:p w:rsidR="005F6FFA" w:rsidRPr="00205AA5" w:rsidRDefault="005F6FFA" w:rsidP="00C638E9">
            <w:pPr>
              <w:jc w:val="center"/>
              <w:rPr>
                <w:rFonts w:ascii="Arial Narrow" w:hAnsi="Arial Narrow" w:cs="Times New Roman"/>
                <w:i/>
                <w:snapToGrid/>
                <w:sz w:val="20"/>
                <w:lang w:eastAsia="en-AU"/>
              </w:rPr>
            </w:pPr>
            <w:r w:rsidRPr="00205AA5">
              <w:rPr>
                <w:rFonts w:ascii="Arial Narrow" w:hAnsi="Arial Narrow"/>
                <w:i/>
                <w:sz w:val="20"/>
              </w:rPr>
              <w:t>$</w:t>
            </w:r>
            <w:r w:rsidR="00112B75">
              <w:rPr>
                <w:rFonts w:ascii="Arial Narrow" w:hAnsi="Arial Narrow"/>
                <w:i/>
                <w:noProof/>
                <w:color w:val="000000"/>
                <w:sz w:val="20"/>
                <w:highlight w:val="black"/>
              </w:rPr>
              <w:t>''''''''''''''''''''''''''</w:t>
            </w:r>
          </w:p>
        </w:tc>
      </w:tr>
      <w:tr w:rsidR="005F6FFA" w:rsidRPr="004E2ADC" w:rsidTr="00C638E9">
        <w:tc>
          <w:tcPr>
            <w:tcW w:w="1359" w:type="pct"/>
            <w:shd w:val="clear" w:color="auto" w:fill="auto"/>
            <w:vAlign w:val="center"/>
          </w:tcPr>
          <w:p w:rsidR="005F6FFA" w:rsidRPr="004E2ADC" w:rsidRDefault="005F6FFA" w:rsidP="00C638E9">
            <w:pPr>
              <w:tabs>
                <w:tab w:val="left" w:pos="142"/>
              </w:tabs>
              <w:jc w:val="left"/>
              <w:rPr>
                <w:rFonts w:ascii="Arial Narrow" w:hAnsi="Arial Narrow"/>
                <w:sz w:val="20"/>
              </w:rPr>
            </w:pPr>
            <w:r w:rsidRPr="004E2ADC">
              <w:rPr>
                <w:rFonts w:ascii="Arial Narrow" w:hAnsi="Arial Narrow"/>
                <w:sz w:val="19"/>
                <w:szCs w:val="19"/>
              </w:rPr>
              <w:t>Net cost to MBS</w:t>
            </w:r>
          </w:p>
        </w:tc>
        <w:tc>
          <w:tcPr>
            <w:tcW w:w="679" w:type="pct"/>
            <w:shd w:val="clear" w:color="auto" w:fill="auto"/>
            <w:vAlign w:val="center"/>
          </w:tcPr>
          <w:p w:rsidR="005F6FFA" w:rsidRPr="004E2ADC" w:rsidRDefault="005F6FFA" w:rsidP="00C638E9">
            <w:pPr>
              <w:jc w:val="center"/>
              <w:rPr>
                <w:rFonts w:ascii="Arial Narrow" w:hAnsi="Arial Narrow"/>
                <w:bCs/>
                <w:color w:val="000000"/>
                <w:sz w:val="20"/>
              </w:rPr>
            </w:pPr>
            <w:r w:rsidRPr="003C2080">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679" w:type="pct"/>
            <w:shd w:val="clear" w:color="auto" w:fill="auto"/>
            <w:vAlign w:val="center"/>
          </w:tcPr>
          <w:p w:rsidR="005F6FFA" w:rsidRPr="004E2ADC" w:rsidRDefault="005F6FFA" w:rsidP="00C638E9">
            <w:pPr>
              <w:jc w:val="center"/>
              <w:rPr>
                <w:rFonts w:ascii="Arial Narrow" w:hAnsi="Arial Narrow"/>
                <w:bCs/>
                <w:color w:val="000000"/>
                <w:sz w:val="20"/>
              </w:rPr>
            </w:pPr>
            <w:r w:rsidRPr="003C2080">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5F6FFA" w:rsidRPr="004E2ADC" w:rsidRDefault="005F6FFA" w:rsidP="00C638E9">
            <w:pPr>
              <w:jc w:val="center"/>
              <w:rPr>
                <w:rFonts w:ascii="Arial Narrow" w:hAnsi="Arial Narrow"/>
                <w:bCs/>
                <w:color w:val="000000"/>
                <w:sz w:val="20"/>
              </w:rPr>
            </w:pPr>
            <w:r w:rsidRPr="003C2080">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64" w:type="pct"/>
            <w:shd w:val="clear" w:color="auto" w:fill="auto"/>
            <w:vAlign w:val="center"/>
          </w:tcPr>
          <w:p w:rsidR="005F6FFA" w:rsidRPr="004E2ADC" w:rsidRDefault="005F6FFA" w:rsidP="00C638E9">
            <w:pPr>
              <w:jc w:val="center"/>
              <w:rPr>
                <w:rFonts w:ascii="Arial Narrow" w:hAnsi="Arial Narrow"/>
                <w:bCs/>
                <w:color w:val="000000"/>
                <w:sz w:val="20"/>
              </w:rPr>
            </w:pPr>
            <w:r w:rsidRPr="003C2080">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c>
          <w:tcPr>
            <w:tcW w:w="755" w:type="pct"/>
            <w:shd w:val="clear" w:color="auto" w:fill="auto"/>
            <w:vAlign w:val="center"/>
          </w:tcPr>
          <w:p w:rsidR="005F6FFA" w:rsidRPr="004E2ADC" w:rsidRDefault="005F6FFA" w:rsidP="00C638E9">
            <w:pPr>
              <w:jc w:val="center"/>
              <w:rPr>
                <w:rFonts w:ascii="Arial Narrow" w:hAnsi="Arial Narrow"/>
                <w:bCs/>
                <w:color w:val="000000"/>
                <w:sz w:val="20"/>
              </w:rPr>
            </w:pPr>
            <w:r w:rsidRPr="003C2080">
              <w:rPr>
                <w:rFonts w:ascii="Arial Narrow" w:hAnsi="Arial Narrow" w:cs="Times New Roman"/>
                <w:snapToGrid/>
                <w:sz w:val="20"/>
                <w:lang w:eastAsia="en-AU"/>
              </w:rPr>
              <w:t>$</w:t>
            </w:r>
            <w:r w:rsidR="00112B75">
              <w:rPr>
                <w:rFonts w:ascii="Arial Narrow" w:hAnsi="Arial Narrow" w:cs="Times New Roman"/>
                <w:noProof/>
                <w:snapToGrid/>
                <w:color w:val="000000"/>
                <w:sz w:val="20"/>
                <w:highlight w:val="black"/>
                <w:lang w:eastAsia="en-AU"/>
              </w:rPr>
              <w:t>'''''''''''''''''''''''''</w:t>
            </w:r>
          </w:p>
        </w:tc>
      </w:tr>
      <w:tr w:rsidR="005F6FFA" w:rsidRPr="004E2ADC" w:rsidTr="00C638E9">
        <w:tc>
          <w:tcPr>
            <w:tcW w:w="5000" w:type="pct"/>
            <w:gridSpan w:val="6"/>
            <w:shd w:val="clear" w:color="auto" w:fill="auto"/>
            <w:vAlign w:val="center"/>
          </w:tcPr>
          <w:p w:rsidR="005F6FFA" w:rsidRPr="004E2ADC" w:rsidRDefault="005F6FFA" w:rsidP="00C638E9">
            <w:pPr>
              <w:jc w:val="left"/>
              <w:rPr>
                <w:rFonts w:ascii="Arial Narrow" w:hAnsi="Arial Narrow"/>
                <w:b/>
                <w:color w:val="000000"/>
                <w:sz w:val="20"/>
              </w:rPr>
            </w:pPr>
            <w:r w:rsidRPr="004E2ADC">
              <w:rPr>
                <w:rFonts w:ascii="Arial Narrow" w:hAnsi="Arial Narrow"/>
                <w:b/>
                <w:color w:val="000000"/>
                <w:sz w:val="20"/>
              </w:rPr>
              <w:t>Estimated total net cost</w:t>
            </w:r>
          </w:p>
        </w:tc>
      </w:tr>
      <w:tr w:rsidR="005F6FFA" w:rsidRPr="004E2ADC" w:rsidTr="00C638E9">
        <w:tc>
          <w:tcPr>
            <w:tcW w:w="1359" w:type="pct"/>
            <w:shd w:val="clear" w:color="auto" w:fill="auto"/>
            <w:vAlign w:val="center"/>
          </w:tcPr>
          <w:p w:rsidR="005F6FFA" w:rsidRPr="00145540" w:rsidRDefault="005F6FFA" w:rsidP="00C638E9">
            <w:pPr>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vAlign w:val="center"/>
          </w:tcPr>
          <w:p w:rsidR="005F6FFA" w:rsidRPr="004E2ADC" w:rsidRDefault="005F6FFA" w:rsidP="00C638E9">
            <w:pPr>
              <w:jc w:val="center"/>
              <w:rPr>
                <w:rFonts w:ascii="Arial Narrow" w:hAnsi="Arial Narrow"/>
                <w:color w:val="000000"/>
                <w:sz w:val="20"/>
              </w:rPr>
            </w:pPr>
            <w:r w:rsidRPr="00474AA5">
              <w:rPr>
                <w:rFonts w:ascii="Arial Narrow" w:hAnsi="Arial Narrow" w:cs="Times New Roman"/>
                <w:b/>
                <w:snapToGrid/>
                <w:sz w:val="20"/>
                <w:lang w:eastAsia="en-AU"/>
              </w:rPr>
              <w:t>$</w:t>
            </w:r>
            <w:r w:rsidR="00112B75">
              <w:rPr>
                <w:rFonts w:ascii="Arial Narrow" w:hAnsi="Arial Narrow" w:cs="Times New Roman"/>
                <w:b/>
                <w:noProof/>
                <w:snapToGrid/>
                <w:color w:val="000000"/>
                <w:sz w:val="20"/>
                <w:highlight w:val="black"/>
                <w:lang w:eastAsia="en-AU"/>
              </w:rPr>
              <w:t>'''''''''''''''''''''''</w:t>
            </w:r>
          </w:p>
        </w:tc>
        <w:tc>
          <w:tcPr>
            <w:tcW w:w="679" w:type="pct"/>
            <w:shd w:val="clear" w:color="auto" w:fill="auto"/>
            <w:vAlign w:val="center"/>
          </w:tcPr>
          <w:p w:rsidR="005F6FFA" w:rsidRPr="004E2ADC" w:rsidRDefault="005F6FFA" w:rsidP="00C638E9">
            <w:pPr>
              <w:jc w:val="center"/>
              <w:rPr>
                <w:rFonts w:ascii="Arial Narrow" w:hAnsi="Arial Narrow"/>
                <w:color w:val="000000"/>
                <w:sz w:val="20"/>
              </w:rPr>
            </w:pPr>
            <w:r w:rsidRPr="00474AA5">
              <w:rPr>
                <w:rFonts w:ascii="Arial Narrow" w:hAnsi="Arial Narrow" w:cs="Times New Roman"/>
                <w:b/>
                <w:snapToGrid/>
                <w:sz w:val="20"/>
                <w:lang w:eastAsia="en-AU"/>
              </w:rPr>
              <w:t>$</w:t>
            </w:r>
            <w:r w:rsidR="00112B75">
              <w:rPr>
                <w:rFonts w:ascii="Arial Narrow" w:hAnsi="Arial Narrow" w:cs="Times New Roman"/>
                <w:b/>
                <w:noProof/>
                <w:snapToGrid/>
                <w:color w:val="000000"/>
                <w:sz w:val="20"/>
                <w:highlight w:val="black"/>
                <w:lang w:eastAsia="en-AU"/>
              </w:rPr>
              <w:t>''''''''''''''''''''</w:t>
            </w:r>
          </w:p>
        </w:tc>
        <w:tc>
          <w:tcPr>
            <w:tcW w:w="764" w:type="pct"/>
            <w:shd w:val="clear" w:color="auto" w:fill="auto"/>
            <w:vAlign w:val="center"/>
          </w:tcPr>
          <w:p w:rsidR="005F6FFA" w:rsidRPr="004E2ADC" w:rsidRDefault="005F6FFA" w:rsidP="00C638E9">
            <w:pPr>
              <w:jc w:val="center"/>
              <w:rPr>
                <w:rFonts w:ascii="Arial Narrow" w:hAnsi="Arial Narrow"/>
                <w:color w:val="000000"/>
                <w:sz w:val="20"/>
              </w:rPr>
            </w:pPr>
            <w:r w:rsidRPr="00474AA5">
              <w:rPr>
                <w:rFonts w:ascii="Arial Narrow" w:hAnsi="Arial Narrow" w:cs="Times New Roman"/>
                <w:b/>
                <w:snapToGrid/>
                <w:sz w:val="20"/>
                <w:lang w:eastAsia="en-AU"/>
              </w:rPr>
              <w:t>$</w:t>
            </w:r>
            <w:r w:rsidR="00112B75">
              <w:rPr>
                <w:rFonts w:ascii="Arial Narrow" w:hAnsi="Arial Narrow" w:cs="Times New Roman"/>
                <w:b/>
                <w:noProof/>
                <w:snapToGrid/>
                <w:color w:val="000000"/>
                <w:sz w:val="20"/>
                <w:highlight w:val="black"/>
                <w:lang w:eastAsia="en-AU"/>
              </w:rPr>
              <w:t>'''''''''''''''''''</w:t>
            </w:r>
          </w:p>
        </w:tc>
        <w:tc>
          <w:tcPr>
            <w:tcW w:w="764" w:type="pct"/>
            <w:shd w:val="clear" w:color="auto" w:fill="auto"/>
            <w:vAlign w:val="center"/>
          </w:tcPr>
          <w:p w:rsidR="005F6FFA" w:rsidRPr="004E2ADC" w:rsidRDefault="005F6FFA" w:rsidP="00C638E9">
            <w:pPr>
              <w:jc w:val="center"/>
              <w:rPr>
                <w:rFonts w:ascii="Arial Narrow" w:hAnsi="Arial Narrow"/>
                <w:color w:val="000000"/>
                <w:sz w:val="20"/>
              </w:rPr>
            </w:pPr>
            <w:r w:rsidRPr="00474AA5">
              <w:rPr>
                <w:rFonts w:ascii="Arial Narrow" w:hAnsi="Arial Narrow" w:cs="Times New Roman"/>
                <w:b/>
                <w:snapToGrid/>
                <w:sz w:val="20"/>
                <w:lang w:eastAsia="en-AU"/>
              </w:rPr>
              <w:t>$</w:t>
            </w:r>
            <w:r w:rsidR="00112B75">
              <w:rPr>
                <w:rFonts w:ascii="Arial Narrow" w:hAnsi="Arial Narrow" w:cs="Times New Roman"/>
                <w:b/>
                <w:noProof/>
                <w:snapToGrid/>
                <w:color w:val="000000"/>
                <w:sz w:val="20"/>
                <w:highlight w:val="black"/>
                <w:lang w:eastAsia="en-AU"/>
              </w:rPr>
              <w:t>'''''''''''''''''''''</w:t>
            </w:r>
          </w:p>
        </w:tc>
        <w:tc>
          <w:tcPr>
            <w:tcW w:w="755" w:type="pct"/>
            <w:shd w:val="clear" w:color="auto" w:fill="auto"/>
            <w:vAlign w:val="center"/>
          </w:tcPr>
          <w:p w:rsidR="005F6FFA" w:rsidRPr="004E2ADC" w:rsidRDefault="005F6FFA" w:rsidP="00C638E9">
            <w:pPr>
              <w:jc w:val="center"/>
              <w:rPr>
                <w:rFonts w:ascii="Arial Narrow" w:hAnsi="Arial Narrow"/>
                <w:color w:val="000000"/>
                <w:sz w:val="20"/>
              </w:rPr>
            </w:pPr>
            <w:r w:rsidRPr="00474AA5">
              <w:rPr>
                <w:rFonts w:ascii="Arial Narrow" w:hAnsi="Arial Narrow" w:cs="Times New Roman"/>
                <w:b/>
                <w:snapToGrid/>
                <w:sz w:val="20"/>
                <w:lang w:eastAsia="en-AU"/>
              </w:rPr>
              <w:t>$</w:t>
            </w:r>
            <w:r w:rsidR="00112B75">
              <w:rPr>
                <w:rFonts w:ascii="Arial Narrow" w:hAnsi="Arial Narrow" w:cs="Times New Roman"/>
                <w:b/>
                <w:noProof/>
                <w:snapToGrid/>
                <w:color w:val="000000"/>
                <w:sz w:val="20"/>
                <w:highlight w:val="black"/>
                <w:lang w:eastAsia="en-AU"/>
              </w:rPr>
              <w:t>'''''''''''''''''''''</w:t>
            </w:r>
          </w:p>
        </w:tc>
      </w:tr>
      <w:tr w:rsidR="005F6FFA" w:rsidRPr="004E2ADC" w:rsidTr="008A6BDD">
        <w:tc>
          <w:tcPr>
            <w:tcW w:w="1359" w:type="pct"/>
            <w:shd w:val="clear" w:color="auto" w:fill="auto"/>
            <w:vAlign w:val="center"/>
          </w:tcPr>
          <w:p w:rsidR="005F6FFA" w:rsidRPr="00CF5B43" w:rsidRDefault="005F6FFA" w:rsidP="00C638E9">
            <w:pPr>
              <w:tabs>
                <w:tab w:val="left" w:pos="142"/>
              </w:tabs>
              <w:jc w:val="left"/>
              <w:rPr>
                <w:rFonts w:ascii="Arial Narrow" w:hAnsi="Arial Narrow"/>
                <w:b/>
                <w:bCs/>
                <w:color w:val="000000"/>
                <w:sz w:val="20"/>
              </w:rPr>
            </w:pPr>
            <w:r w:rsidRPr="00CF5B43">
              <w:rPr>
                <w:rFonts w:ascii="Arial Narrow" w:hAnsi="Arial Narrow"/>
                <w:b/>
                <w:bCs/>
                <w:color w:val="000000"/>
                <w:sz w:val="20"/>
              </w:rPr>
              <w:t>Revised net cost to PBS/RPBS/MBS</w:t>
            </w:r>
          </w:p>
        </w:tc>
        <w:tc>
          <w:tcPr>
            <w:tcW w:w="679" w:type="pct"/>
            <w:shd w:val="clear" w:color="auto" w:fill="auto"/>
            <w:vAlign w:val="center"/>
          </w:tcPr>
          <w:p w:rsidR="005F6FFA" w:rsidRPr="00CF5B43" w:rsidRDefault="005F6FFA" w:rsidP="005F6FFA">
            <w:pPr>
              <w:jc w:val="center"/>
              <w:rPr>
                <w:rFonts w:ascii="Arial Narrow" w:hAnsi="Arial Narrow" w:cs="Times New Roman"/>
                <w:b/>
                <w:snapToGrid/>
                <w:sz w:val="20"/>
                <w:lang w:eastAsia="en-AU"/>
              </w:rPr>
            </w:pPr>
            <w:r w:rsidRPr="00CF5B43">
              <w:rPr>
                <w:rFonts w:ascii="Arial Narrow" w:hAnsi="Arial Narrow" w:cs="Calibri"/>
                <w:b/>
                <w:snapToGrid/>
                <w:color w:val="000000"/>
                <w:sz w:val="20"/>
                <w:lang w:eastAsia="en-AU"/>
              </w:rPr>
              <w:t>$</w:t>
            </w:r>
            <w:r w:rsidR="00112B75">
              <w:rPr>
                <w:rFonts w:ascii="Arial Narrow" w:hAnsi="Arial Narrow" w:cs="Calibri"/>
                <w:b/>
                <w:noProof/>
                <w:snapToGrid/>
                <w:color w:val="000000"/>
                <w:sz w:val="20"/>
                <w:highlight w:val="black"/>
                <w:lang w:eastAsia="en-AU"/>
              </w:rPr>
              <w:t>'''''''''''''''''''''''''</w:t>
            </w:r>
          </w:p>
        </w:tc>
        <w:tc>
          <w:tcPr>
            <w:tcW w:w="679" w:type="pct"/>
            <w:shd w:val="clear" w:color="auto" w:fill="auto"/>
            <w:vAlign w:val="center"/>
          </w:tcPr>
          <w:p w:rsidR="005F6FFA" w:rsidRPr="00CF5B43" w:rsidRDefault="005F6FFA" w:rsidP="005F6FFA">
            <w:pPr>
              <w:jc w:val="center"/>
              <w:rPr>
                <w:rFonts w:ascii="Arial Narrow" w:hAnsi="Arial Narrow" w:cs="Times New Roman"/>
                <w:b/>
                <w:snapToGrid/>
                <w:sz w:val="20"/>
                <w:lang w:eastAsia="en-AU"/>
              </w:rPr>
            </w:pPr>
            <w:r w:rsidRPr="00CF5B43">
              <w:rPr>
                <w:rFonts w:ascii="Arial Narrow" w:hAnsi="Arial Narrow" w:cs="Calibri"/>
                <w:b/>
                <w:snapToGrid/>
                <w:color w:val="000000"/>
                <w:sz w:val="20"/>
                <w:lang w:eastAsia="en-AU"/>
              </w:rPr>
              <w:t>$</w:t>
            </w:r>
            <w:r w:rsidR="00112B75">
              <w:rPr>
                <w:rFonts w:ascii="Arial Narrow" w:hAnsi="Arial Narrow" w:cs="Calibri"/>
                <w:b/>
                <w:noProof/>
                <w:snapToGrid/>
                <w:color w:val="000000"/>
                <w:sz w:val="20"/>
                <w:highlight w:val="black"/>
                <w:lang w:eastAsia="en-AU"/>
              </w:rPr>
              <w:t>''''''''''''''''''''''</w:t>
            </w:r>
          </w:p>
        </w:tc>
        <w:tc>
          <w:tcPr>
            <w:tcW w:w="764" w:type="pct"/>
            <w:shd w:val="clear" w:color="auto" w:fill="auto"/>
            <w:vAlign w:val="center"/>
          </w:tcPr>
          <w:p w:rsidR="005F6FFA" w:rsidRPr="00CF5B43" w:rsidRDefault="005F6FFA" w:rsidP="005F6FFA">
            <w:pPr>
              <w:jc w:val="center"/>
              <w:rPr>
                <w:rFonts w:ascii="Arial Narrow" w:hAnsi="Arial Narrow" w:cs="Times New Roman"/>
                <w:b/>
                <w:snapToGrid/>
                <w:sz w:val="20"/>
                <w:lang w:eastAsia="en-AU"/>
              </w:rPr>
            </w:pPr>
            <w:r w:rsidRPr="00CF5B43">
              <w:rPr>
                <w:rFonts w:ascii="Arial Narrow" w:hAnsi="Arial Narrow" w:cs="Calibri"/>
                <w:b/>
                <w:snapToGrid/>
                <w:color w:val="000000"/>
                <w:sz w:val="20"/>
                <w:lang w:eastAsia="en-AU"/>
              </w:rPr>
              <w:t>$</w:t>
            </w:r>
            <w:r w:rsidR="00112B75">
              <w:rPr>
                <w:rFonts w:ascii="Arial Narrow" w:hAnsi="Arial Narrow" w:cs="Calibri"/>
                <w:b/>
                <w:noProof/>
                <w:snapToGrid/>
                <w:color w:val="000000"/>
                <w:sz w:val="20"/>
                <w:highlight w:val="black"/>
                <w:lang w:eastAsia="en-AU"/>
              </w:rPr>
              <w:t>'''''''''''''''''''</w:t>
            </w:r>
          </w:p>
        </w:tc>
        <w:tc>
          <w:tcPr>
            <w:tcW w:w="764" w:type="pct"/>
            <w:shd w:val="clear" w:color="auto" w:fill="auto"/>
            <w:vAlign w:val="center"/>
          </w:tcPr>
          <w:p w:rsidR="005F6FFA" w:rsidRPr="00CF5B43" w:rsidRDefault="005F6FFA" w:rsidP="005F6FFA">
            <w:pPr>
              <w:jc w:val="center"/>
              <w:rPr>
                <w:rFonts w:ascii="Arial Narrow" w:hAnsi="Arial Narrow" w:cs="Times New Roman"/>
                <w:b/>
                <w:snapToGrid/>
                <w:sz w:val="20"/>
                <w:lang w:eastAsia="en-AU"/>
              </w:rPr>
            </w:pPr>
            <w:r w:rsidRPr="00CF5B43">
              <w:rPr>
                <w:rFonts w:ascii="Arial Narrow" w:hAnsi="Arial Narrow" w:cs="Calibri"/>
                <w:b/>
                <w:snapToGrid/>
                <w:color w:val="000000"/>
                <w:sz w:val="20"/>
                <w:lang w:eastAsia="en-AU"/>
              </w:rPr>
              <w:t>$</w:t>
            </w:r>
            <w:r w:rsidR="00112B75">
              <w:rPr>
                <w:rFonts w:ascii="Arial Narrow" w:hAnsi="Arial Narrow" w:cs="Calibri"/>
                <w:b/>
                <w:noProof/>
                <w:snapToGrid/>
                <w:color w:val="000000"/>
                <w:sz w:val="20"/>
                <w:highlight w:val="black"/>
                <w:lang w:eastAsia="en-AU"/>
              </w:rPr>
              <w:t>'''''''''''''''''''''</w:t>
            </w:r>
          </w:p>
        </w:tc>
        <w:tc>
          <w:tcPr>
            <w:tcW w:w="755" w:type="pct"/>
            <w:shd w:val="clear" w:color="auto" w:fill="auto"/>
            <w:vAlign w:val="center"/>
          </w:tcPr>
          <w:p w:rsidR="005F6FFA" w:rsidRPr="00CF5B43" w:rsidRDefault="005F6FFA" w:rsidP="005F6FFA">
            <w:pPr>
              <w:jc w:val="center"/>
              <w:rPr>
                <w:rFonts w:ascii="Arial Narrow" w:hAnsi="Arial Narrow" w:cs="Times New Roman"/>
                <w:b/>
                <w:snapToGrid/>
                <w:sz w:val="20"/>
                <w:lang w:eastAsia="en-AU"/>
              </w:rPr>
            </w:pPr>
            <w:r w:rsidRPr="00CF5B43">
              <w:rPr>
                <w:rFonts w:ascii="Arial Narrow" w:hAnsi="Arial Narrow" w:cs="Calibri"/>
                <w:b/>
                <w:snapToGrid/>
                <w:color w:val="000000"/>
                <w:sz w:val="20"/>
                <w:lang w:eastAsia="en-AU"/>
              </w:rPr>
              <w:t>$</w:t>
            </w:r>
            <w:r w:rsidR="00112B75">
              <w:rPr>
                <w:rFonts w:ascii="Arial Narrow" w:hAnsi="Arial Narrow" w:cs="Calibri"/>
                <w:b/>
                <w:noProof/>
                <w:snapToGrid/>
                <w:color w:val="000000"/>
                <w:sz w:val="20"/>
                <w:highlight w:val="black"/>
                <w:lang w:eastAsia="en-AU"/>
              </w:rPr>
              <w:t>'''''''''''''''''''''''</w:t>
            </w:r>
          </w:p>
        </w:tc>
      </w:tr>
    </w:tbl>
    <w:p w:rsidR="00B04A82" w:rsidRDefault="00B04A82" w:rsidP="00630F65">
      <w:pPr>
        <w:pStyle w:val="TableFooter"/>
        <w:tabs>
          <w:tab w:val="left" w:pos="851"/>
        </w:tabs>
        <w:ind w:firstLine="720"/>
        <w:rPr>
          <w:vertAlign w:val="superscript"/>
        </w:rPr>
      </w:pPr>
      <w:r>
        <w:rPr>
          <w:vertAlign w:val="superscript"/>
        </w:rPr>
        <w:t>a</w:t>
      </w:r>
      <w:r>
        <w:tab/>
        <w:t>Includes 1,417 non-grandfathered patients and 4</w:t>
      </w:r>
      <w:r w:rsidR="00E616C1">
        <w:t>4</w:t>
      </w:r>
      <w:r>
        <w:t>5 grandfathered patients.</w:t>
      </w:r>
    </w:p>
    <w:p w:rsidR="00630F65" w:rsidRDefault="00B04A82" w:rsidP="00630F65">
      <w:pPr>
        <w:pStyle w:val="TableFooter"/>
        <w:tabs>
          <w:tab w:val="left" w:pos="851"/>
        </w:tabs>
        <w:ind w:firstLine="720"/>
      </w:pPr>
      <w:r>
        <w:rPr>
          <w:vertAlign w:val="superscript"/>
        </w:rPr>
        <w:t>b</w:t>
      </w:r>
      <w:r w:rsidR="00630F65">
        <w:tab/>
      </w:r>
      <w:r w:rsidR="00B764EF">
        <w:rPr>
          <w:noProof/>
          <w:color w:val="000000"/>
          <w:highlight w:val="black"/>
        </w:rPr>
        <w:t>''''''</w:t>
      </w:r>
      <w:r w:rsidR="00630F65">
        <w:t>% rebate on the ex-manufacturer drug cost to be applied to incremen</w:t>
      </w:r>
      <w:r w:rsidR="00DD2317">
        <w:t xml:space="preserve">tal use beyond </w:t>
      </w:r>
      <w:r w:rsidR="00B764EF">
        <w:rPr>
          <w:noProof/>
          <w:color w:val="000000"/>
          <w:highlight w:val="black"/>
        </w:rPr>
        <w:t>''''</w:t>
      </w:r>
      <w:r w:rsidR="00DD2317">
        <w:t xml:space="preserve"> years.</w:t>
      </w:r>
    </w:p>
    <w:p w:rsidR="005F6FFA" w:rsidRPr="00CF5B43" w:rsidRDefault="005F6FFA" w:rsidP="00630F65">
      <w:pPr>
        <w:pStyle w:val="TableFooter"/>
        <w:tabs>
          <w:tab w:val="left" w:pos="851"/>
        </w:tabs>
        <w:ind w:firstLine="720"/>
        <w:rPr>
          <w:sz w:val="16"/>
          <w:szCs w:val="18"/>
        </w:rPr>
      </w:pPr>
      <w:r w:rsidRPr="00CF5B43">
        <w:t>* As provided in the PSCR, assuming 12% of pembrolizumab-treated patients w</w:t>
      </w:r>
      <w:r w:rsidR="007D0998" w:rsidRPr="00CF5B43">
        <w:t>ould subsequently</w:t>
      </w:r>
      <w:r w:rsidR="00DD2317">
        <w:t xml:space="preserve"> receive ipilimumab.</w:t>
      </w:r>
    </w:p>
    <w:p w:rsidR="00630F65" w:rsidRDefault="00630F65" w:rsidP="00630F65">
      <w:pPr>
        <w:pStyle w:val="TableFooter"/>
        <w:ind w:firstLine="720"/>
        <w:rPr>
          <w:szCs w:val="22"/>
        </w:rPr>
      </w:pPr>
      <w:r w:rsidRPr="001222FC">
        <w:rPr>
          <w:sz w:val="16"/>
          <w:szCs w:val="18"/>
        </w:rPr>
        <w:t xml:space="preserve">Source: </w:t>
      </w:r>
      <w:r w:rsidRPr="00B563EC">
        <w:rPr>
          <w:szCs w:val="18"/>
        </w:rPr>
        <w:t>Table E.4-1, p255</w:t>
      </w:r>
      <w:r>
        <w:rPr>
          <w:szCs w:val="18"/>
        </w:rPr>
        <w:t xml:space="preserve">; </w:t>
      </w:r>
      <w:r w:rsidRPr="00BD3A7C">
        <w:rPr>
          <w:szCs w:val="18"/>
        </w:rPr>
        <w:t>Table E.5-</w:t>
      </w:r>
      <w:r>
        <w:rPr>
          <w:szCs w:val="18"/>
        </w:rPr>
        <w:t>5 - Table E.5-7, p255-260</w:t>
      </w:r>
      <w:r w:rsidRPr="00B563EC">
        <w:rPr>
          <w:szCs w:val="18"/>
        </w:rPr>
        <w:t xml:space="preserve"> of the submission</w:t>
      </w:r>
    </w:p>
    <w:p w:rsidR="00630F65" w:rsidRPr="00C25D9C" w:rsidRDefault="00630F65" w:rsidP="00630F65">
      <w:pPr>
        <w:widowControl/>
        <w:rPr>
          <w:szCs w:val="22"/>
        </w:rPr>
      </w:pPr>
    </w:p>
    <w:p w:rsidR="00D61CCA" w:rsidRDefault="00D61CCA" w:rsidP="005C1AC0">
      <w:pPr>
        <w:pStyle w:val="ListParagraph"/>
        <w:widowControl/>
        <w:numPr>
          <w:ilvl w:val="1"/>
          <w:numId w:val="1"/>
        </w:numPr>
        <w:rPr>
          <w:szCs w:val="22"/>
        </w:rPr>
      </w:pPr>
      <w:r>
        <w:rPr>
          <w:szCs w:val="22"/>
        </w:rPr>
        <w:t>The redact</w:t>
      </w:r>
      <w:r w:rsidR="00996117">
        <w:rPr>
          <w:szCs w:val="22"/>
        </w:rPr>
        <w:t>ed table above shows that less than 10</w:t>
      </w:r>
      <w:r>
        <w:rPr>
          <w:szCs w:val="22"/>
        </w:rPr>
        <w:t xml:space="preserve">,000 patients are expected to be treated with pembrolizumab per year at a net cost of between $50,000,000 and $150,000,000 per year. </w:t>
      </w:r>
    </w:p>
    <w:p w:rsidR="00D61CCA" w:rsidRPr="00D61CCA" w:rsidRDefault="00D61CCA" w:rsidP="00D61CCA">
      <w:pPr>
        <w:pStyle w:val="ListParagraph"/>
        <w:widowControl/>
        <w:rPr>
          <w:szCs w:val="22"/>
        </w:rPr>
      </w:pPr>
    </w:p>
    <w:p w:rsidR="00C25D9C" w:rsidRPr="00BB4AC4" w:rsidRDefault="00630F65" w:rsidP="005C1AC0">
      <w:pPr>
        <w:pStyle w:val="ListParagraph"/>
        <w:widowControl/>
        <w:numPr>
          <w:ilvl w:val="1"/>
          <w:numId w:val="1"/>
        </w:numPr>
        <w:rPr>
          <w:szCs w:val="22"/>
        </w:rPr>
      </w:pPr>
      <w:r w:rsidRPr="00BB4AC4">
        <w:t xml:space="preserve">The estimated net costs </w:t>
      </w:r>
      <w:r w:rsidR="00D456B8">
        <w:t>we</w:t>
      </w:r>
      <w:r w:rsidRPr="00BB4AC4">
        <w:t>re not likely to be accurate</w:t>
      </w:r>
      <w:r w:rsidR="0069378F" w:rsidRPr="00BB4AC4">
        <w:t xml:space="preserve"> as</w:t>
      </w:r>
      <w:r w:rsidR="00F27D34" w:rsidRPr="00BB4AC4">
        <w:t xml:space="preserve"> the expected treatment duration for pembrolizumab was based on estimates from the economic model, which utilised inappropriate extrapolations of progression free survival.</w:t>
      </w:r>
    </w:p>
    <w:p w:rsidR="00576972" w:rsidRDefault="00576972" w:rsidP="00576972">
      <w:pPr>
        <w:widowControl/>
        <w:rPr>
          <w:szCs w:val="22"/>
        </w:rPr>
      </w:pPr>
    </w:p>
    <w:p w:rsidR="00655B06" w:rsidRDefault="00655B06" w:rsidP="00655B06">
      <w:pPr>
        <w:pStyle w:val="PBACHeading1"/>
        <w:numPr>
          <w:ilvl w:val="0"/>
          <w:numId w:val="0"/>
        </w:numPr>
        <w:ind w:firstLine="720"/>
        <w:rPr>
          <w:b w:val="0"/>
          <w:i/>
        </w:rPr>
      </w:pPr>
      <w:r w:rsidRPr="00655B06">
        <w:rPr>
          <w:b w:val="0"/>
          <w:i/>
        </w:rPr>
        <w:t>For more detail on PBAC’s view, see section 7 “PBAC outcome”</w:t>
      </w:r>
    </w:p>
    <w:p w:rsidR="00CF5B43" w:rsidRPr="00EC4B80" w:rsidRDefault="00CF5B43" w:rsidP="00EC4B80">
      <w:pPr>
        <w:pStyle w:val="PBACHeading1"/>
        <w:numPr>
          <w:ilvl w:val="0"/>
          <w:numId w:val="0"/>
        </w:numPr>
        <w:ind w:left="720" w:hanging="720"/>
        <w:rPr>
          <w:b w:val="0"/>
        </w:rPr>
      </w:pPr>
    </w:p>
    <w:p w:rsidR="00576972" w:rsidRPr="002C2775" w:rsidRDefault="00576972" w:rsidP="002C2775">
      <w:pPr>
        <w:pStyle w:val="Heading2"/>
        <w:rPr>
          <w:i/>
        </w:rPr>
      </w:pPr>
      <w:bookmarkStart w:id="17" w:name="_Toc409607374"/>
      <w:r w:rsidRPr="002C2775">
        <w:rPr>
          <w:i/>
        </w:rPr>
        <w:t>Quality Use of Medicines</w:t>
      </w:r>
      <w:bookmarkEnd w:id="17"/>
    </w:p>
    <w:p w:rsidR="00576972" w:rsidRPr="00576972" w:rsidRDefault="00576972" w:rsidP="00576972">
      <w:pPr>
        <w:widowControl/>
        <w:rPr>
          <w:szCs w:val="22"/>
        </w:rPr>
      </w:pPr>
    </w:p>
    <w:p w:rsidR="00576972" w:rsidRPr="00682FA5" w:rsidRDefault="00A777EA" w:rsidP="005C1AC0">
      <w:pPr>
        <w:pStyle w:val="ListParagraph"/>
        <w:widowControl/>
        <w:numPr>
          <w:ilvl w:val="1"/>
          <w:numId w:val="1"/>
        </w:numPr>
        <w:rPr>
          <w:szCs w:val="22"/>
        </w:rPr>
      </w:pPr>
      <w:r w:rsidRPr="003C640C">
        <w:t>The submission proposed a number of activities to support the quality use of medicines, including development of educational materials and activities; support workshops of specialists; guidance documentation for identification of adverse events (primarily those that are immune-related); and funding to assist national health consumer organisations to update patient information materials.</w:t>
      </w:r>
    </w:p>
    <w:p w:rsidR="00682FA5" w:rsidRPr="00D456B8" w:rsidRDefault="00682FA5" w:rsidP="00682FA5">
      <w:pPr>
        <w:widowControl/>
        <w:rPr>
          <w:szCs w:val="22"/>
        </w:rPr>
      </w:pPr>
    </w:p>
    <w:p w:rsidR="00682FA5" w:rsidRPr="00E22A0D" w:rsidRDefault="00682FA5" w:rsidP="005C1AC0">
      <w:pPr>
        <w:pStyle w:val="ListParagraph"/>
        <w:widowControl/>
        <w:numPr>
          <w:ilvl w:val="1"/>
          <w:numId w:val="1"/>
        </w:numPr>
        <w:rPr>
          <w:szCs w:val="22"/>
        </w:rPr>
      </w:pPr>
      <w:r>
        <w:t xml:space="preserve">The pre-PBAC </w:t>
      </w:r>
      <w:r w:rsidR="00D456B8">
        <w:t xml:space="preserve">response </w:t>
      </w:r>
      <w:r>
        <w:t xml:space="preserve">proposed that any patients who were on ipilimumab prior to pembrolizumab listing </w:t>
      </w:r>
      <w:r w:rsidR="00D456B8">
        <w:t xml:space="preserve">and </w:t>
      </w:r>
      <w:r>
        <w:t>who become refractory to treatment w</w:t>
      </w:r>
      <w:r w:rsidR="00D456B8">
        <w:t>ould</w:t>
      </w:r>
      <w:r>
        <w:t xml:space="preserve"> be provided pembrolizumab by the sponsor through a compassionate access program. </w:t>
      </w:r>
      <w:r w:rsidR="00D456B8">
        <w:t xml:space="preserve"> Further </w:t>
      </w:r>
      <w:r>
        <w:t>details</w:t>
      </w:r>
      <w:r w:rsidR="00465E2A">
        <w:t xml:space="preserve"> </w:t>
      </w:r>
      <w:r w:rsidR="00D456B8">
        <w:t>were provided in a late document received on 6 March 2015.</w:t>
      </w:r>
    </w:p>
    <w:p w:rsidR="00576972" w:rsidRDefault="00576972" w:rsidP="00576972">
      <w:pPr>
        <w:widowControl/>
        <w:rPr>
          <w:szCs w:val="22"/>
        </w:rPr>
      </w:pPr>
    </w:p>
    <w:p w:rsidR="00655B06" w:rsidRPr="00655B06" w:rsidRDefault="00655B06" w:rsidP="00655B06">
      <w:pPr>
        <w:pStyle w:val="PBACHeading1"/>
        <w:numPr>
          <w:ilvl w:val="0"/>
          <w:numId w:val="0"/>
        </w:numPr>
        <w:ind w:firstLine="720"/>
        <w:rPr>
          <w:b w:val="0"/>
          <w:i/>
        </w:rPr>
      </w:pPr>
      <w:r w:rsidRPr="00655B06">
        <w:rPr>
          <w:b w:val="0"/>
          <w:i/>
        </w:rPr>
        <w:t>For more detail on PBAC’s view, see section 7 “PBAC outcome”</w:t>
      </w:r>
    </w:p>
    <w:p w:rsidR="00655B06" w:rsidRDefault="00655B06" w:rsidP="00576972">
      <w:pPr>
        <w:widowControl/>
        <w:rPr>
          <w:szCs w:val="22"/>
        </w:rPr>
      </w:pPr>
    </w:p>
    <w:p w:rsidR="00576972" w:rsidRPr="002C2775" w:rsidRDefault="00576972" w:rsidP="002C2775">
      <w:pPr>
        <w:pStyle w:val="Heading2"/>
        <w:rPr>
          <w:i/>
          <w:szCs w:val="22"/>
        </w:rPr>
      </w:pPr>
      <w:bookmarkStart w:id="18" w:name="_Toc409607375"/>
      <w:r w:rsidRPr="002C2775">
        <w:rPr>
          <w:i/>
        </w:rPr>
        <w:t>Financial Management – Risk Sharing Arrangement</w:t>
      </w:r>
      <w:bookmarkEnd w:id="18"/>
    </w:p>
    <w:p w:rsidR="00C25D9C" w:rsidRPr="00576972" w:rsidRDefault="00C25D9C" w:rsidP="00576972">
      <w:pPr>
        <w:widowControl/>
        <w:rPr>
          <w:szCs w:val="22"/>
        </w:rPr>
      </w:pPr>
    </w:p>
    <w:p w:rsidR="00A777EA" w:rsidRPr="005F7F2A" w:rsidRDefault="00A777EA" w:rsidP="005C1AC0">
      <w:pPr>
        <w:pStyle w:val="ListParagraph"/>
        <w:widowControl/>
        <w:numPr>
          <w:ilvl w:val="1"/>
          <w:numId w:val="1"/>
        </w:numPr>
        <w:rPr>
          <w:szCs w:val="22"/>
        </w:rPr>
      </w:pPr>
      <w:r>
        <w:t xml:space="preserve">The sponsor proposed that </w:t>
      </w:r>
      <w:r w:rsidR="006F185A">
        <w:t>pembrolizumab</w:t>
      </w:r>
      <w:r>
        <w:t xml:space="preserve"> be reimbursed </w:t>
      </w:r>
      <w:r w:rsidR="009905C7">
        <w:t>under a Deed of Agreement (D</w:t>
      </w:r>
      <w:r w:rsidR="003E18D8">
        <w:t>O</w:t>
      </w:r>
      <w:r w:rsidR="009905C7">
        <w:t>A).  C</w:t>
      </w:r>
      <w:r w:rsidR="0000474E">
        <w:t xml:space="preserve">linical uncertainty </w:t>
      </w:r>
      <w:r w:rsidR="009905C7">
        <w:t xml:space="preserve">would be </w:t>
      </w:r>
      <w:r w:rsidR="0000474E">
        <w:t>addressed through</w:t>
      </w:r>
      <w:r>
        <w:t xml:space="preserve"> a managed entry scheme (MES) framework</w:t>
      </w:r>
      <w:r w:rsidR="00D456B8">
        <w:t xml:space="preserve"> (see below)</w:t>
      </w:r>
      <w:r>
        <w:t>, and financial uncertainty addressed through a risk sharing arrangement (RSA).</w:t>
      </w:r>
    </w:p>
    <w:p w:rsidR="00D456B8" w:rsidRDefault="00D456B8" w:rsidP="00D456B8">
      <w:pPr>
        <w:widowControl/>
        <w:rPr>
          <w:i/>
        </w:rPr>
      </w:pPr>
    </w:p>
    <w:p w:rsidR="00D456B8" w:rsidRPr="006315E7" w:rsidRDefault="00D456B8" w:rsidP="00D456B8">
      <w:pPr>
        <w:pStyle w:val="ListParagraph"/>
        <w:widowControl/>
        <w:numPr>
          <w:ilvl w:val="1"/>
          <w:numId w:val="1"/>
        </w:numPr>
        <w:rPr>
          <w:szCs w:val="22"/>
        </w:rPr>
      </w:pPr>
      <w:r>
        <w:t xml:space="preserve">In order to address financial uncertainty associated with duration of treatment, the submission proposed a </w:t>
      </w:r>
      <w:r w:rsidR="00112B75">
        <w:rPr>
          <w:noProof/>
          <w:color w:val="000000"/>
          <w:highlight w:val="black"/>
        </w:rPr>
        <w:t>''''''</w:t>
      </w:r>
      <w:r w:rsidRPr="00996117">
        <w:t>% rebate</w:t>
      </w:r>
      <w:r>
        <w:t xml:space="preserve"> on the ex-manufacturer drug cost for incremental use beyond </w:t>
      </w:r>
      <w:r w:rsidR="00B764EF">
        <w:rPr>
          <w:noProof/>
          <w:color w:val="000000"/>
          <w:highlight w:val="black"/>
        </w:rPr>
        <w:t>'''</w:t>
      </w:r>
      <w:r>
        <w:t xml:space="preserve"> years.  </w:t>
      </w:r>
      <w:r w:rsidRPr="00BB4AC4">
        <w:t xml:space="preserve">While identified as part of the MES proposal, this </w:t>
      </w:r>
      <w:r w:rsidR="00673951">
        <w:t xml:space="preserve">falls under the </w:t>
      </w:r>
      <w:r w:rsidRPr="00BB4AC4">
        <w:t>frequently encountered RSA</w:t>
      </w:r>
      <w:r w:rsidR="00673951">
        <w:t xml:space="preserve"> framework</w:t>
      </w:r>
      <w:r w:rsidR="00C52FD3">
        <w:t xml:space="preserve"> for </w:t>
      </w:r>
      <w:r w:rsidR="003E18D8">
        <w:t xml:space="preserve">a </w:t>
      </w:r>
      <w:r w:rsidR="00C52FD3">
        <w:t>D</w:t>
      </w:r>
      <w:r w:rsidR="003E18D8">
        <w:t>O</w:t>
      </w:r>
      <w:r w:rsidR="00C52FD3">
        <w:t>A</w:t>
      </w:r>
      <w:r w:rsidR="00673951">
        <w:t>,</w:t>
      </w:r>
      <w:r w:rsidRPr="00BB4AC4">
        <w:t xml:space="preserve"> </w:t>
      </w:r>
      <w:r w:rsidR="00C52FD3">
        <w:t xml:space="preserve">and </w:t>
      </w:r>
      <w:r w:rsidRPr="00BB4AC4">
        <w:t xml:space="preserve">is a separate </w:t>
      </w:r>
      <w:r w:rsidR="00673951">
        <w:t xml:space="preserve">type of agreement </w:t>
      </w:r>
      <w:r w:rsidRPr="00BB4AC4">
        <w:t>to a</w:t>
      </w:r>
      <w:r w:rsidR="00673951">
        <w:t>n</w:t>
      </w:r>
      <w:r w:rsidRPr="00BB4AC4">
        <w:t xml:space="preserve"> MES.  The </w:t>
      </w:r>
      <w:r w:rsidR="00C52FD3">
        <w:t xml:space="preserve">RSA </w:t>
      </w:r>
      <w:r w:rsidRPr="00BB4AC4">
        <w:t xml:space="preserve">rebate was incorporated into the financial estimates and economic model (rebate </w:t>
      </w:r>
      <w:r w:rsidRPr="00B533A7">
        <w:t>of $</w:t>
      </w:r>
      <w:r w:rsidR="00112B75">
        <w:rPr>
          <w:noProof/>
          <w:color w:val="000000"/>
          <w:highlight w:val="black"/>
        </w:rPr>
        <w:t>''''''''''</w:t>
      </w:r>
      <w:r w:rsidRPr="00B533A7">
        <w:t xml:space="preserve"> to $</w:t>
      </w:r>
      <w:r w:rsidR="00112B75">
        <w:rPr>
          <w:noProof/>
          <w:color w:val="000000"/>
          <w:highlight w:val="black"/>
        </w:rPr>
        <w:t>'''''''''''</w:t>
      </w:r>
      <w:r w:rsidRPr="00BB4AC4">
        <w:t xml:space="preserve"> from year 3 to 5).  Given that the amount of the rebate is based on treatment duration sourced from extrapolations of PFS in the economic model that were considered to be highly unreliable, it is not likely the proposed </w:t>
      </w:r>
      <w:r w:rsidR="00C52FD3">
        <w:t xml:space="preserve">rebate </w:t>
      </w:r>
      <w:r w:rsidRPr="00BB4AC4">
        <w:t>is accurate.</w:t>
      </w:r>
    </w:p>
    <w:p w:rsidR="00A777EA" w:rsidRDefault="00A777EA" w:rsidP="00A777EA">
      <w:pPr>
        <w:widowControl/>
        <w:rPr>
          <w:szCs w:val="22"/>
        </w:rPr>
      </w:pPr>
    </w:p>
    <w:p w:rsidR="00A05E64" w:rsidRPr="008B4087" w:rsidRDefault="00244DAF" w:rsidP="00A05E64">
      <w:pPr>
        <w:pStyle w:val="PBACHeading1"/>
        <w:numPr>
          <w:ilvl w:val="0"/>
          <w:numId w:val="0"/>
        </w:numPr>
        <w:rPr>
          <w:i/>
        </w:rPr>
      </w:pPr>
      <w:bookmarkStart w:id="19" w:name="_Toc398554769"/>
      <w:r>
        <w:rPr>
          <w:i/>
        </w:rPr>
        <w:t>Sponsor’s p</w:t>
      </w:r>
      <w:r w:rsidR="00A05E64" w:rsidRPr="008B4087">
        <w:rPr>
          <w:i/>
        </w:rPr>
        <w:t>roposed MES</w:t>
      </w:r>
      <w:bookmarkEnd w:id="19"/>
      <w:r w:rsidR="00A05E64" w:rsidRPr="008B4087">
        <w:rPr>
          <w:i/>
        </w:rPr>
        <w:t xml:space="preserve"> for ipilimumab-naïve patients</w:t>
      </w:r>
    </w:p>
    <w:p w:rsidR="00D456B8" w:rsidRPr="005F7F2A" w:rsidRDefault="00D456B8" w:rsidP="00A777EA">
      <w:pPr>
        <w:widowControl/>
        <w:rPr>
          <w:szCs w:val="22"/>
        </w:rPr>
      </w:pPr>
    </w:p>
    <w:p w:rsidR="00A777EA" w:rsidRPr="008C6028" w:rsidRDefault="00A777EA" w:rsidP="005C1AC0">
      <w:pPr>
        <w:pStyle w:val="ListParagraph"/>
        <w:widowControl/>
        <w:numPr>
          <w:ilvl w:val="1"/>
          <w:numId w:val="1"/>
        </w:numPr>
        <w:rPr>
          <w:szCs w:val="22"/>
        </w:rPr>
      </w:pPr>
      <w:r>
        <w:t>In order to address clinical uncertainty</w:t>
      </w:r>
      <w:r w:rsidR="00C301DD">
        <w:t xml:space="preserve"> in a</w:t>
      </w:r>
      <w:r w:rsidR="00A05E64">
        <w:t>n</w:t>
      </w:r>
      <w:r w:rsidR="00C301DD">
        <w:t xml:space="preserve"> MES framework</w:t>
      </w:r>
      <w:r>
        <w:t>, an interim ‘uncertainty discount’</w:t>
      </w:r>
      <w:r w:rsidR="00205AA5">
        <w:t xml:space="preserve"> was offered</w:t>
      </w:r>
      <w:r>
        <w:t xml:space="preserve">.  In an example provided in the submission, adjustment to the pembrolizumab price </w:t>
      </w:r>
      <w:r w:rsidR="00C301DD">
        <w:t xml:space="preserve">would </w:t>
      </w:r>
      <w:r>
        <w:t>occur upon provision of 3</w:t>
      </w:r>
      <w:r w:rsidR="00C301DD">
        <w:t>-</w:t>
      </w:r>
      <w:r>
        <w:t xml:space="preserve">year OS data from </w:t>
      </w:r>
      <w:r w:rsidR="00C71FB7">
        <w:t>t</w:t>
      </w:r>
      <w:r>
        <w:t xml:space="preserve">rial KN-001 (available in April 2016).  The submission indicated that </w:t>
      </w:r>
      <w:r w:rsidR="00F71CA9">
        <w:t xml:space="preserve">the </w:t>
      </w:r>
      <w:r>
        <w:t>exact magnitude</w:t>
      </w:r>
      <w:r w:rsidR="00BC2B5E">
        <w:t>s</w:t>
      </w:r>
      <w:r>
        <w:t xml:space="preserve"> of changes for the undisclosed discount </w:t>
      </w:r>
      <w:r w:rsidR="00205AA5">
        <w:t>we</w:t>
      </w:r>
      <w:r>
        <w:t xml:space="preserve">re open for negotiation following a positive </w:t>
      </w:r>
      <w:r>
        <w:lastRenderedPageBreak/>
        <w:t>PBAC recommendation.  The table below provides the example framework proposed by the submission.</w:t>
      </w:r>
    </w:p>
    <w:p w:rsidR="00A777EA" w:rsidRPr="008C6028" w:rsidRDefault="00A777EA" w:rsidP="00A777EA">
      <w:pPr>
        <w:widowControl/>
        <w:rPr>
          <w:szCs w:val="22"/>
        </w:rPr>
      </w:pPr>
    </w:p>
    <w:p w:rsidR="00A777EA" w:rsidRDefault="00A777EA" w:rsidP="00D456B8">
      <w:pPr>
        <w:keepNext/>
        <w:ind w:left="709"/>
        <w:rPr>
          <w:rStyle w:val="CommentReference"/>
        </w:rPr>
      </w:pPr>
      <w:r>
        <w:rPr>
          <w:rStyle w:val="CommentReference"/>
        </w:rPr>
        <w:t xml:space="preserve">Example of proposed </w:t>
      </w:r>
      <w:r w:rsidR="00673951">
        <w:rPr>
          <w:rStyle w:val="CommentReference"/>
        </w:rPr>
        <w:t>MES</w:t>
      </w:r>
      <w:r>
        <w:rPr>
          <w:rStyle w:val="CommentReference"/>
        </w:rPr>
        <w:t xml:space="preserve"> framework for p</w:t>
      </w:r>
      <w:r w:rsidR="00673951">
        <w:rPr>
          <w:rStyle w:val="CommentReference"/>
        </w:rPr>
        <w:t>embro</w:t>
      </w:r>
      <w:r>
        <w:rPr>
          <w:rStyle w:val="CommentReference"/>
        </w:rPr>
        <w:t>li</w:t>
      </w:r>
      <w:r w:rsidR="00673951">
        <w:rPr>
          <w:rStyle w:val="CommentReference"/>
        </w:rPr>
        <w:t>z</w:t>
      </w:r>
      <w:r>
        <w:rPr>
          <w:rStyle w:val="CommentReference"/>
        </w:rPr>
        <w:t>umab</w:t>
      </w:r>
    </w:p>
    <w:tbl>
      <w:tblPr>
        <w:tblStyle w:val="TableGrid"/>
        <w:tblW w:w="8404" w:type="dxa"/>
        <w:tblInd w:w="737" w:type="dxa"/>
        <w:tblCellMar>
          <w:left w:w="28" w:type="dxa"/>
          <w:right w:w="28" w:type="dxa"/>
        </w:tblCellMar>
        <w:tblLook w:val="04A0" w:firstRow="1" w:lastRow="0" w:firstColumn="1" w:lastColumn="0" w:noHBand="0" w:noVBand="1"/>
      </w:tblPr>
      <w:tblGrid>
        <w:gridCol w:w="3026"/>
        <w:gridCol w:w="2502"/>
        <w:gridCol w:w="2876"/>
      </w:tblGrid>
      <w:tr w:rsidR="00A777EA" w:rsidTr="006F185A">
        <w:tc>
          <w:tcPr>
            <w:tcW w:w="5528" w:type="dxa"/>
            <w:gridSpan w:val="2"/>
            <w:vAlign w:val="center"/>
          </w:tcPr>
          <w:p w:rsidR="00A777EA" w:rsidRPr="00EF4492" w:rsidRDefault="00A777EA" w:rsidP="00521216">
            <w:pPr>
              <w:keepNext/>
              <w:jc w:val="center"/>
              <w:rPr>
                <w:rStyle w:val="CommentReference"/>
              </w:rPr>
            </w:pPr>
            <w:r w:rsidRPr="00EF4492">
              <w:rPr>
                <w:rStyle w:val="CommentReference"/>
              </w:rPr>
              <w:t>KN-001</w:t>
            </w:r>
            <w:r>
              <w:rPr>
                <w:rStyle w:val="CommentReference"/>
              </w:rPr>
              <w:t>: OS rate at 3 years (available April 2016)</w:t>
            </w:r>
          </w:p>
        </w:tc>
        <w:tc>
          <w:tcPr>
            <w:tcW w:w="2876" w:type="dxa"/>
            <w:vMerge w:val="restart"/>
            <w:vAlign w:val="center"/>
          </w:tcPr>
          <w:p w:rsidR="00A777EA" w:rsidRPr="00EF4492" w:rsidRDefault="00A777EA" w:rsidP="00521216">
            <w:pPr>
              <w:keepNext/>
              <w:jc w:val="center"/>
              <w:rPr>
                <w:rStyle w:val="CommentReference"/>
              </w:rPr>
            </w:pPr>
            <w:r>
              <w:rPr>
                <w:rStyle w:val="CommentReference"/>
              </w:rPr>
              <w:t>Change to undisclosed discount (illustrative purposes only)</w:t>
            </w:r>
          </w:p>
        </w:tc>
      </w:tr>
      <w:tr w:rsidR="00A777EA" w:rsidTr="006F185A">
        <w:tc>
          <w:tcPr>
            <w:tcW w:w="3026" w:type="dxa"/>
            <w:vAlign w:val="center"/>
          </w:tcPr>
          <w:p w:rsidR="00A777EA" w:rsidRPr="00EF4492" w:rsidRDefault="00A777EA" w:rsidP="00C638E9">
            <w:pPr>
              <w:jc w:val="center"/>
              <w:rPr>
                <w:rStyle w:val="CommentReference"/>
              </w:rPr>
            </w:pPr>
            <w:r w:rsidRPr="00EF4492">
              <w:rPr>
                <w:rStyle w:val="CommentReference"/>
              </w:rPr>
              <w:t>Ipilimumab</w:t>
            </w:r>
          </w:p>
        </w:tc>
        <w:tc>
          <w:tcPr>
            <w:tcW w:w="2502" w:type="dxa"/>
            <w:vAlign w:val="center"/>
          </w:tcPr>
          <w:p w:rsidR="00A777EA" w:rsidRPr="00EF4492" w:rsidRDefault="00A777EA" w:rsidP="00C638E9">
            <w:pPr>
              <w:jc w:val="center"/>
              <w:rPr>
                <w:rStyle w:val="CommentReference"/>
              </w:rPr>
            </w:pPr>
            <w:r w:rsidRPr="00EF4492">
              <w:rPr>
                <w:rStyle w:val="CommentReference"/>
              </w:rPr>
              <w:t>Pembrolizumab</w:t>
            </w:r>
          </w:p>
        </w:tc>
        <w:tc>
          <w:tcPr>
            <w:tcW w:w="2876" w:type="dxa"/>
            <w:vMerge/>
          </w:tcPr>
          <w:p w:rsidR="00A777EA" w:rsidRDefault="00A777EA" w:rsidP="00C638E9">
            <w:pPr>
              <w:rPr>
                <w:rStyle w:val="CommentReference"/>
                <w:b w:val="0"/>
              </w:rPr>
            </w:pPr>
          </w:p>
        </w:tc>
      </w:tr>
      <w:tr w:rsidR="00A777EA" w:rsidTr="006F185A">
        <w:tc>
          <w:tcPr>
            <w:tcW w:w="3026" w:type="dxa"/>
            <w:vMerge w:val="restart"/>
            <w:vAlign w:val="center"/>
          </w:tcPr>
          <w:p w:rsidR="00A777EA" w:rsidRDefault="00A777EA" w:rsidP="00C638E9">
            <w:pPr>
              <w:jc w:val="center"/>
              <w:rPr>
                <w:rStyle w:val="CommentReference"/>
                <w:b w:val="0"/>
              </w:rPr>
            </w:pPr>
            <w:r>
              <w:rPr>
                <w:rStyle w:val="CommentReference"/>
                <w:b w:val="0"/>
              </w:rPr>
              <w:t>18%</w:t>
            </w:r>
          </w:p>
        </w:tc>
        <w:tc>
          <w:tcPr>
            <w:tcW w:w="2502" w:type="dxa"/>
            <w:vAlign w:val="center"/>
          </w:tcPr>
          <w:p w:rsidR="00A777EA" w:rsidRDefault="00A777EA" w:rsidP="00C638E9">
            <w:pPr>
              <w:jc w:val="center"/>
              <w:rPr>
                <w:rStyle w:val="CommentReference"/>
                <w:b w:val="0"/>
              </w:rPr>
            </w:pPr>
            <w:r>
              <w:rPr>
                <w:rStyle w:val="CommentReference"/>
                <w:b w:val="0"/>
              </w:rPr>
              <w:t>&lt;10%</w:t>
            </w:r>
          </w:p>
        </w:tc>
        <w:tc>
          <w:tcPr>
            <w:tcW w:w="2876" w:type="dxa"/>
            <w:vAlign w:val="center"/>
          </w:tcPr>
          <w:p w:rsidR="00A777EA" w:rsidRDefault="00A777EA" w:rsidP="00C638E9">
            <w:pPr>
              <w:jc w:val="center"/>
              <w:rPr>
                <w:rStyle w:val="CommentReference"/>
                <w:b w:val="0"/>
              </w:rPr>
            </w:pPr>
            <w:r>
              <w:rPr>
                <w:rStyle w:val="CommentReference"/>
                <w:b w:val="0"/>
              </w:rPr>
              <w:t>-13%</w:t>
            </w:r>
          </w:p>
        </w:tc>
      </w:tr>
      <w:tr w:rsidR="00A777EA" w:rsidTr="006F185A">
        <w:tc>
          <w:tcPr>
            <w:tcW w:w="3026" w:type="dxa"/>
            <w:vMerge/>
            <w:vAlign w:val="center"/>
          </w:tcPr>
          <w:p w:rsidR="00A777EA" w:rsidRDefault="00A777EA" w:rsidP="00C638E9">
            <w:pPr>
              <w:jc w:val="center"/>
              <w:rPr>
                <w:rStyle w:val="CommentReference"/>
                <w:b w:val="0"/>
              </w:rPr>
            </w:pPr>
          </w:p>
        </w:tc>
        <w:tc>
          <w:tcPr>
            <w:tcW w:w="2502" w:type="dxa"/>
            <w:vAlign w:val="center"/>
          </w:tcPr>
          <w:p w:rsidR="00A777EA" w:rsidRDefault="00A777EA" w:rsidP="00C638E9">
            <w:pPr>
              <w:jc w:val="center"/>
              <w:rPr>
                <w:rStyle w:val="CommentReference"/>
                <w:b w:val="0"/>
              </w:rPr>
            </w:pPr>
            <w:r>
              <w:rPr>
                <w:rStyle w:val="CommentReference"/>
                <w:b w:val="0"/>
              </w:rPr>
              <w:t>10-25%</w:t>
            </w:r>
          </w:p>
        </w:tc>
        <w:tc>
          <w:tcPr>
            <w:tcW w:w="2876" w:type="dxa"/>
            <w:vAlign w:val="center"/>
          </w:tcPr>
          <w:p w:rsidR="00A777EA" w:rsidRDefault="00A777EA" w:rsidP="00C638E9">
            <w:pPr>
              <w:jc w:val="center"/>
              <w:rPr>
                <w:rStyle w:val="CommentReference"/>
                <w:b w:val="0"/>
              </w:rPr>
            </w:pPr>
            <w:r>
              <w:rPr>
                <w:rStyle w:val="CommentReference"/>
                <w:b w:val="0"/>
              </w:rPr>
              <w:t>0%</w:t>
            </w:r>
          </w:p>
        </w:tc>
      </w:tr>
      <w:tr w:rsidR="00A777EA" w:rsidTr="006F185A">
        <w:tc>
          <w:tcPr>
            <w:tcW w:w="3026" w:type="dxa"/>
            <w:vMerge/>
            <w:vAlign w:val="center"/>
          </w:tcPr>
          <w:p w:rsidR="00A777EA" w:rsidRDefault="00A777EA" w:rsidP="00C638E9">
            <w:pPr>
              <w:jc w:val="center"/>
              <w:rPr>
                <w:rStyle w:val="CommentReference"/>
                <w:b w:val="0"/>
              </w:rPr>
            </w:pPr>
          </w:p>
        </w:tc>
        <w:tc>
          <w:tcPr>
            <w:tcW w:w="2502" w:type="dxa"/>
            <w:vAlign w:val="center"/>
          </w:tcPr>
          <w:p w:rsidR="00A777EA" w:rsidRDefault="00A777EA" w:rsidP="00C638E9">
            <w:pPr>
              <w:jc w:val="center"/>
              <w:rPr>
                <w:rStyle w:val="CommentReference"/>
                <w:b w:val="0"/>
              </w:rPr>
            </w:pPr>
            <w:r>
              <w:rPr>
                <w:rStyle w:val="CommentReference"/>
                <w:b w:val="0"/>
              </w:rPr>
              <w:t>26-35%</w:t>
            </w:r>
          </w:p>
        </w:tc>
        <w:tc>
          <w:tcPr>
            <w:tcW w:w="2876" w:type="dxa"/>
            <w:vAlign w:val="center"/>
          </w:tcPr>
          <w:p w:rsidR="00A777EA" w:rsidRDefault="00A777EA" w:rsidP="00C638E9">
            <w:pPr>
              <w:jc w:val="center"/>
              <w:rPr>
                <w:rStyle w:val="CommentReference"/>
                <w:b w:val="0"/>
              </w:rPr>
            </w:pPr>
            <w:r>
              <w:rPr>
                <w:rStyle w:val="CommentReference"/>
                <w:b w:val="0"/>
              </w:rPr>
              <w:t>+13%</w:t>
            </w:r>
          </w:p>
        </w:tc>
      </w:tr>
      <w:tr w:rsidR="00A777EA" w:rsidTr="006F185A">
        <w:tc>
          <w:tcPr>
            <w:tcW w:w="3026" w:type="dxa"/>
            <w:vMerge/>
            <w:vAlign w:val="center"/>
          </w:tcPr>
          <w:p w:rsidR="00A777EA" w:rsidRDefault="00A777EA" w:rsidP="00C638E9">
            <w:pPr>
              <w:jc w:val="center"/>
              <w:rPr>
                <w:rStyle w:val="CommentReference"/>
                <w:b w:val="0"/>
              </w:rPr>
            </w:pPr>
          </w:p>
        </w:tc>
        <w:tc>
          <w:tcPr>
            <w:tcW w:w="2502" w:type="dxa"/>
            <w:vAlign w:val="center"/>
          </w:tcPr>
          <w:p w:rsidR="00A777EA" w:rsidRDefault="00A777EA" w:rsidP="00C638E9">
            <w:pPr>
              <w:jc w:val="center"/>
              <w:rPr>
                <w:rStyle w:val="CommentReference"/>
                <w:b w:val="0"/>
              </w:rPr>
            </w:pPr>
            <w:r>
              <w:rPr>
                <w:rStyle w:val="CommentReference"/>
                <w:b w:val="0"/>
              </w:rPr>
              <w:t>&gt;35%</w:t>
            </w:r>
          </w:p>
        </w:tc>
        <w:tc>
          <w:tcPr>
            <w:tcW w:w="2876" w:type="dxa"/>
            <w:vAlign w:val="center"/>
          </w:tcPr>
          <w:p w:rsidR="00A777EA" w:rsidRDefault="00A777EA" w:rsidP="00C638E9">
            <w:pPr>
              <w:jc w:val="center"/>
              <w:rPr>
                <w:rStyle w:val="CommentReference"/>
                <w:b w:val="0"/>
              </w:rPr>
            </w:pPr>
            <w:r>
              <w:rPr>
                <w:rStyle w:val="CommentReference"/>
                <w:b w:val="0"/>
              </w:rPr>
              <w:t>+25%</w:t>
            </w:r>
          </w:p>
        </w:tc>
      </w:tr>
    </w:tbl>
    <w:p w:rsidR="00A777EA" w:rsidRPr="008C6028" w:rsidRDefault="00A777EA" w:rsidP="00A777EA">
      <w:pPr>
        <w:widowControl/>
        <w:ind w:left="709"/>
        <w:rPr>
          <w:szCs w:val="22"/>
        </w:rPr>
      </w:pPr>
      <w:r w:rsidRPr="00A626C8">
        <w:rPr>
          <w:rStyle w:val="CommentReference"/>
          <w:b w:val="0"/>
          <w:sz w:val="18"/>
        </w:rPr>
        <w:t>Source: Table F.2.1, p272 of the submission</w:t>
      </w:r>
    </w:p>
    <w:p w:rsidR="00A777EA" w:rsidRPr="003D7DDD" w:rsidRDefault="00A777EA" w:rsidP="00A777EA">
      <w:pPr>
        <w:widowControl/>
        <w:rPr>
          <w:szCs w:val="22"/>
        </w:rPr>
      </w:pPr>
    </w:p>
    <w:p w:rsidR="00D46732" w:rsidRPr="00BB4AC4" w:rsidRDefault="006559C4" w:rsidP="005C1AC0">
      <w:pPr>
        <w:pStyle w:val="ListParagraph"/>
        <w:widowControl/>
        <w:numPr>
          <w:ilvl w:val="1"/>
          <w:numId w:val="1"/>
        </w:numPr>
        <w:rPr>
          <w:rStyle w:val="CommentReference"/>
          <w:rFonts w:ascii="Arial" w:hAnsi="Arial"/>
          <w:b w:val="0"/>
          <w:sz w:val="22"/>
          <w:szCs w:val="22"/>
        </w:rPr>
      </w:pPr>
      <w:r w:rsidRPr="00BB4AC4">
        <w:rPr>
          <w:rStyle w:val="CommentReference"/>
          <w:rFonts w:ascii="Arial" w:hAnsi="Arial"/>
          <w:b w:val="0"/>
          <w:sz w:val="22"/>
          <w:szCs w:val="22"/>
        </w:rPr>
        <w:t xml:space="preserve">The ‘uncertainty discount’ as proposed by the submission </w:t>
      </w:r>
      <w:r w:rsidR="00A05E64">
        <w:rPr>
          <w:rStyle w:val="CommentReference"/>
          <w:rFonts w:ascii="Arial" w:hAnsi="Arial"/>
          <w:b w:val="0"/>
          <w:sz w:val="22"/>
          <w:szCs w:val="22"/>
        </w:rPr>
        <w:t xml:space="preserve">was </w:t>
      </w:r>
      <w:r w:rsidRPr="00BB4AC4">
        <w:rPr>
          <w:rStyle w:val="CommentReference"/>
          <w:rFonts w:ascii="Arial" w:hAnsi="Arial"/>
          <w:b w:val="0"/>
          <w:sz w:val="22"/>
          <w:szCs w:val="22"/>
        </w:rPr>
        <w:t xml:space="preserve">not </w:t>
      </w:r>
      <w:r w:rsidR="00A05E64">
        <w:rPr>
          <w:rStyle w:val="CommentReference"/>
          <w:rFonts w:ascii="Arial" w:hAnsi="Arial"/>
          <w:b w:val="0"/>
          <w:sz w:val="22"/>
          <w:szCs w:val="22"/>
        </w:rPr>
        <w:t xml:space="preserve">considered to </w:t>
      </w:r>
      <w:r w:rsidRPr="00BB4AC4">
        <w:rPr>
          <w:rStyle w:val="CommentReference"/>
          <w:rFonts w:ascii="Arial" w:hAnsi="Arial"/>
          <w:b w:val="0"/>
          <w:sz w:val="22"/>
          <w:szCs w:val="22"/>
        </w:rPr>
        <w:t xml:space="preserve">constitute a </w:t>
      </w:r>
      <w:r w:rsidR="00403E58" w:rsidRPr="00BB4AC4">
        <w:rPr>
          <w:rStyle w:val="CommentReference"/>
          <w:rFonts w:ascii="Arial" w:hAnsi="Arial"/>
          <w:b w:val="0"/>
          <w:sz w:val="22"/>
          <w:szCs w:val="22"/>
        </w:rPr>
        <w:t>feasible</w:t>
      </w:r>
      <w:r w:rsidRPr="00BB4AC4">
        <w:rPr>
          <w:rStyle w:val="CommentReference"/>
          <w:rFonts w:ascii="Arial" w:hAnsi="Arial"/>
          <w:b w:val="0"/>
          <w:sz w:val="22"/>
          <w:szCs w:val="22"/>
        </w:rPr>
        <w:t xml:space="preserve"> MES framework, for the following reasons</w:t>
      </w:r>
      <w:r w:rsidR="00D46732" w:rsidRPr="00BB4AC4">
        <w:rPr>
          <w:rStyle w:val="CommentReference"/>
          <w:rFonts w:ascii="Arial" w:hAnsi="Arial"/>
          <w:b w:val="0"/>
          <w:sz w:val="22"/>
          <w:szCs w:val="22"/>
        </w:rPr>
        <w:t>:</w:t>
      </w:r>
    </w:p>
    <w:p w:rsidR="00287436" w:rsidRPr="00BB4AC4" w:rsidRDefault="00D46732" w:rsidP="005C1AC0">
      <w:pPr>
        <w:pStyle w:val="ListParagraph"/>
        <w:widowControl/>
        <w:numPr>
          <w:ilvl w:val="1"/>
          <w:numId w:val="5"/>
        </w:numPr>
        <w:ind w:left="993" w:hanging="284"/>
        <w:rPr>
          <w:szCs w:val="22"/>
        </w:rPr>
      </w:pPr>
      <w:r w:rsidRPr="00BB4AC4">
        <w:rPr>
          <w:rStyle w:val="CommentReference"/>
          <w:rFonts w:ascii="Arial" w:hAnsi="Arial"/>
          <w:b w:val="0"/>
          <w:sz w:val="22"/>
          <w:szCs w:val="22"/>
        </w:rPr>
        <w:t>M</w:t>
      </w:r>
      <w:r w:rsidR="002A168A" w:rsidRPr="00BB4AC4">
        <w:rPr>
          <w:rStyle w:val="CommentReference"/>
          <w:rFonts w:ascii="Arial" w:hAnsi="Arial"/>
          <w:b w:val="0"/>
          <w:sz w:val="22"/>
          <w:szCs w:val="22"/>
        </w:rPr>
        <w:t>ore m</w:t>
      </w:r>
      <w:r w:rsidRPr="00BB4AC4">
        <w:rPr>
          <w:rStyle w:val="CommentReference"/>
          <w:rFonts w:ascii="Arial" w:hAnsi="Arial"/>
          <w:b w:val="0"/>
          <w:sz w:val="22"/>
          <w:szCs w:val="22"/>
        </w:rPr>
        <w:t xml:space="preserve">ature </w:t>
      </w:r>
      <w:r w:rsidR="002A168A" w:rsidRPr="00BB4AC4">
        <w:rPr>
          <w:rStyle w:val="CommentReference"/>
          <w:rFonts w:ascii="Arial" w:hAnsi="Arial"/>
          <w:b w:val="0"/>
          <w:sz w:val="22"/>
          <w:szCs w:val="22"/>
        </w:rPr>
        <w:t xml:space="preserve">(3-year) </w:t>
      </w:r>
      <w:r w:rsidRPr="00BB4AC4">
        <w:rPr>
          <w:rStyle w:val="CommentReference"/>
          <w:rFonts w:ascii="Arial" w:hAnsi="Arial"/>
          <w:b w:val="0"/>
          <w:sz w:val="22"/>
          <w:szCs w:val="22"/>
        </w:rPr>
        <w:t xml:space="preserve">non-comparative OS data from KN-001 </w:t>
      </w:r>
      <w:r w:rsidR="00287436" w:rsidRPr="00BB4AC4">
        <w:rPr>
          <w:rStyle w:val="CommentReference"/>
          <w:rFonts w:ascii="Arial" w:hAnsi="Arial"/>
          <w:b w:val="0"/>
          <w:sz w:val="22"/>
          <w:szCs w:val="22"/>
        </w:rPr>
        <w:t>c</w:t>
      </w:r>
      <w:r w:rsidR="00C301DD">
        <w:rPr>
          <w:rStyle w:val="CommentReference"/>
          <w:rFonts w:ascii="Arial" w:hAnsi="Arial"/>
          <w:b w:val="0"/>
          <w:sz w:val="22"/>
          <w:szCs w:val="22"/>
        </w:rPr>
        <w:t>ould n</w:t>
      </w:r>
      <w:r w:rsidR="00287436" w:rsidRPr="00BB4AC4">
        <w:rPr>
          <w:rStyle w:val="CommentReference"/>
          <w:rFonts w:ascii="Arial" w:hAnsi="Arial"/>
          <w:b w:val="0"/>
          <w:sz w:val="22"/>
          <w:szCs w:val="22"/>
        </w:rPr>
        <w:t>ot</w:t>
      </w:r>
      <w:r w:rsidRPr="00BB4AC4">
        <w:rPr>
          <w:rStyle w:val="CommentReference"/>
          <w:rFonts w:ascii="Arial" w:hAnsi="Arial"/>
          <w:b w:val="0"/>
          <w:sz w:val="22"/>
          <w:szCs w:val="22"/>
        </w:rPr>
        <w:t xml:space="preserve"> address the biases observed in the comparison</w:t>
      </w:r>
      <w:r w:rsidR="00C301DD">
        <w:rPr>
          <w:rStyle w:val="CommentReference"/>
          <w:rFonts w:ascii="Arial" w:hAnsi="Arial"/>
          <w:b w:val="0"/>
          <w:sz w:val="22"/>
          <w:szCs w:val="22"/>
        </w:rPr>
        <w:t xml:space="preserve"> based on KN-001</w:t>
      </w:r>
      <w:r w:rsidR="00C301DD">
        <w:t>.</w:t>
      </w:r>
    </w:p>
    <w:p w:rsidR="00287436" w:rsidRPr="00BB4AC4" w:rsidRDefault="009C6E7B" w:rsidP="005C1AC0">
      <w:pPr>
        <w:pStyle w:val="ListParagraph"/>
        <w:widowControl/>
        <w:numPr>
          <w:ilvl w:val="1"/>
          <w:numId w:val="5"/>
        </w:numPr>
        <w:ind w:left="993" w:hanging="284"/>
        <w:rPr>
          <w:szCs w:val="22"/>
        </w:rPr>
      </w:pPr>
      <w:r w:rsidRPr="00BB4AC4">
        <w:rPr>
          <w:rStyle w:val="CommentReference"/>
          <w:rFonts w:ascii="Arial" w:hAnsi="Arial"/>
          <w:b w:val="0"/>
          <w:sz w:val="22"/>
          <w:szCs w:val="22"/>
        </w:rPr>
        <w:t xml:space="preserve">The submission assumed that the new price discount would reflect the proposed ICER of </w:t>
      </w:r>
      <w:r w:rsidR="00112B75">
        <w:rPr>
          <w:rStyle w:val="CommentReference"/>
          <w:rFonts w:ascii="Arial" w:hAnsi="Arial"/>
          <w:b w:val="0"/>
          <w:noProof/>
          <w:color w:val="000000"/>
          <w:sz w:val="22"/>
          <w:szCs w:val="22"/>
          <w:highlight w:val="black"/>
        </w:rPr>
        <w:t>''''''''''''''''''''</w:t>
      </w:r>
      <w:r w:rsidRPr="00BB4AC4">
        <w:rPr>
          <w:rStyle w:val="CommentReference"/>
          <w:rFonts w:ascii="Arial" w:hAnsi="Arial"/>
          <w:b w:val="0"/>
          <w:sz w:val="22"/>
          <w:szCs w:val="22"/>
        </w:rPr>
        <w:t xml:space="preserve"> for a given pembrolizumab 3</w:t>
      </w:r>
      <w:r w:rsidR="002A168A" w:rsidRPr="00BB4AC4">
        <w:rPr>
          <w:rStyle w:val="CommentReference"/>
          <w:rFonts w:ascii="Arial" w:hAnsi="Arial"/>
          <w:b w:val="0"/>
          <w:sz w:val="22"/>
          <w:szCs w:val="22"/>
        </w:rPr>
        <w:t>-</w:t>
      </w:r>
      <w:r w:rsidRPr="00BB4AC4">
        <w:rPr>
          <w:rStyle w:val="CommentReference"/>
          <w:rFonts w:ascii="Arial" w:hAnsi="Arial"/>
          <w:b w:val="0"/>
          <w:sz w:val="22"/>
          <w:szCs w:val="22"/>
        </w:rPr>
        <w:t>year OS rate.  This assumption did not recognise that the ICER produced by the submission’s model was not reliable given structural, methodological and content issues.</w:t>
      </w:r>
    </w:p>
    <w:p w:rsidR="00A777EA" w:rsidRDefault="00287436" w:rsidP="005C1AC0">
      <w:pPr>
        <w:pStyle w:val="ListParagraph"/>
        <w:widowControl/>
        <w:numPr>
          <w:ilvl w:val="1"/>
          <w:numId w:val="5"/>
        </w:numPr>
        <w:ind w:left="993" w:hanging="284"/>
        <w:rPr>
          <w:szCs w:val="22"/>
        </w:rPr>
      </w:pPr>
      <w:r w:rsidRPr="00BB4AC4">
        <w:rPr>
          <w:szCs w:val="22"/>
        </w:rPr>
        <w:t xml:space="preserve">The MES proposal did not acknowledge that a high </w:t>
      </w:r>
      <w:r w:rsidR="00381A0F" w:rsidRPr="00BB4AC4">
        <w:rPr>
          <w:szCs w:val="22"/>
        </w:rPr>
        <w:t xml:space="preserve">initial </w:t>
      </w:r>
      <w:r w:rsidRPr="00BB4AC4">
        <w:rPr>
          <w:szCs w:val="22"/>
        </w:rPr>
        <w:t xml:space="preserve">price </w:t>
      </w:r>
      <w:r w:rsidR="00381A0F" w:rsidRPr="00BB4AC4">
        <w:rPr>
          <w:szCs w:val="22"/>
        </w:rPr>
        <w:t xml:space="preserve">was sought </w:t>
      </w:r>
      <w:r w:rsidRPr="00BB4AC4">
        <w:rPr>
          <w:szCs w:val="22"/>
        </w:rPr>
        <w:t>without demonstrated cost-effectiveness and did not set up appropriate consideration of future evidence</w:t>
      </w:r>
      <w:r w:rsidR="00F27D34" w:rsidRPr="00BB4AC4">
        <w:rPr>
          <w:szCs w:val="22"/>
        </w:rPr>
        <w:t>.</w:t>
      </w:r>
    </w:p>
    <w:p w:rsidR="006315E7" w:rsidRPr="00CF5B43" w:rsidRDefault="006315E7" w:rsidP="006315E7">
      <w:pPr>
        <w:widowControl/>
        <w:rPr>
          <w:szCs w:val="22"/>
        </w:rPr>
      </w:pPr>
    </w:p>
    <w:p w:rsidR="006315E7" w:rsidRPr="00CF5B43" w:rsidRDefault="006315E7" w:rsidP="006315E7">
      <w:pPr>
        <w:pStyle w:val="ListParagraph"/>
        <w:widowControl/>
        <w:numPr>
          <w:ilvl w:val="1"/>
          <w:numId w:val="1"/>
        </w:numPr>
        <w:rPr>
          <w:szCs w:val="22"/>
        </w:rPr>
      </w:pPr>
      <w:r w:rsidRPr="00CF5B43">
        <w:rPr>
          <w:szCs w:val="22"/>
        </w:rPr>
        <w:t xml:space="preserve">A revised MES proposal was provided </w:t>
      </w:r>
      <w:r w:rsidR="007D0998" w:rsidRPr="00CF5B43">
        <w:rPr>
          <w:szCs w:val="22"/>
        </w:rPr>
        <w:t xml:space="preserve">as Attachment 1 of </w:t>
      </w:r>
      <w:r w:rsidRPr="00CF5B43">
        <w:rPr>
          <w:szCs w:val="22"/>
        </w:rPr>
        <w:t xml:space="preserve">the PSCR. </w:t>
      </w:r>
      <w:r w:rsidR="00C301DD">
        <w:rPr>
          <w:szCs w:val="22"/>
        </w:rPr>
        <w:t xml:space="preserve"> </w:t>
      </w:r>
      <w:r w:rsidR="002F75C3" w:rsidRPr="00CF5B43">
        <w:rPr>
          <w:szCs w:val="22"/>
        </w:rPr>
        <w:t>T</w:t>
      </w:r>
      <w:r w:rsidR="00682FA5">
        <w:rPr>
          <w:szCs w:val="22"/>
        </w:rPr>
        <w:t>he t</w:t>
      </w:r>
      <w:r w:rsidR="002F75C3" w:rsidRPr="00CF5B43">
        <w:rPr>
          <w:szCs w:val="22"/>
        </w:rPr>
        <w:t>able</w:t>
      </w:r>
      <w:r w:rsidR="00682FA5">
        <w:rPr>
          <w:szCs w:val="22"/>
        </w:rPr>
        <w:t xml:space="preserve"> </w:t>
      </w:r>
      <w:r w:rsidR="002F75C3" w:rsidRPr="00CF5B43">
        <w:rPr>
          <w:szCs w:val="22"/>
        </w:rPr>
        <w:t>below summarises uncertaint</w:t>
      </w:r>
      <w:r w:rsidR="00885049" w:rsidRPr="00CF5B43">
        <w:rPr>
          <w:szCs w:val="22"/>
        </w:rPr>
        <w:t>i</w:t>
      </w:r>
      <w:r w:rsidR="002F75C3" w:rsidRPr="00CF5B43">
        <w:rPr>
          <w:szCs w:val="22"/>
        </w:rPr>
        <w:t xml:space="preserve">es which </w:t>
      </w:r>
      <w:r w:rsidR="00A17A26" w:rsidRPr="00CF5B43">
        <w:rPr>
          <w:szCs w:val="22"/>
        </w:rPr>
        <w:t xml:space="preserve">were </w:t>
      </w:r>
      <w:r w:rsidR="002F75C3" w:rsidRPr="00CF5B43">
        <w:rPr>
          <w:szCs w:val="22"/>
        </w:rPr>
        <w:t>aim</w:t>
      </w:r>
      <w:r w:rsidR="00A17A26" w:rsidRPr="00CF5B43">
        <w:rPr>
          <w:szCs w:val="22"/>
        </w:rPr>
        <w:t>ed</w:t>
      </w:r>
      <w:r w:rsidR="002F75C3" w:rsidRPr="00CF5B43">
        <w:rPr>
          <w:szCs w:val="22"/>
        </w:rPr>
        <w:t xml:space="preserve"> to be addressed through the MES and the </w:t>
      </w:r>
      <w:r w:rsidR="00A17A26" w:rsidRPr="00CF5B43">
        <w:rPr>
          <w:szCs w:val="22"/>
        </w:rPr>
        <w:t xml:space="preserve">expected </w:t>
      </w:r>
      <w:r w:rsidR="002F75C3" w:rsidRPr="00CF5B43">
        <w:rPr>
          <w:szCs w:val="22"/>
        </w:rPr>
        <w:t xml:space="preserve">data </w:t>
      </w:r>
      <w:r w:rsidR="00A17A26" w:rsidRPr="00CF5B43">
        <w:rPr>
          <w:szCs w:val="22"/>
        </w:rPr>
        <w:t xml:space="preserve">to be </w:t>
      </w:r>
      <w:r w:rsidR="002F75C3" w:rsidRPr="00CF5B43">
        <w:rPr>
          <w:szCs w:val="22"/>
        </w:rPr>
        <w:t>used to resolve each issue.</w:t>
      </w:r>
    </w:p>
    <w:p w:rsidR="006315E7" w:rsidRPr="00A17A26" w:rsidRDefault="006315E7" w:rsidP="006315E7">
      <w:pPr>
        <w:rPr>
          <w:szCs w:val="22"/>
        </w:rPr>
      </w:pPr>
    </w:p>
    <w:p w:rsidR="002F75C3" w:rsidRPr="00CF5B43" w:rsidRDefault="002F75C3" w:rsidP="006315E7">
      <w:pPr>
        <w:pStyle w:val="ListParagraph"/>
        <w:rPr>
          <w:rFonts w:ascii="Arial Narrow" w:hAnsi="Arial Narrow"/>
          <w:b/>
          <w:sz w:val="20"/>
          <w:szCs w:val="22"/>
        </w:rPr>
      </w:pPr>
      <w:r w:rsidRPr="00CF5B43">
        <w:rPr>
          <w:rFonts w:ascii="Arial Narrow" w:hAnsi="Arial Narrow"/>
          <w:b/>
          <w:sz w:val="20"/>
          <w:szCs w:val="22"/>
        </w:rPr>
        <w:t>Summary of revised MES proposal</w:t>
      </w:r>
      <w:r w:rsidR="00885049" w:rsidRPr="00CF5B43">
        <w:rPr>
          <w:rFonts w:ascii="Arial Narrow" w:hAnsi="Arial Narrow"/>
          <w:b/>
          <w:sz w:val="20"/>
          <w:szCs w:val="22"/>
        </w:rPr>
        <w:t xml:space="preserve"> </w:t>
      </w:r>
      <w:r w:rsidR="007D0998" w:rsidRPr="00CF5B43">
        <w:rPr>
          <w:rFonts w:ascii="Arial Narrow" w:hAnsi="Arial Narrow"/>
          <w:b/>
          <w:sz w:val="20"/>
          <w:szCs w:val="22"/>
        </w:rPr>
        <w:t xml:space="preserve">attached to the </w:t>
      </w:r>
      <w:r w:rsidR="00885049" w:rsidRPr="00CF5B43">
        <w:rPr>
          <w:rFonts w:ascii="Arial Narrow" w:hAnsi="Arial Narrow"/>
          <w:b/>
          <w:sz w:val="20"/>
          <w:szCs w:val="22"/>
        </w:rPr>
        <w:t>PSCR</w:t>
      </w:r>
      <w:r w:rsidR="0099196A">
        <w:rPr>
          <w:rFonts w:ascii="Arial Narrow" w:hAnsi="Arial Narrow"/>
          <w:b/>
          <w:sz w:val="20"/>
          <w:szCs w:val="22"/>
        </w:rPr>
        <w:t xml:space="preserve"> prepari</w:t>
      </w:r>
      <w:r w:rsidR="0099196A" w:rsidRPr="0099196A">
        <w:rPr>
          <w:rFonts w:ascii="Arial Narrow" w:hAnsi="Arial Narrow"/>
          <w:b/>
          <w:sz w:val="20"/>
          <w:szCs w:val="22"/>
        </w:rPr>
        <w:t>n</w:t>
      </w:r>
      <w:r w:rsidR="0099196A">
        <w:rPr>
          <w:rFonts w:ascii="Arial Narrow" w:hAnsi="Arial Narrow"/>
          <w:b/>
          <w:sz w:val="20"/>
          <w:szCs w:val="22"/>
        </w:rPr>
        <w:t>g</w:t>
      </w:r>
      <w:r w:rsidR="0099196A" w:rsidRPr="0099196A">
        <w:rPr>
          <w:rFonts w:ascii="Arial Narrow" w:hAnsi="Arial Narrow"/>
          <w:b/>
          <w:sz w:val="20"/>
          <w:szCs w:val="22"/>
        </w:rPr>
        <w:t xml:space="preserve"> for </w:t>
      </w:r>
      <w:r w:rsidR="0099196A">
        <w:rPr>
          <w:rFonts w:ascii="Arial Narrow" w:hAnsi="Arial Narrow"/>
          <w:b/>
          <w:sz w:val="20"/>
          <w:szCs w:val="22"/>
        </w:rPr>
        <w:t xml:space="preserve">a </w:t>
      </w:r>
      <w:r w:rsidR="0099196A" w:rsidRPr="0099196A">
        <w:rPr>
          <w:rFonts w:ascii="Arial Narrow" w:hAnsi="Arial Narrow"/>
          <w:b/>
          <w:sz w:val="20"/>
          <w:szCs w:val="22"/>
        </w:rPr>
        <w:t xml:space="preserve">future review of </w:t>
      </w:r>
      <w:r w:rsidR="0099196A">
        <w:rPr>
          <w:rFonts w:ascii="Arial Narrow" w:hAnsi="Arial Narrow"/>
          <w:b/>
          <w:sz w:val="20"/>
          <w:szCs w:val="22"/>
        </w:rPr>
        <w:t xml:space="preserve">the </w:t>
      </w:r>
      <w:r w:rsidR="0099196A" w:rsidRPr="0099196A">
        <w:rPr>
          <w:rFonts w:ascii="Arial Narrow" w:hAnsi="Arial Narrow"/>
          <w:b/>
          <w:sz w:val="20"/>
          <w:szCs w:val="22"/>
        </w:rPr>
        <w:t>cost-effectiveness of pembrolizumab</w:t>
      </w:r>
    </w:p>
    <w:tbl>
      <w:tblPr>
        <w:tblStyle w:val="TableGrid"/>
        <w:tblW w:w="4558" w:type="pct"/>
        <w:tblInd w:w="817" w:type="dxa"/>
        <w:tblLook w:val="04A0" w:firstRow="1" w:lastRow="0" w:firstColumn="1" w:lastColumn="0" w:noHBand="0" w:noVBand="1"/>
      </w:tblPr>
      <w:tblGrid>
        <w:gridCol w:w="3808"/>
        <w:gridCol w:w="4617"/>
      </w:tblGrid>
      <w:tr w:rsidR="002F75C3" w:rsidRPr="00CF5B43" w:rsidTr="002F75C3">
        <w:tc>
          <w:tcPr>
            <w:tcW w:w="2260" w:type="pct"/>
          </w:tcPr>
          <w:p w:rsidR="002F75C3" w:rsidRPr="00CF5B43" w:rsidRDefault="002F75C3" w:rsidP="006315E7">
            <w:pPr>
              <w:pStyle w:val="PBACHeading1"/>
              <w:numPr>
                <w:ilvl w:val="0"/>
                <w:numId w:val="0"/>
              </w:numPr>
              <w:rPr>
                <w:rFonts w:ascii="Arial Narrow" w:hAnsi="Arial Narrow"/>
                <w:sz w:val="20"/>
                <w:szCs w:val="20"/>
              </w:rPr>
            </w:pPr>
            <w:r w:rsidRPr="00CF5B43">
              <w:rPr>
                <w:rFonts w:ascii="Arial Narrow" w:hAnsi="Arial Narrow"/>
                <w:sz w:val="20"/>
                <w:szCs w:val="20"/>
              </w:rPr>
              <w:t>Uncertainty</w:t>
            </w:r>
          </w:p>
        </w:tc>
        <w:tc>
          <w:tcPr>
            <w:tcW w:w="2740" w:type="pct"/>
          </w:tcPr>
          <w:p w:rsidR="002F75C3" w:rsidRPr="00CF5B43" w:rsidRDefault="002F75C3" w:rsidP="002F75C3">
            <w:pPr>
              <w:pStyle w:val="PBACHeading1"/>
              <w:numPr>
                <w:ilvl w:val="0"/>
                <w:numId w:val="0"/>
              </w:numPr>
              <w:rPr>
                <w:rFonts w:ascii="Arial Narrow" w:hAnsi="Arial Narrow"/>
                <w:sz w:val="20"/>
                <w:szCs w:val="20"/>
              </w:rPr>
            </w:pPr>
            <w:r w:rsidRPr="00CF5B43">
              <w:rPr>
                <w:rFonts w:ascii="Arial Narrow" w:hAnsi="Arial Narrow"/>
                <w:sz w:val="20"/>
                <w:szCs w:val="20"/>
              </w:rPr>
              <w:t>How it will be addressed by MES</w:t>
            </w:r>
          </w:p>
        </w:tc>
      </w:tr>
      <w:tr w:rsidR="002F75C3" w:rsidRPr="00CF5B43" w:rsidTr="002F75C3">
        <w:tc>
          <w:tcPr>
            <w:tcW w:w="2260" w:type="pct"/>
          </w:tcPr>
          <w:p w:rsidR="002F75C3" w:rsidRPr="00CF5B43" w:rsidRDefault="002F75C3"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Magnitude of incremental benefit of pembrolizumab over ipilimumab</w:t>
            </w:r>
          </w:p>
        </w:tc>
        <w:tc>
          <w:tcPr>
            <w:tcW w:w="2740" w:type="pct"/>
          </w:tcPr>
          <w:p w:rsidR="002F75C3" w:rsidRPr="00CF5B43" w:rsidRDefault="002F75C3" w:rsidP="00FC5AA4">
            <w:pPr>
              <w:pStyle w:val="PBACHeading1"/>
              <w:numPr>
                <w:ilvl w:val="0"/>
                <w:numId w:val="0"/>
              </w:numPr>
              <w:rPr>
                <w:rFonts w:ascii="Arial Narrow" w:hAnsi="Arial Narrow"/>
                <w:b w:val="0"/>
                <w:sz w:val="20"/>
                <w:szCs w:val="20"/>
              </w:rPr>
            </w:pPr>
            <w:r w:rsidRPr="00CF5B43">
              <w:rPr>
                <w:rFonts w:ascii="Arial Narrow" w:hAnsi="Arial Narrow"/>
                <w:b w:val="0"/>
                <w:sz w:val="20"/>
                <w:szCs w:val="20"/>
              </w:rPr>
              <w:t>Outcomes from KN-00</w:t>
            </w:r>
            <w:r w:rsidR="00FC5AA4" w:rsidRPr="00CF5B43">
              <w:rPr>
                <w:rFonts w:ascii="Arial Narrow" w:hAnsi="Arial Narrow"/>
                <w:b w:val="0"/>
                <w:sz w:val="20"/>
                <w:szCs w:val="20"/>
              </w:rPr>
              <w:t>6</w:t>
            </w:r>
          </w:p>
        </w:tc>
      </w:tr>
      <w:tr w:rsidR="002F75C3" w:rsidRPr="00CF5B43" w:rsidTr="002F75C3">
        <w:tc>
          <w:tcPr>
            <w:tcW w:w="2260" w:type="pct"/>
          </w:tcPr>
          <w:p w:rsidR="002F75C3" w:rsidRPr="00CF5B43" w:rsidRDefault="002F75C3"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Proportion of patients using ipilimumab after pembrolizumab</w:t>
            </w:r>
          </w:p>
        </w:tc>
        <w:tc>
          <w:tcPr>
            <w:tcW w:w="2740" w:type="pct"/>
          </w:tcPr>
          <w:p w:rsidR="002F75C3" w:rsidRPr="00CF5B43" w:rsidRDefault="002F75C3"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Analysis of post-progression treatment KN-006</w:t>
            </w:r>
          </w:p>
        </w:tc>
      </w:tr>
      <w:tr w:rsidR="002F75C3" w:rsidRPr="00CF5B43" w:rsidTr="002F75C3">
        <w:tc>
          <w:tcPr>
            <w:tcW w:w="2260" w:type="pct"/>
          </w:tcPr>
          <w:p w:rsidR="002F75C3" w:rsidRPr="00CF5B43" w:rsidRDefault="002F75C3"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Preference weights to be applied to health states</w:t>
            </w:r>
          </w:p>
        </w:tc>
        <w:tc>
          <w:tcPr>
            <w:tcW w:w="2740" w:type="pct"/>
          </w:tcPr>
          <w:p w:rsidR="002F75C3" w:rsidRPr="00CF5B43" w:rsidRDefault="002F75C3"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EQ-5D data from KN-006</w:t>
            </w:r>
          </w:p>
        </w:tc>
      </w:tr>
      <w:tr w:rsidR="002F75C3" w:rsidRPr="00CF5B43" w:rsidTr="002F75C3">
        <w:tc>
          <w:tcPr>
            <w:tcW w:w="2260" w:type="pct"/>
          </w:tcPr>
          <w:p w:rsidR="002F75C3" w:rsidRPr="00CF5B43" w:rsidRDefault="002F75C3"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Disease management costs</w:t>
            </w:r>
          </w:p>
        </w:tc>
        <w:tc>
          <w:tcPr>
            <w:tcW w:w="2740" w:type="pct"/>
          </w:tcPr>
          <w:p w:rsidR="002F75C3" w:rsidRPr="00CF5B43" w:rsidRDefault="002F75C3"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INTUITION final analysis; health care resource use collected i</w:t>
            </w:r>
            <w:r w:rsidR="0099196A">
              <w:rPr>
                <w:rFonts w:ascii="Arial Narrow" w:hAnsi="Arial Narrow"/>
                <w:b w:val="0"/>
                <w:sz w:val="20"/>
                <w:szCs w:val="20"/>
              </w:rPr>
              <w:t>n KN-006, clinical expert input</w:t>
            </w:r>
          </w:p>
        </w:tc>
      </w:tr>
      <w:tr w:rsidR="002F75C3" w:rsidRPr="00CF5B43" w:rsidTr="006E5938">
        <w:tc>
          <w:tcPr>
            <w:tcW w:w="2260" w:type="pct"/>
          </w:tcPr>
          <w:p w:rsidR="002F75C3" w:rsidRPr="00CF5B43" w:rsidRDefault="006E5938"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Structure of economic model</w:t>
            </w:r>
          </w:p>
        </w:tc>
        <w:tc>
          <w:tcPr>
            <w:tcW w:w="2740" w:type="pct"/>
          </w:tcPr>
          <w:p w:rsidR="002F75C3" w:rsidRPr="00CF5B43" w:rsidRDefault="006E5938"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Not detailed</w:t>
            </w:r>
          </w:p>
        </w:tc>
      </w:tr>
      <w:tr w:rsidR="006E5938" w:rsidRPr="00CF5B43" w:rsidTr="006E5938">
        <w:tc>
          <w:tcPr>
            <w:tcW w:w="2260" w:type="pct"/>
          </w:tcPr>
          <w:p w:rsidR="006E5938" w:rsidRPr="00CF5B43" w:rsidRDefault="006E5938"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Inputs to calculate ICER</w:t>
            </w:r>
          </w:p>
        </w:tc>
        <w:tc>
          <w:tcPr>
            <w:tcW w:w="2740" w:type="pct"/>
          </w:tcPr>
          <w:p w:rsidR="006E5938" w:rsidRPr="00CF5B43" w:rsidRDefault="006E5938"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Costs over 1</w:t>
            </w:r>
            <w:r w:rsidRPr="00CF5B43">
              <w:rPr>
                <w:rFonts w:ascii="Arial Narrow" w:hAnsi="Arial Narrow"/>
                <w:b w:val="0"/>
                <w:sz w:val="20"/>
                <w:szCs w:val="20"/>
                <w:vertAlign w:val="superscript"/>
              </w:rPr>
              <w:t>st</w:t>
            </w:r>
            <w:r w:rsidRPr="00CF5B43">
              <w:rPr>
                <w:rFonts w:ascii="Arial Narrow" w:hAnsi="Arial Narrow"/>
                <w:b w:val="0"/>
                <w:sz w:val="20"/>
                <w:szCs w:val="20"/>
              </w:rPr>
              <w:t xml:space="preserve"> and 2</w:t>
            </w:r>
            <w:r w:rsidRPr="00CF5B43">
              <w:rPr>
                <w:rFonts w:ascii="Arial Narrow" w:hAnsi="Arial Narrow"/>
                <w:b w:val="0"/>
                <w:sz w:val="20"/>
                <w:szCs w:val="20"/>
                <w:vertAlign w:val="superscript"/>
              </w:rPr>
              <w:t>nd</w:t>
            </w:r>
            <w:r w:rsidRPr="00CF5B43">
              <w:rPr>
                <w:rFonts w:ascii="Arial Narrow" w:hAnsi="Arial Narrow"/>
                <w:b w:val="0"/>
                <w:sz w:val="20"/>
                <w:szCs w:val="20"/>
              </w:rPr>
              <w:t xml:space="preserve"> years of therapy with </w:t>
            </w:r>
            <w:r w:rsidR="00B764EF">
              <w:rPr>
                <w:rFonts w:ascii="Arial Narrow" w:hAnsi="Arial Narrow"/>
                <w:b w:val="0"/>
                <w:noProof/>
                <w:color w:val="000000"/>
                <w:sz w:val="20"/>
                <w:szCs w:val="20"/>
                <w:highlight w:val="black"/>
              </w:rPr>
              <w:t>''''''</w:t>
            </w:r>
            <w:r w:rsidRPr="00CF5B43">
              <w:rPr>
                <w:rFonts w:ascii="Arial Narrow" w:hAnsi="Arial Narrow"/>
                <w:b w:val="0"/>
                <w:sz w:val="20"/>
                <w:szCs w:val="20"/>
              </w:rPr>
              <w:t xml:space="preserve">% discount to costs of pembrolizumab for continuous treatment </w:t>
            </w:r>
            <w:r w:rsidR="00FC5AA4" w:rsidRPr="00CF5B43">
              <w:rPr>
                <w:rFonts w:ascii="Arial Narrow" w:hAnsi="Arial Narrow"/>
                <w:b w:val="0"/>
                <w:sz w:val="20"/>
                <w:szCs w:val="20"/>
              </w:rPr>
              <w:t>of a patient beyond</w:t>
            </w:r>
            <w:r w:rsidRPr="00CF5B43">
              <w:rPr>
                <w:rFonts w:ascii="Arial Narrow" w:hAnsi="Arial Narrow"/>
                <w:b w:val="0"/>
                <w:sz w:val="20"/>
                <w:szCs w:val="20"/>
              </w:rPr>
              <w:t xml:space="preserve"> </w:t>
            </w:r>
            <w:r w:rsidR="00B764EF">
              <w:rPr>
                <w:rFonts w:ascii="Arial Narrow" w:hAnsi="Arial Narrow"/>
                <w:b w:val="0"/>
                <w:noProof/>
                <w:color w:val="000000"/>
                <w:sz w:val="20"/>
                <w:szCs w:val="20"/>
                <w:highlight w:val="black"/>
              </w:rPr>
              <w:t>''''</w:t>
            </w:r>
            <w:r w:rsidRPr="00CF5B43">
              <w:rPr>
                <w:rFonts w:ascii="Arial Narrow" w:hAnsi="Arial Narrow"/>
                <w:b w:val="0"/>
                <w:sz w:val="20"/>
                <w:szCs w:val="20"/>
              </w:rPr>
              <w:t xml:space="preserve"> years</w:t>
            </w:r>
          </w:p>
          <w:p w:rsidR="0099196A" w:rsidRPr="00CF5B43" w:rsidRDefault="006E5938" w:rsidP="0099196A">
            <w:pPr>
              <w:pStyle w:val="PBACHeading1"/>
              <w:numPr>
                <w:ilvl w:val="0"/>
                <w:numId w:val="0"/>
              </w:numPr>
              <w:rPr>
                <w:rFonts w:ascii="Arial Narrow" w:hAnsi="Arial Narrow"/>
                <w:b w:val="0"/>
                <w:sz w:val="20"/>
                <w:szCs w:val="20"/>
              </w:rPr>
            </w:pPr>
            <w:r w:rsidRPr="00CF5B43">
              <w:rPr>
                <w:rFonts w:ascii="Arial Narrow" w:hAnsi="Arial Narrow"/>
                <w:b w:val="0"/>
                <w:sz w:val="20"/>
                <w:szCs w:val="20"/>
              </w:rPr>
              <w:t>Agreed estimate of average duration of therapy, estimate of QALYs gained over ipilimumab and ICER threshold that represents cost effectiveness</w:t>
            </w:r>
          </w:p>
        </w:tc>
      </w:tr>
      <w:tr w:rsidR="006E5938" w:rsidRPr="00CF5B43" w:rsidTr="006E5938">
        <w:tc>
          <w:tcPr>
            <w:tcW w:w="2260" w:type="pct"/>
          </w:tcPr>
          <w:p w:rsidR="006E5938" w:rsidRPr="00CF5B43" w:rsidRDefault="006E5938" w:rsidP="0099196A">
            <w:pPr>
              <w:pStyle w:val="PBACHeading1"/>
              <w:numPr>
                <w:ilvl w:val="0"/>
                <w:numId w:val="0"/>
              </w:numPr>
              <w:rPr>
                <w:rFonts w:ascii="Arial Narrow" w:hAnsi="Arial Narrow"/>
                <w:b w:val="0"/>
                <w:sz w:val="20"/>
                <w:szCs w:val="20"/>
              </w:rPr>
            </w:pPr>
            <w:r w:rsidRPr="00CF5B43">
              <w:rPr>
                <w:rFonts w:ascii="Arial Narrow" w:hAnsi="Arial Narrow"/>
                <w:b w:val="0"/>
                <w:sz w:val="20"/>
                <w:szCs w:val="20"/>
              </w:rPr>
              <w:t>Time point for review of cost-effectiveness</w:t>
            </w:r>
          </w:p>
        </w:tc>
        <w:tc>
          <w:tcPr>
            <w:tcW w:w="2740" w:type="pct"/>
          </w:tcPr>
          <w:p w:rsidR="006E5938" w:rsidRPr="00CF5B43" w:rsidRDefault="006E5938"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Analyses of KN-006 within 2 years of listing</w:t>
            </w:r>
          </w:p>
        </w:tc>
      </w:tr>
      <w:tr w:rsidR="006E5938" w:rsidRPr="00CF5B43" w:rsidTr="006E5938">
        <w:tc>
          <w:tcPr>
            <w:tcW w:w="2260" w:type="pct"/>
          </w:tcPr>
          <w:p w:rsidR="006E5938" w:rsidRPr="00CF5B43" w:rsidRDefault="005A4E04"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Inputs to be provided at time of review</w:t>
            </w:r>
          </w:p>
        </w:tc>
        <w:tc>
          <w:tcPr>
            <w:tcW w:w="2740" w:type="pct"/>
          </w:tcPr>
          <w:p w:rsidR="006E5938" w:rsidRPr="00CF5B43" w:rsidRDefault="005A4E04"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 xml:space="preserve">Final analysis of KN-006 due Q2 2016 including efficacy, safety, medicine use, preference weight (EQ-5D), subgroup analysis, healthcare resources </w:t>
            </w:r>
          </w:p>
        </w:tc>
      </w:tr>
      <w:tr w:rsidR="006E5938" w:rsidRPr="00CF5B43" w:rsidTr="006E5938">
        <w:tc>
          <w:tcPr>
            <w:tcW w:w="2260" w:type="pct"/>
          </w:tcPr>
          <w:p w:rsidR="006E5938" w:rsidRPr="00CF5B43" w:rsidRDefault="005A4E04"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Analysis of PBS data</w:t>
            </w:r>
          </w:p>
        </w:tc>
        <w:tc>
          <w:tcPr>
            <w:tcW w:w="2740" w:type="pct"/>
          </w:tcPr>
          <w:p w:rsidR="006E5938" w:rsidRPr="00CF5B43" w:rsidRDefault="005A4E04"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Utilisation of ipilimumab (including post-progression)</w:t>
            </w:r>
          </w:p>
        </w:tc>
      </w:tr>
      <w:tr w:rsidR="006E5938" w:rsidRPr="00CF5B43" w:rsidTr="006E5938">
        <w:tc>
          <w:tcPr>
            <w:tcW w:w="2260" w:type="pct"/>
          </w:tcPr>
          <w:p w:rsidR="006E5938" w:rsidRPr="00CF5B43" w:rsidRDefault="005A4E04" w:rsidP="0099196A">
            <w:pPr>
              <w:pStyle w:val="PBACHeading1"/>
              <w:numPr>
                <w:ilvl w:val="0"/>
                <w:numId w:val="0"/>
              </w:numPr>
              <w:rPr>
                <w:rFonts w:ascii="Arial Narrow" w:hAnsi="Arial Narrow"/>
                <w:b w:val="0"/>
                <w:sz w:val="20"/>
                <w:szCs w:val="20"/>
              </w:rPr>
            </w:pPr>
            <w:r w:rsidRPr="00CF5B43">
              <w:rPr>
                <w:rFonts w:ascii="Arial Narrow" w:hAnsi="Arial Narrow"/>
                <w:b w:val="0"/>
                <w:sz w:val="20"/>
                <w:szCs w:val="20"/>
              </w:rPr>
              <w:t>Supportive analysis for long</w:t>
            </w:r>
            <w:r w:rsidR="0099196A">
              <w:rPr>
                <w:rFonts w:ascii="Arial Narrow" w:hAnsi="Arial Narrow"/>
                <w:b w:val="0"/>
                <w:sz w:val="20"/>
                <w:szCs w:val="20"/>
              </w:rPr>
              <w:t>-</w:t>
            </w:r>
            <w:r w:rsidRPr="00CF5B43">
              <w:rPr>
                <w:rFonts w:ascii="Arial Narrow" w:hAnsi="Arial Narrow"/>
                <w:b w:val="0"/>
                <w:sz w:val="20"/>
                <w:szCs w:val="20"/>
              </w:rPr>
              <w:t>term predictions of PFS and OS</w:t>
            </w:r>
          </w:p>
        </w:tc>
        <w:tc>
          <w:tcPr>
            <w:tcW w:w="2740" w:type="pct"/>
          </w:tcPr>
          <w:p w:rsidR="006E5938" w:rsidRPr="00CF5B43" w:rsidRDefault="00885049" w:rsidP="006315E7">
            <w:pPr>
              <w:pStyle w:val="PBACHeading1"/>
              <w:numPr>
                <w:ilvl w:val="0"/>
                <w:numId w:val="0"/>
              </w:numPr>
              <w:rPr>
                <w:rFonts w:ascii="Arial Narrow" w:hAnsi="Arial Narrow"/>
                <w:b w:val="0"/>
                <w:sz w:val="20"/>
                <w:szCs w:val="20"/>
              </w:rPr>
            </w:pPr>
            <w:r w:rsidRPr="00CF5B43">
              <w:rPr>
                <w:rFonts w:ascii="Arial Narrow" w:hAnsi="Arial Narrow"/>
                <w:b w:val="0"/>
                <w:sz w:val="20"/>
                <w:szCs w:val="20"/>
              </w:rPr>
              <w:t>KN-001 Part D and Hodi 2010</w:t>
            </w:r>
          </w:p>
        </w:tc>
      </w:tr>
    </w:tbl>
    <w:p w:rsidR="00885049" w:rsidRPr="00CF5B43" w:rsidRDefault="00885049" w:rsidP="00885049">
      <w:pPr>
        <w:pStyle w:val="PBACHeading1"/>
        <w:numPr>
          <w:ilvl w:val="0"/>
          <w:numId w:val="0"/>
        </w:numPr>
        <w:ind w:left="720"/>
        <w:rPr>
          <w:rFonts w:ascii="Arial Narrow" w:hAnsi="Arial Narrow"/>
          <w:b w:val="0"/>
          <w:sz w:val="20"/>
          <w:szCs w:val="20"/>
        </w:rPr>
      </w:pPr>
      <w:r w:rsidRPr="00CF5B43">
        <w:rPr>
          <w:rFonts w:ascii="Arial Narrow" w:hAnsi="Arial Narrow"/>
          <w:b w:val="0"/>
          <w:sz w:val="20"/>
          <w:szCs w:val="20"/>
        </w:rPr>
        <w:lastRenderedPageBreak/>
        <w:t>S</w:t>
      </w:r>
      <w:r w:rsidR="00DD2317">
        <w:rPr>
          <w:rFonts w:ascii="Arial Narrow" w:hAnsi="Arial Narrow"/>
          <w:b w:val="0"/>
          <w:sz w:val="20"/>
          <w:szCs w:val="20"/>
        </w:rPr>
        <w:t>ource: PSCR, Attachment 1, p5-7</w:t>
      </w:r>
    </w:p>
    <w:p w:rsidR="00885049" w:rsidRPr="00FC5AA4" w:rsidRDefault="00885049" w:rsidP="00FC5AA4">
      <w:pPr>
        <w:pStyle w:val="PBACHeading1"/>
        <w:numPr>
          <w:ilvl w:val="0"/>
          <w:numId w:val="0"/>
        </w:numPr>
        <w:ind w:left="720" w:hanging="720"/>
        <w:rPr>
          <w:b w:val="0"/>
        </w:rPr>
      </w:pPr>
    </w:p>
    <w:p w:rsidR="008A6BDD" w:rsidRPr="00CF5B43" w:rsidRDefault="008A6BDD" w:rsidP="008A6BDD">
      <w:pPr>
        <w:pStyle w:val="ListParagraph"/>
        <w:widowControl/>
        <w:numPr>
          <w:ilvl w:val="1"/>
          <w:numId w:val="1"/>
        </w:numPr>
        <w:rPr>
          <w:szCs w:val="22"/>
        </w:rPr>
      </w:pPr>
      <w:r w:rsidRPr="00CF5B43">
        <w:t>The ESC considered that the proposed managed entry scheme should be built around t</w:t>
      </w:r>
      <w:r w:rsidR="00FC5AA4" w:rsidRPr="00CF5B43">
        <w:t>he</w:t>
      </w:r>
      <w:r w:rsidRPr="00CF5B43">
        <w:t xml:space="preserve"> ongoing randomised</w:t>
      </w:r>
      <w:r w:rsidR="00FC5AA4" w:rsidRPr="00CF5B43">
        <w:t>,</w:t>
      </w:r>
      <w:r w:rsidRPr="00CF5B43">
        <w:t xml:space="preserve"> controlled, therapeutic confirmatory </w:t>
      </w:r>
      <w:r w:rsidR="00FC5AA4" w:rsidRPr="00CF5B43">
        <w:t xml:space="preserve">multi-centre </w:t>
      </w:r>
      <w:r w:rsidRPr="00CF5B43">
        <w:t>trial</w:t>
      </w:r>
      <w:r w:rsidR="00FC5AA4" w:rsidRPr="00CF5B43">
        <w:t xml:space="preserve"> </w:t>
      </w:r>
      <w:r w:rsidRPr="00CF5B43">
        <w:t>in ipilimumab</w:t>
      </w:r>
      <w:r w:rsidR="00645745" w:rsidRPr="00CF5B43">
        <w:t>-</w:t>
      </w:r>
      <w:r w:rsidR="00FC5AA4" w:rsidRPr="00CF5B43">
        <w:t>naïve</w:t>
      </w:r>
      <w:r w:rsidRPr="00CF5B43">
        <w:t xml:space="preserve"> patients (</w:t>
      </w:r>
      <w:r w:rsidR="0099196A" w:rsidRPr="00CF5B43">
        <w:t>KN-006</w:t>
      </w:r>
      <w:r w:rsidR="0099196A">
        <w:t>)</w:t>
      </w:r>
      <w:r w:rsidRPr="00CF5B43">
        <w:t xml:space="preserve"> with </w:t>
      </w:r>
      <w:r w:rsidR="0099196A">
        <w:t xml:space="preserve">its </w:t>
      </w:r>
      <w:r w:rsidR="00FC5AA4" w:rsidRPr="00CF5B43">
        <w:t xml:space="preserve">stated </w:t>
      </w:r>
      <w:r w:rsidRPr="00CF5B43">
        <w:t>co-primary endpoints of progression-free survival and overall survival.</w:t>
      </w:r>
    </w:p>
    <w:p w:rsidR="00A05E64" w:rsidRPr="00975603" w:rsidRDefault="00A05E64" w:rsidP="00A05E64"/>
    <w:p w:rsidR="00A05E64" w:rsidRPr="00975603" w:rsidRDefault="00A05E64" w:rsidP="00A05E64">
      <w:pPr>
        <w:pStyle w:val="ListParagraph"/>
        <w:widowControl/>
        <w:numPr>
          <w:ilvl w:val="1"/>
          <w:numId w:val="1"/>
        </w:numPr>
        <w:rPr>
          <w:szCs w:val="22"/>
        </w:rPr>
      </w:pPr>
      <w:r w:rsidRPr="00975603">
        <w:t xml:space="preserve">The MES proposal in the pre-PBAC response set out an initial listing </w:t>
      </w:r>
      <w:r>
        <w:t xml:space="preserve">and an initial </w:t>
      </w:r>
      <w:r w:rsidRPr="00975603">
        <w:t>price</w:t>
      </w:r>
      <w:r>
        <w:t>,</w:t>
      </w:r>
      <w:r w:rsidRPr="00975603">
        <w:t xml:space="preserve"> followed by a </w:t>
      </w:r>
      <w:r w:rsidR="009F6C92">
        <w:t xml:space="preserve">proposed </w:t>
      </w:r>
      <w:r w:rsidRPr="00975603">
        <w:t>review of new evidence from the completed KN-006 trial and associated revised economic modelling to determine any revision to the initial listing and price.</w:t>
      </w:r>
    </w:p>
    <w:p w:rsidR="00A05E64" w:rsidRPr="00975603" w:rsidRDefault="00A05E64" w:rsidP="00A05E64">
      <w:pPr>
        <w:rPr>
          <w:szCs w:val="22"/>
        </w:rPr>
      </w:pPr>
    </w:p>
    <w:p w:rsidR="00A05E64" w:rsidRPr="00975603" w:rsidRDefault="00A05E64" w:rsidP="00A05E64">
      <w:pPr>
        <w:pStyle w:val="ListParagraph"/>
        <w:widowControl/>
        <w:numPr>
          <w:ilvl w:val="1"/>
          <w:numId w:val="1"/>
        </w:numPr>
        <w:rPr>
          <w:szCs w:val="22"/>
        </w:rPr>
      </w:pPr>
      <w:r>
        <w:t>T</w:t>
      </w:r>
      <w:r w:rsidRPr="00975603">
        <w:t xml:space="preserve">he pre-PBAC response indicated that the initial price would include an uncertainty discount, calculated by using a sensitivity analysis with a less favourable outcome giving an ICER of </w:t>
      </w:r>
      <w:r w:rsidR="00B314B6">
        <w:t xml:space="preserve">$75,000/QALY - $105,000/QALY </w:t>
      </w:r>
      <w:r w:rsidRPr="00975603">
        <w:t xml:space="preserve">(using the requested ex-manufacturer price of pembrolizumab), and reducing the initial pembrolizumab price so that this less favourable ICER equalled </w:t>
      </w:r>
      <w:r w:rsidR="0099196A">
        <w:t>its</w:t>
      </w:r>
      <w:r w:rsidRPr="00975603">
        <w:t xml:space="preserve"> corresponding base case ICER of </w:t>
      </w:r>
      <w:r w:rsidR="00B314B6" w:rsidRPr="00B314B6">
        <w:t>$45,000/QALY - $75,000/QALY</w:t>
      </w:r>
      <w:r w:rsidRPr="00975603">
        <w:t>.</w:t>
      </w:r>
    </w:p>
    <w:p w:rsidR="00A05E64" w:rsidRPr="00975603" w:rsidRDefault="00A05E64" w:rsidP="00A05E64">
      <w:pPr>
        <w:widowControl/>
        <w:rPr>
          <w:szCs w:val="22"/>
        </w:rPr>
      </w:pPr>
    </w:p>
    <w:p w:rsidR="00A05E64" w:rsidRPr="00975603" w:rsidRDefault="00A05E64" w:rsidP="00A05E64">
      <w:pPr>
        <w:pStyle w:val="ListParagraph"/>
        <w:widowControl/>
        <w:numPr>
          <w:ilvl w:val="1"/>
          <w:numId w:val="1"/>
        </w:numPr>
        <w:rPr>
          <w:szCs w:val="22"/>
        </w:rPr>
      </w:pPr>
      <w:r>
        <w:rPr>
          <w:szCs w:val="22"/>
        </w:rPr>
        <w:t xml:space="preserve">For the </w:t>
      </w:r>
      <w:r w:rsidRPr="00975603">
        <w:rPr>
          <w:szCs w:val="22"/>
        </w:rPr>
        <w:t>reconsideration of new evidence and modelling generated during the MES period</w:t>
      </w:r>
      <w:r>
        <w:rPr>
          <w:szCs w:val="22"/>
        </w:rPr>
        <w:t>, t</w:t>
      </w:r>
      <w:r w:rsidRPr="00975603">
        <w:rPr>
          <w:szCs w:val="22"/>
        </w:rPr>
        <w:t xml:space="preserve">he pre-PBAC response </w:t>
      </w:r>
      <w:r>
        <w:rPr>
          <w:szCs w:val="22"/>
        </w:rPr>
        <w:t xml:space="preserve">indicated </w:t>
      </w:r>
      <w:r w:rsidRPr="00975603">
        <w:rPr>
          <w:szCs w:val="22"/>
        </w:rPr>
        <w:t xml:space="preserve">that </w:t>
      </w:r>
      <w:r>
        <w:rPr>
          <w:szCs w:val="22"/>
        </w:rPr>
        <w:t xml:space="preserve">it </w:t>
      </w:r>
      <w:r w:rsidRPr="00975603">
        <w:rPr>
          <w:szCs w:val="22"/>
        </w:rPr>
        <w:t>would a) not apply the uncertainty discount and b) apply a retrospective price adjustment.  The PBAC rejected the proposal for any subsequent higher price to apply retrospectively, noting that this would not be consistent with the intent of the MES framework.</w:t>
      </w:r>
    </w:p>
    <w:p w:rsidR="00A05E64" w:rsidRPr="00975603" w:rsidRDefault="00A05E64" w:rsidP="00A05E64">
      <w:pPr>
        <w:widowControl/>
        <w:rPr>
          <w:szCs w:val="22"/>
        </w:rPr>
      </w:pPr>
    </w:p>
    <w:p w:rsidR="00A05E64" w:rsidRDefault="00A05E64" w:rsidP="00A05E64">
      <w:pPr>
        <w:pStyle w:val="ListParagraph"/>
        <w:widowControl/>
        <w:numPr>
          <w:ilvl w:val="1"/>
          <w:numId w:val="1"/>
        </w:numPr>
        <w:rPr>
          <w:szCs w:val="22"/>
        </w:rPr>
      </w:pPr>
      <w:r w:rsidRPr="00975603">
        <w:rPr>
          <w:szCs w:val="22"/>
        </w:rPr>
        <w:t xml:space="preserve">The PBAC considered that the pivotal clinical uncertainty to be addressed in the MES was the magnitude of life extension </w:t>
      </w:r>
      <w:r>
        <w:rPr>
          <w:szCs w:val="22"/>
        </w:rPr>
        <w:t xml:space="preserve">that would be gained </w:t>
      </w:r>
      <w:r w:rsidRPr="00975603">
        <w:rPr>
          <w:szCs w:val="22"/>
        </w:rPr>
        <w:t xml:space="preserve">in addition to the expected quality of life improvement </w:t>
      </w:r>
      <w:r w:rsidR="00FE54FC">
        <w:rPr>
          <w:szCs w:val="22"/>
        </w:rPr>
        <w:t xml:space="preserve">that would be </w:t>
      </w:r>
      <w:r w:rsidRPr="00975603">
        <w:rPr>
          <w:szCs w:val="22"/>
        </w:rPr>
        <w:t xml:space="preserve">gained through delays in disease progression.  </w:t>
      </w:r>
      <w:r>
        <w:rPr>
          <w:szCs w:val="22"/>
        </w:rPr>
        <w:t>T</w:t>
      </w:r>
      <w:r w:rsidRPr="00975603">
        <w:rPr>
          <w:szCs w:val="22"/>
        </w:rPr>
        <w:t>he PBAC agreed with the ESC that</w:t>
      </w:r>
      <w:r>
        <w:rPr>
          <w:szCs w:val="22"/>
        </w:rPr>
        <w:t>, when it is completed,</w:t>
      </w:r>
      <w:r w:rsidRPr="00975603">
        <w:rPr>
          <w:szCs w:val="22"/>
        </w:rPr>
        <w:t xml:space="preserve"> the KN-006 trial </w:t>
      </w:r>
      <w:r>
        <w:rPr>
          <w:szCs w:val="22"/>
        </w:rPr>
        <w:t>would offer</w:t>
      </w:r>
      <w:r w:rsidRPr="00975603">
        <w:rPr>
          <w:szCs w:val="22"/>
        </w:rPr>
        <w:t xml:space="preserve"> the most rigorous basis</w:t>
      </w:r>
      <w:r>
        <w:rPr>
          <w:szCs w:val="22"/>
        </w:rPr>
        <w:t xml:space="preserve"> to address this uncertainty</w:t>
      </w:r>
      <w:r w:rsidRPr="00975603">
        <w:rPr>
          <w:szCs w:val="22"/>
        </w:rPr>
        <w:t xml:space="preserve">.  </w:t>
      </w:r>
      <w:r>
        <w:rPr>
          <w:szCs w:val="22"/>
        </w:rPr>
        <w:t>However, t</w:t>
      </w:r>
      <w:r w:rsidRPr="00975603">
        <w:rPr>
          <w:szCs w:val="22"/>
        </w:rPr>
        <w:t>he PBAC noted that</w:t>
      </w:r>
      <w:r>
        <w:rPr>
          <w:szCs w:val="22"/>
        </w:rPr>
        <w:t xml:space="preserve"> </w:t>
      </w:r>
      <w:r w:rsidRPr="00975603">
        <w:rPr>
          <w:szCs w:val="22"/>
        </w:rPr>
        <w:t xml:space="preserve">the post-progression results of </w:t>
      </w:r>
      <w:r>
        <w:rPr>
          <w:szCs w:val="22"/>
        </w:rPr>
        <w:t xml:space="preserve">the completed </w:t>
      </w:r>
      <w:r w:rsidRPr="00975603">
        <w:rPr>
          <w:szCs w:val="22"/>
        </w:rPr>
        <w:t xml:space="preserve">KN-006 trial might be contaminated by patients either withdrawing from the trial to receive post-trial pembrolizumab or by patients switching to other therapies for melanoma.  </w:t>
      </w:r>
      <w:r>
        <w:rPr>
          <w:szCs w:val="22"/>
        </w:rPr>
        <w:t xml:space="preserve">Given this </w:t>
      </w:r>
      <w:r w:rsidRPr="00975603">
        <w:rPr>
          <w:szCs w:val="22"/>
        </w:rPr>
        <w:t>risk of contamination, the PBAC advised that the clinical and economic evaluation</w:t>
      </w:r>
      <w:r>
        <w:rPr>
          <w:szCs w:val="22"/>
        </w:rPr>
        <w:t>s</w:t>
      </w:r>
      <w:r w:rsidRPr="00975603">
        <w:rPr>
          <w:szCs w:val="22"/>
        </w:rPr>
        <w:t xml:space="preserve"> </w:t>
      </w:r>
      <w:r>
        <w:rPr>
          <w:szCs w:val="22"/>
        </w:rPr>
        <w:t>using</w:t>
      </w:r>
      <w:r w:rsidRPr="00975603">
        <w:rPr>
          <w:szCs w:val="22"/>
        </w:rPr>
        <w:t xml:space="preserve"> the completed KN-006 </w:t>
      </w:r>
      <w:r>
        <w:rPr>
          <w:szCs w:val="22"/>
        </w:rPr>
        <w:t xml:space="preserve">trial </w:t>
      </w:r>
      <w:r w:rsidRPr="00975603">
        <w:rPr>
          <w:szCs w:val="22"/>
        </w:rPr>
        <w:t xml:space="preserve">should be based on the standard ITT analysis.  The PBAC considered that the survival analysis should not be adjusted to account for contamination </w:t>
      </w:r>
      <w:r>
        <w:rPr>
          <w:szCs w:val="22"/>
        </w:rPr>
        <w:t xml:space="preserve">because the Committee </w:t>
      </w:r>
      <w:r w:rsidRPr="00975603">
        <w:rPr>
          <w:szCs w:val="22"/>
        </w:rPr>
        <w:t xml:space="preserve">was not convinced that adjustment methods could be relied upon, even if </w:t>
      </w:r>
      <w:r>
        <w:rPr>
          <w:szCs w:val="22"/>
        </w:rPr>
        <w:t xml:space="preserve">they are </w:t>
      </w:r>
      <w:r w:rsidRPr="00975603">
        <w:rPr>
          <w:szCs w:val="22"/>
        </w:rPr>
        <w:t>prespecified.</w:t>
      </w:r>
    </w:p>
    <w:p w:rsidR="00A05E64" w:rsidRPr="008140AB" w:rsidRDefault="00A05E64" w:rsidP="00A05E64">
      <w:pPr>
        <w:rPr>
          <w:szCs w:val="22"/>
        </w:rPr>
      </w:pPr>
    </w:p>
    <w:p w:rsidR="00A05E64" w:rsidRPr="00975603" w:rsidRDefault="009F6C92" w:rsidP="00A05E64">
      <w:pPr>
        <w:pStyle w:val="ListParagraph"/>
        <w:widowControl/>
        <w:numPr>
          <w:ilvl w:val="1"/>
          <w:numId w:val="1"/>
        </w:numPr>
        <w:rPr>
          <w:szCs w:val="22"/>
        </w:rPr>
      </w:pPr>
      <w:r>
        <w:rPr>
          <w:szCs w:val="22"/>
        </w:rPr>
        <w:t xml:space="preserve">The PBAC considered that </w:t>
      </w:r>
      <w:r w:rsidRPr="00975603">
        <w:rPr>
          <w:szCs w:val="22"/>
        </w:rPr>
        <w:t xml:space="preserve">because of fundamental problems with the </w:t>
      </w:r>
      <w:r>
        <w:rPr>
          <w:szCs w:val="22"/>
        </w:rPr>
        <w:t xml:space="preserve">versions of the </w:t>
      </w:r>
      <w:r w:rsidRPr="00975603">
        <w:rPr>
          <w:szCs w:val="22"/>
        </w:rPr>
        <w:t xml:space="preserve">model </w:t>
      </w:r>
      <w:r>
        <w:rPr>
          <w:szCs w:val="22"/>
        </w:rPr>
        <w:t xml:space="preserve">submitted to form the basis of an initial price </w:t>
      </w:r>
      <w:r w:rsidRPr="00975603">
        <w:rPr>
          <w:szCs w:val="22"/>
        </w:rPr>
        <w:t xml:space="preserve">(see </w:t>
      </w:r>
      <w:r>
        <w:rPr>
          <w:szCs w:val="22"/>
        </w:rPr>
        <w:t xml:space="preserve">paragraph </w:t>
      </w:r>
      <w:r w:rsidRPr="00CA498A">
        <w:rPr>
          <w:szCs w:val="22"/>
        </w:rPr>
        <w:t>7.18</w:t>
      </w:r>
      <w:r>
        <w:rPr>
          <w:szCs w:val="22"/>
        </w:rPr>
        <w:t xml:space="preserve"> below</w:t>
      </w:r>
      <w:r w:rsidRPr="00975603">
        <w:rPr>
          <w:szCs w:val="22"/>
        </w:rPr>
        <w:t>)</w:t>
      </w:r>
      <w:r>
        <w:rPr>
          <w:szCs w:val="22"/>
        </w:rPr>
        <w:t xml:space="preserve">, </w:t>
      </w:r>
      <w:r w:rsidRPr="00975603">
        <w:rPr>
          <w:szCs w:val="22"/>
        </w:rPr>
        <w:t xml:space="preserve">the economic model </w:t>
      </w:r>
      <w:r>
        <w:rPr>
          <w:szCs w:val="22"/>
        </w:rPr>
        <w:t xml:space="preserve">to be presented at the end of the MES </w:t>
      </w:r>
      <w:r w:rsidRPr="00975603">
        <w:rPr>
          <w:szCs w:val="22"/>
        </w:rPr>
        <w:t>using the</w:t>
      </w:r>
      <w:r>
        <w:rPr>
          <w:szCs w:val="22"/>
        </w:rPr>
        <w:t xml:space="preserve"> completed KN-006</w:t>
      </w:r>
      <w:r w:rsidRPr="00975603">
        <w:rPr>
          <w:szCs w:val="22"/>
        </w:rPr>
        <w:t xml:space="preserve"> trial data </w:t>
      </w:r>
      <w:r>
        <w:rPr>
          <w:szCs w:val="22"/>
        </w:rPr>
        <w:t>should be substantially modified.</w:t>
      </w:r>
    </w:p>
    <w:p w:rsidR="00A05E64" w:rsidRPr="00975603" w:rsidRDefault="00A05E64" w:rsidP="00A05E64">
      <w:pPr>
        <w:rPr>
          <w:szCs w:val="22"/>
        </w:rPr>
      </w:pPr>
    </w:p>
    <w:p w:rsidR="00A05E64" w:rsidRPr="00975603" w:rsidRDefault="00A05E64" w:rsidP="00A05E64">
      <w:pPr>
        <w:pStyle w:val="ListParagraph"/>
        <w:widowControl/>
        <w:numPr>
          <w:ilvl w:val="1"/>
          <w:numId w:val="1"/>
        </w:numPr>
        <w:tabs>
          <w:tab w:val="left" w:pos="6804"/>
        </w:tabs>
        <w:rPr>
          <w:szCs w:val="22"/>
        </w:rPr>
      </w:pPr>
      <w:r w:rsidRPr="00975603">
        <w:rPr>
          <w:szCs w:val="22"/>
        </w:rPr>
        <w:t xml:space="preserve">The PBAC </w:t>
      </w:r>
      <w:r>
        <w:rPr>
          <w:szCs w:val="22"/>
        </w:rPr>
        <w:t xml:space="preserve">therefore </w:t>
      </w:r>
      <w:r w:rsidR="00FE54FC">
        <w:rPr>
          <w:szCs w:val="22"/>
        </w:rPr>
        <w:t xml:space="preserve">was not satisfied with </w:t>
      </w:r>
      <w:r w:rsidRPr="00975603">
        <w:rPr>
          <w:szCs w:val="22"/>
        </w:rPr>
        <w:t xml:space="preserve">the MES proposed in the submission, and instead proposed </w:t>
      </w:r>
      <w:r>
        <w:rPr>
          <w:szCs w:val="22"/>
        </w:rPr>
        <w:t xml:space="preserve">a modified MES </w:t>
      </w:r>
      <w:r w:rsidRPr="00975603">
        <w:rPr>
          <w:szCs w:val="22"/>
        </w:rPr>
        <w:t>which would address the uncertainty related to the magnitude of clinical benefit</w:t>
      </w:r>
      <w:r>
        <w:rPr>
          <w:szCs w:val="22"/>
        </w:rPr>
        <w:t>.  The PBAC agreed that the modified MES scheme</w:t>
      </w:r>
      <w:r w:rsidRPr="00975603">
        <w:rPr>
          <w:szCs w:val="22"/>
        </w:rPr>
        <w:t xml:space="preserve"> would provide early access to ipilimumab-naïve patients for whom there is a high clinical need.</w:t>
      </w:r>
    </w:p>
    <w:p w:rsidR="00996117" w:rsidRDefault="00996117" w:rsidP="00D61CCA">
      <w:pPr>
        <w:widowControl/>
        <w:jc w:val="left"/>
        <w:rPr>
          <w:b/>
          <w:i/>
          <w:szCs w:val="22"/>
        </w:rPr>
      </w:pPr>
    </w:p>
    <w:p w:rsidR="00A05E64" w:rsidRPr="008B4087" w:rsidRDefault="00A05E64" w:rsidP="00D61CCA">
      <w:pPr>
        <w:widowControl/>
        <w:jc w:val="left"/>
        <w:rPr>
          <w:b/>
          <w:i/>
          <w:szCs w:val="22"/>
        </w:rPr>
      </w:pPr>
      <w:r w:rsidRPr="008B4087">
        <w:rPr>
          <w:b/>
          <w:i/>
          <w:szCs w:val="22"/>
        </w:rPr>
        <w:lastRenderedPageBreak/>
        <w:t>PBAC</w:t>
      </w:r>
      <w:r>
        <w:rPr>
          <w:b/>
          <w:i/>
          <w:szCs w:val="22"/>
        </w:rPr>
        <w:t>-</w:t>
      </w:r>
      <w:r w:rsidRPr="008B4087">
        <w:rPr>
          <w:b/>
          <w:i/>
          <w:szCs w:val="22"/>
        </w:rPr>
        <w:t>proposed MES</w:t>
      </w:r>
    </w:p>
    <w:p w:rsidR="00A05E64" w:rsidRPr="00975603" w:rsidRDefault="00A05E64" w:rsidP="00A05E64">
      <w:pPr>
        <w:rPr>
          <w:szCs w:val="22"/>
        </w:rPr>
      </w:pPr>
    </w:p>
    <w:p w:rsidR="00A05E64" w:rsidRPr="00975603" w:rsidRDefault="00A05E64" w:rsidP="00A05E64">
      <w:pPr>
        <w:pStyle w:val="ListParagraph"/>
        <w:widowControl/>
        <w:numPr>
          <w:ilvl w:val="1"/>
          <w:numId w:val="1"/>
        </w:numPr>
        <w:rPr>
          <w:szCs w:val="22"/>
        </w:rPr>
      </w:pPr>
      <w:r w:rsidRPr="00975603">
        <w:rPr>
          <w:szCs w:val="22"/>
        </w:rPr>
        <w:t>The PBAC considered that the MES for pembrolizumab should be guided by the following.</w:t>
      </w:r>
    </w:p>
    <w:p w:rsidR="00A05E64" w:rsidRPr="00975603" w:rsidRDefault="00A05E64" w:rsidP="00A05E64">
      <w:pPr>
        <w:pStyle w:val="ListParagraph"/>
        <w:widowControl/>
        <w:numPr>
          <w:ilvl w:val="0"/>
          <w:numId w:val="27"/>
        </w:numPr>
        <w:rPr>
          <w:szCs w:val="22"/>
        </w:rPr>
      </w:pPr>
      <w:r w:rsidRPr="00975603">
        <w:rPr>
          <w:szCs w:val="22"/>
        </w:rPr>
        <w:t xml:space="preserve">The initial price of pembrolizumab </w:t>
      </w:r>
      <w:r>
        <w:rPr>
          <w:szCs w:val="22"/>
        </w:rPr>
        <w:t xml:space="preserve">for PBS listing </w:t>
      </w:r>
      <w:r w:rsidRPr="00975603">
        <w:rPr>
          <w:szCs w:val="22"/>
        </w:rPr>
        <w:t xml:space="preserve">would be determined on the basis of </w:t>
      </w:r>
      <w:r w:rsidR="00904114">
        <w:rPr>
          <w:szCs w:val="22"/>
        </w:rPr>
        <w:t xml:space="preserve">the current cost per patient to the PBS of ipilimumab at its </w:t>
      </w:r>
      <w:r w:rsidRPr="00975603">
        <w:rPr>
          <w:szCs w:val="22"/>
        </w:rPr>
        <w:t xml:space="preserve">effective price.  </w:t>
      </w:r>
      <w:r>
        <w:rPr>
          <w:szCs w:val="22"/>
        </w:rPr>
        <w:t>Rather than a direct price reduction, t</w:t>
      </w:r>
      <w:r w:rsidRPr="00975603">
        <w:rPr>
          <w:szCs w:val="22"/>
        </w:rPr>
        <w:t xml:space="preserve">his would be achieved by setting the RSA expenditure caps for pembrolizumab with reference to the average cost of ipilimumab per patient using </w:t>
      </w:r>
      <w:r>
        <w:rPr>
          <w:szCs w:val="22"/>
        </w:rPr>
        <w:t xml:space="preserve">appropriate historical </w:t>
      </w:r>
      <w:r w:rsidRPr="00975603">
        <w:rPr>
          <w:szCs w:val="22"/>
        </w:rPr>
        <w:t>PBS dispensing data, and the revised utilisation estimates based on current ipilimumab utilisation via the PBS</w:t>
      </w:r>
      <w:r>
        <w:rPr>
          <w:szCs w:val="22"/>
        </w:rPr>
        <w:t xml:space="preserve">.  These data indicated that approximately </w:t>
      </w:r>
      <w:r w:rsidR="002C5596">
        <w:rPr>
          <w:noProof/>
          <w:color w:val="000000"/>
          <w:szCs w:val="22"/>
          <w:highlight w:val="black"/>
        </w:rPr>
        <w:t>''''''''''</w:t>
      </w:r>
      <w:r>
        <w:rPr>
          <w:szCs w:val="22"/>
        </w:rPr>
        <w:t xml:space="preserve"> patients have commenced ipilimumab each year, with an average of </w:t>
      </w:r>
      <w:r w:rsidR="002C5596">
        <w:rPr>
          <w:noProof/>
          <w:color w:val="000000"/>
          <w:szCs w:val="22"/>
          <w:highlight w:val="black"/>
        </w:rPr>
        <w:t xml:space="preserve">''''''' </w:t>
      </w:r>
      <w:r>
        <w:rPr>
          <w:szCs w:val="22"/>
        </w:rPr>
        <w:t xml:space="preserve">induction doses per patient, with approximately </w:t>
      </w:r>
      <w:r w:rsidR="002C5596">
        <w:rPr>
          <w:noProof/>
          <w:color w:val="000000"/>
          <w:szCs w:val="22"/>
          <w:highlight w:val="black"/>
        </w:rPr>
        <w:t>'''</w:t>
      </w:r>
      <w:r w:rsidRPr="002C5596">
        <w:rPr>
          <w:szCs w:val="22"/>
        </w:rPr>
        <w:t>%</w:t>
      </w:r>
      <w:r>
        <w:rPr>
          <w:szCs w:val="22"/>
        </w:rPr>
        <w:t xml:space="preserve"> of these patients having undergone reinduction therapy with ipilimumab.</w:t>
      </w:r>
      <w:r w:rsidRPr="00975603">
        <w:rPr>
          <w:szCs w:val="22"/>
        </w:rPr>
        <w:t xml:space="preserve">  The annual percentage increases in utilisation after </w:t>
      </w:r>
      <w:r w:rsidRPr="00533014">
        <w:rPr>
          <w:szCs w:val="22"/>
        </w:rPr>
        <w:t xml:space="preserve">the first year would be calculated as described in the submission (see </w:t>
      </w:r>
      <w:r w:rsidR="00D627FC" w:rsidRPr="00533014">
        <w:rPr>
          <w:szCs w:val="22"/>
        </w:rPr>
        <w:t xml:space="preserve">table after </w:t>
      </w:r>
      <w:r w:rsidR="00533014" w:rsidRPr="00533014">
        <w:rPr>
          <w:szCs w:val="22"/>
        </w:rPr>
        <w:t xml:space="preserve">paragraph </w:t>
      </w:r>
      <w:r w:rsidRPr="00533014">
        <w:rPr>
          <w:szCs w:val="22"/>
        </w:rPr>
        <w:t>6.6</w:t>
      </w:r>
      <w:r w:rsidR="00AE6998" w:rsidRPr="00533014">
        <w:rPr>
          <w:szCs w:val="22"/>
        </w:rPr>
        <w:t>5</w:t>
      </w:r>
      <w:r>
        <w:rPr>
          <w:szCs w:val="22"/>
        </w:rPr>
        <w:t xml:space="preserve"> above)</w:t>
      </w:r>
      <w:r w:rsidRPr="00975603">
        <w:rPr>
          <w:szCs w:val="22"/>
        </w:rPr>
        <w:t xml:space="preserve">.  Any annual pembrolizumab expenditure beyond these caps should be rebated </w:t>
      </w:r>
      <w:r w:rsidR="00112B75">
        <w:rPr>
          <w:noProof/>
          <w:color w:val="000000"/>
          <w:szCs w:val="22"/>
          <w:highlight w:val="black"/>
        </w:rPr>
        <w:t>'''''''''</w:t>
      </w:r>
      <w:r w:rsidRPr="00975603">
        <w:rPr>
          <w:szCs w:val="22"/>
        </w:rPr>
        <w:t>% to the Commonwealth</w:t>
      </w:r>
      <w:r>
        <w:rPr>
          <w:szCs w:val="22"/>
        </w:rPr>
        <w:t xml:space="preserve"> to generate the reduced effective price to apply from </w:t>
      </w:r>
      <w:r w:rsidR="00BF23CB">
        <w:rPr>
          <w:szCs w:val="22"/>
        </w:rPr>
        <w:t xml:space="preserve">initial listing until such time as it might change at the end of </w:t>
      </w:r>
      <w:r>
        <w:rPr>
          <w:szCs w:val="22"/>
        </w:rPr>
        <w:t>the MES</w:t>
      </w:r>
      <w:r w:rsidRPr="00975603">
        <w:rPr>
          <w:szCs w:val="22"/>
        </w:rPr>
        <w:t>.</w:t>
      </w:r>
    </w:p>
    <w:p w:rsidR="00A05E64" w:rsidRPr="00975603" w:rsidRDefault="00A05E64" w:rsidP="00A05E64">
      <w:pPr>
        <w:pStyle w:val="ListParagraph"/>
        <w:widowControl/>
        <w:numPr>
          <w:ilvl w:val="0"/>
          <w:numId w:val="27"/>
        </w:numPr>
        <w:rPr>
          <w:szCs w:val="22"/>
        </w:rPr>
      </w:pPr>
      <w:r w:rsidRPr="00975603">
        <w:rPr>
          <w:szCs w:val="22"/>
        </w:rPr>
        <w:t>The review of new evidence should be provided as soon as possible (and expected to be within two years) after maximal follow-up of the KN-006 trial, noting that the final analysis of OS for this trial is expected to report in the second quarter of 2016.</w:t>
      </w:r>
    </w:p>
    <w:p w:rsidR="00A05E64" w:rsidRPr="00975603" w:rsidRDefault="00A05E64" w:rsidP="00A05E64">
      <w:pPr>
        <w:pStyle w:val="ListParagraph"/>
        <w:widowControl/>
        <w:numPr>
          <w:ilvl w:val="0"/>
          <w:numId w:val="27"/>
        </w:numPr>
        <w:rPr>
          <w:szCs w:val="22"/>
        </w:rPr>
      </w:pPr>
      <w:r w:rsidRPr="00975603">
        <w:rPr>
          <w:szCs w:val="22"/>
        </w:rPr>
        <w:t xml:space="preserve">The clinical evaluation for KN-006 should formally report both PFS </w:t>
      </w:r>
      <w:r w:rsidR="000E29A7">
        <w:rPr>
          <w:szCs w:val="22"/>
        </w:rPr>
        <w:t xml:space="preserve">(using RECIST 1.1 and irRC) </w:t>
      </w:r>
      <w:r w:rsidRPr="00975603">
        <w:rPr>
          <w:szCs w:val="22"/>
        </w:rPr>
        <w:t>and OS using the standard graphics of Kaplan-Meier curves, and with standard reporting of results (log rank p-values, hazard ratios with 95% confidence intervals, medians, difference in medians, etc.).</w:t>
      </w:r>
    </w:p>
    <w:p w:rsidR="00A05E64" w:rsidRPr="00975603" w:rsidRDefault="00A05E64" w:rsidP="00A05E64">
      <w:pPr>
        <w:pStyle w:val="ListParagraph"/>
        <w:widowControl/>
        <w:numPr>
          <w:ilvl w:val="0"/>
          <w:numId w:val="27"/>
        </w:numPr>
        <w:rPr>
          <w:szCs w:val="22"/>
        </w:rPr>
      </w:pPr>
      <w:r w:rsidRPr="00975603">
        <w:rPr>
          <w:szCs w:val="22"/>
        </w:rPr>
        <w:t xml:space="preserve">The economic evaluation based on KN-006 should directly use the Kaplan-Meier curves observed </w:t>
      </w:r>
      <w:r>
        <w:rPr>
          <w:szCs w:val="22"/>
        </w:rPr>
        <w:t xml:space="preserve">based on individual patient data </w:t>
      </w:r>
      <w:r w:rsidRPr="00975603">
        <w:rPr>
          <w:szCs w:val="22"/>
        </w:rPr>
        <w:t xml:space="preserve">from the trial to estimate incremental PFS and incremental OS up to the median duration of follow-up across the two arms compared in the clinical evaluation, and then </w:t>
      </w:r>
      <w:r>
        <w:rPr>
          <w:szCs w:val="22"/>
        </w:rPr>
        <w:t>apply</w:t>
      </w:r>
      <w:r w:rsidRPr="00975603">
        <w:rPr>
          <w:szCs w:val="22"/>
        </w:rPr>
        <w:t xml:space="preserve"> extrapolation modelling for both arms for PFS and OS curves from this time point, i.e. no statistical adjustments should be used to account for differential use of post-progression therapies.</w:t>
      </w:r>
    </w:p>
    <w:p w:rsidR="00A05E64" w:rsidRPr="00975603" w:rsidRDefault="00A05E64" w:rsidP="00A05E64">
      <w:pPr>
        <w:pStyle w:val="ListParagraph"/>
        <w:widowControl/>
        <w:numPr>
          <w:ilvl w:val="0"/>
          <w:numId w:val="27"/>
        </w:numPr>
        <w:rPr>
          <w:szCs w:val="22"/>
        </w:rPr>
      </w:pPr>
      <w:r w:rsidRPr="00975603">
        <w:rPr>
          <w:szCs w:val="22"/>
        </w:rPr>
        <w:t>The PBAC considered the following aspects of the model also needed to be applied for the economic evaluation based on data from the completed KN-006</w:t>
      </w:r>
      <w:r>
        <w:rPr>
          <w:szCs w:val="22"/>
        </w:rPr>
        <w:t xml:space="preserve"> trial</w:t>
      </w:r>
      <w:r w:rsidRPr="00975603">
        <w:rPr>
          <w:szCs w:val="22"/>
        </w:rPr>
        <w:t>.</w:t>
      </w:r>
    </w:p>
    <w:p w:rsidR="00A05E64" w:rsidRPr="00975603" w:rsidRDefault="00A05E64" w:rsidP="00A05E64">
      <w:pPr>
        <w:pStyle w:val="ListParagraph"/>
        <w:widowControl/>
        <w:numPr>
          <w:ilvl w:val="1"/>
          <w:numId w:val="27"/>
        </w:numPr>
        <w:ind w:left="1418"/>
        <w:rPr>
          <w:szCs w:val="22"/>
        </w:rPr>
      </w:pPr>
      <w:r w:rsidRPr="00975603">
        <w:rPr>
          <w:szCs w:val="22"/>
        </w:rPr>
        <w:t xml:space="preserve">The time horizon </w:t>
      </w:r>
      <w:r>
        <w:rPr>
          <w:szCs w:val="22"/>
        </w:rPr>
        <w:t xml:space="preserve">of the model </w:t>
      </w:r>
      <w:r w:rsidRPr="00975603">
        <w:rPr>
          <w:szCs w:val="22"/>
        </w:rPr>
        <w:t>to remain at 5 years.</w:t>
      </w:r>
    </w:p>
    <w:p w:rsidR="00A05E64" w:rsidRPr="00975603" w:rsidRDefault="00A05E64" w:rsidP="00A05E64">
      <w:pPr>
        <w:pStyle w:val="ListParagraph"/>
        <w:widowControl/>
        <w:numPr>
          <w:ilvl w:val="1"/>
          <w:numId w:val="27"/>
        </w:numPr>
        <w:ind w:left="1418"/>
        <w:rPr>
          <w:szCs w:val="22"/>
        </w:rPr>
      </w:pPr>
      <w:r w:rsidRPr="00975603">
        <w:rPr>
          <w:szCs w:val="22"/>
        </w:rPr>
        <w:t>The best fit extrapolated curves for both PFS and OS beyond the overall me</w:t>
      </w:r>
      <w:r>
        <w:rPr>
          <w:szCs w:val="22"/>
        </w:rPr>
        <w:t>di</w:t>
      </w:r>
      <w:r w:rsidRPr="00975603">
        <w:rPr>
          <w:szCs w:val="22"/>
        </w:rPr>
        <w:t>an duration of follow-up of the trial to be structured to converge at 5 years (rather than either 10 years or 40 years).</w:t>
      </w:r>
    </w:p>
    <w:p w:rsidR="00A05E64" w:rsidRPr="00975603" w:rsidRDefault="00A05E64" w:rsidP="00A05E64">
      <w:pPr>
        <w:pStyle w:val="ListParagraph"/>
        <w:widowControl/>
        <w:numPr>
          <w:ilvl w:val="1"/>
          <w:numId w:val="27"/>
        </w:numPr>
        <w:ind w:left="1418"/>
        <w:rPr>
          <w:szCs w:val="22"/>
        </w:rPr>
      </w:pPr>
      <w:r w:rsidRPr="00975603">
        <w:rPr>
          <w:szCs w:val="22"/>
        </w:rPr>
        <w:t>The effective price of ipilimumab to be used.</w:t>
      </w:r>
    </w:p>
    <w:p w:rsidR="00A05E64" w:rsidRPr="00975603" w:rsidRDefault="00A05E64" w:rsidP="00A05E64">
      <w:pPr>
        <w:pStyle w:val="ListParagraph"/>
        <w:widowControl/>
        <w:numPr>
          <w:ilvl w:val="1"/>
          <w:numId w:val="27"/>
        </w:numPr>
        <w:ind w:left="1418"/>
        <w:rPr>
          <w:szCs w:val="22"/>
        </w:rPr>
      </w:pPr>
      <w:r w:rsidRPr="00975603">
        <w:rPr>
          <w:szCs w:val="22"/>
        </w:rPr>
        <w:t xml:space="preserve">The dispensed price for maximum quantity of pembrolizumab to be back-calculated to result in the proposed ICER of </w:t>
      </w:r>
      <w:r w:rsidR="00AD3A2D">
        <w:rPr>
          <w:szCs w:val="22"/>
        </w:rPr>
        <w:t xml:space="preserve">$45,000/QALY - $75,000/QALY </w:t>
      </w:r>
      <w:r w:rsidRPr="00975603">
        <w:rPr>
          <w:szCs w:val="22"/>
        </w:rPr>
        <w:t xml:space="preserve">as per the base case in the pre-PBAC response (corresponding to </w:t>
      </w:r>
      <w:r w:rsidR="00AD3A2D">
        <w:rPr>
          <w:szCs w:val="22"/>
        </w:rPr>
        <w:t xml:space="preserve">$45,000/QALY - $75,000/QALY </w:t>
      </w:r>
      <w:r w:rsidRPr="00975603">
        <w:rPr>
          <w:szCs w:val="22"/>
        </w:rPr>
        <w:t>on p7, but using dispensed prices).</w:t>
      </w:r>
    </w:p>
    <w:p w:rsidR="00A05E64" w:rsidRPr="00975603" w:rsidRDefault="00A05E64" w:rsidP="00A05E64">
      <w:pPr>
        <w:pStyle w:val="ListParagraph"/>
        <w:widowControl/>
        <w:numPr>
          <w:ilvl w:val="1"/>
          <w:numId w:val="27"/>
        </w:numPr>
        <w:ind w:left="1418"/>
        <w:rPr>
          <w:szCs w:val="22"/>
        </w:rPr>
      </w:pPr>
      <w:r w:rsidRPr="00975603">
        <w:rPr>
          <w:szCs w:val="22"/>
        </w:rPr>
        <w:t>The dose to be 2 mg/kg Q3W, or the price reduced accordingly if the recommended dose or administration frequency has been revised upwards for any reason.</w:t>
      </w:r>
    </w:p>
    <w:p w:rsidR="00A05E64" w:rsidRPr="00975603" w:rsidRDefault="00A05E64" w:rsidP="00A05E64">
      <w:pPr>
        <w:pStyle w:val="ListParagraph"/>
        <w:widowControl/>
        <w:numPr>
          <w:ilvl w:val="1"/>
          <w:numId w:val="27"/>
        </w:numPr>
        <w:ind w:left="1418"/>
        <w:rPr>
          <w:szCs w:val="22"/>
        </w:rPr>
      </w:pPr>
      <w:r w:rsidRPr="00975603">
        <w:rPr>
          <w:szCs w:val="22"/>
        </w:rPr>
        <w:lastRenderedPageBreak/>
        <w:t>The mean duration of pembrolizumab therapy in the model to reflect the mean PFS in the model based on the observed data with best-fit extrapolation.</w:t>
      </w:r>
    </w:p>
    <w:p w:rsidR="00A05E64" w:rsidRPr="00975603" w:rsidRDefault="00A05E64" w:rsidP="00A05E64">
      <w:pPr>
        <w:pStyle w:val="ListParagraph"/>
        <w:widowControl/>
        <w:numPr>
          <w:ilvl w:val="1"/>
          <w:numId w:val="27"/>
        </w:numPr>
        <w:ind w:left="1418"/>
        <w:rPr>
          <w:szCs w:val="22"/>
        </w:rPr>
      </w:pPr>
      <w:r w:rsidRPr="00975603">
        <w:rPr>
          <w:szCs w:val="22"/>
        </w:rPr>
        <w:t>The utilities for the progression free health state and the progressed health state in the base case to be justified and fully examined in sensitivity analyses</w:t>
      </w:r>
      <w:r>
        <w:rPr>
          <w:szCs w:val="22"/>
        </w:rPr>
        <w:t>, noting the proposal in the pre-PBAC response to rely on EQ-5D data from KN-006, but without any details of how complete these data would be, nor how they would be used to generate utilities for the model’s progression-free and post-progression health states</w:t>
      </w:r>
      <w:r w:rsidRPr="00975603">
        <w:rPr>
          <w:szCs w:val="22"/>
        </w:rPr>
        <w:t>.</w:t>
      </w:r>
    </w:p>
    <w:p w:rsidR="00A05E64" w:rsidRPr="00975603" w:rsidRDefault="00A05E64" w:rsidP="00A05E64">
      <w:pPr>
        <w:pStyle w:val="ListParagraph"/>
        <w:widowControl/>
        <w:numPr>
          <w:ilvl w:val="1"/>
          <w:numId w:val="27"/>
        </w:numPr>
        <w:ind w:left="1418"/>
        <w:rPr>
          <w:szCs w:val="22"/>
        </w:rPr>
      </w:pPr>
      <w:r w:rsidRPr="00975603">
        <w:rPr>
          <w:szCs w:val="22"/>
        </w:rPr>
        <w:t xml:space="preserve">Adverse event profiles to be based on those reported in KN-006, </w:t>
      </w:r>
      <w:r>
        <w:rPr>
          <w:szCs w:val="22"/>
        </w:rPr>
        <w:t xml:space="preserve">with costing of adverse events to avoid the potential for double-counting when being </w:t>
      </w:r>
      <w:r w:rsidRPr="00975603">
        <w:rPr>
          <w:szCs w:val="22"/>
        </w:rPr>
        <w:t>adjusted for the cost of providing associated healthcare resources relevant to Australia.</w:t>
      </w:r>
    </w:p>
    <w:p w:rsidR="00A05E64" w:rsidRPr="00975603" w:rsidRDefault="00A05E64" w:rsidP="00A05E64">
      <w:pPr>
        <w:widowControl/>
        <w:rPr>
          <w:szCs w:val="22"/>
        </w:rPr>
      </w:pPr>
    </w:p>
    <w:p w:rsidR="00A05E64" w:rsidRPr="00975603" w:rsidRDefault="00A05E64" w:rsidP="00A05E64">
      <w:pPr>
        <w:pStyle w:val="ListParagraph"/>
        <w:widowControl/>
        <w:numPr>
          <w:ilvl w:val="1"/>
          <w:numId w:val="1"/>
        </w:numPr>
        <w:rPr>
          <w:szCs w:val="22"/>
        </w:rPr>
      </w:pPr>
      <w:r w:rsidRPr="00975603">
        <w:rPr>
          <w:szCs w:val="22"/>
        </w:rPr>
        <w:t xml:space="preserve">The PBAC foreshadowed that, in the event that this model resulted in revising the pembrolizumab price, the Committee would consider </w:t>
      </w:r>
      <w:r w:rsidR="00D627FC">
        <w:rPr>
          <w:szCs w:val="22"/>
        </w:rPr>
        <w:t>re</w:t>
      </w:r>
      <w:r w:rsidRPr="00975603">
        <w:rPr>
          <w:szCs w:val="22"/>
        </w:rPr>
        <w:t>taining a risk-share arrangement with caps reflecting the duration of pembrolizumab therapy as determined by the trial-based duration of progression-free survival.  This is because the PBAC was concerned that progression-defining events would not be assessed as rigorously or as frequently in routine clinical practice as they were in KN-006.  The PBAC also noted that, irrespective of the wording of the PBS restriction, pembrolizumab may be continued in the setting of disease progression.</w:t>
      </w:r>
    </w:p>
    <w:p w:rsidR="00A05E64" w:rsidRPr="00975603" w:rsidRDefault="00A05E64" w:rsidP="00A05E64">
      <w:pPr>
        <w:widowControl/>
        <w:rPr>
          <w:szCs w:val="22"/>
        </w:rPr>
      </w:pPr>
    </w:p>
    <w:p w:rsidR="00A05E64" w:rsidRDefault="00A05E64" w:rsidP="00A05E64">
      <w:pPr>
        <w:pStyle w:val="ListParagraph"/>
        <w:widowControl/>
        <w:numPr>
          <w:ilvl w:val="1"/>
          <w:numId w:val="1"/>
        </w:numPr>
        <w:rPr>
          <w:szCs w:val="22"/>
        </w:rPr>
      </w:pPr>
      <w:r w:rsidRPr="00975603">
        <w:rPr>
          <w:szCs w:val="22"/>
        </w:rPr>
        <w:t>The PBAC noted that the listing of pembrolizumab before the completion of data collection for ipilimumab would reduce confidence in these data for ipilimumab.  Similarly, the PBAC noted that the</w:t>
      </w:r>
      <w:r>
        <w:rPr>
          <w:szCs w:val="22"/>
        </w:rPr>
        <w:t>re are currently</w:t>
      </w:r>
      <w:r w:rsidRPr="00975603">
        <w:rPr>
          <w:szCs w:val="22"/>
        </w:rPr>
        <w:t xml:space="preserve"> many ongoing trials in malignant melanoma examining different doses and different durations of therapy, and different combinations and different sequences of medicines, and so considered it possible that any MES for pembrolizumab may be similarly affected by likely future changes in </w:t>
      </w:r>
      <w:r>
        <w:rPr>
          <w:szCs w:val="22"/>
        </w:rPr>
        <w:t>clinical</w:t>
      </w:r>
      <w:r w:rsidRPr="00975603">
        <w:rPr>
          <w:szCs w:val="22"/>
        </w:rPr>
        <w:t xml:space="preserve"> practice.</w:t>
      </w:r>
    </w:p>
    <w:p w:rsidR="00CC4450" w:rsidRPr="00CC4450" w:rsidRDefault="00CC4450" w:rsidP="00CC4450">
      <w:pPr>
        <w:rPr>
          <w:szCs w:val="22"/>
        </w:rPr>
      </w:pPr>
    </w:p>
    <w:p w:rsidR="00CC4450" w:rsidRPr="00CC4450" w:rsidRDefault="00CC4450" w:rsidP="00CC4450">
      <w:pPr>
        <w:pStyle w:val="ListParagraph"/>
        <w:widowControl/>
        <w:numPr>
          <w:ilvl w:val="1"/>
          <w:numId w:val="1"/>
        </w:numPr>
        <w:rPr>
          <w:szCs w:val="22"/>
        </w:rPr>
      </w:pPr>
      <w:r>
        <w:rPr>
          <w:szCs w:val="22"/>
        </w:rPr>
        <w:t>Consistent with its previous managed entry scheme considerations, the PBAC advised that:</w:t>
      </w:r>
    </w:p>
    <w:p w:rsidR="00CC4450" w:rsidRDefault="00CC4450" w:rsidP="00CC4450">
      <w:pPr>
        <w:pStyle w:val="ListParagraph"/>
        <w:widowControl/>
        <w:numPr>
          <w:ilvl w:val="0"/>
          <w:numId w:val="27"/>
        </w:numPr>
        <w:rPr>
          <w:szCs w:val="22"/>
        </w:rPr>
      </w:pPr>
      <w:r>
        <w:rPr>
          <w:szCs w:val="22"/>
        </w:rPr>
        <w:t>the MES arrangements for pembrolizumab would need to be formalised in the Deed of Agreement established for the purposes of PBS listing</w:t>
      </w:r>
    </w:p>
    <w:p w:rsidR="00CC4450" w:rsidRDefault="00CC4450" w:rsidP="00CC4450">
      <w:pPr>
        <w:pStyle w:val="ListParagraph"/>
        <w:widowControl/>
        <w:numPr>
          <w:ilvl w:val="0"/>
          <w:numId w:val="27"/>
        </w:numPr>
        <w:rPr>
          <w:szCs w:val="22"/>
        </w:rPr>
      </w:pPr>
      <w:r>
        <w:rPr>
          <w:szCs w:val="22"/>
        </w:rPr>
        <w:t>the nature of these arrangements should be made public, particularly to inform affected patients, prescribers and competing sponsors</w:t>
      </w:r>
    </w:p>
    <w:p w:rsidR="00CC4450" w:rsidRPr="00975603" w:rsidRDefault="00CC4450" w:rsidP="00CC4450">
      <w:pPr>
        <w:pStyle w:val="ListParagraph"/>
        <w:widowControl/>
        <w:numPr>
          <w:ilvl w:val="0"/>
          <w:numId w:val="27"/>
        </w:numPr>
        <w:rPr>
          <w:szCs w:val="22"/>
        </w:rPr>
      </w:pPr>
      <w:r>
        <w:rPr>
          <w:szCs w:val="22"/>
        </w:rPr>
        <w:t>any other unexpected but relevant developments emerging before its consideration of the completed KN-006 trial data and associated modelling, such as unexpected safety signals, would be considered according to usual PBAC processes.</w:t>
      </w:r>
    </w:p>
    <w:p w:rsidR="00885049" w:rsidRPr="00FC5AA4" w:rsidRDefault="00885049" w:rsidP="006315E7"/>
    <w:p w:rsidR="00655B06" w:rsidRPr="00655B06" w:rsidRDefault="00655B06" w:rsidP="00655B06">
      <w:pPr>
        <w:pStyle w:val="PBACHeading1"/>
        <w:numPr>
          <w:ilvl w:val="0"/>
          <w:numId w:val="0"/>
        </w:numPr>
        <w:ind w:firstLine="720"/>
        <w:rPr>
          <w:b w:val="0"/>
          <w:i/>
        </w:rPr>
      </w:pPr>
      <w:r w:rsidRPr="00655B06">
        <w:rPr>
          <w:b w:val="0"/>
          <w:i/>
        </w:rPr>
        <w:t>For more detail on PBAC’s view, see section 7 “PBAC outcome”</w:t>
      </w:r>
    </w:p>
    <w:p w:rsidR="006315E7" w:rsidRPr="003C7D01" w:rsidRDefault="006315E7" w:rsidP="003C7D01">
      <w:pPr>
        <w:widowControl/>
        <w:rPr>
          <w:szCs w:val="22"/>
        </w:rPr>
      </w:pPr>
    </w:p>
    <w:p w:rsidR="00205AA5" w:rsidRPr="00C301DD" w:rsidRDefault="00205AA5">
      <w:pPr>
        <w:widowControl/>
        <w:jc w:val="left"/>
        <w:rPr>
          <w:bCs/>
          <w:szCs w:val="22"/>
        </w:rPr>
      </w:pPr>
    </w:p>
    <w:p w:rsidR="00655B06" w:rsidRPr="00882085" w:rsidRDefault="00EC4B80" w:rsidP="00655B06">
      <w:pPr>
        <w:pStyle w:val="PBACHeading1"/>
        <w:rPr>
          <w:b w:val="0"/>
        </w:rPr>
      </w:pPr>
      <w:r>
        <w:t>PBAC Outcome</w:t>
      </w:r>
    </w:p>
    <w:p w:rsidR="00A05E64" w:rsidRPr="00975603" w:rsidRDefault="00A05E64" w:rsidP="00A05E64">
      <w:pPr>
        <w:rPr>
          <w:szCs w:val="22"/>
        </w:rPr>
      </w:pPr>
    </w:p>
    <w:p w:rsidR="00A05E64" w:rsidRPr="00975603" w:rsidRDefault="00A05E64" w:rsidP="00A05E64">
      <w:pPr>
        <w:pStyle w:val="ListParagraph"/>
        <w:widowControl/>
        <w:numPr>
          <w:ilvl w:val="1"/>
          <w:numId w:val="1"/>
        </w:numPr>
        <w:rPr>
          <w:szCs w:val="22"/>
        </w:rPr>
      </w:pPr>
      <w:r w:rsidRPr="00975603">
        <w:rPr>
          <w:szCs w:val="22"/>
        </w:rPr>
        <w:t>The PBAC recommended an Authority required listing of pembrolizumab, for the monotherapy treatment of patients with unresectable stage III or metastatic (stage IV) malignant melanoma</w:t>
      </w:r>
      <w:r w:rsidR="00904114">
        <w:rPr>
          <w:szCs w:val="22"/>
        </w:rPr>
        <w:t>,</w:t>
      </w:r>
      <w:r w:rsidRPr="00975603">
        <w:rPr>
          <w:szCs w:val="22"/>
        </w:rPr>
        <w:t xml:space="preserve"> </w:t>
      </w:r>
      <w:r w:rsidR="00D601BD">
        <w:rPr>
          <w:szCs w:val="22"/>
        </w:rPr>
        <w:t xml:space="preserve">with an initial risk share arrangement </w:t>
      </w:r>
      <w:r w:rsidR="00904114">
        <w:rPr>
          <w:szCs w:val="22"/>
        </w:rPr>
        <w:t xml:space="preserve">to achieve the same </w:t>
      </w:r>
      <w:r w:rsidRPr="00975603">
        <w:rPr>
          <w:szCs w:val="22"/>
        </w:rPr>
        <w:t xml:space="preserve">cost </w:t>
      </w:r>
      <w:r w:rsidRPr="00975603">
        <w:rPr>
          <w:szCs w:val="22"/>
        </w:rPr>
        <w:lastRenderedPageBreak/>
        <w:t>per patient to the PBS</w:t>
      </w:r>
      <w:r w:rsidR="00904114">
        <w:rPr>
          <w:szCs w:val="22"/>
        </w:rPr>
        <w:t xml:space="preserve"> as is currently the case for</w:t>
      </w:r>
      <w:r w:rsidR="00904114" w:rsidRPr="00975603">
        <w:rPr>
          <w:szCs w:val="22"/>
        </w:rPr>
        <w:t xml:space="preserve"> ipilimumab</w:t>
      </w:r>
      <w:r w:rsidR="00904114">
        <w:rPr>
          <w:szCs w:val="22"/>
        </w:rPr>
        <w:t xml:space="preserve">, </w:t>
      </w:r>
      <w:r>
        <w:rPr>
          <w:szCs w:val="22"/>
        </w:rPr>
        <w:t xml:space="preserve">to </w:t>
      </w:r>
      <w:r w:rsidR="00904114">
        <w:rPr>
          <w:szCs w:val="22"/>
        </w:rPr>
        <w:t xml:space="preserve">thus give a </w:t>
      </w:r>
      <w:r>
        <w:rPr>
          <w:szCs w:val="22"/>
        </w:rPr>
        <w:t>reduce</w:t>
      </w:r>
      <w:r w:rsidR="00904114">
        <w:rPr>
          <w:szCs w:val="22"/>
        </w:rPr>
        <w:t>d</w:t>
      </w:r>
      <w:r>
        <w:rPr>
          <w:szCs w:val="22"/>
        </w:rPr>
        <w:t xml:space="preserve"> effective price of pembrolizumab</w:t>
      </w:r>
      <w:r w:rsidRPr="00975603">
        <w:rPr>
          <w:szCs w:val="22"/>
        </w:rPr>
        <w:t>.</w:t>
      </w:r>
    </w:p>
    <w:p w:rsidR="00A05E64" w:rsidRPr="00975603" w:rsidRDefault="00A05E64" w:rsidP="00A05E64">
      <w:pPr>
        <w:widowControl/>
        <w:rPr>
          <w:szCs w:val="22"/>
        </w:rPr>
      </w:pPr>
    </w:p>
    <w:p w:rsidR="00A05E64" w:rsidRPr="00975603" w:rsidRDefault="00A05E64" w:rsidP="00A05E64">
      <w:pPr>
        <w:pStyle w:val="ListParagraph"/>
        <w:widowControl/>
        <w:numPr>
          <w:ilvl w:val="1"/>
          <w:numId w:val="1"/>
        </w:numPr>
        <w:rPr>
          <w:szCs w:val="22"/>
        </w:rPr>
      </w:pPr>
      <w:r w:rsidRPr="00975603">
        <w:rPr>
          <w:szCs w:val="22"/>
        </w:rPr>
        <w:t>The PBAC recommended that PBS listing should be limited to patients who have not been exposed to ipilimumab, noting that in a proposal received after the pre-PBAC response, the sponsor has undertaken to subsidise ongoing access to pembrolizumab for patients who are refractory to ipilimumab.  The PBAC recommended that this undertaking should apply to all Australian patients who become refractory to ipilimumab at any time in the future, and should remain in place for as long as pembrolizumab</w:t>
      </w:r>
      <w:r>
        <w:rPr>
          <w:szCs w:val="22"/>
        </w:rPr>
        <w:t xml:space="preserve"> is needed</w:t>
      </w:r>
      <w:r w:rsidRPr="00975603">
        <w:rPr>
          <w:szCs w:val="22"/>
        </w:rPr>
        <w:t xml:space="preserve"> for these patients.  Failure to extend the sponsor’s undertaking in this way would inequitably create a group of patients who would neither be eligible for PBS subsidy (ipilimumab-naïve only), nor have access to pembrolizumab through other means.  The PBAC also noted that patients in the sponsor’s existing compassionate use program would have to be accommodated in these new arrangements (depending on whether or not they are refractory to ipilimumab).  The PBAC noted that consumer comments indicated there was a high clinical need for pembrolizumab in patients who are refractory to ipilimumab.  The PBAC also noted that the medicine is </w:t>
      </w:r>
      <w:r>
        <w:rPr>
          <w:szCs w:val="22"/>
        </w:rPr>
        <w:t xml:space="preserve">proposed for </w:t>
      </w:r>
      <w:r w:rsidRPr="00975603">
        <w:rPr>
          <w:szCs w:val="22"/>
        </w:rPr>
        <w:t>regist</w:t>
      </w:r>
      <w:r>
        <w:rPr>
          <w:szCs w:val="22"/>
        </w:rPr>
        <w:t>ration</w:t>
      </w:r>
      <w:r w:rsidRPr="00975603">
        <w:rPr>
          <w:szCs w:val="22"/>
        </w:rPr>
        <w:t xml:space="preserve"> </w:t>
      </w:r>
      <w:r>
        <w:rPr>
          <w:szCs w:val="22"/>
        </w:rPr>
        <w:t xml:space="preserve">in Australia </w:t>
      </w:r>
      <w:r w:rsidRPr="00975603">
        <w:rPr>
          <w:szCs w:val="22"/>
        </w:rPr>
        <w:t>for use in this group of patients.</w:t>
      </w:r>
    </w:p>
    <w:p w:rsidR="00A05E64" w:rsidRPr="00975603" w:rsidRDefault="00A05E64" w:rsidP="00A05E64">
      <w:pPr>
        <w:rPr>
          <w:szCs w:val="22"/>
        </w:rPr>
      </w:pPr>
    </w:p>
    <w:p w:rsidR="00A05E64" w:rsidRPr="00975603" w:rsidRDefault="00A05E64" w:rsidP="00A05E64">
      <w:pPr>
        <w:pStyle w:val="ListParagraph"/>
        <w:widowControl/>
        <w:numPr>
          <w:ilvl w:val="1"/>
          <w:numId w:val="1"/>
        </w:numPr>
        <w:rPr>
          <w:szCs w:val="22"/>
        </w:rPr>
      </w:pPr>
      <w:r w:rsidRPr="00975603">
        <w:rPr>
          <w:szCs w:val="22"/>
        </w:rPr>
        <w:t>The PBAC supported the sponsor’s request (affirmed at the hearing) that, for patients with a BRAF mutation, PBS listing of pembrolizumab should follow progression with appropriate dabrafenib therapy (combined with trametinib after trametinib is listed).  This is because a comparison across the available trials suggests greater response rates and prolonged median progression-free survival for these cheaper targeted therapies over the immune therapies.  The PBAC was informed at the hearing that ongoing trials are comparing different sequence options and that this positioning will be reviewed once these trials are completed.</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 xml:space="preserve">The PBAC recalled that, in November 2014, it had noted the clinical need and importance of early access to new medicines for melanoma patients and so recommended listing via a managed entry scheme (MES).  The PBAC was satisfied that based on early data on some endpoints, pembrolizumab appears more effective than ipilimumab.  However the size of the incremental treatment effect is still uncertain, particularly for OS.  This uncertainty is the </w:t>
      </w:r>
      <w:r>
        <w:rPr>
          <w:szCs w:val="22"/>
        </w:rPr>
        <w:t xml:space="preserve">reason for </w:t>
      </w:r>
      <w:r w:rsidRPr="00975603">
        <w:rPr>
          <w:szCs w:val="22"/>
        </w:rPr>
        <w:t>the MES.</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In making its recommendation, the PBAC considered that data from the clinical trials presented was reassuring</w:t>
      </w:r>
      <w:r w:rsidR="00E22837">
        <w:rPr>
          <w:szCs w:val="22"/>
        </w:rPr>
        <w:t xml:space="preserve">. </w:t>
      </w:r>
      <w:r w:rsidRPr="00975603">
        <w:rPr>
          <w:szCs w:val="22"/>
        </w:rPr>
        <w:t xml:space="preserve"> </w:t>
      </w:r>
      <w:r w:rsidR="00E22837">
        <w:rPr>
          <w:szCs w:val="22"/>
        </w:rPr>
        <w:t>H</w:t>
      </w:r>
      <w:r w:rsidRPr="00975603">
        <w:rPr>
          <w:szCs w:val="22"/>
        </w:rPr>
        <w:t>owever</w:t>
      </w:r>
      <w:r w:rsidR="00E22837">
        <w:rPr>
          <w:szCs w:val="22"/>
        </w:rPr>
        <w:t>,</w:t>
      </w:r>
      <w:r w:rsidRPr="00975603">
        <w:rPr>
          <w:szCs w:val="22"/>
        </w:rPr>
        <w:t xml:space="preserve"> the extent of benefit and costs of pembrolizumab therapy modelled from the comparison of results of selected subgroups from </w:t>
      </w:r>
      <w:r>
        <w:rPr>
          <w:szCs w:val="22"/>
        </w:rPr>
        <w:t xml:space="preserve">the </w:t>
      </w:r>
      <w:r w:rsidRPr="00975603">
        <w:rPr>
          <w:szCs w:val="22"/>
        </w:rPr>
        <w:t>KN</w:t>
      </w:r>
      <w:r w:rsidR="00BF3730">
        <w:rPr>
          <w:szCs w:val="22"/>
        </w:rPr>
        <w:t>-</w:t>
      </w:r>
      <w:r w:rsidRPr="00975603">
        <w:rPr>
          <w:szCs w:val="22"/>
        </w:rPr>
        <w:t xml:space="preserve">001 </w:t>
      </w:r>
      <w:r>
        <w:rPr>
          <w:szCs w:val="22"/>
        </w:rPr>
        <w:t>trial</w:t>
      </w:r>
      <w:r w:rsidRPr="00975603">
        <w:rPr>
          <w:szCs w:val="22"/>
        </w:rPr>
        <w:t xml:space="preserve"> of pembrolizumab with the Hodi 2010 published trial of ipilimumab were not convincingly shown to align with the more rigorous early results from the randomised KN</w:t>
      </w:r>
      <w:r w:rsidR="00BF3730">
        <w:rPr>
          <w:szCs w:val="22"/>
        </w:rPr>
        <w:t>-</w:t>
      </w:r>
      <w:r w:rsidRPr="00975603">
        <w:rPr>
          <w:szCs w:val="22"/>
        </w:rPr>
        <w:t xml:space="preserve">006 </w:t>
      </w:r>
      <w:r>
        <w:rPr>
          <w:szCs w:val="22"/>
        </w:rPr>
        <w:t xml:space="preserve">trial </w:t>
      </w:r>
      <w:r w:rsidRPr="00975603">
        <w:rPr>
          <w:szCs w:val="22"/>
        </w:rPr>
        <w:t xml:space="preserve">directly comparing these two therapies in ipilimumab-naïve patients. </w:t>
      </w:r>
      <w:r w:rsidR="00BF3730">
        <w:rPr>
          <w:szCs w:val="22"/>
        </w:rPr>
        <w:t xml:space="preserve"> </w:t>
      </w:r>
      <w:r w:rsidRPr="00975603">
        <w:rPr>
          <w:szCs w:val="22"/>
        </w:rPr>
        <w:t xml:space="preserve">The sponsor has provided reassurances that more robust evidence will be forthcoming in the foreseeable future to better inform its modelling, and the PBAC has proposed a plan to review this evidence within two years, to make sure patients receiving medicines on the PBS are being treated according to the best available evidence and that the cost of pembrolizumab can be justified in terms of acceptable cost-effectiveness. </w:t>
      </w:r>
      <w:r w:rsidR="00BF3730">
        <w:rPr>
          <w:szCs w:val="22"/>
        </w:rPr>
        <w:t xml:space="preserve"> </w:t>
      </w:r>
      <w:r w:rsidRPr="00975603">
        <w:rPr>
          <w:szCs w:val="22"/>
        </w:rPr>
        <w:t>Should the modelled extent of benefits not be realised, the Committee has recommended measures to minimise risk of unjustified health care expenditure.</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submission’s nominated comparator of ipilimumab was considered to be appropriate, especially given that the request to also list pembrolizumab for ipilimumab-refractory patients had been withdrawn in the PSCR and this had been affirmed in the pre-PBAC response.</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 xml:space="preserve">The PBAC </w:t>
      </w:r>
      <w:r>
        <w:rPr>
          <w:szCs w:val="22"/>
        </w:rPr>
        <w:t xml:space="preserve">were concerned that the </w:t>
      </w:r>
      <w:r w:rsidRPr="00975603">
        <w:rPr>
          <w:szCs w:val="22"/>
        </w:rPr>
        <w:t xml:space="preserve">different pembrolizumab dosing regimens used across trials </w:t>
      </w:r>
      <w:r>
        <w:rPr>
          <w:szCs w:val="22"/>
        </w:rPr>
        <w:t xml:space="preserve">created difficulties in </w:t>
      </w:r>
      <w:r w:rsidRPr="00975603">
        <w:rPr>
          <w:szCs w:val="22"/>
        </w:rPr>
        <w:t xml:space="preserve">interpreting </w:t>
      </w:r>
      <w:r>
        <w:rPr>
          <w:szCs w:val="22"/>
        </w:rPr>
        <w:t>the</w:t>
      </w:r>
      <w:r w:rsidRPr="00975603">
        <w:rPr>
          <w:szCs w:val="22"/>
        </w:rPr>
        <w:t xml:space="preserve"> results</w:t>
      </w:r>
      <w:r>
        <w:rPr>
          <w:szCs w:val="22"/>
        </w:rPr>
        <w:t xml:space="preserve"> of these studies (especially as side effects and outcomes differed between studies).  This uncertainty placed the regulator and the PBAC in a very difficult position as the sponsor was unable to provide a robust explanation for the selection of a dose of 2 mg/kg Q3W, other than it was </w:t>
      </w:r>
      <w:r w:rsidRPr="00975603">
        <w:rPr>
          <w:szCs w:val="22"/>
        </w:rPr>
        <w:t>the lowest (and cheapest) dose regimen</w:t>
      </w:r>
      <w:r>
        <w:rPr>
          <w:szCs w:val="22"/>
        </w:rPr>
        <w:t>.</w:t>
      </w:r>
      <w:r w:rsidRPr="00975603">
        <w:rPr>
          <w:szCs w:val="22"/>
        </w:rPr>
        <w:t xml:space="preserve"> </w:t>
      </w:r>
      <w:r>
        <w:rPr>
          <w:szCs w:val="22"/>
        </w:rPr>
        <w:t xml:space="preserve"> The PBAC noted that variations</w:t>
      </w:r>
      <w:r w:rsidRPr="00975603">
        <w:rPr>
          <w:szCs w:val="22"/>
        </w:rPr>
        <w:t xml:space="preserve"> in regimens applied both to the injected amount (eg 2 mg/kg and 10 mg/kg) and the frequency of injection (eg Q2W and Q3W).  The PBAC noted that the pre-PBAC response highlighted the median PFS result from the largest randomised dose comparison in ipilimumab-refractory patients from KN-002 as the primary basis for concluding that there is no variation in dose response across 2 mg/kg Q3W and 10 mg/kg Q3W.  The PBAC was concerned that this was a selectively narrow use of all the available evidence and was from a population that had been specifically excluded from the requested listing.  On the other hand, the PBAC was also concerned not to over-emphasise the wider sources of evidence that included non-randomised comparisons which were confounded by differences in outcome definitions and durations of follow-up.  On balance, the PBAC agreed with the TGA delegate’s approach to assessing all randomised comparisons across different dosage regimens as the most rigorous basis for assessing dose response, and concluded that, overall, this randomised evidence suggested</w:t>
      </w:r>
      <w:r>
        <w:rPr>
          <w:szCs w:val="22"/>
        </w:rPr>
        <w:t xml:space="preserve"> (but certainly did not guarantee)</w:t>
      </w:r>
      <w:r w:rsidRPr="00975603">
        <w:rPr>
          <w:szCs w:val="22"/>
        </w:rPr>
        <w:t xml:space="preserve"> </w:t>
      </w:r>
      <w:r>
        <w:rPr>
          <w:szCs w:val="22"/>
        </w:rPr>
        <w:t xml:space="preserve">that there were </w:t>
      </w:r>
      <w:r w:rsidRPr="00975603">
        <w:rPr>
          <w:szCs w:val="22"/>
        </w:rPr>
        <w:t>no important difference</w:t>
      </w:r>
      <w:r>
        <w:rPr>
          <w:szCs w:val="22"/>
        </w:rPr>
        <w:t>s</w:t>
      </w:r>
      <w:r w:rsidRPr="00975603">
        <w:rPr>
          <w:szCs w:val="22"/>
        </w:rPr>
        <w:t xml:space="preserve"> in effectiveness or safety across the compared dosage regimens.  This was important for two reasons.  First, because this indicates that additional expenditure cannot be justified for pembrolizumab doses or frequencies greater than 2 mg/kg Q3W, so that if a greater dose is subsequently shown to be necessary, then the price of pembrolizumab should be reduced so that the cost per patient remains the same.  Second, because the KN-006 trial, which is to be used as the basis for the MES, randomised pembrolizumab patients to 10 mg/kg Q2W or Q3W rather than to 2 mg/kg Q3W.</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PBAC considered that the claim of superior comparative effectiveness of pembrolizumab over ipilimumab was probably reasonable, but noted that the extent of incremental effectiveness and duration of benefit could not be estimated with confidence given the limitations of the current evidence base.</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PBAC noted that, in comparison with cytotoxic therapy, there are new challenges associated with assessing and valuing response and progression following immune inhibitors. As has previously been noted, the proposed value of immune inhibitors relates to possibility of long-term remission or even cure in a subgroup of patients.</w:t>
      </w:r>
    </w:p>
    <w:p w:rsidR="00A05E64" w:rsidRPr="00975603" w:rsidRDefault="00A05E64" w:rsidP="00A05E64">
      <w:pPr>
        <w:widowControl/>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 xml:space="preserve">The PBAC noted that the TGA had not completed its review of this medicine and that the relevant clinical data had been revealed to the </w:t>
      </w:r>
      <w:r>
        <w:rPr>
          <w:szCs w:val="22"/>
        </w:rPr>
        <w:t>C</w:t>
      </w:r>
      <w:r w:rsidRPr="00975603">
        <w:rPr>
          <w:szCs w:val="22"/>
        </w:rPr>
        <w:t xml:space="preserve">ommittee incrementally throughout the process of evaluation well after the lodgement of the initial submission.  This meant that the data on which the PBAC was basing its recommendation had not undergone the usual evaluation process.  </w:t>
      </w:r>
      <w:r>
        <w:rPr>
          <w:szCs w:val="22"/>
        </w:rPr>
        <w:t xml:space="preserve">The PBAC </w:t>
      </w:r>
      <w:r>
        <w:rPr>
          <w:szCs w:val="22"/>
        </w:rPr>
        <w:lastRenderedPageBreak/>
        <w:t>considered it was important to emphasise that t</w:t>
      </w:r>
      <w:r w:rsidRPr="00975603">
        <w:rPr>
          <w:szCs w:val="22"/>
        </w:rPr>
        <w:t xml:space="preserve">he rigorous process of evaluation is designed to protect patients and prescribers and </w:t>
      </w:r>
      <w:r>
        <w:rPr>
          <w:szCs w:val="22"/>
        </w:rPr>
        <w:t xml:space="preserve">that </w:t>
      </w:r>
      <w:r w:rsidRPr="00975603">
        <w:rPr>
          <w:szCs w:val="22"/>
        </w:rPr>
        <w:t>subverting this process carries risk</w:t>
      </w:r>
      <w:r w:rsidR="00E22837">
        <w:rPr>
          <w:szCs w:val="22"/>
        </w:rPr>
        <w:t>s for patients and the Commonwealth</w:t>
      </w:r>
      <w:r w:rsidRPr="00975603">
        <w:rPr>
          <w:szCs w:val="22"/>
        </w:rPr>
        <w:t>.</w:t>
      </w:r>
      <w:r w:rsidR="00E22837">
        <w:rPr>
          <w:szCs w:val="22"/>
        </w:rPr>
        <w:t xml:space="preserve">  The PBAC was also concerned that being required to accept the KN-006 data as being confidential created problems with respect to the full disclosure of these potential risks.</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PBAC considered that the most rigorous comparative data for the ipilimumab-naïve population came from the early results of KN-006, which superseded the original submission’s non-randomised comparison of selected KN-001 cohorts receiving pembrolizumab with the Hodi 201</w:t>
      </w:r>
      <w:r>
        <w:rPr>
          <w:szCs w:val="22"/>
        </w:rPr>
        <w:t>0</w:t>
      </w:r>
      <w:r w:rsidRPr="00975603">
        <w:rPr>
          <w:szCs w:val="22"/>
        </w:rPr>
        <w:t xml:space="preserve"> cohort receiving ipilimumab, and also the pre-PBAC response’s attempt to match the KN-001 cohorts with the Hodi 201</w:t>
      </w:r>
      <w:r>
        <w:rPr>
          <w:szCs w:val="22"/>
        </w:rPr>
        <w:t>0</w:t>
      </w:r>
      <w:r w:rsidRPr="00975603">
        <w:rPr>
          <w:szCs w:val="22"/>
        </w:rPr>
        <w:t xml:space="preserve"> cohort as an adjustment of this comparison.</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 xml:space="preserve">The PBAC considered that the statistically significant increase in overall response rates (from 12% with ipilimumab to 33% with pembrolizumab) and the statistically significant prolongation in median progression-free survival based on the RECIST criteria (from 2.8 months with ipilimumab to 4.1 months with pembrolizumab) were likely to be clinically meaningful.  Changing the definition and assessor of progression events increased the difference in median progression-free survival (from 3.3 months with ipilimumab to 7.2 months with pembrolizumab).  However, the PBAC noted that overall response rates for pembrolizumab were substantially less than the 90% response rate which was </w:t>
      </w:r>
      <w:r>
        <w:rPr>
          <w:szCs w:val="22"/>
        </w:rPr>
        <w:t xml:space="preserve">strongly reported by </w:t>
      </w:r>
      <w:r w:rsidRPr="00975603">
        <w:rPr>
          <w:szCs w:val="22"/>
        </w:rPr>
        <w:t xml:space="preserve">consumers who met with PBAC representatives prior to the meeting.  The PBAC was unable to determine how </w:t>
      </w:r>
      <w:r>
        <w:rPr>
          <w:szCs w:val="22"/>
        </w:rPr>
        <w:t>the</w:t>
      </w:r>
      <w:r w:rsidRPr="00975603">
        <w:rPr>
          <w:szCs w:val="22"/>
        </w:rPr>
        <w:t xml:space="preserve"> discrepancy between </w:t>
      </w:r>
      <w:r>
        <w:rPr>
          <w:szCs w:val="22"/>
        </w:rPr>
        <w:t xml:space="preserve">the consumers’ </w:t>
      </w:r>
      <w:r w:rsidRPr="00975603">
        <w:rPr>
          <w:szCs w:val="22"/>
        </w:rPr>
        <w:t>perce</w:t>
      </w:r>
      <w:r>
        <w:rPr>
          <w:szCs w:val="22"/>
        </w:rPr>
        <w:t>ption</w:t>
      </w:r>
      <w:r w:rsidRPr="00975603">
        <w:rPr>
          <w:szCs w:val="22"/>
        </w:rPr>
        <w:t xml:space="preserve"> and </w:t>
      </w:r>
      <w:r>
        <w:rPr>
          <w:szCs w:val="22"/>
        </w:rPr>
        <w:t xml:space="preserve">the </w:t>
      </w:r>
      <w:r w:rsidRPr="00975603">
        <w:rPr>
          <w:szCs w:val="22"/>
        </w:rPr>
        <w:t xml:space="preserve">measured benefit had arisen.  The PBAC noted that there might be some responder bias in these perceptions (those who experienced or were aware of instances of poor outcomes would be less likely to advocate for the medicine), and that the selected results of subgroups of KN-001 published in two peer-reviewed journal articles (Robert </w:t>
      </w:r>
      <w:r w:rsidR="00C52FD3">
        <w:rPr>
          <w:szCs w:val="22"/>
        </w:rPr>
        <w:t xml:space="preserve">et al, </w:t>
      </w:r>
      <w:r w:rsidRPr="00975603">
        <w:rPr>
          <w:szCs w:val="22"/>
        </w:rPr>
        <w:t xml:space="preserve">2014 and Hamid </w:t>
      </w:r>
      <w:r w:rsidR="00C52FD3">
        <w:rPr>
          <w:szCs w:val="22"/>
        </w:rPr>
        <w:t xml:space="preserve">et al, </w:t>
      </w:r>
      <w:r w:rsidRPr="00975603">
        <w:rPr>
          <w:szCs w:val="22"/>
        </w:rPr>
        <w:t>2013) had conveyed a more favourable impression of pembrolizumab than the data submitted from KN-001 or KN-006 as the basis for the PBAC consideration.</w:t>
      </w:r>
      <w:r>
        <w:rPr>
          <w:szCs w:val="22"/>
        </w:rPr>
        <w:t xml:space="preserve"> The PBAC noted again that early results of studies are often very favourable and that over time the true impact of a medicine is revealed</w:t>
      </w:r>
      <w:r w:rsidR="00E22837">
        <w:rPr>
          <w:szCs w:val="22"/>
        </w:rPr>
        <w:t xml:space="preserve"> to be less impressive</w:t>
      </w:r>
      <w:r>
        <w:rPr>
          <w:szCs w:val="22"/>
        </w:rPr>
        <w:t>.</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 xml:space="preserve">The PBAC considered that the overall survival data were </w:t>
      </w:r>
      <w:r w:rsidR="00E22837">
        <w:rPr>
          <w:szCs w:val="22"/>
        </w:rPr>
        <w:t>im</w:t>
      </w:r>
      <w:r w:rsidRPr="00975603">
        <w:rPr>
          <w:szCs w:val="22"/>
        </w:rPr>
        <w:t>mature, consistent with the monitoring committee of the trial, which did not recommend that the trial be stopped following the interim analysis.  Median overall survival had not been reached.  Consistent with its observations from other trials, the PBAC expected that the hazard ratio would tend towards the null with additional follow-up, and so the interim estimate with its 95% CI is likely to be biased in favour of pembrolizumab.</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 xml:space="preserve">The PBAC concluded that pembrolizumab is no worse than ipilimumab in terms of safety, and possibly less toxic.  The Committee noted that the time profile of the development of adverse effects of immune-related therapies can be delayed, including to beyond the cessation of treatment, which needed to be considered in this comparative assessment.  Available evidence indicated that severe adverse events with ipilimumab do not necessarily recur when exposed to medicines of the pembrolizumab class, so </w:t>
      </w:r>
      <w:r>
        <w:rPr>
          <w:szCs w:val="22"/>
        </w:rPr>
        <w:t xml:space="preserve">anti-PD1 antibodies </w:t>
      </w:r>
      <w:r w:rsidRPr="00975603">
        <w:rPr>
          <w:szCs w:val="22"/>
        </w:rPr>
        <w:t>can be safely used in patients pre-exposed to ipilimumab.  However, given that the requested listing is for ipilimumab-</w:t>
      </w:r>
      <w:r w:rsidRPr="00975603">
        <w:rPr>
          <w:szCs w:val="22"/>
        </w:rPr>
        <w:lastRenderedPageBreak/>
        <w:t>naïve patients, the PBAC noted that there was no corresponding evidence presented about the safety of ipilimumab after pembrolizumab.</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PBAC further noted the submission emphasised that the perceptions of the safety profile of ipilimumab had deteriorated since PBAC had recommended its listing in November 2012.  For example, the need to use steroids or other biological immunosuppressant medicines to manage the underlying colitis frequently associated with ipilimumab</w:t>
      </w:r>
      <w:r w:rsidR="00E22837">
        <w:rPr>
          <w:szCs w:val="22"/>
        </w:rPr>
        <w:t xml:space="preserve"> has been emphasised</w:t>
      </w:r>
      <w:r w:rsidRPr="00975603">
        <w:rPr>
          <w:szCs w:val="22"/>
        </w:rPr>
        <w:t xml:space="preserve">.  Despite this, </w:t>
      </w:r>
      <w:r w:rsidR="00E22837">
        <w:rPr>
          <w:szCs w:val="22"/>
        </w:rPr>
        <w:t>the PBAC noted that</w:t>
      </w:r>
      <w:r w:rsidRPr="00975603">
        <w:rPr>
          <w:szCs w:val="22"/>
        </w:rPr>
        <w:t xml:space="preserve"> there were no statistically significant differences in adverse events between pembrolizumab and ipilimumab</w:t>
      </w:r>
      <w:r w:rsidR="00E22837">
        <w:rPr>
          <w:szCs w:val="22"/>
        </w:rPr>
        <w:t xml:space="preserve"> </w:t>
      </w:r>
      <w:r w:rsidR="00E22837" w:rsidRPr="00975603">
        <w:rPr>
          <w:szCs w:val="22"/>
        </w:rPr>
        <w:t>in the interim report of KN-006 in ipilimumab-naïve patients</w:t>
      </w:r>
      <w:r w:rsidRPr="00975603">
        <w:rPr>
          <w:szCs w:val="22"/>
        </w:rPr>
        <w:t>.  The exception to this was “sponsor-defined events of clinical interest”, which showed significantly fewer adverse events with pembrolizumab 10 mg/kg Q3W compared to ipilimumab.</w:t>
      </w:r>
    </w:p>
    <w:p w:rsidR="00A05E64" w:rsidRPr="00975603" w:rsidRDefault="00A05E64" w:rsidP="00A05E64">
      <w:pPr>
        <w:rPr>
          <w:szCs w:val="22"/>
        </w:rPr>
      </w:pPr>
    </w:p>
    <w:p w:rsidR="00A05E64" w:rsidRPr="00B769E3" w:rsidRDefault="00A05E64" w:rsidP="00A05E64">
      <w:pPr>
        <w:numPr>
          <w:ilvl w:val="1"/>
          <w:numId w:val="1"/>
        </w:numPr>
        <w:contextualSpacing/>
        <w:rPr>
          <w:szCs w:val="22"/>
        </w:rPr>
      </w:pPr>
      <w:r w:rsidRPr="00B769E3">
        <w:t>The PBAC noted that two versions of the model were provided, the first as part of the major submission lodged in November 2014 (called the original model) and the second with the PSCR on 28 January 2015 (called the revised model).  The model provided with the pre-PBAC response on 4 March 2015 was the same as the revised model, with additional sensitivity analyses included.  In the revised model, convergence of overall survival was shortened to 10 years from the 40 years used in the original model.  In both the original and the revised model, the analysis of costs and benefits was truncated at 5 years.</w:t>
      </w:r>
    </w:p>
    <w:p w:rsidR="00A05E64" w:rsidRPr="00B769E3" w:rsidRDefault="00A05E64" w:rsidP="00A05E64">
      <w:pPr>
        <w:contextualSpacing/>
        <w:rPr>
          <w:szCs w:val="22"/>
        </w:rPr>
      </w:pPr>
    </w:p>
    <w:p w:rsidR="00A05E64" w:rsidRPr="00B769E3" w:rsidRDefault="00A05E64" w:rsidP="00A05E64">
      <w:pPr>
        <w:numPr>
          <w:ilvl w:val="1"/>
          <w:numId w:val="1"/>
        </w:numPr>
        <w:contextualSpacing/>
        <w:rPr>
          <w:szCs w:val="22"/>
        </w:rPr>
      </w:pPr>
      <w:r w:rsidRPr="00B769E3">
        <w:rPr>
          <w:szCs w:val="22"/>
        </w:rPr>
        <w:t>The PBAC noted that the original and revised models were both based on non-comparative data from selected subgroups of the Phase I KN-001 trial of pembrolizumab and the Hodi 2010 published trial of ipilimumab.  Neither model used data from the Phase III randomised trial directly comparing pembrolizumab and ipilimumab (KN-006).</w:t>
      </w:r>
    </w:p>
    <w:p w:rsidR="00A05E64" w:rsidRPr="00B769E3" w:rsidRDefault="00A05E64" w:rsidP="00A05E64">
      <w:pPr>
        <w:contextualSpacing/>
      </w:pPr>
    </w:p>
    <w:p w:rsidR="00A05E64" w:rsidRPr="00975603" w:rsidRDefault="00A05E64" w:rsidP="00A05E64">
      <w:pPr>
        <w:pStyle w:val="ListParagraph"/>
        <w:widowControl/>
        <w:numPr>
          <w:ilvl w:val="1"/>
          <w:numId w:val="1"/>
        </w:numPr>
        <w:ind w:left="709" w:hanging="709"/>
        <w:rPr>
          <w:szCs w:val="22"/>
        </w:rPr>
      </w:pPr>
      <w:r w:rsidRPr="00975603">
        <w:rPr>
          <w:szCs w:val="22"/>
        </w:rPr>
        <w:t>The PBAC considered that the 3-health state structure of the model as transitions from a progression-free health state to a progressed disease health state and to death using different transitions for ipilimumab and pembrolizumab was reasonable.  However, the PBAC considered that the model could not be relied upon to estimate the incremental cost-effectiveness of pembrolizumab with sufficient confidence to determine the basis for any price advantage over ipilimumab.  The PBAC noted the following concerns with the model, all of which favoured pembrolizumab.</w:t>
      </w:r>
    </w:p>
    <w:p w:rsidR="00A05E64" w:rsidRPr="00975603" w:rsidRDefault="00A05E64" w:rsidP="00A05E64">
      <w:pPr>
        <w:pStyle w:val="ListParagraph"/>
        <w:widowControl/>
        <w:numPr>
          <w:ilvl w:val="0"/>
          <w:numId w:val="27"/>
        </w:numPr>
        <w:rPr>
          <w:szCs w:val="22"/>
        </w:rPr>
      </w:pPr>
      <w:r>
        <w:rPr>
          <w:szCs w:val="22"/>
        </w:rPr>
        <w:t xml:space="preserve">The model </w:t>
      </w:r>
      <w:r w:rsidRPr="00975603">
        <w:rPr>
          <w:szCs w:val="22"/>
        </w:rPr>
        <w:t>did not use the effective price of ipilimumab, which was not known to the sponsor.</w:t>
      </w:r>
    </w:p>
    <w:p w:rsidR="00A05E64" w:rsidRPr="00975603" w:rsidRDefault="00A05E64" w:rsidP="00A05E64">
      <w:pPr>
        <w:pStyle w:val="ListParagraph"/>
        <w:widowControl/>
        <w:numPr>
          <w:ilvl w:val="0"/>
          <w:numId w:val="27"/>
        </w:numPr>
        <w:rPr>
          <w:szCs w:val="22"/>
        </w:rPr>
      </w:pPr>
      <w:r w:rsidRPr="00975603">
        <w:rPr>
          <w:szCs w:val="22"/>
        </w:rPr>
        <w:t>It used the requested ex-manufacturer price of pembrolizumab, not the associated dispensed price</w:t>
      </w:r>
      <w:r>
        <w:rPr>
          <w:szCs w:val="22"/>
        </w:rPr>
        <w:t xml:space="preserve"> (the PBAC relied on ICERs generated from the model using the dispensed price)</w:t>
      </w:r>
      <w:r w:rsidRPr="00975603">
        <w:rPr>
          <w:szCs w:val="22"/>
        </w:rPr>
        <w:t>.</w:t>
      </w:r>
    </w:p>
    <w:p w:rsidR="00A05E64" w:rsidRDefault="00A05E64" w:rsidP="00A05E64">
      <w:pPr>
        <w:pStyle w:val="ListParagraph"/>
        <w:widowControl/>
        <w:numPr>
          <w:ilvl w:val="0"/>
          <w:numId w:val="27"/>
        </w:numPr>
        <w:rPr>
          <w:szCs w:val="22"/>
        </w:rPr>
      </w:pPr>
      <w:r w:rsidRPr="00975603">
        <w:rPr>
          <w:szCs w:val="22"/>
        </w:rPr>
        <w:t xml:space="preserve">The </w:t>
      </w:r>
      <w:r>
        <w:rPr>
          <w:szCs w:val="22"/>
        </w:rPr>
        <w:t>model’s</w:t>
      </w:r>
      <w:r w:rsidRPr="00975603">
        <w:rPr>
          <w:szCs w:val="22"/>
        </w:rPr>
        <w:t xml:space="preserve"> complete replacement of observed data with fitted curves</w:t>
      </w:r>
      <w:r>
        <w:rPr>
          <w:szCs w:val="22"/>
        </w:rPr>
        <w:t xml:space="preserve"> rather than observed data presented as Kaplan-Meier curves followed by fitted curves for extrapolation</w:t>
      </w:r>
      <w:r w:rsidRPr="00975603">
        <w:rPr>
          <w:szCs w:val="22"/>
        </w:rPr>
        <w:t xml:space="preserve"> reduced confidence in the model and appeared to slow the ability of the sponsor to use new or updated trial data.</w:t>
      </w:r>
    </w:p>
    <w:p w:rsidR="00A05E64" w:rsidRPr="00B769E3" w:rsidRDefault="00A05E64" w:rsidP="00A05E64">
      <w:pPr>
        <w:pStyle w:val="ListParagraph"/>
        <w:widowControl/>
        <w:numPr>
          <w:ilvl w:val="0"/>
          <w:numId w:val="27"/>
        </w:numPr>
        <w:rPr>
          <w:szCs w:val="22"/>
        </w:rPr>
      </w:pPr>
      <w:r w:rsidRPr="00975603">
        <w:rPr>
          <w:szCs w:val="22"/>
        </w:rPr>
        <w:t xml:space="preserve">Its structure for the revised base case in the PSCR and the pre-PBAC response set the convergence of the </w:t>
      </w:r>
      <w:r>
        <w:rPr>
          <w:szCs w:val="22"/>
        </w:rPr>
        <w:t xml:space="preserve">extrapolated </w:t>
      </w:r>
      <w:r w:rsidRPr="00975603">
        <w:rPr>
          <w:szCs w:val="22"/>
        </w:rPr>
        <w:t xml:space="preserve">PFS curves to </w:t>
      </w:r>
      <w:r>
        <w:rPr>
          <w:szCs w:val="22"/>
        </w:rPr>
        <w:t>5</w:t>
      </w:r>
      <w:r w:rsidRPr="00975603">
        <w:rPr>
          <w:szCs w:val="22"/>
        </w:rPr>
        <w:t xml:space="preserve"> years</w:t>
      </w:r>
      <w:r>
        <w:rPr>
          <w:szCs w:val="22"/>
        </w:rPr>
        <w:t>, but</w:t>
      </w:r>
      <w:r w:rsidRPr="00975603">
        <w:rPr>
          <w:szCs w:val="22"/>
        </w:rPr>
        <w:t xml:space="preserve"> and </w:t>
      </w:r>
      <w:r>
        <w:rPr>
          <w:szCs w:val="22"/>
        </w:rPr>
        <w:t xml:space="preserve">set </w:t>
      </w:r>
      <w:r w:rsidRPr="00975603">
        <w:rPr>
          <w:szCs w:val="22"/>
        </w:rPr>
        <w:t xml:space="preserve">the </w:t>
      </w:r>
      <w:r>
        <w:rPr>
          <w:szCs w:val="22"/>
        </w:rPr>
        <w:t xml:space="preserve">extrapolated </w:t>
      </w:r>
      <w:r w:rsidRPr="00975603">
        <w:rPr>
          <w:szCs w:val="22"/>
        </w:rPr>
        <w:t>OS curves to 10 years before truncating these curves at 5 years</w:t>
      </w:r>
      <w:r>
        <w:rPr>
          <w:szCs w:val="22"/>
        </w:rPr>
        <w:t>,</w:t>
      </w:r>
      <w:r w:rsidRPr="00876033">
        <w:rPr>
          <w:szCs w:val="22"/>
        </w:rPr>
        <w:t xml:space="preserve"> </w:t>
      </w:r>
      <w:r>
        <w:rPr>
          <w:szCs w:val="22"/>
        </w:rPr>
        <w:t>together with truncating the estimates of costs</w:t>
      </w:r>
      <w:r w:rsidRPr="00975603">
        <w:rPr>
          <w:szCs w:val="22"/>
        </w:rPr>
        <w:t xml:space="preserve"> </w:t>
      </w:r>
      <w:r>
        <w:rPr>
          <w:szCs w:val="22"/>
        </w:rPr>
        <w:t xml:space="preserve">at 5 years </w:t>
      </w:r>
      <w:r w:rsidRPr="00975603">
        <w:rPr>
          <w:szCs w:val="22"/>
        </w:rPr>
        <w:t xml:space="preserve">(the PBAC was </w:t>
      </w:r>
      <w:r w:rsidRPr="00975603">
        <w:rPr>
          <w:szCs w:val="22"/>
        </w:rPr>
        <w:lastRenderedPageBreak/>
        <w:t>reassured that n</w:t>
      </w:r>
      <w:r>
        <w:rPr>
          <w:szCs w:val="22"/>
        </w:rPr>
        <w:t>either</w:t>
      </w:r>
      <w:r w:rsidRPr="00975603">
        <w:rPr>
          <w:szCs w:val="22"/>
        </w:rPr>
        <w:t xml:space="preserve"> </w:t>
      </w:r>
      <w:r>
        <w:rPr>
          <w:szCs w:val="22"/>
        </w:rPr>
        <w:t xml:space="preserve">version </w:t>
      </w:r>
      <w:r w:rsidRPr="00975603">
        <w:rPr>
          <w:szCs w:val="22"/>
        </w:rPr>
        <w:t>of the model presented by the sponsor adopted a time horizon longer than 5 years).</w:t>
      </w:r>
      <w:r>
        <w:rPr>
          <w:szCs w:val="22"/>
        </w:rPr>
        <w:t xml:space="preserve">  The PBAC noted that, although the convergence of the extrapolated OS curves to 40 years set in the original model favoured pembrolizumab to a greater extent, the revised approach maintained an inconsistency across PFS and OS extrapolations and still favoured pembrolizumab.</w:t>
      </w:r>
      <w:r w:rsidRPr="00B769E3">
        <w:rPr>
          <w:szCs w:val="22"/>
        </w:rPr>
        <w:t xml:space="preserve">  Favourable ICERs from the 5-year truncated results were sensitive to this structure of setting convergence over 10 to 40 years before truncation.  Setting convergence of OS to end at 5 years, which would be consistent with the submission’s justification of a 5-year model, produced an ICER of </w:t>
      </w:r>
      <w:r w:rsidR="00D348BB">
        <w:rPr>
          <w:szCs w:val="22"/>
        </w:rPr>
        <w:t xml:space="preserve">$45,000/QALY - $75,000/QALY </w:t>
      </w:r>
      <w:r w:rsidRPr="00B769E3">
        <w:rPr>
          <w:szCs w:val="22"/>
        </w:rPr>
        <w:t xml:space="preserve">compared to the revised model’s base case of </w:t>
      </w:r>
      <w:r w:rsidR="00D348BB">
        <w:rPr>
          <w:szCs w:val="22"/>
        </w:rPr>
        <w:t>$45,000/QALY - $75,000/QALY</w:t>
      </w:r>
      <w:r w:rsidRPr="00B769E3">
        <w:rPr>
          <w:szCs w:val="22"/>
        </w:rPr>
        <w:t xml:space="preserve"> (using the dispensed price for pembrolizumab).</w:t>
      </w:r>
    </w:p>
    <w:p w:rsidR="00A05E64" w:rsidRPr="00B769E3" w:rsidRDefault="00A05E64" w:rsidP="00A05E64">
      <w:pPr>
        <w:pStyle w:val="ListParagraph"/>
        <w:widowControl/>
        <w:numPr>
          <w:ilvl w:val="0"/>
          <w:numId w:val="27"/>
        </w:numPr>
        <w:rPr>
          <w:szCs w:val="22"/>
        </w:rPr>
      </w:pPr>
      <w:r w:rsidRPr="00B769E3">
        <w:rPr>
          <w:szCs w:val="22"/>
        </w:rPr>
        <w:t>The model was not varied to reflect the preliminary KN-006 trial data, which appeared to reflect earlier convergence for both PFS and OS than modelled from the comparison of KN-001 subgroups with Hodi 2010, which would be expected to become more pronounced with longer follow-up data.  The duration of the projected superiority was not supported by the Kaplan-Meier plots of PFS and OS from KN-006, which show convergence of PFS may occur as early as 12-14 months; or well short of the 5-year convergence of PFS and 10-40 year convergence of OS in the extrapolations of both models.</w:t>
      </w:r>
    </w:p>
    <w:p w:rsidR="00A05E64" w:rsidRPr="00B769E3" w:rsidRDefault="00A05E64" w:rsidP="00A05E64">
      <w:pPr>
        <w:pStyle w:val="ListParagraph"/>
        <w:widowControl/>
        <w:numPr>
          <w:ilvl w:val="0"/>
          <w:numId w:val="27"/>
        </w:numPr>
        <w:rPr>
          <w:szCs w:val="22"/>
        </w:rPr>
      </w:pPr>
      <w:r w:rsidRPr="00B769E3">
        <w:rPr>
          <w:szCs w:val="22"/>
        </w:rPr>
        <w:t xml:space="preserve">The model used utilities derived from Dickson 2011 rather than Beusterien 2009.  </w:t>
      </w:r>
      <w:r w:rsidRPr="00B769E3">
        <w:t>This favoured pembrolizumab mainly because Dickson 2011 assigned a higher utility to the health state for disease progression.  As pembrolizumab patients were predicted to have greater OS, they spent longer in this state.</w:t>
      </w:r>
    </w:p>
    <w:p w:rsidR="00A05E64" w:rsidRPr="00534243" w:rsidRDefault="00A05E64" w:rsidP="00A05E64">
      <w:pPr>
        <w:pStyle w:val="ListParagraph"/>
        <w:widowControl/>
        <w:numPr>
          <w:ilvl w:val="0"/>
          <w:numId w:val="27"/>
        </w:numPr>
        <w:rPr>
          <w:szCs w:val="22"/>
        </w:rPr>
      </w:pPr>
      <w:r w:rsidRPr="00534243">
        <w:rPr>
          <w:szCs w:val="22"/>
        </w:rPr>
        <w:t xml:space="preserve">The model’s base case assumed zero </w:t>
      </w:r>
      <w:r>
        <w:rPr>
          <w:szCs w:val="22"/>
        </w:rPr>
        <w:t xml:space="preserve">costs of </w:t>
      </w:r>
      <w:r w:rsidRPr="00534243">
        <w:rPr>
          <w:szCs w:val="22"/>
        </w:rPr>
        <w:t>us</w:t>
      </w:r>
      <w:r>
        <w:rPr>
          <w:szCs w:val="22"/>
        </w:rPr>
        <w:t>ing</w:t>
      </w:r>
      <w:r w:rsidRPr="00534243">
        <w:rPr>
          <w:szCs w:val="22"/>
        </w:rPr>
        <w:t xml:space="preserve"> ipilimumab following pembrolizumab, which was inconsistent with the submission’s proposed clinical management algorithm, and its upper sensitivity analysis only examined the </w:t>
      </w:r>
      <w:r>
        <w:rPr>
          <w:szCs w:val="22"/>
        </w:rPr>
        <w:t>costs</w:t>
      </w:r>
      <w:r w:rsidRPr="00534243">
        <w:rPr>
          <w:szCs w:val="22"/>
        </w:rPr>
        <w:t xml:space="preserve"> of 20% patients using ipilimumab after pembrolizumab, whereas the PBAC expected that pembrolizumab would largely displace rather than replace ipilimumab.  The </w:t>
      </w:r>
      <w:r>
        <w:rPr>
          <w:szCs w:val="22"/>
        </w:rPr>
        <w:t xml:space="preserve">revised </w:t>
      </w:r>
      <w:r w:rsidRPr="00534243">
        <w:rPr>
          <w:szCs w:val="22"/>
        </w:rPr>
        <w:t>model</w:t>
      </w:r>
      <w:r>
        <w:rPr>
          <w:szCs w:val="22"/>
        </w:rPr>
        <w:t>’s</w:t>
      </w:r>
      <w:r w:rsidRPr="00534243">
        <w:rPr>
          <w:szCs w:val="22"/>
        </w:rPr>
        <w:t xml:space="preserve"> sensitivity analysis reflect</w:t>
      </w:r>
      <w:r>
        <w:rPr>
          <w:szCs w:val="22"/>
        </w:rPr>
        <w:t>ed</w:t>
      </w:r>
      <w:r w:rsidRPr="00534243">
        <w:rPr>
          <w:szCs w:val="22"/>
        </w:rPr>
        <w:t xml:space="preserve"> the fact that some KN-001 participants received such therapy and their OS contributed to the estimated OS across all KN-001 participants contributing to the model.</w:t>
      </w:r>
    </w:p>
    <w:p w:rsidR="00A05E64" w:rsidRPr="00B769E3" w:rsidRDefault="00A05E64" w:rsidP="00A05E64">
      <w:pPr>
        <w:pStyle w:val="ListParagraph"/>
        <w:widowControl/>
        <w:numPr>
          <w:ilvl w:val="0"/>
          <w:numId w:val="27"/>
        </w:numPr>
        <w:rPr>
          <w:szCs w:val="22"/>
        </w:rPr>
      </w:pPr>
      <w:r w:rsidRPr="00B769E3">
        <w:rPr>
          <w:szCs w:val="22"/>
        </w:rPr>
        <w:t>The model assumed that pembrolizumab treatment ceased at disease progression.  Given that this would not occur for all patients, the model underestimated pembrolizumab treatment costs.  The PBAC noted that one option would be to vary the model to allow for continued treatment for a proportion of patients, which would be likely to occur in clinical practice.  However, the PBAC considered that this would introduce greater uncertainty due to the need to also vary the corresponding stream of post-progression health outcomes.  The PBAC therefore preferred to address this uncertainty by modifying the proposed RSA to rebate the cost of any use of pembrolizumab follow</w:t>
      </w:r>
      <w:r w:rsidR="00CA498A">
        <w:rPr>
          <w:szCs w:val="22"/>
        </w:rPr>
        <w:t xml:space="preserve">ing progression (see </w:t>
      </w:r>
      <w:r w:rsidR="00CA498A" w:rsidRPr="00CA498A">
        <w:rPr>
          <w:szCs w:val="22"/>
        </w:rPr>
        <w:t xml:space="preserve">paragraph </w:t>
      </w:r>
      <w:r w:rsidRPr="00CA498A">
        <w:rPr>
          <w:szCs w:val="22"/>
        </w:rPr>
        <w:t>6</w:t>
      </w:r>
      <w:r w:rsidR="0051418D" w:rsidRPr="00CA498A">
        <w:rPr>
          <w:szCs w:val="22"/>
        </w:rPr>
        <w:t>.8</w:t>
      </w:r>
      <w:r w:rsidR="00AE6998" w:rsidRPr="00CA498A">
        <w:rPr>
          <w:szCs w:val="22"/>
        </w:rPr>
        <w:t>2</w:t>
      </w:r>
      <w:r w:rsidRPr="00B769E3">
        <w:rPr>
          <w:szCs w:val="22"/>
        </w:rPr>
        <w:t xml:space="preserve"> above), because no evidence was provided to justify such use in terms of cost-effectiveness.</w:t>
      </w:r>
    </w:p>
    <w:p w:rsidR="00A05E64" w:rsidRPr="00975603" w:rsidRDefault="00A05E64" w:rsidP="00A05E64">
      <w:pPr>
        <w:pStyle w:val="ListParagraph"/>
        <w:widowControl/>
        <w:numPr>
          <w:ilvl w:val="0"/>
          <w:numId w:val="27"/>
        </w:numPr>
        <w:rPr>
          <w:szCs w:val="22"/>
        </w:rPr>
      </w:pPr>
      <w:r>
        <w:rPr>
          <w:szCs w:val="22"/>
        </w:rPr>
        <w:t xml:space="preserve">The </w:t>
      </w:r>
      <w:r w:rsidRPr="00975603">
        <w:rPr>
          <w:szCs w:val="22"/>
        </w:rPr>
        <w:t xml:space="preserve">costs </w:t>
      </w:r>
      <w:r>
        <w:rPr>
          <w:szCs w:val="22"/>
        </w:rPr>
        <w:t>of adverse events appeared to be double-counted because they were counted in the INTUITION study of ipilimumab as part of disease management costs, as well as being counted independently as additional costs based on adverse events reported in the trials.</w:t>
      </w:r>
    </w:p>
    <w:p w:rsidR="00A05E64" w:rsidRPr="00975603" w:rsidRDefault="00A05E64" w:rsidP="00A05E64">
      <w:pPr>
        <w:rPr>
          <w:szCs w:val="22"/>
        </w:rPr>
      </w:pPr>
    </w:p>
    <w:p w:rsidR="00A05E64" w:rsidRPr="00975603" w:rsidRDefault="00DC6435" w:rsidP="00A05E64">
      <w:pPr>
        <w:pStyle w:val="ListParagraph"/>
        <w:widowControl/>
        <w:numPr>
          <w:ilvl w:val="1"/>
          <w:numId w:val="1"/>
        </w:numPr>
        <w:ind w:left="709" w:hanging="709"/>
        <w:rPr>
          <w:szCs w:val="22"/>
        </w:rPr>
      </w:pPr>
      <w:r>
        <w:rPr>
          <w:szCs w:val="22"/>
        </w:rPr>
        <w:lastRenderedPageBreak/>
        <w:t>In the light of the above</w:t>
      </w:r>
      <w:r w:rsidR="00A05E64" w:rsidRPr="00975603">
        <w:rPr>
          <w:szCs w:val="22"/>
        </w:rPr>
        <w:t xml:space="preserve">, the PBAC </w:t>
      </w:r>
      <w:r>
        <w:rPr>
          <w:szCs w:val="22"/>
        </w:rPr>
        <w:t xml:space="preserve">was of the view </w:t>
      </w:r>
      <w:r w:rsidR="00A05E64" w:rsidRPr="00975603">
        <w:rPr>
          <w:szCs w:val="22"/>
        </w:rPr>
        <w:t xml:space="preserve">that the MES proposal </w:t>
      </w:r>
      <w:r>
        <w:rPr>
          <w:szCs w:val="22"/>
        </w:rPr>
        <w:t xml:space="preserve">should </w:t>
      </w:r>
      <w:r w:rsidR="00A05E64" w:rsidRPr="00975603">
        <w:rPr>
          <w:szCs w:val="22"/>
        </w:rPr>
        <w:t xml:space="preserve">be modified </w:t>
      </w:r>
      <w:r>
        <w:rPr>
          <w:szCs w:val="22"/>
        </w:rPr>
        <w:t xml:space="preserve">and that consideration be given to a </w:t>
      </w:r>
      <w:r w:rsidR="00A05E64" w:rsidRPr="00975603">
        <w:rPr>
          <w:szCs w:val="22"/>
        </w:rPr>
        <w:t>Deed of Agreement with a risk-share component and a managed entry scheme component.  The PBAC therefore proposed re-specifications of this model in a future evaluation, when the final data from the KN-006 are available to inform a revised model.</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PBAC accepted the following assumptions regarding the economic model and estimates, noting that</w:t>
      </w:r>
      <w:r>
        <w:rPr>
          <w:szCs w:val="22"/>
        </w:rPr>
        <w:t>,</w:t>
      </w:r>
      <w:r w:rsidRPr="00975603">
        <w:rPr>
          <w:szCs w:val="22"/>
        </w:rPr>
        <w:t xml:space="preserve"> </w:t>
      </w:r>
      <w:r>
        <w:rPr>
          <w:szCs w:val="22"/>
        </w:rPr>
        <w:t>with the exception of the last assumption, they all favoured pembrolizumab:</w:t>
      </w:r>
    </w:p>
    <w:p w:rsidR="00A05E64" w:rsidRPr="00975603" w:rsidRDefault="00A05E64" w:rsidP="00A05E64">
      <w:pPr>
        <w:pStyle w:val="ListParagraph"/>
        <w:widowControl/>
        <w:numPr>
          <w:ilvl w:val="0"/>
          <w:numId w:val="28"/>
        </w:numPr>
        <w:rPr>
          <w:szCs w:val="22"/>
        </w:rPr>
      </w:pPr>
      <w:r>
        <w:rPr>
          <w:szCs w:val="22"/>
        </w:rPr>
        <w:t xml:space="preserve">not increasing the background rate </w:t>
      </w:r>
      <w:r w:rsidRPr="00975603">
        <w:rPr>
          <w:szCs w:val="22"/>
        </w:rPr>
        <w:t xml:space="preserve">of all-cause mortality </w:t>
      </w:r>
      <w:r>
        <w:rPr>
          <w:szCs w:val="22"/>
        </w:rPr>
        <w:t>to account for the population getting older during the model</w:t>
      </w:r>
    </w:p>
    <w:p w:rsidR="00A05E64" w:rsidRPr="00975603" w:rsidRDefault="00A05E64" w:rsidP="00A05E64">
      <w:pPr>
        <w:pStyle w:val="ListParagraph"/>
        <w:widowControl/>
        <w:numPr>
          <w:ilvl w:val="0"/>
          <w:numId w:val="28"/>
        </w:numPr>
        <w:rPr>
          <w:szCs w:val="22"/>
        </w:rPr>
      </w:pPr>
      <w:r w:rsidRPr="00975603">
        <w:rPr>
          <w:szCs w:val="22"/>
        </w:rPr>
        <w:t xml:space="preserve">costs </w:t>
      </w:r>
      <w:r>
        <w:rPr>
          <w:szCs w:val="22"/>
        </w:rPr>
        <w:t xml:space="preserve">of disease management </w:t>
      </w:r>
      <w:r w:rsidRPr="00975603">
        <w:rPr>
          <w:szCs w:val="22"/>
        </w:rPr>
        <w:t xml:space="preserve">for </w:t>
      </w:r>
      <w:r>
        <w:rPr>
          <w:szCs w:val="22"/>
        </w:rPr>
        <w:t xml:space="preserve">both </w:t>
      </w:r>
      <w:r w:rsidRPr="00975603">
        <w:rPr>
          <w:szCs w:val="22"/>
        </w:rPr>
        <w:t xml:space="preserve">ipilimumab and pembrolizumab </w:t>
      </w:r>
      <w:r>
        <w:rPr>
          <w:szCs w:val="22"/>
        </w:rPr>
        <w:t xml:space="preserve">being </w:t>
      </w:r>
      <w:r w:rsidRPr="00975603">
        <w:rPr>
          <w:szCs w:val="22"/>
        </w:rPr>
        <w:t>based on Australian patients receiving ipilimumab in the INTUITION study</w:t>
      </w:r>
    </w:p>
    <w:p w:rsidR="00A05E64" w:rsidRPr="00975603" w:rsidRDefault="00A05E64" w:rsidP="00A05E64">
      <w:pPr>
        <w:pStyle w:val="ListParagraph"/>
        <w:widowControl/>
        <w:numPr>
          <w:ilvl w:val="0"/>
          <w:numId w:val="28"/>
        </w:numPr>
        <w:rPr>
          <w:szCs w:val="22"/>
        </w:rPr>
      </w:pPr>
      <w:r w:rsidRPr="00975603">
        <w:rPr>
          <w:szCs w:val="22"/>
        </w:rPr>
        <w:t xml:space="preserve">adverse effects </w:t>
      </w:r>
      <w:r>
        <w:rPr>
          <w:szCs w:val="22"/>
        </w:rPr>
        <w:t xml:space="preserve">being </w:t>
      </w:r>
      <w:r w:rsidRPr="00975603">
        <w:rPr>
          <w:szCs w:val="22"/>
        </w:rPr>
        <w:t>limited to the rates reported in ipilimumab-naïve patients</w:t>
      </w:r>
      <w:r>
        <w:rPr>
          <w:szCs w:val="22"/>
        </w:rPr>
        <w:t>.</w:t>
      </w:r>
    </w:p>
    <w:p w:rsidR="00A05E64" w:rsidRPr="00975603" w:rsidRDefault="00A05E64" w:rsidP="00A05E64">
      <w:pPr>
        <w:rPr>
          <w:szCs w:val="22"/>
        </w:rPr>
      </w:pPr>
    </w:p>
    <w:p w:rsidR="00A05E64" w:rsidRDefault="00A05E64" w:rsidP="00A05E64">
      <w:pPr>
        <w:pStyle w:val="ListParagraph"/>
        <w:widowControl/>
        <w:numPr>
          <w:ilvl w:val="1"/>
          <w:numId w:val="1"/>
        </w:numPr>
        <w:rPr>
          <w:szCs w:val="22"/>
        </w:rPr>
      </w:pPr>
      <w:r>
        <w:rPr>
          <w:szCs w:val="22"/>
        </w:rPr>
        <w:t xml:space="preserve">The PBAC advised that these assumptions </w:t>
      </w:r>
      <w:r w:rsidRPr="00975603">
        <w:rPr>
          <w:szCs w:val="22"/>
        </w:rPr>
        <w:t>would not be reopened in any reconsideration of pembrolizumab</w:t>
      </w:r>
      <w:r>
        <w:rPr>
          <w:szCs w:val="22"/>
        </w:rPr>
        <w:t xml:space="preserve"> because of their relatively small consequences for the evaluations once the Committee’s advice about converging the PFS and OS extrapolation curves at 5 years is implemented.</w:t>
      </w:r>
    </w:p>
    <w:p w:rsidR="00A05E64" w:rsidRPr="00072E27" w:rsidRDefault="00A05E64" w:rsidP="00A05E64">
      <w:pPr>
        <w:widowControl/>
        <w:rPr>
          <w:szCs w:val="22"/>
        </w:rPr>
      </w:pPr>
    </w:p>
    <w:p w:rsidR="00A05E64" w:rsidRPr="00975603" w:rsidRDefault="00A05E64" w:rsidP="00A05E64">
      <w:pPr>
        <w:pStyle w:val="ListParagraph"/>
        <w:widowControl/>
        <w:numPr>
          <w:ilvl w:val="1"/>
          <w:numId w:val="1"/>
        </w:numPr>
        <w:rPr>
          <w:szCs w:val="22"/>
        </w:rPr>
      </w:pPr>
      <w:r w:rsidRPr="00975603">
        <w:rPr>
          <w:szCs w:val="22"/>
        </w:rPr>
        <w:t xml:space="preserve">The PBAC considered that the annual numbers of patients projected from an epidemiological basis to receive pembrolizumab were overestimated.  The PBAC observed that the uptake of ipilimumab had already stabilised at about </w:t>
      </w:r>
      <w:r w:rsidR="00272572">
        <w:rPr>
          <w:szCs w:val="22"/>
        </w:rPr>
        <w:t>8</w:t>
      </w:r>
      <w:r w:rsidRPr="00975603">
        <w:rPr>
          <w:szCs w:val="22"/>
        </w:rPr>
        <w:t xml:space="preserve">00 patients per </w:t>
      </w:r>
      <w:r w:rsidR="00272572">
        <w:rPr>
          <w:szCs w:val="22"/>
        </w:rPr>
        <w:t>year</w:t>
      </w:r>
      <w:r w:rsidRPr="00975603">
        <w:rPr>
          <w:szCs w:val="22"/>
        </w:rPr>
        <w:t xml:space="preserve"> and considered that there was no basis to consider that substantially more patients would receive pembrolizumab than would receive ipilimumab.  Similarly, the projected cost offsets for ipilimumab are also substantially overestimated compared to existing annual ipilimumab expenditure of about $86 million, even before the rebate to achieve the effective price is factored in to the estimates.  The PBAC also considered that pembrolizumab would displace ipilimumab rather than replace it, and so considered that the estimate of 12% of patients starting ipilimumab after pembrolizumab from KN-001 was an underestimate.</w:t>
      </w:r>
    </w:p>
    <w:p w:rsidR="00A05E64" w:rsidRPr="00975603" w:rsidRDefault="00A05E64" w:rsidP="00A05E64">
      <w:pPr>
        <w:widowControl/>
        <w:rPr>
          <w:szCs w:val="22"/>
        </w:rPr>
      </w:pPr>
    </w:p>
    <w:p w:rsidR="00A05E64" w:rsidRPr="00975603" w:rsidRDefault="00A05E64" w:rsidP="00A05E64">
      <w:pPr>
        <w:pStyle w:val="ListParagraph"/>
        <w:widowControl/>
        <w:numPr>
          <w:ilvl w:val="1"/>
          <w:numId w:val="1"/>
        </w:numPr>
        <w:rPr>
          <w:szCs w:val="22"/>
        </w:rPr>
      </w:pPr>
      <w:r w:rsidRPr="00975603">
        <w:rPr>
          <w:szCs w:val="22"/>
        </w:rPr>
        <w:t>The PBAC recommended that pembrolizumab should not be treated as interchangeable on an individual patient basis with any other drugs.</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PBAC advised that pembrolizumab is not suitable for prescribing by nurse practitioners.</w:t>
      </w:r>
    </w:p>
    <w:p w:rsidR="00A05E64" w:rsidRPr="00975603" w:rsidRDefault="00A05E64" w:rsidP="00A05E64">
      <w:pPr>
        <w:rPr>
          <w:szCs w:val="22"/>
        </w:rPr>
      </w:pPr>
    </w:p>
    <w:p w:rsidR="00A05E64" w:rsidRPr="00975603" w:rsidRDefault="00A05E64" w:rsidP="00A05E64">
      <w:pPr>
        <w:pStyle w:val="ListParagraph"/>
        <w:widowControl/>
        <w:numPr>
          <w:ilvl w:val="1"/>
          <w:numId w:val="1"/>
        </w:numPr>
        <w:ind w:left="709" w:hanging="709"/>
        <w:rPr>
          <w:szCs w:val="22"/>
        </w:rPr>
      </w:pPr>
      <w:r w:rsidRPr="00975603">
        <w:rPr>
          <w:szCs w:val="22"/>
        </w:rPr>
        <w:t>The PBAC recommended that the Safety Net 20 Day Rule should not apply.</w:t>
      </w:r>
    </w:p>
    <w:p w:rsidR="00A05E64" w:rsidRPr="00975603" w:rsidRDefault="00A05E64" w:rsidP="00A05E64">
      <w:pPr>
        <w:rPr>
          <w:szCs w:val="22"/>
        </w:rPr>
      </w:pPr>
    </w:p>
    <w:p w:rsidR="00A05E64" w:rsidRPr="00A05E64" w:rsidRDefault="00A05E64" w:rsidP="00A05E64">
      <w:pPr>
        <w:pStyle w:val="ListParagraph"/>
        <w:widowControl/>
        <w:numPr>
          <w:ilvl w:val="1"/>
          <w:numId w:val="1"/>
        </w:numPr>
        <w:ind w:hanging="709"/>
        <w:rPr>
          <w:bCs/>
          <w:szCs w:val="22"/>
        </w:rPr>
      </w:pPr>
      <w:r w:rsidRPr="00975603">
        <w:rPr>
          <w:szCs w:val="22"/>
        </w:rPr>
        <w:t>The PBAC noted that this submission is not eligible for an Independent Review.</w:t>
      </w:r>
    </w:p>
    <w:p w:rsidR="0099196A" w:rsidRPr="00975603" w:rsidRDefault="0099196A" w:rsidP="0099196A">
      <w:pPr>
        <w:rPr>
          <w:szCs w:val="22"/>
        </w:rPr>
      </w:pPr>
    </w:p>
    <w:p w:rsidR="0099196A" w:rsidRPr="00975603" w:rsidRDefault="0099196A" w:rsidP="0099196A">
      <w:pPr>
        <w:rPr>
          <w:szCs w:val="22"/>
        </w:rPr>
      </w:pPr>
    </w:p>
    <w:p w:rsidR="0099196A" w:rsidRPr="00975603" w:rsidRDefault="0099196A" w:rsidP="0099196A">
      <w:pPr>
        <w:rPr>
          <w:b/>
          <w:szCs w:val="22"/>
        </w:rPr>
      </w:pPr>
      <w:r w:rsidRPr="00975603">
        <w:rPr>
          <w:b/>
          <w:szCs w:val="22"/>
        </w:rPr>
        <w:t>Outcome:</w:t>
      </w:r>
    </w:p>
    <w:p w:rsidR="0099196A" w:rsidRPr="00975603" w:rsidRDefault="0099196A" w:rsidP="0099196A">
      <w:pPr>
        <w:rPr>
          <w:szCs w:val="22"/>
        </w:rPr>
      </w:pPr>
      <w:r w:rsidRPr="00975603">
        <w:rPr>
          <w:szCs w:val="22"/>
        </w:rPr>
        <w:t>Recommended</w:t>
      </w:r>
    </w:p>
    <w:p w:rsidR="0099196A" w:rsidRDefault="0099196A" w:rsidP="0099196A">
      <w:pPr>
        <w:rPr>
          <w:szCs w:val="22"/>
        </w:rPr>
      </w:pPr>
    </w:p>
    <w:p w:rsidR="0099196A" w:rsidRPr="00975603" w:rsidRDefault="0099196A" w:rsidP="0099196A">
      <w:pPr>
        <w:rPr>
          <w:szCs w:val="22"/>
        </w:rPr>
      </w:pPr>
    </w:p>
    <w:p w:rsidR="0099196A" w:rsidRPr="0099196A" w:rsidRDefault="0099196A" w:rsidP="0099196A">
      <w:pPr>
        <w:pStyle w:val="PBACHeading1"/>
        <w:rPr>
          <w:b w:val="0"/>
        </w:rPr>
      </w:pPr>
      <w:r w:rsidRPr="00975603">
        <w:t>Recommended listing</w:t>
      </w:r>
    </w:p>
    <w:p w:rsidR="0099196A" w:rsidRPr="00975603" w:rsidRDefault="0099196A" w:rsidP="0099196A">
      <w:pPr>
        <w:rPr>
          <w:szCs w:val="22"/>
        </w:rPr>
      </w:pPr>
    </w:p>
    <w:p w:rsidR="0099196A" w:rsidRPr="00975603" w:rsidRDefault="0099196A" w:rsidP="0099196A">
      <w:pPr>
        <w:pStyle w:val="ListParagraph"/>
        <w:widowControl/>
        <w:numPr>
          <w:ilvl w:val="1"/>
          <w:numId w:val="1"/>
        </w:numPr>
        <w:ind w:left="709" w:hanging="709"/>
        <w:rPr>
          <w:szCs w:val="22"/>
        </w:rPr>
      </w:pPr>
      <w:r w:rsidRPr="00975603">
        <w:rPr>
          <w:szCs w:val="22"/>
        </w:rPr>
        <w:lastRenderedPageBreak/>
        <w:t>Add new item</w:t>
      </w:r>
      <w:r>
        <w:rPr>
          <w:szCs w:val="22"/>
        </w:rPr>
        <w:t>s</w:t>
      </w:r>
      <w:r w:rsidRPr="00975603">
        <w:rPr>
          <w:szCs w:val="22"/>
        </w:rPr>
        <w:t>:</w:t>
      </w:r>
    </w:p>
    <w:p w:rsidR="0099196A" w:rsidRPr="00975603" w:rsidRDefault="0099196A" w:rsidP="0099196A"/>
    <w:tbl>
      <w:tblPr>
        <w:tblW w:w="4642" w:type="pct"/>
        <w:tblInd w:w="732" w:type="dxa"/>
        <w:tblLayout w:type="fixed"/>
        <w:tblCellMar>
          <w:left w:w="28" w:type="dxa"/>
          <w:right w:w="28" w:type="dxa"/>
        </w:tblCellMar>
        <w:tblLook w:val="0000" w:firstRow="0" w:lastRow="0" w:firstColumn="0" w:lastColumn="0" w:noHBand="0" w:noVBand="0"/>
      </w:tblPr>
      <w:tblGrid>
        <w:gridCol w:w="3065"/>
        <w:gridCol w:w="266"/>
        <w:gridCol w:w="644"/>
        <w:gridCol w:w="708"/>
        <w:gridCol w:w="1702"/>
        <w:gridCol w:w="988"/>
        <w:gridCol w:w="1059"/>
      </w:tblGrid>
      <w:tr w:rsidR="0099196A" w:rsidRPr="00975603" w:rsidTr="009E0366">
        <w:trPr>
          <w:cantSplit/>
          <w:trHeight w:val="463"/>
        </w:trPr>
        <w:tc>
          <w:tcPr>
            <w:tcW w:w="1817" w:type="pct"/>
            <w:tcBorders>
              <w:bottom w:val="single" w:sz="4" w:space="0" w:color="auto"/>
            </w:tcBorders>
            <w:vAlign w:val="center"/>
          </w:tcPr>
          <w:p w:rsidR="0099196A" w:rsidRPr="00975603" w:rsidRDefault="0099196A" w:rsidP="009E0366">
            <w:pPr>
              <w:keepNext/>
              <w:jc w:val="left"/>
              <w:rPr>
                <w:rFonts w:ascii="Arial Narrow" w:hAnsi="Arial Narrow"/>
                <w:sz w:val="20"/>
              </w:rPr>
            </w:pPr>
            <w:r w:rsidRPr="00975603">
              <w:rPr>
                <w:rFonts w:ascii="Arial Narrow" w:hAnsi="Arial Narrow"/>
                <w:sz w:val="20"/>
              </w:rPr>
              <w:t>Name, Restriction,</w:t>
            </w:r>
          </w:p>
          <w:p w:rsidR="0099196A" w:rsidRPr="00975603" w:rsidRDefault="0099196A" w:rsidP="009E0366">
            <w:pPr>
              <w:keepNext/>
              <w:jc w:val="left"/>
              <w:rPr>
                <w:rFonts w:ascii="Arial Narrow" w:hAnsi="Arial Narrow"/>
                <w:sz w:val="20"/>
              </w:rPr>
            </w:pPr>
            <w:r w:rsidRPr="00975603">
              <w:rPr>
                <w:rFonts w:ascii="Arial Narrow" w:hAnsi="Arial Narrow"/>
                <w:sz w:val="20"/>
              </w:rPr>
              <w:t>Manner of administration and form</w:t>
            </w:r>
          </w:p>
        </w:tc>
        <w:tc>
          <w:tcPr>
            <w:tcW w:w="539" w:type="pct"/>
            <w:gridSpan w:val="2"/>
            <w:tcBorders>
              <w:bottom w:val="single" w:sz="4" w:space="0" w:color="auto"/>
            </w:tcBorders>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Max.</w:t>
            </w:r>
          </w:p>
          <w:p w:rsidR="0099196A" w:rsidRPr="00975603" w:rsidRDefault="0099196A" w:rsidP="009E0366">
            <w:pPr>
              <w:keepNext/>
              <w:jc w:val="center"/>
              <w:rPr>
                <w:rFonts w:ascii="Arial Narrow" w:hAnsi="Arial Narrow"/>
                <w:sz w:val="20"/>
              </w:rPr>
            </w:pPr>
            <w:r w:rsidRPr="00975603">
              <w:rPr>
                <w:rFonts w:ascii="Arial Narrow" w:hAnsi="Arial Narrow"/>
                <w:sz w:val="20"/>
              </w:rPr>
              <w:t>Amount</w:t>
            </w:r>
          </w:p>
        </w:tc>
        <w:tc>
          <w:tcPr>
            <w:tcW w:w="420" w:type="pct"/>
            <w:tcBorders>
              <w:bottom w:val="single" w:sz="4" w:space="0" w:color="auto"/>
            </w:tcBorders>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№.of</w:t>
            </w:r>
          </w:p>
          <w:p w:rsidR="0099196A" w:rsidRPr="00975603" w:rsidRDefault="0099196A" w:rsidP="009E0366">
            <w:pPr>
              <w:keepNext/>
              <w:jc w:val="center"/>
              <w:rPr>
                <w:rFonts w:ascii="Arial Narrow" w:hAnsi="Arial Narrow"/>
                <w:sz w:val="20"/>
              </w:rPr>
            </w:pPr>
            <w:r w:rsidRPr="00975603">
              <w:rPr>
                <w:rFonts w:ascii="Arial Narrow" w:hAnsi="Arial Narrow"/>
                <w:sz w:val="20"/>
              </w:rPr>
              <w:t>Rpts</w:t>
            </w:r>
          </w:p>
        </w:tc>
        <w:tc>
          <w:tcPr>
            <w:tcW w:w="1009" w:type="pct"/>
            <w:tcBorders>
              <w:bottom w:val="single" w:sz="4" w:space="0" w:color="auto"/>
            </w:tcBorders>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Dispensed Price for Max. Amount</w:t>
            </w:r>
          </w:p>
        </w:tc>
        <w:tc>
          <w:tcPr>
            <w:tcW w:w="1214" w:type="pct"/>
            <w:gridSpan w:val="2"/>
            <w:tcBorders>
              <w:bottom w:val="single" w:sz="4" w:space="0" w:color="auto"/>
            </w:tcBorders>
            <w:vAlign w:val="center"/>
          </w:tcPr>
          <w:p w:rsidR="0099196A" w:rsidRPr="00975603" w:rsidRDefault="0099196A" w:rsidP="009E0366">
            <w:pPr>
              <w:keepNext/>
              <w:jc w:val="center"/>
              <w:rPr>
                <w:rFonts w:ascii="Arial Narrow" w:hAnsi="Arial Narrow"/>
                <w:sz w:val="20"/>
                <w:lang w:val="fr-FR"/>
              </w:rPr>
            </w:pPr>
            <w:r w:rsidRPr="00975603">
              <w:rPr>
                <w:rFonts w:ascii="Arial Narrow" w:hAnsi="Arial Narrow"/>
                <w:sz w:val="20"/>
              </w:rPr>
              <w:t>Proprietary Name and Manufacturer</w:t>
            </w:r>
          </w:p>
        </w:tc>
      </w:tr>
      <w:tr w:rsidR="0099196A" w:rsidRPr="00975603" w:rsidTr="009E0366">
        <w:trPr>
          <w:cantSplit/>
          <w:trHeight w:val="567"/>
        </w:trPr>
        <w:tc>
          <w:tcPr>
            <w:tcW w:w="1975" w:type="pct"/>
            <w:gridSpan w:val="2"/>
            <w:vAlign w:val="center"/>
          </w:tcPr>
          <w:p w:rsidR="0099196A" w:rsidRPr="00975603" w:rsidRDefault="0099196A" w:rsidP="009E0366">
            <w:pPr>
              <w:keepNext/>
              <w:jc w:val="left"/>
              <w:rPr>
                <w:rFonts w:ascii="Arial Narrow" w:hAnsi="Arial Narrow"/>
                <w:sz w:val="20"/>
              </w:rPr>
            </w:pPr>
            <w:r w:rsidRPr="00975603">
              <w:rPr>
                <w:rFonts w:ascii="Arial Narrow" w:hAnsi="Arial Narrow"/>
                <w:smallCaps/>
                <w:sz w:val="20"/>
              </w:rPr>
              <w:t>PEMBROLIZUMAB</w:t>
            </w:r>
          </w:p>
          <w:p w:rsidR="0099196A" w:rsidRPr="00975603" w:rsidRDefault="0099196A" w:rsidP="009E0366">
            <w:pPr>
              <w:keepNext/>
              <w:rPr>
                <w:rFonts w:ascii="Arial Narrow" w:hAnsi="Arial Narrow"/>
                <w:sz w:val="20"/>
              </w:rPr>
            </w:pPr>
            <w:r w:rsidRPr="00975603">
              <w:rPr>
                <w:rFonts w:ascii="Arial Narrow" w:hAnsi="Arial Narrow"/>
                <w:b/>
                <w:sz w:val="20"/>
              </w:rPr>
              <w:t>Initial treatment</w:t>
            </w:r>
          </w:p>
          <w:p w:rsidR="0099196A" w:rsidRPr="00975603" w:rsidRDefault="0099196A" w:rsidP="009E0366">
            <w:pPr>
              <w:keepNext/>
              <w:jc w:val="left"/>
              <w:rPr>
                <w:rFonts w:ascii="Arial Narrow" w:hAnsi="Arial Narrow"/>
                <w:sz w:val="20"/>
              </w:rPr>
            </w:pPr>
            <w:r w:rsidRPr="00975603">
              <w:rPr>
                <w:rFonts w:ascii="Arial Narrow" w:hAnsi="Arial Narrow"/>
                <w:sz w:val="20"/>
              </w:rPr>
              <w:t>Powder for injection, 50 mg</w:t>
            </w:r>
          </w:p>
        </w:tc>
        <w:tc>
          <w:tcPr>
            <w:tcW w:w="382" w:type="pct"/>
            <w:vAlign w:val="center"/>
          </w:tcPr>
          <w:p w:rsidR="0099196A" w:rsidRPr="00975603" w:rsidRDefault="0099196A" w:rsidP="009E0366">
            <w:pPr>
              <w:keepNext/>
              <w:rPr>
                <w:rFonts w:ascii="Arial Narrow" w:hAnsi="Arial Narrow"/>
                <w:sz w:val="20"/>
              </w:rPr>
            </w:pPr>
          </w:p>
          <w:p w:rsidR="0099196A" w:rsidRPr="00975603" w:rsidRDefault="0099196A" w:rsidP="009E0366">
            <w:pPr>
              <w:keepNext/>
              <w:rPr>
                <w:rFonts w:ascii="Arial Narrow" w:hAnsi="Arial Narrow"/>
                <w:sz w:val="20"/>
              </w:rPr>
            </w:pPr>
          </w:p>
          <w:p w:rsidR="0099196A" w:rsidRPr="00975603" w:rsidRDefault="0099196A" w:rsidP="009E0366">
            <w:pPr>
              <w:keepNext/>
              <w:jc w:val="center"/>
              <w:rPr>
                <w:rFonts w:ascii="Arial Narrow" w:hAnsi="Arial Narrow"/>
                <w:sz w:val="20"/>
              </w:rPr>
            </w:pPr>
            <w:r w:rsidRPr="00975603">
              <w:rPr>
                <w:rFonts w:ascii="Arial Narrow" w:hAnsi="Arial Narrow"/>
                <w:sz w:val="20"/>
              </w:rPr>
              <w:t>240 mg</w:t>
            </w:r>
          </w:p>
        </w:tc>
        <w:tc>
          <w:tcPr>
            <w:tcW w:w="420" w:type="pct"/>
            <w:vAlign w:val="center"/>
          </w:tcPr>
          <w:p w:rsidR="0099196A" w:rsidRPr="00975603" w:rsidRDefault="0099196A" w:rsidP="009E0366">
            <w:pPr>
              <w:keepNext/>
              <w:rPr>
                <w:rFonts w:ascii="Arial Narrow" w:hAnsi="Arial Narrow"/>
                <w:sz w:val="20"/>
              </w:rPr>
            </w:pPr>
          </w:p>
          <w:p w:rsidR="0099196A" w:rsidRPr="00975603" w:rsidRDefault="0099196A" w:rsidP="009E0366">
            <w:pPr>
              <w:keepNext/>
              <w:rPr>
                <w:rFonts w:ascii="Arial Narrow" w:hAnsi="Arial Narrow"/>
                <w:sz w:val="20"/>
              </w:rPr>
            </w:pPr>
          </w:p>
          <w:p w:rsidR="0099196A" w:rsidRPr="00975603" w:rsidRDefault="0099196A" w:rsidP="009E0366">
            <w:pPr>
              <w:keepNext/>
              <w:jc w:val="center"/>
              <w:rPr>
                <w:rFonts w:ascii="Arial Narrow" w:hAnsi="Arial Narrow"/>
                <w:sz w:val="20"/>
              </w:rPr>
            </w:pPr>
            <w:r w:rsidRPr="00975603">
              <w:rPr>
                <w:rFonts w:ascii="Arial Narrow" w:hAnsi="Arial Narrow"/>
                <w:sz w:val="20"/>
              </w:rPr>
              <w:t>5</w:t>
            </w:r>
          </w:p>
        </w:tc>
        <w:tc>
          <w:tcPr>
            <w:tcW w:w="1009" w:type="pct"/>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w:t>
            </w:r>
            <w:r w:rsidR="00112B75">
              <w:rPr>
                <w:rFonts w:ascii="Arial Narrow" w:hAnsi="Arial Narrow"/>
                <w:noProof/>
                <w:color w:val="000000"/>
                <w:sz w:val="20"/>
                <w:highlight w:val="black"/>
              </w:rPr>
              <w:t>''''''''''''''''''''''''</w:t>
            </w:r>
            <w:r w:rsidRPr="00975603">
              <w:rPr>
                <w:rFonts w:ascii="Arial Narrow" w:hAnsi="Arial Narrow"/>
                <w:sz w:val="20"/>
              </w:rPr>
              <w:t xml:space="preserve"> (public)</w:t>
            </w:r>
          </w:p>
          <w:p w:rsidR="0099196A" w:rsidRPr="00975603" w:rsidRDefault="0099196A" w:rsidP="009E0366">
            <w:pPr>
              <w:keepNext/>
              <w:jc w:val="center"/>
              <w:rPr>
                <w:rFonts w:ascii="Arial Narrow" w:hAnsi="Arial Narrow"/>
                <w:sz w:val="20"/>
              </w:rPr>
            </w:pPr>
            <w:r w:rsidRPr="00975603">
              <w:rPr>
                <w:rFonts w:ascii="Arial Narrow" w:hAnsi="Arial Narrow"/>
                <w:sz w:val="20"/>
              </w:rPr>
              <w:t>$</w:t>
            </w:r>
            <w:r w:rsidR="00112B75">
              <w:rPr>
                <w:rFonts w:ascii="Arial Narrow" w:hAnsi="Arial Narrow"/>
                <w:noProof/>
                <w:color w:val="000000"/>
                <w:sz w:val="20"/>
                <w:highlight w:val="black"/>
              </w:rPr>
              <w:t>'''''''''''''''''''''''''</w:t>
            </w:r>
            <w:r w:rsidRPr="00975603">
              <w:rPr>
                <w:rFonts w:ascii="Arial Narrow" w:hAnsi="Arial Narrow"/>
                <w:sz w:val="20"/>
              </w:rPr>
              <w:t xml:space="preserve"> (private)</w:t>
            </w:r>
          </w:p>
        </w:tc>
        <w:tc>
          <w:tcPr>
            <w:tcW w:w="586" w:type="pct"/>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Keytruda</w:t>
            </w:r>
            <w:r w:rsidRPr="00975603">
              <w:rPr>
                <w:rFonts w:ascii="Arial Narrow" w:hAnsi="Arial Narrow"/>
                <w:sz w:val="20"/>
                <w:vertAlign w:val="superscript"/>
              </w:rPr>
              <w:t>®</w:t>
            </w:r>
          </w:p>
        </w:tc>
        <w:tc>
          <w:tcPr>
            <w:tcW w:w="628" w:type="pct"/>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MK</w:t>
            </w:r>
          </w:p>
        </w:tc>
      </w:tr>
    </w:tbl>
    <w:p w:rsidR="0099196A" w:rsidRPr="00975603" w:rsidRDefault="0099196A" w:rsidP="0099196A"/>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6378"/>
      </w:tblGrid>
      <w:tr w:rsidR="0099196A" w:rsidRPr="00975603" w:rsidTr="009E0366">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9196A" w:rsidRPr="00975603" w:rsidRDefault="0099196A" w:rsidP="009E0366">
            <w:pPr>
              <w:snapToGrid w:val="0"/>
              <w:spacing w:line="20" w:lineRule="atLeast"/>
              <w:rPr>
                <w:rFonts w:ascii="Arial Narrow" w:hAnsi="Arial Narrow"/>
                <w:sz w:val="20"/>
                <w:lang w:eastAsia="en-AU"/>
              </w:rPr>
            </w:pPr>
            <w:r w:rsidRPr="00975603">
              <w:rPr>
                <w:rFonts w:ascii="Arial Narrow" w:hAnsi="Arial Narrow"/>
                <w:b/>
                <w:bCs/>
                <w:sz w:val="20"/>
                <w:lang w:eastAsia="en-AU"/>
              </w:rPr>
              <w:t>Treatment phase:  Initial – BRAF V600 mutation negative</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Category / Program</w:t>
            </w:r>
          </w:p>
        </w:tc>
        <w:tc>
          <w:tcPr>
            <w:tcW w:w="3813" w:type="pct"/>
            <w:tcBorders>
              <w:top w:val="single" w:sz="4" w:space="0" w:color="auto"/>
              <w:left w:val="single" w:sz="4" w:space="0" w:color="auto"/>
              <w:bottom w:val="single" w:sz="4" w:space="0" w:color="auto"/>
              <w:right w:val="single" w:sz="4" w:space="0" w:color="auto"/>
            </w:tcBorders>
          </w:tcPr>
          <w:p w:rsidR="0099196A" w:rsidRPr="00975603" w:rsidRDefault="00823A1D" w:rsidP="00823A1D">
            <w:pPr>
              <w:widowControl/>
              <w:jc w:val="left"/>
              <w:rPr>
                <w:rFonts w:ascii="Arial Narrow" w:hAnsi="Arial Narrow"/>
                <w:sz w:val="20"/>
              </w:rPr>
            </w:pPr>
            <w:r>
              <w:rPr>
                <w:rFonts w:ascii="Arial Narrow" w:eastAsia="SimSun" w:hAnsi="Arial Narrow"/>
                <w:snapToGrid/>
                <w:sz w:val="20"/>
                <w:lang w:eastAsia="zh-CN"/>
              </w:rPr>
              <w:t xml:space="preserve">Section 100 </w:t>
            </w:r>
            <w:r w:rsidRPr="00260CE3">
              <w:rPr>
                <w:rFonts w:ascii="Arial Narrow" w:hAnsi="Arial Narrow"/>
                <w:sz w:val="20"/>
              </w:rPr>
              <w:t xml:space="preserve"> – </w:t>
            </w:r>
            <w:r w:rsidR="0099196A" w:rsidRPr="00975603">
              <w:rPr>
                <w:rFonts w:ascii="Arial Narrow" w:eastAsia="SimSun" w:hAnsi="Arial Narrow"/>
                <w:snapToGrid/>
                <w:sz w:val="20"/>
                <w:lang w:eastAsia="zh-CN"/>
              </w:rPr>
              <w:t>Efficient Funding of Chemotherapy</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Prescriber type:</w:t>
            </w:r>
          </w:p>
        </w:tc>
        <w:tc>
          <w:tcPr>
            <w:tcW w:w="3813"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fldChar w:fldCharType="begin">
                <w:ffData>
                  <w:name w:val="Check1"/>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Dental  </w:t>
            </w:r>
            <w:r w:rsidRPr="00975603">
              <w:rPr>
                <w:rFonts w:ascii="Arial Narrow" w:hAnsi="Arial Narrow"/>
                <w:sz w:val="20"/>
              </w:rPr>
              <w:fldChar w:fldCharType="begin">
                <w:ffData>
                  <w:name w:val=""/>
                  <w:enabled/>
                  <w:calcOnExit w:val="0"/>
                  <w:checkBox>
                    <w:sizeAuto/>
                    <w:default w:val="1"/>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Medical Practitioners  </w:t>
            </w:r>
            <w:r w:rsidRPr="00975603">
              <w:rPr>
                <w:rFonts w:ascii="Arial Narrow" w:hAnsi="Arial Narrow"/>
                <w:sz w:val="20"/>
              </w:rPr>
              <w:fldChar w:fldCharType="begin">
                <w:ffData>
                  <w:name w:val="Check3"/>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Nurse practitioners  </w:t>
            </w:r>
            <w:r w:rsidRPr="00975603">
              <w:rPr>
                <w:rFonts w:ascii="Arial Narrow" w:hAnsi="Arial Narrow"/>
                <w:sz w:val="20"/>
              </w:rPr>
              <w:fldChar w:fldCharType="begin">
                <w:ffData>
                  <w:name w:val=""/>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Optometrists</w:t>
            </w:r>
          </w:p>
          <w:p w:rsidR="0099196A" w:rsidRPr="00975603" w:rsidRDefault="0099196A" w:rsidP="009E0366">
            <w:pPr>
              <w:rPr>
                <w:rFonts w:ascii="Arial Narrow" w:hAnsi="Arial Narrow"/>
                <w:sz w:val="20"/>
              </w:rPr>
            </w:pPr>
            <w:r w:rsidRPr="00975603">
              <w:rPr>
                <w:rFonts w:ascii="Arial Narrow" w:hAnsi="Arial Narrow"/>
                <w:sz w:val="20"/>
              </w:rPr>
              <w:fldChar w:fldCharType="begin">
                <w:ffData>
                  <w:name w:val="Check5"/>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Midwives</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Severity:</w:t>
            </w:r>
          </w:p>
        </w:tc>
        <w:tc>
          <w:tcPr>
            <w:tcW w:w="3813"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Unresectable Stage III or Stage IV</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Condition:</w:t>
            </w:r>
          </w:p>
        </w:tc>
        <w:tc>
          <w:tcPr>
            <w:tcW w:w="3813"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Malignant melanoma</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PBS Indication:</w:t>
            </w:r>
          </w:p>
        </w:tc>
        <w:tc>
          <w:tcPr>
            <w:tcW w:w="3813"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Unresectable Stage III or Stage IV malignant melanoma</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Treatment phase:</w:t>
            </w:r>
          </w:p>
        </w:tc>
        <w:tc>
          <w:tcPr>
            <w:tcW w:w="3813"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Initial</w:t>
            </w:r>
          </w:p>
        </w:tc>
      </w:tr>
      <w:tr w:rsidR="00823A1D"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3A1D" w:rsidRPr="00CD28F3" w:rsidRDefault="00823A1D" w:rsidP="00296052">
            <w:pPr>
              <w:rPr>
                <w:rFonts w:ascii="Arial Narrow" w:hAnsi="Arial Narrow"/>
                <w:i/>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3813" w:type="pct"/>
            <w:tcBorders>
              <w:top w:val="single" w:sz="4" w:space="0" w:color="auto"/>
              <w:left w:val="single" w:sz="4" w:space="0" w:color="auto"/>
              <w:bottom w:val="single" w:sz="4" w:space="0" w:color="auto"/>
              <w:right w:val="single" w:sz="4" w:space="0" w:color="auto"/>
            </w:tcBorders>
          </w:tcPr>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823A1D" w:rsidRPr="00260CE3" w:rsidRDefault="00823A1D" w:rsidP="00296052">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823A1D"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3A1D" w:rsidRPr="00975603" w:rsidRDefault="00823A1D" w:rsidP="009E0366">
            <w:pPr>
              <w:rPr>
                <w:rFonts w:ascii="Arial Narrow" w:hAnsi="Arial Narrow"/>
                <w:sz w:val="20"/>
              </w:rPr>
            </w:pPr>
            <w:r w:rsidRPr="00975603">
              <w:rPr>
                <w:rFonts w:ascii="Arial Narrow" w:hAnsi="Arial Narrow"/>
                <w:b/>
                <w:sz w:val="20"/>
              </w:rPr>
              <w:t>Clinical criteria:</w:t>
            </w:r>
          </w:p>
        </w:tc>
        <w:tc>
          <w:tcPr>
            <w:tcW w:w="3813" w:type="pct"/>
            <w:tcBorders>
              <w:top w:val="single" w:sz="4" w:space="0" w:color="auto"/>
              <w:left w:val="single" w:sz="4" w:space="0" w:color="auto"/>
              <w:bottom w:val="single" w:sz="4" w:space="0" w:color="auto"/>
              <w:right w:val="single" w:sz="4" w:space="0" w:color="auto"/>
            </w:tcBorders>
          </w:tcPr>
          <w:p w:rsidR="00823A1D" w:rsidRPr="00975603" w:rsidRDefault="00823A1D" w:rsidP="009E0366">
            <w:pPr>
              <w:snapToGrid w:val="0"/>
              <w:spacing w:line="20" w:lineRule="atLeast"/>
              <w:rPr>
                <w:rFonts w:ascii="Arial Narrow" w:hAnsi="Arial Narrow"/>
                <w:sz w:val="20"/>
                <w:lang w:eastAsia="en-AU"/>
              </w:rPr>
            </w:pPr>
            <w:r w:rsidRPr="00975603">
              <w:rPr>
                <w:rFonts w:ascii="Arial Narrow" w:hAnsi="Arial Narrow"/>
                <w:sz w:val="20"/>
                <w:lang w:eastAsia="en-AU"/>
              </w:rPr>
              <w:t>Treatment must be the sole PBS-subsidised therapy for this condition</w:t>
            </w:r>
            <w:r>
              <w:rPr>
                <w:rFonts w:ascii="Arial Narrow" w:hAnsi="Arial Narrow"/>
                <w:sz w:val="20"/>
                <w:lang w:eastAsia="en-AU"/>
              </w:rPr>
              <w:t>;</w:t>
            </w:r>
          </w:p>
          <w:p w:rsidR="00823A1D" w:rsidRPr="00975603" w:rsidRDefault="00823A1D" w:rsidP="009E0366">
            <w:pPr>
              <w:snapToGrid w:val="0"/>
              <w:spacing w:line="20" w:lineRule="atLeast"/>
              <w:rPr>
                <w:rFonts w:ascii="Arial Narrow" w:hAnsi="Arial Narrow"/>
                <w:sz w:val="20"/>
                <w:lang w:eastAsia="en-AU"/>
              </w:rPr>
            </w:pPr>
          </w:p>
          <w:p w:rsidR="00823A1D" w:rsidRPr="00975603" w:rsidRDefault="00823A1D" w:rsidP="009E0366">
            <w:pPr>
              <w:snapToGrid w:val="0"/>
              <w:spacing w:line="20" w:lineRule="atLeast"/>
              <w:rPr>
                <w:rFonts w:ascii="Arial Narrow" w:hAnsi="Arial Narrow"/>
                <w:sz w:val="20"/>
                <w:lang w:eastAsia="en-AU"/>
              </w:rPr>
            </w:pPr>
            <w:r w:rsidRPr="00975603">
              <w:rPr>
                <w:rFonts w:ascii="Arial Narrow" w:hAnsi="Arial Narrow"/>
                <w:sz w:val="20"/>
                <w:lang w:eastAsia="en-AU"/>
              </w:rPr>
              <w:t>AND</w:t>
            </w:r>
          </w:p>
          <w:p w:rsidR="00823A1D" w:rsidRPr="00975603" w:rsidRDefault="00823A1D" w:rsidP="009E0366">
            <w:pPr>
              <w:snapToGrid w:val="0"/>
              <w:spacing w:line="20" w:lineRule="atLeast"/>
              <w:rPr>
                <w:rFonts w:ascii="Arial Narrow" w:hAnsi="Arial Narrow"/>
                <w:sz w:val="20"/>
                <w:lang w:eastAsia="en-AU"/>
              </w:rPr>
            </w:pPr>
          </w:p>
          <w:p w:rsidR="00823A1D" w:rsidRPr="00975603" w:rsidRDefault="00823A1D" w:rsidP="009E0366">
            <w:pPr>
              <w:snapToGrid w:val="0"/>
              <w:spacing w:line="20" w:lineRule="atLeast"/>
              <w:rPr>
                <w:rFonts w:ascii="Arial Narrow" w:hAnsi="Arial Narrow"/>
                <w:sz w:val="20"/>
                <w:lang w:eastAsia="en-AU"/>
              </w:rPr>
            </w:pPr>
            <w:r w:rsidRPr="00975603">
              <w:rPr>
                <w:rFonts w:ascii="Arial Narrow" w:hAnsi="Arial Narrow"/>
                <w:sz w:val="20"/>
                <w:lang w:eastAsia="en-AU"/>
              </w:rPr>
              <w:t>The patient must be negative for a BRAF V600 mutation</w:t>
            </w:r>
            <w:r>
              <w:rPr>
                <w:rFonts w:ascii="Arial Narrow" w:hAnsi="Arial Narrow"/>
                <w:sz w:val="20"/>
                <w:lang w:eastAsia="en-AU"/>
              </w:rPr>
              <w:t>;</w:t>
            </w:r>
          </w:p>
          <w:p w:rsidR="00823A1D" w:rsidRPr="00823A1D" w:rsidRDefault="00823A1D" w:rsidP="00823A1D">
            <w:pPr>
              <w:rPr>
                <w:rFonts w:ascii="Arial Narrow" w:hAnsi="Arial Narrow"/>
                <w:sz w:val="20"/>
              </w:rPr>
            </w:pPr>
          </w:p>
          <w:p w:rsidR="00823A1D" w:rsidRPr="00823A1D" w:rsidRDefault="00823A1D" w:rsidP="00823A1D">
            <w:pPr>
              <w:rPr>
                <w:rFonts w:ascii="Arial Narrow" w:hAnsi="Arial Narrow"/>
                <w:sz w:val="20"/>
              </w:rPr>
            </w:pPr>
            <w:r w:rsidRPr="00823A1D">
              <w:rPr>
                <w:rFonts w:ascii="Arial Narrow" w:hAnsi="Arial Narrow"/>
                <w:sz w:val="20"/>
              </w:rPr>
              <w:t>AND</w:t>
            </w:r>
          </w:p>
          <w:p w:rsidR="00823A1D" w:rsidRPr="00823A1D" w:rsidRDefault="00823A1D" w:rsidP="00823A1D">
            <w:pPr>
              <w:rPr>
                <w:rFonts w:ascii="Arial Narrow" w:hAnsi="Arial Narrow"/>
                <w:sz w:val="20"/>
              </w:rPr>
            </w:pPr>
          </w:p>
          <w:p w:rsidR="00823A1D" w:rsidRPr="00823A1D" w:rsidRDefault="00823A1D" w:rsidP="00823A1D">
            <w:pPr>
              <w:rPr>
                <w:rFonts w:ascii="Arial Narrow" w:hAnsi="Arial Narrow"/>
                <w:sz w:val="20"/>
              </w:rPr>
            </w:pPr>
            <w:r w:rsidRPr="00823A1D">
              <w:rPr>
                <w:rFonts w:ascii="Arial Narrow" w:hAnsi="Arial Narrow"/>
                <w:sz w:val="20"/>
              </w:rPr>
              <w:t>The condition must be previously untreated;</w:t>
            </w:r>
          </w:p>
          <w:p w:rsidR="00823A1D" w:rsidRPr="00823A1D" w:rsidRDefault="00823A1D" w:rsidP="00823A1D">
            <w:pPr>
              <w:rPr>
                <w:rFonts w:ascii="Arial Narrow" w:hAnsi="Arial Narrow"/>
                <w:sz w:val="20"/>
              </w:rPr>
            </w:pPr>
          </w:p>
          <w:p w:rsidR="00823A1D" w:rsidRPr="00823A1D" w:rsidRDefault="00823A1D" w:rsidP="00823A1D">
            <w:pPr>
              <w:rPr>
                <w:rFonts w:ascii="Arial Narrow" w:hAnsi="Arial Narrow"/>
                <w:sz w:val="20"/>
              </w:rPr>
            </w:pPr>
            <w:r w:rsidRPr="00823A1D">
              <w:rPr>
                <w:rFonts w:ascii="Arial Narrow" w:hAnsi="Arial Narrow"/>
                <w:sz w:val="20"/>
              </w:rPr>
              <w:t>AND</w:t>
            </w:r>
          </w:p>
          <w:p w:rsidR="00823A1D" w:rsidRPr="00823A1D" w:rsidRDefault="00823A1D" w:rsidP="00823A1D">
            <w:pPr>
              <w:rPr>
                <w:rFonts w:ascii="Arial Narrow" w:hAnsi="Arial Narrow"/>
                <w:sz w:val="20"/>
              </w:rPr>
            </w:pPr>
          </w:p>
          <w:p w:rsidR="00823A1D" w:rsidRPr="00975603" w:rsidRDefault="00823A1D" w:rsidP="00823A1D">
            <w:pPr>
              <w:rPr>
                <w:rFonts w:ascii="Arial Narrow" w:hAnsi="Arial Narrow"/>
                <w:sz w:val="20"/>
              </w:rPr>
            </w:pPr>
            <w:r w:rsidRPr="00823A1D">
              <w:rPr>
                <w:rFonts w:ascii="Arial Narrow" w:hAnsi="Arial Narrow"/>
                <w:sz w:val="20"/>
              </w:rPr>
              <w:t>The treatment must not exceed a total of 6 doses at a maximum dose of 2mg/kg every 3 weeks.</w:t>
            </w:r>
          </w:p>
        </w:tc>
      </w:tr>
      <w:tr w:rsidR="00823A1D"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3A1D" w:rsidRPr="00260CE3" w:rsidRDefault="00823A1D" w:rsidP="00296052">
            <w:pPr>
              <w:rPr>
                <w:rFonts w:ascii="Arial Narrow" w:hAnsi="Arial Narrow"/>
                <w:sz w:val="20"/>
              </w:rPr>
            </w:pPr>
            <w:r w:rsidRPr="00260CE3">
              <w:rPr>
                <w:rFonts w:ascii="Arial Narrow" w:hAnsi="Arial Narrow"/>
                <w:b/>
                <w:sz w:val="20"/>
              </w:rPr>
              <w:t>Prescriber Instructions</w:t>
            </w:r>
          </w:p>
        </w:tc>
        <w:tc>
          <w:tcPr>
            <w:tcW w:w="3813" w:type="pct"/>
            <w:tcBorders>
              <w:top w:val="single" w:sz="4" w:space="0" w:color="auto"/>
              <w:left w:val="single" w:sz="4" w:space="0" w:color="auto"/>
              <w:bottom w:val="single" w:sz="4" w:space="0" w:color="auto"/>
              <w:right w:val="single" w:sz="4" w:space="0" w:color="auto"/>
            </w:tcBorders>
          </w:tcPr>
          <w:p w:rsidR="00823A1D" w:rsidRPr="00823A1D" w:rsidRDefault="00823A1D" w:rsidP="00296052">
            <w:pPr>
              <w:rPr>
                <w:rFonts w:ascii="Arial Narrow" w:hAnsi="Arial Narrow"/>
                <w:sz w:val="20"/>
              </w:rPr>
            </w:pPr>
            <w:r w:rsidRPr="00823A1D">
              <w:rPr>
                <w:rFonts w:ascii="Arial Narrow" w:hAnsi="Arial Narrow"/>
                <w:sz w:val="20"/>
              </w:rPr>
              <w:t>The patient’s body weight must be documented in the patient’s medical records at the time treatment is initiated.</w:t>
            </w:r>
          </w:p>
        </w:tc>
      </w:tr>
      <w:tr w:rsidR="00823A1D"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3A1D" w:rsidRPr="00975603" w:rsidRDefault="00823A1D" w:rsidP="009E0366">
            <w:pPr>
              <w:rPr>
                <w:rFonts w:ascii="Arial Narrow" w:hAnsi="Arial Narrow"/>
                <w:i/>
                <w:sz w:val="20"/>
              </w:rPr>
            </w:pPr>
            <w:r w:rsidRPr="00975603">
              <w:rPr>
                <w:rFonts w:ascii="Arial Narrow" w:hAnsi="Arial Narrow"/>
                <w:b/>
                <w:sz w:val="20"/>
              </w:rPr>
              <w:t>Administrative Advice</w:t>
            </w:r>
          </w:p>
        </w:tc>
        <w:tc>
          <w:tcPr>
            <w:tcW w:w="3813" w:type="pct"/>
            <w:tcBorders>
              <w:top w:val="single" w:sz="4" w:space="0" w:color="auto"/>
              <w:left w:val="single" w:sz="4" w:space="0" w:color="auto"/>
              <w:bottom w:val="single" w:sz="4" w:space="0" w:color="auto"/>
              <w:right w:val="single" w:sz="4" w:space="0" w:color="auto"/>
            </w:tcBorders>
          </w:tcPr>
          <w:p w:rsidR="00823A1D" w:rsidRPr="00975603" w:rsidRDefault="00823A1D" w:rsidP="009E0366">
            <w:pPr>
              <w:rPr>
                <w:rFonts w:ascii="Arial Narrow" w:hAnsi="Arial Narrow"/>
                <w:sz w:val="20"/>
              </w:rPr>
            </w:pPr>
            <w:r w:rsidRPr="00975603">
              <w:rPr>
                <w:rFonts w:ascii="Arial Narrow" w:hAnsi="Arial Narrow"/>
                <w:sz w:val="20"/>
                <w:lang w:eastAsia="en-AU"/>
              </w:rPr>
              <w:t>Note:  In the first few months after start of immunotherapy, some patients can have a transient tumour flare with subsequent disease response.  When progression is suspected, this should be confirmed through a confirmatory scan, taken at least 4 weeks later.</w:t>
            </w:r>
          </w:p>
          <w:p w:rsidR="00823A1D" w:rsidRPr="00975603" w:rsidRDefault="00823A1D" w:rsidP="009E0366">
            <w:pPr>
              <w:rPr>
                <w:rFonts w:ascii="Arial Narrow" w:hAnsi="Arial Narrow"/>
                <w:sz w:val="20"/>
              </w:rPr>
            </w:pPr>
          </w:p>
          <w:p w:rsidR="00823A1D" w:rsidRPr="00975603" w:rsidRDefault="00823A1D" w:rsidP="00823A1D">
            <w:pPr>
              <w:rPr>
                <w:rFonts w:ascii="Arial Narrow" w:hAnsi="Arial Narrow"/>
                <w:sz w:val="20"/>
              </w:rPr>
            </w:pPr>
            <w:r w:rsidRPr="00975603">
              <w:rPr>
                <w:rFonts w:ascii="Arial Narrow" w:hAnsi="Arial Narrow"/>
                <w:sz w:val="20"/>
              </w:rPr>
              <w:t>No increase in the maximum number of repeats may be authorised.</w:t>
            </w:r>
          </w:p>
        </w:tc>
      </w:tr>
    </w:tbl>
    <w:p w:rsidR="0099196A" w:rsidRPr="00975603" w:rsidRDefault="0099196A" w:rsidP="0099196A"/>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6356"/>
        <w:gridCol w:w="22"/>
      </w:tblGrid>
      <w:tr w:rsidR="0099196A" w:rsidRPr="00975603" w:rsidTr="009E0366">
        <w:trPr>
          <w:gridAfter w:val="1"/>
          <w:wAfter w:w="13" w:type="pct"/>
          <w:trHeight w:val="20"/>
        </w:trPr>
        <w:tc>
          <w:tcPr>
            <w:tcW w:w="4987" w:type="pct"/>
            <w:gridSpan w:val="2"/>
            <w:tcBorders>
              <w:top w:val="single" w:sz="4" w:space="0" w:color="auto"/>
              <w:left w:val="single" w:sz="4" w:space="0" w:color="auto"/>
              <w:bottom w:val="single" w:sz="4" w:space="0" w:color="auto"/>
              <w:right w:val="single" w:sz="4" w:space="0" w:color="auto"/>
            </w:tcBorders>
            <w:vAlign w:val="center"/>
            <w:hideMark/>
          </w:tcPr>
          <w:p w:rsidR="0099196A" w:rsidRPr="00975603" w:rsidRDefault="0099196A" w:rsidP="009E0366">
            <w:pPr>
              <w:snapToGrid w:val="0"/>
              <w:spacing w:line="20" w:lineRule="atLeast"/>
              <w:rPr>
                <w:rFonts w:ascii="Arial Narrow" w:hAnsi="Arial Narrow"/>
                <w:sz w:val="20"/>
                <w:lang w:eastAsia="en-AU"/>
              </w:rPr>
            </w:pPr>
            <w:r w:rsidRPr="00975603">
              <w:rPr>
                <w:rFonts w:ascii="Arial Narrow" w:hAnsi="Arial Narrow"/>
                <w:b/>
                <w:bCs/>
                <w:sz w:val="20"/>
                <w:lang w:eastAsia="en-AU"/>
              </w:rPr>
              <w:t>Treatment phase:  Initial – BRAF V600 mutation positive</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Category / Program</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823A1D" w:rsidP="00823A1D">
            <w:pPr>
              <w:widowControl/>
              <w:jc w:val="left"/>
              <w:rPr>
                <w:rFonts w:ascii="Arial Narrow" w:hAnsi="Arial Narrow"/>
                <w:sz w:val="20"/>
              </w:rPr>
            </w:pPr>
            <w:r>
              <w:rPr>
                <w:rFonts w:ascii="Arial Narrow" w:eastAsia="SimSun" w:hAnsi="Arial Narrow"/>
                <w:snapToGrid/>
                <w:sz w:val="20"/>
                <w:lang w:eastAsia="zh-CN"/>
              </w:rPr>
              <w:t xml:space="preserve">Section 100 </w:t>
            </w:r>
            <w:r w:rsidRPr="00260CE3">
              <w:rPr>
                <w:rFonts w:ascii="Arial Narrow" w:hAnsi="Arial Narrow"/>
                <w:sz w:val="20"/>
              </w:rPr>
              <w:t xml:space="preserve">– </w:t>
            </w:r>
            <w:r w:rsidR="0099196A" w:rsidRPr="00975603">
              <w:rPr>
                <w:rFonts w:ascii="Arial Narrow" w:eastAsia="SimSun" w:hAnsi="Arial Narrow"/>
                <w:snapToGrid/>
                <w:sz w:val="20"/>
                <w:lang w:eastAsia="zh-CN"/>
              </w:rPr>
              <w:t>Efficient Funding of Chemotherapy</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Prescriber type:</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fldChar w:fldCharType="begin">
                <w:ffData>
                  <w:name w:val="Check1"/>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Dental  </w:t>
            </w:r>
            <w:r w:rsidRPr="00975603">
              <w:rPr>
                <w:rFonts w:ascii="Arial Narrow" w:hAnsi="Arial Narrow"/>
                <w:sz w:val="20"/>
              </w:rPr>
              <w:fldChar w:fldCharType="begin">
                <w:ffData>
                  <w:name w:val=""/>
                  <w:enabled/>
                  <w:calcOnExit w:val="0"/>
                  <w:checkBox>
                    <w:sizeAuto/>
                    <w:default w:val="1"/>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Medical Practitioners  </w:t>
            </w:r>
            <w:r w:rsidRPr="00975603">
              <w:rPr>
                <w:rFonts w:ascii="Arial Narrow" w:hAnsi="Arial Narrow"/>
                <w:sz w:val="20"/>
              </w:rPr>
              <w:fldChar w:fldCharType="begin">
                <w:ffData>
                  <w:name w:val="Check3"/>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Nurse practitioners  </w:t>
            </w:r>
            <w:r w:rsidRPr="00975603">
              <w:rPr>
                <w:rFonts w:ascii="Arial Narrow" w:hAnsi="Arial Narrow"/>
                <w:sz w:val="20"/>
              </w:rPr>
              <w:fldChar w:fldCharType="begin">
                <w:ffData>
                  <w:name w:val=""/>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Optometrists</w:t>
            </w:r>
          </w:p>
          <w:p w:rsidR="0099196A" w:rsidRPr="00975603" w:rsidRDefault="0099196A" w:rsidP="009E0366">
            <w:pPr>
              <w:rPr>
                <w:rFonts w:ascii="Arial Narrow" w:hAnsi="Arial Narrow"/>
                <w:sz w:val="20"/>
              </w:rPr>
            </w:pPr>
            <w:r w:rsidRPr="00975603">
              <w:rPr>
                <w:rFonts w:ascii="Arial Narrow" w:hAnsi="Arial Narrow"/>
                <w:sz w:val="20"/>
              </w:rPr>
              <w:fldChar w:fldCharType="begin">
                <w:ffData>
                  <w:name w:val="Check5"/>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Midwives</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Severity:</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Unresectable Stage III or Stage IV</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lastRenderedPageBreak/>
              <w:t>Condition:</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Malignant melanoma</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PBS Indication:</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Unresectable Stage III or Stage IV malignant melanoma</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Treatment phase:</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Initial</w:t>
            </w:r>
          </w:p>
        </w:tc>
      </w:tr>
      <w:tr w:rsidR="00823A1D"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3A1D" w:rsidRPr="004C726B" w:rsidRDefault="00823A1D" w:rsidP="0029605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3813" w:type="pct"/>
            <w:gridSpan w:val="2"/>
            <w:tcBorders>
              <w:top w:val="single" w:sz="4" w:space="0" w:color="auto"/>
              <w:left w:val="single" w:sz="4" w:space="0" w:color="auto"/>
              <w:bottom w:val="single" w:sz="4" w:space="0" w:color="auto"/>
              <w:right w:val="single" w:sz="4" w:space="0" w:color="auto"/>
            </w:tcBorders>
          </w:tcPr>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823A1D" w:rsidRPr="00106BCF" w:rsidRDefault="00823A1D" w:rsidP="0029605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823A1D" w:rsidRPr="00260CE3" w:rsidRDefault="00823A1D" w:rsidP="0029605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823A1D"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823A1D" w:rsidRPr="00975603" w:rsidRDefault="00823A1D" w:rsidP="009E0366">
            <w:pPr>
              <w:rPr>
                <w:rFonts w:ascii="Arial Narrow" w:hAnsi="Arial Narrow"/>
                <w:sz w:val="20"/>
              </w:rPr>
            </w:pPr>
            <w:r w:rsidRPr="00975603">
              <w:rPr>
                <w:rFonts w:ascii="Arial Narrow" w:hAnsi="Arial Narrow"/>
                <w:b/>
                <w:sz w:val="20"/>
              </w:rPr>
              <w:t>Clinical criteria:</w:t>
            </w:r>
          </w:p>
        </w:tc>
        <w:tc>
          <w:tcPr>
            <w:tcW w:w="3813" w:type="pct"/>
            <w:gridSpan w:val="2"/>
            <w:tcBorders>
              <w:top w:val="single" w:sz="4" w:space="0" w:color="auto"/>
              <w:left w:val="single" w:sz="4" w:space="0" w:color="auto"/>
              <w:bottom w:val="single" w:sz="4" w:space="0" w:color="auto"/>
              <w:right w:val="single" w:sz="4" w:space="0" w:color="auto"/>
            </w:tcBorders>
          </w:tcPr>
          <w:p w:rsidR="00823A1D" w:rsidRPr="00975603" w:rsidRDefault="00823A1D" w:rsidP="009E0366">
            <w:pPr>
              <w:snapToGrid w:val="0"/>
              <w:spacing w:line="20" w:lineRule="atLeast"/>
              <w:rPr>
                <w:rFonts w:ascii="Arial Narrow" w:hAnsi="Arial Narrow"/>
                <w:sz w:val="20"/>
                <w:lang w:eastAsia="en-AU"/>
              </w:rPr>
            </w:pPr>
            <w:r w:rsidRPr="00975603">
              <w:rPr>
                <w:rFonts w:ascii="Arial Narrow" w:hAnsi="Arial Narrow"/>
                <w:sz w:val="20"/>
                <w:lang w:eastAsia="en-AU"/>
              </w:rPr>
              <w:t>Treatment must be the sole PBS-subsidised therapy for this condition</w:t>
            </w:r>
            <w:r w:rsidR="002A3077">
              <w:rPr>
                <w:rFonts w:ascii="Arial Narrow" w:hAnsi="Arial Narrow"/>
                <w:sz w:val="20"/>
                <w:lang w:eastAsia="en-AU"/>
              </w:rPr>
              <w:t>;</w:t>
            </w:r>
          </w:p>
          <w:p w:rsidR="00823A1D" w:rsidRPr="00975603" w:rsidRDefault="00823A1D" w:rsidP="009E0366">
            <w:pPr>
              <w:snapToGrid w:val="0"/>
              <w:spacing w:line="20" w:lineRule="atLeast"/>
              <w:rPr>
                <w:rFonts w:ascii="Arial Narrow" w:hAnsi="Arial Narrow"/>
                <w:sz w:val="20"/>
                <w:lang w:eastAsia="en-AU"/>
              </w:rPr>
            </w:pPr>
          </w:p>
          <w:p w:rsidR="00823A1D" w:rsidRPr="00975603" w:rsidRDefault="00823A1D" w:rsidP="009E0366">
            <w:pPr>
              <w:snapToGrid w:val="0"/>
              <w:spacing w:line="20" w:lineRule="atLeast"/>
              <w:rPr>
                <w:rFonts w:ascii="Arial Narrow" w:hAnsi="Arial Narrow"/>
                <w:sz w:val="20"/>
                <w:lang w:eastAsia="en-AU"/>
              </w:rPr>
            </w:pPr>
            <w:r w:rsidRPr="00975603">
              <w:rPr>
                <w:rFonts w:ascii="Arial Narrow" w:hAnsi="Arial Narrow"/>
                <w:sz w:val="20"/>
                <w:lang w:eastAsia="en-AU"/>
              </w:rPr>
              <w:t>AND</w:t>
            </w:r>
          </w:p>
          <w:p w:rsidR="00823A1D" w:rsidRPr="00975603" w:rsidRDefault="00823A1D" w:rsidP="009E0366">
            <w:pPr>
              <w:snapToGrid w:val="0"/>
              <w:spacing w:line="20" w:lineRule="atLeast"/>
              <w:rPr>
                <w:rFonts w:ascii="Arial Narrow" w:hAnsi="Arial Narrow"/>
                <w:sz w:val="20"/>
                <w:lang w:eastAsia="en-AU"/>
              </w:rPr>
            </w:pPr>
          </w:p>
          <w:p w:rsidR="00823A1D" w:rsidRPr="00975603" w:rsidRDefault="00823A1D" w:rsidP="009E0366">
            <w:pPr>
              <w:snapToGrid w:val="0"/>
              <w:spacing w:line="20" w:lineRule="atLeast"/>
              <w:rPr>
                <w:rFonts w:ascii="Arial Narrow" w:hAnsi="Arial Narrow"/>
                <w:sz w:val="20"/>
                <w:lang w:eastAsia="en-AU"/>
              </w:rPr>
            </w:pPr>
            <w:r w:rsidRPr="00975603">
              <w:rPr>
                <w:rFonts w:ascii="Arial Narrow" w:hAnsi="Arial Narrow"/>
                <w:sz w:val="20"/>
                <w:lang w:eastAsia="en-AU"/>
              </w:rPr>
              <w:t>The patient must be positive for a BRAF V600 mutation</w:t>
            </w:r>
            <w:r w:rsidR="002A3077">
              <w:rPr>
                <w:rFonts w:ascii="Arial Narrow" w:hAnsi="Arial Narrow"/>
                <w:sz w:val="20"/>
                <w:lang w:eastAsia="en-AU"/>
              </w:rPr>
              <w:t>;</w:t>
            </w:r>
          </w:p>
          <w:p w:rsidR="00823A1D" w:rsidRPr="00975603" w:rsidRDefault="00823A1D" w:rsidP="009E0366">
            <w:pPr>
              <w:snapToGrid w:val="0"/>
              <w:spacing w:line="20" w:lineRule="atLeast"/>
              <w:rPr>
                <w:rFonts w:ascii="Arial Narrow" w:hAnsi="Arial Narrow"/>
                <w:sz w:val="20"/>
                <w:lang w:eastAsia="en-AU"/>
              </w:rPr>
            </w:pPr>
          </w:p>
          <w:p w:rsidR="00823A1D" w:rsidRPr="00975603" w:rsidRDefault="00823A1D" w:rsidP="009E0366">
            <w:pPr>
              <w:snapToGrid w:val="0"/>
              <w:spacing w:line="20" w:lineRule="atLeast"/>
              <w:rPr>
                <w:rFonts w:ascii="Arial Narrow" w:hAnsi="Arial Narrow"/>
                <w:sz w:val="20"/>
                <w:lang w:eastAsia="en-AU"/>
              </w:rPr>
            </w:pPr>
            <w:r w:rsidRPr="00975603">
              <w:rPr>
                <w:rFonts w:ascii="Arial Narrow" w:hAnsi="Arial Narrow"/>
                <w:sz w:val="20"/>
                <w:lang w:eastAsia="en-AU"/>
              </w:rPr>
              <w:t>AND</w:t>
            </w:r>
          </w:p>
          <w:p w:rsidR="00823A1D" w:rsidRPr="00975603" w:rsidRDefault="00823A1D" w:rsidP="009E0366">
            <w:pPr>
              <w:snapToGrid w:val="0"/>
              <w:spacing w:line="20" w:lineRule="atLeast"/>
              <w:rPr>
                <w:rFonts w:ascii="Arial Narrow" w:hAnsi="Arial Narrow"/>
                <w:sz w:val="20"/>
                <w:lang w:eastAsia="en-AU"/>
              </w:rPr>
            </w:pPr>
          </w:p>
          <w:p w:rsidR="00934582" w:rsidRPr="00934582" w:rsidRDefault="00823A1D" w:rsidP="00934582">
            <w:pPr>
              <w:snapToGrid w:val="0"/>
              <w:spacing w:line="20" w:lineRule="atLeast"/>
              <w:rPr>
                <w:rFonts w:ascii="Arial Narrow" w:hAnsi="Arial Narrow"/>
                <w:sz w:val="20"/>
                <w:lang w:eastAsia="en-AU"/>
              </w:rPr>
            </w:pPr>
            <w:r>
              <w:rPr>
                <w:rFonts w:ascii="Arial Narrow" w:hAnsi="Arial Narrow"/>
                <w:sz w:val="20"/>
                <w:lang w:eastAsia="en-AU"/>
              </w:rPr>
              <w:t xml:space="preserve">The condition </w:t>
            </w:r>
            <w:r w:rsidRPr="00975603">
              <w:rPr>
                <w:rFonts w:ascii="Arial Narrow" w:hAnsi="Arial Narrow"/>
                <w:sz w:val="20"/>
                <w:lang w:eastAsia="en-AU"/>
              </w:rPr>
              <w:t>must have progressed following treatment with a BRAF inhibitor (with or without a MEK inhibitor)</w:t>
            </w:r>
            <w:r w:rsidR="002A3077">
              <w:rPr>
                <w:rFonts w:ascii="Arial Narrow" w:hAnsi="Arial Narrow"/>
                <w:sz w:val="20"/>
                <w:lang w:eastAsia="en-AU"/>
              </w:rPr>
              <w:t xml:space="preserve"> unless </w:t>
            </w:r>
            <w:r w:rsidRPr="00975603">
              <w:rPr>
                <w:rFonts w:ascii="Arial Narrow" w:hAnsi="Arial Narrow"/>
                <w:sz w:val="20"/>
                <w:lang w:eastAsia="en-AU"/>
              </w:rPr>
              <w:t>contraindicated or not tolerated</w:t>
            </w:r>
            <w:r w:rsidR="002A3077" w:rsidRPr="002A3077">
              <w:rPr>
                <w:rFonts w:ascii="Arial Narrow" w:hAnsi="Arial Narrow"/>
                <w:sz w:val="20"/>
                <w:lang w:eastAsia="en-AU"/>
              </w:rPr>
              <w:t xml:space="preserve"> according to the TGA approved Product Information;</w:t>
            </w:r>
          </w:p>
          <w:p w:rsidR="00934582" w:rsidRPr="00934582" w:rsidRDefault="00934582" w:rsidP="00934582">
            <w:pPr>
              <w:snapToGrid w:val="0"/>
              <w:spacing w:line="20" w:lineRule="atLeast"/>
              <w:rPr>
                <w:rFonts w:ascii="Arial Narrow" w:hAnsi="Arial Narrow"/>
                <w:sz w:val="20"/>
                <w:lang w:eastAsia="en-AU"/>
              </w:rPr>
            </w:pPr>
          </w:p>
          <w:p w:rsidR="00934582" w:rsidRPr="00934582" w:rsidRDefault="00934582" w:rsidP="00934582">
            <w:pPr>
              <w:snapToGrid w:val="0"/>
              <w:spacing w:line="20" w:lineRule="atLeast"/>
              <w:rPr>
                <w:rFonts w:ascii="Arial Narrow" w:hAnsi="Arial Narrow"/>
                <w:sz w:val="20"/>
                <w:lang w:eastAsia="en-AU"/>
              </w:rPr>
            </w:pPr>
            <w:r w:rsidRPr="00934582">
              <w:rPr>
                <w:rFonts w:ascii="Arial Narrow" w:hAnsi="Arial Narrow"/>
                <w:sz w:val="20"/>
                <w:lang w:eastAsia="en-AU"/>
              </w:rPr>
              <w:t>AND</w:t>
            </w:r>
          </w:p>
          <w:p w:rsidR="00934582" w:rsidRDefault="00934582" w:rsidP="00934582">
            <w:pPr>
              <w:snapToGrid w:val="0"/>
              <w:spacing w:line="20" w:lineRule="atLeast"/>
              <w:rPr>
                <w:rFonts w:ascii="Arial Narrow" w:hAnsi="Arial Narrow"/>
                <w:sz w:val="20"/>
                <w:lang w:eastAsia="en-AU"/>
              </w:rPr>
            </w:pPr>
          </w:p>
          <w:p w:rsidR="002A3077" w:rsidRPr="002A3077" w:rsidRDefault="00934582" w:rsidP="00934582">
            <w:pPr>
              <w:snapToGrid w:val="0"/>
              <w:spacing w:line="20" w:lineRule="atLeast"/>
              <w:rPr>
                <w:rFonts w:ascii="Arial Narrow" w:hAnsi="Arial Narrow"/>
                <w:sz w:val="20"/>
                <w:lang w:eastAsia="en-AU"/>
              </w:rPr>
            </w:pPr>
            <w:r w:rsidRPr="00934582">
              <w:rPr>
                <w:rFonts w:ascii="Arial Narrow" w:hAnsi="Arial Narrow"/>
                <w:sz w:val="20"/>
                <w:lang w:eastAsia="en-AU"/>
              </w:rPr>
              <w:t>The condition must be previously untreated with ipilimumab;</w:t>
            </w:r>
          </w:p>
          <w:p w:rsidR="002A3077" w:rsidRPr="002A3077" w:rsidRDefault="002A3077" w:rsidP="002A3077">
            <w:pPr>
              <w:snapToGrid w:val="0"/>
              <w:spacing w:line="20" w:lineRule="atLeast"/>
              <w:rPr>
                <w:rFonts w:ascii="Arial Narrow" w:hAnsi="Arial Narrow"/>
                <w:sz w:val="20"/>
                <w:lang w:eastAsia="en-AU"/>
              </w:rPr>
            </w:pPr>
          </w:p>
          <w:p w:rsidR="002A3077" w:rsidRPr="002A3077" w:rsidRDefault="002A3077" w:rsidP="002A3077">
            <w:pPr>
              <w:snapToGrid w:val="0"/>
              <w:spacing w:line="20" w:lineRule="atLeast"/>
              <w:rPr>
                <w:rFonts w:ascii="Arial Narrow" w:hAnsi="Arial Narrow"/>
                <w:sz w:val="20"/>
                <w:lang w:eastAsia="en-AU"/>
              </w:rPr>
            </w:pPr>
            <w:r w:rsidRPr="002A3077">
              <w:rPr>
                <w:rFonts w:ascii="Arial Narrow" w:hAnsi="Arial Narrow"/>
                <w:sz w:val="20"/>
                <w:lang w:eastAsia="en-AU"/>
              </w:rPr>
              <w:t>AND</w:t>
            </w:r>
          </w:p>
          <w:p w:rsidR="002A3077" w:rsidRPr="002A3077" w:rsidRDefault="002A3077" w:rsidP="002A3077">
            <w:pPr>
              <w:snapToGrid w:val="0"/>
              <w:spacing w:line="20" w:lineRule="atLeast"/>
              <w:rPr>
                <w:rFonts w:ascii="Arial Narrow" w:hAnsi="Arial Narrow"/>
                <w:sz w:val="20"/>
                <w:lang w:eastAsia="en-AU"/>
              </w:rPr>
            </w:pPr>
          </w:p>
          <w:p w:rsidR="00823A1D" w:rsidRPr="00975603" w:rsidRDefault="002A3077" w:rsidP="002A3077">
            <w:pPr>
              <w:snapToGrid w:val="0"/>
              <w:spacing w:line="20" w:lineRule="atLeast"/>
              <w:rPr>
                <w:rFonts w:ascii="Arial Narrow" w:hAnsi="Arial Narrow"/>
                <w:sz w:val="20"/>
              </w:rPr>
            </w:pPr>
            <w:r w:rsidRPr="002A3077">
              <w:rPr>
                <w:rFonts w:ascii="Arial Narrow" w:hAnsi="Arial Narrow"/>
                <w:sz w:val="20"/>
                <w:lang w:eastAsia="en-AU"/>
              </w:rPr>
              <w:t>The treatment must not exceed a total of 6 doses at a maximu</w:t>
            </w:r>
            <w:r>
              <w:rPr>
                <w:rFonts w:ascii="Arial Narrow" w:hAnsi="Arial Narrow"/>
                <w:sz w:val="20"/>
                <w:lang w:eastAsia="en-AU"/>
              </w:rPr>
              <w:t>m dose of 2 mg/kg every 3 weeks</w:t>
            </w:r>
            <w:r w:rsidR="00823A1D" w:rsidRPr="00975603">
              <w:rPr>
                <w:rFonts w:ascii="Arial Narrow" w:hAnsi="Arial Narrow"/>
                <w:sz w:val="20"/>
                <w:lang w:eastAsia="en-AU"/>
              </w:rPr>
              <w:t>.</w:t>
            </w:r>
          </w:p>
        </w:tc>
      </w:tr>
      <w:tr w:rsidR="002A3077"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260CE3" w:rsidRDefault="002A3077" w:rsidP="00296052">
            <w:pPr>
              <w:rPr>
                <w:rFonts w:ascii="Arial Narrow" w:hAnsi="Arial Narrow"/>
                <w:sz w:val="20"/>
              </w:rPr>
            </w:pPr>
            <w:r w:rsidRPr="00260CE3">
              <w:rPr>
                <w:rFonts w:ascii="Arial Narrow" w:hAnsi="Arial Narrow"/>
                <w:b/>
                <w:sz w:val="20"/>
              </w:rPr>
              <w:t>Prescriber Instructions</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2A3077" w:rsidRDefault="002A3077" w:rsidP="00296052">
            <w:pPr>
              <w:rPr>
                <w:rFonts w:ascii="Arial Narrow" w:hAnsi="Arial Narrow"/>
                <w:sz w:val="20"/>
              </w:rPr>
            </w:pPr>
            <w:r w:rsidRPr="002A3077">
              <w:rPr>
                <w:rFonts w:ascii="Arial Narrow" w:hAnsi="Arial Narrow"/>
                <w:sz w:val="20"/>
              </w:rPr>
              <w:t>The patient’s body weight must be documented in the patient’s medical records at the time treatment is initiated.</w:t>
            </w:r>
          </w:p>
        </w:tc>
      </w:tr>
      <w:tr w:rsidR="002A3077"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9E0366">
            <w:pPr>
              <w:rPr>
                <w:rFonts w:ascii="Arial Narrow" w:hAnsi="Arial Narrow"/>
                <w:i/>
                <w:sz w:val="20"/>
              </w:rPr>
            </w:pPr>
            <w:r w:rsidRPr="00975603">
              <w:rPr>
                <w:rFonts w:ascii="Arial Narrow" w:hAnsi="Arial Narrow"/>
                <w:b/>
                <w:sz w:val="20"/>
              </w:rPr>
              <w:t>Administrative Advice</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9E0366">
            <w:pPr>
              <w:rPr>
                <w:rFonts w:ascii="Arial Narrow" w:hAnsi="Arial Narrow"/>
                <w:sz w:val="20"/>
              </w:rPr>
            </w:pPr>
            <w:r w:rsidRPr="00975603">
              <w:rPr>
                <w:rFonts w:ascii="Arial Narrow" w:hAnsi="Arial Narrow"/>
                <w:sz w:val="20"/>
                <w:lang w:eastAsia="en-AU"/>
              </w:rPr>
              <w:t>Note:  In the first few months after start of immunotherapy, some patients can have a transient tumour flare with subsequent disease response.  When progression is suspected, this should be confirmed through a confirmatory scan, taken at least 4 weeks later.</w:t>
            </w:r>
          </w:p>
          <w:p w:rsidR="002A3077" w:rsidRPr="00975603" w:rsidRDefault="002A3077" w:rsidP="009E0366">
            <w:pPr>
              <w:rPr>
                <w:rFonts w:ascii="Arial Narrow" w:hAnsi="Arial Narrow"/>
                <w:sz w:val="20"/>
              </w:rPr>
            </w:pPr>
          </w:p>
          <w:p w:rsidR="002A3077" w:rsidRPr="00975603" w:rsidRDefault="002A3077" w:rsidP="002A3077">
            <w:pPr>
              <w:rPr>
                <w:rFonts w:ascii="Arial Narrow" w:hAnsi="Arial Narrow"/>
                <w:sz w:val="20"/>
              </w:rPr>
            </w:pPr>
            <w:r w:rsidRPr="00975603">
              <w:rPr>
                <w:rFonts w:ascii="Arial Narrow" w:hAnsi="Arial Narrow"/>
                <w:sz w:val="20"/>
              </w:rPr>
              <w:t>No increase in the maximum number of repeats may be authorised.</w:t>
            </w:r>
          </w:p>
        </w:tc>
      </w:tr>
    </w:tbl>
    <w:p w:rsidR="002A3077" w:rsidRPr="00975603" w:rsidRDefault="002A3077" w:rsidP="002A3077"/>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6356"/>
        <w:gridCol w:w="22"/>
      </w:tblGrid>
      <w:tr w:rsidR="002A3077" w:rsidRPr="00975603" w:rsidTr="00296052">
        <w:trPr>
          <w:gridAfter w:val="1"/>
          <w:wAfter w:w="13" w:type="pct"/>
          <w:trHeight w:val="20"/>
        </w:trPr>
        <w:tc>
          <w:tcPr>
            <w:tcW w:w="4987" w:type="pct"/>
            <w:gridSpan w:val="2"/>
            <w:tcBorders>
              <w:top w:val="single" w:sz="4" w:space="0" w:color="auto"/>
              <w:left w:val="single" w:sz="4" w:space="0" w:color="auto"/>
              <w:bottom w:val="single" w:sz="4" w:space="0" w:color="auto"/>
              <w:right w:val="single" w:sz="4" w:space="0" w:color="auto"/>
            </w:tcBorders>
            <w:vAlign w:val="center"/>
            <w:hideMark/>
          </w:tcPr>
          <w:p w:rsidR="002A3077" w:rsidRPr="00975603" w:rsidRDefault="002A3077" w:rsidP="00296052">
            <w:pPr>
              <w:snapToGrid w:val="0"/>
              <w:spacing w:line="20" w:lineRule="atLeast"/>
              <w:rPr>
                <w:rFonts w:ascii="Arial Narrow" w:hAnsi="Arial Narrow"/>
                <w:sz w:val="20"/>
                <w:lang w:eastAsia="en-AU"/>
              </w:rPr>
            </w:pPr>
            <w:r w:rsidRPr="00975603">
              <w:rPr>
                <w:rFonts w:ascii="Arial Narrow" w:hAnsi="Arial Narrow"/>
                <w:b/>
                <w:bCs/>
                <w:sz w:val="20"/>
                <w:lang w:eastAsia="en-AU"/>
              </w:rPr>
              <w:t>Treatment phase:  Grandfathered continuing</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b/>
                <w:sz w:val="20"/>
              </w:rPr>
            </w:pPr>
            <w:r w:rsidRPr="00975603">
              <w:rPr>
                <w:rFonts w:ascii="Arial Narrow" w:hAnsi="Arial Narrow"/>
                <w:b/>
                <w:sz w:val="20"/>
              </w:rPr>
              <w:t>Category / Program</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A3077">
            <w:pPr>
              <w:widowControl/>
              <w:jc w:val="left"/>
              <w:rPr>
                <w:rFonts w:ascii="Arial Narrow" w:hAnsi="Arial Narrow"/>
                <w:sz w:val="20"/>
              </w:rPr>
            </w:pPr>
            <w:r>
              <w:rPr>
                <w:rFonts w:ascii="Arial Narrow" w:eastAsia="SimSun" w:hAnsi="Arial Narrow"/>
                <w:snapToGrid/>
                <w:sz w:val="20"/>
                <w:lang w:eastAsia="zh-CN"/>
              </w:rPr>
              <w:t xml:space="preserve">Section 100 </w:t>
            </w:r>
            <w:r w:rsidRPr="00975603">
              <w:rPr>
                <w:rFonts w:ascii="Arial Narrow" w:eastAsia="SimSun" w:hAnsi="Arial Narrow"/>
                <w:snapToGrid/>
                <w:sz w:val="20"/>
                <w:lang w:eastAsia="zh-CN"/>
              </w:rPr>
              <w:t>– Efficient Funding of Chemotherapy</w:t>
            </w:r>
          </w:p>
          <w:p w:rsidR="002A3077" w:rsidRPr="00975603" w:rsidRDefault="002A3077" w:rsidP="00296052">
            <w:pPr>
              <w:rPr>
                <w:rFonts w:ascii="Arial Narrow" w:hAnsi="Arial Narrow"/>
                <w:sz w:val="20"/>
              </w:rPr>
            </w:pP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b/>
                <w:sz w:val="20"/>
              </w:rPr>
            </w:pPr>
            <w:r w:rsidRPr="00975603">
              <w:rPr>
                <w:rFonts w:ascii="Arial Narrow" w:hAnsi="Arial Narrow"/>
                <w:b/>
                <w:sz w:val="20"/>
              </w:rPr>
              <w:t>Prescriber type:</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sz w:val="20"/>
              </w:rPr>
            </w:pPr>
            <w:r w:rsidRPr="00975603">
              <w:rPr>
                <w:rFonts w:ascii="Arial Narrow" w:hAnsi="Arial Narrow"/>
                <w:sz w:val="20"/>
              </w:rPr>
              <w:fldChar w:fldCharType="begin">
                <w:ffData>
                  <w:name w:val="Check1"/>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Dental  </w:t>
            </w:r>
            <w:r w:rsidRPr="00975603">
              <w:rPr>
                <w:rFonts w:ascii="Arial Narrow" w:hAnsi="Arial Narrow"/>
                <w:sz w:val="20"/>
              </w:rPr>
              <w:fldChar w:fldCharType="begin">
                <w:ffData>
                  <w:name w:val=""/>
                  <w:enabled/>
                  <w:calcOnExit w:val="0"/>
                  <w:checkBox>
                    <w:sizeAuto/>
                    <w:default w:val="1"/>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Medical Practitioners  </w:t>
            </w:r>
            <w:r w:rsidRPr="00975603">
              <w:rPr>
                <w:rFonts w:ascii="Arial Narrow" w:hAnsi="Arial Narrow"/>
                <w:sz w:val="20"/>
              </w:rPr>
              <w:fldChar w:fldCharType="begin">
                <w:ffData>
                  <w:name w:val="Check3"/>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Nurse practitioners  </w:t>
            </w:r>
            <w:r w:rsidRPr="00975603">
              <w:rPr>
                <w:rFonts w:ascii="Arial Narrow" w:hAnsi="Arial Narrow"/>
                <w:sz w:val="20"/>
              </w:rPr>
              <w:fldChar w:fldCharType="begin">
                <w:ffData>
                  <w:name w:val=""/>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Optometrists</w:t>
            </w:r>
          </w:p>
          <w:p w:rsidR="002A3077" w:rsidRPr="00975603" w:rsidRDefault="002A3077" w:rsidP="00296052">
            <w:pPr>
              <w:rPr>
                <w:rFonts w:ascii="Arial Narrow" w:hAnsi="Arial Narrow"/>
                <w:sz w:val="20"/>
              </w:rPr>
            </w:pPr>
            <w:r w:rsidRPr="00975603">
              <w:rPr>
                <w:rFonts w:ascii="Arial Narrow" w:hAnsi="Arial Narrow"/>
                <w:sz w:val="20"/>
              </w:rPr>
              <w:fldChar w:fldCharType="begin">
                <w:ffData>
                  <w:name w:val="Check5"/>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Midwives</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b/>
                <w:sz w:val="20"/>
              </w:rPr>
            </w:pPr>
            <w:r w:rsidRPr="00975603">
              <w:rPr>
                <w:rFonts w:ascii="Arial Narrow" w:hAnsi="Arial Narrow"/>
                <w:b/>
                <w:sz w:val="20"/>
              </w:rPr>
              <w:t>Severity:</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sz w:val="20"/>
              </w:rPr>
            </w:pPr>
            <w:r w:rsidRPr="00975603">
              <w:rPr>
                <w:rFonts w:ascii="Arial Narrow" w:hAnsi="Arial Narrow"/>
                <w:sz w:val="20"/>
              </w:rPr>
              <w:t>Unresectable Stage III or Stage IV</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b/>
                <w:sz w:val="20"/>
              </w:rPr>
            </w:pPr>
            <w:r w:rsidRPr="00975603">
              <w:rPr>
                <w:rFonts w:ascii="Arial Narrow" w:hAnsi="Arial Narrow"/>
                <w:b/>
                <w:sz w:val="20"/>
              </w:rPr>
              <w:t>Condition:</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sz w:val="20"/>
              </w:rPr>
            </w:pPr>
            <w:r w:rsidRPr="00975603">
              <w:rPr>
                <w:rFonts w:ascii="Arial Narrow" w:hAnsi="Arial Narrow"/>
                <w:sz w:val="20"/>
              </w:rPr>
              <w:t>Malignant melanoma</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b/>
                <w:sz w:val="20"/>
              </w:rPr>
            </w:pPr>
            <w:r w:rsidRPr="00975603">
              <w:rPr>
                <w:rFonts w:ascii="Arial Narrow" w:hAnsi="Arial Narrow"/>
                <w:b/>
                <w:sz w:val="20"/>
              </w:rPr>
              <w:t>PBS Indication:</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sz w:val="20"/>
              </w:rPr>
            </w:pPr>
            <w:r w:rsidRPr="00975603">
              <w:rPr>
                <w:rFonts w:ascii="Arial Narrow" w:hAnsi="Arial Narrow"/>
                <w:sz w:val="20"/>
              </w:rPr>
              <w:t>Unresectable Stage III or Stage IV malignant melanoma</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b/>
                <w:sz w:val="20"/>
              </w:rPr>
            </w:pPr>
            <w:r w:rsidRPr="00975603">
              <w:rPr>
                <w:rFonts w:ascii="Arial Narrow" w:hAnsi="Arial Narrow"/>
                <w:b/>
                <w:sz w:val="20"/>
              </w:rPr>
              <w:t>Treatment phase:</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sz w:val="20"/>
              </w:rPr>
            </w:pPr>
            <w:r w:rsidRPr="00975603">
              <w:rPr>
                <w:rFonts w:ascii="Arial Narrow" w:hAnsi="Arial Narrow"/>
                <w:sz w:val="20"/>
              </w:rPr>
              <w:t>Continuing</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CD28F3" w:rsidRDefault="002A3077" w:rsidP="00296052">
            <w:pPr>
              <w:rPr>
                <w:rFonts w:ascii="Arial Narrow" w:hAnsi="Arial Narrow"/>
                <w:i/>
                <w:sz w:val="20"/>
              </w:rPr>
            </w:pPr>
            <w:r w:rsidRPr="00260CE3">
              <w:rPr>
                <w:rFonts w:ascii="Arial Narrow" w:hAnsi="Arial Narrow"/>
                <w:b/>
                <w:sz w:val="20"/>
              </w:rPr>
              <w:lastRenderedPageBreak/>
              <w:t>Restriction</w:t>
            </w:r>
            <w:r>
              <w:rPr>
                <w:rFonts w:ascii="Arial Narrow" w:hAnsi="Arial Narrow"/>
                <w:b/>
                <w:sz w:val="20"/>
              </w:rPr>
              <w:t xml:space="preserve"> Level / Method</w:t>
            </w:r>
            <w:r w:rsidRPr="00260CE3">
              <w:rPr>
                <w:rFonts w:ascii="Arial Narrow" w:hAnsi="Arial Narrow"/>
                <w:b/>
                <w:sz w:val="20"/>
              </w:rPr>
              <w:t>:</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A3077" w:rsidRPr="00260CE3" w:rsidRDefault="002A3077" w:rsidP="0029605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sz w:val="20"/>
              </w:rPr>
            </w:pPr>
            <w:r w:rsidRPr="00975603">
              <w:rPr>
                <w:rFonts w:ascii="Arial Narrow" w:hAnsi="Arial Narrow"/>
                <w:b/>
                <w:sz w:val="20"/>
              </w:rPr>
              <w:t>Clinical criteria:</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2A3077" w:rsidRDefault="002A3077" w:rsidP="002A3077">
            <w:pPr>
              <w:widowControl/>
              <w:jc w:val="left"/>
              <w:rPr>
                <w:rFonts w:ascii="Arial Narrow" w:hAnsi="Arial Narrow"/>
                <w:sz w:val="20"/>
                <w:lang w:eastAsia="en-AU"/>
              </w:rPr>
            </w:pPr>
            <w:r w:rsidRPr="002A3077">
              <w:rPr>
                <w:rFonts w:ascii="Arial Narrow" w:hAnsi="Arial Narrow"/>
                <w:sz w:val="20"/>
                <w:lang w:eastAsia="en-AU"/>
              </w:rPr>
              <w:t>The treatment must be the sole PBS-subsidised therapy for this condition;</w:t>
            </w:r>
          </w:p>
          <w:p w:rsidR="002A3077" w:rsidRPr="002A3077" w:rsidRDefault="002A3077" w:rsidP="002A3077">
            <w:pPr>
              <w:widowControl/>
              <w:jc w:val="left"/>
              <w:rPr>
                <w:rFonts w:ascii="Arial Narrow" w:hAnsi="Arial Narrow"/>
                <w:sz w:val="20"/>
                <w:lang w:eastAsia="en-AU"/>
              </w:rPr>
            </w:pPr>
          </w:p>
          <w:p w:rsidR="002A3077" w:rsidRPr="002A3077" w:rsidRDefault="002A3077" w:rsidP="002A3077">
            <w:pPr>
              <w:widowControl/>
              <w:jc w:val="left"/>
              <w:rPr>
                <w:rFonts w:ascii="Arial Narrow" w:hAnsi="Arial Narrow"/>
                <w:sz w:val="20"/>
                <w:lang w:eastAsia="en-AU"/>
              </w:rPr>
            </w:pPr>
            <w:r w:rsidRPr="002A3077">
              <w:rPr>
                <w:rFonts w:ascii="Arial Narrow" w:hAnsi="Arial Narrow"/>
                <w:sz w:val="20"/>
                <w:lang w:eastAsia="en-AU"/>
              </w:rPr>
              <w:t>AND</w:t>
            </w:r>
          </w:p>
          <w:p w:rsidR="002A3077" w:rsidRPr="002A3077" w:rsidRDefault="002A3077" w:rsidP="002A3077">
            <w:pPr>
              <w:widowControl/>
              <w:jc w:val="left"/>
              <w:rPr>
                <w:rFonts w:ascii="Arial Narrow" w:hAnsi="Arial Narrow"/>
                <w:sz w:val="20"/>
                <w:lang w:eastAsia="en-AU"/>
              </w:rPr>
            </w:pPr>
          </w:p>
          <w:p w:rsidR="002A3077" w:rsidRPr="002A3077" w:rsidRDefault="002A3077" w:rsidP="002A3077">
            <w:pPr>
              <w:widowControl/>
              <w:jc w:val="left"/>
              <w:rPr>
                <w:rFonts w:ascii="Arial Narrow" w:hAnsi="Arial Narrow"/>
                <w:sz w:val="20"/>
                <w:lang w:eastAsia="en-AU"/>
              </w:rPr>
            </w:pPr>
            <w:r w:rsidRPr="002A3077">
              <w:rPr>
                <w:rFonts w:ascii="Arial Narrow" w:hAnsi="Arial Narrow"/>
                <w:sz w:val="20"/>
                <w:lang w:eastAsia="en-AU"/>
              </w:rPr>
              <w:t>The treatment must be for continuing therapy in a patient who commenced treatment with pembrolizumab prior to [listing date];</w:t>
            </w:r>
          </w:p>
          <w:p w:rsidR="002A3077" w:rsidRPr="002A3077" w:rsidRDefault="002A3077" w:rsidP="002A3077">
            <w:pPr>
              <w:widowControl/>
              <w:jc w:val="left"/>
              <w:rPr>
                <w:rFonts w:ascii="Arial Narrow" w:hAnsi="Arial Narrow"/>
                <w:sz w:val="20"/>
                <w:lang w:eastAsia="en-AU"/>
              </w:rPr>
            </w:pPr>
          </w:p>
          <w:p w:rsidR="002A3077" w:rsidRPr="002A3077" w:rsidRDefault="002A3077" w:rsidP="002A3077">
            <w:pPr>
              <w:widowControl/>
              <w:jc w:val="left"/>
              <w:rPr>
                <w:rFonts w:ascii="Arial Narrow" w:hAnsi="Arial Narrow"/>
                <w:sz w:val="20"/>
                <w:lang w:eastAsia="en-AU"/>
              </w:rPr>
            </w:pPr>
            <w:r w:rsidRPr="002A3077">
              <w:rPr>
                <w:rFonts w:ascii="Arial Narrow" w:hAnsi="Arial Narrow"/>
                <w:sz w:val="20"/>
                <w:lang w:eastAsia="en-AU"/>
              </w:rPr>
              <w:t>AND</w:t>
            </w:r>
          </w:p>
          <w:p w:rsidR="002A3077" w:rsidRPr="002A3077" w:rsidRDefault="002A3077" w:rsidP="002A3077">
            <w:pPr>
              <w:widowControl/>
              <w:jc w:val="left"/>
              <w:rPr>
                <w:rFonts w:ascii="Arial Narrow" w:hAnsi="Arial Narrow"/>
                <w:sz w:val="20"/>
                <w:lang w:eastAsia="en-AU"/>
              </w:rPr>
            </w:pPr>
          </w:p>
          <w:p w:rsidR="002A3077" w:rsidRPr="002A3077" w:rsidRDefault="002A3077" w:rsidP="002A3077">
            <w:pPr>
              <w:widowControl/>
              <w:jc w:val="left"/>
              <w:rPr>
                <w:rFonts w:ascii="Arial Narrow" w:hAnsi="Arial Narrow"/>
                <w:sz w:val="20"/>
                <w:lang w:eastAsia="en-AU"/>
              </w:rPr>
            </w:pPr>
            <w:r w:rsidRPr="002A3077">
              <w:rPr>
                <w:rFonts w:ascii="Arial Narrow" w:hAnsi="Arial Narrow"/>
                <w:sz w:val="20"/>
                <w:lang w:eastAsia="en-AU"/>
              </w:rPr>
              <w:t>Patient must have stable or responding disease;</w:t>
            </w:r>
          </w:p>
          <w:p w:rsidR="002A3077" w:rsidRPr="002A3077" w:rsidRDefault="002A3077" w:rsidP="002A3077">
            <w:pPr>
              <w:widowControl/>
              <w:jc w:val="left"/>
              <w:rPr>
                <w:rFonts w:ascii="Arial Narrow" w:hAnsi="Arial Narrow"/>
                <w:sz w:val="20"/>
                <w:lang w:eastAsia="en-AU"/>
              </w:rPr>
            </w:pPr>
          </w:p>
          <w:p w:rsidR="002A3077" w:rsidRPr="002A3077" w:rsidRDefault="002A3077" w:rsidP="002A3077">
            <w:pPr>
              <w:widowControl/>
              <w:jc w:val="left"/>
              <w:rPr>
                <w:rFonts w:ascii="Arial Narrow" w:hAnsi="Arial Narrow"/>
                <w:sz w:val="20"/>
                <w:lang w:eastAsia="en-AU"/>
              </w:rPr>
            </w:pPr>
            <w:r w:rsidRPr="002A3077">
              <w:rPr>
                <w:rFonts w:ascii="Arial Narrow" w:hAnsi="Arial Narrow"/>
                <w:sz w:val="20"/>
                <w:lang w:eastAsia="en-AU"/>
              </w:rPr>
              <w:t>AND</w:t>
            </w:r>
          </w:p>
          <w:p w:rsidR="002A3077" w:rsidRPr="002A3077" w:rsidRDefault="002A3077" w:rsidP="002A3077">
            <w:pPr>
              <w:widowControl/>
              <w:jc w:val="left"/>
              <w:rPr>
                <w:rFonts w:ascii="Arial Narrow" w:hAnsi="Arial Narrow"/>
                <w:sz w:val="20"/>
                <w:lang w:eastAsia="en-AU"/>
              </w:rPr>
            </w:pPr>
          </w:p>
          <w:p w:rsidR="002A3077" w:rsidRPr="00975603" w:rsidRDefault="002A3077" w:rsidP="002A3077">
            <w:pPr>
              <w:widowControl/>
              <w:jc w:val="left"/>
              <w:rPr>
                <w:rFonts w:ascii="Arial Narrow" w:hAnsi="Arial Narrow"/>
                <w:sz w:val="20"/>
              </w:rPr>
            </w:pPr>
            <w:r w:rsidRPr="002A3077">
              <w:rPr>
                <w:rFonts w:ascii="Arial Narrow" w:hAnsi="Arial Narrow"/>
                <w:sz w:val="20"/>
                <w:lang w:eastAsia="en-AU"/>
              </w:rPr>
              <w:t>The treatment must not exceed a maximum dose of 2 mg/kg every 3 weeks.</w:t>
            </w:r>
          </w:p>
        </w:tc>
      </w:tr>
      <w:tr w:rsidR="002A3077" w:rsidRPr="00975603" w:rsidTr="002960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296052">
            <w:pPr>
              <w:rPr>
                <w:rFonts w:ascii="Arial Narrow" w:hAnsi="Arial Narrow"/>
                <w:i/>
                <w:sz w:val="20"/>
              </w:rPr>
            </w:pPr>
            <w:r w:rsidRPr="00975603">
              <w:rPr>
                <w:rFonts w:ascii="Arial Narrow" w:hAnsi="Arial Narrow"/>
                <w:b/>
                <w:sz w:val="20"/>
              </w:rPr>
              <w:t>Administrative Advice</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A3077">
            <w:pPr>
              <w:rPr>
                <w:rFonts w:ascii="Arial Narrow" w:hAnsi="Arial Narrow"/>
                <w:sz w:val="20"/>
              </w:rPr>
            </w:pPr>
            <w:r w:rsidRPr="00975603">
              <w:rPr>
                <w:rFonts w:ascii="Arial Narrow" w:hAnsi="Arial Narrow"/>
                <w:sz w:val="20"/>
              </w:rPr>
              <w:t>No increase in the maximum number of repeats may be authorised.</w:t>
            </w:r>
          </w:p>
        </w:tc>
      </w:tr>
    </w:tbl>
    <w:p w:rsidR="002A3077" w:rsidRPr="00A05E64" w:rsidRDefault="002A3077" w:rsidP="002A3077">
      <w:pPr>
        <w:widowControl/>
        <w:rPr>
          <w:bCs/>
          <w:szCs w:val="22"/>
        </w:rPr>
      </w:pPr>
    </w:p>
    <w:tbl>
      <w:tblPr>
        <w:tblW w:w="4642" w:type="pct"/>
        <w:tblInd w:w="732" w:type="dxa"/>
        <w:tblLayout w:type="fixed"/>
        <w:tblCellMar>
          <w:left w:w="28" w:type="dxa"/>
          <w:right w:w="28" w:type="dxa"/>
        </w:tblCellMar>
        <w:tblLook w:val="0000" w:firstRow="0" w:lastRow="0" w:firstColumn="0" w:lastColumn="0" w:noHBand="0" w:noVBand="0"/>
      </w:tblPr>
      <w:tblGrid>
        <w:gridCol w:w="3065"/>
        <w:gridCol w:w="266"/>
        <w:gridCol w:w="644"/>
        <w:gridCol w:w="708"/>
        <w:gridCol w:w="1702"/>
        <w:gridCol w:w="988"/>
        <w:gridCol w:w="1059"/>
      </w:tblGrid>
      <w:tr w:rsidR="0099196A" w:rsidRPr="00975603" w:rsidTr="002A3077">
        <w:trPr>
          <w:cantSplit/>
          <w:trHeight w:val="463"/>
        </w:trPr>
        <w:tc>
          <w:tcPr>
            <w:tcW w:w="1817" w:type="pct"/>
            <w:tcBorders>
              <w:bottom w:val="single" w:sz="4" w:space="0" w:color="auto"/>
            </w:tcBorders>
            <w:vAlign w:val="center"/>
          </w:tcPr>
          <w:p w:rsidR="0099196A" w:rsidRPr="00975603" w:rsidRDefault="0099196A" w:rsidP="009E0366">
            <w:pPr>
              <w:keepNext/>
              <w:jc w:val="left"/>
              <w:rPr>
                <w:rFonts w:ascii="Arial Narrow" w:hAnsi="Arial Narrow"/>
                <w:sz w:val="20"/>
              </w:rPr>
            </w:pPr>
            <w:r w:rsidRPr="00975603">
              <w:rPr>
                <w:rFonts w:ascii="Arial Narrow" w:hAnsi="Arial Narrow"/>
                <w:sz w:val="20"/>
              </w:rPr>
              <w:t>Name, Restriction,</w:t>
            </w:r>
          </w:p>
          <w:p w:rsidR="0099196A" w:rsidRPr="00975603" w:rsidRDefault="0099196A" w:rsidP="009E0366">
            <w:pPr>
              <w:keepNext/>
              <w:jc w:val="left"/>
              <w:rPr>
                <w:rFonts w:ascii="Arial Narrow" w:hAnsi="Arial Narrow"/>
                <w:sz w:val="20"/>
              </w:rPr>
            </w:pPr>
            <w:r w:rsidRPr="00975603">
              <w:rPr>
                <w:rFonts w:ascii="Arial Narrow" w:hAnsi="Arial Narrow"/>
                <w:sz w:val="20"/>
              </w:rPr>
              <w:t>Manner of administration and form</w:t>
            </w:r>
          </w:p>
        </w:tc>
        <w:tc>
          <w:tcPr>
            <w:tcW w:w="540" w:type="pct"/>
            <w:gridSpan w:val="2"/>
            <w:tcBorders>
              <w:bottom w:val="single" w:sz="4" w:space="0" w:color="auto"/>
            </w:tcBorders>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Max.</w:t>
            </w:r>
          </w:p>
          <w:p w:rsidR="0099196A" w:rsidRPr="00975603" w:rsidRDefault="0099196A" w:rsidP="009E0366">
            <w:pPr>
              <w:keepNext/>
              <w:jc w:val="center"/>
              <w:rPr>
                <w:rFonts w:ascii="Arial Narrow" w:hAnsi="Arial Narrow"/>
                <w:sz w:val="20"/>
              </w:rPr>
            </w:pPr>
            <w:r w:rsidRPr="00975603">
              <w:rPr>
                <w:rFonts w:ascii="Arial Narrow" w:hAnsi="Arial Narrow"/>
                <w:sz w:val="20"/>
              </w:rPr>
              <w:t>Amount</w:t>
            </w:r>
          </w:p>
        </w:tc>
        <w:tc>
          <w:tcPr>
            <w:tcW w:w="420" w:type="pct"/>
            <w:tcBorders>
              <w:bottom w:val="single" w:sz="4" w:space="0" w:color="auto"/>
            </w:tcBorders>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№.of</w:t>
            </w:r>
          </w:p>
          <w:p w:rsidR="0099196A" w:rsidRPr="00975603" w:rsidRDefault="0099196A" w:rsidP="009E0366">
            <w:pPr>
              <w:keepNext/>
              <w:jc w:val="center"/>
              <w:rPr>
                <w:rFonts w:ascii="Arial Narrow" w:hAnsi="Arial Narrow"/>
                <w:sz w:val="20"/>
              </w:rPr>
            </w:pPr>
            <w:r w:rsidRPr="00975603">
              <w:rPr>
                <w:rFonts w:ascii="Arial Narrow" w:hAnsi="Arial Narrow"/>
                <w:sz w:val="20"/>
              </w:rPr>
              <w:t>Rpts</w:t>
            </w:r>
          </w:p>
        </w:tc>
        <w:tc>
          <w:tcPr>
            <w:tcW w:w="1009" w:type="pct"/>
            <w:tcBorders>
              <w:bottom w:val="single" w:sz="4" w:space="0" w:color="auto"/>
            </w:tcBorders>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Dispensed Price for Max. Amount</w:t>
            </w:r>
          </w:p>
        </w:tc>
        <w:tc>
          <w:tcPr>
            <w:tcW w:w="1214" w:type="pct"/>
            <w:gridSpan w:val="2"/>
            <w:tcBorders>
              <w:bottom w:val="single" w:sz="4" w:space="0" w:color="auto"/>
            </w:tcBorders>
            <w:vAlign w:val="center"/>
          </w:tcPr>
          <w:p w:rsidR="0099196A" w:rsidRPr="00975603" w:rsidRDefault="0099196A" w:rsidP="009E0366">
            <w:pPr>
              <w:keepNext/>
              <w:jc w:val="center"/>
              <w:rPr>
                <w:rFonts w:ascii="Arial Narrow" w:hAnsi="Arial Narrow"/>
                <w:sz w:val="20"/>
                <w:lang w:val="fr-FR"/>
              </w:rPr>
            </w:pPr>
            <w:r w:rsidRPr="00975603">
              <w:rPr>
                <w:rFonts w:ascii="Arial Narrow" w:hAnsi="Arial Narrow"/>
                <w:sz w:val="20"/>
              </w:rPr>
              <w:t>Proprietary Name and Manufacturer</w:t>
            </w:r>
          </w:p>
        </w:tc>
      </w:tr>
      <w:tr w:rsidR="0099196A" w:rsidRPr="00975603" w:rsidTr="009E0366">
        <w:trPr>
          <w:cantSplit/>
          <w:trHeight w:val="567"/>
        </w:trPr>
        <w:tc>
          <w:tcPr>
            <w:tcW w:w="1975" w:type="pct"/>
            <w:gridSpan w:val="2"/>
            <w:vAlign w:val="center"/>
          </w:tcPr>
          <w:p w:rsidR="0099196A" w:rsidRPr="00975603" w:rsidRDefault="0099196A" w:rsidP="009E0366">
            <w:pPr>
              <w:keepNext/>
              <w:jc w:val="left"/>
              <w:rPr>
                <w:rFonts w:ascii="Arial Narrow" w:hAnsi="Arial Narrow"/>
                <w:sz w:val="20"/>
              </w:rPr>
            </w:pPr>
            <w:r w:rsidRPr="00975603">
              <w:rPr>
                <w:rFonts w:ascii="Arial Narrow" w:hAnsi="Arial Narrow"/>
                <w:smallCaps/>
                <w:sz w:val="20"/>
              </w:rPr>
              <w:t>PEMBROLIZUMAB</w:t>
            </w:r>
          </w:p>
          <w:p w:rsidR="0099196A" w:rsidRPr="00975603" w:rsidRDefault="0099196A" w:rsidP="009E0366">
            <w:pPr>
              <w:keepNext/>
              <w:rPr>
                <w:rFonts w:ascii="Arial Narrow" w:hAnsi="Arial Narrow"/>
                <w:sz w:val="20"/>
              </w:rPr>
            </w:pPr>
            <w:r w:rsidRPr="00975603">
              <w:rPr>
                <w:rFonts w:ascii="Arial Narrow" w:hAnsi="Arial Narrow"/>
                <w:b/>
                <w:sz w:val="20"/>
              </w:rPr>
              <w:t>Continuing treatment</w:t>
            </w:r>
          </w:p>
          <w:p w:rsidR="0099196A" w:rsidRPr="00975603" w:rsidRDefault="0099196A" w:rsidP="009E0366">
            <w:pPr>
              <w:keepNext/>
              <w:jc w:val="left"/>
              <w:rPr>
                <w:rFonts w:ascii="Arial Narrow" w:hAnsi="Arial Narrow"/>
                <w:sz w:val="20"/>
              </w:rPr>
            </w:pPr>
            <w:r w:rsidRPr="00975603">
              <w:rPr>
                <w:rFonts w:ascii="Arial Narrow" w:hAnsi="Arial Narrow"/>
                <w:sz w:val="20"/>
              </w:rPr>
              <w:t>Powder for injection, 50 mg</w:t>
            </w:r>
          </w:p>
        </w:tc>
        <w:tc>
          <w:tcPr>
            <w:tcW w:w="382" w:type="pct"/>
            <w:vAlign w:val="center"/>
          </w:tcPr>
          <w:p w:rsidR="0099196A" w:rsidRPr="00975603" w:rsidRDefault="0099196A" w:rsidP="009E0366">
            <w:pPr>
              <w:keepNext/>
              <w:jc w:val="center"/>
              <w:rPr>
                <w:rFonts w:ascii="Arial Narrow" w:hAnsi="Arial Narrow"/>
                <w:sz w:val="20"/>
              </w:rPr>
            </w:pPr>
          </w:p>
          <w:p w:rsidR="0099196A" w:rsidRPr="00975603" w:rsidRDefault="0099196A" w:rsidP="009E0366">
            <w:pPr>
              <w:keepNext/>
              <w:jc w:val="center"/>
              <w:rPr>
                <w:rFonts w:ascii="Arial Narrow" w:hAnsi="Arial Narrow"/>
                <w:sz w:val="20"/>
              </w:rPr>
            </w:pPr>
          </w:p>
          <w:p w:rsidR="0099196A" w:rsidRPr="00975603" w:rsidRDefault="0099196A" w:rsidP="009E0366">
            <w:pPr>
              <w:keepNext/>
              <w:jc w:val="center"/>
              <w:rPr>
                <w:rFonts w:ascii="Arial Narrow" w:hAnsi="Arial Narrow"/>
                <w:sz w:val="20"/>
              </w:rPr>
            </w:pPr>
            <w:r w:rsidRPr="00975603">
              <w:rPr>
                <w:rFonts w:ascii="Arial Narrow" w:hAnsi="Arial Narrow"/>
                <w:sz w:val="20"/>
              </w:rPr>
              <w:t>240 mg</w:t>
            </w:r>
          </w:p>
        </w:tc>
        <w:tc>
          <w:tcPr>
            <w:tcW w:w="420" w:type="pct"/>
            <w:vAlign w:val="center"/>
          </w:tcPr>
          <w:p w:rsidR="0099196A" w:rsidRPr="00975603" w:rsidRDefault="0099196A" w:rsidP="009E0366">
            <w:pPr>
              <w:keepNext/>
              <w:rPr>
                <w:rFonts w:ascii="Arial Narrow" w:hAnsi="Arial Narrow"/>
                <w:sz w:val="20"/>
              </w:rPr>
            </w:pPr>
          </w:p>
          <w:p w:rsidR="0099196A" w:rsidRPr="00975603" w:rsidRDefault="0099196A" w:rsidP="009E0366">
            <w:pPr>
              <w:keepNext/>
              <w:rPr>
                <w:rFonts w:ascii="Arial Narrow" w:hAnsi="Arial Narrow"/>
                <w:sz w:val="20"/>
              </w:rPr>
            </w:pPr>
          </w:p>
          <w:p w:rsidR="0099196A" w:rsidRPr="00975603" w:rsidRDefault="0099196A" w:rsidP="009E0366">
            <w:pPr>
              <w:keepNext/>
              <w:rPr>
                <w:rFonts w:ascii="Arial Narrow" w:hAnsi="Arial Narrow"/>
                <w:sz w:val="20"/>
              </w:rPr>
            </w:pPr>
            <w:r w:rsidRPr="00975603">
              <w:rPr>
                <w:rFonts w:ascii="Arial Narrow" w:hAnsi="Arial Narrow"/>
                <w:sz w:val="20"/>
              </w:rPr>
              <w:t>7</w:t>
            </w:r>
          </w:p>
        </w:tc>
        <w:tc>
          <w:tcPr>
            <w:tcW w:w="1009" w:type="pct"/>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w:t>
            </w:r>
            <w:r w:rsidR="00112B75">
              <w:rPr>
                <w:rFonts w:ascii="Arial Narrow" w:hAnsi="Arial Narrow"/>
                <w:noProof/>
                <w:color w:val="000000"/>
                <w:sz w:val="20"/>
                <w:highlight w:val="black"/>
              </w:rPr>
              <w:t>'''''''''''''''''''''''</w:t>
            </w:r>
            <w:r w:rsidRPr="00975603">
              <w:rPr>
                <w:rFonts w:ascii="Arial Narrow" w:hAnsi="Arial Narrow"/>
                <w:sz w:val="20"/>
              </w:rPr>
              <w:t xml:space="preserve"> (public)</w:t>
            </w:r>
          </w:p>
          <w:p w:rsidR="0099196A" w:rsidRPr="00975603" w:rsidRDefault="0099196A" w:rsidP="009E0366">
            <w:pPr>
              <w:keepNext/>
              <w:jc w:val="center"/>
              <w:rPr>
                <w:rFonts w:ascii="Arial Narrow" w:hAnsi="Arial Narrow"/>
                <w:sz w:val="20"/>
              </w:rPr>
            </w:pPr>
            <w:r w:rsidRPr="00975603">
              <w:rPr>
                <w:rFonts w:ascii="Arial Narrow" w:hAnsi="Arial Narrow"/>
                <w:sz w:val="20"/>
              </w:rPr>
              <w:t>$</w:t>
            </w:r>
            <w:r w:rsidR="00112B75">
              <w:rPr>
                <w:rFonts w:ascii="Arial Narrow" w:hAnsi="Arial Narrow"/>
                <w:noProof/>
                <w:color w:val="000000"/>
                <w:sz w:val="20"/>
                <w:highlight w:val="black"/>
              </w:rPr>
              <w:t>''''''''''''''''''''''</w:t>
            </w:r>
            <w:r w:rsidRPr="00975603">
              <w:rPr>
                <w:rFonts w:ascii="Arial Narrow" w:hAnsi="Arial Narrow"/>
                <w:sz w:val="20"/>
              </w:rPr>
              <w:t xml:space="preserve"> (private)</w:t>
            </w:r>
          </w:p>
        </w:tc>
        <w:tc>
          <w:tcPr>
            <w:tcW w:w="586" w:type="pct"/>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Keytruda</w:t>
            </w:r>
            <w:r w:rsidRPr="00975603">
              <w:rPr>
                <w:rFonts w:ascii="Arial Narrow" w:hAnsi="Arial Narrow"/>
                <w:sz w:val="20"/>
                <w:vertAlign w:val="superscript"/>
              </w:rPr>
              <w:t>®</w:t>
            </w:r>
          </w:p>
        </w:tc>
        <w:tc>
          <w:tcPr>
            <w:tcW w:w="628" w:type="pct"/>
            <w:vAlign w:val="center"/>
          </w:tcPr>
          <w:p w:rsidR="0099196A" w:rsidRPr="00975603" w:rsidRDefault="0099196A" w:rsidP="009E0366">
            <w:pPr>
              <w:keepNext/>
              <w:jc w:val="center"/>
              <w:rPr>
                <w:rFonts w:ascii="Arial Narrow" w:hAnsi="Arial Narrow"/>
                <w:sz w:val="20"/>
              </w:rPr>
            </w:pPr>
            <w:r w:rsidRPr="00975603">
              <w:rPr>
                <w:rFonts w:ascii="Arial Narrow" w:hAnsi="Arial Narrow"/>
                <w:sz w:val="20"/>
              </w:rPr>
              <w:t>MK</w:t>
            </w:r>
          </w:p>
        </w:tc>
      </w:tr>
    </w:tbl>
    <w:p w:rsidR="0099196A" w:rsidRPr="00975603" w:rsidRDefault="0099196A" w:rsidP="0099196A"/>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6356"/>
        <w:gridCol w:w="22"/>
      </w:tblGrid>
      <w:tr w:rsidR="0099196A" w:rsidRPr="00975603" w:rsidTr="009E0366">
        <w:trPr>
          <w:gridAfter w:val="1"/>
          <w:wAfter w:w="13" w:type="pct"/>
          <w:trHeight w:val="20"/>
        </w:trPr>
        <w:tc>
          <w:tcPr>
            <w:tcW w:w="4987" w:type="pct"/>
            <w:gridSpan w:val="2"/>
            <w:tcBorders>
              <w:top w:val="single" w:sz="4" w:space="0" w:color="auto"/>
              <w:left w:val="single" w:sz="4" w:space="0" w:color="auto"/>
              <w:bottom w:val="single" w:sz="4" w:space="0" w:color="auto"/>
              <w:right w:val="single" w:sz="4" w:space="0" w:color="auto"/>
            </w:tcBorders>
            <w:vAlign w:val="center"/>
            <w:hideMark/>
          </w:tcPr>
          <w:p w:rsidR="0099196A" w:rsidRPr="00975603" w:rsidRDefault="0099196A" w:rsidP="009E0366">
            <w:pPr>
              <w:snapToGrid w:val="0"/>
              <w:spacing w:line="20" w:lineRule="atLeast"/>
              <w:rPr>
                <w:rFonts w:ascii="Arial Narrow" w:hAnsi="Arial Narrow"/>
                <w:sz w:val="20"/>
                <w:lang w:eastAsia="en-AU"/>
              </w:rPr>
            </w:pPr>
            <w:r w:rsidRPr="00975603">
              <w:rPr>
                <w:rFonts w:ascii="Arial Narrow" w:hAnsi="Arial Narrow"/>
                <w:b/>
                <w:bCs/>
                <w:sz w:val="20"/>
                <w:lang w:eastAsia="en-AU"/>
              </w:rPr>
              <w:t>Treatment phase:  Continuing</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Category / Program</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2A3077">
            <w:pPr>
              <w:widowControl/>
              <w:jc w:val="left"/>
              <w:rPr>
                <w:rFonts w:ascii="Arial Narrow" w:hAnsi="Arial Narrow"/>
                <w:sz w:val="20"/>
              </w:rPr>
            </w:pPr>
            <w:r w:rsidRPr="00975603">
              <w:rPr>
                <w:rFonts w:ascii="Arial Narrow" w:eastAsia="SimSun" w:hAnsi="Arial Narrow"/>
                <w:snapToGrid/>
                <w:sz w:val="20"/>
                <w:lang w:eastAsia="zh-CN"/>
              </w:rPr>
              <w:t xml:space="preserve">Section 100 </w:t>
            </w:r>
            <w:r w:rsidR="002A3077" w:rsidRPr="00975603">
              <w:rPr>
                <w:rFonts w:ascii="Arial Narrow" w:eastAsia="SimSun" w:hAnsi="Arial Narrow"/>
                <w:snapToGrid/>
                <w:sz w:val="20"/>
                <w:lang w:eastAsia="zh-CN"/>
              </w:rPr>
              <w:t xml:space="preserve">– </w:t>
            </w:r>
            <w:r w:rsidRPr="00975603">
              <w:rPr>
                <w:rFonts w:ascii="Arial Narrow" w:eastAsia="SimSun" w:hAnsi="Arial Narrow"/>
                <w:snapToGrid/>
                <w:sz w:val="20"/>
                <w:lang w:eastAsia="zh-CN"/>
              </w:rPr>
              <w:t>Efficient Funding of Chemotherapy</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Prescriber type:</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fldChar w:fldCharType="begin">
                <w:ffData>
                  <w:name w:val="Check1"/>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Dental  </w:t>
            </w:r>
            <w:r w:rsidRPr="00975603">
              <w:rPr>
                <w:rFonts w:ascii="Arial Narrow" w:hAnsi="Arial Narrow"/>
                <w:sz w:val="20"/>
              </w:rPr>
              <w:fldChar w:fldCharType="begin">
                <w:ffData>
                  <w:name w:val=""/>
                  <w:enabled/>
                  <w:calcOnExit w:val="0"/>
                  <w:checkBox>
                    <w:sizeAuto/>
                    <w:default w:val="1"/>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Medical Practitioners  </w:t>
            </w:r>
            <w:r w:rsidRPr="00975603">
              <w:rPr>
                <w:rFonts w:ascii="Arial Narrow" w:hAnsi="Arial Narrow"/>
                <w:sz w:val="20"/>
              </w:rPr>
              <w:fldChar w:fldCharType="begin">
                <w:ffData>
                  <w:name w:val="Check3"/>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 xml:space="preserve">Nurse practitioners  </w:t>
            </w:r>
            <w:r w:rsidRPr="00975603">
              <w:rPr>
                <w:rFonts w:ascii="Arial Narrow" w:hAnsi="Arial Narrow"/>
                <w:sz w:val="20"/>
              </w:rPr>
              <w:fldChar w:fldCharType="begin">
                <w:ffData>
                  <w:name w:val=""/>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Optometrists</w:t>
            </w:r>
          </w:p>
          <w:p w:rsidR="0099196A" w:rsidRPr="00975603" w:rsidRDefault="0099196A" w:rsidP="009E0366">
            <w:pPr>
              <w:rPr>
                <w:rFonts w:ascii="Arial Narrow" w:hAnsi="Arial Narrow"/>
                <w:sz w:val="20"/>
              </w:rPr>
            </w:pPr>
            <w:r w:rsidRPr="00975603">
              <w:rPr>
                <w:rFonts w:ascii="Arial Narrow" w:hAnsi="Arial Narrow"/>
                <w:sz w:val="20"/>
              </w:rPr>
              <w:fldChar w:fldCharType="begin">
                <w:ffData>
                  <w:name w:val="Check5"/>
                  <w:enabled/>
                  <w:calcOnExit w:val="0"/>
                  <w:checkBox>
                    <w:sizeAuto/>
                    <w:default w:val="0"/>
                  </w:checkBox>
                </w:ffData>
              </w:fldChar>
            </w:r>
            <w:r w:rsidRPr="00975603">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975603">
              <w:rPr>
                <w:rFonts w:ascii="Arial Narrow" w:hAnsi="Arial Narrow"/>
                <w:sz w:val="20"/>
              </w:rPr>
              <w:fldChar w:fldCharType="end"/>
            </w:r>
            <w:r w:rsidRPr="00975603">
              <w:rPr>
                <w:rFonts w:ascii="Arial Narrow" w:hAnsi="Arial Narrow"/>
                <w:sz w:val="20"/>
              </w:rPr>
              <w:t>Midwives</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Severity:</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Unresectable Stage III or Stage IV</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Condition:</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Malignant melanoma</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PBS Indication:</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Unresectable Stage III or Stage IV malignant melanoma</w:t>
            </w:r>
          </w:p>
        </w:tc>
      </w:tr>
      <w:tr w:rsidR="0099196A"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b/>
                <w:sz w:val="20"/>
              </w:rPr>
            </w:pPr>
            <w:r w:rsidRPr="00975603">
              <w:rPr>
                <w:rFonts w:ascii="Arial Narrow" w:hAnsi="Arial Narrow"/>
                <w:b/>
                <w:sz w:val="20"/>
              </w:rPr>
              <w:t>Treatment phase:</w:t>
            </w:r>
          </w:p>
        </w:tc>
        <w:tc>
          <w:tcPr>
            <w:tcW w:w="3813" w:type="pct"/>
            <w:gridSpan w:val="2"/>
            <w:tcBorders>
              <w:top w:val="single" w:sz="4" w:space="0" w:color="auto"/>
              <w:left w:val="single" w:sz="4" w:space="0" w:color="auto"/>
              <w:bottom w:val="single" w:sz="4" w:space="0" w:color="auto"/>
              <w:right w:val="single" w:sz="4" w:space="0" w:color="auto"/>
            </w:tcBorders>
          </w:tcPr>
          <w:p w:rsidR="0099196A" w:rsidRPr="00975603" w:rsidRDefault="0099196A" w:rsidP="009E0366">
            <w:pPr>
              <w:rPr>
                <w:rFonts w:ascii="Arial Narrow" w:hAnsi="Arial Narrow"/>
                <w:sz w:val="20"/>
              </w:rPr>
            </w:pPr>
            <w:r w:rsidRPr="00975603">
              <w:rPr>
                <w:rFonts w:ascii="Arial Narrow" w:hAnsi="Arial Narrow"/>
                <w:sz w:val="20"/>
              </w:rPr>
              <w:t>Continuing</w:t>
            </w:r>
          </w:p>
        </w:tc>
      </w:tr>
      <w:tr w:rsidR="002A3077"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4C726B" w:rsidRDefault="002A3077" w:rsidP="00296052">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2A3077" w:rsidRPr="00106BCF" w:rsidRDefault="002A3077" w:rsidP="00296052">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2A3077" w:rsidRPr="00260CE3" w:rsidRDefault="002A3077" w:rsidP="00296052">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764EF">
              <w:rPr>
                <w:rFonts w:ascii="Arial Narrow" w:hAnsi="Arial Narrow"/>
                <w:sz w:val="20"/>
              </w:rPr>
            </w:r>
            <w:r w:rsidR="00B764EF">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2A3077"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9E0366">
            <w:pPr>
              <w:rPr>
                <w:rFonts w:ascii="Arial Narrow" w:hAnsi="Arial Narrow"/>
                <w:sz w:val="20"/>
              </w:rPr>
            </w:pPr>
            <w:r w:rsidRPr="00975603">
              <w:rPr>
                <w:rFonts w:ascii="Arial Narrow" w:hAnsi="Arial Narrow"/>
                <w:b/>
                <w:sz w:val="20"/>
              </w:rPr>
              <w:lastRenderedPageBreak/>
              <w:t>Clinical criteria:</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9E0366">
            <w:pPr>
              <w:widowControl/>
              <w:jc w:val="left"/>
              <w:rPr>
                <w:rFonts w:ascii="Arial Narrow" w:eastAsia="SimSun" w:hAnsi="Arial Narrow"/>
                <w:snapToGrid/>
                <w:sz w:val="20"/>
                <w:lang w:eastAsia="zh-CN"/>
              </w:rPr>
            </w:pPr>
            <w:r w:rsidRPr="00975603">
              <w:rPr>
                <w:rFonts w:ascii="Arial Narrow" w:eastAsia="SimSun" w:hAnsi="Arial Narrow"/>
                <w:snapToGrid/>
                <w:sz w:val="20"/>
                <w:lang w:eastAsia="zh-CN"/>
              </w:rPr>
              <w:t>Treatment must be the sole PBS-subsidised therapy for this condition</w:t>
            </w:r>
            <w:r>
              <w:rPr>
                <w:rFonts w:ascii="Arial Narrow" w:eastAsia="SimSun" w:hAnsi="Arial Narrow"/>
                <w:snapToGrid/>
                <w:sz w:val="20"/>
                <w:lang w:eastAsia="zh-CN"/>
              </w:rPr>
              <w:t>;</w:t>
            </w:r>
          </w:p>
          <w:p w:rsidR="002A3077" w:rsidRPr="00975603" w:rsidRDefault="002A3077" w:rsidP="009E0366">
            <w:pPr>
              <w:widowControl/>
              <w:jc w:val="left"/>
              <w:rPr>
                <w:rFonts w:ascii="Arial Narrow" w:eastAsia="SimSun" w:hAnsi="Arial Narrow"/>
                <w:snapToGrid/>
                <w:sz w:val="20"/>
                <w:lang w:eastAsia="zh-CN"/>
              </w:rPr>
            </w:pPr>
          </w:p>
          <w:p w:rsidR="002A3077" w:rsidRPr="00975603" w:rsidRDefault="002A3077" w:rsidP="009E0366">
            <w:pPr>
              <w:widowControl/>
              <w:jc w:val="left"/>
              <w:rPr>
                <w:rFonts w:ascii="Arial Narrow" w:eastAsia="SimSun" w:hAnsi="Arial Narrow"/>
                <w:snapToGrid/>
                <w:sz w:val="20"/>
                <w:lang w:eastAsia="zh-CN"/>
              </w:rPr>
            </w:pPr>
            <w:r w:rsidRPr="00975603">
              <w:rPr>
                <w:rFonts w:ascii="Arial Narrow" w:eastAsia="SimSun" w:hAnsi="Arial Narrow"/>
                <w:snapToGrid/>
                <w:sz w:val="20"/>
                <w:lang w:eastAsia="zh-CN"/>
              </w:rPr>
              <w:t>AND</w:t>
            </w:r>
          </w:p>
          <w:p w:rsidR="002A3077" w:rsidRPr="00975603" w:rsidRDefault="002A3077" w:rsidP="009E0366">
            <w:pPr>
              <w:widowControl/>
              <w:jc w:val="left"/>
              <w:rPr>
                <w:rFonts w:ascii="Arial Narrow" w:eastAsia="SimSun" w:hAnsi="Arial Narrow"/>
                <w:snapToGrid/>
                <w:sz w:val="20"/>
                <w:lang w:eastAsia="zh-CN"/>
              </w:rPr>
            </w:pPr>
          </w:p>
          <w:p w:rsidR="002A3077" w:rsidRPr="00975603" w:rsidRDefault="002A3077" w:rsidP="009E0366">
            <w:pPr>
              <w:widowControl/>
              <w:jc w:val="left"/>
              <w:rPr>
                <w:rFonts w:ascii="Arial Narrow" w:eastAsia="SimSun" w:hAnsi="Arial Narrow"/>
                <w:snapToGrid/>
                <w:sz w:val="20"/>
                <w:lang w:eastAsia="zh-CN"/>
              </w:rPr>
            </w:pPr>
            <w:r w:rsidRPr="00975603">
              <w:rPr>
                <w:rFonts w:ascii="Arial Narrow" w:eastAsia="SimSun" w:hAnsi="Arial Narrow"/>
                <w:snapToGrid/>
                <w:sz w:val="20"/>
                <w:lang w:eastAsia="zh-CN"/>
              </w:rPr>
              <w:t>Patient must have previously been issued with an authority prescription for this drug</w:t>
            </w:r>
            <w:r>
              <w:rPr>
                <w:rFonts w:ascii="Arial Narrow" w:eastAsia="SimSun" w:hAnsi="Arial Narrow"/>
                <w:snapToGrid/>
                <w:sz w:val="20"/>
                <w:lang w:eastAsia="zh-CN"/>
              </w:rPr>
              <w:t xml:space="preserve"> for this condition;</w:t>
            </w:r>
          </w:p>
          <w:p w:rsidR="002A3077" w:rsidRPr="00975603" w:rsidRDefault="002A3077" w:rsidP="009E0366">
            <w:pPr>
              <w:widowControl/>
              <w:jc w:val="left"/>
              <w:rPr>
                <w:rFonts w:ascii="Arial Narrow" w:eastAsia="SimSun" w:hAnsi="Arial Narrow"/>
                <w:snapToGrid/>
                <w:sz w:val="20"/>
                <w:lang w:eastAsia="zh-CN"/>
              </w:rPr>
            </w:pPr>
          </w:p>
          <w:p w:rsidR="002A3077" w:rsidRPr="00975603" w:rsidRDefault="002A3077" w:rsidP="009E0366">
            <w:pPr>
              <w:widowControl/>
              <w:jc w:val="left"/>
              <w:rPr>
                <w:rFonts w:ascii="Arial Narrow" w:eastAsia="SimSun" w:hAnsi="Arial Narrow"/>
                <w:snapToGrid/>
                <w:sz w:val="20"/>
                <w:lang w:eastAsia="zh-CN"/>
              </w:rPr>
            </w:pPr>
            <w:r w:rsidRPr="00975603">
              <w:rPr>
                <w:rFonts w:ascii="Arial Narrow" w:eastAsia="SimSun" w:hAnsi="Arial Narrow"/>
                <w:snapToGrid/>
                <w:sz w:val="20"/>
                <w:lang w:eastAsia="zh-CN"/>
              </w:rPr>
              <w:t>AND</w:t>
            </w:r>
          </w:p>
          <w:p w:rsidR="002A3077" w:rsidRPr="00975603" w:rsidRDefault="002A3077" w:rsidP="009E0366">
            <w:pPr>
              <w:widowControl/>
              <w:jc w:val="left"/>
              <w:rPr>
                <w:rFonts w:ascii="Arial Narrow" w:eastAsia="SimSun" w:hAnsi="Arial Narrow"/>
                <w:snapToGrid/>
                <w:sz w:val="20"/>
                <w:lang w:eastAsia="zh-CN"/>
              </w:rPr>
            </w:pPr>
          </w:p>
          <w:p w:rsidR="002A3077" w:rsidRPr="00975603" w:rsidRDefault="002A3077" w:rsidP="009E0366">
            <w:pPr>
              <w:widowControl/>
              <w:jc w:val="left"/>
              <w:rPr>
                <w:rFonts w:ascii="Arial Narrow" w:eastAsia="SimSun" w:hAnsi="Arial Narrow"/>
                <w:snapToGrid/>
                <w:sz w:val="20"/>
                <w:lang w:eastAsia="zh-CN"/>
              </w:rPr>
            </w:pPr>
            <w:r w:rsidRPr="00975603">
              <w:rPr>
                <w:rFonts w:ascii="Arial Narrow" w:eastAsia="SimSun" w:hAnsi="Arial Narrow"/>
                <w:snapToGrid/>
                <w:sz w:val="20"/>
                <w:lang w:eastAsia="zh-CN"/>
              </w:rPr>
              <w:t>Patient must have stable or responding disease</w:t>
            </w:r>
            <w:r>
              <w:rPr>
                <w:rFonts w:ascii="Arial Narrow" w:eastAsia="SimSun" w:hAnsi="Arial Narrow"/>
                <w:snapToGrid/>
                <w:sz w:val="20"/>
                <w:lang w:eastAsia="zh-CN"/>
              </w:rPr>
              <w:t>;</w:t>
            </w:r>
          </w:p>
          <w:p w:rsidR="002A3077" w:rsidRPr="002A3077" w:rsidRDefault="002A3077" w:rsidP="002A3077">
            <w:pPr>
              <w:snapToGrid w:val="0"/>
              <w:spacing w:line="20" w:lineRule="atLeast"/>
              <w:rPr>
                <w:rFonts w:ascii="Arial Narrow" w:hAnsi="Arial Narrow"/>
                <w:sz w:val="20"/>
              </w:rPr>
            </w:pPr>
          </w:p>
          <w:p w:rsidR="002A3077" w:rsidRPr="002A3077" w:rsidRDefault="002A3077" w:rsidP="002A3077">
            <w:pPr>
              <w:snapToGrid w:val="0"/>
              <w:spacing w:line="20" w:lineRule="atLeast"/>
              <w:rPr>
                <w:rFonts w:ascii="Arial Narrow" w:hAnsi="Arial Narrow"/>
                <w:sz w:val="20"/>
              </w:rPr>
            </w:pPr>
            <w:r w:rsidRPr="002A3077">
              <w:rPr>
                <w:rFonts w:ascii="Arial Narrow" w:hAnsi="Arial Narrow"/>
                <w:sz w:val="20"/>
              </w:rPr>
              <w:t>AND</w:t>
            </w:r>
          </w:p>
          <w:p w:rsidR="002A3077" w:rsidRPr="002A3077" w:rsidRDefault="002A3077" w:rsidP="002A3077">
            <w:pPr>
              <w:snapToGrid w:val="0"/>
              <w:spacing w:line="20" w:lineRule="atLeast"/>
              <w:rPr>
                <w:rFonts w:ascii="Arial Narrow" w:hAnsi="Arial Narrow"/>
                <w:sz w:val="20"/>
              </w:rPr>
            </w:pPr>
          </w:p>
          <w:p w:rsidR="002A3077" w:rsidRPr="00975603" w:rsidRDefault="002A3077" w:rsidP="002A3077">
            <w:pPr>
              <w:snapToGrid w:val="0"/>
              <w:spacing w:line="20" w:lineRule="atLeast"/>
              <w:rPr>
                <w:rFonts w:ascii="Arial Narrow" w:hAnsi="Arial Narrow"/>
                <w:sz w:val="20"/>
              </w:rPr>
            </w:pPr>
            <w:r w:rsidRPr="002A3077">
              <w:rPr>
                <w:rFonts w:ascii="Arial Narrow" w:hAnsi="Arial Narrow"/>
                <w:sz w:val="20"/>
              </w:rPr>
              <w:t>The treatment must not exceed a maximum dose of 2 mg/kg every 3 weeks.</w:t>
            </w:r>
          </w:p>
        </w:tc>
      </w:tr>
      <w:tr w:rsidR="002A3077" w:rsidRPr="00975603" w:rsidTr="009E0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60"/>
        </w:trPr>
        <w:tc>
          <w:tcPr>
            <w:tcW w:w="1187" w:type="pct"/>
            <w:tcBorders>
              <w:top w:val="single" w:sz="4" w:space="0" w:color="auto"/>
              <w:left w:val="single" w:sz="4" w:space="0" w:color="auto"/>
              <w:bottom w:val="single" w:sz="4" w:space="0" w:color="auto"/>
              <w:right w:val="single" w:sz="4" w:space="0" w:color="auto"/>
            </w:tcBorders>
          </w:tcPr>
          <w:p w:rsidR="002A3077" w:rsidRPr="00975603" w:rsidRDefault="002A3077" w:rsidP="009E0366">
            <w:pPr>
              <w:rPr>
                <w:rFonts w:ascii="Arial Narrow" w:hAnsi="Arial Narrow"/>
                <w:i/>
                <w:sz w:val="20"/>
              </w:rPr>
            </w:pPr>
            <w:r w:rsidRPr="00975603">
              <w:rPr>
                <w:rFonts w:ascii="Arial Narrow" w:hAnsi="Arial Narrow"/>
                <w:b/>
                <w:sz w:val="20"/>
              </w:rPr>
              <w:t>Administrative Advice</w:t>
            </w:r>
          </w:p>
        </w:tc>
        <w:tc>
          <w:tcPr>
            <w:tcW w:w="3813" w:type="pct"/>
            <w:gridSpan w:val="2"/>
            <w:tcBorders>
              <w:top w:val="single" w:sz="4" w:space="0" w:color="auto"/>
              <w:left w:val="single" w:sz="4" w:space="0" w:color="auto"/>
              <w:bottom w:val="single" w:sz="4" w:space="0" w:color="auto"/>
              <w:right w:val="single" w:sz="4" w:space="0" w:color="auto"/>
            </w:tcBorders>
          </w:tcPr>
          <w:p w:rsidR="002A3077" w:rsidRPr="00975603" w:rsidRDefault="002A3077" w:rsidP="002A3077">
            <w:pPr>
              <w:rPr>
                <w:rFonts w:ascii="Arial Narrow" w:hAnsi="Arial Narrow"/>
                <w:sz w:val="20"/>
              </w:rPr>
            </w:pPr>
            <w:r w:rsidRPr="00975603">
              <w:rPr>
                <w:rFonts w:ascii="Arial Narrow" w:hAnsi="Arial Narrow"/>
                <w:sz w:val="20"/>
              </w:rPr>
              <w:t>No increase in the maximum number of repeats may be authorised.</w:t>
            </w:r>
          </w:p>
        </w:tc>
      </w:tr>
    </w:tbl>
    <w:p w:rsidR="00A05E64" w:rsidRDefault="00A05E64" w:rsidP="002A3077">
      <w:pPr>
        <w:rPr>
          <w:bCs/>
          <w:szCs w:val="22"/>
        </w:rPr>
      </w:pPr>
    </w:p>
    <w:p w:rsidR="003A3E1F" w:rsidRDefault="003A3E1F" w:rsidP="003A3E1F">
      <w:pPr>
        <w:widowControl/>
      </w:pPr>
    </w:p>
    <w:p w:rsidR="003A3E1F" w:rsidRPr="00D4207D" w:rsidRDefault="003A3E1F" w:rsidP="003A3E1F">
      <w:pPr>
        <w:pStyle w:val="PBACHeading1"/>
      </w:pPr>
      <w:r w:rsidRPr="00D4207D">
        <w:t>Context for Decision</w:t>
      </w:r>
    </w:p>
    <w:p w:rsidR="003A3E1F" w:rsidRPr="00D4420F" w:rsidRDefault="003A3E1F" w:rsidP="003A3E1F">
      <w:pPr>
        <w:pStyle w:val="ListParagraph"/>
        <w:rPr>
          <w:b/>
        </w:rPr>
      </w:pPr>
    </w:p>
    <w:p w:rsidR="003A3E1F" w:rsidRPr="00D4207D" w:rsidRDefault="003A3E1F" w:rsidP="003A3E1F">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A3E1F" w:rsidRPr="00D4420F" w:rsidRDefault="003A3E1F" w:rsidP="003A3E1F"/>
    <w:p w:rsidR="003A3E1F" w:rsidRPr="00D4207D" w:rsidRDefault="003A3E1F" w:rsidP="003A3E1F">
      <w:pPr>
        <w:pStyle w:val="PBACHeading1"/>
      </w:pPr>
      <w:r w:rsidRPr="00D4207D">
        <w:t>Sponsor’s Comment</w:t>
      </w:r>
    </w:p>
    <w:p w:rsidR="003A3E1F" w:rsidRDefault="003A3E1F" w:rsidP="002A3077">
      <w:pPr>
        <w:rPr>
          <w:bCs/>
          <w:szCs w:val="22"/>
        </w:rPr>
      </w:pPr>
    </w:p>
    <w:p w:rsidR="00D61CCA" w:rsidRPr="003A4B26" w:rsidRDefault="00D61CCA" w:rsidP="003A4B26">
      <w:pPr>
        <w:ind w:left="720"/>
        <w:rPr>
          <w:iCs/>
        </w:rPr>
      </w:pPr>
      <w:r w:rsidRPr="003A4B26">
        <w:rPr>
          <w:iCs/>
        </w:rPr>
        <w:t>MSD is pleased that the PBAC made the decision to recommend pembrolizumab for patients who have unresectable or metastatic melanoma, and will be working with the Department to ensure that these patients have PBS reimbursed access as soon as possible.</w:t>
      </w:r>
    </w:p>
    <w:p w:rsidR="00D61CCA" w:rsidRPr="00A05E64" w:rsidRDefault="00D61CCA" w:rsidP="002A3077">
      <w:pPr>
        <w:rPr>
          <w:bCs/>
          <w:szCs w:val="22"/>
        </w:rPr>
      </w:pPr>
    </w:p>
    <w:sectPr w:rsidR="00D61CCA" w:rsidRPr="00A05E64" w:rsidSect="00BB4AC4">
      <w:headerReference w:type="default" r:id="rId13"/>
      <w:footerReference w:type="defaul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EF" w:rsidRDefault="00B764EF" w:rsidP="00124A51">
      <w:r>
        <w:separator/>
      </w:r>
    </w:p>
  </w:endnote>
  <w:endnote w:type="continuationSeparator" w:id="0">
    <w:p w:rsidR="00B764EF" w:rsidRDefault="00B764E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173679"/>
      <w:docPartObj>
        <w:docPartGallery w:val="Page Numbers (Bottom of Page)"/>
        <w:docPartUnique/>
      </w:docPartObj>
    </w:sdtPr>
    <w:sdtEndPr>
      <w:rPr>
        <w:noProof/>
      </w:rPr>
    </w:sdtEndPr>
    <w:sdtContent>
      <w:p w:rsidR="00273D66" w:rsidRDefault="00273D66" w:rsidP="00655B06">
        <w:pPr>
          <w:pStyle w:val="Footer"/>
          <w:jc w:val="center"/>
        </w:pPr>
      </w:p>
      <w:p w:rsidR="00273D66" w:rsidRDefault="00273D66" w:rsidP="00655B06">
        <w:pPr>
          <w:pStyle w:val="Footer"/>
          <w:jc w:val="center"/>
        </w:pPr>
        <w:r>
          <w:fldChar w:fldCharType="begin"/>
        </w:r>
        <w:r>
          <w:instrText xml:space="preserve"> PAGE   \* MERGEFORMAT </w:instrText>
        </w:r>
        <w:r>
          <w:fldChar w:fldCharType="separate"/>
        </w:r>
        <w:r w:rsidR="00B764EF">
          <w:rPr>
            <w:noProof/>
          </w:rPr>
          <w:t>31</w:t>
        </w:r>
        <w:r>
          <w:rPr>
            <w:noProof/>
          </w:rPr>
          <w:fldChar w:fldCharType="end"/>
        </w:r>
      </w:p>
    </w:sdtContent>
  </w:sdt>
  <w:p w:rsidR="00273D66" w:rsidRDefault="00273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EF" w:rsidRDefault="00B764EF" w:rsidP="00124A51">
      <w:r>
        <w:separator/>
      </w:r>
    </w:p>
  </w:footnote>
  <w:footnote w:type="continuationSeparator" w:id="0">
    <w:p w:rsidR="00B764EF" w:rsidRDefault="00B764EF" w:rsidP="00124A51">
      <w:r>
        <w:continuationSeparator/>
      </w:r>
    </w:p>
  </w:footnote>
  <w:footnote w:id="1">
    <w:p w:rsidR="00273D66" w:rsidRPr="003D6F69" w:rsidRDefault="00273D66" w:rsidP="0032121E">
      <w:pPr>
        <w:pStyle w:val="FootnoteText"/>
        <w:rPr>
          <w:sz w:val="18"/>
          <w:szCs w:val="18"/>
          <w:lang w:val="en-US"/>
        </w:rPr>
      </w:pPr>
      <w:r w:rsidRPr="003D6F69">
        <w:rPr>
          <w:rStyle w:val="FootnoteReference"/>
          <w:sz w:val="18"/>
          <w:szCs w:val="18"/>
        </w:rPr>
        <w:footnoteRef/>
      </w:r>
      <w:r w:rsidRPr="003D6F69">
        <w:rPr>
          <w:sz w:val="18"/>
          <w:szCs w:val="18"/>
        </w:rPr>
        <w:t xml:space="preserve"> </w:t>
      </w:r>
      <w:r w:rsidRPr="003D6F69">
        <w:rPr>
          <w:sz w:val="18"/>
          <w:szCs w:val="18"/>
          <w:lang w:val="en-US"/>
        </w:rPr>
        <w:t>Definitional note: ‘data cut’ refers to the date of analysis of data when there is planned ongoing follow-up, with further analyses at later time points.</w:t>
      </w:r>
    </w:p>
  </w:footnote>
  <w:footnote w:id="2">
    <w:p w:rsidR="00273D66" w:rsidRPr="00CA498A" w:rsidRDefault="00273D66" w:rsidP="00806E8A">
      <w:pPr>
        <w:pStyle w:val="FootnoteText"/>
        <w:rPr>
          <w:sz w:val="18"/>
          <w:szCs w:val="22"/>
          <w:lang w:val="en-US"/>
        </w:rPr>
      </w:pPr>
      <w:r w:rsidRPr="00CA498A">
        <w:rPr>
          <w:rStyle w:val="FootnoteReference"/>
          <w:sz w:val="18"/>
          <w:szCs w:val="22"/>
        </w:rPr>
        <w:footnoteRef/>
      </w:r>
      <w:r w:rsidRPr="00CA498A">
        <w:rPr>
          <w:sz w:val="18"/>
          <w:szCs w:val="22"/>
        </w:rPr>
        <w:t xml:space="preserve"> </w:t>
      </w:r>
      <w:r w:rsidRPr="00CA498A">
        <w:rPr>
          <w:sz w:val="18"/>
          <w:szCs w:val="22"/>
          <w:lang w:val="en-US"/>
        </w:rPr>
        <w:t>Definitional note: ‘lambda value’ refers to the exponential parameter that determines the shape of the survival function in a modelled economic evaluation.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66" w:rsidRPr="00DF217D" w:rsidRDefault="00273D66" w:rsidP="00655B06">
    <w:pPr>
      <w:pStyle w:val="Header"/>
      <w:jc w:val="center"/>
      <w:rPr>
        <w:i/>
        <w:color w:val="808080"/>
      </w:rPr>
    </w:pPr>
    <w:r>
      <w:rPr>
        <w:i/>
        <w:color w:val="808080"/>
      </w:rPr>
      <w:t>Public Summary Document</w:t>
    </w:r>
    <w:r w:rsidRPr="00DF217D">
      <w:rPr>
        <w:i/>
        <w:color w:val="808080"/>
      </w:rPr>
      <w:t xml:space="preserve"> –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273D66" w:rsidRDefault="00273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F43"/>
    <w:multiLevelType w:val="hybridMultilevel"/>
    <w:tmpl w:val="5E6A64A0"/>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DF0615"/>
    <w:multiLevelType w:val="hybridMultilevel"/>
    <w:tmpl w:val="0EE8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F58EC"/>
    <w:multiLevelType w:val="hybridMultilevel"/>
    <w:tmpl w:val="5D8C5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652BD0"/>
    <w:multiLevelType w:val="hybridMultilevel"/>
    <w:tmpl w:val="9EB2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A74328"/>
    <w:multiLevelType w:val="hybridMultilevel"/>
    <w:tmpl w:val="E7C4F642"/>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4D5A0F"/>
    <w:multiLevelType w:val="hybridMultilevel"/>
    <w:tmpl w:val="9BB26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8">
    <w:nsid w:val="20B90D50"/>
    <w:multiLevelType w:val="hybridMultilevel"/>
    <w:tmpl w:val="D9CC0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A73140"/>
    <w:multiLevelType w:val="hybridMultilevel"/>
    <w:tmpl w:val="5A6EA0E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nsid w:val="2C601F3D"/>
    <w:multiLevelType w:val="hybridMultilevel"/>
    <w:tmpl w:val="31D4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1C0B4F"/>
    <w:multiLevelType w:val="hybridMultilevel"/>
    <w:tmpl w:val="EF9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B133F"/>
    <w:multiLevelType w:val="hybridMultilevel"/>
    <w:tmpl w:val="340AB75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3">
    <w:nsid w:val="326A4AC8"/>
    <w:multiLevelType w:val="hybridMultilevel"/>
    <w:tmpl w:val="531A676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3EE102C7"/>
    <w:multiLevelType w:val="hybridMultilevel"/>
    <w:tmpl w:val="873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D8724D"/>
    <w:multiLevelType w:val="hybridMultilevel"/>
    <w:tmpl w:val="81D088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3D4759"/>
    <w:multiLevelType w:val="hybridMultilevel"/>
    <w:tmpl w:val="E6E220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472"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C425CA"/>
    <w:multiLevelType w:val="hybridMultilevel"/>
    <w:tmpl w:val="A3DA7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7618CD"/>
    <w:multiLevelType w:val="hybridMultilevel"/>
    <w:tmpl w:val="43FA41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40E3CFA"/>
    <w:multiLevelType w:val="hybridMultilevel"/>
    <w:tmpl w:val="F668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C6705E"/>
    <w:multiLevelType w:val="hybridMultilevel"/>
    <w:tmpl w:val="4F5E5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784D033C"/>
    <w:multiLevelType w:val="multilevel"/>
    <w:tmpl w:val="FB00D90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B4F55E6"/>
    <w:multiLevelType w:val="hybridMultilevel"/>
    <w:tmpl w:val="4C909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nsid w:val="7E8E5685"/>
    <w:multiLevelType w:val="hybridMultilevel"/>
    <w:tmpl w:val="D3CE00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4"/>
  </w:num>
  <w:num w:numId="2">
    <w:abstractNumId w:val="8"/>
  </w:num>
  <w:num w:numId="3">
    <w:abstractNumId w:val="0"/>
  </w:num>
  <w:num w:numId="4">
    <w:abstractNumId w:val="6"/>
  </w:num>
  <w:num w:numId="5">
    <w:abstractNumId w:val="15"/>
  </w:num>
  <w:num w:numId="6">
    <w:abstractNumId w:val="22"/>
  </w:num>
  <w:num w:numId="7">
    <w:abstractNumId w:val="16"/>
  </w:num>
  <w:num w:numId="8">
    <w:abstractNumId w:val="5"/>
  </w:num>
  <w:num w:numId="9">
    <w:abstractNumId w:val="17"/>
  </w:num>
  <w:num w:numId="10">
    <w:abstractNumId w:val="19"/>
  </w:num>
  <w:num w:numId="11">
    <w:abstractNumId w:val="1"/>
  </w:num>
  <w:num w:numId="12">
    <w:abstractNumId w:val="11"/>
  </w:num>
  <w:num w:numId="13">
    <w:abstractNumId w:val="27"/>
  </w:num>
  <w:num w:numId="14">
    <w:abstractNumId w:val="1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8"/>
  </w:num>
  <w:num w:numId="18">
    <w:abstractNumId w:val="23"/>
  </w:num>
  <w:num w:numId="19">
    <w:abstractNumId w:val="26"/>
  </w:num>
  <w:num w:numId="20">
    <w:abstractNumId w:val="7"/>
  </w:num>
  <w:num w:numId="21">
    <w:abstractNumId w:val="24"/>
  </w:num>
  <w:num w:numId="22">
    <w:abstractNumId w:val="24"/>
  </w:num>
  <w:num w:numId="23">
    <w:abstractNumId w:val="12"/>
  </w:num>
  <w:num w:numId="24">
    <w:abstractNumId w:val="21"/>
  </w:num>
  <w:num w:numId="25">
    <w:abstractNumId w:val="3"/>
  </w:num>
  <w:num w:numId="26">
    <w:abstractNumId w:val="10"/>
  </w:num>
  <w:num w:numId="27">
    <w:abstractNumId w:val="13"/>
  </w:num>
  <w:num w:numId="28">
    <w:abstractNumId w:val="9"/>
  </w:num>
  <w:num w:numId="29">
    <w:abstractNumId w:val="2"/>
  </w:num>
  <w:num w:numId="30">
    <w:abstractNumId w:val="25"/>
  </w:num>
  <w:num w:numId="3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474E"/>
    <w:rsid w:val="000111F4"/>
    <w:rsid w:val="00013247"/>
    <w:rsid w:val="00013EA9"/>
    <w:rsid w:val="00015886"/>
    <w:rsid w:val="000162EF"/>
    <w:rsid w:val="0002225F"/>
    <w:rsid w:val="00023763"/>
    <w:rsid w:val="00033153"/>
    <w:rsid w:val="00040895"/>
    <w:rsid w:val="00043C37"/>
    <w:rsid w:val="000447F5"/>
    <w:rsid w:val="00045C98"/>
    <w:rsid w:val="00053D9D"/>
    <w:rsid w:val="00054621"/>
    <w:rsid w:val="000546D7"/>
    <w:rsid w:val="00066DB1"/>
    <w:rsid w:val="0007109D"/>
    <w:rsid w:val="00071248"/>
    <w:rsid w:val="00071327"/>
    <w:rsid w:val="000720B9"/>
    <w:rsid w:val="000774CF"/>
    <w:rsid w:val="000778F7"/>
    <w:rsid w:val="0008020F"/>
    <w:rsid w:val="000812CA"/>
    <w:rsid w:val="00082A4F"/>
    <w:rsid w:val="00090C7E"/>
    <w:rsid w:val="00092D44"/>
    <w:rsid w:val="00093615"/>
    <w:rsid w:val="00093AF3"/>
    <w:rsid w:val="00095B3A"/>
    <w:rsid w:val="000B71FB"/>
    <w:rsid w:val="000C09D8"/>
    <w:rsid w:val="000C4CD8"/>
    <w:rsid w:val="000C67C1"/>
    <w:rsid w:val="000D1BFC"/>
    <w:rsid w:val="000D3345"/>
    <w:rsid w:val="000D3DCA"/>
    <w:rsid w:val="000E29A7"/>
    <w:rsid w:val="000E48AC"/>
    <w:rsid w:val="000E58E1"/>
    <w:rsid w:val="000E7D5C"/>
    <w:rsid w:val="000F170D"/>
    <w:rsid w:val="000F21CB"/>
    <w:rsid w:val="000F3083"/>
    <w:rsid w:val="000F4BB8"/>
    <w:rsid w:val="000F6241"/>
    <w:rsid w:val="000F7127"/>
    <w:rsid w:val="00100F8A"/>
    <w:rsid w:val="0011032E"/>
    <w:rsid w:val="00111FF4"/>
    <w:rsid w:val="00112B75"/>
    <w:rsid w:val="00113070"/>
    <w:rsid w:val="00113443"/>
    <w:rsid w:val="0011348B"/>
    <w:rsid w:val="00117F46"/>
    <w:rsid w:val="00121799"/>
    <w:rsid w:val="001222FC"/>
    <w:rsid w:val="00124A51"/>
    <w:rsid w:val="00126621"/>
    <w:rsid w:val="001301E9"/>
    <w:rsid w:val="00137645"/>
    <w:rsid w:val="00137A42"/>
    <w:rsid w:val="0014015A"/>
    <w:rsid w:val="0014034D"/>
    <w:rsid w:val="00140E99"/>
    <w:rsid w:val="00145540"/>
    <w:rsid w:val="001456B0"/>
    <w:rsid w:val="00150046"/>
    <w:rsid w:val="00157130"/>
    <w:rsid w:val="00162913"/>
    <w:rsid w:val="00163DA5"/>
    <w:rsid w:val="00163EFF"/>
    <w:rsid w:val="00164A00"/>
    <w:rsid w:val="001661FB"/>
    <w:rsid w:val="00174EFA"/>
    <w:rsid w:val="001755A4"/>
    <w:rsid w:val="001777F7"/>
    <w:rsid w:val="00180A4D"/>
    <w:rsid w:val="00180B52"/>
    <w:rsid w:val="0018752F"/>
    <w:rsid w:val="0019016A"/>
    <w:rsid w:val="001941FE"/>
    <w:rsid w:val="00195222"/>
    <w:rsid w:val="001975D8"/>
    <w:rsid w:val="001A2D28"/>
    <w:rsid w:val="001A4B6F"/>
    <w:rsid w:val="001A6FF4"/>
    <w:rsid w:val="001B2C20"/>
    <w:rsid w:val="001B3443"/>
    <w:rsid w:val="001B3DD9"/>
    <w:rsid w:val="001B74F9"/>
    <w:rsid w:val="001C4522"/>
    <w:rsid w:val="001C6E66"/>
    <w:rsid w:val="001D463A"/>
    <w:rsid w:val="001D6356"/>
    <w:rsid w:val="001E238E"/>
    <w:rsid w:val="001E2B1E"/>
    <w:rsid w:val="001E52EB"/>
    <w:rsid w:val="001E5FA9"/>
    <w:rsid w:val="001E6520"/>
    <w:rsid w:val="001E740C"/>
    <w:rsid w:val="001F1235"/>
    <w:rsid w:val="001F19B9"/>
    <w:rsid w:val="001F1CB3"/>
    <w:rsid w:val="001F3CD0"/>
    <w:rsid w:val="001F4278"/>
    <w:rsid w:val="001F6645"/>
    <w:rsid w:val="001F7361"/>
    <w:rsid w:val="00200896"/>
    <w:rsid w:val="0020385F"/>
    <w:rsid w:val="00205AA5"/>
    <w:rsid w:val="00207021"/>
    <w:rsid w:val="00207D00"/>
    <w:rsid w:val="002105C1"/>
    <w:rsid w:val="00211B7C"/>
    <w:rsid w:val="002123D6"/>
    <w:rsid w:val="0022322D"/>
    <w:rsid w:val="00223B49"/>
    <w:rsid w:val="00224DD4"/>
    <w:rsid w:val="00226682"/>
    <w:rsid w:val="00227976"/>
    <w:rsid w:val="002309CC"/>
    <w:rsid w:val="00231A7B"/>
    <w:rsid w:val="002342EC"/>
    <w:rsid w:val="002348A5"/>
    <w:rsid w:val="00236CBC"/>
    <w:rsid w:val="00241B2F"/>
    <w:rsid w:val="00244DAF"/>
    <w:rsid w:val="002509F8"/>
    <w:rsid w:val="002517BD"/>
    <w:rsid w:val="00254DCF"/>
    <w:rsid w:val="0025534B"/>
    <w:rsid w:val="002558D8"/>
    <w:rsid w:val="00255BB7"/>
    <w:rsid w:val="00262A87"/>
    <w:rsid w:val="00272032"/>
    <w:rsid w:val="0027246F"/>
    <w:rsid w:val="00272572"/>
    <w:rsid w:val="0027266F"/>
    <w:rsid w:val="00273D66"/>
    <w:rsid w:val="00275C5A"/>
    <w:rsid w:val="002762DC"/>
    <w:rsid w:val="0027793F"/>
    <w:rsid w:val="00281014"/>
    <w:rsid w:val="0028296B"/>
    <w:rsid w:val="002829DE"/>
    <w:rsid w:val="00287436"/>
    <w:rsid w:val="00290906"/>
    <w:rsid w:val="00296052"/>
    <w:rsid w:val="002A14AB"/>
    <w:rsid w:val="002A168A"/>
    <w:rsid w:val="002A3077"/>
    <w:rsid w:val="002A5CF8"/>
    <w:rsid w:val="002B083F"/>
    <w:rsid w:val="002B09BA"/>
    <w:rsid w:val="002B1C1F"/>
    <w:rsid w:val="002B3AAA"/>
    <w:rsid w:val="002B432F"/>
    <w:rsid w:val="002B4FD3"/>
    <w:rsid w:val="002B6CCE"/>
    <w:rsid w:val="002B7BE0"/>
    <w:rsid w:val="002C2775"/>
    <w:rsid w:val="002C27C1"/>
    <w:rsid w:val="002C4F66"/>
    <w:rsid w:val="002C5596"/>
    <w:rsid w:val="002D5E97"/>
    <w:rsid w:val="002E13D3"/>
    <w:rsid w:val="002E5FDB"/>
    <w:rsid w:val="002F6479"/>
    <w:rsid w:val="002F7500"/>
    <w:rsid w:val="002F75C3"/>
    <w:rsid w:val="00301017"/>
    <w:rsid w:val="003044A8"/>
    <w:rsid w:val="00305FA2"/>
    <w:rsid w:val="00306F72"/>
    <w:rsid w:val="0030786C"/>
    <w:rsid w:val="0031031A"/>
    <w:rsid w:val="00310981"/>
    <w:rsid w:val="003123FD"/>
    <w:rsid w:val="00315498"/>
    <w:rsid w:val="003161E7"/>
    <w:rsid w:val="0032121E"/>
    <w:rsid w:val="00321DBC"/>
    <w:rsid w:val="00324ECB"/>
    <w:rsid w:val="0033445A"/>
    <w:rsid w:val="003366C9"/>
    <w:rsid w:val="003371B0"/>
    <w:rsid w:val="0035277E"/>
    <w:rsid w:val="00355255"/>
    <w:rsid w:val="0035620E"/>
    <w:rsid w:val="0035789A"/>
    <w:rsid w:val="003667A6"/>
    <w:rsid w:val="00375173"/>
    <w:rsid w:val="00375B7E"/>
    <w:rsid w:val="00381A0F"/>
    <w:rsid w:val="0038365C"/>
    <w:rsid w:val="00383D97"/>
    <w:rsid w:val="00385466"/>
    <w:rsid w:val="00385ADE"/>
    <w:rsid w:val="00386BE1"/>
    <w:rsid w:val="0039112F"/>
    <w:rsid w:val="0039127A"/>
    <w:rsid w:val="00394AD1"/>
    <w:rsid w:val="00396FD0"/>
    <w:rsid w:val="003A1A7A"/>
    <w:rsid w:val="003A2006"/>
    <w:rsid w:val="003A2E99"/>
    <w:rsid w:val="003A3E1F"/>
    <w:rsid w:val="003A4B26"/>
    <w:rsid w:val="003B200F"/>
    <w:rsid w:val="003B2129"/>
    <w:rsid w:val="003B6816"/>
    <w:rsid w:val="003C6B93"/>
    <w:rsid w:val="003C781A"/>
    <w:rsid w:val="003C7D01"/>
    <w:rsid w:val="003D1828"/>
    <w:rsid w:val="003D2422"/>
    <w:rsid w:val="003D49F1"/>
    <w:rsid w:val="003D6F69"/>
    <w:rsid w:val="003E18D8"/>
    <w:rsid w:val="003E5683"/>
    <w:rsid w:val="003E6076"/>
    <w:rsid w:val="003F040E"/>
    <w:rsid w:val="003F0933"/>
    <w:rsid w:val="003F1031"/>
    <w:rsid w:val="003F4156"/>
    <w:rsid w:val="003F4425"/>
    <w:rsid w:val="003F5C2D"/>
    <w:rsid w:val="003F6D28"/>
    <w:rsid w:val="00400618"/>
    <w:rsid w:val="00403E58"/>
    <w:rsid w:val="00404E6F"/>
    <w:rsid w:val="004075F6"/>
    <w:rsid w:val="00407F9C"/>
    <w:rsid w:val="00410708"/>
    <w:rsid w:val="00410EC7"/>
    <w:rsid w:val="00411E2E"/>
    <w:rsid w:val="00414476"/>
    <w:rsid w:val="0041449B"/>
    <w:rsid w:val="00414B89"/>
    <w:rsid w:val="0041551E"/>
    <w:rsid w:val="00420B9F"/>
    <w:rsid w:val="004211A0"/>
    <w:rsid w:val="00426A51"/>
    <w:rsid w:val="00427972"/>
    <w:rsid w:val="00430038"/>
    <w:rsid w:val="004301C3"/>
    <w:rsid w:val="004319F8"/>
    <w:rsid w:val="00431FC7"/>
    <w:rsid w:val="00433044"/>
    <w:rsid w:val="00437EDB"/>
    <w:rsid w:val="00440E81"/>
    <w:rsid w:val="004443A7"/>
    <w:rsid w:val="00445E74"/>
    <w:rsid w:val="004464EB"/>
    <w:rsid w:val="00455BA9"/>
    <w:rsid w:val="00455D45"/>
    <w:rsid w:val="004621B7"/>
    <w:rsid w:val="00464595"/>
    <w:rsid w:val="00465E2A"/>
    <w:rsid w:val="00466291"/>
    <w:rsid w:val="0047645F"/>
    <w:rsid w:val="00477119"/>
    <w:rsid w:val="00483E7A"/>
    <w:rsid w:val="004867E2"/>
    <w:rsid w:val="004904BA"/>
    <w:rsid w:val="00491B3A"/>
    <w:rsid w:val="00491D61"/>
    <w:rsid w:val="00492CFD"/>
    <w:rsid w:val="00493D74"/>
    <w:rsid w:val="00494F78"/>
    <w:rsid w:val="004962D2"/>
    <w:rsid w:val="004A0DA1"/>
    <w:rsid w:val="004A2811"/>
    <w:rsid w:val="004A290D"/>
    <w:rsid w:val="004A2D6A"/>
    <w:rsid w:val="004A3722"/>
    <w:rsid w:val="004A6597"/>
    <w:rsid w:val="004B1CB4"/>
    <w:rsid w:val="004B2F18"/>
    <w:rsid w:val="004B3DDB"/>
    <w:rsid w:val="004B44FD"/>
    <w:rsid w:val="004B5CFC"/>
    <w:rsid w:val="004B774D"/>
    <w:rsid w:val="004C3439"/>
    <w:rsid w:val="004C459D"/>
    <w:rsid w:val="004C4AED"/>
    <w:rsid w:val="004D3E77"/>
    <w:rsid w:val="004D58CA"/>
    <w:rsid w:val="004E0EB8"/>
    <w:rsid w:val="004E2ADC"/>
    <w:rsid w:val="004E43B2"/>
    <w:rsid w:val="004E5190"/>
    <w:rsid w:val="004E5650"/>
    <w:rsid w:val="004E5A7E"/>
    <w:rsid w:val="004E5B91"/>
    <w:rsid w:val="004F1D02"/>
    <w:rsid w:val="004F21F8"/>
    <w:rsid w:val="004F2679"/>
    <w:rsid w:val="004F46EF"/>
    <w:rsid w:val="004F7865"/>
    <w:rsid w:val="00502F2B"/>
    <w:rsid w:val="005065F9"/>
    <w:rsid w:val="00506928"/>
    <w:rsid w:val="0051418D"/>
    <w:rsid w:val="005152B5"/>
    <w:rsid w:val="00521216"/>
    <w:rsid w:val="00521319"/>
    <w:rsid w:val="0052173C"/>
    <w:rsid w:val="00523C28"/>
    <w:rsid w:val="00531863"/>
    <w:rsid w:val="00532BF2"/>
    <w:rsid w:val="00533014"/>
    <w:rsid w:val="0054089B"/>
    <w:rsid w:val="00542C2D"/>
    <w:rsid w:val="00552BD3"/>
    <w:rsid w:val="00555109"/>
    <w:rsid w:val="00555E44"/>
    <w:rsid w:val="00556EE3"/>
    <w:rsid w:val="005576B5"/>
    <w:rsid w:val="00560A24"/>
    <w:rsid w:val="005614CA"/>
    <w:rsid w:val="0056696F"/>
    <w:rsid w:val="00573D5F"/>
    <w:rsid w:val="00574AE2"/>
    <w:rsid w:val="00575D8D"/>
    <w:rsid w:val="00576972"/>
    <w:rsid w:val="005822F3"/>
    <w:rsid w:val="00583699"/>
    <w:rsid w:val="005860E5"/>
    <w:rsid w:val="00595457"/>
    <w:rsid w:val="005958CB"/>
    <w:rsid w:val="005A1C2E"/>
    <w:rsid w:val="005A4E04"/>
    <w:rsid w:val="005A53CB"/>
    <w:rsid w:val="005B1775"/>
    <w:rsid w:val="005B5857"/>
    <w:rsid w:val="005C1AC0"/>
    <w:rsid w:val="005C1B83"/>
    <w:rsid w:val="005C2F28"/>
    <w:rsid w:val="005C346B"/>
    <w:rsid w:val="005C65C5"/>
    <w:rsid w:val="005C7010"/>
    <w:rsid w:val="005D044D"/>
    <w:rsid w:val="005D18AD"/>
    <w:rsid w:val="005D21A2"/>
    <w:rsid w:val="005D31CB"/>
    <w:rsid w:val="005E73C0"/>
    <w:rsid w:val="005F2706"/>
    <w:rsid w:val="005F6A8F"/>
    <w:rsid w:val="005F6FFA"/>
    <w:rsid w:val="00600A3B"/>
    <w:rsid w:val="00601EC5"/>
    <w:rsid w:val="00607669"/>
    <w:rsid w:val="0061276C"/>
    <w:rsid w:val="00612F97"/>
    <w:rsid w:val="00614808"/>
    <w:rsid w:val="00616802"/>
    <w:rsid w:val="00617E12"/>
    <w:rsid w:val="00621477"/>
    <w:rsid w:val="006214DA"/>
    <w:rsid w:val="00622633"/>
    <w:rsid w:val="006228C2"/>
    <w:rsid w:val="006249D4"/>
    <w:rsid w:val="00630F65"/>
    <w:rsid w:val="006315A2"/>
    <w:rsid w:val="006315E7"/>
    <w:rsid w:val="00631D6B"/>
    <w:rsid w:val="0063479F"/>
    <w:rsid w:val="0063494B"/>
    <w:rsid w:val="00635632"/>
    <w:rsid w:val="006364A1"/>
    <w:rsid w:val="00637BFD"/>
    <w:rsid w:val="00640441"/>
    <w:rsid w:val="00642152"/>
    <w:rsid w:val="00642BAA"/>
    <w:rsid w:val="00645745"/>
    <w:rsid w:val="006467D3"/>
    <w:rsid w:val="006471CC"/>
    <w:rsid w:val="00650150"/>
    <w:rsid w:val="0065079F"/>
    <w:rsid w:val="00650C1C"/>
    <w:rsid w:val="006512F7"/>
    <w:rsid w:val="006515C9"/>
    <w:rsid w:val="00652482"/>
    <w:rsid w:val="00653313"/>
    <w:rsid w:val="006559C4"/>
    <w:rsid w:val="00655B06"/>
    <w:rsid w:val="006633AA"/>
    <w:rsid w:val="00667ED3"/>
    <w:rsid w:val="00671AE1"/>
    <w:rsid w:val="00673951"/>
    <w:rsid w:val="00674E42"/>
    <w:rsid w:val="00682112"/>
    <w:rsid w:val="00682516"/>
    <w:rsid w:val="0068252A"/>
    <w:rsid w:val="00682FA5"/>
    <w:rsid w:val="00685968"/>
    <w:rsid w:val="006872BA"/>
    <w:rsid w:val="006917D7"/>
    <w:rsid w:val="0069378F"/>
    <w:rsid w:val="00693D4A"/>
    <w:rsid w:val="00694F44"/>
    <w:rsid w:val="006A2FC4"/>
    <w:rsid w:val="006A33DC"/>
    <w:rsid w:val="006B3653"/>
    <w:rsid w:val="006B3FC1"/>
    <w:rsid w:val="006B45CD"/>
    <w:rsid w:val="006C1386"/>
    <w:rsid w:val="006C2A8E"/>
    <w:rsid w:val="006C7B93"/>
    <w:rsid w:val="006D3C7D"/>
    <w:rsid w:val="006D5D5F"/>
    <w:rsid w:val="006E41E8"/>
    <w:rsid w:val="006E5938"/>
    <w:rsid w:val="006F185A"/>
    <w:rsid w:val="006F39CA"/>
    <w:rsid w:val="006F63A5"/>
    <w:rsid w:val="006F75A7"/>
    <w:rsid w:val="006F7C66"/>
    <w:rsid w:val="00701556"/>
    <w:rsid w:val="0070276E"/>
    <w:rsid w:val="00702F8F"/>
    <w:rsid w:val="007047A9"/>
    <w:rsid w:val="007048F5"/>
    <w:rsid w:val="00705956"/>
    <w:rsid w:val="00705B52"/>
    <w:rsid w:val="00707EAF"/>
    <w:rsid w:val="00711A36"/>
    <w:rsid w:val="0071550E"/>
    <w:rsid w:val="007172AD"/>
    <w:rsid w:val="0072416F"/>
    <w:rsid w:val="007255BD"/>
    <w:rsid w:val="00726728"/>
    <w:rsid w:val="00732F84"/>
    <w:rsid w:val="00735328"/>
    <w:rsid w:val="0073685B"/>
    <w:rsid w:val="00736F34"/>
    <w:rsid w:val="00740442"/>
    <w:rsid w:val="007435CB"/>
    <w:rsid w:val="00763DAC"/>
    <w:rsid w:val="0077283D"/>
    <w:rsid w:val="00776BC8"/>
    <w:rsid w:val="007815CE"/>
    <w:rsid w:val="007834B7"/>
    <w:rsid w:val="00785AD5"/>
    <w:rsid w:val="00793B2C"/>
    <w:rsid w:val="00794BD9"/>
    <w:rsid w:val="00796FC3"/>
    <w:rsid w:val="007A0A12"/>
    <w:rsid w:val="007A1C07"/>
    <w:rsid w:val="007A26EF"/>
    <w:rsid w:val="007A38D5"/>
    <w:rsid w:val="007A5E56"/>
    <w:rsid w:val="007B1DF8"/>
    <w:rsid w:val="007B251D"/>
    <w:rsid w:val="007B2F53"/>
    <w:rsid w:val="007B4AE3"/>
    <w:rsid w:val="007B77D1"/>
    <w:rsid w:val="007C2FD0"/>
    <w:rsid w:val="007C361D"/>
    <w:rsid w:val="007C6E4D"/>
    <w:rsid w:val="007D004F"/>
    <w:rsid w:val="007D0998"/>
    <w:rsid w:val="007D0B38"/>
    <w:rsid w:val="007D5A89"/>
    <w:rsid w:val="007D6775"/>
    <w:rsid w:val="007E035A"/>
    <w:rsid w:val="007E0E22"/>
    <w:rsid w:val="007E381E"/>
    <w:rsid w:val="007E38B8"/>
    <w:rsid w:val="007E6AF6"/>
    <w:rsid w:val="007E7838"/>
    <w:rsid w:val="007E7A44"/>
    <w:rsid w:val="007F1017"/>
    <w:rsid w:val="007F4A3F"/>
    <w:rsid w:val="00805142"/>
    <w:rsid w:val="0080644A"/>
    <w:rsid w:val="00806E8A"/>
    <w:rsid w:val="00807A8B"/>
    <w:rsid w:val="0081086D"/>
    <w:rsid w:val="00811D04"/>
    <w:rsid w:val="00812149"/>
    <w:rsid w:val="008163BA"/>
    <w:rsid w:val="008165D8"/>
    <w:rsid w:val="008166EF"/>
    <w:rsid w:val="008171CA"/>
    <w:rsid w:val="0081738C"/>
    <w:rsid w:val="00823A1D"/>
    <w:rsid w:val="008264EB"/>
    <w:rsid w:val="00833B05"/>
    <w:rsid w:val="00840248"/>
    <w:rsid w:val="00840CA2"/>
    <w:rsid w:val="008553BC"/>
    <w:rsid w:val="00856E9A"/>
    <w:rsid w:val="00862502"/>
    <w:rsid w:val="00863865"/>
    <w:rsid w:val="00864EBB"/>
    <w:rsid w:val="008669C7"/>
    <w:rsid w:val="00871A1F"/>
    <w:rsid w:val="00871B9E"/>
    <w:rsid w:val="00882874"/>
    <w:rsid w:val="00883787"/>
    <w:rsid w:val="008847DA"/>
    <w:rsid w:val="00885049"/>
    <w:rsid w:val="008855CA"/>
    <w:rsid w:val="0088566A"/>
    <w:rsid w:val="00886557"/>
    <w:rsid w:val="00890847"/>
    <w:rsid w:val="00893EA0"/>
    <w:rsid w:val="00894489"/>
    <w:rsid w:val="008959DC"/>
    <w:rsid w:val="008963A5"/>
    <w:rsid w:val="008A3C3E"/>
    <w:rsid w:val="008A403A"/>
    <w:rsid w:val="008A6BDD"/>
    <w:rsid w:val="008A79DE"/>
    <w:rsid w:val="008B091A"/>
    <w:rsid w:val="008B662A"/>
    <w:rsid w:val="008B7D7E"/>
    <w:rsid w:val="008C7ECB"/>
    <w:rsid w:val="008D069B"/>
    <w:rsid w:val="008D2CAD"/>
    <w:rsid w:val="008E1B9E"/>
    <w:rsid w:val="008F120A"/>
    <w:rsid w:val="008F42A6"/>
    <w:rsid w:val="008F48EB"/>
    <w:rsid w:val="008F4F0B"/>
    <w:rsid w:val="008F78D4"/>
    <w:rsid w:val="009014CF"/>
    <w:rsid w:val="00903C91"/>
    <w:rsid w:val="00904114"/>
    <w:rsid w:val="009062A5"/>
    <w:rsid w:val="00911272"/>
    <w:rsid w:val="00912ABB"/>
    <w:rsid w:val="00913DEC"/>
    <w:rsid w:val="0092510F"/>
    <w:rsid w:val="00927D95"/>
    <w:rsid w:val="00934582"/>
    <w:rsid w:val="00940313"/>
    <w:rsid w:val="00943078"/>
    <w:rsid w:val="00944DA7"/>
    <w:rsid w:val="0095155A"/>
    <w:rsid w:val="00954DB9"/>
    <w:rsid w:val="00955BD2"/>
    <w:rsid w:val="009565A6"/>
    <w:rsid w:val="00956D27"/>
    <w:rsid w:val="00956F5A"/>
    <w:rsid w:val="00961232"/>
    <w:rsid w:val="00961B61"/>
    <w:rsid w:val="00962CB9"/>
    <w:rsid w:val="00964312"/>
    <w:rsid w:val="00965D8F"/>
    <w:rsid w:val="00967F8B"/>
    <w:rsid w:val="009827D7"/>
    <w:rsid w:val="00983E57"/>
    <w:rsid w:val="00985036"/>
    <w:rsid w:val="0098630B"/>
    <w:rsid w:val="009870D0"/>
    <w:rsid w:val="009905C7"/>
    <w:rsid w:val="0099196A"/>
    <w:rsid w:val="00993B86"/>
    <w:rsid w:val="009946C8"/>
    <w:rsid w:val="00996117"/>
    <w:rsid w:val="00996B1A"/>
    <w:rsid w:val="009A0AEE"/>
    <w:rsid w:val="009A1364"/>
    <w:rsid w:val="009A2E18"/>
    <w:rsid w:val="009A48EF"/>
    <w:rsid w:val="009B2507"/>
    <w:rsid w:val="009B3E26"/>
    <w:rsid w:val="009B4182"/>
    <w:rsid w:val="009C0AE3"/>
    <w:rsid w:val="009C5404"/>
    <w:rsid w:val="009C6E7B"/>
    <w:rsid w:val="009D1EE3"/>
    <w:rsid w:val="009D35F7"/>
    <w:rsid w:val="009D5B91"/>
    <w:rsid w:val="009E0366"/>
    <w:rsid w:val="009E0598"/>
    <w:rsid w:val="009E1F43"/>
    <w:rsid w:val="009E2AC7"/>
    <w:rsid w:val="009E4C07"/>
    <w:rsid w:val="009E6854"/>
    <w:rsid w:val="009F2004"/>
    <w:rsid w:val="009F6C92"/>
    <w:rsid w:val="009F78FF"/>
    <w:rsid w:val="00A03D43"/>
    <w:rsid w:val="00A04380"/>
    <w:rsid w:val="00A0563A"/>
    <w:rsid w:val="00A05E64"/>
    <w:rsid w:val="00A1038B"/>
    <w:rsid w:val="00A12ADD"/>
    <w:rsid w:val="00A13948"/>
    <w:rsid w:val="00A144EB"/>
    <w:rsid w:val="00A15103"/>
    <w:rsid w:val="00A1791A"/>
    <w:rsid w:val="00A17A26"/>
    <w:rsid w:val="00A21969"/>
    <w:rsid w:val="00A22FD6"/>
    <w:rsid w:val="00A26427"/>
    <w:rsid w:val="00A27AEC"/>
    <w:rsid w:val="00A30116"/>
    <w:rsid w:val="00A31C79"/>
    <w:rsid w:val="00A35D16"/>
    <w:rsid w:val="00A43C59"/>
    <w:rsid w:val="00A50006"/>
    <w:rsid w:val="00A50ECD"/>
    <w:rsid w:val="00A51933"/>
    <w:rsid w:val="00A52729"/>
    <w:rsid w:val="00A53675"/>
    <w:rsid w:val="00A56B6A"/>
    <w:rsid w:val="00A57899"/>
    <w:rsid w:val="00A578DC"/>
    <w:rsid w:val="00A61EF1"/>
    <w:rsid w:val="00A66FFF"/>
    <w:rsid w:val="00A6725B"/>
    <w:rsid w:val="00A777EA"/>
    <w:rsid w:val="00A854E1"/>
    <w:rsid w:val="00A85A3B"/>
    <w:rsid w:val="00A86E8B"/>
    <w:rsid w:val="00A90A48"/>
    <w:rsid w:val="00A93072"/>
    <w:rsid w:val="00A939C5"/>
    <w:rsid w:val="00A95150"/>
    <w:rsid w:val="00A959D8"/>
    <w:rsid w:val="00A96524"/>
    <w:rsid w:val="00A97736"/>
    <w:rsid w:val="00AA60FC"/>
    <w:rsid w:val="00AB042A"/>
    <w:rsid w:val="00AB1515"/>
    <w:rsid w:val="00AB189B"/>
    <w:rsid w:val="00AB1B4D"/>
    <w:rsid w:val="00AB2D34"/>
    <w:rsid w:val="00AB3430"/>
    <w:rsid w:val="00AB3B44"/>
    <w:rsid w:val="00AB7CFA"/>
    <w:rsid w:val="00AC014C"/>
    <w:rsid w:val="00AD3A2D"/>
    <w:rsid w:val="00AE071C"/>
    <w:rsid w:val="00AE3120"/>
    <w:rsid w:val="00AE3622"/>
    <w:rsid w:val="00AE6998"/>
    <w:rsid w:val="00AE7AF8"/>
    <w:rsid w:val="00B003B4"/>
    <w:rsid w:val="00B01051"/>
    <w:rsid w:val="00B01AAB"/>
    <w:rsid w:val="00B04A82"/>
    <w:rsid w:val="00B1023C"/>
    <w:rsid w:val="00B12B8C"/>
    <w:rsid w:val="00B22C0A"/>
    <w:rsid w:val="00B232F5"/>
    <w:rsid w:val="00B242B6"/>
    <w:rsid w:val="00B268E5"/>
    <w:rsid w:val="00B30C0D"/>
    <w:rsid w:val="00B314B6"/>
    <w:rsid w:val="00B353A0"/>
    <w:rsid w:val="00B36701"/>
    <w:rsid w:val="00B373F9"/>
    <w:rsid w:val="00B42851"/>
    <w:rsid w:val="00B4497E"/>
    <w:rsid w:val="00B4610A"/>
    <w:rsid w:val="00B46920"/>
    <w:rsid w:val="00B50DB8"/>
    <w:rsid w:val="00B52D9F"/>
    <w:rsid w:val="00B533A7"/>
    <w:rsid w:val="00B53905"/>
    <w:rsid w:val="00B54B5B"/>
    <w:rsid w:val="00B54B5F"/>
    <w:rsid w:val="00B5562E"/>
    <w:rsid w:val="00B557D9"/>
    <w:rsid w:val="00B57000"/>
    <w:rsid w:val="00B60939"/>
    <w:rsid w:val="00B60AFD"/>
    <w:rsid w:val="00B62715"/>
    <w:rsid w:val="00B66410"/>
    <w:rsid w:val="00B764EF"/>
    <w:rsid w:val="00B818A4"/>
    <w:rsid w:val="00B8418C"/>
    <w:rsid w:val="00B842CD"/>
    <w:rsid w:val="00B84C72"/>
    <w:rsid w:val="00B8649C"/>
    <w:rsid w:val="00B873FC"/>
    <w:rsid w:val="00B905CF"/>
    <w:rsid w:val="00B91093"/>
    <w:rsid w:val="00B91A44"/>
    <w:rsid w:val="00B92D0B"/>
    <w:rsid w:val="00B94945"/>
    <w:rsid w:val="00B95251"/>
    <w:rsid w:val="00B96E25"/>
    <w:rsid w:val="00B97C63"/>
    <w:rsid w:val="00BA1901"/>
    <w:rsid w:val="00BA4420"/>
    <w:rsid w:val="00BA5C74"/>
    <w:rsid w:val="00BB377F"/>
    <w:rsid w:val="00BB4AC4"/>
    <w:rsid w:val="00BB5725"/>
    <w:rsid w:val="00BB6F83"/>
    <w:rsid w:val="00BB706F"/>
    <w:rsid w:val="00BB7405"/>
    <w:rsid w:val="00BC1B6A"/>
    <w:rsid w:val="00BC2926"/>
    <w:rsid w:val="00BC2979"/>
    <w:rsid w:val="00BC2B5E"/>
    <w:rsid w:val="00BC76C7"/>
    <w:rsid w:val="00BD1A52"/>
    <w:rsid w:val="00BD5038"/>
    <w:rsid w:val="00BD66EE"/>
    <w:rsid w:val="00BD6CF3"/>
    <w:rsid w:val="00BE2180"/>
    <w:rsid w:val="00BE4275"/>
    <w:rsid w:val="00BE4959"/>
    <w:rsid w:val="00BF02E2"/>
    <w:rsid w:val="00BF0D66"/>
    <w:rsid w:val="00BF23CB"/>
    <w:rsid w:val="00BF2433"/>
    <w:rsid w:val="00BF279B"/>
    <w:rsid w:val="00BF3730"/>
    <w:rsid w:val="00BF61C9"/>
    <w:rsid w:val="00C05E26"/>
    <w:rsid w:val="00C1161E"/>
    <w:rsid w:val="00C25418"/>
    <w:rsid w:val="00C25974"/>
    <w:rsid w:val="00C25D9C"/>
    <w:rsid w:val="00C301DD"/>
    <w:rsid w:val="00C31649"/>
    <w:rsid w:val="00C31754"/>
    <w:rsid w:val="00C32A03"/>
    <w:rsid w:val="00C351E6"/>
    <w:rsid w:val="00C37E68"/>
    <w:rsid w:val="00C40385"/>
    <w:rsid w:val="00C40C4E"/>
    <w:rsid w:val="00C41CA2"/>
    <w:rsid w:val="00C4261A"/>
    <w:rsid w:val="00C51652"/>
    <w:rsid w:val="00C52FD3"/>
    <w:rsid w:val="00C5324D"/>
    <w:rsid w:val="00C56B5D"/>
    <w:rsid w:val="00C57608"/>
    <w:rsid w:val="00C62ED6"/>
    <w:rsid w:val="00C638E9"/>
    <w:rsid w:val="00C65576"/>
    <w:rsid w:val="00C66165"/>
    <w:rsid w:val="00C66ECC"/>
    <w:rsid w:val="00C71FB7"/>
    <w:rsid w:val="00C73CC3"/>
    <w:rsid w:val="00C750C8"/>
    <w:rsid w:val="00C8213F"/>
    <w:rsid w:val="00C8797A"/>
    <w:rsid w:val="00C90140"/>
    <w:rsid w:val="00C938CF"/>
    <w:rsid w:val="00C939D6"/>
    <w:rsid w:val="00C976F0"/>
    <w:rsid w:val="00CA1C93"/>
    <w:rsid w:val="00CA3448"/>
    <w:rsid w:val="00CA498A"/>
    <w:rsid w:val="00CA5245"/>
    <w:rsid w:val="00CA7B09"/>
    <w:rsid w:val="00CB0FC5"/>
    <w:rsid w:val="00CB11CB"/>
    <w:rsid w:val="00CB280D"/>
    <w:rsid w:val="00CB5AAE"/>
    <w:rsid w:val="00CB5B1A"/>
    <w:rsid w:val="00CB657B"/>
    <w:rsid w:val="00CC08B2"/>
    <w:rsid w:val="00CC23D9"/>
    <w:rsid w:val="00CC348D"/>
    <w:rsid w:val="00CC4450"/>
    <w:rsid w:val="00CD109C"/>
    <w:rsid w:val="00CD4702"/>
    <w:rsid w:val="00CD5085"/>
    <w:rsid w:val="00CD6ADC"/>
    <w:rsid w:val="00CD7DC7"/>
    <w:rsid w:val="00CE08E4"/>
    <w:rsid w:val="00CE10A1"/>
    <w:rsid w:val="00CE1CD5"/>
    <w:rsid w:val="00CE6274"/>
    <w:rsid w:val="00CE6EE2"/>
    <w:rsid w:val="00CE776B"/>
    <w:rsid w:val="00CF456B"/>
    <w:rsid w:val="00CF5A22"/>
    <w:rsid w:val="00CF5B43"/>
    <w:rsid w:val="00D024EB"/>
    <w:rsid w:val="00D0262E"/>
    <w:rsid w:val="00D073F5"/>
    <w:rsid w:val="00D07A15"/>
    <w:rsid w:val="00D110BD"/>
    <w:rsid w:val="00D148C2"/>
    <w:rsid w:val="00D1564D"/>
    <w:rsid w:val="00D17D6C"/>
    <w:rsid w:val="00D25757"/>
    <w:rsid w:val="00D2583F"/>
    <w:rsid w:val="00D348BB"/>
    <w:rsid w:val="00D3545D"/>
    <w:rsid w:val="00D357FF"/>
    <w:rsid w:val="00D43BE2"/>
    <w:rsid w:val="00D456B8"/>
    <w:rsid w:val="00D46732"/>
    <w:rsid w:val="00D470E5"/>
    <w:rsid w:val="00D47498"/>
    <w:rsid w:val="00D51976"/>
    <w:rsid w:val="00D573AA"/>
    <w:rsid w:val="00D579DE"/>
    <w:rsid w:val="00D57B08"/>
    <w:rsid w:val="00D57FA2"/>
    <w:rsid w:val="00D601BD"/>
    <w:rsid w:val="00D6084F"/>
    <w:rsid w:val="00D6090E"/>
    <w:rsid w:val="00D61CCA"/>
    <w:rsid w:val="00D627FC"/>
    <w:rsid w:val="00D634F6"/>
    <w:rsid w:val="00D67E6C"/>
    <w:rsid w:val="00D70A16"/>
    <w:rsid w:val="00D70C67"/>
    <w:rsid w:val="00D71378"/>
    <w:rsid w:val="00D73F3E"/>
    <w:rsid w:val="00D76230"/>
    <w:rsid w:val="00D76A44"/>
    <w:rsid w:val="00D77DDA"/>
    <w:rsid w:val="00D80572"/>
    <w:rsid w:val="00D80E04"/>
    <w:rsid w:val="00D845F5"/>
    <w:rsid w:val="00D84A88"/>
    <w:rsid w:val="00D85AD2"/>
    <w:rsid w:val="00D863AD"/>
    <w:rsid w:val="00D93753"/>
    <w:rsid w:val="00D93A11"/>
    <w:rsid w:val="00DA1DD5"/>
    <w:rsid w:val="00DA6796"/>
    <w:rsid w:val="00DA7540"/>
    <w:rsid w:val="00DA77A5"/>
    <w:rsid w:val="00DA7CEA"/>
    <w:rsid w:val="00DB67C4"/>
    <w:rsid w:val="00DC1415"/>
    <w:rsid w:val="00DC5501"/>
    <w:rsid w:val="00DC6435"/>
    <w:rsid w:val="00DD2317"/>
    <w:rsid w:val="00DD2842"/>
    <w:rsid w:val="00DD36A0"/>
    <w:rsid w:val="00DD3F28"/>
    <w:rsid w:val="00DD4537"/>
    <w:rsid w:val="00DD4E15"/>
    <w:rsid w:val="00DD7E75"/>
    <w:rsid w:val="00DE06FE"/>
    <w:rsid w:val="00DE0D7F"/>
    <w:rsid w:val="00DE495E"/>
    <w:rsid w:val="00DE4F22"/>
    <w:rsid w:val="00DE4FCB"/>
    <w:rsid w:val="00DE67F5"/>
    <w:rsid w:val="00DF0C8D"/>
    <w:rsid w:val="00DF18FC"/>
    <w:rsid w:val="00DF1F6C"/>
    <w:rsid w:val="00DF5D2B"/>
    <w:rsid w:val="00E00544"/>
    <w:rsid w:val="00E028C4"/>
    <w:rsid w:val="00E0791E"/>
    <w:rsid w:val="00E07EDA"/>
    <w:rsid w:val="00E10149"/>
    <w:rsid w:val="00E110C7"/>
    <w:rsid w:val="00E114C6"/>
    <w:rsid w:val="00E117E5"/>
    <w:rsid w:val="00E122B6"/>
    <w:rsid w:val="00E16372"/>
    <w:rsid w:val="00E166DD"/>
    <w:rsid w:val="00E20ED6"/>
    <w:rsid w:val="00E21358"/>
    <w:rsid w:val="00E2249B"/>
    <w:rsid w:val="00E22837"/>
    <w:rsid w:val="00E22A0D"/>
    <w:rsid w:val="00E26A32"/>
    <w:rsid w:val="00E2771E"/>
    <w:rsid w:val="00E334D7"/>
    <w:rsid w:val="00E37569"/>
    <w:rsid w:val="00E377D2"/>
    <w:rsid w:val="00E413BC"/>
    <w:rsid w:val="00E4180F"/>
    <w:rsid w:val="00E41E30"/>
    <w:rsid w:val="00E43A60"/>
    <w:rsid w:val="00E43D70"/>
    <w:rsid w:val="00E47B2C"/>
    <w:rsid w:val="00E51560"/>
    <w:rsid w:val="00E52AC7"/>
    <w:rsid w:val="00E55424"/>
    <w:rsid w:val="00E55BB5"/>
    <w:rsid w:val="00E606D7"/>
    <w:rsid w:val="00E616C1"/>
    <w:rsid w:val="00E61A96"/>
    <w:rsid w:val="00E65E79"/>
    <w:rsid w:val="00E67416"/>
    <w:rsid w:val="00E67942"/>
    <w:rsid w:val="00E71043"/>
    <w:rsid w:val="00E718B6"/>
    <w:rsid w:val="00E71A9D"/>
    <w:rsid w:val="00E73581"/>
    <w:rsid w:val="00E75398"/>
    <w:rsid w:val="00E759F4"/>
    <w:rsid w:val="00E83BDF"/>
    <w:rsid w:val="00E845DF"/>
    <w:rsid w:val="00E923C4"/>
    <w:rsid w:val="00E944A6"/>
    <w:rsid w:val="00EA1D15"/>
    <w:rsid w:val="00EA2CF7"/>
    <w:rsid w:val="00EA3864"/>
    <w:rsid w:val="00EA77F1"/>
    <w:rsid w:val="00EB15B6"/>
    <w:rsid w:val="00EB2ECF"/>
    <w:rsid w:val="00EB2EDA"/>
    <w:rsid w:val="00EB317D"/>
    <w:rsid w:val="00EB323C"/>
    <w:rsid w:val="00EB4916"/>
    <w:rsid w:val="00EC00C9"/>
    <w:rsid w:val="00EC3544"/>
    <w:rsid w:val="00EC4B80"/>
    <w:rsid w:val="00EC775C"/>
    <w:rsid w:val="00ED03D9"/>
    <w:rsid w:val="00ED4586"/>
    <w:rsid w:val="00EE07D3"/>
    <w:rsid w:val="00EE46CF"/>
    <w:rsid w:val="00EE6F06"/>
    <w:rsid w:val="00EE78EB"/>
    <w:rsid w:val="00EF045F"/>
    <w:rsid w:val="00EF31CB"/>
    <w:rsid w:val="00F008FE"/>
    <w:rsid w:val="00F03878"/>
    <w:rsid w:val="00F067A2"/>
    <w:rsid w:val="00F10856"/>
    <w:rsid w:val="00F14305"/>
    <w:rsid w:val="00F17239"/>
    <w:rsid w:val="00F216E9"/>
    <w:rsid w:val="00F23465"/>
    <w:rsid w:val="00F24837"/>
    <w:rsid w:val="00F2575F"/>
    <w:rsid w:val="00F25813"/>
    <w:rsid w:val="00F25C7E"/>
    <w:rsid w:val="00F274D9"/>
    <w:rsid w:val="00F27D34"/>
    <w:rsid w:val="00F33DE9"/>
    <w:rsid w:val="00F3619A"/>
    <w:rsid w:val="00F37552"/>
    <w:rsid w:val="00F3781E"/>
    <w:rsid w:val="00F46466"/>
    <w:rsid w:val="00F46CB6"/>
    <w:rsid w:val="00F47E15"/>
    <w:rsid w:val="00F55E73"/>
    <w:rsid w:val="00F60092"/>
    <w:rsid w:val="00F60631"/>
    <w:rsid w:val="00F6206B"/>
    <w:rsid w:val="00F64DC2"/>
    <w:rsid w:val="00F656B5"/>
    <w:rsid w:val="00F674BE"/>
    <w:rsid w:val="00F71CA9"/>
    <w:rsid w:val="00F7308A"/>
    <w:rsid w:val="00F77844"/>
    <w:rsid w:val="00F80E5D"/>
    <w:rsid w:val="00F851CE"/>
    <w:rsid w:val="00F9174F"/>
    <w:rsid w:val="00F92DF7"/>
    <w:rsid w:val="00F97A78"/>
    <w:rsid w:val="00FA0B82"/>
    <w:rsid w:val="00FA0E0E"/>
    <w:rsid w:val="00FA24E7"/>
    <w:rsid w:val="00FA307D"/>
    <w:rsid w:val="00FA3DFF"/>
    <w:rsid w:val="00FB00EA"/>
    <w:rsid w:val="00FB1754"/>
    <w:rsid w:val="00FB2FCB"/>
    <w:rsid w:val="00FB3AF7"/>
    <w:rsid w:val="00FB5245"/>
    <w:rsid w:val="00FB5B9E"/>
    <w:rsid w:val="00FC1074"/>
    <w:rsid w:val="00FC1884"/>
    <w:rsid w:val="00FC23C3"/>
    <w:rsid w:val="00FC2A7B"/>
    <w:rsid w:val="00FC5AA4"/>
    <w:rsid w:val="00FD03CF"/>
    <w:rsid w:val="00FD07FE"/>
    <w:rsid w:val="00FD2100"/>
    <w:rsid w:val="00FD2203"/>
    <w:rsid w:val="00FD446D"/>
    <w:rsid w:val="00FE1179"/>
    <w:rsid w:val="00FE538F"/>
    <w:rsid w:val="00FE54FC"/>
    <w:rsid w:val="00FE5937"/>
    <w:rsid w:val="00FE7D84"/>
    <w:rsid w:val="00FF15F5"/>
    <w:rsid w:val="00FF27CB"/>
    <w:rsid w:val="00FF3DCF"/>
    <w:rsid w:val="00FF43D3"/>
    <w:rsid w:val="00FF5AA3"/>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rsid w:val="00124A51"/>
    <w:rPr>
      <w:b/>
      <w:bCs/>
      <w:snapToGrid w:val="0"/>
      <w:color w:val="4F81BD" w:themeColor="accent1"/>
      <w:sz w:val="18"/>
      <w:szCs w:val="18"/>
      <w:lang w:eastAsia="en-US"/>
    </w:rPr>
  </w:style>
  <w:style w:type="paragraph" w:styleId="Title">
    <w:name w:val="Title"/>
    <w:basedOn w:val="Heading2"/>
    <w:next w:val="Normal"/>
    <w:link w:val="TitleChar"/>
    <w:rsid w:val="00273D66"/>
    <w:rPr>
      <w:sz w:val="28"/>
    </w:rPr>
  </w:style>
  <w:style w:type="character" w:customStyle="1" w:styleId="TitleChar">
    <w:name w:val="Title Char"/>
    <w:basedOn w:val="DefaultParagraphFont"/>
    <w:link w:val="Title"/>
    <w:rsid w:val="00273D66"/>
    <w:rPr>
      <w:rFonts w:ascii="Arial" w:hAnsi="Arial"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styleId="FootnoteText">
    <w:name w:val="footnote text"/>
    <w:basedOn w:val="Normal"/>
    <w:link w:val="FootnoteTextChar"/>
    <w:unhideWhenUsed/>
    <w:rsid w:val="00740442"/>
    <w:rPr>
      <w:sz w:val="24"/>
      <w:szCs w:val="24"/>
    </w:rPr>
  </w:style>
  <w:style w:type="character" w:customStyle="1" w:styleId="FootnoteTextChar">
    <w:name w:val="Footnote Text Char"/>
    <w:basedOn w:val="DefaultParagraphFont"/>
    <w:link w:val="FootnoteText"/>
    <w:rsid w:val="00740442"/>
    <w:rPr>
      <w:rFonts w:ascii="Arial" w:hAnsi="Arial" w:cs="Arial"/>
      <w:snapToGrid w:val="0"/>
      <w:sz w:val="24"/>
      <w:szCs w:val="24"/>
      <w:lang w:eastAsia="en-US"/>
    </w:rPr>
  </w:style>
  <w:style w:type="character" w:styleId="FootnoteReference">
    <w:name w:val="footnote reference"/>
    <w:basedOn w:val="DefaultParagraphFont"/>
    <w:unhideWhenUsed/>
    <w:rsid w:val="00740442"/>
    <w:rPr>
      <w:vertAlign w:val="superscript"/>
    </w:rPr>
  </w:style>
  <w:style w:type="paragraph" w:customStyle="1" w:styleId="TableText1">
    <w:name w:val="Table Text"/>
    <w:basedOn w:val="Normal"/>
    <w:link w:val="TableTextChar0"/>
    <w:qFormat/>
    <w:rsid w:val="00D024EB"/>
    <w:pPr>
      <w:widowControl/>
      <w:spacing w:before="80" w:after="80"/>
      <w:jc w:val="left"/>
    </w:pPr>
    <w:rPr>
      <w:rFonts w:cs="Times New Roman"/>
      <w:snapToGrid/>
      <w:sz w:val="18"/>
      <w:szCs w:val="22"/>
      <w:lang w:eastAsia="en-AU"/>
    </w:rPr>
  </w:style>
  <w:style w:type="character" w:customStyle="1" w:styleId="TableTextChar0">
    <w:name w:val="Table Text Char"/>
    <w:basedOn w:val="DefaultParagraphFont"/>
    <w:link w:val="TableText1"/>
    <w:rsid w:val="00D024EB"/>
    <w:rPr>
      <w:rFonts w:ascii="Arial" w:hAnsi="Arial"/>
      <w:sz w:val="18"/>
      <w:szCs w:val="22"/>
    </w:rPr>
  </w:style>
  <w:style w:type="character" w:customStyle="1" w:styleId="hitinf">
    <w:name w:val="hit_inf"/>
    <w:basedOn w:val="DefaultParagraphFont"/>
    <w:rsid w:val="004C3439"/>
  </w:style>
  <w:style w:type="character" w:customStyle="1" w:styleId="hitsyn">
    <w:name w:val="hit_syn"/>
    <w:basedOn w:val="DefaultParagraphFont"/>
    <w:rsid w:val="004C3439"/>
  </w:style>
  <w:style w:type="character" w:customStyle="1" w:styleId="li-content">
    <w:name w:val="li-content"/>
    <w:basedOn w:val="DefaultParagraphFont"/>
    <w:rsid w:val="004C3439"/>
  </w:style>
  <w:style w:type="character" w:styleId="FollowedHyperlink">
    <w:name w:val="FollowedHyperlink"/>
    <w:basedOn w:val="DefaultParagraphFont"/>
    <w:semiHidden/>
    <w:unhideWhenUsed/>
    <w:rsid w:val="00C5324D"/>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27D95"/>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4E5650"/>
    <w:rPr>
      <w:b/>
      <w:bCs/>
      <w:i/>
      <w:smallCaps/>
      <w:color w:val="C0504D" w:themeColor="accent2"/>
      <w:spacing w:val="5"/>
      <w:u w:val="none"/>
    </w:rPr>
  </w:style>
  <w:style w:type="character" w:customStyle="1" w:styleId="ListParagraphChar">
    <w:name w:val="List Paragraph Char"/>
    <w:link w:val="ListParagraph"/>
    <w:uiPriority w:val="72"/>
    <w:rsid w:val="003A3E1F"/>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rsid w:val="00124A51"/>
    <w:rPr>
      <w:b/>
      <w:bCs/>
      <w:snapToGrid w:val="0"/>
      <w:color w:val="4F81BD" w:themeColor="accent1"/>
      <w:sz w:val="18"/>
      <w:szCs w:val="18"/>
      <w:lang w:eastAsia="en-US"/>
    </w:rPr>
  </w:style>
  <w:style w:type="paragraph" w:styleId="Title">
    <w:name w:val="Title"/>
    <w:basedOn w:val="Heading2"/>
    <w:next w:val="Normal"/>
    <w:link w:val="TitleChar"/>
    <w:rsid w:val="00273D66"/>
    <w:rPr>
      <w:sz w:val="28"/>
    </w:rPr>
  </w:style>
  <w:style w:type="character" w:customStyle="1" w:styleId="TitleChar">
    <w:name w:val="Title Char"/>
    <w:basedOn w:val="DefaultParagraphFont"/>
    <w:link w:val="Title"/>
    <w:rsid w:val="00273D66"/>
    <w:rPr>
      <w:rFonts w:ascii="Arial" w:hAnsi="Arial" w:cs="Arial"/>
      <w:b/>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styleId="FootnoteText">
    <w:name w:val="footnote text"/>
    <w:basedOn w:val="Normal"/>
    <w:link w:val="FootnoteTextChar"/>
    <w:unhideWhenUsed/>
    <w:rsid w:val="00740442"/>
    <w:rPr>
      <w:sz w:val="24"/>
      <w:szCs w:val="24"/>
    </w:rPr>
  </w:style>
  <w:style w:type="character" w:customStyle="1" w:styleId="FootnoteTextChar">
    <w:name w:val="Footnote Text Char"/>
    <w:basedOn w:val="DefaultParagraphFont"/>
    <w:link w:val="FootnoteText"/>
    <w:rsid w:val="00740442"/>
    <w:rPr>
      <w:rFonts w:ascii="Arial" w:hAnsi="Arial" w:cs="Arial"/>
      <w:snapToGrid w:val="0"/>
      <w:sz w:val="24"/>
      <w:szCs w:val="24"/>
      <w:lang w:eastAsia="en-US"/>
    </w:rPr>
  </w:style>
  <w:style w:type="character" w:styleId="FootnoteReference">
    <w:name w:val="footnote reference"/>
    <w:basedOn w:val="DefaultParagraphFont"/>
    <w:unhideWhenUsed/>
    <w:rsid w:val="00740442"/>
    <w:rPr>
      <w:vertAlign w:val="superscript"/>
    </w:rPr>
  </w:style>
  <w:style w:type="paragraph" w:customStyle="1" w:styleId="TableText1">
    <w:name w:val="Table Text"/>
    <w:basedOn w:val="Normal"/>
    <w:link w:val="TableTextChar0"/>
    <w:qFormat/>
    <w:rsid w:val="00D024EB"/>
    <w:pPr>
      <w:widowControl/>
      <w:spacing w:before="80" w:after="80"/>
      <w:jc w:val="left"/>
    </w:pPr>
    <w:rPr>
      <w:rFonts w:cs="Times New Roman"/>
      <w:snapToGrid/>
      <w:sz w:val="18"/>
      <w:szCs w:val="22"/>
      <w:lang w:eastAsia="en-AU"/>
    </w:rPr>
  </w:style>
  <w:style w:type="character" w:customStyle="1" w:styleId="TableTextChar0">
    <w:name w:val="Table Text Char"/>
    <w:basedOn w:val="DefaultParagraphFont"/>
    <w:link w:val="TableText1"/>
    <w:rsid w:val="00D024EB"/>
    <w:rPr>
      <w:rFonts w:ascii="Arial" w:hAnsi="Arial"/>
      <w:sz w:val="18"/>
      <w:szCs w:val="22"/>
    </w:rPr>
  </w:style>
  <w:style w:type="character" w:customStyle="1" w:styleId="hitinf">
    <w:name w:val="hit_inf"/>
    <w:basedOn w:val="DefaultParagraphFont"/>
    <w:rsid w:val="004C3439"/>
  </w:style>
  <w:style w:type="character" w:customStyle="1" w:styleId="hitsyn">
    <w:name w:val="hit_syn"/>
    <w:basedOn w:val="DefaultParagraphFont"/>
    <w:rsid w:val="004C3439"/>
  </w:style>
  <w:style w:type="character" w:customStyle="1" w:styleId="li-content">
    <w:name w:val="li-content"/>
    <w:basedOn w:val="DefaultParagraphFont"/>
    <w:rsid w:val="004C3439"/>
  </w:style>
  <w:style w:type="character" w:styleId="FollowedHyperlink">
    <w:name w:val="FollowedHyperlink"/>
    <w:basedOn w:val="DefaultParagraphFont"/>
    <w:semiHidden/>
    <w:unhideWhenUsed/>
    <w:rsid w:val="00C5324D"/>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27D95"/>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qFormat/>
    <w:rsid w:val="004E5650"/>
    <w:rPr>
      <w:b/>
      <w:bCs/>
      <w:i/>
      <w:smallCaps/>
      <w:color w:val="C0504D" w:themeColor="accent2"/>
      <w:spacing w:val="5"/>
      <w:u w:val="none"/>
    </w:rPr>
  </w:style>
  <w:style w:type="character" w:customStyle="1" w:styleId="ListParagraphChar">
    <w:name w:val="List Paragraph Char"/>
    <w:link w:val="ListParagraph"/>
    <w:uiPriority w:val="72"/>
    <w:rsid w:val="003A3E1F"/>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8019">
      <w:bodyDiv w:val="1"/>
      <w:marLeft w:val="0"/>
      <w:marRight w:val="0"/>
      <w:marTop w:val="0"/>
      <w:marBottom w:val="0"/>
      <w:divBdr>
        <w:top w:val="none" w:sz="0" w:space="0" w:color="auto"/>
        <w:left w:val="none" w:sz="0" w:space="0" w:color="auto"/>
        <w:bottom w:val="none" w:sz="0" w:space="0" w:color="auto"/>
        <w:right w:val="none" w:sz="0" w:space="0" w:color="auto"/>
      </w:divBdr>
    </w:div>
    <w:div w:id="1257862830">
      <w:bodyDiv w:val="1"/>
      <w:marLeft w:val="0"/>
      <w:marRight w:val="0"/>
      <w:marTop w:val="0"/>
      <w:marBottom w:val="0"/>
      <w:divBdr>
        <w:top w:val="none" w:sz="0" w:space="0" w:color="auto"/>
        <w:left w:val="none" w:sz="0" w:space="0" w:color="auto"/>
        <w:bottom w:val="none" w:sz="0" w:space="0" w:color="auto"/>
        <w:right w:val="none" w:sz="0" w:space="0" w:color="auto"/>
      </w:divBdr>
    </w:div>
    <w:div w:id="1867713549">
      <w:bodyDiv w:val="1"/>
      <w:marLeft w:val="0"/>
      <w:marRight w:val="0"/>
      <w:marTop w:val="0"/>
      <w:marBottom w:val="0"/>
      <w:divBdr>
        <w:top w:val="none" w:sz="0" w:space="0" w:color="auto"/>
        <w:left w:val="none" w:sz="0" w:space="0" w:color="auto"/>
        <w:bottom w:val="none" w:sz="0" w:space="0" w:color="auto"/>
        <w:right w:val="none" w:sz="0" w:space="0" w:color="auto"/>
      </w:divBdr>
    </w:div>
    <w:div w:id="19263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7E78C-AE36-4949-A5F1-988D9F2B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16204</Words>
  <Characters>92367</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5.19 pembrolizumab</vt:lpstr>
    </vt:vector>
  </TitlesOfParts>
  <LinksUpToDate>false</LinksUpToDate>
  <CharactersWithSpaces>108355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5.19 pembrolizumab</dc:title>
  <dc:creator/>
  <cp:lastModifiedBy/>
  <cp:revision>1</cp:revision>
  <dcterms:created xsi:type="dcterms:W3CDTF">2015-07-09T05:28:00Z</dcterms:created>
  <dcterms:modified xsi:type="dcterms:W3CDTF">2015-07-09T05:29:00Z</dcterms:modified>
</cp:coreProperties>
</file>