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DB" w:rsidRDefault="004B3DDB" w:rsidP="00207D00"/>
    <w:p w:rsidR="009A72E5" w:rsidRPr="009A72E5" w:rsidRDefault="00E27508" w:rsidP="009A72E5">
      <w:pPr>
        <w:pStyle w:val="Title"/>
      </w:pPr>
      <w:bookmarkStart w:id="0" w:name="_Toc409593090"/>
      <w:r w:rsidRPr="009A72E5">
        <w:t>5.21</w:t>
      </w:r>
      <w:r w:rsidR="00B60939" w:rsidRPr="009A72E5">
        <w:tab/>
      </w:r>
      <w:r w:rsidR="00864BE0" w:rsidRPr="009A72E5">
        <w:t>Ribavirin</w:t>
      </w:r>
    </w:p>
    <w:p w:rsidR="009A72E5" w:rsidRDefault="005A1F5C" w:rsidP="009A72E5">
      <w:pPr>
        <w:pStyle w:val="Heading1"/>
        <w:ind w:firstLine="0"/>
        <w:rPr>
          <w:caps w:val="0"/>
          <w:sz w:val="28"/>
        </w:rPr>
      </w:pPr>
      <w:r>
        <w:rPr>
          <w:caps w:val="0"/>
          <w:sz w:val="28"/>
        </w:rPr>
        <w:t>T</w:t>
      </w:r>
      <w:r w:rsidR="009A72E5">
        <w:rPr>
          <w:caps w:val="0"/>
          <w:sz w:val="28"/>
        </w:rPr>
        <w:t>ablets, 400mg and 600mg;</w:t>
      </w:r>
    </w:p>
    <w:p w:rsidR="00B60939" w:rsidRPr="00207D00" w:rsidRDefault="00864BE0" w:rsidP="009A72E5">
      <w:pPr>
        <w:pStyle w:val="Heading1"/>
        <w:ind w:firstLine="0"/>
        <w:rPr>
          <w:sz w:val="28"/>
        </w:rPr>
      </w:pPr>
      <w:r>
        <w:rPr>
          <w:caps w:val="0"/>
          <w:sz w:val="28"/>
        </w:rPr>
        <w:t>Ibavyr</w:t>
      </w:r>
      <w:r w:rsidRPr="00864BE0">
        <w:rPr>
          <w:caps w:val="0"/>
          <w:sz w:val="28"/>
          <w:vertAlign w:val="superscript"/>
        </w:rPr>
        <w:t>®</w:t>
      </w:r>
      <w:r w:rsidR="009A72E5">
        <w:rPr>
          <w:sz w:val="28"/>
        </w:rPr>
        <w:t>;</w:t>
      </w:r>
      <w:r w:rsidR="00B60939" w:rsidRPr="00207D00">
        <w:rPr>
          <w:sz w:val="28"/>
        </w:rPr>
        <w:t xml:space="preserve"> </w:t>
      </w:r>
      <w:r w:rsidRPr="00864BE0">
        <w:rPr>
          <w:caps w:val="0"/>
          <w:sz w:val="28"/>
        </w:rPr>
        <w:t>Clinect</w:t>
      </w:r>
      <w:r w:rsidR="000814B0">
        <w:rPr>
          <w:caps w:val="0"/>
          <w:sz w:val="28"/>
        </w:rPr>
        <w:t xml:space="preserve"> Pty Ltd</w:t>
      </w:r>
      <w:r w:rsidR="00B60939" w:rsidRPr="00207D00">
        <w:rPr>
          <w:sz w:val="28"/>
        </w:rPr>
        <w:t>.</w:t>
      </w:r>
      <w:bookmarkEnd w:id="0"/>
    </w:p>
    <w:p w:rsidR="00B60939" w:rsidRDefault="00B60939" w:rsidP="00207D00"/>
    <w:p w:rsidR="00FF6995" w:rsidRDefault="00FF6995" w:rsidP="00FF6995">
      <w:pPr>
        <w:ind w:firstLine="709"/>
      </w:pPr>
    </w:p>
    <w:p w:rsidR="00B50DB8" w:rsidRPr="00407F2D" w:rsidRDefault="00B50DB8" w:rsidP="00BD6CF3">
      <w:pPr>
        <w:pStyle w:val="PBACHeading1"/>
      </w:pPr>
      <w:bookmarkStart w:id="1" w:name="_Toc409593092"/>
      <w:r w:rsidRPr="00407F2D">
        <w:t>Purpose of Application</w:t>
      </w:r>
      <w:bookmarkEnd w:id="1"/>
    </w:p>
    <w:p w:rsidR="00B60939" w:rsidRPr="00882085" w:rsidRDefault="00B60939" w:rsidP="00B60939">
      <w:pPr>
        <w:rPr>
          <w:szCs w:val="22"/>
        </w:rPr>
      </w:pPr>
    </w:p>
    <w:p w:rsidR="002C2775" w:rsidRPr="00B50DB8" w:rsidRDefault="000610DB" w:rsidP="00765867">
      <w:pPr>
        <w:pStyle w:val="ListParagraph"/>
        <w:widowControl/>
        <w:numPr>
          <w:ilvl w:val="1"/>
          <w:numId w:val="10"/>
        </w:numPr>
        <w:rPr>
          <w:szCs w:val="22"/>
        </w:rPr>
      </w:pPr>
      <w:r>
        <w:t xml:space="preserve">The submission requested a </w:t>
      </w:r>
      <w:r w:rsidR="001E238E" w:rsidRPr="004B3DDB">
        <w:t>Section 100 Authority Required</w:t>
      </w:r>
      <w:r>
        <w:t xml:space="preserve"> (</w:t>
      </w:r>
      <w:r w:rsidR="00AD1ED9">
        <w:t>STREAMLINED) listing for ribavirin for the treatment of chronic hepatitis C (CHC).</w:t>
      </w:r>
    </w:p>
    <w:p w:rsidR="00B60939" w:rsidRDefault="00B60939" w:rsidP="004B1CB4"/>
    <w:p w:rsidR="00FF692F" w:rsidRDefault="00FF692F">
      <w:pPr>
        <w:widowControl/>
        <w:jc w:val="left"/>
        <w:rPr>
          <w:b/>
          <w:szCs w:val="22"/>
        </w:rPr>
      </w:pPr>
      <w:bookmarkStart w:id="2" w:name="_Toc409593093"/>
    </w:p>
    <w:p w:rsidR="00B50DB8" w:rsidRPr="00407F2D" w:rsidRDefault="00B50DB8" w:rsidP="00BD6CF3">
      <w:pPr>
        <w:pStyle w:val="PBACHeading1"/>
      </w:pPr>
      <w:r w:rsidRPr="00407F2D">
        <w:t>Requested listing</w:t>
      </w:r>
      <w:bookmarkEnd w:id="2"/>
    </w:p>
    <w:p w:rsidR="00B60939" w:rsidRPr="00882085" w:rsidRDefault="00B60939" w:rsidP="004B1CB4"/>
    <w:p w:rsidR="00617E12" w:rsidRPr="00407E3C" w:rsidRDefault="00FF692F" w:rsidP="00765867">
      <w:pPr>
        <w:pStyle w:val="ListParagraph"/>
        <w:widowControl/>
        <w:numPr>
          <w:ilvl w:val="1"/>
          <w:numId w:val="10"/>
        </w:numPr>
        <w:rPr>
          <w:szCs w:val="22"/>
        </w:rPr>
      </w:pPr>
      <w:r w:rsidRPr="00407E3C">
        <w:rPr>
          <w:szCs w:val="22"/>
        </w:rPr>
        <w:t>Suggestions and additions proposed by the Secretariat to the requested listing are added in italics and suggested deletions are crossed out with strikethrough.</w:t>
      </w:r>
      <w:bookmarkStart w:id="3" w:name="_GoBack"/>
      <w:bookmarkEnd w:id="3"/>
    </w:p>
    <w:p w:rsidR="006F2B83" w:rsidRDefault="006F2B83" w:rsidP="006F2B83">
      <w:pPr>
        <w:pStyle w:val="ListParagraph"/>
        <w:widowControl/>
      </w:pPr>
    </w:p>
    <w:p w:rsidR="00FF692F" w:rsidRPr="00FF692F" w:rsidRDefault="00FF692F" w:rsidP="00FF692F">
      <w:pPr>
        <w:widowControl/>
        <w:rPr>
          <w:snapToGrid/>
          <w:szCs w:val="22"/>
          <w:lang w:eastAsia="en-AU"/>
        </w:rPr>
      </w:pPr>
      <w:r w:rsidRPr="00FF692F">
        <w:rPr>
          <w:snapToGrid/>
          <w:szCs w:val="22"/>
          <w:lang w:eastAsia="en-AU"/>
        </w:rPr>
        <w:t>Genotype 2 treatment naïve patients (initial)</w:t>
      </w:r>
    </w:p>
    <w:p w:rsidR="00FF692F" w:rsidRPr="004269E4" w:rsidRDefault="00FF692F" w:rsidP="00FF692F">
      <w:pPr>
        <w:widowControl/>
        <w:rPr>
          <w:b/>
          <w:i/>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F692F" w:rsidRPr="004269E4" w:rsidTr="00DB28F6">
        <w:trPr>
          <w:cantSplit/>
          <w:trHeight w:val="471"/>
        </w:trPr>
        <w:tc>
          <w:tcPr>
            <w:tcW w:w="3261" w:type="dxa"/>
            <w:gridSpan w:val="2"/>
            <w:tcBorders>
              <w:bottom w:val="single" w:sz="4" w:space="0" w:color="auto"/>
            </w:tcBorders>
          </w:tcPr>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Name, Restriction,</w:t>
            </w:r>
          </w:p>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Manner of administration and form</w:t>
            </w:r>
          </w:p>
        </w:tc>
        <w:tc>
          <w:tcPr>
            <w:tcW w:w="567" w:type="dxa"/>
            <w:tcBorders>
              <w:bottom w:val="single" w:sz="4" w:space="0" w:color="auto"/>
            </w:tcBorders>
          </w:tcPr>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Max.</w:t>
            </w:r>
          </w:p>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Qty</w:t>
            </w:r>
          </w:p>
        </w:tc>
        <w:tc>
          <w:tcPr>
            <w:tcW w:w="850" w:type="dxa"/>
            <w:tcBorders>
              <w:bottom w:val="single" w:sz="4" w:space="0" w:color="auto"/>
            </w:tcBorders>
          </w:tcPr>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№.of</w:t>
            </w:r>
          </w:p>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Rpts</w:t>
            </w:r>
          </w:p>
        </w:tc>
        <w:tc>
          <w:tcPr>
            <w:tcW w:w="1701" w:type="dxa"/>
            <w:tcBorders>
              <w:bottom w:val="single" w:sz="4" w:space="0" w:color="auto"/>
            </w:tcBorders>
          </w:tcPr>
          <w:p w:rsidR="00FF692F" w:rsidRPr="004269E4" w:rsidRDefault="00FF692F" w:rsidP="00DB28F6">
            <w:pPr>
              <w:keepNext/>
              <w:widowControl/>
              <w:ind w:left="-108"/>
              <w:rPr>
                <w:rFonts w:ascii="Arial Narrow" w:hAnsi="Arial Narrow"/>
                <w:snapToGrid/>
                <w:sz w:val="20"/>
                <w:lang w:eastAsia="en-AU"/>
              </w:rPr>
            </w:pPr>
            <w:r w:rsidRPr="004269E4">
              <w:rPr>
                <w:rFonts w:ascii="Arial Narrow" w:hAnsi="Arial Narrow"/>
                <w:snapToGrid/>
                <w:sz w:val="20"/>
                <w:lang w:eastAsia="en-AU"/>
              </w:rPr>
              <w:t>Dispensed Price for Max. Qty</w:t>
            </w:r>
          </w:p>
        </w:tc>
        <w:tc>
          <w:tcPr>
            <w:tcW w:w="2835" w:type="dxa"/>
            <w:gridSpan w:val="2"/>
            <w:tcBorders>
              <w:bottom w:val="single" w:sz="4" w:space="0" w:color="auto"/>
            </w:tcBorders>
          </w:tcPr>
          <w:p w:rsidR="00FF692F" w:rsidRPr="004269E4" w:rsidRDefault="00FF692F" w:rsidP="00DB28F6">
            <w:pPr>
              <w:keepNext/>
              <w:widowControl/>
              <w:rPr>
                <w:rFonts w:ascii="Arial Narrow" w:hAnsi="Arial Narrow"/>
                <w:snapToGrid/>
                <w:sz w:val="20"/>
                <w:lang w:val="fr-FR" w:eastAsia="en-AU"/>
              </w:rPr>
            </w:pPr>
            <w:r w:rsidRPr="004269E4">
              <w:rPr>
                <w:rFonts w:ascii="Arial Narrow" w:hAnsi="Arial Narrow"/>
                <w:snapToGrid/>
                <w:sz w:val="20"/>
                <w:lang w:eastAsia="en-AU"/>
              </w:rPr>
              <w:t>Proprietary Name and Manufacturer</w:t>
            </w:r>
          </w:p>
        </w:tc>
      </w:tr>
      <w:tr w:rsidR="00FF692F" w:rsidRPr="004269E4" w:rsidTr="00DB28F6">
        <w:trPr>
          <w:cantSplit/>
          <w:trHeight w:val="577"/>
        </w:trPr>
        <w:tc>
          <w:tcPr>
            <w:tcW w:w="3261" w:type="dxa"/>
            <w:gridSpan w:val="2"/>
          </w:tcPr>
          <w:p w:rsidR="00FF692F" w:rsidRPr="004269E4" w:rsidRDefault="00FF692F" w:rsidP="00DB28F6">
            <w:pPr>
              <w:keepNext/>
              <w:widowControl/>
              <w:rPr>
                <w:rFonts w:ascii="Arial Narrow" w:hAnsi="Arial Narrow"/>
                <w:smallCaps/>
                <w:sz w:val="20"/>
              </w:rPr>
            </w:pPr>
            <w:r w:rsidRPr="004269E4">
              <w:rPr>
                <w:rFonts w:ascii="Arial Narrow" w:hAnsi="Arial Narrow"/>
                <w:smallCaps/>
                <w:sz w:val="20"/>
              </w:rPr>
              <w:t>RIBAVIRIN</w:t>
            </w:r>
          </w:p>
          <w:p w:rsidR="00FF692F" w:rsidRPr="004269E4" w:rsidRDefault="00FF692F" w:rsidP="00DB28F6">
            <w:pPr>
              <w:keepNext/>
              <w:widowControl/>
              <w:rPr>
                <w:rFonts w:ascii="Arial Narrow" w:hAnsi="Arial Narrow"/>
                <w:sz w:val="20"/>
              </w:rPr>
            </w:pPr>
            <w:r w:rsidRPr="004269E4">
              <w:rPr>
                <w:rFonts w:ascii="Arial Narrow" w:hAnsi="Arial Narrow"/>
                <w:smallCaps/>
                <w:sz w:val="20"/>
              </w:rPr>
              <w:t>Ribavirin 400 mg tablet, 28</w:t>
            </w:r>
          </w:p>
        </w:tc>
        <w:tc>
          <w:tcPr>
            <w:tcW w:w="567" w:type="dxa"/>
          </w:tcPr>
          <w:p w:rsidR="00FF692F" w:rsidRPr="004269E4" w:rsidRDefault="00FF692F" w:rsidP="00DB28F6">
            <w:pPr>
              <w:keepNext/>
              <w:widowControl/>
              <w:jc w:val="center"/>
              <w:rPr>
                <w:rFonts w:ascii="Arial Narrow" w:hAnsi="Arial Narrow"/>
                <w:sz w:val="20"/>
              </w:rPr>
            </w:pPr>
          </w:p>
          <w:p w:rsidR="00FF692F" w:rsidRPr="004269E4" w:rsidRDefault="00FF692F" w:rsidP="00DB28F6">
            <w:pPr>
              <w:keepNext/>
              <w:widowControl/>
              <w:jc w:val="center"/>
              <w:rPr>
                <w:rFonts w:ascii="Arial Narrow" w:hAnsi="Arial Narrow"/>
                <w:sz w:val="20"/>
              </w:rPr>
            </w:pPr>
            <w:r w:rsidRPr="004269E4">
              <w:rPr>
                <w:rFonts w:ascii="Arial Narrow" w:hAnsi="Arial Narrow"/>
                <w:sz w:val="20"/>
              </w:rPr>
              <w:t>2</w:t>
            </w:r>
          </w:p>
        </w:tc>
        <w:tc>
          <w:tcPr>
            <w:tcW w:w="850" w:type="dxa"/>
          </w:tcPr>
          <w:p w:rsidR="00FF692F" w:rsidRPr="004269E4" w:rsidRDefault="00FF692F" w:rsidP="00DB28F6">
            <w:pPr>
              <w:keepNext/>
              <w:widowControl/>
              <w:jc w:val="center"/>
              <w:rPr>
                <w:rFonts w:ascii="Arial Narrow" w:hAnsi="Arial Narrow"/>
                <w:sz w:val="20"/>
              </w:rPr>
            </w:pPr>
          </w:p>
          <w:p w:rsidR="00FF692F" w:rsidRPr="004269E4" w:rsidRDefault="00FF692F" w:rsidP="00DB28F6">
            <w:pPr>
              <w:keepNext/>
              <w:widowControl/>
              <w:jc w:val="center"/>
              <w:rPr>
                <w:rFonts w:ascii="Arial Narrow" w:hAnsi="Arial Narrow"/>
                <w:sz w:val="20"/>
              </w:rPr>
            </w:pPr>
            <w:r w:rsidRPr="004269E4">
              <w:rPr>
                <w:rFonts w:ascii="Arial Narrow" w:hAnsi="Arial Narrow"/>
                <w:sz w:val="20"/>
              </w:rPr>
              <w:t>2</w:t>
            </w:r>
          </w:p>
        </w:tc>
        <w:tc>
          <w:tcPr>
            <w:tcW w:w="1701" w:type="dxa"/>
          </w:tcPr>
          <w:p w:rsidR="00FF692F" w:rsidRPr="00A93D1C" w:rsidRDefault="00FF692F" w:rsidP="00DB28F6">
            <w:pPr>
              <w:keepNext/>
              <w:widowControl/>
              <w:jc w:val="center"/>
              <w:rPr>
                <w:rFonts w:ascii="Arial Narrow" w:hAnsi="Arial Narrow"/>
                <w:sz w:val="20"/>
              </w:rPr>
            </w:pPr>
          </w:p>
          <w:p w:rsidR="00FF692F" w:rsidRPr="00A93D1C" w:rsidRDefault="00FF692F" w:rsidP="00DB28F6">
            <w:pPr>
              <w:keepNext/>
              <w:widowControl/>
              <w:jc w:val="center"/>
              <w:rPr>
                <w:rFonts w:ascii="Arial Narrow" w:hAnsi="Arial Narrow"/>
                <w:sz w:val="20"/>
              </w:rPr>
            </w:pPr>
            <w:r w:rsidRPr="00A93D1C">
              <w:rPr>
                <w:rFonts w:ascii="Arial Narrow" w:hAnsi="Arial Narrow"/>
                <w:sz w:val="20"/>
              </w:rPr>
              <w:t>$</w:t>
            </w:r>
            <w:r w:rsidR="003F3ACA">
              <w:rPr>
                <w:rFonts w:ascii="Arial Narrow" w:hAnsi="Arial Narrow"/>
                <w:noProof/>
                <w:color w:val="000000"/>
                <w:sz w:val="20"/>
                <w:highlight w:val="black"/>
              </w:rPr>
              <w:t>''''''''''''''''</w:t>
            </w:r>
          </w:p>
        </w:tc>
        <w:tc>
          <w:tcPr>
            <w:tcW w:w="1559"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IBAVYR    IX</w:t>
            </w:r>
          </w:p>
        </w:tc>
        <w:tc>
          <w:tcPr>
            <w:tcW w:w="1276"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Clinect Pty Ltd</w:t>
            </w:r>
          </w:p>
        </w:tc>
      </w:tr>
      <w:tr w:rsidR="00FF692F" w:rsidRPr="004269E4" w:rsidTr="00DB28F6">
        <w:trPr>
          <w:cantSplit/>
          <w:trHeight w:val="577"/>
        </w:trPr>
        <w:tc>
          <w:tcPr>
            <w:tcW w:w="3261" w:type="dxa"/>
            <w:gridSpan w:val="2"/>
          </w:tcPr>
          <w:p w:rsidR="00FF692F" w:rsidRPr="004269E4" w:rsidRDefault="00FF692F" w:rsidP="00DB28F6">
            <w:pPr>
              <w:keepNext/>
              <w:widowControl/>
              <w:rPr>
                <w:rFonts w:ascii="Arial Narrow" w:hAnsi="Arial Narrow"/>
                <w:smallCaps/>
                <w:sz w:val="20"/>
              </w:rPr>
            </w:pPr>
            <w:r w:rsidRPr="004269E4">
              <w:rPr>
                <w:rFonts w:ascii="Arial Narrow" w:hAnsi="Arial Narrow"/>
                <w:smallCaps/>
                <w:sz w:val="20"/>
              </w:rPr>
              <w:t>RIBAVIRIN</w:t>
            </w:r>
          </w:p>
          <w:p w:rsidR="00FF692F" w:rsidRPr="004269E4" w:rsidRDefault="00FF692F" w:rsidP="00DB28F6">
            <w:pPr>
              <w:keepNext/>
              <w:widowControl/>
              <w:rPr>
                <w:rFonts w:ascii="Arial Narrow" w:hAnsi="Arial Narrow"/>
                <w:smallCaps/>
                <w:sz w:val="20"/>
              </w:rPr>
            </w:pPr>
            <w:r w:rsidRPr="004269E4">
              <w:rPr>
                <w:rFonts w:ascii="Arial Narrow" w:hAnsi="Arial Narrow"/>
                <w:smallCaps/>
                <w:sz w:val="20"/>
              </w:rPr>
              <w:t>Ribavirin 600 mg tablet, 28</w:t>
            </w:r>
          </w:p>
        </w:tc>
        <w:tc>
          <w:tcPr>
            <w:tcW w:w="567"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2</w:t>
            </w:r>
          </w:p>
        </w:tc>
        <w:tc>
          <w:tcPr>
            <w:tcW w:w="850"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2</w:t>
            </w:r>
          </w:p>
        </w:tc>
        <w:tc>
          <w:tcPr>
            <w:tcW w:w="1701" w:type="dxa"/>
          </w:tcPr>
          <w:p w:rsidR="00FF692F" w:rsidRPr="00A93D1C" w:rsidRDefault="00FF692F" w:rsidP="00DB28F6">
            <w:pPr>
              <w:keepNext/>
              <w:widowControl/>
              <w:jc w:val="center"/>
              <w:rPr>
                <w:rFonts w:ascii="Arial Narrow" w:hAnsi="Arial Narrow"/>
                <w:sz w:val="20"/>
              </w:rPr>
            </w:pPr>
            <w:r w:rsidRPr="00A93D1C">
              <w:rPr>
                <w:rFonts w:ascii="Arial Narrow" w:hAnsi="Arial Narrow"/>
                <w:sz w:val="20"/>
              </w:rPr>
              <w:t>$</w:t>
            </w:r>
            <w:r w:rsidR="003F3ACA">
              <w:rPr>
                <w:rFonts w:ascii="Arial Narrow" w:hAnsi="Arial Narrow"/>
                <w:noProof/>
                <w:color w:val="000000"/>
                <w:sz w:val="20"/>
                <w:highlight w:val="black"/>
              </w:rPr>
              <w:t>'''''''''''''''''''''''</w:t>
            </w:r>
          </w:p>
        </w:tc>
        <w:tc>
          <w:tcPr>
            <w:tcW w:w="1559"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IBAVYR    IX</w:t>
            </w:r>
          </w:p>
        </w:tc>
        <w:tc>
          <w:tcPr>
            <w:tcW w:w="1276" w:type="dxa"/>
          </w:tcPr>
          <w:p w:rsidR="00FF692F" w:rsidRPr="004269E4" w:rsidRDefault="00FF692F" w:rsidP="00DB28F6">
            <w:pPr>
              <w:keepNext/>
              <w:widowControl/>
              <w:jc w:val="center"/>
              <w:rPr>
                <w:rFonts w:ascii="Arial Narrow" w:hAnsi="Arial Narrow"/>
                <w:sz w:val="20"/>
              </w:rPr>
            </w:pPr>
            <w:r w:rsidRPr="004269E4">
              <w:rPr>
                <w:rFonts w:ascii="Arial Narrow" w:hAnsi="Arial Narrow"/>
                <w:sz w:val="20"/>
              </w:rPr>
              <w:t>Clinect Pty Ltd</w:t>
            </w:r>
          </w:p>
        </w:tc>
      </w:tr>
      <w:tr w:rsidR="00FF692F" w:rsidRPr="004269E4" w:rsidTr="00DB28F6">
        <w:trPr>
          <w:cantSplit/>
          <w:trHeight w:val="360"/>
        </w:trPr>
        <w:tc>
          <w:tcPr>
            <w:tcW w:w="9214" w:type="dxa"/>
            <w:gridSpan w:val="7"/>
            <w:tcBorders>
              <w:bottom w:val="single" w:sz="4" w:space="0" w:color="auto"/>
            </w:tcBorders>
          </w:tcPr>
          <w:p w:rsidR="00FF692F" w:rsidRPr="004269E4" w:rsidRDefault="00FF692F" w:rsidP="00DB28F6">
            <w:pPr>
              <w:widowControl/>
              <w:rPr>
                <w:rFonts w:ascii="Arial Narrow" w:hAnsi="Arial Narrow"/>
                <w:snapToGrid/>
                <w:sz w:val="20"/>
                <w:lang w:eastAsia="en-AU"/>
              </w:rPr>
            </w:pP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 xml:space="preserve">Category / </w:t>
            </w:r>
          </w:p>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Section 100 – Highly Specialised Drugs Program</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1"/>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 xml:space="preserve">Dental  </w:t>
            </w:r>
            <w:r w:rsidRPr="004269E4">
              <w:rPr>
                <w:rFonts w:ascii="Arial Narrow" w:hAnsi="Arial Narrow"/>
                <w:snapToGrid/>
                <w:sz w:val="20"/>
                <w:lang w:eastAsia="en-AU"/>
              </w:rPr>
              <w:fldChar w:fldCharType="begin">
                <w:ffData>
                  <w:name w:val=""/>
                  <w:enabled/>
                  <w:calcOnExit w:val="0"/>
                  <w:checkBox>
                    <w:sizeAuto/>
                    <w:default w:val="1"/>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 xml:space="preserve">Medical Practitioners  </w:t>
            </w:r>
            <w:r w:rsidRPr="004269E4">
              <w:rPr>
                <w:rFonts w:ascii="Arial Narrow" w:hAnsi="Arial Narrow"/>
                <w:snapToGrid/>
                <w:sz w:val="20"/>
                <w:lang w:eastAsia="en-AU"/>
              </w:rPr>
              <w:fldChar w:fldCharType="begin">
                <w:ffData>
                  <w:name w:val="Check3"/>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 xml:space="preserve">Nurse practitioners  </w:t>
            </w:r>
            <w:r w:rsidRPr="004269E4">
              <w:rPr>
                <w:rFonts w:ascii="Arial Narrow" w:hAnsi="Arial Narrow"/>
                <w:snapToGrid/>
                <w:sz w:val="20"/>
                <w:lang w:eastAsia="en-AU"/>
              </w:rPr>
              <w:fldChar w:fldCharType="begin">
                <w:ffData>
                  <w:name w:val=""/>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Optometrists</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5"/>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 xml:space="preserve">Midwives </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i/>
                <w:snapToGrid/>
                <w:sz w:val="20"/>
                <w:lang w:eastAsia="en-AU"/>
              </w:rPr>
              <w:t>Chronic  hepatitis C infection</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i/>
                <w:snapToGrid/>
                <w:sz w:val="20"/>
                <w:lang w:eastAsia="en-AU"/>
              </w:rPr>
              <w:t>Chronic  hepatitis C infection</w:t>
            </w:r>
            <w:r w:rsidRPr="004269E4">
              <w:rPr>
                <w:rFonts w:ascii="Arial Narrow" w:hAnsi="Arial Narrow"/>
                <w:i/>
                <w:snapToGrid/>
                <w:sz w:val="20"/>
                <w:highlight w:val="yellow"/>
                <w:lang w:eastAsia="en-AU"/>
              </w:rPr>
              <w:t xml:space="preserve"> </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Treatment phase:</w:t>
            </w:r>
          </w:p>
          <w:p w:rsidR="00FF692F" w:rsidRPr="004269E4" w:rsidRDefault="00FF692F" w:rsidP="00DB28F6">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Initial treatment</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Restriction Level / Method:</w:t>
            </w:r>
          </w:p>
          <w:p w:rsidR="00FF692F" w:rsidRPr="004269E4" w:rsidRDefault="00FF692F" w:rsidP="00DB28F6">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1"/>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Restricted benefit</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
                  <w:enabled/>
                  <w:calcOnExit w:val="0"/>
                  <w:checkBox>
                    <w:sizeAuto/>
                    <w:default w:val="1"/>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Authority Required - In Writing</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3"/>
                  <w:enabled/>
                  <w:calcOnExit w:val="0"/>
                  <w:checkBox>
                    <w:sizeAuto/>
                    <w:default w:val="1"/>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Authority Required - Telephone</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Authority Required – Emergency</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5"/>
                  <w:enabled/>
                  <w:calcOnExit w:val="0"/>
                  <w:checkBox>
                    <w:sizeAuto/>
                    <w:default w:val="0"/>
                  </w:checkBox>
                </w:ffData>
              </w:fldChar>
            </w:r>
            <w:r w:rsidRPr="004269E4">
              <w:rPr>
                <w:rFonts w:ascii="Arial Narrow" w:hAnsi="Arial Narrow"/>
                <w:snapToGrid/>
                <w:sz w:val="20"/>
                <w:lang w:eastAsia="en-AU"/>
              </w:rPr>
              <w:instrText xml:space="preserve"> 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r w:rsidRPr="004269E4">
              <w:rPr>
                <w:rFonts w:ascii="Arial Narrow" w:hAnsi="Arial Narrow"/>
                <w:snapToGrid/>
                <w:sz w:val="20"/>
                <w:lang w:eastAsia="en-AU"/>
              </w:rPr>
              <w:t>Authority Required - Electronic</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fldChar w:fldCharType="begin">
                <w:ffData>
                  <w:name w:val="Check5"/>
                  <w:enabled/>
                  <w:calcOnExit w:val="0"/>
                  <w:checkBox>
                    <w:sizeAuto/>
                    <w:default w:val="1"/>
                  </w:checkBox>
                </w:ffData>
              </w:fldChar>
            </w:r>
            <w:r w:rsidRPr="004269E4">
              <w:rPr>
                <w:rFonts w:ascii="Arial Narrow" w:hAnsi="Arial Narrow"/>
                <w:snapToGrid/>
                <w:sz w:val="20"/>
                <w:lang w:eastAsia="en-AU"/>
              </w:rPr>
              <w:instrText xml:space="preserve"> </w:instrText>
            </w:r>
            <w:bookmarkStart w:id="4" w:name="Check5"/>
            <w:r w:rsidRPr="004269E4">
              <w:rPr>
                <w:rFonts w:ascii="Arial Narrow" w:hAnsi="Arial Narrow"/>
                <w:snapToGrid/>
                <w:sz w:val="20"/>
                <w:lang w:eastAsia="en-AU"/>
              </w:rPr>
              <w:instrText xml:space="preserve">FORMCHECKBOX </w:instrText>
            </w:r>
            <w:r w:rsidR="00F7287E">
              <w:rPr>
                <w:rFonts w:ascii="Arial Narrow" w:hAnsi="Arial Narrow"/>
                <w:snapToGrid/>
                <w:sz w:val="20"/>
                <w:lang w:eastAsia="en-AU"/>
              </w:rPr>
            </w:r>
            <w:r w:rsidR="00F7287E">
              <w:rPr>
                <w:rFonts w:ascii="Arial Narrow" w:hAnsi="Arial Narrow"/>
                <w:snapToGrid/>
                <w:sz w:val="20"/>
                <w:lang w:eastAsia="en-AU"/>
              </w:rPr>
              <w:fldChar w:fldCharType="separate"/>
            </w:r>
            <w:r w:rsidRPr="004269E4">
              <w:rPr>
                <w:rFonts w:ascii="Arial Narrow" w:hAnsi="Arial Narrow"/>
                <w:snapToGrid/>
                <w:sz w:val="20"/>
                <w:lang w:eastAsia="en-AU"/>
              </w:rPr>
              <w:fldChar w:fldCharType="end"/>
            </w:r>
            <w:bookmarkEnd w:id="4"/>
            <w:r w:rsidRPr="004269E4">
              <w:rPr>
                <w:rFonts w:ascii="Arial Narrow" w:hAnsi="Arial Narrow"/>
                <w:snapToGrid/>
                <w:sz w:val="20"/>
                <w:lang w:eastAsia="en-AU"/>
              </w:rPr>
              <w:t>Streamlined</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b/>
                <w:snapToGrid/>
                <w:sz w:val="20"/>
                <w:lang w:eastAsia="en-AU"/>
              </w:rPr>
            </w:pPr>
            <w:r w:rsidRPr="004269E4">
              <w:rPr>
                <w:rFonts w:ascii="Arial Narrow" w:hAnsi="Arial Narrow"/>
                <w:b/>
                <w:snapToGrid/>
                <w:sz w:val="20"/>
                <w:lang w:eastAsia="en-AU"/>
              </w:rPr>
              <w:t>Treatment criteria:</w:t>
            </w:r>
          </w:p>
          <w:p w:rsidR="00FF692F" w:rsidRPr="004269E4" w:rsidRDefault="00FF692F" w:rsidP="00DB28F6">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Must be treated in an accredited treatment centre</w:t>
            </w:r>
          </w:p>
          <w:p w:rsidR="00FF692F" w:rsidRPr="004269E4" w:rsidRDefault="00FF692F" w:rsidP="00DB28F6">
            <w:pPr>
              <w:widowControl/>
              <w:jc w:val="left"/>
              <w:rPr>
                <w:rFonts w:ascii="Arial Narrow" w:hAnsi="Arial Narrow"/>
                <w:snapToGrid/>
                <w:sz w:val="20"/>
                <w:lang w:eastAsia="en-AU"/>
              </w:rPr>
            </w:pP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lastRenderedPageBreak/>
              <w:t>Clinical criteria:</w:t>
            </w:r>
          </w:p>
          <w:p w:rsidR="00FF692F" w:rsidRPr="004269E4" w:rsidRDefault="00FF692F" w:rsidP="00DB28F6">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Patient must have compensated liver disease,</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trike/>
                <w:snapToGrid/>
                <w:sz w:val="20"/>
                <w:lang w:eastAsia="en-AU"/>
              </w:rPr>
            </w:pPr>
            <w:r w:rsidRPr="004269E4">
              <w:rPr>
                <w:rFonts w:ascii="Arial Narrow" w:hAnsi="Arial Narrow"/>
                <w:strike/>
                <w:snapToGrid/>
                <w:sz w:val="20"/>
                <w:lang w:eastAsia="en-AU"/>
              </w:rPr>
              <w:t xml:space="preserve">AND </w:t>
            </w:r>
          </w:p>
          <w:p w:rsidR="00FF692F" w:rsidRPr="004269E4" w:rsidRDefault="00FF692F" w:rsidP="00DB28F6">
            <w:pPr>
              <w:widowControl/>
              <w:jc w:val="left"/>
              <w:rPr>
                <w:rFonts w:ascii="Arial Narrow" w:hAnsi="Arial Narrow"/>
                <w:strike/>
                <w:snapToGrid/>
                <w:sz w:val="20"/>
                <w:lang w:eastAsia="en-AU"/>
              </w:rPr>
            </w:pPr>
          </w:p>
          <w:p w:rsidR="00FF692F" w:rsidRPr="004269E4" w:rsidRDefault="00FF692F" w:rsidP="00DB28F6">
            <w:pPr>
              <w:widowControl/>
              <w:jc w:val="left"/>
              <w:rPr>
                <w:rFonts w:ascii="Arial Narrow" w:hAnsi="Arial Narrow"/>
                <w:strike/>
                <w:snapToGrid/>
                <w:sz w:val="20"/>
                <w:lang w:eastAsia="en-AU"/>
              </w:rPr>
            </w:pPr>
            <w:r w:rsidRPr="004269E4">
              <w:rPr>
                <w:rFonts w:ascii="Arial Narrow" w:hAnsi="Arial Narrow"/>
                <w:strike/>
                <w:snapToGrid/>
                <w:sz w:val="20"/>
                <w:lang w:eastAsia="en-AU"/>
              </w:rPr>
              <w:t xml:space="preserve">Patient must not have received prior </w:t>
            </w:r>
            <w:r w:rsidRPr="004269E4">
              <w:rPr>
                <w:rFonts w:ascii="Arial Narrow" w:hAnsi="Arial Narrow"/>
                <w:i/>
                <w:strike/>
                <w:snapToGrid/>
                <w:sz w:val="20"/>
                <w:lang w:eastAsia="en-AU"/>
              </w:rPr>
              <w:t>interferon alfa or peginterferon alfa treatment for hepatitis C</w:t>
            </w:r>
            <w:r w:rsidRPr="004269E4">
              <w:rPr>
                <w:rFonts w:ascii="Arial Narrow" w:hAnsi="Arial Narrow"/>
                <w:strike/>
                <w:snapToGrid/>
                <w:sz w:val="20"/>
                <w:lang w:eastAsia="en-AU"/>
              </w:rPr>
              <w:t xml:space="preserve"> (with or without sofosbuvir or a protease inhibitor),</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AND</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 xml:space="preserve">The treatment must be in combination with sofosbuvir only, </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trike/>
                <w:snapToGrid/>
                <w:sz w:val="20"/>
                <w:lang w:eastAsia="en-AU"/>
              </w:rPr>
            </w:pPr>
            <w:r w:rsidRPr="004269E4">
              <w:rPr>
                <w:rFonts w:ascii="Arial Narrow" w:hAnsi="Arial Narrow"/>
                <w:strike/>
                <w:snapToGrid/>
                <w:sz w:val="20"/>
                <w:lang w:eastAsia="en-AU"/>
              </w:rPr>
              <w:t>AND</w:t>
            </w:r>
          </w:p>
          <w:p w:rsidR="00FF692F" w:rsidRPr="004269E4" w:rsidRDefault="00FF692F" w:rsidP="00DB28F6">
            <w:pPr>
              <w:widowControl/>
              <w:jc w:val="left"/>
              <w:rPr>
                <w:rFonts w:ascii="Arial Narrow" w:hAnsi="Arial Narrow"/>
                <w:strike/>
                <w:snapToGrid/>
                <w:sz w:val="20"/>
                <w:lang w:eastAsia="en-AU"/>
              </w:rPr>
            </w:pPr>
          </w:p>
          <w:p w:rsidR="00FF692F" w:rsidRPr="004269E4" w:rsidRDefault="00FF692F" w:rsidP="00DB28F6">
            <w:pPr>
              <w:widowControl/>
              <w:jc w:val="left"/>
              <w:rPr>
                <w:rFonts w:ascii="Arial Narrow" w:hAnsi="Arial Narrow"/>
                <w:strike/>
                <w:snapToGrid/>
                <w:sz w:val="20"/>
                <w:lang w:eastAsia="en-AU"/>
              </w:rPr>
            </w:pPr>
            <w:r w:rsidRPr="004269E4">
              <w:rPr>
                <w:rFonts w:ascii="Arial Narrow" w:hAnsi="Arial Narrow"/>
                <w:strike/>
                <w:snapToGrid/>
                <w:sz w:val="20"/>
                <w:lang w:eastAsia="en-AU"/>
              </w:rPr>
              <w:t>The treatment must be limited to a maximum duration of 12 weeks</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trike/>
                <w:snapToGrid/>
                <w:sz w:val="20"/>
                <w:lang w:eastAsia="en-AU"/>
              </w:rPr>
              <w:t>The treatment must be limited to a maximum duration of 24 weeks.</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Population criteria:</w:t>
            </w:r>
          </w:p>
          <w:p w:rsidR="00FF692F" w:rsidRPr="004269E4" w:rsidRDefault="00FF692F" w:rsidP="00DB28F6">
            <w:pPr>
              <w:widowControl/>
              <w:rPr>
                <w:rFonts w:ascii="Arial Narrow" w:hAnsi="Arial Narrow"/>
                <w:i/>
                <w:snapToGrid/>
                <w:sz w:val="20"/>
                <w:lang w:eastAsia="en-AU"/>
              </w:rPr>
            </w:pPr>
          </w:p>
          <w:p w:rsidR="00FF692F" w:rsidRPr="004269E4" w:rsidRDefault="00FF692F" w:rsidP="00DB28F6">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Patient must be 18 years or older,</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AND</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Patient must not be pregnant or breastfeeding. Female partners of male patients must not be pregnant. Patients and their partners must each be using an effective form of contraception if of child-bearing age,</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Prescriber Instructions</w:t>
            </w:r>
          </w:p>
          <w:p w:rsidR="00FF692F" w:rsidRPr="004269E4" w:rsidRDefault="00FF692F" w:rsidP="00DB28F6">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Evidence of chronic hepatitis C infection (repeatedly anti-HCV positive and HCV RNA positive) must be documented in the patient's medical records,</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trike/>
                <w:snapToGrid/>
                <w:sz w:val="20"/>
                <w:lang w:eastAsia="en-AU"/>
              </w:rPr>
            </w:pPr>
            <w:r w:rsidRPr="004269E4">
              <w:rPr>
                <w:rFonts w:ascii="Arial Narrow" w:hAnsi="Arial Narrow"/>
                <w:strike/>
                <w:snapToGrid/>
                <w:sz w:val="20"/>
                <w:lang w:eastAsia="en-AU"/>
              </w:rPr>
              <w:t>AND</w:t>
            </w:r>
          </w:p>
          <w:p w:rsidR="00FF692F" w:rsidRPr="004269E4" w:rsidRDefault="00FF692F" w:rsidP="00DB28F6">
            <w:pPr>
              <w:widowControl/>
              <w:jc w:val="left"/>
              <w:rPr>
                <w:rFonts w:ascii="Arial Narrow" w:hAnsi="Arial Narrow"/>
                <w:strike/>
                <w:snapToGrid/>
                <w:sz w:val="20"/>
                <w:lang w:eastAsia="en-AU"/>
              </w:rPr>
            </w:pP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trike/>
                <w:snapToGrid/>
                <w:sz w:val="20"/>
                <w:lang w:eastAsia="en-AU"/>
              </w:rPr>
              <w:t>A maximum of 2 repeats may be prescribed.</w:t>
            </w:r>
          </w:p>
        </w:tc>
      </w:tr>
      <w:tr w:rsidR="00FF692F" w:rsidRPr="004269E4" w:rsidTr="00DB28F6">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rPr>
                <w:rFonts w:ascii="Arial Narrow" w:hAnsi="Arial Narrow"/>
                <w:b/>
                <w:snapToGrid/>
                <w:sz w:val="20"/>
                <w:lang w:eastAsia="en-AU"/>
              </w:rPr>
            </w:pPr>
            <w:r w:rsidRPr="004269E4">
              <w:rPr>
                <w:rFonts w:ascii="Arial Narrow" w:hAnsi="Arial Narrow"/>
                <w:b/>
                <w:snapToGrid/>
                <w:sz w:val="20"/>
                <w:lang w:eastAsia="en-AU"/>
              </w:rPr>
              <w:t>Administrative Advice</w:t>
            </w:r>
          </w:p>
          <w:p w:rsidR="00FF692F" w:rsidRPr="004269E4" w:rsidRDefault="00FF692F" w:rsidP="00DB28F6">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FF692F" w:rsidRPr="004269E4" w:rsidRDefault="00FF692F" w:rsidP="00DB28F6">
            <w:pPr>
              <w:widowControl/>
              <w:jc w:val="left"/>
              <w:rPr>
                <w:rFonts w:ascii="Arial Narrow" w:hAnsi="Arial Narrow"/>
                <w:snapToGrid/>
                <w:sz w:val="20"/>
                <w:u w:val="single"/>
                <w:lang w:eastAsia="en-AU"/>
              </w:rPr>
            </w:pPr>
            <w:r w:rsidRPr="004269E4">
              <w:rPr>
                <w:rFonts w:ascii="Arial Narrow" w:hAnsi="Arial Narrow"/>
                <w:snapToGrid/>
                <w:sz w:val="20"/>
                <w:u w:val="single"/>
                <w:lang w:eastAsia="en-AU"/>
              </w:rPr>
              <w:t>Note</w:t>
            </w:r>
          </w:p>
          <w:p w:rsidR="00FF692F" w:rsidRPr="004269E4" w:rsidRDefault="00FF692F" w:rsidP="00DB28F6">
            <w:pPr>
              <w:widowControl/>
              <w:jc w:val="left"/>
              <w:rPr>
                <w:rFonts w:ascii="Arial Narrow" w:hAnsi="Arial Narrow"/>
                <w:i/>
                <w:snapToGrid/>
                <w:sz w:val="20"/>
                <w:lang w:eastAsia="en-AU"/>
              </w:rPr>
            </w:pPr>
            <w:r w:rsidRPr="004269E4">
              <w:rPr>
                <w:rFonts w:ascii="Arial Narrow" w:hAnsi="Arial Narrow"/>
                <w:i/>
                <w:snapToGrid/>
                <w:sz w:val="20"/>
                <w:lang w:eastAsia="en-AU"/>
              </w:rPr>
              <w:t>Increased repeats may be requested from the Department of Human Services for patients weighting equal to or greater than 75 kg.</w:t>
            </w: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lang w:eastAsia="en-AU"/>
              </w:rPr>
            </w:pPr>
          </w:p>
          <w:p w:rsidR="00FF692F" w:rsidRPr="004269E4" w:rsidRDefault="00FF692F" w:rsidP="00DB28F6">
            <w:pPr>
              <w:widowControl/>
              <w:jc w:val="left"/>
              <w:rPr>
                <w:rFonts w:ascii="Arial Narrow" w:hAnsi="Arial Narrow"/>
                <w:snapToGrid/>
                <w:sz w:val="20"/>
                <w:u w:val="single"/>
                <w:lang w:eastAsia="en-AU"/>
              </w:rPr>
            </w:pPr>
            <w:r w:rsidRPr="004269E4">
              <w:rPr>
                <w:rFonts w:ascii="Arial Narrow" w:hAnsi="Arial Narrow"/>
                <w:snapToGrid/>
                <w:sz w:val="20"/>
                <w:u w:val="single"/>
                <w:lang w:eastAsia="en-AU"/>
              </w:rPr>
              <w:t>Note</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Treatment centres are required to have access to the following appropriate specialist facilities for the provision of clinical support services for hepatitis C:</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(a) a nurse educator/counsellor for patients; and</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(b) 24-hour access by patients to medical advice; and</w:t>
            </w:r>
          </w:p>
          <w:p w:rsidR="00FF692F" w:rsidRPr="004269E4" w:rsidRDefault="00FF692F" w:rsidP="00DB28F6">
            <w:pPr>
              <w:widowControl/>
              <w:jc w:val="left"/>
              <w:rPr>
                <w:rFonts w:ascii="Arial Narrow" w:hAnsi="Arial Narrow"/>
                <w:snapToGrid/>
                <w:sz w:val="20"/>
                <w:lang w:eastAsia="en-AU"/>
              </w:rPr>
            </w:pPr>
            <w:r w:rsidRPr="004269E4">
              <w:rPr>
                <w:rFonts w:ascii="Arial Narrow" w:hAnsi="Arial Narrow"/>
                <w:snapToGrid/>
                <w:sz w:val="20"/>
                <w:lang w:eastAsia="en-AU"/>
              </w:rPr>
              <w:t>(c) an established liver clinic</w:t>
            </w:r>
          </w:p>
          <w:p w:rsidR="00FF692F" w:rsidRPr="004269E4" w:rsidRDefault="00FF692F" w:rsidP="00DB28F6">
            <w:pPr>
              <w:widowControl/>
              <w:jc w:val="left"/>
              <w:rPr>
                <w:rFonts w:ascii="Arial Narrow" w:hAnsi="Arial Narrow"/>
                <w:snapToGrid/>
                <w:sz w:val="20"/>
                <w:lang w:eastAsia="en-AU"/>
              </w:rPr>
            </w:pPr>
          </w:p>
        </w:tc>
      </w:tr>
    </w:tbl>
    <w:p w:rsidR="00FF692F" w:rsidRPr="004269E4" w:rsidRDefault="00FF692F" w:rsidP="00FF692F">
      <w:pPr>
        <w:widowControl/>
        <w:jc w:val="left"/>
        <w:rPr>
          <w:snapToGrid/>
          <w:szCs w:val="22"/>
          <w:lang w:eastAsia="en-AU"/>
        </w:rPr>
      </w:pPr>
    </w:p>
    <w:p w:rsidR="00B60939" w:rsidRPr="00882085" w:rsidRDefault="00B60939" w:rsidP="004B1CB4"/>
    <w:p w:rsidR="006E30CC" w:rsidRPr="00EB5618" w:rsidRDefault="006E30CC" w:rsidP="006E30CC">
      <w:pPr>
        <w:pStyle w:val="ListParagraph"/>
        <w:widowControl/>
        <w:numPr>
          <w:ilvl w:val="1"/>
          <w:numId w:val="10"/>
        </w:numPr>
        <w:rPr>
          <w:szCs w:val="22"/>
        </w:rPr>
      </w:pPr>
      <w:r w:rsidRPr="00EB5618">
        <w:rPr>
          <w:szCs w:val="22"/>
        </w:rPr>
        <w:t xml:space="preserve">The proposed PBS listing restricted ribavirin to use with sofosbuvir in genotypes 2 and 3 </w:t>
      </w:r>
      <w:r w:rsidR="00B537A5">
        <w:t>Hepatitis C Virus (HCV)</w:t>
      </w:r>
      <w:r w:rsidRPr="00EB5618">
        <w:rPr>
          <w:szCs w:val="22"/>
        </w:rPr>
        <w:t xml:space="preserve">. The </w:t>
      </w:r>
      <w:r w:rsidR="000F6EDB">
        <w:rPr>
          <w:szCs w:val="22"/>
        </w:rPr>
        <w:t>restriction</w:t>
      </w:r>
      <w:r w:rsidRPr="00EB5618">
        <w:rPr>
          <w:szCs w:val="22"/>
        </w:rPr>
        <w:t xml:space="preserve"> </w:t>
      </w:r>
      <w:r w:rsidR="00B537A5">
        <w:rPr>
          <w:szCs w:val="22"/>
        </w:rPr>
        <w:t xml:space="preserve">does not allow </w:t>
      </w:r>
      <w:r w:rsidRPr="00EB5618">
        <w:rPr>
          <w:szCs w:val="22"/>
        </w:rPr>
        <w:t>the use of ribavirin with agents other than sofosbuvir</w:t>
      </w:r>
      <w:r w:rsidRPr="00407E3C">
        <w:rPr>
          <w:szCs w:val="22"/>
        </w:rPr>
        <w:t>.</w:t>
      </w:r>
      <w:r w:rsidR="003E6F0C" w:rsidRPr="00407E3C">
        <w:rPr>
          <w:szCs w:val="22"/>
        </w:rPr>
        <w:t xml:space="preserve"> The ESC noted that </w:t>
      </w:r>
      <w:r w:rsidR="00B5051F" w:rsidRPr="00407E3C">
        <w:rPr>
          <w:szCs w:val="22"/>
        </w:rPr>
        <w:t>ribavirin</w:t>
      </w:r>
      <w:r w:rsidR="003E6F0C" w:rsidRPr="00407E3C">
        <w:rPr>
          <w:szCs w:val="22"/>
        </w:rPr>
        <w:t xml:space="preserve"> has been proposed as adjunctive therapy to improve the SVR or shorten treatment duration for SOF-based and other </w:t>
      </w:r>
      <w:r w:rsidR="00EB5FA5">
        <w:rPr>
          <w:szCs w:val="22"/>
        </w:rPr>
        <w:t>direct acting antiviral (</w:t>
      </w:r>
      <w:r w:rsidR="003E6F0C" w:rsidRPr="00407E3C">
        <w:rPr>
          <w:szCs w:val="22"/>
        </w:rPr>
        <w:t>DAA</w:t>
      </w:r>
      <w:r w:rsidR="00EB5FA5">
        <w:rPr>
          <w:szCs w:val="22"/>
        </w:rPr>
        <w:t>)</w:t>
      </w:r>
      <w:r w:rsidR="003E6F0C" w:rsidRPr="00407E3C">
        <w:rPr>
          <w:szCs w:val="22"/>
        </w:rPr>
        <w:t>-based regimens</w:t>
      </w:r>
      <w:r w:rsidR="00B5051F" w:rsidRPr="00407E3C">
        <w:rPr>
          <w:szCs w:val="22"/>
        </w:rPr>
        <w:t>, which may be precluded with the proposed wording</w:t>
      </w:r>
      <w:r w:rsidR="003E6F0C" w:rsidRPr="00407E3C">
        <w:rPr>
          <w:szCs w:val="22"/>
        </w:rPr>
        <w:t>.</w:t>
      </w:r>
    </w:p>
    <w:p w:rsidR="006E30CC" w:rsidRPr="00EB5618" w:rsidRDefault="006E30CC" w:rsidP="006E30CC">
      <w:pPr>
        <w:pStyle w:val="ListParagraph"/>
        <w:widowControl/>
        <w:rPr>
          <w:szCs w:val="22"/>
        </w:rPr>
      </w:pPr>
    </w:p>
    <w:p w:rsidR="006261C0" w:rsidRDefault="006261C0" w:rsidP="00857ED1">
      <w:pPr>
        <w:pStyle w:val="ListParagraph"/>
        <w:widowControl/>
        <w:numPr>
          <w:ilvl w:val="1"/>
          <w:numId w:val="10"/>
        </w:numPr>
        <w:rPr>
          <w:bCs/>
          <w:szCs w:val="22"/>
        </w:rPr>
      </w:pPr>
      <w:r w:rsidRPr="00667E91">
        <w:rPr>
          <w:bCs/>
          <w:szCs w:val="22"/>
        </w:rPr>
        <w:t>The PBAC recalled the discussion at the Stakeholder meeting (</w:t>
      </w:r>
      <w:r w:rsidRPr="00DF7455">
        <w:rPr>
          <w:bCs/>
          <w:szCs w:val="22"/>
        </w:rPr>
        <w:t>New oral antivirals for the Treatment of Hepatitis C</w:t>
      </w:r>
      <w:r>
        <w:rPr>
          <w:bCs/>
          <w:szCs w:val="22"/>
        </w:rPr>
        <w:t xml:space="preserve">, </w:t>
      </w:r>
      <w:r w:rsidRPr="00667E91">
        <w:rPr>
          <w:bCs/>
          <w:szCs w:val="22"/>
        </w:rPr>
        <w:t xml:space="preserve">February 2014) about the setting patients should be </w:t>
      </w:r>
      <w:r w:rsidRPr="00667E91">
        <w:rPr>
          <w:bCs/>
          <w:szCs w:val="22"/>
        </w:rPr>
        <w:lastRenderedPageBreak/>
        <w:t>treated in. The PBAC considered that it was appropriate that the new all oral treatment</w:t>
      </w:r>
      <w:r>
        <w:rPr>
          <w:bCs/>
          <w:szCs w:val="22"/>
        </w:rPr>
        <w:t xml:space="preserve"> regimens </w:t>
      </w:r>
      <w:r w:rsidRPr="00667E91">
        <w:rPr>
          <w:bCs/>
          <w:szCs w:val="22"/>
        </w:rPr>
        <w:t>be listed in the General Schedule, to facilitated the longer term objectives for access to treatment, increase treatment rates and outcomes with a view to treat al</w:t>
      </w:r>
      <w:r>
        <w:rPr>
          <w:bCs/>
          <w:szCs w:val="22"/>
        </w:rPr>
        <w:t>l patients with CHC over time.</w:t>
      </w:r>
    </w:p>
    <w:p w:rsidR="00550AD4" w:rsidRDefault="00550AD4" w:rsidP="00550AD4">
      <w:pPr>
        <w:pStyle w:val="PBACHeading1"/>
        <w:numPr>
          <w:ilvl w:val="0"/>
          <w:numId w:val="0"/>
        </w:numPr>
      </w:pPr>
    </w:p>
    <w:p w:rsidR="002C2775" w:rsidRDefault="00F73B01" w:rsidP="00F73B01">
      <w:pPr>
        <w:pStyle w:val="ListParagraph"/>
        <w:widowControl/>
        <w:numPr>
          <w:ilvl w:val="1"/>
          <w:numId w:val="10"/>
        </w:numPr>
        <w:rPr>
          <w:szCs w:val="22"/>
        </w:rPr>
      </w:pPr>
      <w:r w:rsidRPr="00EB5618">
        <w:rPr>
          <w:szCs w:val="22"/>
        </w:rPr>
        <w:t>The submission did not provide any economic evaluation to support the requested listing</w:t>
      </w:r>
      <w:r w:rsidR="00B60939" w:rsidRPr="00EB5618">
        <w:rPr>
          <w:szCs w:val="22"/>
        </w:rPr>
        <w:t>.</w:t>
      </w:r>
      <w:r w:rsidR="0020385F" w:rsidRPr="00EB5618">
        <w:rPr>
          <w:szCs w:val="22"/>
        </w:rPr>
        <w:t xml:space="preserve"> </w:t>
      </w:r>
      <w:r w:rsidRPr="00EB5618">
        <w:rPr>
          <w:szCs w:val="22"/>
        </w:rPr>
        <w:t xml:space="preserve">Instead, the submission referred to the sofosbuvir submission for cost-utility analyses of </w:t>
      </w:r>
      <w:r w:rsidR="001B7F68" w:rsidRPr="00EB5618">
        <w:rPr>
          <w:szCs w:val="22"/>
        </w:rPr>
        <w:t>sofosbuvir in combination with ribavirin (</w:t>
      </w:r>
      <w:r w:rsidRPr="00EB5618">
        <w:rPr>
          <w:szCs w:val="22"/>
        </w:rPr>
        <w:t>SOF+R</w:t>
      </w:r>
      <w:r w:rsidR="001B7F68" w:rsidRPr="00EB5618">
        <w:rPr>
          <w:szCs w:val="22"/>
        </w:rPr>
        <w:t>)</w:t>
      </w:r>
      <w:r w:rsidRPr="00EB5618">
        <w:rPr>
          <w:szCs w:val="22"/>
        </w:rPr>
        <w:t xml:space="preserve"> in the intended PBS population.</w:t>
      </w:r>
    </w:p>
    <w:p w:rsidR="004E43B2" w:rsidRPr="00882085" w:rsidRDefault="004E43B2" w:rsidP="004B1CB4"/>
    <w:p w:rsidR="00B50DB8" w:rsidRPr="00407F2D" w:rsidRDefault="00B50DB8" w:rsidP="00BD6CF3">
      <w:pPr>
        <w:pStyle w:val="PBACHeading1"/>
      </w:pPr>
      <w:bookmarkStart w:id="5" w:name="_Toc409593094"/>
      <w:r w:rsidRPr="00407F2D">
        <w:t>Background</w:t>
      </w:r>
      <w:bookmarkEnd w:id="5"/>
    </w:p>
    <w:p w:rsidR="00B60939" w:rsidRPr="00882085" w:rsidRDefault="00B60939" w:rsidP="00B60939">
      <w:pPr>
        <w:rPr>
          <w:szCs w:val="22"/>
        </w:rPr>
      </w:pPr>
    </w:p>
    <w:p w:rsidR="00B60939" w:rsidRPr="003C2271" w:rsidRDefault="007B177F" w:rsidP="00C95BCB">
      <w:pPr>
        <w:pStyle w:val="ListParagraph"/>
        <w:widowControl/>
        <w:numPr>
          <w:ilvl w:val="1"/>
          <w:numId w:val="10"/>
        </w:numPr>
        <w:rPr>
          <w:szCs w:val="22"/>
        </w:rPr>
      </w:pPr>
      <w:r w:rsidRPr="00385399">
        <w:rPr>
          <w:b/>
        </w:rPr>
        <w:t>TGA status</w:t>
      </w:r>
      <w:r w:rsidRPr="00385399">
        <w:t>:</w:t>
      </w:r>
      <w:r w:rsidR="00385399" w:rsidRPr="00385399">
        <w:t xml:space="preserve"> </w:t>
      </w:r>
      <w:r w:rsidR="006E30CC" w:rsidRPr="00385399">
        <w:t xml:space="preserve">The submission was made under TGA/PBAC Parallel Process.  </w:t>
      </w:r>
      <w:r w:rsidR="00385399" w:rsidRPr="00407E3C">
        <w:t xml:space="preserve">The Clinical evaluation report was provided with the Pre-Sub-Committee Response (PSCR). </w:t>
      </w:r>
      <w:r w:rsidR="00C95BCB" w:rsidRPr="00407E3C">
        <w:t xml:space="preserve">The sponsor </w:t>
      </w:r>
      <w:r w:rsidR="00407E3C" w:rsidRPr="00407E3C">
        <w:t>provided the TGA Approval letter with the</w:t>
      </w:r>
      <w:r w:rsidR="00C95BCB" w:rsidRPr="00407E3C">
        <w:t xml:space="preserve"> pre-PBAC response. </w:t>
      </w:r>
    </w:p>
    <w:p w:rsidR="003C2271" w:rsidRPr="003C2271" w:rsidRDefault="003C2271" w:rsidP="003C2271">
      <w:pPr>
        <w:pStyle w:val="PBACHeading1"/>
        <w:numPr>
          <w:ilvl w:val="0"/>
          <w:numId w:val="0"/>
        </w:numPr>
        <w:ind w:left="720" w:hanging="720"/>
      </w:pPr>
    </w:p>
    <w:p w:rsidR="003C2271" w:rsidRPr="00407E3C" w:rsidRDefault="003C2271" w:rsidP="00C95BCB">
      <w:pPr>
        <w:pStyle w:val="ListParagraph"/>
        <w:widowControl/>
        <w:numPr>
          <w:ilvl w:val="1"/>
          <w:numId w:val="10"/>
        </w:numPr>
        <w:rPr>
          <w:szCs w:val="22"/>
        </w:rPr>
      </w:pPr>
      <w:r>
        <w:t xml:space="preserve">The PBAC noted that IBAVYR (ribavirin tablets) </w:t>
      </w:r>
      <w:r w:rsidR="006B246C">
        <w:t>was included on the Australian Register of Therapeutic Goods on the 26 February 2015</w:t>
      </w:r>
      <w:r w:rsidR="00E63DDA">
        <w:t xml:space="preserve">. The indication </w:t>
      </w:r>
      <w:r>
        <w:t xml:space="preserve">is </w:t>
      </w:r>
      <w:r w:rsidR="00E63DDA">
        <w:t>for use</w:t>
      </w:r>
      <w:r>
        <w:t xml:space="preserve"> in combination with other oral agents for the treatment of chronic hepatitis C (CHC) in adults. </w:t>
      </w:r>
    </w:p>
    <w:p w:rsidR="00385399" w:rsidRPr="00385399" w:rsidRDefault="00385399" w:rsidP="00385399">
      <w:pPr>
        <w:pStyle w:val="PBACHeading1"/>
        <w:numPr>
          <w:ilvl w:val="0"/>
          <w:numId w:val="0"/>
        </w:numPr>
        <w:ind w:left="720" w:hanging="720"/>
      </w:pPr>
    </w:p>
    <w:p w:rsidR="00B60939" w:rsidRDefault="006E30CC" w:rsidP="00922131">
      <w:pPr>
        <w:pStyle w:val="ListParagraph"/>
        <w:widowControl/>
        <w:numPr>
          <w:ilvl w:val="1"/>
          <w:numId w:val="10"/>
        </w:numPr>
      </w:pPr>
      <w:r w:rsidRPr="00385399">
        <w:rPr>
          <w:szCs w:val="22"/>
        </w:rPr>
        <w:t xml:space="preserve">This </w:t>
      </w:r>
      <w:r w:rsidR="008F7B8F" w:rsidRPr="00385399">
        <w:rPr>
          <w:szCs w:val="22"/>
        </w:rPr>
        <w:t>wa</w:t>
      </w:r>
      <w:r w:rsidRPr="00385399">
        <w:rPr>
          <w:szCs w:val="22"/>
        </w:rPr>
        <w:t xml:space="preserve">s the first submission for single agent ribavirin </w:t>
      </w:r>
      <w:r w:rsidR="008F7B8F" w:rsidRPr="00385399">
        <w:rPr>
          <w:szCs w:val="22"/>
        </w:rPr>
        <w:t xml:space="preserve">to be listed on the PBS </w:t>
      </w:r>
      <w:r w:rsidRPr="00385399">
        <w:rPr>
          <w:szCs w:val="22"/>
        </w:rPr>
        <w:t>for the treatment of CHC</w:t>
      </w:r>
      <w:r w:rsidR="0098774A" w:rsidRPr="00385399">
        <w:rPr>
          <w:szCs w:val="22"/>
        </w:rPr>
        <w:t xml:space="preserve">.  In July 2014, the PBAC considered the sofosbuvir submission, where for genotypes 2 and 3 HCV, a treatment regimen of sofosbuvir in combination with single agent ribavirin was requested. </w:t>
      </w:r>
      <w:r w:rsidR="00B537A5">
        <w:rPr>
          <w:szCs w:val="22"/>
        </w:rPr>
        <w:t>R</w:t>
      </w:r>
      <w:r w:rsidR="0098774A" w:rsidRPr="00385399">
        <w:rPr>
          <w:szCs w:val="22"/>
        </w:rPr>
        <w:t xml:space="preserve">ibavirin </w:t>
      </w:r>
      <w:r w:rsidR="00B537A5">
        <w:rPr>
          <w:szCs w:val="22"/>
        </w:rPr>
        <w:t>is</w:t>
      </w:r>
      <w:r w:rsidR="0098774A" w:rsidRPr="00385399">
        <w:rPr>
          <w:szCs w:val="22"/>
        </w:rPr>
        <w:t xml:space="preserve"> only available as a component </w:t>
      </w:r>
      <w:r w:rsidR="00D46AF8" w:rsidRPr="00385399">
        <w:rPr>
          <w:szCs w:val="22"/>
        </w:rPr>
        <w:t xml:space="preserve">within </w:t>
      </w:r>
      <w:r w:rsidR="008F7B8F" w:rsidRPr="00385399">
        <w:rPr>
          <w:szCs w:val="22"/>
        </w:rPr>
        <w:t xml:space="preserve">a </w:t>
      </w:r>
      <w:r w:rsidR="00D46AF8" w:rsidRPr="00385399">
        <w:rPr>
          <w:szCs w:val="22"/>
        </w:rPr>
        <w:t>co-package with peginterferon alfa-2a (Pegasys RBV</w:t>
      </w:r>
      <w:r w:rsidR="00D46AF8" w:rsidRPr="00385399">
        <w:rPr>
          <w:szCs w:val="22"/>
          <w:vertAlign w:val="superscript"/>
        </w:rPr>
        <w:t>®</w:t>
      </w:r>
      <w:r w:rsidR="00D46AF8" w:rsidRPr="00385399">
        <w:rPr>
          <w:szCs w:val="22"/>
        </w:rPr>
        <w:t>, Roche Products) or peginterferon alfa-2b (Pegatron</w:t>
      </w:r>
      <w:r w:rsidR="00D46AF8" w:rsidRPr="00385399">
        <w:rPr>
          <w:szCs w:val="22"/>
          <w:vertAlign w:val="superscript"/>
        </w:rPr>
        <w:t>®</w:t>
      </w:r>
      <w:r w:rsidR="00D46AF8" w:rsidRPr="00385399">
        <w:rPr>
          <w:szCs w:val="22"/>
        </w:rPr>
        <w:t>, Merck Sharp &amp; Dohme).</w:t>
      </w:r>
      <w:r w:rsidR="0098774A" w:rsidRPr="00385399">
        <w:rPr>
          <w:szCs w:val="22"/>
        </w:rPr>
        <w:t xml:space="preserve"> </w:t>
      </w:r>
      <w:r w:rsidR="0081738E" w:rsidRPr="00385399">
        <w:rPr>
          <w:szCs w:val="22"/>
        </w:rPr>
        <w:t>The proposed regimen of sofosbuvir + ribavirin</w:t>
      </w:r>
      <w:r w:rsidR="008F7B8F" w:rsidRPr="00385399">
        <w:rPr>
          <w:szCs w:val="22"/>
        </w:rPr>
        <w:t xml:space="preserve"> (SOF+R)</w:t>
      </w:r>
      <w:r w:rsidR="0081738E" w:rsidRPr="00385399">
        <w:rPr>
          <w:szCs w:val="22"/>
        </w:rPr>
        <w:t xml:space="preserve"> in the sofosbuvir submission created a need for ribavirin to be available as a stand-alone medicine to be prescribed along with sofosbuvir for patients who were eligible for peginterferon-free HCV therapy.</w:t>
      </w:r>
      <w:r w:rsidR="006A4370" w:rsidRPr="00385399">
        <w:rPr>
          <w:szCs w:val="22"/>
        </w:rPr>
        <w:t xml:space="preserve"> </w:t>
      </w:r>
      <w:r w:rsidR="006A4370" w:rsidRPr="002C7EA1">
        <w:rPr>
          <w:szCs w:val="22"/>
        </w:rPr>
        <w:t xml:space="preserve">The sponsor of </w:t>
      </w:r>
      <w:r w:rsidR="003F3ACA">
        <w:rPr>
          <w:noProof/>
          <w:color w:val="000000"/>
          <w:szCs w:val="22"/>
          <w:highlight w:val="black"/>
        </w:rPr>
        <w:t xml:space="preserve">''''''''''''''''''''''''' ''''''''''''''' ''''''''''''''''''''''' </w:t>
      </w:r>
      <w:r w:rsidR="006A4370" w:rsidRPr="002C7EA1">
        <w:rPr>
          <w:szCs w:val="22"/>
        </w:rPr>
        <w:t>has formed an international business partnership with</w:t>
      </w:r>
      <w:r w:rsidR="003F3ACA">
        <w:rPr>
          <w:noProof/>
          <w:color w:val="000000"/>
          <w:szCs w:val="22"/>
          <w:highlight w:val="black"/>
        </w:rPr>
        <w:t xml:space="preserve"> ''''''''''''''''''''''''''''''''''''' </w:t>
      </w:r>
      <w:r w:rsidR="006A4370" w:rsidRPr="002C7EA1">
        <w:rPr>
          <w:szCs w:val="22"/>
        </w:rPr>
        <w:t xml:space="preserve">to distribute an existing formulation </w:t>
      </w:r>
      <w:r w:rsidR="003F3ACA">
        <w:rPr>
          <w:noProof/>
          <w:color w:val="000000"/>
          <w:szCs w:val="22"/>
          <w:highlight w:val="black"/>
        </w:rPr>
        <w:t>''''' '''''''''''''''''''' '''' '''''''''''''''''</w:t>
      </w:r>
      <w:r w:rsidR="006A4370" w:rsidRPr="002C7EA1">
        <w:rPr>
          <w:szCs w:val="22"/>
        </w:rPr>
        <w:t xml:space="preserve">. </w:t>
      </w:r>
      <w:r w:rsidR="006A4370" w:rsidRPr="0018112E">
        <w:rPr>
          <w:szCs w:val="22"/>
        </w:rPr>
        <w:t>Clinect Pty Ltd has been appointed as the Australian and New Zealand sponsor for this product.</w:t>
      </w:r>
      <w:r w:rsidR="006A4370" w:rsidRPr="00385399">
        <w:rPr>
          <w:szCs w:val="22"/>
        </w:rPr>
        <w:t xml:space="preserve"> As ribavirin was proposed to be used for a subset of the patient population defined in the sofosbuvir submission which was considered at the July 2014 PBAC meeting, the current ribavirin submission did </w:t>
      </w:r>
      <w:r w:rsidR="00442693" w:rsidRPr="00385399">
        <w:rPr>
          <w:szCs w:val="22"/>
        </w:rPr>
        <w:t xml:space="preserve">not </w:t>
      </w:r>
      <w:r w:rsidR="006A4370" w:rsidRPr="00385399">
        <w:rPr>
          <w:szCs w:val="22"/>
        </w:rPr>
        <w:t>replicate the clinical data or economic analyses presented in the sofosbuvir submission; instead, the July 2014 sofosbuvir submission was referred to with the approval from Gilead Sciences</w:t>
      </w:r>
      <w:r w:rsidR="00385399">
        <w:rPr>
          <w:szCs w:val="22"/>
        </w:rPr>
        <w:t>.</w:t>
      </w:r>
    </w:p>
    <w:p w:rsidR="00E55BB5" w:rsidRPr="00882085" w:rsidRDefault="00E55BB5" w:rsidP="004B1CB4"/>
    <w:p w:rsidR="00B50DB8" w:rsidRPr="00407F2D" w:rsidRDefault="00B50DB8" w:rsidP="00BD6CF3">
      <w:pPr>
        <w:pStyle w:val="PBACHeading1"/>
      </w:pPr>
      <w:bookmarkStart w:id="6" w:name="_Toc409593095"/>
      <w:r w:rsidRPr="00407F2D">
        <w:t>Clinical place for the proposed therapy</w:t>
      </w:r>
      <w:bookmarkEnd w:id="6"/>
    </w:p>
    <w:p w:rsidR="00B60939" w:rsidRPr="00882085" w:rsidRDefault="00B60939" w:rsidP="00B60939">
      <w:pPr>
        <w:rPr>
          <w:szCs w:val="22"/>
        </w:rPr>
      </w:pPr>
    </w:p>
    <w:p w:rsidR="00B60939" w:rsidRPr="000A58B1" w:rsidRDefault="000A58B1" w:rsidP="000A58B1">
      <w:pPr>
        <w:pStyle w:val="ListParagraph"/>
        <w:widowControl/>
        <w:numPr>
          <w:ilvl w:val="1"/>
          <w:numId w:val="10"/>
        </w:numPr>
        <w:rPr>
          <w:szCs w:val="22"/>
        </w:rPr>
      </w:pPr>
      <w:r w:rsidRPr="000A58B1">
        <w:t xml:space="preserve">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 HCV. Currently, </w:t>
      </w:r>
      <w:r w:rsidR="008F7B8F">
        <w:t>HCV g</w:t>
      </w:r>
      <w:r w:rsidR="008F7B8F" w:rsidRPr="000A58B1">
        <w:t>enotype</w:t>
      </w:r>
      <w:r w:rsidR="008F7B8F">
        <w:t>s</w:t>
      </w:r>
      <w:r w:rsidR="008F7B8F" w:rsidRPr="000A58B1">
        <w:t xml:space="preserve"> </w:t>
      </w:r>
      <w:r>
        <w:t xml:space="preserve">2 and </w:t>
      </w:r>
      <w:r w:rsidRPr="000A58B1">
        <w:t xml:space="preserve">3 account for </w:t>
      </w:r>
      <w:r>
        <w:t>about 5-8% and 33</w:t>
      </w:r>
      <w:r w:rsidRPr="000A58B1">
        <w:t>-</w:t>
      </w:r>
      <w:r>
        <w:t>42</w:t>
      </w:r>
      <w:r w:rsidRPr="000A58B1">
        <w:t>% of infections in Australia</w:t>
      </w:r>
      <w:r>
        <w:t xml:space="preserve"> respectively</w:t>
      </w:r>
      <w:r w:rsidRPr="000A58B1">
        <w:t>.</w:t>
      </w:r>
    </w:p>
    <w:p w:rsidR="000A58B1" w:rsidRPr="000A58B1" w:rsidRDefault="000A58B1" w:rsidP="000A58B1">
      <w:pPr>
        <w:pStyle w:val="ListParagraph"/>
        <w:widowControl/>
        <w:rPr>
          <w:szCs w:val="22"/>
        </w:rPr>
      </w:pPr>
    </w:p>
    <w:p w:rsidR="000A58B1" w:rsidRDefault="000A58B1" w:rsidP="000A58B1">
      <w:pPr>
        <w:pStyle w:val="ListParagraph"/>
        <w:widowControl/>
        <w:numPr>
          <w:ilvl w:val="1"/>
          <w:numId w:val="10"/>
        </w:numPr>
        <w:rPr>
          <w:szCs w:val="22"/>
        </w:rPr>
      </w:pPr>
      <w:r>
        <w:lastRenderedPageBreak/>
        <w:t xml:space="preserve">Ribavirin is an oral synthetic nucleoside analogue with antiviral activity. Ribavirin has shown </w:t>
      </w:r>
      <w:r w:rsidRPr="009C0C5B">
        <w:rPr>
          <w:i/>
        </w:rPr>
        <w:t>in vitro</w:t>
      </w:r>
      <w:r>
        <w:t xml:space="preserve"> activity against some ribonucleic acid (RNA) and deoxyribonucleic acid (DNA) viruses. R</w:t>
      </w:r>
      <w:r w:rsidRPr="000B3CD9">
        <w:t xml:space="preserve">ibavirin monotherapy is </w:t>
      </w:r>
      <w:r w:rsidRPr="00771374">
        <w:t>not effective and must only be</w:t>
      </w:r>
      <w:r w:rsidRPr="000B3CD9">
        <w:t xml:space="preserve"> used in combination with other agents for the treatment of CHC</w:t>
      </w:r>
      <w:r>
        <w:t>.</w:t>
      </w:r>
    </w:p>
    <w:p w:rsidR="000A58B1" w:rsidRPr="000A58B1" w:rsidRDefault="000A58B1" w:rsidP="000A58B1">
      <w:pPr>
        <w:pStyle w:val="ListParagraph"/>
        <w:rPr>
          <w:szCs w:val="22"/>
        </w:rPr>
      </w:pPr>
    </w:p>
    <w:p w:rsidR="000A58B1" w:rsidRPr="00B50DB8" w:rsidRDefault="000A58B1" w:rsidP="000A58B1">
      <w:pPr>
        <w:pStyle w:val="ListParagraph"/>
        <w:widowControl/>
        <w:numPr>
          <w:ilvl w:val="1"/>
          <w:numId w:val="10"/>
        </w:numPr>
        <w:rPr>
          <w:szCs w:val="22"/>
        </w:rPr>
      </w:pPr>
      <w:r w:rsidRPr="000A58B1">
        <w:rPr>
          <w:szCs w:val="22"/>
        </w:rPr>
        <w:t xml:space="preserve">Sofosbuvir in combination with ribavirin provides a therapeutic option for treatment naïve </w:t>
      </w:r>
      <w:r>
        <w:rPr>
          <w:szCs w:val="22"/>
        </w:rPr>
        <w:t xml:space="preserve">and experienced </w:t>
      </w:r>
      <w:r w:rsidRPr="000A58B1">
        <w:rPr>
          <w:szCs w:val="22"/>
        </w:rPr>
        <w:t xml:space="preserve">patients with </w:t>
      </w:r>
      <w:r w:rsidR="008F7B8F" w:rsidRPr="000A58B1">
        <w:rPr>
          <w:szCs w:val="22"/>
        </w:rPr>
        <w:t xml:space="preserve">HCV </w:t>
      </w:r>
      <w:r w:rsidRPr="000A58B1">
        <w:rPr>
          <w:szCs w:val="22"/>
        </w:rPr>
        <w:t>genotypes 2 or 3.</w:t>
      </w:r>
    </w:p>
    <w:p w:rsidR="00E55BB5" w:rsidRPr="00882085" w:rsidRDefault="00E55BB5" w:rsidP="00B60939">
      <w:pPr>
        <w:pStyle w:val="Header"/>
        <w:rPr>
          <w:szCs w:val="22"/>
        </w:rPr>
      </w:pPr>
    </w:p>
    <w:p w:rsidR="00B50DB8" w:rsidRPr="00407F2D" w:rsidRDefault="00B50DB8" w:rsidP="000959E4">
      <w:pPr>
        <w:pStyle w:val="PBACHeading1"/>
      </w:pPr>
      <w:bookmarkStart w:id="7" w:name="_Toc409593096"/>
      <w:r w:rsidRPr="00407F2D">
        <w:t>Comparator</w:t>
      </w:r>
      <w:bookmarkEnd w:id="7"/>
    </w:p>
    <w:p w:rsidR="00B60939" w:rsidRPr="00882085" w:rsidRDefault="00B60939" w:rsidP="004B1CB4"/>
    <w:p w:rsidR="001B7F68" w:rsidRPr="001B7F68" w:rsidRDefault="001B7F68" w:rsidP="001B7F68">
      <w:pPr>
        <w:pStyle w:val="ListParagraph"/>
        <w:widowControl/>
        <w:numPr>
          <w:ilvl w:val="1"/>
          <w:numId w:val="10"/>
        </w:numPr>
        <w:rPr>
          <w:szCs w:val="22"/>
        </w:rPr>
      </w:pPr>
      <w:r w:rsidRPr="001B7F68">
        <w:t xml:space="preserve">The submission nominated ‘no treatment’ as the main comparator for all patients for whom listing </w:t>
      </w:r>
      <w:r w:rsidR="008F7B8F">
        <w:t>wa</w:t>
      </w:r>
      <w:r w:rsidRPr="001B7F68">
        <w:t>s sought for ribavirin, except those with genotype 2 CHC who were eligible for interferon-containing therapy</w:t>
      </w:r>
      <w:r w:rsidR="00E65E2D">
        <w:t>. F</w:t>
      </w:r>
      <w:r w:rsidRPr="001B7F68">
        <w:t xml:space="preserve">or </w:t>
      </w:r>
      <w:r w:rsidR="00E65E2D">
        <w:t>this latter</w:t>
      </w:r>
      <w:r w:rsidRPr="001B7F68">
        <w:t xml:space="preserve"> population the proposed comparator was </w:t>
      </w:r>
      <w:r>
        <w:t xml:space="preserve">peginterferon and ribavirin (PR) for 24 weeks </w:t>
      </w:r>
      <w:r w:rsidRPr="001B7F68">
        <w:t>(contingent upon an undetectable result by an HCV RNA assay at week 12).</w:t>
      </w:r>
      <w:r>
        <w:t xml:space="preserve"> </w:t>
      </w:r>
    </w:p>
    <w:p w:rsidR="001B7F68" w:rsidRPr="001B7F68" w:rsidRDefault="001B7F68" w:rsidP="001B7F68">
      <w:pPr>
        <w:pStyle w:val="ListParagraph"/>
        <w:widowControl/>
        <w:rPr>
          <w:szCs w:val="22"/>
        </w:rPr>
      </w:pPr>
    </w:p>
    <w:p w:rsidR="002C2775" w:rsidRPr="00407E3C" w:rsidRDefault="001B7F68" w:rsidP="00857ED1">
      <w:pPr>
        <w:pStyle w:val="ListParagraph"/>
        <w:widowControl/>
        <w:numPr>
          <w:ilvl w:val="1"/>
          <w:numId w:val="10"/>
        </w:numPr>
        <w:rPr>
          <w:szCs w:val="22"/>
        </w:rPr>
      </w:pPr>
      <w:r w:rsidRPr="00EB5618">
        <w:t xml:space="preserve">PR </w:t>
      </w:r>
      <w:r w:rsidR="00E65E2D" w:rsidRPr="00EB5618">
        <w:t>would be</w:t>
      </w:r>
      <w:r w:rsidRPr="00EB5618">
        <w:t xml:space="preserve"> an appropriate comparator for those patients who are currently seeking active HCV treatment.</w:t>
      </w:r>
      <w:r w:rsidR="00F067A2" w:rsidRPr="00EB5618">
        <w:t xml:space="preserve">  </w:t>
      </w:r>
      <w:r w:rsidR="00E65E2D" w:rsidRPr="00EB5618">
        <w:t xml:space="preserve">However, when </w:t>
      </w:r>
      <w:r w:rsidR="00E63DDA">
        <w:t>assessing</w:t>
      </w:r>
      <w:r w:rsidR="00E65E2D" w:rsidRPr="00EB5618">
        <w:t xml:space="preserve"> other interferon-free treatments t</w:t>
      </w:r>
      <w:r w:rsidRPr="00EB5618">
        <w:t xml:space="preserve">he PBAC </w:t>
      </w:r>
      <w:r w:rsidR="00E65E2D" w:rsidRPr="00EB5618">
        <w:t xml:space="preserve">had previously </w:t>
      </w:r>
      <w:r w:rsidRPr="00EB5618">
        <w:t xml:space="preserve">considered that </w:t>
      </w:r>
      <w:r w:rsidRPr="00EB5618">
        <w:rPr>
          <w:szCs w:val="22"/>
        </w:rPr>
        <w:t xml:space="preserve">the appropriate comparator </w:t>
      </w:r>
      <w:r w:rsidR="00E65E2D" w:rsidRPr="00EB5618">
        <w:rPr>
          <w:szCs w:val="22"/>
        </w:rPr>
        <w:t>would be ‘</w:t>
      </w:r>
      <w:r w:rsidRPr="00EB5618">
        <w:rPr>
          <w:szCs w:val="22"/>
        </w:rPr>
        <w:t>no treatment</w:t>
      </w:r>
      <w:r w:rsidR="00E65E2D" w:rsidRPr="00EB5618">
        <w:rPr>
          <w:szCs w:val="22"/>
        </w:rPr>
        <w:t>’</w:t>
      </w:r>
      <w:r w:rsidRPr="00EB5618">
        <w:rPr>
          <w:szCs w:val="22"/>
        </w:rPr>
        <w:t xml:space="preserve"> in view of the broader context of infected individuals whose treatment preference is interferon-free therapies</w:t>
      </w:r>
      <w:r w:rsidR="00AC4A33" w:rsidRPr="00EB5618">
        <w:rPr>
          <w:szCs w:val="22"/>
        </w:rPr>
        <w:t xml:space="preserve"> (</w:t>
      </w:r>
      <w:r w:rsidR="00F9194B" w:rsidRPr="00EB5618">
        <w:rPr>
          <w:szCs w:val="22"/>
        </w:rPr>
        <w:t>D</w:t>
      </w:r>
      <w:r w:rsidR="00AC4A33" w:rsidRPr="00EB5618">
        <w:rPr>
          <w:szCs w:val="22"/>
        </w:rPr>
        <w:t xml:space="preserve">raft </w:t>
      </w:r>
      <w:r w:rsidR="00F9194B" w:rsidRPr="00EB5618">
        <w:rPr>
          <w:szCs w:val="22"/>
        </w:rPr>
        <w:t>Public Summary D</w:t>
      </w:r>
      <w:r w:rsidR="00AC4A33" w:rsidRPr="00EB5618">
        <w:rPr>
          <w:szCs w:val="22"/>
        </w:rPr>
        <w:t>ocument (PSD) – July 2014 PBAC meeting, 5.17 Sofosbuvir)</w:t>
      </w:r>
      <w:r w:rsidRPr="00EB5618">
        <w:rPr>
          <w:szCs w:val="22"/>
        </w:rPr>
        <w:t>.</w:t>
      </w:r>
      <w:r w:rsidR="00DF57FA" w:rsidRPr="00DF57FA">
        <w:rPr>
          <w:i/>
          <w:szCs w:val="22"/>
        </w:rPr>
        <w:t xml:space="preserve"> </w:t>
      </w:r>
      <w:r w:rsidR="00DF57FA" w:rsidRPr="00407E3C">
        <w:rPr>
          <w:szCs w:val="22"/>
        </w:rPr>
        <w:t xml:space="preserve">The </w:t>
      </w:r>
      <w:r w:rsidR="00381503">
        <w:rPr>
          <w:szCs w:val="22"/>
        </w:rPr>
        <w:t xml:space="preserve">PBAC agreed with </w:t>
      </w:r>
      <w:r w:rsidR="00DF57FA" w:rsidRPr="00407E3C">
        <w:rPr>
          <w:szCs w:val="22"/>
        </w:rPr>
        <w:t>ESC that the most relevant comparator was no treatment.</w:t>
      </w:r>
    </w:p>
    <w:p w:rsidR="00FA6D74" w:rsidRPr="00407E3C" w:rsidRDefault="00FA6D74" w:rsidP="00DF5D2B">
      <w:pPr>
        <w:rPr>
          <w:szCs w:val="22"/>
        </w:rPr>
      </w:pPr>
    </w:p>
    <w:p w:rsidR="00B50DB8" w:rsidRPr="00407F2D" w:rsidRDefault="00BD6CF3" w:rsidP="00BD6CF3">
      <w:pPr>
        <w:pStyle w:val="PBACHeading1"/>
      </w:pPr>
      <w:bookmarkStart w:id="8" w:name="_Toc409593097"/>
      <w:r>
        <w:t>C</w:t>
      </w:r>
      <w:r w:rsidR="00B50DB8" w:rsidRPr="00407F2D">
        <w:t>onsideration of the evidence</w:t>
      </w:r>
      <w:bookmarkEnd w:id="8"/>
    </w:p>
    <w:p w:rsidR="00407E3C" w:rsidRDefault="00407E3C" w:rsidP="00407E3C">
      <w:pPr>
        <w:rPr>
          <w:b/>
          <w:i/>
          <w:szCs w:val="22"/>
        </w:rPr>
      </w:pPr>
    </w:p>
    <w:p w:rsidR="00407E3C" w:rsidRPr="00857ED1" w:rsidRDefault="00407E3C" w:rsidP="009A72E5">
      <w:pPr>
        <w:pStyle w:val="Heading2"/>
      </w:pPr>
      <w:r w:rsidRPr="00857ED1">
        <w:t>Sponsor hearing</w:t>
      </w:r>
    </w:p>
    <w:p w:rsidR="00407E3C" w:rsidRPr="00882085" w:rsidRDefault="00407E3C" w:rsidP="00407E3C">
      <w:pPr>
        <w:ind w:left="709"/>
        <w:rPr>
          <w:b/>
          <w:szCs w:val="22"/>
        </w:rPr>
      </w:pPr>
    </w:p>
    <w:p w:rsidR="00407E3C" w:rsidRDefault="00407E3C" w:rsidP="00407E3C">
      <w:pPr>
        <w:pStyle w:val="ListParagraph"/>
        <w:widowControl/>
        <w:numPr>
          <w:ilvl w:val="1"/>
          <w:numId w:val="10"/>
        </w:numPr>
        <w:rPr>
          <w:szCs w:val="22"/>
        </w:rPr>
      </w:pPr>
      <w:r>
        <w:rPr>
          <w:szCs w:val="22"/>
        </w:rPr>
        <w:t>The</w:t>
      </w:r>
      <w:r w:rsidR="00381503">
        <w:rPr>
          <w:szCs w:val="22"/>
        </w:rPr>
        <w:t>re was no hearing for this item</w:t>
      </w:r>
      <w:r>
        <w:rPr>
          <w:szCs w:val="22"/>
        </w:rPr>
        <w:t>.</w:t>
      </w:r>
    </w:p>
    <w:p w:rsidR="00407E3C" w:rsidRDefault="00407E3C" w:rsidP="00407E3C">
      <w:pPr>
        <w:pStyle w:val="ListParagraph"/>
        <w:ind w:left="709"/>
        <w:rPr>
          <w:szCs w:val="22"/>
        </w:rPr>
      </w:pPr>
    </w:p>
    <w:p w:rsidR="00407E3C" w:rsidRPr="00857ED1" w:rsidRDefault="00407E3C" w:rsidP="009A72E5">
      <w:pPr>
        <w:pStyle w:val="Heading2"/>
      </w:pPr>
      <w:r w:rsidRPr="00857ED1">
        <w:t>Consumer comments</w:t>
      </w:r>
    </w:p>
    <w:p w:rsidR="00407E3C" w:rsidRDefault="00407E3C" w:rsidP="00407E3C">
      <w:pPr>
        <w:pStyle w:val="ListParagraph"/>
        <w:ind w:left="709"/>
        <w:rPr>
          <w:szCs w:val="22"/>
        </w:rPr>
      </w:pPr>
    </w:p>
    <w:p w:rsidR="00E650D2" w:rsidRDefault="00E650D2" w:rsidP="00E650D2">
      <w:pPr>
        <w:pStyle w:val="ListParagraph"/>
        <w:widowControl/>
        <w:numPr>
          <w:ilvl w:val="1"/>
          <w:numId w:val="10"/>
        </w:numPr>
        <w:rPr>
          <w:szCs w:val="22"/>
        </w:rPr>
      </w:pPr>
      <w:r w:rsidRPr="008C3416">
        <w:rPr>
          <w:szCs w:val="22"/>
        </w:rPr>
        <w:t>The PBAC noted and welcomed the input from individuals (</w:t>
      </w:r>
      <w:r>
        <w:rPr>
          <w:szCs w:val="22"/>
        </w:rPr>
        <w:t>172</w:t>
      </w:r>
      <w:r w:rsidRPr="008C3416">
        <w:rPr>
          <w:szCs w:val="22"/>
        </w:rPr>
        <w:t>), health care professionals (</w:t>
      </w:r>
      <w:r>
        <w:rPr>
          <w:szCs w:val="22"/>
        </w:rPr>
        <w:t>16</w:t>
      </w:r>
      <w:r w:rsidRPr="008C3416">
        <w:rPr>
          <w:szCs w:val="22"/>
        </w:rPr>
        <w:t>) and organisations (</w:t>
      </w:r>
      <w:r>
        <w:rPr>
          <w:szCs w:val="22"/>
        </w:rPr>
        <w:t>18</w:t>
      </w:r>
      <w:r w:rsidRPr="008C3416">
        <w:rPr>
          <w:szCs w:val="22"/>
        </w:rPr>
        <w:t>) via the Consumer Comments facility on the PBS website.</w:t>
      </w:r>
      <w:r>
        <w:rPr>
          <w:szCs w:val="22"/>
        </w:rPr>
        <w:t xml:space="preserve"> </w:t>
      </w:r>
      <w:r w:rsidRPr="008C3416">
        <w:rPr>
          <w:szCs w:val="22"/>
        </w:rPr>
        <w:t xml:space="preserve">The PBAC noted the correspondence from </w:t>
      </w:r>
      <w:r>
        <w:rPr>
          <w:szCs w:val="22"/>
        </w:rPr>
        <w:t>the Gastroenterological Society of Australia (</w:t>
      </w:r>
      <w:r w:rsidRPr="008C3416">
        <w:rPr>
          <w:szCs w:val="22"/>
        </w:rPr>
        <w:t>GESA</w:t>
      </w:r>
      <w:r>
        <w:rPr>
          <w:szCs w:val="22"/>
        </w:rPr>
        <w:t>)</w:t>
      </w:r>
      <w:r w:rsidRPr="008C3416">
        <w:rPr>
          <w:szCs w:val="22"/>
        </w:rPr>
        <w:t xml:space="preserve"> on use of D</w:t>
      </w:r>
      <w:r>
        <w:rPr>
          <w:szCs w:val="22"/>
        </w:rPr>
        <w:t>A</w:t>
      </w:r>
      <w:r w:rsidRPr="008C3416">
        <w:rPr>
          <w:szCs w:val="22"/>
        </w:rPr>
        <w:t>As in the treatment of patients with liver cirrhosis and severe portal hypertension, decompensated liver disease, or patients post liver transplant. The large number of comments highlighted the benefit of the availability of a curative treatment that should be made available for all infected individual</w:t>
      </w:r>
      <w:r>
        <w:rPr>
          <w:szCs w:val="22"/>
        </w:rPr>
        <w:t>s and</w:t>
      </w:r>
      <w:r w:rsidRPr="008C3416">
        <w:rPr>
          <w:szCs w:val="22"/>
        </w:rPr>
        <w:t xml:space="preserve"> the improved quality of life as well as the side effects associated with the current treatments</w:t>
      </w:r>
      <w:r>
        <w:rPr>
          <w:szCs w:val="22"/>
        </w:rPr>
        <w:t xml:space="preserve"> that would be </w:t>
      </w:r>
      <w:r w:rsidRPr="00A77EDF">
        <w:rPr>
          <w:szCs w:val="22"/>
        </w:rPr>
        <w:t>avoided</w:t>
      </w:r>
      <w:r w:rsidRPr="008C3416">
        <w:rPr>
          <w:szCs w:val="22"/>
        </w:rPr>
        <w:t xml:space="preserve">. The PBAC noted the patient preference for treatments with shorter durations, such </w:t>
      </w:r>
      <w:r>
        <w:rPr>
          <w:szCs w:val="22"/>
        </w:rPr>
        <w:t xml:space="preserve">as </w:t>
      </w:r>
      <w:r w:rsidRPr="008C3416">
        <w:rPr>
          <w:szCs w:val="22"/>
        </w:rPr>
        <w:t xml:space="preserve">12 weeks compared to 24 weeks.  </w:t>
      </w:r>
    </w:p>
    <w:p w:rsidR="00E650D2" w:rsidRDefault="00E650D2" w:rsidP="00E650D2">
      <w:pPr>
        <w:pStyle w:val="PBACHeading1"/>
        <w:numPr>
          <w:ilvl w:val="0"/>
          <w:numId w:val="0"/>
        </w:numPr>
        <w:ind w:left="720" w:hanging="720"/>
      </w:pPr>
    </w:p>
    <w:p w:rsidR="00E650D2" w:rsidRDefault="00E650D2" w:rsidP="00E650D2">
      <w:pPr>
        <w:pStyle w:val="ListParagraph"/>
        <w:widowControl/>
        <w:numPr>
          <w:ilvl w:val="1"/>
          <w:numId w:val="10"/>
        </w:numPr>
      </w:pPr>
      <w:r>
        <w:t>Repres</w:t>
      </w:r>
      <w:r w:rsidR="00B537A5">
        <w:t xml:space="preserve">entatives of the PBAC met with </w:t>
      </w:r>
      <w:r>
        <w:t>Hepatitis Australia, Hepatitis NSW, the Australian Injecting and the Illicit Drug User’s League prior to the PBAC meeting, and reported the following key points to the PBAC in relation to the agenda items for the treatment of Hepatitis C</w:t>
      </w:r>
      <w:r w:rsidR="003826EB">
        <w:t>.</w:t>
      </w:r>
    </w:p>
    <w:p w:rsidR="00E650D2" w:rsidRDefault="00E650D2" w:rsidP="00D661B9">
      <w:pPr>
        <w:pStyle w:val="ListParagraph"/>
        <w:keepNext/>
        <w:keepLines/>
        <w:widowControl/>
        <w:numPr>
          <w:ilvl w:val="1"/>
          <w:numId w:val="43"/>
        </w:numPr>
      </w:pPr>
      <w:r>
        <w:lastRenderedPageBreak/>
        <w:t xml:space="preserve">The high burden of disease associated with </w:t>
      </w:r>
      <w:r w:rsidR="00B537A5">
        <w:t xml:space="preserve">HCV </w:t>
      </w:r>
      <w:r>
        <w:t>infection was noted, and the urgent need for new treatments acknowledged.  The significant adverse reactions associated with interferon-based therapies effectively eliminate these regimens as an option for some patients.</w:t>
      </w:r>
    </w:p>
    <w:p w:rsidR="00E650D2" w:rsidRDefault="00E650D2" w:rsidP="00E650D2">
      <w:pPr>
        <w:pStyle w:val="ListParagraph"/>
        <w:widowControl/>
        <w:numPr>
          <w:ilvl w:val="1"/>
          <w:numId w:val="43"/>
        </w:numPr>
        <w:spacing w:before="240"/>
      </w:pPr>
      <w:r>
        <w:t xml:space="preserve">Concern about not having any treatment (the so-called “warehousing” practice adopted by clinicians), lack of access to transient elastography (including </w:t>
      </w:r>
      <w:r w:rsidRPr="00F37D60">
        <w:t>FibroScan</w:t>
      </w:r>
      <w:r w:rsidRPr="00F37D60">
        <w:rPr>
          <w:vertAlign w:val="superscript"/>
        </w:rPr>
        <w:t>®</w:t>
      </w:r>
      <w:r>
        <w:t xml:space="preserve">) and the lack of adequate follow-up for patients that are “warehoused” (i.e. where the patient is monitored but treatment is delayed).  A complex referral system does not work for many groups of Hepatitis C patients – for example, it was quoted in the meeting that in the ACT only 28 patients have had access to treatment in the previous 12 months. </w:t>
      </w:r>
    </w:p>
    <w:p w:rsidR="00E650D2" w:rsidRDefault="00E650D2" w:rsidP="00E650D2">
      <w:pPr>
        <w:pStyle w:val="ListParagraph"/>
        <w:widowControl/>
        <w:numPr>
          <w:ilvl w:val="1"/>
          <w:numId w:val="43"/>
        </w:numPr>
      </w:pPr>
      <w:r>
        <w:t xml:space="preserve">Community expectation with regard to the new drugs for Hepatitis C is high, and there is a high level of anticipation with patients keenly aware that these drugs are available in markets outside Australia.  It was noted that these expectations were in place for a significant time before the sponsors chose to make reimbursement submissions to the PBAC.  </w:t>
      </w:r>
    </w:p>
    <w:p w:rsidR="00E650D2" w:rsidRDefault="00E650D2" w:rsidP="00E650D2">
      <w:pPr>
        <w:pStyle w:val="ListParagraph"/>
        <w:widowControl/>
        <w:numPr>
          <w:ilvl w:val="1"/>
          <w:numId w:val="43"/>
        </w:numPr>
      </w:pPr>
      <w:r>
        <w:t xml:space="preserve">Co-ordinated treatment of HCV, particularly moving towards the control (and potentially elimination) of the virus, would require health-system-wide approaches that are outside the remit of the PBAC.  </w:t>
      </w:r>
    </w:p>
    <w:p w:rsidR="00E650D2" w:rsidRDefault="00E650D2" w:rsidP="00E650D2">
      <w:pPr>
        <w:pStyle w:val="ListParagraph"/>
        <w:widowControl/>
        <w:numPr>
          <w:ilvl w:val="1"/>
          <w:numId w:val="43"/>
        </w:numPr>
      </w:pPr>
      <w:r>
        <w:t xml:space="preserve">As the PBAC can recommend the circumstances under which PBS subsidy may be granted, elements such as whether to limit prescribing to specialists would be considered in potentially widening access.  The PBAC particularly noted the advice of consumer groups that a PBS listing that limited access based on disease severity would not be supported.  A listing that allowed broad access was favoured.  </w:t>
      </w:r>
    </w:p>
    <w:p w:rsidR="00E650D2" w:rsidRDefault="00E650D2" w:rsidP="00E650D2">
      <w:pPr>
        <w:pStyle w:val="ListParagraph"/>
        <w:widowControl/>
        <w:numPr>
          <w:ilvl w:val="1"/>
          <w:numId w:val="43"/>
        </w:numPr>
      </w:pPr>
      <w:r>
        <w:t>It was also noted that representatives felt that these drugs should be assessed for their capacity for providing a cure within a 12 week period, not as longer term treatment strategies.</w:t>
      </w:r>
    </w:p>
    <w:p w:rsidR="00E650D2" w:rsidRDefault="00E650D2" w:rsidP="00E650D2">
      <w:pPr>
        <w:widowControl/>
      </w:pPr>
    </w:p>
    <w:p w:rsidR="00E650D2" w:rsidRDefault="00E650D2" w:rsidP="00E650D2">
      <w:pPr>
        <w:pStyle w:val="ListParagraph"/>
        <w:widowControl/>
        <w:numPr>
          <w:ilvl w:val="1"/>
          <w:numId w:val="10"/>
        </w:numPr>
        <w:rPr>
          <w:szCs w:val="22"/>
        </w:rPr>
      </w:pPr>
      <w:r>
        <w:t>The PBAC noted and welcomed this input.</w:t>
      </w:r>
    </w:p>
    <w:p w:rsidR="001B44BE" w:rsidRPr="00381503" w:rsidRDefault="001B44BE" w:rsidP="001B44BE">
      <w:pPr>
        <w:pStyle w:val="PBACHeading1"/>
        <w:numPr>
          <w:ilvl w:val="0"/>
          <w:numId w:val="0"/>
        </w:numPr>
        <w:ind w:left="720" w:hanging="720"/>
      </w:pPr>
    </w:p>
    <w:p w:rsidR="00B60939" w:rsidRPr="001B44BE" w:rsidRDefault="00407E3C" w:rsidP="00407E3C">
      <w:r w:rsidRPr="001B44BE">
        <w:t>For more detail on PBAC’s view, see section 7 “PBAC outcome</w:t>
      </w:r>
    </w:p>
    <w:p w:rsidR="00407E3C" w:rsidRDefault="00407E3C" w:rsidP="002C2775">
      <w:pPr>
        <w:pStyle w:val="Heading2"/>
        <w:rPr>
          <w:i/>
        </w:rPr>
      </w:pPr>
      <w:bookmarkStart w:id="9" w:name="_Toc409593098"/>
    </w:p>
    <w:p w:rsidR="00B60939" w:rsidRPr="00857ED1" w:rsidRDefault="00B60939" w:rsidP="002C2775">
      <w:pPr>
        <w:pStyle w:val="Heading2"/>
      </w:pPr>
      <w:r w:rsidRPr="00857ED1">
        <w:t>Clinical trials</w:t>
      </w:r>
      <w:bookmarkEnd w:id="9"/>
    </w:p>
    <w:p w:rsidR="00B60939" w:rsidRPr="00882085" w:rsidRDefault="00B60939" w:rsidP="00B60939">
      <w:pPr>
        <w:rPr>
          <w:szCs w:val="22"/>
        </w:rPr>
      </w:pPr>
    </w:p>
    <w:p w:rsidR="007F1017" w:rsidRPr="00EB5618" w:rsidRDefault="001B7F68" w:rsidP="00765867">
      <w:pPr>
        <w:pStyle w:val="ListParagraph"/>
        <w:widowControl/>
        <w:numPr>
          <w:ilvl w:val="1"/>
          <w:numId w:val="10"/>
        </w:numPr>
        <w:rPr>
          <w:szCs w:val="22"/>
        </w:rPr>
      </w:pPr>
      <w:r w:rsidRPr="00EB5618">
        <w:t>The submission did not provide any clinical evidence in support of the combination treatment of SOF+R for treatment of genotypes 2 and 3 HCV infection, but referred to the sofosbuvir submission considered at the July 2014 PBAC meeting for relevant data on the effectiveness and safety of SOF+R in the proposed PBS population.</w:t>
      </w:r>
      <w:r w:rsidR="00702F8F" w:rsidRPr="00EB5618">
        <w:rPr>
          <w:color w:val="3366FF"/>
        </w:rPr>
        <w:t xml:space="preserve">  </w:t>
      </w:r>
    </w:p>
    <w:p w:rsidR="00862502" w:rsidRPr="00862502" w:rsidRDefault="00862502" w:rsidP="00862502">
      <w:pPr>
        <w:widowControl/>
        <w:rPr>
          <w:szCs w:val="22"/>
        </w:rPr>
      </w:pPr>
    </w:p>
    <w:p w:rsidR="00B60939" w:rsidRPr="00857ED1" w:rsidRDefault="00B60939" w:rsidP="002C2775">
      <w:pPr>
        <w:pStyle w:val="Heading2"/>
      </w:pPr>
      <w:bookmarkStart w:id="10" w:name="_Toc409593099"/>
      <w:r w:rsidRPr="00857ED1">
        <w:t>Economic analysis</w:t>
      </w:r>
      <w:bookmarkEnd w:id="10"/>
      <w:r w:rsidR="00491B3A" w:rsidRPr="00857ED1">
        <w:t xml:space="preserve"> </w:t>
      </w:r>
    </w:p>
    <w:p w:rsidR="00B60939" w:rsidRPr="00EB5618" w:rsidRDefault="00B60939" w:rsidP="00B60939">
      <w:pPr>
        <w:ind w:left="720" w:hanging="720"/>
        <w:rPr>
          <w:szCs w:val="22"/>
        </w:rPr>
      </w:pPr>
    </w:p>
    <w:p w:rsidR="00B60939" w:rsidRPr="00EB5618" w:rsidRDefault="00D46AF8" w:rsidP="00765867">
      <w:pPr>
        <w:pStyle w:val="ListParagraph"/>
        <w:widowControl/>
        <w:numPr>
          <w:ilvl w:val="1"/>
          <w:numId w:val="10"/>
        </w:numPr>
        <w:rPr>
          <w:szCs w:val="22"/>
        </w:rPr>
      </w:pPr>
      <w:r w:rsidRPr="00EB5618">
        <w:t>The submission referred to the sofosbuvir submission for cost-utility analyses of SOF+R in the intended PBS population.</w:t>
      </w:r>
    </w:p>
    <w:p w:rsidR="00275C5A" w:rsidRPr="00EB5618" w:rsidRDefault="00275C5A" w:rsidP="00275C5A">
      <w:pPr>
        <w:widowControl/>
        <w:rPr>
          <w:szCs w:val="22"/>
        </w:rPr>
      </w:pPr>
    </w:p>
    <w:p w:rsidR="004123AA" w:rsidRPr="004123AA" w:rsidRDefault="00673B64" w:rsidP="00F9194B">
      <w:pPr>
        <w:pStyle w:val="ListParagraph"/>
        <w:widowControl/>
        <w:numPr>
          <w:ilvl w:val="1"/>
          <w:numId w:val="10"/>
        </w:numPr>
        <w:rPr>
          <w:szCs w:val="22"/>
        </w:rPr>
      </w:pPr>
      <w:r w:rsidRPr="00EB5618">
        <w:t xml:space="preserve">The proposed price for ribavirin in the submission was not based on any economic </w:t>
      </w:r>
      <w:r w:rsidR="00E65E2D" w:rsidRPr="00EB5618">
        <w:t>analysis; it was derived from</w:t>
      </w:r>
      <w:r w:rsidRPr="00EB5618">
        <w:t xml:space="preserve"> external reference pricing (also known as international reference pricing). </w:t>
      </w:r>
      <w:r w:rsidR="00B537A5">
        <w:t>The</w:t>
      </w:r>
      <w:r w:rsidRPr="00EB5618">
        <w:t xml:space="preserve"> limitations </w:t>
      </w:r>
      <w:r w:rsidR="0085146C" w:rsidRPr="00EB5618">
        <w:t>of</w:t>
      </w:r>
      <w:r w:rsidRPr="00EB5618">
        <w:t xml:space="preserve"> exter</w:t>
      </w:r>
      <w:r w:rsidR="00B537A5">
        <w:t>nal reference pricing, include</w:t>
      </w:r>
      <w:r w:rsidRPr="00EB5618">
        <w:t xml:space="preserve"> </w:t>
      </w:r>
      <w:r w:rsidR="00E65E2D" w:rsidRPr="00EB5618">
        <w:t xml:space="preserve">the impact of </w:t>
      </w:r>
      <w:r w:rsidRPr="00EB5618">
        <w:t>c</w:t>
      </w:r>
      <w:r w:rsidR="00F9194B" w:rsidRPr="00EB5618">
        <w:t>onfidential price agreements,</w:t>
      </w:r>
      <w:r w:rsidRPr="00EB5618">
        <w:t xml:space="preserve"> the heterogeneous nature of distributors’ profit margins, taxes</w:t>
      </w:r>
      <w:r w:rsidR="000F6EDB">
        <w:t>, supply chain mark-ups</w:t>
      </w:r>
      <w:r w:rsidR="00F9194B" w:rsidRPr="00EB5618">
        <w:t xml:space="preserve">, and differences in the burden of disease, indications, willingness and ability </w:t>
      </w:r>
      <w:r w:rsidR="00580F54" w:rsidRPr="00EB5618">
        <w:t>to pay and market structure/size</w:t>
      </w:r>
      <w:r w:rsidR="00C44802">
        <w:t>.</w:t>
      </w:r>
      <w:r w:rsidRPr="00EB5618">
        <w:t xml:space="preserve"> </w:t>
      </w:r>
    </w:p>
    <w:p w:rsidR="004123AA" w:rsidRDefault="004123AA" w:rsidP="004123AA">
      <w:pPr>
        <w:pStyle w:val="ListParagraph"/>
      </w:pPr>
    </w:p>
    <w:p w:rsidR="00C25D9C" w:rsidRPr="00857ED1" w:rsidRDefault="00C25D9C" w:rsidP="002C2775">
      <w:pPr>
        <w:pStyle w:val="Heading2"/>
        <w:rPr>
          <w:szCs w:val="22"/>
        </w:rPr>
      </w:pPr>
      <w:bookmarkStart w:id="11" w:name="_Toc409593100"/>
      <w:r w:rsidRPr="00857ED1">
        <w:t>Drug cost/patient/course</w:t>
      </w:r>
      <w:bookmarkEnd w:id="11"/>
    </w:p>
    <w:p w:rsidR="00C25D9C" w:rsidRPr="00C25D9C" w:rsidRDefault="00C25D9C" w:rsidP="00C25D9C">
      <w:pPr>
        <w:widowControl/>
        <w:rPr>
          <w:szCs w:val="22"/>
        </w:rPr>
      </w:pPr>
    </w:p>
    <w:p w:rsidR="0085146C" w:rsidRPr="0085146C" w:rsidRDefault="0085146C" w:rsidP="00765867">
      <w:pPr>
        <w:pStyle w:val="ListParagraph"/>
        <w:widowControl/>
        <w:numPr>
          <w:ilvl w:val="1"/>
          <w:numId w:val="10"/>
        </w:numPr>
        <w:rPr>
          <w:szCs w:val="22"/>
        </w:rPr>
      </w:pPr>
      <w:r>
        <w:rPr>
          <w:szCs w:val="24"/>
        </w:rPr>
        <w:t>T</w:t>
      </w:r>
      <w:r w:rsidRPr="00616141">
        <w:rPr>
          <w:szCs w:val="24"/>
        </w:rPr>
        <w:t>he</w:t>
      </w:r>
      <w:r>
        <w:rPr>
          <w:szCs w:val="24"/>
        </w:rPr>
        <w:t xml:space="preserve"> costs for ribavirin </w:t>
      </w:r>
      <w:r w:rsidRPr="00616141">
        <w:rPr>
          <w:szCs w:val="24"/>
        </w:rPr>
        <w:t xml:space="preserve">using the </w:t>
      </w:r>
      <w:r>
        <w:rPr>
          <w:szCs w:val="24"/>
        </w:rPr>
        <w:t>dispensed price for maximum quantity (</w:t>
      </w:r>
      <w:r w:rsidRPr="00616141">
        <w:rPr>
          <w:szCs w:val="24"/>
        </w:rPr>
        <w:t>DPMQ</w:t>
      </w:r>
      <w:r>
        <w:rPr>
          <w:szCs w:val="24"/>
        </w:rPr>
        <w:t>)</w:t>
      </w:r>
      <w:r w:rsidR="00146BEE">
        <w:rPr>
          <w:szCs w:val="24"/>
        </w:rPr>
        <w:t xml:space="preserve"> suggested by the sponsor</w:t>
      </w:r>
      <w:r w:rsidRPr="00616141">
        <w:rPr>
          <w:szCs w:val="24"/>
        </w:rPr>
        <w:t xml:space="preserve"> </w:t>
      </w:r>
      <w:r>
        <w:rPr>
          <w:szCs w:val="24"/>
        </w:rPr>
        <w:t>were estimated to be:</w:t>
      </w:r>
    </w:p>
    <w:p w:rsidR="0085146C" w:rsidRPr="00A93D1C" w:rsidRDefault="0085146C" w:rsidP="0085146C">
      <w:pPr>
        <w:pStyle w:val="ListParagraph"/>
        <w:numPr>
          <w:ilvl w:val="0"/>
          <w:numId w:val="22"/>
        </w:numPr>
        <w:rPr>
          <w:szCs w:val="24"/>
        </w:rPr>
      </w:pPr>
      <w:r w:rsidRPr="00A93D1C">
        <w:rPr>
          <w:szCs w:val="24"/>
        </w:rPr>
        <w:t>$</w:t>
      </w:r>
      <w:r w:rsidR="003F3ACA">
        <w:rPr>
          <w:noProof/>
          <w:color w:val="000000"/>
          <w:szCs w:val="24"/>
          <w:highlight w:val="black"/>
        </w:rPr>
        <w:t>'''''''''''''</w:t>
      </w:r>
      <w:r w:rsidRPr="00A93D1C">
        <w:rPr>
          <w:szCs w:val="24"/>
        </w:rPr>
        <w:t xml:space="preserve"> for the 12-week regimen for patients weighing &lt;75kg;</w:t>
      </w:r>
    </w:p>
    <w:p w:rsidR="0085146C" w:rsidRPr="00A93D1C" w:rsidRDefault="0085146C" w:rsidP="0085146C">
      <w:pPr>
        <w:pStyle w:val="ListParagraph"/>
        <w:numPr>
          <w:ilvl w:val="0"/>
          <w:numId w:val="22"/>
        </w:numPr>
        <w:rPr>
          <w:szCs w:val="24"/>
        </w:rPr>
      </w:pPr>
      <w:r w:rsidRPr="00A93D1C">
        <w:rPr>
          <w:szCs w:val="24"/>
        </w:rPr>
        <w:t>$</w:t>
      </w:r>
      <w:r w:rsidR="003F3ACA">
        <w:rPr>
          <w:noProof/>
          <w:color w:val="000000"/>
          <w:szCs w:val="24"/>
          <w:highlight w:val="black"/>
        </w:rPr>
        <w:t>''''''''''''</w:t>
      </w:r>
      <w:r w:rsidRPr="00A93D1C">
        <w:rPr>
          <w:szCs w:val="24"/>
        </w:rPr>
        <w:t xml:space="preserve"> for the 12-week regimen for patients weighing ≥75kg;</w:t>
      </w:r>
    </w:p>
    <w:p w:rsidR="0085146C" w:rsidRPr="00A93D1C" w:rsidRDefault="0085146C" w:rsidP="0085146C">
      <w:pPr>
        <w:pStyle w:val="ListParagraph"/>
        <w:numPr>
          <w:ilvl w:val="0"/>
          <w:numId w:val="22"/>
        </w:numPr>
        <w:rPr>
          <w:szCs w:val="24"/>
        </w:rPr>
      </w:pPr>
      <w:r w:rsidRPr="00A93D1C">
        <w:rPr>
          <w:szCs w:val="24"/>
        </w:rPr>
        <w:t>$</w:t>
      </w:r>
      <w:r w:rsidR="003F3ACA">
        <w:rPr>
          <w:noProof/>
          <w:color w:val="000000"/>
          <w:szCs w:val="24"/>
          <w:highlight w:val="black"/>
        </w:rPr>
        <w:t>'''''''''''''</w:t>
      </w:r>
      <w:r w:rsidRPr="00A93D1C">
        <w:rPr>
          <w:szCs w:val="24"/>
        </w:rPr>
        <w:t xml:space="preserve"> for the 24-week regimen for patients weighing &lt;75kg; and </w:t>
      </w:r>
    </w:p>
    <w:p w:rsidR="0085146C" w:rsidRPr="003F7406" w:rsidRDefault="0085146C" w:rsidP="0085146C">
      <w:pPr>
        <w:pStyle w:val="ListParagraph"/>
        <w:numPr>
          <w:ilvl w:val="0"/>
          <w:numId w:val="22"/>
        </w:numPr>
        <w:rPr>
          <w:szCs w:val="24"/>
        </w:rPr>
      </w:pPr>
      <w:r w:rsidRPr="00A93D1C">
        <w:rPr>
          <w:szCs w:val="24"/>
        </w:rPr>
        <w:t>$</w:t>
      </w:r>
      <w:r w:rsidR="003F3ACA">
        <w:rPr>
          <w:noProof/>
          <w:color w:val="000000"/>
          <w:szCs w:val="24"/>
          <w:highlight w:val="black"/>
        </w:rPr>
        <w:t>'''''''''''''''</w:t>
      </w:r>
      <w:r>
        <w:rPr>
          <w:szCs w:val="24"/>
        </w:rPr>
        <w:t xml:space="preserve"> for the 24-week regimen for patients weighing ≥75kg.</w:t>
      </w:r>
    </w:p>
    <w:p w:rsidR="0085146C" w:rsidRPr="0085146C" w:rsidRDefault="0085146C" w:rsidP="0085146C">
      <w:pPr>
        <w:pStyle w:val="ListParagraph"/>
        <w:widowControl/>
        <w:rPr>
          <w:szCs w:val="22"/>
        </w:rPr>
      </w:pPr>
    </w:p>
    <w:p w:rsidR="00B60939" w:rsidRPr="00857ED1" w:rsidRDefault="00B60939" w:rsidP="002C2775">
      <w:pPr>
        <w:pStyle w:val="Heading2"/>
      </w:pPr>
      <w:bookmarkStart w:id="12" w:name="_Toc409593101"/>
      <w:r w:rsidRPr="00857ED1">
        <w:t>Estimated PBS usage &amp; financial implications</w:t>
      </w:r>
      <w:bookmarkEnd w:id="12"/>
    </w:p>
    <w:p w:rsidR="00B60939" w:rsidRPr="00882085" w:rsidRDefault="00B60939" w:rsidP="00B60939">
      <w:pPr>
        <w:ind w:left="720" w:hanging="720"/>
        <w:rPr>
          <w:b/>
          <w:i/>
          <w:szCs w:val="22"/>
        </w:rPr>
      </w:pPr>
    </w:p>
    <w:p w:rsidR="00AD34AE" w:rsidRPr="00AD34AE" w:rsidRDefault="00C25D9C" w:rsidP="00765867">
      <w:pPr>
        <w:pStyle w:val="ListParagraph"/>
        <w:widowControl/>
        <w:numPr>
          <w:ilvl w:val="1"/>
          <w:numId w:val="10"/>
        </w:numPr>
        <w:rPr>
          <w:szCs w:val="22"/>
        </w:rPr>
      </w:pPr>
      <w:r>
        <w:t xml:space="preserve">This submission </w:t>
      </w:r>
      <w:r w:rsidR="00146BEE">
        <w:t xml:space="preserve">was </w:t>
      </w:r>
      <w:r>
        <w:t>not considered by DUSC</w:t>
      </w:r>
      <w:r w:rsidRPr="00B50DB8">
        <w:rPr>
          <w:color w:val="0070C0"/>
        </w:rPr>
        <w:t xml:space="preserve">.  </w:t>
      </w:r>
    </w:p>
    <w:p w:rsidR="00AD34AE" w:rsidRPr="00AD34AE" w:rsidRDefault="00AD34AE" w:rsidP="00AD34AE">
      <w:pPr>
        <w:pStyle w:val="ListParagraph"/>
        <w:widowControl/>
        <w:rPr>
          <w:szCs w:val="22"/>
        </w:rPr>
      </w:pPr>
    </w:p>
    <w:p w:rsidR="00AD34AE" w:rsidRPr="00EB5618" w:rsidRDefault="00AD34AE" w:rsidP="00527E59">
      <w:pPr>
        <w:pStyle w:val="ListParagraph"/>
        <w:widowControl/>
        <w:numPr>
          <w:ilvl w:val="1"/>
          <w:numId w:val="10"/>
        </w:numPr>
        <w:rPr>
          <w:szCs w:val="22"/>
        </w:rPr>
      </w:pPr>
      <w:r w:rsidRPr="00EB5618">
        <w:t xml:space="preserve">The submission used an epidemiological approach to estimate the expected financial impact of listing single agent ribavirin for use in combination with sofosbuvir. </w:t>
      </w:r>
      <w:r w:rsidR="00482E53" w:rsidRPr="00EB5618">
        <w:t>The majority of these data sources and/or assumptions were similar to those in the July 2014 sofosbuvir submission, with some revis</w:t>
      </w:r>
      <w:r w:rsidR="00146BEE" w:rsidRPr="00EB5618">
        <w:t>ed</w:t>
      </w:r>
      <w:r w:rsidR="00482E53" w:rsidRPr="00EB5618">
        <w:t xml:space="preserve"> estimat</w:t>
      </w:r>
      <w:r w:rsidR="00146BEE" w:rsidRPr="00EB5618">
        <w:t>es concern</w:t>
      </w:r>
      <w:r w:rsidR="00482E53" w:rsidRPr="00EB5618">
        <w:t xml:space="preserve">ing the use of </w:t>
      </w:r>
      <w:r w:rsidR="00146BEE" w:rsidRPr="00EB5618">
        <w:t xml:space="preserve">the </w:t>
      </w:r>
      <w:r w:rsidR="00482E53" w:rsidRPr="00EB5618">
        <w:t>interferon-free regimen in patients with genotype 3 CHC. The estimated use and financial implications are summarised</w:t>
      </w:r>
      <w:r w:rsidR="00F26F8F" w:rsidRPr="00EB5618">
        <w:t xml:space="preserve"> in </w:t>
      </w:r>
      <w:r w:rsidR="00873CFA">
        <w:t>the table below</w:t>
      </w:r>
      <w:r w:rsidR="00482E53" w:rsidRPr="00EB5618">
        <w:t>.</w:t>
      </w:r>
      <w:r w:rsidR="00873CFA">
        <w:t xml:space="preserve"> </w:t>
      </w:r>
      <w:r w:rsidR="00873CFA" w:rsidRPr="00873CFA">
        <w:t xml:space="preserve">At year 5, the estimated number of patients was </w:t>
      </w:r>
      <w:r w:rsidR="00527E59" w:rsidRPr="00527E59">
        <w:t>less than 10,000 per year</w:t>
      </w:r>
      <w:r w:rsidR="00873CFA" w:rsidRPr="00873CFA">
        <w:t xml:space="preserve"> and the net cost to the PBS would be </w:t>
      </w:r>
      <w:r w:rsidR="00527E59" w:rsidRPr="00527E59">
        <w:t>$10 – $20 million per year</w:t>
      </w:r>
      <w:r w:rsidR="00873CFA">
        <w:t xml:space="preserve">. </w:t>
      </w:r>
    </w:p>
    <w:p w:rsidR="00AD34AE" w:rsidRPr="0091703D" w:rsidRDefault="00AD34AE" w:rsidP="00AD34AE">
      <w:pPr>
        <w:pStyle w:val="ListParagraph"/>
        <w:rPr>
          <w:szCs w:val="22"/>
        </w:rPr>
      </w:pPr>
    </w:p>
    <w:p w:rsidR="00C25D9C" w:rsidRPr="0091703D" w:rsidRDefault="00C25D9C" w:rsidP="005D044D">
      <w:pPr>
        <w:ind w:firstLine="709"/>
        <w:rPr>
          <w:rStyle w:val="CommentReference"/>
        </w:rPr>
      </w:pPr>
      <w:r w:rsidRPr="0091703D">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4"/>
        <w:gridCol w:w="1275"/>
        <w:gridCol w:w="1275"/>
        <w:gridCol w:w="1260"/>
      </w:tblGrid>
      <w:tr w:rsidR="00C25D9C" w:rsidRPr="0091703D" w:rsidTr="005D044D">
        <w:trPr>
          <w:tblHeader/>
        </w:trPr>
        <w:tc>
          <w:tcPr>
            <w:tcW w:w="1359" w:type="pct"/>
            <w:shd w:val="clear" w:color="auto" w:fill="auto"/>
            <w:vAlign w:val="center"/>
          </w:tcPr>
          <w:p w:rsidR="00C25D9C" w:rsidRPr="0091703D"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91703D" w:rsidRDefault="00C25D9C" w:rsidP="00B8649C">
            <w:pPr>
              <w:jc w:val="center"/>
              <w:rPr>
                <w:rFonts w:ascii="Arial Narrow" w:hAnsi="Arial Narrow"/>
                <w:b/>
                <w:sz w:val="20"/>
              </w:rPr>
            </w:pPr>
            <w:r w:rsidRPr="0091703D">
              <w:rPr>
                <w:rFonts w:ascii="Arial Narrow" w:hAnsi="Arial Narrow"/>
                <w:b/>
                <w:sz w:val="20"/>
              </w:rPr>
              <w:t>Year 1</w:t>
            </w:r>
          </w:p>
        </w:tc>
        <w:tc>
          <w:tcPr>
            <w:tcW w:w="679" w:type="pct"/>
            <w:shd w:val="clear" w:color="auto" w:fill="auto"/>
            <w:vAlign w:val="center"/>
          </w:tcPr>
          <w:p w:rsidR="00C25D9C" w:rsidRPr="0091703D" w:rsidRDefault="00C25D9C" w:rsidP="00B8649C">
            <w:pPr>
              <w:jc w:val="center"/>
              <w:rPr>
                <w:rFonts w:ascii="Arial Narrow" w:hAnsi="Arial Narrow"/>
                <w:b/>
                <w:sz w:val="20"/>
              </w:rPr>
            </w:pPr>
            <w:r w:rsidRPr="0091703D">
              <w:rPr>
                <w:rFonts w:ascii="Arial Narrow" w:hAnsi="Arial Narrow"/>
                <w:b/>
                <w:sz w:val="20"/>
              </w:rPr>
              <w:t>Year 2</w:t>
            </w:r>
          </w:p>
        </w:tc>
        <w:tc>
          <w:tcPr>
            <w:tcW w:w="764" w:type="pct"/>
            <w:shd w:val="clear" w:color="auto" w:fill="auto"/>
            <w:vAlign w:val="center"/>
          </w:tcPr>
          <w:p w:rsidR="00C25D9C" w:rsidRPr="0091703D" w:rsidRDefault="00C25D9C" w:rsidP="00B8649C">
            <w:pPr>
              <w:jc w:val="center"/>
              <w:rPr>
                <w:rFonts w:ascii="Arial Narrow" w:hAnsi="Arial Narrow"/>
                <w:b/>
                <w:sz w:val="20"/>
              </w:rPr>
            </w:pPr>
            <w:r w:rsidRPr="0091703D">
              <w:rPr>
                <w:rFonts w:ascii="Arial Narrow" w:hAnsi="Arial Narrow"/>
                <w:b/>
                <w:sz w:val="20"/>
              </w:rPr>
              <w:t>Year 3</w:t>
            </w:r>
          </w:p>
        </w:tc>
        <w:tc>
          <w:tcPr>
            <w:tcW w:w="764" w:type="pct"/>
            <w:shd w:val="clear" w:color="auto" w:fill="auto"/>
            <w:vAlign w:val="center"/>
          </w:tcPr>
          <w:p w:rsidR="00C25D9C" w:rsidRPr="0091703D" w:rsidRDefault="00C25D9C" w:rsidP="00B8649C">
            <w:pPr>
              <w:jc w:val="center"/>
              <w:rPr>
                <w:rFonts w:ascii="Arial Narrow" w:hAnsi="Arial Narrow"/>
                <w:b/>
                <w:sz w:val="20"/>
              </w:rPr>
            </w:pPr>
            <w:r w:rsidRPr="0091703D">
              <w:rPr>
                <w:rFonts w:ascii="Arial Narrow" w:hAnsi="Arial Narrow"/>
                <w:b/>
                <w:sz w:val="20"/>
              </w:rPr>
              <w:t>Year 4</w:t>
            </w:r>
          </w:p>
        </w:tc>
        <w:tc>
          <w:tcPr>
            <w:tcW w:w="755" w:type="pct"/>
            <w:shd w:val="clear" w:color="auto" w:fill="auto"/>
            <w:vAlign w:val="center"/>
          </w:tcPr>
          <w:p w:rsidR="00C25D9C" w:rsidRPr="0091703D" w:rsidRDefault="00C25D9C" w:rsidP="00B8649C">
            <w:pPr>
              <w:jc w:val="center"/>
              <w:rPr>
                <w:rFonts w:ascii="Arial Narrow" w:hAnsi="Arial Narrow"/>
                <w:b/>
                <w:sz w:val="20"/>
              </w:rPr>
            </w:pPr>
            <w:r w:rsidRPr="0091703D">
              <w:rPr>
                <w:rFonts w:ascii="Arial Narrow" w:hAnsi="Arial Narrow"/>
                <w:b/>
                <w:sz w:val="20"/>
              </w:rPr>
              <w:t>Year 5</w:t>
            </w:r>
          </w:p>
        </w:tc>
      </w:tr>
      <w:tr w:rsidR="00C25D9C" w:rsidRPr="0091703D" w:rsidTr="005D044D">
        <w:tc>
          <w:tcPr>
            <w:tcW w:w="5000" w:type="pct"/>
            <w:gridSpan w:val="6"/>
            <w:shd w:val="clear" w:color="auto" w:fill="auto"/>
            <w:vAlign w:val="center"/>
          </w:tcPr>
          <w:p w:rsidR="00C25D9C" w:rsidRPr="0091703D" w:rsidRDefault="00C25D9C" w:rsidP="00B8649C">
            <w:pPr>
              <w:jc w:val="left"/>
              <w:rPr>
                <w:rFonts w:ascii="Arial Narrow" w:hAnsi="Arial Narrow"/>
                <w:b/>
                <w:bCs/>
                <w:color w:val="000000"/>
                <w:sz w:val="20"/>
              </w:rPr>
            </w:pPr>
            <w:r w:rsidRPr="0091703D">
              <w:rPr>
                <w:rFonts w:ascii="Arial Narrow" w:hAnsi="Arial Narrow"/>
                <w:b/>
                <w:bCs/>
                <w:color w:val="000000"/>
                <w:sz w:val="20"/>
              </w:rPr>
              <w:t>Estimated extent of use</w:t>
            </w:r>
          </w:p>
        </w:tc>
      </w:tr>
      <w:tr w:rsidR="009356A1" w:rsidRPr="0091703D" w:rsidTr="00BA55A3">
        <w:tc>
          <w:tcPr>
            <w:tcW w:w="1359" w:type="pct"/>
            <w:shd w:val="clear" w:color="auto" w:fill="auto"/>
            <w:vAlign w:val="center"/>
          </w:tcPr>
          <w:p w:rsidR="009356A1" w:rsidRPr="0091703D" w:rsidRDefault="00D33AB7" w:rsidP="0091703D">
            <w:pPr>
              <w:tabs>
                <w:tab w:val="left" w:pos="142"/>
              </w:tabs>
              <w:ind w:left="256"/>
              <w:jc w:val="left"/>
              <w:rPr>
                <w:rFonts w:ascii="Arial Narrow" w:hAnsi="Arial Narrow"/>
                <w:sz w:val="20"/>
              </w:rPr>
            </w:pPr>
            <w:r>
              <w:rPr>
                <w:rFonts w:ascii="Arial Narrow" w:hAnsi="Arial Narrow"/>
                <w:sz w:val="20"/>
              </w:rPr>
              <w:t>In g</w:t>
            </w:r>
            <w:r w:rsidR="00215986">
              <w:rPr>
                <w:rFonts w:ascii="Arial Narrow" w:hAnsi="Arial Narrow"/>
                <w:sz w:val="20"/>
              </w:rPr>
              <w:t>enotype 2</w:t>
            </w:r>
          </w:p>
        </w:tc>
        <w:tc>
          <w:tcPr>
            <w:tcW w:w="679"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r>
      <w:tr w:rsidR="009356A1" w:rsidRPr="0091703D" w:rsidTr="00BA55A3">
        <w:tc>
          <w:tcPr>
            <w:tcW w:w="1359" w:type="pct"/>
            <w:shd w:val="clear" w:color="auto" w:fill="auto"/>
            <w:vAlign w:val="center"/>
          </w:tcPr>
          <w:p w:rsidR="009356A1" w:rsidRPr="0091703D" w:rsidRDefault="00D33AB7" w:rsidP="00215986">
            <w:pPr>
              <w:tabs>
                <w:tab w:val="left" w:pos="142"/>
              </w:tabs>
              <w:ind w:left="256"/>
              <w:jc w:val="left"/>
              <w:rPr>
                <w:rFonts w:ascii="Arial Narrow" w:hAnsi="Arial Narrow"/>
                <w:sz w:val="20"/>
              </w:rPr>
            </w:pPr>
            <w:r>
              <w:rPr>
                <w:rFonts w:ascii="Arial Narrow" w:hAnsi="Arial Narrow"/>
                <w:sz w:val="20"/>
              </w:rPr>
              <w:t>In g</w:t>
            </w:r>
            <w:r w:rsidR="00215986">
              <w:rPr>
                <w:rFonts w:ascii="Arial Narrow" w:hAnsi="Arial Narrow"/>
                <w:sz w:val="20"/>
              </w:rPr>
              <w:t>enotype 3</w:t>
            </w:r>
          </w:p>
        </w:tc>
        <w:tc>
          <w:tcPr>
            <w:tcW w:w="679"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9356A1"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r>
      <w:tr w:rsidR="009356A1" w:rsidRPr="0091703D" w:rsidTr="00BA55A3">
        <w:tc>
          <w:tcPr>
            <w:tcW w:w="1359" w:type="pct"/>
            <w:shd w:val="clear" w:color="auto" w:fill="auto"/>
            <w:vAlign w:val="center"/>
          </w:tcPr>
          <w:p w:rsidR="009356A1" w:rsidRPr="0091703D" w:rsidRDefault="009356A1" w:rsidP="00215986">
            <w:pPr>
              <w:tabs>
                <w:tab w:val="left" w:pos="142"/>
              </w:tabs>
              <w:jc w:val="left"/>
              <w:rPr>
                <w:rFonts w:ascii="Arial Narrow" w:hAnsi="Arial Narrow"/>
                <w:b/>
                <w:sz w:val="20"/>
              </w:rPr>
            </w:pPr>
            <w:r w:rsidRPr="0091703D">
              <w:rPr>
                <w:rFonts w:ascii="Arial Narrow" w:hAnsi="Arial Narrow"/>
                <w:b/>
                <w:sz w:val="20"/>
              </w:rPr>
              <w:t xml:space="preserve">Total </w:t>
            </w:r>
          </w:p>
        </w:tc>
        <w:tc>
          <w:tcPr>
            <w:tcW w:w="679" w:type="pct"/>
            <w:shd w:val="clear" w:color="auto" w:fill="auto"/>
          </w:tcPr>
          <w:p w:rsidR="009356A1"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679" w:type="pct"/>
            <w:shd w:val="clear" w:color="auto" w:fill="auto"/>
          </w:tcPr>
          <w:p w:rsidR="009356A1"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64" w:type="pct"/>
            <w:shd w:val="clear" w:color="auto" w:fill="auto"/>
          </w:tcPr>
          <w:p w:rsidR="009356A1"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55" w:type="pct"/>
            <w:shd w:val="clear" w:color="auto" w:fill="auto"/>
          </w:tcPr>
          <w:p w:rsidR="009356A1"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r>
      <w:tr w:rsidR="007507A4" w:rsidRPr="0091703D" w:rsidTr="007507A4">
        <w:tc>
          <w:tcPr>
            <w:tcW w:w="5000" w:type="pct"/>
            <w:gridSpan w:val="6"/>
            <w:shd w:val="clear" w:color="auto" w:fill="auto"/>
            <w:vAlign w:val="center"/>
          </w:tcPr>
          <w:p w:rsidR="007507A4" w:rsidRPr="00A93D1C" w:rsidRDefault="007507A4" w:rsidP="007507A4">
            <w:pPr>
              <w:jc w:val="left"/>
              <w:rPr>
                <w:rFonts w:ascii="Arial Narrow" w:hAnsi="Arial Narrow"/>
                <w:b/>
                <w:sz w:val="20"/>
              </w:rPr>
            </w:pPr>
            <w:r w:rsidRPr="00A93D1C">
              <w:rPr>
                <w:rFonts w:ascii="Arial Narrow" w:hAnsi="Arial Narrow"/>
                <w:b/>
                <w:sz w:val="20"/>
              </w:rPr>
              <w:t>Number of MQ dispensed</w:t>
            </w:r>
          </w:p>
        </w:tc>
      </w:tr>
      <w:tr w:rsidR="007507A4" w:rsidRPr="0091703D" w:rsidTr="00BA55A3">
        <w:tc>
          <w:tcPr>
            <w:tcW w:w="1359" w:type="pct"/>
            <w:shd w:val="clear" w:color="auto" w:fill="auto"/>
          </w:tcPr>
          <w:p w:rsidR="007507A4" w:rsidRPr="0091703D" w:rsidRDefault="007507A4" w:rsidP="00BA55A3">
            <w:pPr>
              <w:ind w:left="284"/>
              <w:rPr>
                <w:rFonts w:ascii="Arial Narrow" w:hAnsi="Arial Narrow"/>
                <w:sz w:val="20"/>
              </w:rPr>
            </w:pPr>
            <w:r w:rsidRPr="0091703D">
              <w:rPr>
                <w:rFonts w:ascii="Arial Narrow" w:hAnsi="Arial Narrow"/>
                <w:sz w:val="20"/>
              </w:rPr>
              <w:t>400 mg x 28; MQ 2</w:t>
            </w:r>
          </w:p>
        </w:tc>
        <w:tc>
          <w:tcPr>
            <w:tcW w:w="679"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r>
      <w:tr w:rsidR="007507A4" w:rsidRPr="0091703D" w:rsidTr="00BA55A3">
        <w:tc>
          <w:tcPr>
            <w:tcW w:w="1359" w:type="pct"/>
            <w:shd w:val="clear" w:color="auto" w:fill="auto"/>
          </w:tcPr>
          <w:p w:rsidR="007507A4" w:rsidRPr="0091703D" w:rsidRDefault="007507A4" w:rsidP="00BA55A3">
            <w:pPr>
              <w:ind w:left="284"/>
              <w:rPr>
                <w:rFonts w:ascii="Arial Narrow" w:hAnsi="Arial Narrow"/>
                <w:sz w:val="20"/>
              </w:rPr>
            </w:pPr>
            <w:r w:rsidRPr="0091703D">
              <w:rPr>
                <w:rFonts w:ascii="Arial Narrow" w:hAnsi="Arial Narrow"/>
                <w:sz w:val="20"/>
              </w:rPr>
              <w:t>600 mg x 28: MQ 2</w:t>
            </w:r>
          </w:p>
        </w:tc>
        <w:tc>
          <w:tcPr>
            <w:tcW w:w="679"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7507A4" w:rsidRPr="003F3ACA" w:rsidRDefault="003F3ACA" w:rsidP="00BA55A3">
            <w:pPr>
              <w:jc w:val="center"/>
              <w:rPr>
                <w:rFonts w:ascii="Arial Narrow" w:hAnsi="Arial Narrow"/>
                <w:sz w:val="20"/>
                <w:highlight w:val="black"/>
              </w:rPr>
            </w:pPr>
            <w:r>
              <w:rPr>
                <w:rFonts w:ascii="Arial Narrow" w:hAnsi="Arial Narrow"/>
                <w:noProof/>
                <w:color w:val="000000"/>
                <w:sz w:val="20"/>
                <w:highlight w:val="black"/>
              </w:rPr>
              <w:t>''''''''''''''</w:t>
            </w:r>
          </w:p>
        </w:tc>
      </w:tr>
      <w:tr w:rsidR="007507A4" w:rsidRPr="0091703D" w:rsidTr="00BA55A3">
        <w:tc>
          <w:tcPr>
            <w:tcW w:w="1359" w:type="pct"/>
            <w:shd w:val="clear" w:color="auto" w:fill="auto"/>
            <w:vAlign w:val="center"/>
          </w:tcPr>
          <w:p w:rsidR="007507A4" w:rsidRPr="0091703D" w:rsidRDefault="007507A4" w:rsidP="00B8649C">
            <w:pPr>
              <w:tabs>
                <w:tab w:val="left" w:pos="142"/>
              </w:tabs>
              <w:jc w:val="left"/>
              <w:rPr>
                <w:rFonts w:ascii="Arial Narrow" w:hAnsi="Arial Narrow"/>
                <w:b/>
                <w:sz w:val="20"/>
              </w:rPr>
            </w:pPr>
            <w:r w:rsidRPr="0091703D">
              <w:rPr>
                <w:rFonts w:ascii="Arial Narrow" w:hAnsi="Arial Narrow"/>
                <w:b/>
                <w:sz w:val="20"/>
              </w:rPr>
              <w:t>Total</w:t>
            </w:r>
          </w:p>
        </w:tc>
        <w:tc>
          <w:tcPr>
            <w:tcW w:w="679" w:type="pct"/>
            <w:shd w:val="clear" w:color="auto" w:fill="auto"/>
          </w:tcPr>
          <w:p w:rsidR="007507A4"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679" w:type="pct"/>
            <w:shd w:val="clear" w:color="auto" w:fill="auto"/>
          </w:tcPr>
          <w:p w:rsidR="007507A4"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64" w:type="pct"/>
            <w:shd w:val="clear" w:color="auto" w:fill="auto"/>
          </w:tcPr>
          <w:p w:rsidR="007507A4"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c>
          <w:tcPr>
            <w:tcW w:w="755" w:type="pct"/>
            <w:shd w:val="clear" w:color="auto" w:fill="auto"/>
          </w:tcPr>
          <w:p w:rsidR="007507A4" w:rsidRPr="003F3ACA" w:rsidRDefault="003F3ACA" w:rsidP="00BA55A3">
            <w:pPr>
              <w:jc w:val="center"/>
              <w:rPr>
                <w:rFonts w:ascii="Arial Narrow" w:hAnsi="Arial Narrow"/>
                <w:b/>
                <w:sz w:val="20"/>
                <w:highlight w:val="black"/>
              </w:rPr>
            </w:pPr>
            <w:r>
              <w:rPr>
                <w:rFonts w:ascii="Arial Narrow" w:hAnsi="Arial Narrow"/>
                <w:b/>
                <w:noProof/>
                <w:color w:val="000000"/>
                <w:sz w:val="20"/>
                <w:highlight w:val="black"/>
              </w:rPr>
              <w:t>'''''''''''''</w:t>
            </w:r>
          </w:p>
        </w:tc>
      </w:tr>
      <w:tr w:rsidR="007507A4" w:rsidRPr="0091703D" w:rsidTr="005D044D">
        <w:tc>
          <w:tcPr>
            <w:tcW w:w="5000" w:type="pct"/>
            <w:gridSpan w:val="6"/>
            <w:shd w:val="clear" w:color="auto" w:fill="auto"/>
            <w:vAlign w:val="center"/>
          </w:tcPr>
          <w:p w:rsidR="007507A4" w:rsidRPr="00A93D1C" w:rsidRDefault="007507A4" w:rsidP="007507A4">
            <w:pPr>
              <w:jc w:val="left"/>
              <w:rPr>
                <w:rFonts w:ascii="Arial Narrow" w:hAnsi="Arial Narrow"/>
                <w:b/>
                <w:bCs/>
                <w:color w:val="000000"/>
                <w:sz w:val="20"/>
              </w:rPr>
            </w:pPr>
            <w:r w:rsidRPr="00A93D1C">
              <w:rPr>
                <w:rFonts w:ascii="Arial Narrow" w:hAnsi="Arial Narrow"/>
                <w:b/>
                <w:bCs/>
                <w:color w:val="000000"/>
                <w:sz w:val="20"/>
              </w:rPr>
              <w:t>Estimated net cost to PBS/RPBS</w:t>
            </w:r>
            <w:r w:rsidR="00097BF7" w:rsidRPr="00A93D1C">
              <w:rPr>
                <w:rFonts w:ascii="Arial Narrow" w:hAnsi="Arial Narrow"/>
                <w:b/>
                <w:bCs/>
                <w:color w:val="000000"/>
                <w:sz w:val="20"/>
                <w:vertAlign w:val="superscript"/>
              </w:rPr>
              <w:t>a</w:t>
            </w:r>
          </w:p>
        </w:tc>
      </w:tr>
      <w:tr w:rsidR="007507A4" w:rsidRPr="00C44802" w:rsidTr="00BA55A3">
        <w:tc>
          <w:tcPr>
            <w:tcW w:w="1359" w:type="pct"/>
            <w:shd w:val="clear" w:color="auto" w:fill="auto"/>
            <w:vAlign w:val="center"/>
          </w:tcPr>
          <w:p w:rsidR="007507A4" w:rsidRPr="00C44802" w:rsidRDefault="007507A4" w:rsidP="00B8649C">
            <w:pPr>
              <w:tabs>
                <w:tab w:val="left" w:pos="142"/>
              </w:tabs>
              <w:jc w:val="left"/>
              <w:rPr>
                <w:rFonts w:ascii="Arial Narrow" w:hAnsi="Arial Narrow"/>
                <w:sz w:val="20"/>
              </w:rPr>
            </w:pPr>
            <w:r w:rsidRPr="00C44802">
              <w:rPr>
                <w:rFonts w:ascii="Arial Narrow" w:hAnsi="Arial Narrow"/>
                <w:sz w:val="19"/>
                <w:szCs w:val="19"/>
              </w:rPr>
              <w:t>Net cost to PBS/RPBS</w:t>
            </w:r>
            <w:r w:rsidR="00097BF7" w:rsidRPr="00C44802">
              <w:rPr>
                <w:rFonts w:ascii="Arial Narrow" w:hAnsi="Arial Narrow"/>
                <w:sz w:val="19"/>
                <w:szCs w:val="19"/>
                <w:vertAlign w:val="superscript"/>
              </w:rPr>
              <w:t>b</w:t>
            </w:r>
          </w:p>
        </w:tc>
        <w:tc>
          <w:tcPr>
            <w:tcW w:w="679" w:type="pct"/>
            <w:shd w:val="clear" w:color="auto" w:fill="auto"/>
            <w:vAlign w:val="bottom"/>
          </w:tcPr>
          <w:p w:rsidR="007507A4" w:rsidRPr="00A93D1C" w:rsidRDefault="007507A4" w:rsidP="00BA55A3">
            <w:pPr>
              <w:jc w:val="right"/>
              <w:rPr>
                <w:rFonts w:ascii="Arial Narrow" w:hAnsi="Arial Narrow"/>
                <w:b/>
                <w:sz w:val="20"/>
              </w:rPr>
            </w:pPr>
            <w:r w:rsidRPr="00A93D1C">
              <w:rPr>
                <w:rFonts w:ascii="Arial Narrow" w:hAnsi="Arial Narrow"/>
                <w:b/>
                <w:sz w:val="20"/>
              </w:rPr>
              <w:t>$</w:t>
            </w:r>
            <w:r w:rsidR="003F3ACA">
              <w:rPr>
                <w:rFonts w:ascii="Arial Narrow" w:hAnsi="Arial Narrow"/>
                <w:b/>
                <w:noProof/>
                <w:color w:val="000000"/>
                <w:sz w:val="20"/>
                <w:highlight w:val="black"/>
              </w:rPr>
              <w:t>''''''''''''''''''</w:t>
            </w:r>
          </w:p>
        </w:tc>
        <w:tc>
          <w:tcPr>
            <w:tcW w:w="679" w:type="pct"/>
            <w:shd w:val="clear" w:color="auto" w:fill="auto"/>
            <w:vAlign w:val="bottom"/>
          </w:tcPr>
          <w:p w:rsidR="007507A4" w:rsidRPr="00A93D1C" w:rsidRDefault="007507A4" w:rsidP="00BA55A3">
            <w:pPr>
              <w:jc w:val="right"/>
              <w:rPr>
                <w:rFonts w:ascii="Arial Narrow" w:hAnsi="Arial Narrow"/>
                <w:b/>
                <w:sz w:val="20"/>
              </w:rPr>
            </w:pPr>
            <w:r w:rsidRPr="00A93D1C">
              <w:rPr>
                <w:rFonts w:ascii="Arial Narrow" w:hAnsi="Arial Narrow"/>
                <w:b/>
                <w:sz w:val="20"/>
              </w:rPr>
              <w:t>$</w:t>
            </w:r>
            <w:r w:rsidR="003F3ACA">
              <w:rPr>
                <w:rFonts w:ascii="Arial Narrow" w:hAnsi="Arial Narrow"/>
                <w:b/>
                <w:noProof/>
                <w:color w:val="000000"/>
                <w:sz w:val="20"/>
                <w:highlight w:val="black"/>
              </w:rPr>
              <w:t>''''''''''''''''''''''</w:t>
            </w:r>
          </w:p>
        </w:tc>
        <w:tc>
          <w:tcPr>
            <w:tcW w:w="764" w:type="pct"/>
            <w:shd w:val="clear" w:color="auto" w:fill="auto"/>
            <w:vAlign w:val="bottom"/>
          </w:tcPr>
          <w:p w:rsidR="007507A4" w:rsidRPr="00A93D1C" w:rsidRDefault="007507A4" w:rsidP="00BA55A3">
            <w:pPr>
              <w:jc w:val="right"/>
              <w:rPr>
                <w:rFonts w:ascii="Arial Narrow" w:hAnsi="Arial Narrow"/>
                <w:b/>
                <w:sz w:val="20"/>
              </w:rPr>
            </w:pPr>
            <w:r w:rsidRPr="00A93D1C">
              <w:rPr>
                <w:rFonts w:ascii="Arial Narrow" w:hAnsi="Arial Narrow"/>
                <w:b/>
                <w:sz w:val="20"/>
              </w:rPr>
              <w:t>$</w:t>
            </w:r>
            <w:r w:rsidR="003F3ACA">
              <w:rPr>
                <w:rFonts w:ascii="Arial Narrow" w:hAnsi="Arial Narrow"/>
                <w:b/>
                <w:noProof/>
                <w:color w:val="000000"/>
                <w:sz w:val="20"/>
                <w:highlight w:val="black"/>
              </w:rPr>
              <w:t>''''''''''''''''''''''</w:t>
            </w:r>
          </w:p>
        </w:tc>
        <w:tc>
          <w:tcPr>
            <w:tcW w:w="764" w:type="pct"/>
            <w:shd w:val="clear" w:color="auto" w:fill="auto"/>
            <w:vAlign w:val="bottom"/>
          </w:tcPr>
          <w:p w:rsidR="007507A4" w:rsidRPr="00A93D1C" w:rsidRDefault="007507A4" w:rsidP="00BA55A3">
            <w:pPr>
              <w:jc w:val="right"/>
              <w:rPr>
                <w:rFonts w:ascii="Arial Narrow" w:hAnsi="Arial Narrow"/>
                <w:b/>
                <w:sz w:val="20"/>
              </w:rPr>
            </w:pPr>
            <w:r w:rsidRPr="00A93D1C">
              <w:rPr>
                <w:rFonts w:ascii="Arial Narrow" w:hAnsi="Arial Narrow"/>
                <w:b/>
                <w:sz w:val="20"/>
              </w:rPr>
              <w:t>$</w:t>
            </w:r>
            <w:r w:rsidR="003F3ACA">
              <w:rPr>
                <w:rFonts w:ascii="Arial Narrow" w:hAnsi="Arial Narrow"/>
                <w:b/>
                <w:noProof/>
                <w:color w:val="000000"/>
                <w:sz w:val="20"/>
                <w:highlight w:val="black"/>
              </w:rPr>
              <w:t>''''''''''''''''''''</w:t>
            </w:r>
          </w:p>
        </w:tc>
        <w:tc>
          <w:tcPr>
            <w:tcW w:w="755" w:type="pct"/>
            <w:shd w:val="clear" w:color="auto" w:fill="auto"/>
            <w:vAlign w:val="bottom"/>
          </w:tcPr>
          <w:p w:rsidR="007507A4" w:rsidRPr="00A93D1C" w:rsidRDefault="00757E98" w:rsidP="00BA55A3">
            <w:pPr>
              <w:jc w:val="right"/>
              <w:rPr>
                <w:rFonts w:ascii="Arial Narrow" w:hAnsi="Arial Narrow"/>
                <w:b/>
                <w:sz w:val="20"/>
              </w:rPr>
            </w:pPr>
            <w:r w:rsidRPr="00A93D1C">
              <w:rPr>
                <w:rFonts w:ascii="Arial Narrow" w:hAnsi="Arial Narrow"/>
                <w:b/>
                <w:sz w:val="20"/>
              </w:rPr>
              <w:t>$</w:t>
            </w:r>
            <w:r w:rsidR="003F3ACA">
              <w:rPr>
                <w:rFonts w:ascii="Arial Narrow" w:hAnsi="Arial Narrow"/>
                <w:b/>
                <w:noProof/>
                <w:color w:val="000000"/>
                <w:sz w:val="20"/>
                <w:highlight w:val="black"/>
              </w:rPr>
              <w:t>'''''''''''''''''''''</w:t>
            </w:r>
          </w:p>
        </w:tc>
      </w:tr>
    </w:tbl>
    <w:p w:rsidR="007507A4" w:rsidRPr="0091703D" w:rsidRDefault="007507A4" w:rsidP="005D044D">
      <w:pPr>
        <w:pStyle w:val="TableFooter"/>
        <w:ind w:firstLine="720"/>
        <w:rPr>
          <w:rStyle w:val="TableText1"/>
          <w:rFonts w:ascii="Arial Narrow" w:hAnsi="Arial Narrow"/>
          <w:sz w:val="18"/>
          <w:szCs w:val="18"/>
        </w:rPr>
      </w:pPr>
      <w:r w:rsidRPr="0091703D">
        <w:rPr>
          <w:rStyle w:val="TableText1"/>
          <w:rFonts w:ascii="Arial Narrow" w:hAnsi="Arial Narrow"/>
          <w:sz w:val="18"/>
          <w:szCs w:val="18"/>
        </w:rPr>
        <w:t>MQ = maximum quantity.</w:t>
      </w:r>
    </w:p>
    <w:p w:rsidR="00097BF7" w:rsidRDefault="007507A4" w:rsidP="005D044D">
      <w:pPr>
        <w:pStyle w:val="TableFooter"/>
        <w:ind w:firstLine="720"/>
        <w:rPr>
          <w:rStyle w:val="TableText1"/>
          <w:rFonts w:ascii="Arial Narrow" w:hAnsi="Arial Narrow"/>
          <w:i/>
          <w:sz w:val="18"/>
          <w:szCs w:val="18"/>
        </w:rPr>
      </w:pPr>
      <w:r w:rsidRPr="00097BF7">
        <w:rPr>
          <w:rStyle w:val="TableText1"/>
          <w:rFonts w:ascii="Arial Narrow" w:hAnsi="Arial Narrow"/>
          <w:sz w:val="18"/>
          <w:szCs w:val="18"/>
          <w:vertAlign w:val="superscript"/>
        </w:rPr>
        <w:t>a</w:t>
      </w:r>
      <w:r w:rsidR="0091703D" w:rsidRPr="0091703D">
        <w:rPr>
          <w:rStyle w:val="TableText1"/>
          <w:rFonts w:ascii="Arial Narrow" w:hAnsi="Arial Narrow"/>
          <w:i/>
          <w:sz w:val="18"/>
          <w:szCs w:val="18"/>
        </w:rPr>
        <w:t xml:space="preserve"> </w:t>
      </w:r>
      <w:r w:rsidR="00097BF7" w:rsidRPr="00097BF7">
        <w:rPr>
          <w:rStyle w:val="TableText1"/>
          <w:rFonts w:ascii="Arial Narrow" w:hAnsi="Arial Narrow"/>
          <w:sz w:val="18"/>
          <w:szCs w:val="18"/>
        </w:rPr>
        <w:t xml:space="preserve">Not including </w:t>
      </w:r>
      <w:r w:rsidR="00097BF7">
        <w:rPr>
          <w:rStyle w:val="TableText1"/>
          <w:rFonts w:ascii="Arial Narrow" w:hAnsi="Arial Narrow"/>
          <w:sz w:val="18"/>
          <w:szCs w:val="18"/>
        </w:rPr>
        <w:t xml:space="preserve">changes in costs of other drugs, </w:t>
      </w:r>
      <w:r w:rsidR="00097BF7">
        <w:rPr>
          <w:rStyle w:val="TableText1"/>
          <w:rFonts w:ascii="Arial Narrow" w:hAnsi="Arial Narrow"/>
          <w:i/>
          <w:sz w:val="18"/>
          <w:szCs w:val="18"/>
        </w:rPr>
        <w:t>e</w:t>
      </w:r>
      <w:r w:rsidR="00303BFB">
        <w:rPr>
          <w:rStyle w:val="TableText1"/>
          <w:rFonts w:ascii="Arial Narrow" w:hAnsi="Arial Narrow"/>
          <w:i/>
          <w:sz w:val="18"/>
          <w:szCs w:val="18"/>
        </w:rPr>
        <w:t>.</w:t>
      </w:r>
      <w:r w:rsidR="00097BF7" w:rsidRPr="00303BFB">
        <w:rPr>
          <w:rStyle w:val="TableText1"/>
          <w:rFonts w:ascii="Arial Narrow" w:hAnsi="Arial Narrow"/>
          <w:sz w:val="18"/>
          <w:szCs w:val="18"/>
        </w:rPr>
        <w:t>g</w:t>
      </w:r>
      <w:r w:rsidR="00303BFB">
        <w:rPr>
          <w:rStyle w:val="TableText1"/>
          <w:rFonts w:ascii="Arial Narrow" w:hAnsi="Arial Narrow"/>
          <w:sz w:val="18"/>
          <w:szCs w:val="18"/>
        </w:rPr>
        <w:t>.</w:t>
      </w:r>
      <w:r w:rsidR="00097BF7" w:rsidRPr="00303BFB">
        <w:rPr>
          <w:rStyle w:val="TableText1"/>
          <w:rFonts w:ascii="Arial Narrow" w:hAnsi="Arial Narrow"/>
          <w:sz w:val="18"/>
          <w:szCs w:val="18"/>
        </w:rPr>
        <w:t xml:space="preserve"> </w:t>
      </w:r>
      <w:r w:rsidR="00097BF7">
        <w:rPr>
          <w:rStyle w:val="TableText1"/>
          <w:rFonts w:ascii="Arial Narrow" w:hAnsi="Arial Narrow"/>
          <w:sz w:val="18"/>
          <w:szCs w:val="18"/>
        </w:rPr>
        <w:t xml:space="preserve">sofosbuvir and current active treatments </w:t>
      </w:r>
    </w:p>
    <w:p w:rsidR="007507A4" w:rsidRPr="00C44802" w:rsidRDefault="00097BF7" w:rsidP="005D044D">
      <w:pPr>
        <w:pStyle w:val="TableFooter"/>
        <w:ind w:firstLine="720"/>
        <w:rPr>
          <w:rStyle w:val="TableText1"/>
          <w:rFonts w:ascii="Arial Narrow" w:hAnsi="Arial Narrow"/>
          <w:sz w:val="18"/>
          <w:szCs w:val="18"/>
        </w:rPr>
      </w:pPr>
      <w:r w:rsidRPr="00C44802">
        <w:rPr>
          <w:rStyle w:val="TableText1"/>
          <w:rFonts w:ascii="Arial Narrow" w:hAnsi="Arial Narrow"/>
          <w:sz w:val="18"/>
          <w:szCs w:val="18"/>
          <w:vertAlign w:val="superscript"/>
        </w:rPr>
        <w:t>b</w:t>
      </w:r>
      <w:r w:rsidRPr="00C44802">
        <w:rPr>
          <w:rStyle w:val="TableText1"/>
          <w:rFonts w:ascii="Arial Narrow" w:hAnsi="Arial Narrow"/>
          <w:sz w:val="18"/>
          <w:szCs w:val="18"/>
        </w:rPr>
        <w:t xml:space="preserve"> </w:t>
      </w:r>
      <w:r w:rsidR="0091703D" w:rsidRPr="00C44802">
        <w:rPr>
          <w:rStyle w:val="TableText1"/>
          <w:rFonts w:ascii="Arial Narrow" w:hAnsi="Arial Narrow"/>
          <w:sz w:val="18"/>
          <w:szCs w:val="18"/>
        </w:rPr>
        <w:t>R</w:t>
      </w:r>
      <w:r w:rsidR="007507A4" w:rsidRPr="00C44802">
        <w:rPr>
          <w:rStyle w:val="TableText1"/>
          <w:rFonts w:ascii="Arial Narrow" w:hAnsi="Arial Narrow"/>
          <w:sz w:val="18"/>
          <w:szCs w:val="18"/>
        </w:rPr>
        <w:t>ecalculated during the evaluation by rounding up the number of co-payment to the next integer</w:t>
      </w:r>
    </w:p>
    <w:p w:rsidR="00C25D9C" w:rsidRPr="0091703D" w:rsidRDefault="00C25D9C" w:rsidP="005D044D">
      <w:pPr>
        <w:pStyle w:val="TableFooter"/>
        <w:ind w:firstLine="720"/>
        <w:rPr>
          <w:rStyle w:val="TableText1"/>
          <w:rFonts w:ascii="Arial Narrow" w:hAnsi="Arial Narrow"/>
          <w:sz w:val="18"/>
          <w:szCs w:val="18"/>
        </w:rPr>
      </w:pPr>
      <w:r w:rsidRPr="0091703D">
        <w:rPr>
          <w:rStyle w:val="TableText1"/>
          <w:rFonts w:ascii="Arial Narrow" w:hAnsi="Arial Narrow"/>
          <w:sz w:val="18"/>
          <w:szCs w:val="18"/>
        </w:rPr>
        <w:t xml:space="preserve">Source: </w:t>
      </w:r>
      <w:r w:rsidR="0020496B" w:rsidRPr="00EB5618">
        <w:rPr>
          <w:rStyle w:val="TableText1"/>
          <w:rFonts w:ascii="Arial Narrow" w:hAnsi="Arial Narrow"/>
          <w:sz w:val="18"/>
          <w:szCs w:val="18"/>
        </w:rPr>
        <w:t>Tables E-2 and E-3, p54 and p56 of the main submission</w:t>
      </w:r>
      <w:r w:rsidR="0020496B" w:rsidRPr="0091703D">
        <w:rPr>
          <w:rStyle w:val="TableText1"/>
          <w:rFonts w:ascii="Arial Narrow" w:hAnsi="Arial Narrow"/>
          <w:sz w:val="18"/>
          <w:szCs w:val="18"/>
        </w:rPr>
        <w:t>.</w:t>
      </w:r>
    </w:p>
    <w:p w:rsidR="00C25D9C" w:rsidRDefault="00C25D9C" w:rsidP="00C25D9C">
      <w:pPr>
        <w:widowControl/>
        <w:rPr>
          <w:szCs w:val="22"/>
        </w:rPr>
      </w:pPr>
    </w:p>
    <w:p w:rsidR="007562FE" w:rsidRDefault="007562FE" w:rsidP="007562FE">
      <w:pPr>
        <w:widowControl/>
        <w:ind w:left="720"/>
        <w:rPr>
          <w:szCs w:val="22"/>
        </w:rPr>
      </w:pPr>
      <w:r w:rsidRPr="007562FE">
        <w:rPr>
          <w:szCs w:val="22"/>
        </w:rPr>
        <w:t>The redacted table above shows that in Year 5, the estimated number of ribavirin scripts dispensed would be 10,000-50,000 and the net cost to Government would be between $10-$20 million per year.</w:t>
      </w:r>
    </w:p>
    <w:p w:rsidR="007562FE" w:rsidRPr="00C25D9C" w:rsidRDefault="007562FE" w:rsidP="00C25D9C">
      <w:pPr>
        <w:widowControl/>
        <w:rPr>
          <w:szCs w:val="22"/>
        </w:rPr>
      </w:pPr>
    </w:p>
    <w:p w:rsidR="0020496B" w:rsidRPr="00C95BCB" w:rsidRDefault="0020496B" w:rsidP="0020496B">
      <w:pPr>
        <w:pStyle w:val="ListParagraph"/>
        <w:widowControl/>
        <w:numPr>
          <w:ilvl w:val="1"/>
          <w:numId w:val="10"/>
        </w:numPr>
        <w:rPr>
          <w:szCs w:val="22"/>
        </w:rPr>
      </w:pPr>
      <w:r w:rsidRPr="00C95BCB">
        <w:rPr>
          <w:szCs w:val="24"/>
        </w:rPr>
        <w:t xml:space="preserve">There was potential for the number of </w:t>
      </w:r>
      <w:r w:rsidR="00BF08C4" w:rsidRPr="00C95BCB">
        <w:rPr>
          <w:szCs w:val="24"/>
        </w:rPr>
        <w:t xml:space="preserve">patients </w:t>
      </w:r>
      <w:r w:rsidRPr="00C95BCB">
        <w:rPr>
          <w:szCs w:val="24"/>
        </w:rPr>
        <w:t xml:space="preserve">treated </w:t>
      </w:r>
      <w:r w:rsidR="00BF08C4" w:rsidRPr="00C95BCB">
        <w:rPr>
          <w:szCs w:val="24"/>
        </w:rPr>
        <w:t>with</w:t>
      </w:r>
      <w:r w:rsidRPr="00C95BCB">
        <w:rPr>
          <w:szCs w:val="24"/>
        </w:rPr>
        <w:t xml:space="preserve"> ribavirin to be greater than estimate</w:t>
      </w:r>
      <w:r w:rsidR="00C20066" w:rsidRPr="00C95BCB">
        <w:rPr>
          <w:szCs w:val="24"/>
        </w:rPr>
        <w:t>d</w:t>
      </w:r>
      <w:r w:rsidRPr="00C95BCB">
        <w:rPr>
          <w:szCs w:val="24"/>
        </w:rPr>
        <w:t xml:space="preserve"> in the submission: </w:t>
      </w:r>
    </w:p>
    <w:p w:rsidR="00C25D9C" w:rsidRPr="00C95BCB" w:rsidRDefault="0096459B" w:rsidP="0096459B">
      <w:pPr>
        <w:pStyle w:val="ListParagraph"/>
        <w:widowControl/>
        <w:numPr>
          <w:ilvl w:val="0"/>
          <w:numId w:val="26"/>
        </w:numPr>
        <w:rPr>
          <w:szCs w:val="22"/>
        </w:rPr>
      </w:pPr>
      <w:r w:rsidRPr="00C95BCB">
        <w:rPr>
          <w:szCs w:val="24"/>
        </w:rPr>
        <w:t>T</w:t>
      </w:r>
      <w:r w:rsidR="0020496B" w:rsidRPr="00C95BCB">
        <w:rPr>
          <w:szCs w:val="24"/>
        </w:rPr>
        <w:t>he submission underestimated the system capacity to treat HCV patients</w:t>
      </w:r>
      <w:r w:rsidR="0020496B" w:rsidRPr="00C95BCB">
        <w:t xml:space="preserve">. The submission estimated the number of HCV patients (all genotypes) likely to be </w:t>
      </w:r>
      <w:r w:rsidR="0020496B" w:rsidRPr="00A93D1C">
        <w:t xml:space="preserve">treated to be </w:t>
      </w:r>
      <w:r w:rsidR="006378FB">
        <w:t xml:space="preserve">less than 10,000 </w:t>
      </w:r>
      <w:r w:rsidR="0020496B" w:rsidRPr="00A93D1C">
        <w:t xml:space="preserve">in Year 1, increasing to </w:t>
      </w:r>
      <w:r w:rsidR="006378FB">
        <w:t xml:space="preserve">less than 10,000 </w:t>
      </w:r>
      <w:r w:rsidR="0020496B" w:rsidRPr="00A93D1C">
        <w:t>in Year 5 of listing</w:t>
      </w:r>
      <w:r w:rsidR="00C20066" w:rsidRPr="00A93D1C">
        <w:t>. T</w:t>
      </w:r>
      <w:r w:rsidR="0020496B" w:rsidRPr="00A93D1C">
        <w:t xml:space="preserve">he </w:t>
      </w:r>
      <w:r w:rsidR="00C20066" w:rsidRPr="00A93D1C">
        <w:t xml:space="preserve">HCV Stakeholder meeting (February 2014) </w:t>
      </w:r>
      <w:r w:rsidR="0020496B" w:rsidRPr="00A93D1C">
        <w:t xml:space="preserve">estimated that </w:t>
      </w:r>
      <w:r w:rsidR="006378FB">
        <w:t xml:space="preserve">10,000 – 50,000 </w:t>
      </w:r>
      <w:r w:rsidR="0020496B" w:rsidRPr="00A93D1C">
        <w:t>patients were likely to be treated</w:t>
      </w:r>
      <w:r w:rsidR="0020496B" w:rsidRPr="00C95BCB">
        <w:t>.</w:t>
      </w:r>
    </w:p>
    <w:p w:rsidR="0020496B" w:rsidRDefault="0020496B" w:rsidP="0096459B">
      <w:pPr>
        <w:pStyle w:val="ListParagraph"/>
        <w:numPr>
          <w:ilvl w:val="0"/>
          <w:numId w:val="26"/>
        </w:numPr>
        <w:rPr>
          <w:szCs w:val="22"/>
        </w:rPr>
      </w:pPr>
      <w:r w:rsidRPr="00C95BCB">
        <w:rPr>
          <w:szCs w:val="22"/>
        </w:rPr>
        <w:t xml:space="preserve">The proportion of patients with genotype 3 HCV seeking an interferon-free </w:t>
      </w:r>
      <w:r w:rsidRPr="00C95BCB">
        <w:rPr>
          <w:szCs w:val="22"/>
        </w:rPr>
        <w:lastRenderedPageBreak/>
        <w:t>treatment of SOF+R</w:t>
      </w:r>
      <w:r w:rsidR="0096459B" w:rsidRPr="00C95BCB">
        <w:rPr>
          <w:szCs w:val="22"/>
        </w:rPr>
        <w:t xml:space="preserve"> was estimated to be 66.8% in the submission. This </w:t>
      </w:r>
      <w:r w:rsidR="00C20066" w:rsidRPr="00C95BCB">
        <w:rPr>
          <w:szCs w:val="22"/>
        </w:rPr>
        <w:t xml:space="preserve">proportion </w:t>
      </w:r>
      <w:r w:rsidR="0096459B" w:rsidRPr="00C95BCB">
        <w:rPr>
          <w:szCs w:val="22"/>
        </w:rPr>
        <w:t xml:space="preserve">was </w:t>
      </w:r>
      <w:r w:rsidR="00C20066" w:rsidRPr="00C95BCB">
        <w:rPr>
          <w:szCs w:val="22"/>
        </w:rPr>
        <w:t xml:space="preserve">considered </w:t>
      </w:r>
      <w:r w:rsidR="0096459B" w:rsidRPr="00C95BCB">
        <w:rPr>
          <w:szCs w:val="22"/>
        </w:rPr>
        <w:t>an underestimate</w:t>
      </w:r>
      <w:r w:rsidR="00C20066" w:rsidRPr="00C95BCB">
        <w:rPr>
          <w:szCs w:val="22"/>
        </w:rPr>
        <w:t xml:space="preserve"> in the context of known</w:t>
      </w:r>
      <w:r w:rsidRPr="00C95BCB">
        <w:rPr>
          <w:szCs w:val="22"/>
        </w:rPr>
        <w:t xml:space="preserve"> </w:t>
      </w:r>
      <w:r w:rsidR="0096459B" w:rsidRPr="00C95BCB">
        <w:rPr>
          <w:szCs w:val="22"/>
        </w:rPr>
        <w:t>patient preference</w:t>
      </w:r>
      <w:r w:rsidR="00C20066" w:rsidRPr="00C95BCB">
        <w:rPr>
          <w:szCs w:val="22"/>
        </w:rPr>
        <w:t>s for an interferon free regimen</w:t>
      </w:r>
      <w:r w:rsidR="0096459B" w:rsidRPr="00C95BCB">
        <w:rPr>
          <w:szCs w:val="22"/>
        </w:rPr>
        <w:t>.</w:t>
      </w:r>
      <w:r w:rsidR="00DF57FA">
        <w:rPr>
          <w:szCs w:val="22"/>
        </w:rPr>
        <w:t xml:space="preserve"> </w:t>
      </w:r>
      <w:r w:rsidR="00DF57FA" w:rsidRPr="00003064">
        <w:t xml:space="preserve">The </w:t>
      </w:r>
      <w:r w:rsidR="000330FF">
        <w:t xml:space="preserve">PBAC agreed with </w:t>
      </w:r>
      <w:r w:rsidR="00DF57FA" w:rsidRPr="00003064">
        <w:t>ESC</w:t>
      </w:r>
      <w:r w:rsidR="000330FF">
        <w:t xml:space="preserve"> </w:t>
      </w:r>
      <w:r w:rsidR="00B537A5">
        <w:t xml:space="preserve">and DUSC </w:t>
      </w:r>
      <w:r w:rsidR="000330FF">
        <w:t>and</w:t>
      </w:r>
      <w:r w:rsidR="00DF57FA" w:rsidRPr="00003064">
        <w:t xml:space="preserve"> considered that assuming that </w:t>
      </w:r>
      <w:r w:rsidR="00DF57FA" w:rsidRPr="00003064">
        <w:rPr>
          <w:szCs w:val="22"/>
        </w:rPr>
        <w:t>100% of genotype 3 HCV patients will seek the interferon-free regimen of SOF24+R24 is more appropriate.</w:t>
      </w:r>
    </w:p>
    <w:p w:rsidR="000330FF" w:rsidRPr="000330FF" w:rsidRDefault="000330FF" w:rsidP="000330FF">
      <w:pPr>
        <w:rPr>
          <w:szCs w:val="22"/>
        </w:rPr>
      </w:pPr>
    </w:p>
    <w:p w:rsidR="00003064" w:rsidRPr="00003064" w:rsidRDefault="00003064" w:rsidP="00003064">
      <w:pPr>
        <w:pStyle w:val="ListParagraph"/>
        <w:widowControl/>
        <w:numPr>
          <w:ilvl w:val="1"/>
          <w:numId w:val="10"/>
        </w:numPr>
        <w:rPr>
          <w:szCs w:val="22"/>
        </w:rPr>
      </w:pPr>
      <w:r w:rsidRPr="00003064">
        <w:rPr>
          <w:szCs w:val="22"/>
        </w:rPr>
        <w:t xml:space="preserve">The PBAC considered that the advice received from the Australian Liver Association, namely Bruggmann et al. (2014), was the most appropriate the source of HCV genotype distribution in Australia. </w:t>
      </w:r>
    </w:p>
    <w:p w:rsidR="0096459B" w:rsidRPr="00873CFA" w:rsidRDefault="0096459B" w:rsidP="00873CFA">
      <w:pPr>
        <w:widowControl/>
        <w:rPr>
          <w:szCs w:val="22"/>
        </w:rPr>
      </w:pPr>
    </w:p>
    <w:p w:rsidR="007752CB" w:rsidRPr="000330FF" w:rsidRDefault="0096459B" w:rsidP="00A93D1C">
      <w:pPr>
        <w:pStyle w:val="ListParagraph"/>
        <w:widowControl/>
        <w:numPr>
          <w:ilvl w:val="1"/>
          <w:numId w:val="10"/>
        </w:numPr>
        <w:rPr>
          <w:szCs w:val="22"/>
        </w:rPr>
      </w:pPr>
      <w:r w:rsidRPr="000330FF">
        <w:rPr>
          <w:szCs w:val="22"/>
        </w:rPr>
        <w:t xml:space="preserve">A sensitivity </w:t>
      </w:r>
      <w:r w:rsidRPr="00A93D1C">
        <w:rPr>
          <w:szCs w:val="22"/>
        </w:rPr>
        <w:t>analysis was performed during the evaluation by increasing th</w:t>
      </w:r>
      <w:r w:rsidR="004D38DB">
        <w:rPr>
          <w:szCs w:val="22"/>
        </w:rPr>
        <w:t xml:space="preserve">e number of patients treated to </w:t>
      </w:r>
      <w:r w:rsidR="00527E59" w:rsidRPr="00A93D1C">
        <w:rPr>
          <w:szCs w:val="22"/>
        </w:rPr>
        <w:t xml:space="preserve">10,000 – 50,000 </w:t>
      </w:r>
      <w:r w:rsidRPr="00A93D1C">
        <w:rPr>
          <w:szCs w:val="22"/>
        </w:rPr>
        <w:t xml:space="preserve">(as suggested in the HCV Stakeholder Meeting) and assuming 100% genotype 3 HCV patients seeking </w:t>
      </w:r>
      <w:r w:rsidR="00C20066" w:rsidRPr="00A93D1C">
        <w:rPr>
          <w:szCs w:val="22"/>
        </w:rPr>
        <w:t xml:space="preserve">the </w:t>
      </w:r>
      <w:r w:rsidRPr="00A93D1C">
        <w:rPr>
          <w:szCs w:val="22"/>
        </w:rPr>
        <w:t>interferon-free regimen of SOF24+R24</w:t>
      </w:r>
      <w:r w:rsidR="00C20066" w:rsidRPr="00A93D1C">
        <w:rPr>
          <w:szCs w:val="22"/>
        </w:rPr>
        <w:t>. T</w:t>
      </w:r>
      <w:r w:rsidRPr="00A93D1C">
        <w:t xml:space="preserve">he total number of patients prescribed single agent ribavirin would be </w:t>
      </w:r>
      <w:r w:rsidR="00527E59" w:rsidRPr="00A93D1C">
        <w:t xml:space="preserve">less than 10,000 </w:t>
      </w:r>
      <w:r w:rsidRPr="00A93D1C">
        <w:t xml:space="preserve">and the cost impact of ribavirin to the PBS would be </w:t>
      </w:r>
      <w:r w:rsidR="00527E59" w:rsidRPr="00527E59">
        <w:t>$30 – $60 million per year</w:t>
      </w:r>
      <w:r w:rsidR="00AC5ED5" w:rsidRPr="000330FF">
        <w:t xml:space="preserve"> (note: this estimate did not </w:t>
      </w:r>
      <w:r w:rsidR="0049539A" w:rsidRPr="000330FF">
        <w:t>include</w:t>
      </w:r>
      <w:r w:rsidR="00AC5ED5" w:rsidRPr="000330FF">
        <w:t xml:space="preserve"> the cost of co-administered sofosbuvir and the cost offset arising from the substitute of current active treatments (only in a small proportion of the target population))</w:t>
      </w:r>
      <w:r w:rsidRPr="000330FF">
        <w:t>.</w:t>
      </w:r>
      <w:r w:rsidR="003E6F0C" w:rsidRPr="000330FF">
        <w:t xml:space="preserve"> </w:t>
      </w:r>
      <w:r w:rsidR="00C87FE3" w:rsidRPr="000330FF">
        <w:t xml:space="preserve">The PSCR (p3) presented alternative </w:t>
      </w:r>
      <w:r w:rsidR="003855BB">
        <w:t xml:space="preserve">sensitivity </w:t>
      </w:r>
      <w:r w:rsidR="00C87FE3" w:rsidRPr="000330FF">
        <w:t xml:space="preserve">analysis based on 100% of genotype 3 patients and </w:t>
      </w:r>
      <w:r w:rsidR="0016275A" w:rsidRPr="00527E59">
        <w:t xml:space="preserve">10,000 – 50,000 </w:t>
      </w:r>
      <w:r w:rsidR="00C87FE3" w:rsidRPr="000330FF">
        <w:t xml:space="preserve">total treated patients indicates an estimated net cost to the PBS of between </w:t>
      </w:r>
      <w:r w:rsidR="006378FB">
        <w:t>$10 - $20 million per year to $20 - $30 million per year</w:t>
      </w:r>
      <w:r w:rsidR="00C87FE3" w:rsidRPr="000330FF">
        <w:t xml:space="preserve">. </w:t>
      </w:r>
      <w:r w:rsidR="003E6F0C" w:rsidRPr="000330FF">
        <w:t xml:space="preserve">The ESC considered usage of RBV proposed in the submission may have been underestimated based on the National HCV Strategy targets for treatment and the preference for SOF24+R24 over SOF12+RP12 for GT3. </w:t>
      </w:r>
    </w:p>
    <w:p w:rsidR="000330FF" w:rsidRPr="007752CB" w:rsidRDefault="000330FF" w:rsidP="000330FF">
      <w:pPr>
        <w:pStyle w:val="PBACHeading1"/>
        <w:numPr>
          <w:ilvl w:val="0"/>
          <w:numId w:val="0"/>
        </w:numPr>
        <w:ind w:left="720" w:hanging="720"/>
      </w:pPr>
    </w:p>
    <w:p w:rsidR="007752CB" w:rsidRPr="007752CB" w:rsidRDefault="007752CB" w:rsidP="007752CB">
      <w:pPr>
        <w:pStyle w:val="ListParagraph"/>
        <w:widowControl/>
        <w:numPr>
          <w:ilvl w:val="1"/>
          <w:numId w:val="10"/>
        </w:numPr>
        <w:rPr>
          <w:szCs w:val="22"/>
        </w:rPr>
      </w:pPr>
      <w:r w:rsidRPr="007752CB">
        <w:rPr>
          <w:szCs w:val="22"/>
        </w:rPr>
        <w:t>The PBAC noted</w:t>
      </w:r>
      <w:r w:rsidR="00171840">
        <w:rPr>
          <w:szCs w:val="22"/>
        </w:rPr>
        <w:t xml:space="preserve"> the estimates by DUSC, during the consideration of </w:t>
      </w:r>
      <w:r w:rsidR="00FC6D23">
        <w:rPr>
          <w:szCs w:val="22"/>
        </w:rPr>
        <w:t>items 5.03</w:t>
      </w:r>
      <w:r w:rsidR="00171840">
        <w:rPr>
          <w:szCs w:val="22"/>
        </w:rPr>
        <w:t>, 5.06, 5.13 and 7.04</w:t>
      </w:r>
      <w:r w:rsidR="00B537A5">
        <w:rPr>
          <w:szCs w:val="22"/>
        </w:rPr>
        <w:t>. The</w:t>
      </w:r>
      <w:r w:rsidRPr="007752CB">
        <w:rPr>
          <w:szCs w:val="22"/>
        </w:rPr>
        <w:t xml:space="preserve"> following number of patients of all genotypes </w:t>
      </w:r>
      <w:r w:rsidR="00B537A5">
        <w:rPr>
          <w:szCs w:val="22"/>
        </w:rPr>
        <w:t xml:space="preserve">estimated to be </w:t>
      </w:r>
      <w:r w:rsidRPr="007752CB">
        <w:rPr>
          <w:szCs w:val="22"/>
        </w:rPr>
        <w:t xml:space="preserve">treated over the first five years of listing </w:t>
      </w:r>
      <w:r w:rsidR="00171840">
        <w:rPr>
          <w:szCs w:val="22"/>
        </w:rPr>
        <w:t xml:space="preserve">of new treatments. </w:t>
      </w:r>
    </w:p>
    <w:p w:rsidR="007752CB" w:rsidRDefault="007752CB" w:rsidP="007752CB">
      <w:pPr>
        <w:pStyle w:val="PBACHeading1"/>
        <w:numPr>
          <w:ilvl w:val="0"/>
          <w:numId w:val="0"/>
        </w:numPr>
        <w:ind w:left="720" w:hanging="720"/>
      </w:pPr>
    </w:p>
    <w:tbl>
      <w:tblPr>
        <w:tblStyle w:val="TableGrid"/>
        <w:tblW w:w="0" w:type="auto"/>
        <w:tblInd w:w="817" w:type="dxa"/>
        <w:tblLook w:val="04A0" w:firstRow="1" w:lastRow="0" w:firstColumn="1" w:lastColumn="0" w:noHBand="0" w:noVBand="1"/>
      </w:tblPr>
      <w:tblGrid>
        <w:gridCol w:w="1444"/>
        <w:gridCol w:w="1695"/>
        <w:gridCol w:w="1695"/>
        <w:gridCol w:w="1695"/>
        <w:gridCol w:w="1695"/>
      </w:tblGrid>
      <w:tr w:rsidR="007752CB" w:rsidTr="00D661B9">
        <w:tc>
          <w:tcPr>
            <w:tcW w:w="1444" w:type="dxa"/>
          </w:tcPr>
          <w:p w:rsidR="007752CB" w:rsidRPr="00A82832" w:rsidRDefault="007752CB" w:rsidP="00A5466E">
            <w:pPr>
              <w:pStyle w:val="BodyText"/>
              <w:rPr>
                <w:b/>
              </w:rPr>
            </w:pPr>
            <w:r w:rsidRPr="00A82832">
              <w:rPr>
                <w:b/>
              </w:rPr>
              <w:t>Year 1</w:t>
            </w:r>
          </w:p>
        </w:tc>
        <w:tc>
          <w:tcPr>
            <w:tcW w:w="1695" w:type="dxa"/>
          </w:tcPr>
          <w:p w:rsidR="007752CB" w:rsidRPr="00A82832" w:rsidRDefault="007752CB" w:rsidP="00A5466E">
            <w:pPr>
              <w:pStyle w:val="BodyText"/>
              <w:rPr>
                <w:b/>
              </w:rPr>
            </w:pPr>
            <w:r w:rsidRPr="00A82832">
              <w:rPr>
                <w:b/>
              </w:rPr>
              <w:t>Year 2</w:t>
            </w:r>
          </w:p>
        </w:tc>
        <w:tc>
          <w:tcPr>
            <w:tcW w:w="1695" w:type="dxa"/>
          </w:tcPr>
          <w:p w:rsidR="007752CB" w:rsidRPr="00A82832" w:rsidRDefault="007752CB" w:rsidP="00A5466E">
            <w:pPr>
              <w:pStyle w:val="BodyText"/>
              <w:rPr>
                <w:b/>
              </w:rPr>
            </w:pPr>
            <w:r w:rsidRPr="00A82832">
              <w:rPr>
                <w:b/>
              </w:rPr>
              <w:t>Year 3</w:t>
            </w:r>
          </w:p>
        </w:tc>
        <w:tc>
          <w:tcPr>
            <w:tcW w:w="1695" w:type="dxa"/>
          </w:tcPr>
          <w:p w:rsidR="007752CB" w:rsidRPr="00A82832" w:rsidRDefault="007752CB" w:rsidP="00A5466E">
            <w:pPr>
              <w:pStyle w:val="BodyText"/>
              <w:rPr>
                <w:b/>
              </w:rPr>
            </w:pPr>
            <w:r w:rsidRPr="00A82832">
              <w:rPr>
                <w:b/>
              </w:rPr>
              <w:t>Year 4</w:t>
            </w:r>
          </w:p>
        </w:tc>
        <w:tc>
          <w:tcPr>
            <w:tcW w:w="1695" w:type="dxa"/>
          </w:tcPr>
          <w:p w:rsidR="007752CB" w:rsidRPr="00A82832" w:rsidRDefault="007752CB" w:rsidP="00A5466E">
            <w:pPr>
              <w:pStyle w:val="BodyText"/>
              <w:rPr>
                <w:b/>
              </w:rPr>
            </w:pPr>
            <w:r w:rsidRPr="00A82832">
              <w:rPr>
                <w:b/>
              </w:rPr>
              <w:t>Year 5</w:t>
            </w:r>
          </w:p>
        </w:tc>
      </w:tr>
      <w:tr w:rsidR="007752CB" w:rsidTr="00D661B9">
        <w:tc>
          <w:tcPr>
            <w:tcW w:w="1444" w:type="dxa"/>
          </w:tcPr>
          <w:p w:rsidR="007752CB" w:rsidRPr="00A93D1C" w:rsidRDefault="007752CB" w:rsidP="00A5466E">
            <w:pPr>
              <w:pStyle w:val="BodyText"/>
            </w:pPr>
            <w:r w:rsidRPr="006378FB">
              <w:t>6,600</w:t>
            </w:r>
          </w:p>
        </w:tc>
        <w:tc>
          <w:tcPr>
            <w:tcW w:w="1695" w:type="dxa"/>
          </w:tcPr>
          <w:p w:rsidR="007752CB" w:rsidRPr="00A93D1C" w:rsidRDefault="007752CB" w:rsidP="00A5466E">
            <w:pPr>
              <w:pStyle w:val="BodyText"/>
            </w:pPr>
            <w:r w:rsidRPr="006378FB">
              <w:t>9,900</w:t>
            </w:r>
          </w:p>
        </w:tc>
        <w:tc>
          <w:tcPr>
            <w:tcW w:w="1695" w:type="dxa"/>
          </w:tcPr>
          <w:p w:rsidR="007752CB" w:rsidRPr="00A93D1C" w:rsidRDefault="007752CB" w:rsidP="00A5466E">
            <w:pPr>
              <w:pStyle w:val="BodyText"/>
            </w:pPr>
            <w:r w:rsidRPr="006378FB">
              <w:t>15,000</w:t>
            </w:r>
          </w:p>
        </w:tc>
        <w:tc>
          <w:tcPr>
            <w:tcW w:w="1695" w:type="dxa"/>
          </w:tcPr>
          <w:p w:rsidR="007752CB" w:rsidRPr="00A93D1C" w:rsidRDefault="007752CB" w:rsidP="00A5466E">
            <w:pPr>
              <w:pStyle w:val="BodyText"/>
            </w:pPr>
            <w:r w:rsidRPr="006378FB">
              <w:t>15,000</w:t>
            </w:r>
          </w:p>
        </w:tc>
        <w:tc>
          <w:tcPr>
            <w:tcW w:w="1695" w:type="dxa"/>
          </w:tcPr>
          <w:p w:rsidR="007752CB" w:rsidRPr="00A93D1C" w:rsidRDefault="007752CB" w:rsidP="00A5466E">
            <w:pPr>
              <w:pStyle w:val="BodyText"/>
            </w:pPr>
            <w:r w:rsidRPr="006378FB">
              <w:t>15,000</w:t>
            </w:r>
          </w:p>
        </w:tc>
      </w:tr>
    </w:tbl>
    <w:p w:rsidR="007752CB" w:rsidRDefault="007752CB" w:rsidP="007752CB">
      <w:pPr>
        <w:pStyle w:val="PBACHeading1"/>
        <w:numPr>
          <w:ilvl w:val="0"/>
          <w:numId w:val="0"/>
        </w:numPr>
        <w:ind w:left="720" w:hanging="720"/>
      </w:pPr>
    </w:p>
    <w:p w:rsidR="00D661B9" w:rsidRDefault="00D661B9" w:rsidP="002C2775">
      <w:pPr>
        <w:pStyle w:val="Heading2"/>
        <w:rPr>
          <w:b w:val="0"/>
          <w:szCs w:val="22"/>
        </w:rPr>
      </w:pPr>
      <w:bookmarkStart w:id="13" w:name="_Toc409593102"/>
    </w:p>
    <w:p w:rsidR="00576972" w:rsidRPr="002C2775" w:rsidRDefault="00576972" w:rsidP="002C2775">
      <w:pPr>
        <w:pStyle w:val="Heading2"/>
        <w:rPr>
          <w:i/>
        </w:rPr>
      </w:pPr>
      <w:r w:rsidRPr="002C2775">
        <w:rPr>
          <w:i/>
        </w:rPr>
        <w:t>Quality Use of Medicines</w:t>
      </w:r>
      <w:bookmarkEnd w:id="13"/>
    </w:p>
    <w:p w:rsidR="00576972" w:rsidRPr="00576972" w:rsidRDefault="00576972" w:rsidP="00576972">
      <w:pPr>
        <w:widowControl/>
        <w:rPr>
          <w:szCs w:val="22"/>
        </w:rPr>
      </w:pPr>
    </w:p>
    <w:p w:rsidR="00576972" w:rsidRPr="00E650D2" w:rsidRDefault="00E650D2" w:rsidP="00576972">
      <w:pPr>
        <w:pStyle w:val="ListParagraph"/>
        <w:widowControl/>
        <w:numPr>
          <w:ilvl w:val="1"/>
          <w:numId w:val="10"/>
        </w:numPr>
        <w:rPr>
          <w:szCs w:val="22"/>
        </w:rPr>
      </w:pPr>
      <w:r w:rsidRPr="00E650D2">
        <w:rPr>
          <w:szCs w:val="22"/>
        </w:rPr>
        <w:t>Single agent ribavirin is not listed on the PBS. Ribavirin is only available co-packaged with peginterferon from the PBS.  In the absence of PBS subsidised single agent ribavirin, clinicians may have to resort to prescribing the currently available combination products involving peginterferon and ribavirin and discarding the peginterferon.  If a Genotype 3 patient received 12 weeks of SOF plus peginterferon with ribavirin and then discarded the peginterferon, they would be treated with a sub-optimal course of SOF12+ R12. In addition, such a practice would represent substantial wastage.</w:t>
      </w:r>
    </w:p>
    <w:p w:rsidR="00FF578E" w:rsidRDefault="00FF578E" w:rsidP="006F3FD0">
      <w:pPr>
        <w:widowControl/>
      </w:pPr>
    </w:p>
    <w:p w:rsidR="00407E3C" w:rsidRPr="0025173A" w:rsidRDefault="00407E3C" w:rsidP="00407E3C">
      <w:pPr>
        <w:pStyle w:val="PBACHeading1"/>
      </w:pPr>
      <w:r w:rsidRPr="0025173A">
        <w:t xml:space="preserve">PBAC Outcome </w:t>
      </w:r>
    </w:p>
    <w:p w:rsidR="00407E3C" w:rsidRPr="0025173A" w:rsidRDefault="00407E3C" w:rsidP="00407E3C">
      <w:pPr>
        <w:widowControl/>
        <w:rPr>
          <w:rFonts w:cs="Times New Roman"/>
          <w:b/>
          <w:snapToGrid/>
          <w:szCs w:val="22"/>
          <w:lang w:eastAsia="en-AU"/>
        </w:rPr>
      </w:pPr>
    </w:p>
    <w:p w:rsidR="0015366B" w:rsidRDefault="00AC6998" w:rsidP="00AC6998">
      <w:pPr>
        <w:pStyle w:val="ListParagraph"/>
        <w:widowControl/>
        <w:numPr>
          <w:ilvl w:val="1"/>
          <w:numId w:val="10"/>
        </w:numPr>
      </w:pPr>
      <w:r w:rsidRPr="00AC6998">
        <w:t xml:space="preserve">The PBAC rejected the submission for the Section 100 (Highly Specialised Drugs Program) Authority Required (Streamlined) listing for ribavirin for the treatment of chronic hepatitis C Genotype 2 and 3 on the basis that the submission had not justified the </w:t>
      </w:r>
      <w:r w:rsidR="00E650D2">
        <w:t xml:space="preserve">incremental cost effectiveness </w:t>
      </w:r>
      <w:r w:rsidRPr="00AC6998">
        <w:t>of ribavirin compared to the currently listed ribavirin based items.</w:t>
      </w:r>
    </w:p>
    <w:p w:rsidR="00E650D2" w:rsidRPr="00AC6998" w:rsidRDefault="00E650D2" w:rsidP="00E650D2">
      <w:pPr>
        <w:pStyle w:val="ListParagraph"/>
        <w:widowControl/>
      </w:pPr>
    </w:p>
    <w:p w:rsidR="00AC6998" w:rsidRDefault="00AC6998" w:rsidP="00AC6998">
      <w:pPr>
        <w:pStyle w:val="ListParagraph"/>
        <w:widowControl/>
        <w:numPr>
          <w:ilvl w:val="1"/>
          <w:numId w:val="10"/>
        </w:numPr>
      </w:pPr>
      <w:r w:rsidRPr="00AC6998">
        <w:t xml:space="preserve">The PBAC noted the clinical need for a </w:t>
      </w:r>
      <w:r w:rsidR="00D661B9" w:rsidRPr="00AC6998">
        <w:t>stand-alone</w:t>
      </w:r>
      <w:r w:rsidRPr="00AC6998">
        <w:t xml:space="preserve"> ribavirin</w:t>
      </w:r>
      <w:r w:rsidR="00B537A5">
        <w:t xml:space="preserve"> (RBV)</w:t>
      </w:r>
      <w:r w:rsidRPr="00AC6998">
        <w:t xml:space="preserve"> for the treatment of genotype 2 and 3 patients if sofosbuvir is listed on the PBS. The PBAC noted that ESC highlighted that there was evidence that RBV was used as adjunctive therapy to improve the SVR or shorten treatment duration of DAA-based regimens. </w:t>
      </w:r>
    </w:p>
    <w:p w:rsidR="00E650D2" w:rsidRPr="00AC6998" w:rsidRDefault="00E650D2" w:rsidP="00E650D2">
      <w:pPr>
        <w:widowControl/>
      </w:pPr>
    </w:p>
    <w:p w:rsidR="00AC6998" w:rsidRDefault="00AC6998" w:rsidP="00AC6998">
      <w:pPr>
        <w:pStyle w:val="ListParagraph"/>
        <w:widowControl/>
        <w:numPr>
          <w:ilvl w:val="1"/>
          <w:numId w:val="10"/>
        </w:numPr>
      </w:pPr>
      <w:r w:rsidRPr="00AC6998">
        <w:t>The PBAC recalled the discussion at the Stakeholder meeting (February 2014) about the setting patients should be treated in. The PBAC considered that it was appropriate that the new all oral treatment to be listed in the General Schedule, to facilitated the longer term objectives for access to treatment, increase treatment rates and outcomes and acknowledging initiatives such as The Fourth National Hepatitis C Strategy 2014-2017 and NSW Hepatitis C Strategy 2014-2020 to support a greater role of primary care in the prescribing and monitoring of the newer generation of antivirals, that have reduced side effects and more simplified dosing schedules. The PBAC noted that treatment of patients would initially remain in tertiary settings but expand as clinician experience grows.</w:t>
      </w:r>
    </w:p>
    <w:p w:rsidR="00E650D2" w:rsidRPr="00AC6998" w:rsidRDefault="00E650D2" w:rsidP="00E650D2">
      <w:pPr>
        <w:pStyle w:val="PBACHeading1"/>
        <w:numPr>
          <w:ilvl w:val="0"/>
          <w:numId w:val="0"/>
        </w:numPr>
      </w:pPr>
    </w:p>
    <w:p w:rsidR="00AC6998" w:rsidRDefault="00AC6998" w:rsidP="00AC6998">
      <w:pPr>
        <w:pStyle w:val="ListParagraph"/>
        <w:widowControl/>
        <w:numPr>
          <w:ilvl w:val="1"/>
          <w:numId w:val="10"/>
        </w:numPr>
      </w:pPr>
      <w:r w:rsidRPr="00AC6998">
        <w:t>The PBAC noted that the Commentary stated that an alternative approach to determine the ribavirin price could have been to establish the cost-effective price for SOF+R as a combination therapy and then suggest a negotiation between the sponsors of the two products with regard to the disaggregated reimbursed prices for sofosbuvir and ribavirin that they would be willing to have listed on the PBS.</w:t>
      </w:r>
    </w:p>
    <w:p w:rsidR="00E63DDA" w:rsidRPr="00AC6998" w:rsidRDefault="00E63DDA" w:rsidP="00E63DDA">
      <w:pPr>
        <w:pStyle w:val="ListParagraph"/>
        <w:widowControl/>
      </w:pPr>
    </w:p>
    <w:p w:rsidR="00AC6998" w:rsidRPr="00AC6998" w:rsidRDefault="00AC6998" w:rsidP="00AC6998">
      <w:pPr>
        <w:pStyle w:val="ListParagraph"/>
        <w:widowControl/>
        <w:numPr>
          <w:ilvl w:val="1"/>
          <w:numId w:val="10"/>
        </w:numPr>
      </w:pPr>
      <w:r w:rsidRPr="00AC6998">
        <w:t>The PBAC reiterated their view that the appropriate comparator</w:t>
      </w:r>
      <w:r w:rsidR="00B537A5">
        <w:t xml:space="preserve"> </w:t>
      </w:r>
      <w:r w:rsidRPr="00AC6998">
        <w:t>was no treatment in view of the broader context of infected individuals whose treatment preference is interferon-free therapies.</w:t>
      </w:r>
    </w:p>
    <w:p w:rsidR="00AC6998" w:rsidRPr="00AC6998" w:rsidRDefault="00AC6998" w:rsidP="00AC6998">
      <w:pPr>
        <w:pStyle w:val="ListParagraph"/>
        <w:widowControl/>
      </w:pPr>
    </w:p>
    <w:p w:rsidR="00AC6998" w:rsidRPr="00AC6998" w:rsidRDefault="00AC6998" w:rsidP="00AC6998">
      <w:pPr>
        <w:pStyle w:val="ListParagraph"/>
        <w:widowControl/>
        <w:numPr>
          <w:ilvl w:val="1"/>
          <w:numId w:val="10"/>
        </w:numPr>
      </w:pPr>
      <w:r w:rsidRPr="00AC6998">
        <w:t xml:space="preserve">The PBAC considered that </w:t>
      </w:r>
      <w:r w:rsidR="009808D3">
        <w:t xml:space="preserve">the </w:t>
      </w:r>
      <w:r w:rsidRPr="00AC6998">
        <w:t xml:space="preserve">approach presented in the submission, based on international reference pricing was not informative for valuing ribavirin in the Australian context.  The PBAC noted that </w:t>
      </w:r>
      <w:r w:rsidR="009808D3">
        <w:t xml:space="preserve">the </w:t>
      </w:r>
      <w:r w:rsidRPr="00AC6998">
        <w:t>submission presented an analysis of the ‘shadow price’ of ribavirin on the PBS. The PBAC considered that, though mathematically correct to use negative unit costs for deriving a weighted price, it was more appropriate to exclude negative costs in this analysis. The PBAC noted that the submission presented data that showed that there were more services of Pegasys RBV than Pegatron during 2013-2014. The PBAC noted that based on Pegasys RBV analysis, the cost of a 200mg tablet of ribavirin was calculated to range between $</w:t>
      </w:r>
      <w:r w:rsidR="003F3ACA">
        <w:rPr>
          <w:noProof/>
          <w:color w:val="000000"/>
          <w:highlight w:val="black"/>
        </w:rPr>
        <w:t>'''''''''''</w:t>
      </w:r>
      <w:r w:rsidRPr="00AC6998">
        <w:t xml:space="preserve"> and $</w:t>
      </w:r>
      <w:r w:rsidR="003F3ACA">
        <w:rPr>
          <w:noProof/>
          <w:color w:val="000000"/>
          <w:highlight w:val="black"/>
        </w:rPr>
        <w:t>''''''''''</w:t>
      </w:r>
      <w:r w:rsidRPr="00AC6998">
        <w:t>.</w:t>
      </w:r>
    </w:p>
    <w:p w:rsidR="00AC6998" w:rsidRPr="00AC6998" w:rsidRDefault="00AC6998" w:rsidP="00AC6998">
      <w:pPr>
        <w:pStyle w:val="ListParagraph"/>
        <w:widowControl/>
      </w:pPr>
    </w:p>
    <w:p w:rsidR="00AC6998" w:rsidRPr="00AC6998" w:rsidRDefault="00AC6998" w:rsidP="00AC6998">
      <w:pPr>
        <w:pStyle w:val="ListParagraph"/>
        <w:widowControl/>
        <w:numPr>
          <w:ilvl w:val="1"/>
          <w:numId w:val="10"/>
        </w:numPr>
      </w:pPr>
      <w:r w:rsidRPr="00AC6998">
        <w:t>The PBAC were of a mind to approve listing if stand-alone ribavirin was cost-minimised to the ribavirin in the co-pack with peg-interferon most likely to be replace</w:t>
      </w:r>
      <w:r w:rsidR="009808D3">
        <w:t>d</w:t>
      </w:r>
      <w:r w:rsidRPr="00AC6998">
        <w:t xml:space="preserve">, based on current usage, and that as a component of a CHC treatment course, that the cost of the total treatment course remained in the </w:t>
      </w:r>
      <w:r w:rsidR="00B929E8" w:rsidRPr="00AC6998">
        <w:t>acceptable willingness</w:t>
      </w:r>
      <w:r w:rsidRPr="00AC6998">
        <w:t xml:space="preserve">-to-pay threshold for a CHC </w:t>
      </w:r>
      <w:r w:rsidR="00B929E8" w:rsidRPr="00AC6998">
        <w:t>patient weighting</w:t>
      </w:r>
      <w:r w:rsidRPr="00AC6998">
        <w:t xml:space="preserve"> less than 75kg. </w:t>
      </w:r>
    </w:p>
    <w:p w:rsidR="00AC6998" w:rsidRPr="00AC6998" w:rsidRDefault="00AC6998" w:rsidP="00AC6998">
      <w:pPr>
        <w:pStyle w:val="ListParagraph"/>
        <w:widowControl/>
      </w:pPr>
    </w:p>
    <w:p w:rsidR="00AC6998" w:rsidRDefault="00C44802" w:rsidP="00AC6998">
      <w:pPr>
        <w:pStyle w:val="ListParagraph"/>
        <w:widowControl/>
        <w:numPr>
          <w:ilvl w:val="1"/>
          <w:numId w:val="10"/>
        </w:numPr>
      </w:pPr>
      <w:r w:rsidRPr="00C44802">
        <w:rPr>
          <w:szCs w:val="22"/>
        </w:rPr>
        <w:t xml:space="preserve">The PBAC noted that this submission is eligible for an Independent Review. </w:t>
      </w:r>
    </w:p>
    <w:p w:rsidR="006C39B4" w:rsidRDefault="006C39B4" w:rsidP="006C39B4">
      <w:pPr>
        <w:pStyle w:val="ListParagraph"/>
        <w:widowControl/>
        <w:rPr>
          <w:szCs w:val="22"/>
        </w:rPr>
      </w:pPr>
    </w:p>
    <w:p w:rsidR="006C39B4" w:rsidRPr="0098265F" w:rsidRDefault="006C39B4" w:rsidP="006C39B4">
      <w:pPr>
        <w:pStyle w:val="ListParagraph"/>
        <w:widowControl/>
        <w:numPr>
          <w:ilvl w:val="1"/>
          <w:numId w:val="10"/>
        </w:numPr>
        <w:rPr>
          <w:szCs w:val="22"/>
        </w:rPr>
      </w:pPr>
      <w:r w:rsidRPr="0098265F">
        <w:rPr>
          <w:szCs w:val="22"/>
        </w:rPr>
        <w:t>The PBAC wished to advise the Minister that:</w:t>
      </w:r>
    </w:p>
    <w:p w:rsidR="006C39B4" w:rsidRPr="0098265F" w:rsidRDefault="006C39B4" w:rsidP="006C39B4">
      <w:pPr>
        <w:pStyle w:val="ListParagraph"/>
        <w:widowControl/>
        <w:numPr>
          <w:ilvl w:val="0"/>
          <w:numId w:val="42"/>
        </w:numPr>
        <w:spacing w:after="200"/>
        <w:ind w:left="714" w:hanging="357"/>
        <w:jc w:val="left"/>
        <w:rPr>
          <w:szCs w:val="22"/>
        </w:rPr>
      </w:pPr>
      <w:r>
        <w:rPr>
          <w:szCs w:val="22"/>
        </w:rPr>
        <w:t>While interferon</w:t>
      </w:r>
      <w:r w:rsidRPr="00D3497A">
        <w:rPr>
          <w:szCs w:val="22"/>
        </w:rPr>
        <w:t xml:space="preserve">-free oral direct acting antiviral (DAA) agents provide safe and </w:t>
      </w:r>
      <w:r>
        <w:rPr>
          <w:szCs w:val="22"/>
        </w:rPr>
        <w:t>effective</w:t>
      </w:r>
      <w:r w:rsidRPr="00D3497A">
        <w:rPr>
          <w:szCs w:val="22"/>
        </w:rPr>
        <w:t xml:space="preserve"> treatment options for patients with CHC</w:t>
      </w:r>
      <w:r>
        <w:rPr>
          <w:szCs w:val="22"/>
        </w:rPr>
        <w:t>, t</w:t>
      </w:r>
      <w:r w:rsidRPr="0098265F">
        <w:rPr>
          <w:szCs w:val="22"/>
        </w:rPr>
        <w:t xml:space="preserve">here is a substantial opportunity cost associated with </w:t>
      </w:r>
      <w:r>
        <w:rPr>
          <w:szCs w:val="22"/>
        </w:rPr>
        <w:t xml:space="preserve">the potential </w:t>
      </w:r>
      <w:r w:rsidRPr="0098265F">
        <w:rPr>
          <w:szCs w:val="22"/>
        </w:rPr>
        <w:t xml:space="preserve">listing of </w:t>
      </w:r>
      <w:r>
        <w:rPr>
          <w:szCs w:val="22"/>
        </w:rPr>
        <w:t xml:space="preserve">these </w:t>
      </w:r>
      <w:r w:rsidRPr="004B00B5">
        <w:rPr>
          <w:szCs w:val="22"/>
        </w:rPr>
        <w:t xml:space="preserve">medicines. The lower estimate of this opportunity cost is more than $3 billion over 5 years, at </w:t>
      </w:r>
      <w:r>
        <w:rPr>
          <w:szCs w:val="22"/>
        </w:rPr>
        <w:t xml:space="preserve">the </w:t>
      </w:r>
      <w:r w:rsidRPr="004B00B5">
        <w:rPr>
          <w:szCs w:val="22"/>
        </w:rPr>
        <w:t>price</w:t>
      </w:r>
      <w:r>
        <w:rPr>
          <w:szCs w:val="22"/>
        </w:rPr>
        <w:t>s</w:t>
      </w:r>
      <w:r w:rsidRPr="004B00B5">
        <w:rPr>
          <w:szCs w:val="22"/>
        </w:rPr>
        <w:t xml:space="preserve"> proposed in </w:t>
      </w:r>
      <w:r w:rsidRPr="004B00B5">
        <w:rPr>
          <w:szCs w:val="22"/>
        </w:rPr>
        <w:lastRenderedPageBreak/>
        <w:t>the submissions</w:t>
      </w:r>
      <w:r>
        <w:rPr>
          <w:szCs w:val="22"/>
        </w:rPr>
        <w:t>.</w:t>
      </w:r>
      <w:r w:rsidRPr="004B00B5">
        <w:rPr>
          <w:bCs/>
          <w:szCs w:val="22"/>
        </w:rPr>
        <w:t xml:space="preserve"> </w:t>
      </w:r>
      <w:r w:rsidRPr="004B00B5">
        <w:rPr>
          <w:szCs w:val="22"/>
        </w:rPr>
        <w:t xml:space="preserve">Given this </w:t>
      </w:r>
      <w:r>
        <w:rPr>
          <w:szCs w:val="22"/>
        </w:rPr>
        <w:t xml:space="preserve">large </w:t>
      </w:r>
      <w:r w:rsidRPr="004B00B5">
        <w:rPr>
          <w:szCs w:val="22"/>
        </w:rPr>
        <w:t>opportunity cost, the cost of a course of treatment should be set irrespective of the duration, and tha</w:t>
      </w:r>
      <w:r w:rsidR="004D38DB">
        <w:rPr>
          <w:szCs w:val="22"/>
        </w:rPr>
        <w:t xml:space="preserve">t other pricing policies be </w:t>
      </w:r>
      <w:r w:rsidRPr="004B00B5">
        <w:rPr>
          <w:szCs w:val="22"/>
        </w:rPr>
        <w:t>considered</w:t>
      </w:r>
      <w:r>
        <w:rPr>
          <w:szCs w:val="22"/>
        </w:rPr>
        <w:t>.</w:t>
      </w:r>
    </w:p>
    <w:p w:rsidR="006C39B4" w:rsidRDefault="006C39B4" w:rsidP="00D661B9">
      <w:pPr>
        <w:pStyle w:val="ListParagraph"/>
        <w:keepNext/>
        <w:keepLines/>
        <w:widowControl/>
        <w:numPr>
          <w:ilvl w:val="0"/>
          <w:numId w:val="42"/>
        </w:numPr>
        <w:spacing w:after="200"/>
        <w:ind w:left="714" w:hanging="357"/>
        <w:jc w:val="left"/>
        <w:rPr>
          <w:szCs w:val="22"/>
        </w:rPr>
      </w:pPr>
      <w:r>
        <w:rPr>
          <w:szCs w:val="22"/>
        </w:rPr>
        <w:t>T</w:t>
      </w:r>
      <w:r w:rsidRPr="00D3497A">
        <w:rPr>
          <w:szCs w:val="22"/>
        </w:rPr>
        <w:t xml:space="preserve">he impact of the new antivirals on </w:t>
      </w:r>
      <w:r>
        <w:rPr>
          <w:szCs w:val="22"/>
        </w:rPr>
        <w:t xml:space="preserve">patients currently infected has been modelled by </w:t>
      </w:r>
      <w:r w:rsidRPr="00D3497A">
        <w:rPr>
          <w:szCs w:val="22"/>
        </w:rPr>
        <w:t>Sievert et al. (2014)</w:t>
      </w:r>
      <w:r>
        <w:rPr>
          <w:szCs w:val="22"/>
        </w:rPr>
        <w:t>. This modelling shows</w:t>
      </w:r>
      <w:r w:rsidRPr="00D3497A">
        <w:rPr>
          <w:szCs w:val="22"/>
        </w:rPr>
        <w:t xml:space="preserve"> that the numbe</w:t>
      </w:r>
      <w:r>
        <w:rPr>
          <w:szCs w:val="22"/>
        </w:rPr>
        <w:t>r of people with chronic hepatitis C (CHC) will be</w:t>
      </w:r>
      <w:r w:rsidRPr="00D3497A">
        <w:rPr>
          <w:szCs w:val="22"/>
        </w:rPr>
        <w:t xml:space="preserve"> reduced by 60% in 2030 compared to the base case of current treatment</w:t>
      </w:r>
      <w:r>
        <w:rPr>
          <w:szCs w:val="22"/>
        </w:rPr>
        <w:t>. The assumptions in the model include</w:t>
      </w:r>
      <w:r w:rsidRPr="00D3497A">
        <w:rPr>
          <w:szCs w:val="22"/>
        </w:rPr>
        <w:t xml:space="preserve"> up to 13,500 people (including all fibrosis stages) are treated annually by 2018</w:t>
      </w:r>
      <w:r>
        <w:rPr>
          <w:szCs w:val="22"/>
        </w:rPr>
        <w:t xml:space="preserve"> and the DAA </w:t>
      </w:r>
      <w:r w:rsidRPr="00D3497A">
        <w:rPr>
          <w:szCs w:val="22"/>
        </w:rPr>
        <w:t xml:space="preserve">agents </w:t>
      </w:r>
      <w:r>
        <w:rPr>
          <w:szCs w:val="22"/>
        </w:rPr>
        <w:t xml:space="preserve">are expected to have rates of </w:t>
      </w:r>
      <w:r w:rsidRPr="00DB78F8">
        <w:rPr>
          <w:szCs w:val="22"/>
        </w:rPr>
        <w:t xml:space="preserve">sustained virologic response </w:t>
      </w:r>
      <w:r>
        <w:rPr>
          <w:szCs w:val="22"/>
        </w:rPr>
        <w:t>(</w:t>
      </w:r>
      <w:r w:rsidRPr="00DB78F8">
        <w:rPr>
          <w:szCs w:val="22"/>
        </w:rPr>
        <w:t>measured at 12 weeks</w:t>
      </w:r>
      <w:r>
        <w:rPr>
          <w:szCs w:val="22"/>
        </w:rPr>
        <w:t xml:space="preserve">, </w:t>
      </w:r>
      <w:r w:rsidRPr="001F512E">
        <w:rPr>
          <w:szCs w:val="22"/>
        </w:rPr>
        <w:t>SVR12</w:t>
      </w:r>
      <w:r>
        <w:rPr>
          <w:szCs w:val="22"/>
        </w:rPr>
        <w:t xml:space="preserve">) up </w:t>
      </w:r>
      <w:r w:rsidRPr="00D3497A">
        <w:rPr>
          <w:szCs w:val="22"/>
        </w:rPr>
        <w:t>to 90% for genotype 1 and 80% for genotype 3 by 2016</w:t>
      </w:r>
      <w:r>
        <w:rPr>
          <w:szCs w:val="22"/>
        </w:rPr>
        <w:t xml:space="preserve">.  </w:t>
      </w:r>
      <w:r w:rsidRPr="00D3497A">
        <w:rPr>
          <w:szCs w:val="22"/>
        </w:rPr>
        <w:t xml:space="preserve">The analyses accounted for mortality but did not consider re-infection. </w:t>
      </w:r>
    </w:p>
    <w:p w:rsidR="006C39B4" w:rsidRPr="009D0D03" w:rsidRDefault="006C39B4" w:rsidP="006C39B4">
      <w:pPr>
        <w:pStyle w:val="ListParagraph"/>
        <w:numPr>
          <w:ilvl w:val="0"/>
          <w:numId w:val="42"/>
        </w:numPr>
        <w:rPr>
          <w:szCs w:val="22"/>
        </w:rPr>
      </w:pPr>
      <w:r w:rsidRPr="009D0D03">
        <w:rPr>
          <w:szCs w:val="22"/>
        </w:rPr>
        <w:t xml:space="preserve">Advice from the </w:t>
      </w:r>
      <w:r w:rsidRPr="005606B4">
        <w:rPr>
          <w:szCs w:val="22"/>
        </w:rPr>
        <w:t>Australian Liver Association (ALA)</w:t>
      </w:r>
      <w:r>
        <w:rPr>
          <w:szCs w:val="22"/>
        </w:rPr>
        <w:t xml:space="preserve"> </w:t>
      </w:r>
      <w:r w:rsidRPr="009D0D03">
        <w:rPr>
          <w:szCs w:val="22"/>
        </w:rPr>
        <w:t xml:space="preserve">indicated that of the estimated 233,000 people living with </w:t>
      </w:r>
      <w:r>
        <w:rPr>
          <w:szCs w:val="22"/>
        </w:rPr>
        <w:t>Hepatitis C virus (</w:t>
      </w:r>
      <w:r w:rsidRPr="009D0D03">
        <w:rPr>
          <w:szCs w:val="22"/>
        </w:rPr>
        <w:t>HCV</w:t>
      </w:r>
      <w:r>
        <w:rPr>
          <w:szCs w:val="22"/>
        </w:rPr>
        <w:t>)</w:t>
      </w:r>
      <w:r w:rsidRPr="009D0D03">
        <w:rPr>
          <w:szCs w:val="22"/>
        </w:rPr>
        <w:t>, 193,000 patients have been</w:t>
      </w:r>
      <w:r>
        <w:rPr>
          <w:szCs w:val="22"/>
        </w:rPr>
        <w:t xml:space="preserve"> diagnosed. Listing of oral DAA </w:t>
      </w:r>
      <w:r w:rsidRPr="00D3497A">
        <w:rPr>
          <w:szCs w:val="22"/>
        </w:rPr>
        <w:t xml:space="preserve">agents </w:t>
      </w:r>
      <w:r w:rsidRPr="009D0D03">
        <w:rPr>
          <w:szCs w:val="22"/>
        </w:rPr>
        <w:t xml:space="preserve">may increase public and clinician awareness of the disease potentially leading to increased testing and diagnosis. </w:t>
      </w:r>
    </w:p>
    <w:p w:rsidR="006C39B4" w:rsidRPr="009D0D03" w:rsidRDefault="006C39B4" w:rsidP="006C39B4">
      <w:pPr>
        <w:pStyle w:val="ListParagraph"/>
        <w:numPr>
          <w:ilvl w:val="0"/>
          <w:numId w:val="42"/>
        </w:numPr>
        <w:rPr>
          <w:szCs w:val="22"/>
        </w:rPr>
      </w:pPr>
      <w:r>
        <w:rPr>
          <w:szCs w:val="22"/>
        </w:rPr>
        <w:t>T</w:t>
      </w:r>
      <w:r w:rsidRPr="009D0D03">
        <w:rPr>
          <w:szCs w:val="22"/>
        </w:rPr>
        <w:t>he DUSC analysis</w:t>
      </w:r>
      <w:r>
        <w:rPr>
          <w:szCs w:val="22"/>
        </w:rPr>
        <w:t xml:space="preserve"> shows</w:t>
      </w:r>
      <w:r w:rsidRPr="009D0D03">
        <w:rPr>
          <w:szCs w:val="22"/>
        </w:rPr>
        <w:t xml:space="preserve"> that </w:t>
      </w:r>
      <w:r w:rsidRPr="009D0D03">
        <w:rPr>
          <w:bCs/>
          <w:szCs w:val="22"/>
        </w:rPr>
        <w:t xml:space="preserve">approximately 60 000 patients would be treated </w:t>
      </w:r>
      <w:r>
        <w:rPr>
          <w:szCs w:val="22"/>
        </w:rPr>
        <w:t xml:space="preserve">over 5 years, </w:t>
      </w:r>
      <w:r w:rsidRPr="009D0D03">
        <w:rPr>
          <w:szCs w:val="22"/>
        </w:rPr>
        <w:t>based on treatment targets in the Fourth National Hepatitis C Strategy 2014-2017, together with the advice from the ALA and February 2014 Stakeholder meeting</w:t>
      </w:r>
      <w:r>
        <w:rPr>
          <w:szCs w:val="22"/>
        </w:rPr>
        <w:t xml:space="preserve"> (</w:t>
      </w:r>
      <w:r w:rsidRPr="00DF7455">
        <w:rPr>
          <w:szCs w:val="22"/>
        </w:rPr>
        <w:t>New oral antivirals for the Treatment of Hepatitis C</w:t>
      </w:r>
      <w:r>
        <w:rPr>
          <w:szCs w:val="22"/>
        </w:rPr>
        <w:t>)</w:t>
      </w:r>
      <w:r w:rsidRPr="009D0D03">
        <w:rPr>
          <w:szCs w:val="22"/>
        </w:rPr>
        <w:t>. However,</w:t>
      </w:r>
      <w:r>
        <w:rPr>
          <w:szCs w:val="22"/>
        </w:rPr>
        <w:t xml:space="preserve"> it is not clear how many people living with CHC</w:t>
      </w:r>
      <w:r w:rsidRPr="009D0D03">
        <w:rPr>
          <w:szCs w:val="22"/>
        </w:rPr>
        <w:t xml:space="preserve"> will seek treatment,</w:t>
      </w:r>
      <w:r>
        <w:rPr>
          <w:szCs w:val="22"/>
        </w:rPr>
        <w:t xml:space="preserve"> particularly if patients have to be seen in specialist </w:t>
      </w:r>
      <w:r w:rsidRPr="009D0D03">
        <w:rPr>
          <w:szCs w:val="22"/>
        </w:rPr>
        <w:t xml:space="preserve">liver clinics or </w:t>
      </w:r>
      <w:r>
        <w:rPr>
          <w:szCs w:val="22"/>
        </w:rPr>
        <w:t>wait</w:t>
      </w:r>
      <w:r w:rsidRPr="009D0D03">
        <w:rPr>
          <w:szCs w:val="22"/>
        </w:rPr>
        <w:t xml:space="preserve"> for a refe</w:t>
      </w:r>
      <w:r>
        <w:rPr>
          <w:szCs w:val="22"/>
        </w:rPr>
        <w:t>rral to a liver clinic. Prescribing is</w:t>
      </w:r>
      <w:r w:rsidRPr="009D0D03">
        <w:rPr>
          <w:szCs w:val="22"/>
        </w:rPr>
        <w:t xml:space="preserve"> likely to continue to be delivered through specialist clinics in the sh</w:t>
      </w:r>
      <w:r>
        <w:rPr>
          <w:szCs w:val="22"/>
        </w:rPr>
        <w:t xml:space="preserve">ort-term until clinicians in other settings have learned how to use the DAA </w:t>
      </w:r>
      <w:r w:rsidRPr="00D3497A">
        <w:rPr>
          <w:szCs w:val="22"/>
        </w:rPr>
        <w:t>agents</w:t>
      </w:r>
      <w:r>
        <w:rPr>
          <w:szCs w:val="22"/>
        </w:rPr>
        <w:t>.</w:t>
      </w:r>
      <w:r w:rsidRPr="009D0D03">
        <w:rPr>
          <w:szCs w:val="22"/>
        </w:rPr>
        <w:t xml:space="preserve"> Patients may still be required to go through the hospital system as pa</w:t>
      </w:r>
      <w:r>
        <w:rPr>
          <w:szCs w:val="22"/>
        </w:rPr>
        <w:t>rt of their clinical management,</w:t>
      </w:r>
      <w:r w:rsidRPr="009D0D03">
        <w:rPr>
          <w:szCs w:val="22"/>
        </w:rPr>
        <w:t xml:space="preserve"> which could be a limiting factor to uptake.</w:t>
      </w:r>
    </w:p>
    <w:p w:rsidR="006C39B4" w:rsidRPr="001F512E" w:rsidRDefault="006C39B4" w:rsidP="006C39B4">
      <w:pPr>
        <w:pStyle w:val="ListParagraph"/>
        <w:numPr>
          <w:ilvl w:val="0"/>
          <w:numId w:val="42"/>
        </w:numPr>
        <w:rPr>
          <w:szCs w:val="22"/>
        </w:rPr>
      </w:pPr>
      <w:r>
        <w:rPr>
          <w:szCs w:val="22"/>
        </w:rPr>
        <w:t>Given the very large</w:t>
      </w:r>
      <w:r w:rsidRPr="001F512E">
        <w:rPr>
          <w:szCs w:val="22"/>
        </w:rPr>
        <w:t xml:space="preserve"> opportunity cost, one option would be to restrict access to treatment to those </w:t>
      </w:r>
      <w:r>
        <w:rPr>
          <w:szCs w:val="22"/>
        </w:rPr>
        <w:t>with the highest clinical need. T</w:t>
      </w:r>
      <w:r w:rsidRPr="001F512E">
        <w:rPr>
          <w:szCs w:val="22"/>
        </w:rPr>
        <w:t>he PBAC considered that it was inappropriate to restrict access</w:t>
      </w:r>
      <w:r>
        <w:rPr>
          <w:szCs w:val="22"/>
        </w:rPr>
        <w:t>, given the likely benefit of the DAA agents across the full spectrum of patients with CHC, from those with early disease to those</w:t>
      </w:r>
      <w:r w:rsidRPr="001F512E">
        <w:rPr>
          <w:bCs/>
          <w:szCs w:val="22"/>
        </w:rPr>
        <w:t xml:space="preserve"> patients with </w:t>
      </w:r>
      <w:r>
        <w:rPr>
          <w:bCs/>
          <w:szCs w:val="22"/>
        </w:rPr>
        <w:t xml:space="preserve">existing </w:t>
      </w:r>
      <w:r w:rsidRPr="001F512E">
        <w:rPr>
          <w:bCs/>
          <w:szCs w:val="22"/>
        </w:rPr>
        <w:t>liver cirrhosis and severe portal hypertension, decompensated liver disease, or patients post liver transplant</w:t>
      </w:r>
      <w:r w:rsidRPr="001F512E">
        <w:rPr>
          <w:szCs w:val="22"/>
        </w:rPr>
        <w:t>.</w:t>
      </w:r>
      <w:r>
        <w:rPr>
          <w:szCs w:val="22"/>
        </w:rPr>
        <w:t xml:space="preserve"> The benefits in terms of </w:t>
      </w:r>
      <w:r w:rsidRPr="00D3497A">
        <w:rPr>
          <w:szCs w:val="22"/>
        </w:rPr>
        <w:t>avoidance or delay of decompensated cirrhosis, hepatocellular carcinoma and morbidity</w:t>
      </w:r>
      <w:r>
        <w:rPr>
          <w:szCs w:val="22"/>
        </w:rPr>
        <w:t xml:space="preserve"> are likely to be seen earlier in the most severely ill, but population benefits, such as reduction in transmission of the disease, are likely to occur with wide access to treatment. </w:t>
      </w:r>
      <w:r w:rsidRPr="001F512E">
        <w:rPr>
          <w:szCs w:val="22"/>
        </w:rPr>
        <w:t>Th</w:t>
      </w:r>
      <w:r w:rsidR="00B537A5">
        <w:rPr>
          <w:szCs w:val="22"/>
        </w:rPr>
        <w:t>ese</w:t>
      </w:r>
      <w:r w:rsidRPr="001F512E">
        <w:rPr>
          <w:szCs w:val="22"/>
        </w:rPr>
        <w:t xml:space="preserve"> and other benefits may be also realised via other community-based programmes and strategies, such as those described in the Fourth National H</w:t>
      </w:r>
      <w:r>
        <w:rPr>
          <w:szCs w:val="22"/>
        </w:rPr>
        <w:t>epatitis C Strategy 2014-2017.</w:t>
      </w:r>
    </w:p>
    <w:p w:rsidR="006C39B4" w:rsidRPr="001F512E" w:rsidRDefault="006C39B4" w:rsidP="006C39B4">
      <w:pPr>
        <w:pStyle w:val="ListParagraph"/>
        <w:numPr>
          <w:ilvl w:val="0"/>
          <w:numId w:val="42"/>
        </w:numPr>
        <w:rPr>
          <w:szCs w:val="22"/>
        </w:rPr>
      </w:pPr>
      <w:r>
        <w:rPr>
          <w:szCs w:val="22"/>
        </w:rPr>
        <w:t>T</w:t>
      </w:r>
      <w:r w:rsidRPr="001F512E">
        <w:rPr>
          <w:szCs w:val="22"/>
        </w:rPr>
        <w:t xml:space="preserve">he high </w:t>
      </w:r>
      <w:r>
        <w:rPr>
          <w:szCs w:val="22"/>
        </w:rPr>
        <w:t>response (</w:t>
      </w:r>
      <w:r w:rsidRPr="00DB78F8">
        <w:rPr>
          <w:szCs w:val="22"/>
        </w:rPr>
        <w:t>sustained virologic response measured at 12 weeks</w:t>
      </w:r>
      <w:r>
        <w:rPr>
          <w:szCs w:val="22"/>
        </w:rPr>
        <w:t xml:space="preserve">, </w:t>
      </w:r>
      <w:r w:rsidRPr="001F512E">
        <w:rPr>
          <w:szCs w:val="22"/>
        </w:rPr>
        <w:t>SVR12</w:t>
      </w:r>
      <w:r>
        <w:rPr>
          <w:szCs w:val="22"/>
        </w:rPr>
        <w:t>)</w:t>
      </w:r>
      <w:r w:rsidRPr="001F512E">
        <w:rPr>
          <w:szCs w:val="22"/>
        </w:rPr>
        <w:t xml:space="preserve"> observed in the clinical trials may only be realised if the adherence of patients in Australia to treatment is similar to those in the clinical trials. </w:t>
      </w:r>
      <w:r>
        <w:rPr>
          <w:szCs w:val="22"/>
        </w:rPr>
        <w:t>W</w:t>
      </w:r>
      <w:r w:rsidRPr="001F512E">
        <w:rPr>
          <w:szCs w:val="22"/>
        </w:rPr>
        <w:t>hile there is a patient preference for shorter treatments</w:t>
      </w:r>
      <w:r>
        <w:rPr>
          <w:szCs w:val="22"/>
        </w:rPr>
        <w:t xml:space="preserve">, and new shorter treatment regimens are currently being tested, for some patients, </w:t>
      </w:r>
      <w:r w:rsidRPr="001F512E">
        <w:rPr>
          <w:szCs w:val="22"/>
        </w:rPr>
        <w:t>24 weeks of treatment</w:t>
      </w:r>
      <w:r>
        <w:rPr>
          <w:szCs w:val="22"/>
        </w:rPr>
        <w:t xml:space="preserve"> are necessary. Therefore it is critical that appropriate prescribing education be put in place to ensure that the benefits to the Australian community are maximised.</w:t>
      </w:r>
    </w:p>
    <w:p w:rsidR="006C39B4" w:rsidRPr="001F512E" w:rsidRDefault="006C39B4" w:rsidP="006C39B4">
      <w:pPr>
        <w:pStyle w:val="ListParagraph"/>
        <w:numPr>
          <w:ilvl w:val="0"/>
          <w:numId w:val="42"/>
        </w:numPr>
        <w:rPr>
          <w:szCs w:val="22"/>
        </w:rPr>
      </w:pPr>
      <w:r w:rsidRPr="001F512E">
        <w:rPr>
          <w:szCs w:val="22"/>
        </w:rPr>
        <w:t>The treatment landscape of HCV treatment is changing rapidly, as new DAA agents or new combinations or DAA agents become available and treatment guidelines are regularly updated</w:t>
      </w:r>
      <w:r>
        <w:rPr>
          <w:szCs w:val="22"/>
        </w:rPr>
        <w:t xml:space="preserve">. It is likely that new DAA </w:t>
      </w:r>
      <w:r w:rsidRPr="00D3497A">
        <w:rPr>
          <w:szCs w:val="22"/>
        </w:rPr>
        <w:t>agents</w:t>
      </w:r>
      <w:r>
        <w:rPr>
          <w:szCs w:val="22"/>
        </w:rPr>
        <w:t xml:space="preserve"> will be produced over the next 2 to 3 years that may further increase treatment options.</w:t>
      </w:r>
      <w:r w:rsidRPr="001F512E">
        <w:rPr>
          <w:szCs w:val="22"/>
        </w:rPr>
        <w:t xml:space="preserve"> </w:t>
      </w:r>
    </w:p>
    <w:p w:rsidR="006C39B4" w:rsidRPr="001F512E" w:rsidRDefault="006C39B4" w:rsidP="00D661B9">
      <w:pPr>
        <w:pStyle w:val="ListParagraph"/>
        <w:keepNext/>
        <w:keepLines/>
        <w:numPr>
          <w:ilvl w:val="0"/>
          <w:numId w:val="42"/>
        </w:numPr>
        <w:rPr>
          <w:szCs w:val="22"/>
        </w:rPr>
      </w:pPr>
      <w:r>
        <w:rPr>
          <w:szCs w:val="22"/>
        </w:rPr>
        <w:lastRenderedPageBreak/>
        <w:t xml:space="preserve">In this context, </w:t>
      </w:r>
      <w:r w:rsidRPr="001F512E">
        <w:rPr>
          <w:szCs w:val="22"/>
        </w:rPr>
        <w:t>the current treatment for CHC, such as peginterferon and ribavirin alone and in combination with telaprevir, boceprevir or simeprevir, are no longer cost-effective as currently listed</w:t>
      </w:r>
      <w:r>
        <w:rPr>
          <w:szCs w:val="22"/>
        </w:rPr>
        <w:t xml:space="preserve"> especially </w:t>
      </w:r>
      <w:r w:rsidRPr="001F512E">
        <w:rPr>
          <w:szCs w:val="22"/>
        </w:rPr>
        <w:t xml:space="preserve">given the higher rate of adverse effects observed in clinical practice for some treatment combinations compared to those observed in the clinical trials. The Minister may wish to review the listing of these products. The PBAC advised the Department to bring this consideration to the attention of the sponsor of these products. The Commonwealth currently pay approximately $87 million for these treatments. </w:t>
      </w:r>
    </w:p>
    <w:p w:rsidR="00AC6998" w:rsidRPr="00AC6998" w:rsidRDefault="00AC6998" w:rsidP="00D661B9">
      <w:pPr>
        <w:pStyle w:val="ListParagraph"/>
        <w:keepNext/>
        <w:keepLines/>
        <w:widowControl/>
      </w:pPr>
    </w:p>
    <w:p w:rsidR="00AC6998" w:rsidRPr="0025173A" w:rsidRDefault="00AC6998" w:rsidP="00407E3C">
      <w:pPr>
        <w:widowControl/>
        <w:rPr>
          <w:rFonts w:cs="Times New Roman"/>
          <w:snapToGrid/>
          <w:szCs w:val="22"/>
          <w:lang w:eastAsia="en-AU"/>
        </w:rPr>
      </w:pPr>
    </w:p>
    <w:p w:rsidR="00407E3C" w:rsidRPr="0025173A" w:rsidRDefault="00407E3C" w:rsidP="00407E3C">
      <w:pPr>
        <w:widowControl/>
        <w:rPr>
          <w:rFonts w:cs="Times New Roman"/>
          <w:b/>
          <w:snapToGrid/>
          <w:szCs w:val="22"/>
          <w:lang w:eastAsia="en-AU"/>
        </w:rPr>
      </w:pPr>
      <w:r w:rsidRPr="0025173A">
        <w:rPr>
          <w:rFonts w:cs="Times New Roman"/>
          <w:b/>
          <w:snapToGrid/>
          <w:szCs w:val="22"/>
          <w:lang w:eastAsia="en-AU"/>
        </w:rPr>
        <w:t>Outcome:</w:t>
      </w:r>
    </w:p>
    <w:p w:rsidR="00407E3C" w:rsidRDefault="007D0A6B" w:rsidP="00407E3C">
      <w:pPr>
        <w:widowControl/>
        <w:rPr>
          <w:rFonts w:cs="Times New Roman"/>
          <w:snapToGrid/>
          <w:szCs w:val="22"/>
          <w:lang w:eastAsia="en-AU"/>
        </w:rPr>
      </w:pPr>
      <w:r>
        <w:rPr>
          <w:rFonts w:cs="Times New Roman"/>
          <w:snapToGrid/>
          <w:szCs w:val="22"/>
          <w:lang w:eastAsia="en-AU"/>
        </w:rPr>
        <w:t xml:space="preserve">Rejected </w:t>
      </w:r>
    </w:p>
    <w:p w:rsidR="0015366B" w:rsidRDefault="0015366B" w:rsidP="00407E3C">
      <w:pPr>
        <w:widowControl/>
        <w:rPr>
          <w:rFonts w:cs="Times New Roman"/>
          <w:snapToGrid/>
          <w:szCs w:val="22"/>
          <w:lang w:eastAsia="en-AU"/>
        </w:rPr>
      </w:pPr>
    </w:p>
    <w:p w:rsidR="00C45157" w:rsidRPr="00C45157" w:rsidRDefault="00C45157" w:rsidP="009A72E5">
      <w:pPr>
        <w:pStyle w:val="PBACHeading1"/>
        <w:rPr>
          <w:rFonts w:eastAsia="SimSun"/>
          <w:snapToGrid/>
        </w:rPr>
      </w:pPr>
      <w:r w:rsidRPr="00C45157">
        <w:rPr>
          <w:rFonts w:eastAsia="SimSun"/>
          <w:snapToGrid/>
        </w:rPr>
        <w:t>Context for Decision</w:t>
      </w:r>
    </w:p>
    <w:p w:rsidR="00C45157" w:rsidRPr="00C45157" w:rsidRDefault="00C45157" w:rsidP="00C45157">
      <w:pPr>
        <w:widowControl/>
        <w:ind w:left="720"/>
        <w:contextualSpacing/>
        <w:jc w:val="left"/>
        <w:rPr>
          <w:rFonts w:ascii="Times New Roman" w:hAnsi="Times New Roman" w:cs="Times New Roman"/>
          <w:b/>
          <w:snapToGrid/>
          <w:sz w:val="24"/>
          <w:szCs w:val="24"/>
          <w:lang w:eastAsia="en-AU"/>
        </w:rPr>
      </w:pPr>
    </w:p>
    <w:p w:rsidR="00C45157" w:rsidRPr="00C45157" w:rsidRDefault="00C45157" w:rsidP="00C45157">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45157" w:rsidRPr="00C45157" w:rsidRDefault="00C45157" w:rsidP="00C45157">
      <w:pPr>
        <w:widowControl/>
        <w:jc w:val="left"/>
        <w:rPr>
          <w:rFonts w:ascii="Times New Roman" w:hAnsi="Times New Roman" w:cs="Times New Roman"/>
          <w:snapToGrid/>
          <w:sz w:val="24"/>
          <w:szCs w:val="24"/>
          <w:lang w:eastAsia="en-AU"/>
        </w:rPr>
      </w:pPr>
    </w:p>
    <w:p w:rsidR="00C45157" w:rsidRPr="00C45157" w:rsidRDefault="00C45157" w:rsidP="009A72E5">
      <w:pPr>
        <w:pStyle w:val="PBACHeading1"/>
        <w:rPr>
          <w:rFonts w:eastAsia="SimSun"/>
          <w:snapToGrid/>
        </w:rPr>
      </w:pPr>
      <w:r w:rsidRPr="00C45157">
        <w:rPr>
          <w:rFonts w:eastAsia="SimSun"/>
          <w:snapToGrid/>
        </w:rPr>
        <w:t>Sponsor’s Comment</w:t>
      </w:r>
    </w:p>
    <w:p w:rsidR="00C45157" w:rsidRDefault="00C45157" w:rsidP="00C45157">
      <w:pPr>
        <w:widowControl/>
        <w:rPr>
          <w:rFonts w:cs="Times New Roman"/>
          <w:snapToGrid/>
          <w:szCs w:val="22"/>
          <w:lang w:eastAsia="en-AU"/>
        </w:rPr>
      </w:pPr>
    </w:p>
    <w:p w:rsidR="005411A7" w:rsidRPr="00C45157" w:rsidRDefault="005411A7" w:rsidP="005411A7">
      <w:pPr>
        <w:widowControl/>
        <w:ind w:left="720"/>
        <w:rPr>
          <w:rFonts w:cs="Times New Roman"/>
          <w:snapToGrid/>
          <w:szCs w:val="22"/>
          <w:lang w:eastAsia="en-AU"/>
        </w:rPr>
      </w:pPr>
      <w:r>
        <w:rPr>
          <w:rFonts w:cs="Times New Roman"/>
          <w:snapToGrid/>
          <w:szCs w:val="22"/>
          <w:lang w:eastAsia="en-AU"/>
        </w:rPr>
        <w:t>The sponsor had no comment.</w:t>
      </w:r>
    </w:p>
    <w:p w:rsidR="00C45157" w:rsidRDefault="00C45157" w:rsidP="00407E3C">
      <w:pPr>
        <w:widowControl/>
        <w:rPr>
          <w:rFonts w:cs="Times New Roman"/>
          <w:snapToGrid/>
          <w:szCs w:val="22"/>
          <w:lang w:eastAsia="en-AU"/>
        </w:rPr>
      </w:pPr>
    </w:p>
    <w:sectPr w:rsidR="00C45157" w:rsidSect="00E76B38">
      <w:headerReference w:type="default" r:id="rId9"/>
      <w:footerReference w:type="default" r:id="rId10"/>
      <w:footnotePr>
        <w:numFmt w:val="lowerLetter"/>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F30C3" w15:done="0"/>
  <w15:commentEx w15:paraId="18EFC3C8" w15:done="0"/>
  <w15:commentEx w15:paraId="541F40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CA" w:rsidRDefault="003F3ACA" w:rsidP="00124A51">
      <w:r>
        <w:separator/>
      </w:r>
    </w:p>
  </w:endnote>
  <w:endnote w:type="continuationSeparator" w:id="0">
    <w:p w:rsidR="003F3ACA" w:rsidRDefault="003F3AC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94240"/>
      <w:docPartObj>
        <w:docPartGallery w:val="Page Numbers (Bottom of Page)"/>
        <w:docPartUnique/>
      </w:docPartObj>
    </w:sdtPr>
    <w:sdtEndPr>
      <w:rPr>
        <w:noProof/>
      </w:rPr>
    </w:sdtEndPr>
    <w:sdtContent>
      <w:p w:rsidR="00D661B9" w:rsidRDefault="00D661B9">
        <w:pPr>
          <w:pStyle w:val="Footer"/>
          <w:jc w:val="center"/>
        </w:pPr>
        <w:r>
          <w:fldChar w:fldCharType="begin"/>
        </w:r>
        <w:r>
          <w:instrText xml:space="preserve"> PAGE   \* MERGEFORMAT </w:instrText>
        </w:r>
        <w:r>
          <w:fldChar w:fldCharType="separate"/>
        </w:r>
        <w:r w:rsidR="00F7287E">
          <w:rPr>
            <w:noProof/>
          </w:rPr>
          <w:t>2</w:t>
        </w:r>
        <w:r>
          <w:rPr>
            <w:noProof/>
          </w:rPr>
          <w:fldChar w:fldCharType="end"/>
        </w:r>
      </w:p>
    </w:sdtContent>
  </w:sdt>
  <w:p w:rsidR="00407E3C" w:rsidRPr="00D661B9" w:rsidRDefault="00407E3C" w:rsidP="00D66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CA" w:rsidRDefault="003F3ACA" w:rsidP="00124A51">
      <w:r>
        <w:separator/>
      </w:r>
    </w:p>
  </w:footnote>
  <w:footnote w:type="continuationSeparator" w:id="0">
    <w:p w:rsidR="003F3ACA" w:rsidRDefault="003F3AC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3C" w:rsidRDefault="00C45157" w:rsidP="00407E3C">
    <w:pPr>
      <w:pStyle w:val="Header"/>
      <w:ind w:left="360"/>
      <w:jc w:val="center"/>
      <w:rPr>
        <w:i/>
        <w:color w:val="808080"/>
      </w:rPr>
    </w:pPr>
    <w:r>
      <w:rPr>
        <w:i/>
        <w:color w:val="808080"/>
      </w:rPr>
      <w:t>Public Summary Document</w:t>
    </w:r>
    <w:r w:rsidR="00D661B9">
      <w:rPr>
        <w:i/>
        <w:color w:val="808080"/>
      </w:rPr>
      <w:t xml:space="preserve"> </w:t>
    </w:r>
    <w:r w:rsidR="00407E3C">
      <w:rPr>
        <w:i/>
        <w:color w:val="808080"/>
      </w:rPr>
      <w:t>– March 2015 PBAC Meeting</w:t>
    </w:r>
  </w:p>
  <w:p w:rsidR="00C45157" w:rsidRDefault="00C45157" w:rsidP="00407E3C">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2DCE87D2"/>
    <w:lvl w:ilvl="0" w:tplc="04090001">
      <w:start w:val="1"/>
      <w:numFmt w:val="bullet"/>
      <w:lvlText w:val=""/>
      <w:lvlJc w:val="left"/>
      <w:pPr>
        <w:ind w:left="720" w:hanging="360"/>
      </w:pPr>
      <w:rPr>
        <w:rFonts w:ascii="Symbol" w:hAnsi="Symbol" w:hint="default"/>
      </w:rPr>
    </w:lvl>
    <w:lvl w:ilvl="1" w:tplc="153AC76A">
      <w:start w:val="7"/>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04ED9"/>
    <w:multiLevelType w:val="hybridMultilevel"/>
    <w:tmpl w:val="3190BC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B420A50"/>
    <w:multiLevelType w:val="hybridMultilevel"/>
    <w:tmpl w:val="BB1A7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F76130"/>
    <w:multiLevelType w:val="hybridMultilevel"/>
    <w:tmpl w:val="87007E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2549EC"/>
    <w:multiLevelType w:val="hybridMultilevel"/>
    <w:tmpl w:val="56E610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0">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1204A7"/>
    <w:multiLevelType w:val="hybridMultilevel"/>
    <w:tmpl w:val="3138AC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283033E"/>
    <w:multiLevelType w:val="hybridMultilevel"/>
    <w:tmpl w:val="08BA2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5F4A5B"/>
    <w:multiLevelType w:val="multilevel"/>
    <w:tmpl w:val="C478A8FC"/>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3FF84D30"/>
    <w:multiLevelType w:val="hybridMultilevel"/>
    <w:tmpl w:val="FF60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2DC2350"/>
    <w:multiLevelType w:val="hybridMultilevel"/>
    <w:tmpl w:val="DAFED0E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39E3EF0"/>
    <w:multiLevelType w:val="hybridMultilevel"/>
    <w:tmpl w:val="EAF2EA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9D65B5"/>
    <w:multiLevelType w:val="hybridMultilevel"/>
    <w:tmpl w:val="50B0D3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544F1129"/>
    <w:multiLevelType w:val="hybridMultilevel"/>
    <w:tmpl w:val="F154A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8320AF"/>
    <w:multiLevelType w:val="hybridMultilevel"/>
    <w:tmpl w:val="BEA8D6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D00A85"/>
    <w:multiLevelType w:val="hybridMultilevel"/>
    <w:tmpl w:val="0818C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451D86"/>
    <w:multiLevelType w:val="hybridMultilevel"/>
    <w:tmpl w:val="A2BC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6E3DB9"/>
    <w:multiLevelType w:val="hybridMultilevel"/>
    <w:tmpl w:val="40A6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C33B0D"/>
    <w:multiLevelType w:val="hybridMultilevel"/>
    <w:tmpl w:val="2D38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C23835"/>
    <w:multiLevelType w:val="hybridMultilevel"/>
    <w:tmpl w:val="EBF253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F268AA"/>
    <w:multiLevelType w:val="hybridMultilevel"/>
    <w:tmpl w:val="0584D1CA"/>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7C5095A"/>
    <w:multiLevelType w:val="hybridMultilevel"/>
    <w:tmpl w:val="B322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B87D77"/>
    <w:multiLevelType w:val="hybridMultilevel"/>
    <w:tmpl w:val="1CF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nsid w:val="7D2378F4"/>
    <w:multiLevelType w:val="hybridMultilevel"/>
    <w:tmpl w:val="D602B0F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D04F82"/>
    <w:multiLevelType w:val="hybridMultilevel"/>
    <w:tmpl w:val="12EAE9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9"/>
  </w:num>
  <w:num w:numId="4">
    <w:abstractNumId w:val="6"/>
  </w:num>
  <w:num w:numId="5">
    <w:abstractNumId w:val="39"/>
  </w:num>
  <w:num w:numId="6">
    <w:abstractNumId w:val="21"/>
  </w:num>
  <w:num w:numId="7">
    <w:abstractNumId w:val="17"/>
  </w:num>
  <w:num w:numId="8">
    <w:abstractNumId w:val="14"/>
  </w:num>
  <w:num w:numId="9">
    <w:abstractNumId w:val="1"/>
  </w:num>
  <w:num w:numId="10">
    <w:abstractNumId w:val="34"/>
  </w:num>
  <w:num w:numId="11">
    <w:abstractNumId w:val="3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0"/>
  </w:num>
  <w:num w:numId="15">
    <w:abstractNumId w:val="12"/>
  </w:num>
  <w:num w:numId="16">
    <w:abstractNumId w:val="3"/>
  </w:num>
  <w:num w:numId="17">
    <w:abstractNumId w:val="18"/>
  </w:num>
  <w:num w:numId="18">
    <w:abstractNumId w:val="35"/>
  </w:num>
  <w:num w:numId="19">
    <w:abstractNumId w:val="33"/>
  </w:num>
  <w:num w:numId="20">
    <w:abstractNumId w:val="4"/>
  </w:num>
  <w:num w:numId="21">
    <w:abstractNumId w:val="26"/>
  </w:num>
  <w:num w:numId="22">
    <w:abstractNumId w:val="27"/>
  </w:num>
  <w:num w:numId="23">
    <w:abstractNumId w:val="5"/>
  </w:num>
  <w:num w:numId="24">
    <w:abstractNumId w:val="16"/>
  </w:num>
  <w:num w:numId="25">
    <w:abstractNumId w:val="29"/>
  </w:num>
  <w:num w:numId="26">
    <w:abstractNumId w:val="11"/>
  </w:num>
  <w:num w:numId="27">
    <w:abstractNumId w:val="34"/>
  </w:num>
  <w:num w:numId="28">
    <w:abstractNumId w:val="22"/>
  </w:num>
  <w:num w:numId="29">
    <w:abstractNumId w:val="38"/>
  </w:num>
  <w:num w:numId="30">
    <w:abstractNumId w:val="30"/>
  </w:num>
  <w:num w:numId="31">
    <w:abstractNumId w:val="24"/>
  </w:num>
  <w:num w:numId="32">
    <w:abstractNumId w:val="37"/>
  </w:num>
  <w:num w:numId="33">
    <w:abstractNumId w:val="19"/>
  </w:num>
  <w:num w:numId="34">
    <w:abstractNumId w:val="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2"/>
  </w:num>
  <w:num w:numId="38">
    <w:abstractNumId w:val="36"/>
  </w:num>
  <w:num w:numId="39">
    <w:abstractNumId w:val="8"/>
  </w:num>
  <w:num w:numId="40">
    <w:abstractNumId w:val="7"/>
  </w:num>
  <w:num w:numId="41">
    <w:abstractNumId w:val="13"/>
  </w:num>
  <w:num w:numId="42">
    <w:abstractNumId w:val="0"/>
  </w:num>
  <w:num w:numId="43">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s0zrzes6xrzpned5wyppsd0stv5prfr0zx9&quot;&gt;Ribavirin&lt;record-ids&gt;&lt;item&gt;2&lt;/item&gt;&lt;item&gt;3&lt;/item&gt;&lt;item&gt;4&lt;/item&gt;&lt;item&gt;5&lt;/item&gt;&lt;item&gt;9&lt;/item&gt;&lt;item&gt;10&lt;/item&gt;&lt;item&gt;11&lt;/item&gt;&lt;item&gt;12&lt;/item&gt;&lt;item&gt;13&lt;/item&gt;&lt;item&gt;14&lt;/item&gt;&lt;item&gt;15&lt;/item&gt;&lt;item&gt;16&lt;/item&gt;&lt;/record-ids&gt;&lt;/item&gt;&lt;/Libraries&gt;"/>
  </w:docVars>
  <w:rsids>
    <w:rsidRoot w:val="00E65E79"/>
    <w:rsid w:val="00000790"/>
    <w:rsid w:val="0000110B"/>
    <w:rsid w:val="00003064"/>
    <w:rsid w:val="00003499"/>
    <w:rsid w:val="0000377C"/>
    <w:rsid w:val="000045CE"/>
    <w:rsid w:val="000073DD"/>
    <w:rsid w:val="00007CFC"/>
    <w:rsid w:val="00013247"/>
    <w:rsid w:val="00015886"/>
    <w:rsid w:val="000161E6"/>
    <w:rsid w:val="000162EF"/>
    <w:rsid w:val="000214CC"/>
    <w:rsid w:val="0002225F"/>
    <w:rsid w:val="00023763"/>
    <w:rsid w:val="00024DEC"/>
    <w:rsid w:val="000263EB"/>
    <w:rsid w:val="000330FF"/>
    <w:rsid w:val="00036CAF"/>
    <w:rsid w:val="00040307"/>
    <w:rsid w:val="00040895"/>
    <w:rsid w:val="00043C37"/>
    <w:rsid w:val="00044C07"/>
    <w:rsid w:val="000454B4"/>
    <w:rsid w:val="000456FE"/>
    <w:rsid w:val="00046663"/>
    <w:rsid w:val="00046C1F"/>
    <w:rsid w:val="000546D7"/>
    <w:rsid w:val="0005512D"/>
    <w:rsid w:val="00060B76"/>
    <w:rsid w:val="000610DB"/>
    <w:rsid w:val="00062C1D"/>
    <w:rsid w:val="0006614D"/>
    <w:rsid w:val="00071248"/>
    <w:rsid w:val="00071FF2"/>
    <w:rsid w:val="000720B9"/>
    <w:rsid w:val="000741C3"/>
    <w:rsid w:val="00074EEC"/>
    <w:rsid w:val="00076855"/>
    <w:rsid w:val="00081106"/>
    <w:rsid w:val="000811AE"/>
    <w:rsid w:val="00081267"/>
    <w:rsid w:val="000812CA"/>
    <w:rsid w:val="000814B0"/>
    <w:rsid w:val="00082BA7"/>
    <w:rsid w:val="0008511E"/>
    <w:rsid w:val="0009020E"/>
    <w:rsid w:val="00090C7E"/>
    <w:rsid w:val="00091C97"/>
    <w:rsid w:val="000921E5"/>
    <w:rsid w:val="0009575C"/>
    <w:rsid w:val="000959E4"/>
    <w:rsid w:val="00097BF7"/>
    <w:rsid w:val="000A0E21"/>
    <w:rsid w:val="000A345A"/>
    <w:rsid w:val="000A58B1"/>
    <w:rsid w:val="000A6FDE"/>
    <w:rsid w:val="000B1712"/>
    <w:rsid w:val="000B3CD9"/>
    <w:rsid w:val="000B3D67"/>
    <w:rsid w:val="000D1BFC"/>
    <w:rsid w:val="000D232A"/>
    <w:rsid w:val="000F4BB8"/>
    <w:rsid w:val="000F5111"/>
    <w:rsid w:val="000F512E"/>
    <w:rsid w:val="000F697E"/>
    <w:rsid w:val="000F6EDB"/>
    <w:rsid w:val="000F7127"/>
    <w:rsid w:val="000F7129"/>
    <w:rsid w:val="0010020B"/>
    <w:rsid w:val="00100F8A"/>
    <w:rsid w:val="00101DE4"/>
    <w:rsid w:val="0011032E"/>
    <w:rsid w:val="0011348B"/>
    <w:rsid w:val="00116CF3"/>
    <w:rsid w:val="001201F6"/>
    <w:rsid w:val="00121799"/>
    <w:rsid w:val="0012210B"/>
    <w:rsid w:val="001222FC"/>
    <w:rsid w:val="001239E3"/>
    <w:rsid w:val="00123CF2"/>
    <w:rsid w:val="00124045"/>
    <w:rsid w:val="00124A51"/>
    <w:rsid w:val="00124FC6"/>
    <w:rsid w:val="001265E4"/>
    <w:rsid w:val="00126621"/>
    <w:rsid w:val="00126F1A"/>
    <w:rsid w:val="001301E9"/>
    <w:rsid w:val="00131D6E"/>
    <w:rsid w:val="001325F4"/>
    <w:rsid w:val="00134530"/>
    <w:rsid w:val="00137645"/>
    <w:rsid w:val="00137B09"/>
    <w:rsid w:val="0014015A"/>
    <w:rsid w:val="00140E99"/>
    <w:rsid w:val="00145540"/>
    <w:rsid w:val="001456B0"/>
    <w:rsid w:val="00146BEE"/>
    <w:rsid w:val="001511D1"/>
    <w:rsid w:val="0015366B"/>
    <w:rsid w:val="0015688B"/>
    <w:rsid w:val="00157130"/>
    <w:rsid w:val="00160813"/>
    <w:rsid w:val="00160D8D"/>
    <w:rsid w:val="0016275A"/>
    <w:rsid w:val="00162913"/>
    <w:rsid w:val="00163EFF"/>
    <w:rsid w:val="00164061"/>
    <w:rsid w:val="00164DDD"/>
    <w:rsid w:val="001661FB"/>
    <w:rsid w:val="00167645"/>
    <w:rsid w:val="00171840"/>
    <w:rsid w:val="00172B06"/>
    <w:rsid w:val="001764FF"/>
    <w:rsid w:val="0018112E"/>
    <w:rsid w:val="00182747"/>
    <w:rsid w:val="0018528C"/>
    <w:rsid w:val="0018752F"/>
    <w:rsid w:val="00191789"/>
    <w:rsid w:val="00195222"/>
    <w:rsid w:val="00195347"/>
    <w:rsid w:val="00195A9A"/>
    <w:rsid w:val="001975D8"/>
    <w:rsid w:val="00197A31"/>
    <w:rsid w:val="00197C82"/>
    <w:rsid w:val="001A08C3"/>
    <w:rsid w:val="001A0E65"/>
    <w:rsid w:val="001A7A28"/>
    <w:rsid w:val="001B025B"/>
    <w:rsid w:val="001B3443"/>
    <w:rsid w:val="001B3597"/>
    <w:rsid w:val="001B44BE"/>
    <w:rsid w:val="001B4BF1"/>
    <w:rsid w:val="001B7F68"/>
    <w:rsid w:val="001C1A90"/>
    <w:rsid w:val="001C1F47"/>
    <w:rsid w:val="001C5B66"/>
    <w:rsid w:val="001C669B"/>
    <w:rsid w:val="001C6E66"/>
    <w:rsid w:val="001D0E62"/>
    <w:rsid w:val="001D3BBA"/>
    <w:rsid w:val="001D535B"/>
    <w:rsid w:val="001D7FED"/>
    <w:rsid w:val="001E19B8"/>
    <w:rsid w:val="001E238E"/>
    <w:rsid w:val="001E2B1E"/>
    <w:rsid w:val="001E4DB8"/>
    <w:rsid w:val="001E52EB"/>
    <w:rsid w:val="001E740C"/>
    <w:rsid w:val="001F0A1D"/>
    <w:rsid w:val="001F1235"/>
    <w:rsid w:val="001F1CB3"/>
    <w:rsid w:val="001F4A0C"/>
    <w:rsid w:val="001F7361"/>
    <w:rsid w:val="00202708"/>
    <w:rsid w:val="0020385F"/>
    <w:rsid w:val="00203C5C"/>
    <w:rsid w:val="00204565"/>
    <w:rsid w:val="002045BD"/>
    <w:rsid w:val="0020496B"/>
    <w:rsid w:val="00206690"/>
    <w:rsid w:val="00207021"/>
    <w:rsid w:val="00207D00"/>
    <w:rsid w:val="002105C1"/>
    <w:rsid w:val="00215986"/>
    <w:rsid w:val="00216A83"/>
    <w:rsid w:val="00217401"/>
    <w:rsid w:val="00222755"/>
    <w:rsid w:val="0022392A"/>
    <w:rsid w:val="00223B49"/>
    <w:rsid w:val="00223F92"/>
    <w:rsid w:val="00224DD4"/>
    <w:rsid w:val="002309CC"/>
    <w:rsid w:val="002335ED"/>
    <w:rsid w:val="0023573C"/>
    <w:rsid w:val="002457B7"/>
    <w:rsid w:val="00245B7B"/>
    <w:rsid w:val="00253649"/>
    <w:rsid w:val="00254DCF"/>
    <w:rsid w:val="0025508F"/>
    <w:rsid w:val="0025534B"/>
    <w:rsid w:val="00255BB7"/>
    <w:rsid w:val="002575E0"/>
    <w:rsid w:val="0026157F"/>
    <w:rsid w:val="00262A87"/>
    <w:rsid w:val="0027339E"/>
    <w:rsid w:val="00275C5A"/>
    <w:rsid w:val="00281014"/>
    <w:rsid w:val="00281BCD"/>
    <w:rsid w:val="00281F43"/>
    <w:rsid w:val="00282FD6"/>
    <w:rsid w:val="00283D45"/>
    <w:rsid w:val="00285B1C"/>
    <w:rsid w:val="00286AA3"/>
    <w:rsid w:val="0029635C"/>
    <w:rsid w:val="002A14AB"/>
    <w:rsid w:val="002A20D5"/>
    <w:rsid w:val="002A47A6"/>
    <w:rsid w:val="002A5C9B"/>
    <w:rsid w:val="002A658C"/>
    <w:rsid w:val="002B137F"/>
    <w:rsid w:val="002B1B29"/>
    <w:rsid w:val="002B1C1F"/>
    <w:rsid w:val="002B31C8"/>
    <w:rsid w:val="002B432F"/>
    <w:rsid w:val="002B6CCE"/>
    <w:rsid w:val="002B7AC5"/>
    <w:rsid w:val="002C2775"/>
    <w:rsid w:val="002C27C1"/>
    <w:rsid w:val="002C5A71"/>
    <w:rsid w:val="002C7EA1"/>
    <w:rsid w:val="002D195B"/>
    <w:rsid w:val="002D52BD"/>
    <w:rsid w:val="002D5958"/>
    <w:rsid w:val="002E38F8"/>
    <w:rsid w:val="002E576E"/>
    <w:rsid w:val="002E60D4"/>
    <w:rsid w:val="002F0359"/>
    <w:rsid w:val="002F1831"/>
    <w:rsid w:val="002F4B7F"/>
    <w:rsid w:val="00301017"/>
    <w:rsid w:val="003013BE"/>
    <w:rsid w:val="00303BFB"/>
    <w:rsid w:val="0030786C"/>
    <w:rsid w:val="0031031A"/>
    <w:rsid w:val="00310981"/>
    <w:rsid w:val="00312DDF"/>
    <w:rsid w:val="00315498"/>
    <w:rsid w:val="00316D2F"/>
    <w:rsid w:val="00320B84"/>
    <w:rsid w:val="003211BF"/>
    <w:rsid w:val="00321FCA"/>
    <w:rsid w:val="00323AE0"/>
    <w:rsid w:val="00325C15"/>
    <w:rsid w:val="00326532"/>
    <w:rsid w:val="00326FFB"/>
    <w:rsid w:val="003366C9"/>
    <w:rsid w:val="003371B0"/>
    <w:rsid w:val="003415A9"/>
    <w:rsid w:val="00346846"/>
    <w:rsid w:val="00346949"/>
    <w:rsid w:val="00354A65"/>
    <w:rsid w:val="0035620E"/>
    <w:rsid w:val="003614F0"/>
    <w:rsid w:val="00361E70"/>
    <w:rsid w:val="0037152A"/>
    <w:rsid w:val="00375BB7"/>
    <w:rsid w:val="00381503"/>
    <w:rsid w:val="00381A73"/>
    <w:rsid w:val="003826EB"/>
    <w:rsid w:val="0038365C"/>
    <w:rsid w:val="00385399"/>
    <w:rsid w:val="003855BB"/>
    <w:rsid w:val="00387251"/>
    <w:rsid w:val="003875DA"/>
    <w:rsid w:val="00396AB4"/>
    <w:rsid w:val="00396FD0"/>
    <w:rsid w:val="00397107"/>
    <w:rsid w:val="003A1A7A"/>
    <w:rsid w:val="003A26F0"/>
    <w:rsid w:val="003A55F2"/>
    <w:rsid w:val="003B35A6"/>
    <w:rsid w:val="003C148B"/>
    <w:rsid w:val="003C2271"/>
    <w:rsid w:val="003C283B"/>
    <w:rsid w:val="003C2925"/>
    <w:rsid w:val="003C2AB8"/>
    <w:rsid w:val="003C2B26"/>
    <w:rsid w:val="003C2D2F"/>
    <w:rsid w:val="003D0247"/>
    <w:rsid w:val="003D17AC"/>
    <w:rsid w:val="003D1828"/>
    <w:rsid w:val="003D2422"/>
    <w:rsid w:val="003D5E5C"/>
    <w:rsid w:val="003D6458"/>
    <w:rsid w:val="003D6C84"/>
    <w:rsid w:val="003D75FC"/>
    <w:rsid w:val="003E6F0C"/>
    <w:rsid w:val="003F3ACA"/>
    <w:rsid w:val="003F4156"/>
    <w:rsid w:val="003F6220"/>
    <w:rsid w:val="003F7406"/>
    <w:rsid w:val="00402295"/>
    <w:rsid w:val="00407E3C"/>
    <w:rsid w:val="004104E4"/>
    <w:rsid w:val="00410708"/>
    <w:rsid w:val="00410EC7"/>
    <w:rsid w:val="004123AA"/>
    <w:rsid w:val="00414476"/>
    <w:rsid w:val="00420B9F"/>
    <w:rsid w:val="004269E4"/>
    <w:rsid w:val="004319F8"/>
    <w:rsid w:val="00432E0D"/>
    <w:rsid w:val="00433044"/>
    <w:rsid w:val="00440552"/>
    <w:rsid w:val="00440877"/>
    <w:rsid w:val="00442693"/>
    <w:rsid w:val="004443A7"/>
    <w:rsid w:val="004464EB"/>
    <w:rsid w:val="00447CD0"/>
    <w:rsid w:val="004533FE"/>
    <w:rsid w:val="00455CB0"/>
    <w:rsid w:val="00455D45"/>
    <w:rsid w:val="004612F3"/>
    <w:rsid w:val="00464595"/>
    <w:rsid w:val="00466EE6"/>
    <w:rsid w:val="00472938"/>
    <w:rsid w:val="00473A06"/>
    <w:rsid w:val="00475E43"/>
    <w:rsid w:val="00482E53"/>
    <w:rsid w:val="004867E2"/>
    <w:rsid w:val="00486F4C"/>
    <w:rsid w:val="00491B3A"/>
    <w:rsid w:val="00492CFD"/>
    <w:rsid w:val="00494BCC"/>
    <w:rsid w:val="0049539A"/>
    <w:rsid w:val="004962D2"/>
    <w:rsid w:val="0049679A"/>
    <w:rsid w:val="004A0DA1"/>
    <w:rsid w:val="004A2589"/>
    <w:rsid w:val="004A2DFC"/>
    <w:rsid w:val="004A4D49"/>
    <w:rsid w:val="004A6597"/>
    <w:rsid w:val="004B19C4"/>
    <w:rsid w:val="004B1CB4"/>
    <w:rsid w:val="004B28CD"/>
    <w:rsid w:val="004B2F18"/>
    <w:rsid w:val="004B3DDB"/>
    <w:rsid w:val="004B44FD"/>
    <w:rsid w:val="004B4B8E"/>
    <w:rsid w:val="004B5CFC"/>
    <w:rsid w:val="004B5F6D"/>
    <w:rsid w:val="004B70EB"/>
    <w:rsid w:val="004C2A79"/>
    <w:rsid w:val="004C4AED"/>
    <w:rsid w:val="004C4F3D"/>
    <w:rsid w:val="004D1D9A"/>
    <w:rsid w:val="004D2304"/>
    <w:rsid w:val="004D38DB"/>
    <w:rsid w:val="004D61B8"/>
    <w:rsid w:val="004D685B"/>
    <w:rsid w:val="004D6CD6"/>
    <w:rsid w:val="004E074E"/>
    <w:rsid w:val="004E0EB8"/>
    <w:rsid w:val="004E1077"/>
    <w:rsid w:val="004E10E7"/>
    <w:rsid w:val="004E2ADC"/>
    <w:rsid w:val="004E43B2"/>
    <w:rsid w:val="004F1D02"/>
    <w:rsid w:val="004F2679"/>
    <w:rsid w:val="004F7865"/>
    <w:rsid w:val="00506928"/>
    <w:rsid w:val="005152B5"/>
    <w:rsid w:val="00520C8F"/>
    <w:rsid w:val="00521319"/>
    <w:rsid w:val="00523C28"/>
    <w:rsid w:val="00524A20"/>
    <w:rsid w:val="00525DF1"/>
    <w:rsid w:val="00527E59"/>
    <w:rsid w:val="00532117"/>
    <w:rsid w:val="005345BF"/>
    <w:rsid w:val="0053548A"/>
    <w:rsid w:val="005411A7"/>
    <w:rsid w:val="00541C63"/>
    <w:rsid w:val="00541F6B"/>
    <w:rsid w:val="005432A8"/>
    <w:rsid w:val="005448C7"/>
    <w:rsid w:val="0054733B"/>
    <w:rsid w:val="00550AD4"/>
    <w:rsid w:val="00552BD3"/>
    <w:rsid w:val="00555109"/>
    <w:rsid w:val="0055631B"/>
    <w:rsid w:val="005612E0"/>
    <w:rsid w:val="00564149"/>
    <w:rsid w:val="0056696F"/>
    <w:rsid w:val="00567AC1"/>
    <w:rsid w:val="00571B50"/>
    <w:rsid w:val="00573F7C"/>
    <w:rsid w:val="00575D8D"/>
    <w:rsid w:val="00576972"/>
    <w:rsid w:val="00580F54"/>
    <w:rsid w:val="00583699"/>
    <w:rsid w:val="005847BE"/>
    <w:rsid w:val="00592315"/>
    <w:rsid w:val="00595797"/>
    <w:rsid w:val="00597756"/>
    <w:rsid w:val="005A1F5C"/>
    <w:rsid w:val="005B5857"/>
    <w:rsid w:val="005C1B83"/>
    <w:rsid w:val="005C1F79"/>
    <w:rsid w:val="005C346B"/>
    <w:rsid w:val="005C4672"/>
    <w:rsid w:val="005C758A"/>
    <w:rsid w:val="005D044D"/>
    <w:rsid w:val="005D18AD"/>
    <w:rsid w:val="005D3D92"/>
    <w:rsid w:val="005D4F64"/>
    <w:rsid w:val="005D7886"/>
    <w:rsid w:val="005E02F7"/>
    <w:rsid w:val="005E317C"/>
    <w:rsid w:val="005E73C0"/>
    <w:rsid w:val="005F1A41"/>
    <w:rsid w:val="005F2706"/>
    <w:rsid w:val="005F47E5"/>
    <w:rsid w:val="005F65DE"/>
    <w:rsid w:val="005F6A8F"/>
    <w:rsid w:val="00603E6A"/>
    <w:rsid w:val="00605773"/>
    <w:rsid w:val="00607669"/>
    <w:rsid w:val="00612F97"/>
    <w:rsid w:val="006141EE"/>
    <w:rsid w:val="00614C17"/>
    <w:rsid w:val="00614C77"/>
    <w:rsid w:val="00615A18"/>
    <w:rsid w:val="00616141"/>
    <w:rsid w:val="00616802"/>
    <w:rsid w:val="00617E12"/>
    <w:rsid w:val="00621477"/>
    <w:rsid w:val="0062553C"/>
    <w:rsid w:val="006261C0"/>
    <w:rsid w:val="00626539"/>
    <w:rsid w:val="00631D6B"/>
    <w:rsid w:val="0063479F"/>
    <w:rsid w:val="00634DA2"/>
    <w:rsid w:val="006364A1"/>
    <w:rsid w:val="006378FB"/>
    <w:rsid w:val="00637BFD"/>
    <w:rsid w:val="00642F59"/>
    <w:rsid w:val="00643327"/>
    <w:rsid w:val="00646AFD"/>
    <w:rsid w:val="00646EF6"/>
    <w:rsid w:val="006471CC"/>
    <w:rsid w:val="0065079F"/>
    <w:rsid w:val="0065103A"/>
    <w:rsid w:val="00673B64"/>
    <w:rsid w:val="00674E42"/>
    <w:rsid w:val="00676822"/>
    <w:rsid w:val="0068129F"/>
    <w:rsid w:val="00682112"/>
    <w:rsid w:val="00682B12"/>
    <w:rsid w:val="00683682"/>
    <w:rsid w:val="006866AD"/>
    <w:rsid w:val="006872BA"/>
    <w:rsid w:val="00687D92"/>
    <w:rsid w:val="006917D7"/>
    <w:rsid w:val="006947B5"/>
    <w:rsid w:val="00694F44"/>
    <w:rsid w:val="0069564A"/>
    <w:rsid w:val="00697379"/>
    <w:rsid w:val="006A09FF"/>
    <w:rsid w:val="006A4370"/>
    <w:rsid w:val="006A463B"/>
    <w:rsid w:val="006A4ADC"/>
    <w:rsid w:val="006A6857"/>
    <w:rsid w:val="006B246C"/>
    <w:rsid w:val="006B2F7C"/>
    <w:rsid w:val="006C2A8E"/>
    <w:rsid w:val="006C39B4"/>
    <w:rsid w:val="006C7F15"/>
    <w:rsid w:val="006D0998"/>
    <w:rsid w:val="006D27C2"/>
    <w:rsid w:val="006D3C7D"/>
    <w:rsid w:val="006D5D5F"/>
    <w:rsid w:val="006D7C72"/>
    <w:rsid w:val="006E0F74"/>
    <w:rsid w:val="006E1F05"/>
    <w:rsid w:val="006E2D30"/>
    <w:rsid w:val="006E30CC"/>
    <w:rsid w:val="006E3267"/>
    <w:rsid w:val="006F0EE6"/>
    <w:rsid w:val="006F2B83"/>
    <w:rsid w:val="006F3FD0"/>
    <w:rsid w:val="006F63A5"/>
    <w:rsid w:val="007013B7"/>
    <w:rsid w:val="0070276E"/>
    <w:rsid w:val="00702F8F"/>
    <w:rsid w:val="00711A36"/>
    <w:rsid w:val="00716F02"/>
    <w:rsid w:val="007172AD"/>
    <w:rsid w:val="007225C1"/>
    <w:rsid w:val="00722BBC"/>
    <w:rsid w:val="0072416F"/>
    <w:rsid w:val="007323B7"/>
    <w:rsid w:val="00732CC2"/>
    <w:rsid w:val="007339B5"/>
    <w:rsid w:val="00735328"/>
    <w:rsid w:val="00735F10"/>
    <w:rsid w:val="007360DA"/>
    <w:rsid w:val="00736765"/>
    <w:rsid w:val="0073685B"/>
    <w:rsid w:val="007405C1"/>
    <w:rsid w:val="00743889"/>
    <w:rsid w:val="007507A4"/>
    <w:rsid w:val="00750995"/>
    <w:rsid w:val="007562FE"/>
    <w:rsid w:val="00757E98"/>
    <w:rsid w:val="00765867"/>
    <w:rsid w:val="00767009"/>
    <w:rsid w:val="007708BF"/>
    <w:rsid w:val="00771374"/>
    <w:rsid w:val="007752CB"/>
    <w:rsid w:val="00781552"/>
    <w:rsid w:val="00785F93"/>
    <w:rsid w:val="007914C8"/>
    <w:rsid w:val="00792DF3"/>
    <w:rsid w:val="007936F4"/>
    <w:rsid w:val="00796AA9"/>
    <w:rsid w:val="007A0A12"/>
    <w:rsid w:val="007A3AA0"/>
    <w:rsid w:val="007A4C5C"/>
    <w:rsid w:val="007B177F"/>
    <w:rsid w:val="007B251D"/>
    <w:rsid w:val="007B77D1"/>
    <w:rsid w:val="007C2252"/>
    <w:rsid w:val="007C361D"/>
    <w:rsid w:val="007C7612"/>
    <w:rsid w:val="007D0024"/>
    <w:rsid w:val="007D071D"/>
    <w:rsid w:val="007D07A9"/>
    <w:rsid w:val="007D0A6B"/>
    <w:rsid w:val="007D0B38"/>
    <w:rsid w:val="007E3A3B"/>
    <w:rsid w:val="007E5392"/>
    <w:rsid w:val="007E63D3"/>
    <w:rsid w:val="007F1017"/>
    <w:rsid w:val="007F4A3F"/>
    <w:rsid w:val="007F571E"/>
    <w:rsid w:val="007F6AB2"/>
    <w:rsid w:val="008008A4"/>
    <w:rsid w:val="008050A8"/>
    <w:rsid w:val="00805142"/>
    <w:rsid w:val="00807A8B"/>
    <w:rsid w:val="00812149"/>
    <w:rsid w:val="00812D90"/>
    <w:rsid w:val="00813F0D"/>
    <w:rsid w:val="008166EF"/>
    <w:rsid w:val="0081738E"/>
    <w:rsid w:val="00817A11"/>
    <w:rsid w:val="008264EB"/>
    <w:rsid w:val="00826AAD"/>
    <w:rsid w:val="00827EB4"/>
    <w:rsid w:val="0083041A"/>
    <w:rsid w:val="008324A2"/>
    <w:rsid w:val="00833B05"/>
    <w:rsid w:val="00836F5D"/>
    <w:rsid w:val="00840CA2"/>
    <w:rsid w:val="00841DFD"/>
    <w:rsid w:val="00841FBC"/>
    <w:rsid w:val="00842A82"/>
    <w:rsid w:val="0084647E"/>
    <w:rsid w:val="00846FC7"/>
    <w:rsid w:val="0085146C"/>
    <w:rsid w:val="00855145"/>
    <w:rsid w:val="0085663A"/>
    <w:rsid w:val="00856E9A"/>
    <w:rsid w:val="00857ED1"/>
    <w:rsid w:val="00862502"/>
    <w:rsid w:val="00862A71"/>
    <w:rsid w:val="00864BE0"/>
    <w:rsid w:val="00870B92"/>
    <w:rsid w:val="00873CFA"/>
    <w:rsid w:val="00875BEB"/>
    <w:rsid w:val="0087670A"/>
    <w:rsid w:val="00880C88"/>
    <w:rsid w:val="00882874"/>
    <w:rsid w:val="00882915"/>
    <w:rsid w:val="00883787"/>
    <w:rsid w:val="00883DF4"/>
    <w:rsid w:val="00886FAE"/>
    <w:rsid w:val="00890431"/>
    <w:rsid w:val="00893B70"/>
    <w:rsid w:val="008942A7"/>
    <w:rsid w:val="00894489"/>
    <w:rsid w:val="008963A5"/>
    <w:rsid w:val="008975E7"/>
    <w:rsid w:val="008A2D31"/>
    <w:rsid w:val="008A3235"/>
    <w:rsid w:val="008A3C3E"/>
    <w:rsid w:val="008A42A1"/>
    <w:rsid w:val="008A68B3"/>
    <w:rsid w:val="008A79DE"/>
    <w:rsid w:val="008A7DC3"/>
    <w:rsid w:val="008B1C43"/>
    <w:rsid w:val="008B33F0"/>
    <w:rsid w:val="008B6D94"/>
    <w:rsid w:val="008B7D7E"/>
    <w:rsid w:val="008C0859"/>
    <w:rsid w:val="008C7ECB"/>
    <w:rsid w:val="008D14C8"/>
    <w:rsid w:val="008D3F0F"/>
    <w:rsid w:val="008D6D1A"/>
    <w:rsid w:val="008E1B9E"/>
    <w:rsid w:val="008E7643"/>
    <w:rsid w:val="008F120A"/>
    <w:rsid w:val="008F48EB"/>
    <w:rsid w:val="008F4F0B"/>
    <w:rsid w:val="008F7B8F"/>
    <w:rsid w:val="009024E9"/>
    <w:rsid w:val="009055A8"/>
    <w:rsid w:val="009062A5"/>
    <w:rsid w:val="009067C8"/>
    <w:rsid w:val="00911272"/>
    <w:rsid w:val="0091703D"/>
    <w:rsid w:val="00922131"/>
    <w:rsid w:val="00922905"/>
    <w:rsid w:val="00926E2C"/>
    <w:rsid w:val="009274ED"/>
    <w:rsid w:val="00927F76"/>
    <w:rsid w:val="0093002D"/>
    <w:rsid w:val="0093153A"/>
    <w:rsid w:val="00932B2A"/>
    <w:rsid w:val="009356A1"/>
    <w:rsid w:val="009507C1"/>
    <w:rsid w:val="00955244"/>
    <w:rsid w:val="00960CBE"/>
    <w:rsid w:val="00962CB9"/>
    <w:rsid w:val="00964312"/>
    <w:rsid w:val="0096459B"/>
    <w:rsid w:val="00966566"/>
    <w:rsid w:val="00967B3D"/>
    <w:rsid w:val="0097624F"/>
    <w:rsid w:val="009808D3"/>
    <w:rsid w:val="00983E57"/>
    <w:rsid w:val="00986558"/>
    <w:rsid w:val="0098774A"/>
    <w:rsid w:val="00996B1A"/>
    <w:rsid w:val="0099706F"/>
    <w:rsid w:val="009A0282"/>
    <w:rsid w:val="009A72E5"/>
    <w:rsid w:val="009B3E26"/>
    <w:rsid w:val="009B4CE1"/>
    <w:rsid w:val="009C0C5B"/>
    <w:rsid w:val="009C55ED"/>
    <w:rsid w:val="009D1AD8"/>
    <w:rsid w:val="009D5B91"/>
    <w:rsid w:val="009D61E6"/>
    <w:rsid w:val="009E3707"/>
    <w:rsid w:val="009E3BC2"/>
    <w:rsid w:val="009E4C07"/>
    <w:rsid w:val="009E50AF"/>
    <w:rsid w:val="009F2949"/>
    <w:rsid w:val="009F3FD3"/>
    <w:rsid w:val="00A00CC4"/>
    <w:rsid w:val="00A03D43"/>
    <w:rsid w:val="00A04380"/>
    <w:rsid w:val="00A072BB"/>
    <w:rsid w:val="00A13948"/>
    <w:rsid w:val="00A13B3E"/>
    <w:rsid w:val="00A1675F"/>
    <w:rsid w:val="00A169CF"/>
    <w:rsid w:val="00A225E1"/>
    <w:rsid w:val="00A27AEC"/>
    <w:rsid w:val="00A30212"/>
    <w:rsid w:val="00A30236"/>
    <w:rsid w:val="00A35D16"/>
    <w:rsid w:val="00A43C59"/>
    <w:rsid w:val="00A46E5A"/>
    <w:rsid w:val="00A50ECD"/>
    <w:rsid w:val="00A52729"/>
    <w:rsid w:val="00A53675"/>
    <w:rsid w:val="00A55B2A"/>
    <w:rsid w:val="00A56B6A"/>
    <w:rsid w:val="00A578DC"/>
    <w:rsid w:val="00A6641F"/>
    <w:rsid w:val="00A6725B"/>
    <w:rsid w:val="00A70965"/>
    <w:rsid w:val="00A721E1"/>
    <w:rsid w:val="00A725C2"/>
    <w:rsid w:val="00A80282"/>
    <w:rsid w:val="00A80AD0"/>
    <w:rsid w:val="00A81374"/>
    <w:rsid w:val="00A81F77"/>
    <w:rsid w:val="00A86E8B"/>
    <w:rsid w:val="00A929D5"/>
    <w:rsid w:val="00A93072"/>
    <w:rsid w:val="00A93D1C"/>
    <w:rsid w:val="00A94BD1"/>
    <w:rsid w:val="00A95428"/>
    <w:rsid w:val="00A9561B"/>
    <w:rsid w:val="00A959D8"/>
    <w:rsid w:val="00AA2E25"/>
    <w:rsid w:val="00AA7AA2"/>
    <w:rsid w:val="00AB042A"/>
    <w:rsid w:val="00AB2D34"/>
    <w:rsid w:val="00AB3430"/>
    <w:rsid w:val="00AB603C"/>
    <w:rsid w:val="00AB7CFA"/>
    <w:rsid w:val="00AC25FF"/>
    <w:rsid w:val="00AC4A33"/>
    <w:rsid w:val="00AC5B30"/>
    <w:rsid w:val="00AC5ED5"/>
    <w:rsid w:val="00AC6998"/>
    <w:rsid w:val="00AD1ED9"/>
    <w:rsid w:val="00AD34AE"/>
    <w:rsid w:val="00AE679E"/>
    <w:rsid w:val="00AF7354"/>
    <w:rsid w:val="00B025FB"/>
    <w:rsid w:val="00B0266D"/>
    <w:rsid w:val="00B072DA"/>
    <w:rsid w:val="00B2289C"/>
    <w:rsid w:val="00B25B71"/>
    <w:rsid w:val="00B26975"/>
    <w:rsid w:val="00B352C9"/>
    <w:rsid w:val="00B37005"/>
    <w:rsid w:val="00B4230E"/>
    <w:rsid w:val="00B42851"/>
    <w:rsid w:val="00B46D2C"/>
    <w:rsid w:val="00B46FDA"/>
    <w:rsid w:val="00B5051F"/>
    <w:rsid w:val="00B50DB8"/>
    <w:rsid w:val="00B537A5"/>
    <w:rsid w:val="00B53905"/>
    <w:rsid w:val="00B54B5B"/>
    <w:rsid w:val="00B54D33"/>
    <w:rsid w:val="00B5562E"/>
    <w:rsid w:val="00B56AA1"/>
    <w:rsid w:val="00B57000"/>
    <w:rsid w:val="00B60939"/>
    <w:rsid w:val="00B60AFD"/>
    <w:rsid w:val="00B62715"/>
    <w:rsid w:val="00B678D1"/>
    <w:rsid w:val="00B72D79"/>
    <w:rsid w:val="00B7663D"/>
    <w:rsid w:val="00B77A0B"/>
    <w:rsid w:val="00B818A4"/>
    <w:rsid w:val="00B8284D"/>
    <w:rsid w:val="00B82F0E"/>
    <w:rsid w:val="00B8649C"/>
    <w:rsid w:val="00B90D0B"/>
    <w:rsid w:val="00B929E8"/>
    <w:rsid w:val="00B92D0B"/>
    <w:rsid w:val="00B94945"/>
    <w:rsid w:val="00B94F8A"/>
    <w:rsid w:val="00B97530"/>
    <w:rsid w:val="00BA14E1"/>
    <w:rsid w:val="00BA4CFA"/>
    <w:rsid w:val="00BA55A3"/>
    <w:rsid w:val="00BA71E6"/>
    <w:rsid w:val="00BB13AA"/>
    <w:rsid w:val="00BB4D42"/>
    <w:rsid w:val="00BB63D2"/>
    <w:rsid w:val="00BB7405"/>
    <w:rsid w:val="00BC4E88"/>
    <w:rsid w:val="00BD3F67"/>
    <w:rsid w:val="00BD4181"/>
    <w:rsid w:val="00BD6CF3"/>
    <w:rsid w:val="00BE059E"/>
    <w:rsid w:val="00BE0667"/>
    <w:rsid w:val="00BE2180"/>
    <w:rsid w:val="00BE31B4"/>
    <w:rsid w:val="00BE4275"/>
    <w:rsid w:val="00BE44D8"/>
    <w:rsid w:val="00BF08C4"/>
    <w:rsid w:val="00BF1E1F"/>
    <w:rsid w:val="00BF2433"/>
    <w:rsid w:val="00BF2DC1"/>
    <w:rsid w:val="00BF324B"/>
    <w:rsid w:val="00BF377C"/>
    <w:rsid w:val="00BF61C9"/>
    <w:rsid w:val="00C01476"/>
    <w:rsid w:val="00C0314F"/>
    <w:rsid w:val="00C03455"/>
    <w:rsid w:val="00C05BBA"/>
    <w:rsid w:val="00C1671F"/>
    <w:rsid w:val="00C1771A"/>
    <w:rsid w:val="00C20066"/>
    <w:rsid w:val="00C208F1"/>
    <w:rsid w:val="00C2313B"/>
    <w:rsid w:val="00C23B92"/>
    <w:rsid w:val="00C25418"/>
    <w:rsid w:val="00C25D9C"/>
    <w:rsid w:val="00C31649"/>
    <w:rsid w:val="00C31FD1"/>
    <w:rsid w:val="00C35C74"/>
    <w:rsid w:val="00C40323"/>
    <w:rsid w:val="00C40385"/>
    <w:rsid w:val="00C41DB1"/>
    <w:rsid w:val="00C440FE"/>
    <w:rsid w:val="00C44802"/>
    <w:rsid w:val="00C45157"/>
    <w:rsid w:val="00C4580B"/>
    <w:rsid w:val="00C5159E"/>
    <w:rsid w:val="00C65576"/>
    <w:rsid w:val="00C66165"/>
    <w:rsid w:val="00C70A15"/>
    <w:rsid w:val="00C72376"/>
    <w:rsid w:val="00C750C8"/>
    <w:rsid w:val="00C76913"/>
    <w:rsid w:val="00C803CD"/>
    <w:rsid w:val="00C80421"/>
    <w:rsid w:val="00C809A9"/>
    <w:rsid w:val="00C8213F"/>
    <w:rsid w:val="00C83167"/>
    <w:rsid w:val="00C8797A"/>
    <w:rsid w:val="00C87FE3"/>
    <w:rsid w:val="00C92808"/>
    <w:rsid w:val="00C938CF"/>
    <w:rsid w:val="00C94F5F"/>
    <w:rsid w:val="00C95BCB"/>
    <w:rsid w:val="00CA0217"/>
    <w:rsid w:val="00CA049F"/>
    <w:rsid w:val="00CA41F3"/>
    <w:rsid w:val="00CA5245"/>
    <w:rsid w:val="00CA5C2E"/>
    <w:rsid w:val="00CA7B09"/>
    <w:rsid w:val="00CB10AB"/>
    <w:rsid w:val="00CB3F6D"/>
    <w:rsid w:val="00CB5B1A"/>
    <w:rsid w:val="00CC65FC"/>
    <w:rsid w:val="00CD6ADC"/>
    <w:rsid w:val="00CD7EAB"/>
    <w:rsid w:val="00CE6274"/>
    <w:rsid w:val="00CE74D9"/>
    <w:rsid w:val="00CF142F"/>
    <w:rsid w:val="00CF456B"/>
    <w:rsid w:val="00CF458A"/>
    <w:rsid w:val="00CF4AF0"/>
    <w:rsid w:val="00CF5A22"/>
    <w:rsid w:val="00D0262E"/>
    <w:rsid w:val="00D0615C"/>
    <w:rsid w:val="00D10C3F"/>
    <w:rsid w:val="00D110BD"/>
    <w:rsid w:val="00D1216B"/>
    <w:rsid w:val="00D12B4D"/>
    <w:rsid w:val="00D17D6C"/>
    <w:rsid w:val="00D207A9"/>
    <w:rsid w:val="00D275FE"/>
    <w:rsid w:val="00D322F4"/>
    <w:rsid w:val="00D339BD"/>
    <w:rsid w:val="00D33AB7"/>
    <w:rsid w:val="00D34779"/>
    <w:rsid w:val="00D357FF"/>
    <w:rsid w:val="00D43D04"/>
    <w:rsid w:val="00D46AF8"/>
    <w:rsid w:val="00D567FF"/>
    <w:rsid w:val="00D61FB8"/>
    <w:rsid w:val="00D63D01"/>
    <w:rsid w:val="00D661B9"/>
    <w:rsid w:val="00D66E0D"/>
    <w:rsid w:val="00D70D36"/>
    <w:rsid w:val="00D76A44"/>
    <w:rsid w:val="00D77D1E"/>
    <w:rsid w:val="00D801A9"/>
    <w:rsid w:val="00D86505"/>
    <w:rsid w:val="00D90802"/>
    <w:rsid w:val="00D90B97"/>
    <w:rsid w:val="00D91891"/>
    <w:rsid w:val="00D93753"/>
    <w:rsid w:val="00D93CF0"/>
    <w:rsid w:val="00D95EB7"/>
    <w:rsid w:val="00DA0B1A"/>
    <w:rsid w:val="00DA77A5"/>
    <w:rsid w:val="00DC5501"/>
    <w:rsid w:val="00DD3F28"/>
    <w:rsid w:val="00DD4537"/>
    <w:rsid w:val="00DD4E15"/>
    <w:rsid w:val="00DD7279"/>
    <w:rsid w:val="00DE4FCB"/>
    <w:rsid w:val="00DF0A38"/>
    <w:rsid w:val="00DF2560"/>
    <w:rsid w:val="00DF57FA"/>
    <w:rsid w:val="00DF5D2B"/>
    <w:rsid w:val="00DF5FA3"/>
    <w:rsid w:val="00DF6F29"/>
    <w:rsid w:val="00E0614F"/>
    <w:rsid w:val="00E10149"/>
    <w:rsid w:val="00E11CCE"/>
    <w:rsid w:val="00E13BF3"/>
    <w:rsid w:val="00E16372"/>
    <w:rsid w:val="00E20ED6"/>
    <w:rsid w:val="00E21358"/>
    <w:rsid w:val="00E2249B"/>
    <w:rsid w:val="00E22A0C"/>
    <w:rsid w:val="00E22A0D"/>
    <w:rsid w:val="00E27508"/>
    <w:rsid w:val="00E2771E"/>
    <w:rsid w:val="00E37569"/>
    <w:rsid w:val="00E37ACD"/>
    <w:rsid w:val="00E40426"/>
    <w:rsid w:val="00E41E30"/>
    <w:rsid w:val="00E435C6"/>
    <w:rsid w:val="00E43D70"/>
    <w:rsid w:val="00E43E11"/>
    <w:rsid w:val="00E47B2C"/>
    <w:rsid w:val="00E51560"/>
    <w:rsid w:val="00E55424"/>
    <w:rsid w:val="00E55BB5"/>
    <w:rsid w:val="00E5615D"/>
    <w:rsid w:val="00E63DDA"/>
    <w:rsid w:val="00E64991"/>
    <w:rsid w:val="00E650D2"/>
    <w:rsid w:val="00E65E2D"/>
    <w:rsid w:val="00E65E79"/>
    <w:rsid w:val="00E67416"/>
    <w:rsid w:val="00E718B6"/>
    <w:rsid w:val="00E728CD"/>
    <w:rsid w:val="00E73581"/>
    <w:rsid w:val="00E76263"/>
    <w:rsid w:val="00E76B38"/>
    <w:rsid w:val="00E80593"/>
    <w:rsid w:val="00E83BDF"/>
    <w:rsid w:val="00E849BD"/>
    <w:rsid w:val="00E9515B"/>
    <w:rsid w:val="00EA3864"/>
    <w:rsid w:val="00EA4C5C"/>
    <w:rsid w:val="00EB15B6"/>
    <w:rsid w:val="00EB18E6"/>
    <w:rsid w:val="00EB2159"/>
    <w:rsid w:val="00EB4916"/>
    <w:rsid w:val="00EB5618"/>
    <w:rsid w:val="00EB5FA5"/>
    <w:rsid w:val="00EB75D3"/>
    <w:rsid w:val="00EC00C9"/>
    <w:rsid w:val="00EC5611"/>
    <w:rsid w:val="00EC64D8"/>
    <w:rsid w:val="00ED4AB3"/>
    <w:rsid w:val="00ED7D88"/>
    <w:rsid w:val="00EE07D3"/>
    <w:rsid w:val="00EE216F"/>
    <w:rsid w:val="00EE445C"/>
    <w:rsid w:val="00EF29B3"/>
    <w:rsid w:val="00EF7847"/>
    <w:rsid w:val="00F02CDF"/>
    <w:rsid w:val="00F03D26"/>
    <w:rsid w:val="00F067A2"/>
    <w:rsid w:val="00F07660"/>
    <w:rsid w:val="00F105F5"/>
    <w:rsid w:val="00F11E7C"/>
    <w:rsid w:val="00F16ACF"/>
    <w:rsid w:val="00F22706"/>
    <w:rsid w:val="00F24837"/>
    <w:rsid w:val="00F2575F"/>
    <w:rsid w:val="00F26F8F"/>
    <w:rsid w:val="00F3377C"/>
    <w:rsid w:val="00F33DE9"/>
    <w:rsid w:val="00F35F9B"/>
    <w:rsid w:val="00F35FF6"/>
    <w:rsid w:val="00F3619A"/>
    <w:rsid w:val="00F36FCD"/>
    <w:rsid w:val="00F40989"/>
    <w:rsid w:val="00F40CB9"/>
    <w:rsid w:val="00F41125"/>
    <w:rsid w:val="00F427C7"/>
    <w:rsid w:val="00F46CB6"/>
    <w:rsid w:val="00F52734"/>
    <w:rsid w:val="00F54199"/>
    <w:rsid w:val="00F55E73"/>
    <w:rsid w:val="00F60092"/>
    <w:rsid w:val="00F6374B"/>
    <w:rsid w:val="00F64C07"/>
    <w:rsid w:val="00F7287E"/>
    <w:rsid w:val="00F73B01"/>
    <w:rsid w:val="00F80E5D"/>
    <w:rsid w:val="00F82FEB"/>
    <w:rsid w:val="00F851CE"/>
    <w:rsid w:val="00F90808"/>
    <w:rsid w:val="00F90F5E"/>
    <w:rsid w:val="00F9194B"/>
    <w:rsid w:val="00F925A3"/>
    <w:rsid w:val="00F945CE"/>
    <w:rsid w:val="00F950E9"/>
    <w:rsid w:val="00F97A78"/>
    <w:rsid w:val="00FA24E7"/>
    <w:rsid w:val="00FA6D74"/>
    <w:rsid w:val="00FB2FCB"/>
    <w:rsid w:val="00FB5E59"/>
    <w:rsid w:val="00FC1074"/>
    <w:rsid w:val="00FC1884"/>
    <w:rsid w:val="00FC6D23"/>
    <w:rsid w:val="00FD0E52"/>
    <w:rsid w:val="00FD2100"/>
    <w:rsid w:val="00FD2443"/>
    <w:rsid w:val="00FD37C7"/>
    <w:rsid w:val="00FD446D"/>
    <w:rsid w:val="00FE11C9"/>
    <w:rsid w:val="00FE17A8"/>
    <w:rsid w:val="00FF3D93"/>
    <w:rsid w:val="00FF3DCF"/>
    <w:rsid w:val="00FF578E"/>
    <w:rsid w:val="00FF5AA3"/>
    <w:rsid w:val="00FF692F"/>
    <w:rsid w:val="00FF69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D339BD"/>
    <w:rPr>
      <w:rFonts w:ascii="Arial Narrow" w:hAnsi="Arial Narrow"/>
      <w:b/>
      <w:bCs/>
      <w:sz w:val="20"/>
      <w:szCs w:val="18"/>
    </w:rPr>
  </w:style>
  <w:style w:type="character" w:customStyle="1" w:styleId="CaptionChar">
    <w:name w:val="Caption Char"/>
    <w:link w:val="Caption"/>
    <w:uiPriority w:val="10"/>
    <w:rsid w:val="00D339BD"/>
    <w:rPr>
      <w:rFonts w:ascii="Arial Narrow" w:hAnsi="Arial Narrow" w:cs="Arial"/>
      <w:b/>
      <w:bCs/>
      <w:snapToGrid w:val="0"/>
      <w:szCs w:val="18"/>
      <w:lang w:eastAsia="en-US"/>
    </w:rPr>
  </w:style>
  <w:style w:type="paragraph" w:styleId="Title">
    <w:name w:val="Title"/>
    <w:basedOn w:val="Heading1"/>
    <w:next w:val="Normal"/>
    <w:link w:val="TitleChar"/>
    <w:rsid w:val="009A72E5"/>
    <w:rPr>
      <w:sz w:val="28"/>
    </w:rPr>
  </w:style>
  <w:style w:type="character" w:customStyle="1" w:styleId="TitleChar">
    <w:name w:val="Title Char"/>
    <w:basedOn w:val="DefaultParagraphFont"/>
    <w:link w:val="Title"/>
    <w:rsid w:val="009A72E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9024E9"/>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7AA2"/>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A7AA2"/>
    <w:rPr>
      <w:rFonts w:ascii="Candara" w:eastAsiaTheme="majorEastAsia" w:hAnsi="Candara" w:cstheme="majorBidi"/>
      <w:szCs w:val="22"/>
      <w:lang w:eastAsia="en-US" w:bidi="en-US"/>
    </w:rPr>
  </w:style>
  <w:style w:type="character" w:customStyle="1" w:styleId="TableText1">
    <w:name w:val="Table Text"/>
    <w:uiPriority w:val="4"/>
    <w:qFormat/>
    <w:rsid w:val="00AA7AA2"/>
    <w:rPr>
      <w:rFonts w:ascii="Calibri" w:hAnsi="Calibri"/>
      <w:sz w:val="20"/>
    </w:rPr>
  </w:style>
  <w:style w:type="paragraph" w:customStyle="1" w:styleId="TableNotes">
    <w:name w:val="Table Notes"/>
    <w:basedOn w:val="Normal"/>
    <w:link w:val="TableNotesChar"/>
    <w:uiPriority w:val="6"/>
    <w:qFormat/>
    <w:rsid w:val="00AA7AA2"/>
    <w:pPr>
      <w:widowControl/>
      <w:spacing w:after="40" w:line="276" w:lineRule="auto"/>
    </w:pPr>
    <w:rPr>
      <w:rFonts w:ascii="Calibri" w:eastAsia="MS Gothic" w:hAnsi="Calibri" w:cs="Times New Roman"/>
      <w:snapToGrid/>
      <w:sz w:val="16"/>
    </w:rPr>
  </w:style>
  <w:style w:type="character" w:customStyle="1" w:styleId="TableNotesChar">
    <w:name w:val="Table Notes Char"/>
    <w:link w:val="TableNotes"/>
    <w:uiPriority w:val="6"/>
    <w:rsid w:val="00AA7AA2"/>
    <w:rPr>
      <w:rFonts w:ascii="Calibri" w:eastAsia="MS Gothic" w:hAnsi="Calibri"/>
      <w:sz w:val="16"/>
      <w:lang w:eastAsia="en-US"/>
    </w:rPr>
  </w:style>
  <w:style w:type="character" w:customStyle="1" w:styleId="TableBold">
    <w:name w:val="Table Bold"/>
    <w:uiPriority w:val="4"/>
    <w:qFormat/>
    <w:rsid w:val="00AA7AA2"/>
    <w:rPr>
      <w:rFonts w:ascii="Calibri" w:hAnsi="Calibri"/>
      <w:b/>
      <w:sz w:val="20"/>
      <w:lang w:val="en-AU"/>
    </w:rPr>
  </w:style>
  <w:style w:type="paragraph" w:customStyle="1" w:styleId="Default">
    <w:name w:val="Default"/>
    <w:rsid w:val="00AA7AA2"/>
    <w:pPr>
      <w:autoSpaceDE w:val="0"/>
      <w:autoSpaceDN w:val="0"/>
      <w:adjustRightInd w:val="0"/>
    </w:pPr>
    <w:rPr>
      <w:rFonts w:ascii="Arial" w:hAnsi="Arial" w:cs="Arial"/>
      <w:color w:val="000000"/>
      <w:sz w:val="24"/>
      <w:szCs w:val="24"/>
    </w:rPr>
  </w:style>
  <w:style w:type="character" w:customStyle="1" w:styleId="FontSubscript">
    <w:name w:val="Font Subscript"/>
    <w:basedOn w:val="DefaultParagraphFont"/>
    <w:uiPriority w:val="1"/>
    <w:qFormat/>
    <w:rsid w:val="00B46D2C"/>
    <w:rPr>
      <w:rFonts w:ascii="Calibri" w:hAnsi="Calibri"/>
      <w:sz w:val="24"/>
      <w:vertAlign w:val="subscript"/>
    </w:rPr>
  </w:style>
  <w:style w:type="table" w:customStyle="1" w:styleId="TableGrid2">
    <w:name w:val="Table Grid2"/>
    <w:basedOn w:val="TableNormal"/>
    <w:next w:val="TableGrid"/>
    <w:uiPriority w:val="59"/>
    <w:rsid w:val="00D10C3F"/>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Bullets">
    <w:name w:val="Table Bullets"/>
    <w:basedOn w:val="Table"/>
    <w:uiPriority w:val="5"/>
    <w:qFormat/>
    <w:rsid w:val="00EB18E6"/>
    <w:pPr>
      <w:numPr>
        <w:numId w:val="13"/>
      </w:numPr>
      <w:ind w:left="357" w:hanging="357"/>
    </w:pPr>
  </w:style>
  <w:style w:type="paragraph" w:customStyle="1" w:styleId="CaptionFootnote">
    <w:name w:val="Caption Footnote"/>
    <w:basedOn w:val="Caption"/>
    <w:qFormat/>
    <w:rsid w:val="009024E9"/>
    <w:pPr>
      <w:jc w:val="left"/>
    </w:pPr>
    <w:rPr>
      <w:rFonts w:ascii="Candara" w:eastAsiaTheme="majorEastAsia" w:hAnsi="Candara" w:cstheme="majorBidi"/>
      <w:b w:val="0"/>
      <w:snapToGrid/>
      <w:sz w:val="16"/>
      <w:lang w:bidi="en-US"/>
    </w:rPr>
  </w:style>
  <w:style w:type="paragraph" w:styleId="FootnoteText">
    <w:name w:val="footnote text"/>
    <w:basedOn w:val="Normal"/>
    <w:link w:val="FootnoteTextChar"/>
    <w:unhideWhenUsed/>
    <w:rsid w:val="00C83167"/>
    <w:rPr>
      <w:sz w:val="20"/>
    </w:rPr>
  </w:style>
  <w:style w:type="character" w:customStyle="1" w:styleId="FootnoteTextChar">
    <w:name w:val="Footnote Text Char"/>
    <w:basedOn w:val="DefaultParagraphFont"/>
    <w:link w:val="FootnoteText"/>
    <w:rsid w:val="00C83167"/>
    <w:rPr>
      <w:rFonts w:ascii="Arial" w:hAnsi="Arial" w:cs="Arial"/>
      <w:snapToGrid w:val="0"/>
      <w:lang w:eastAsia="en-US"/>
    </w:rPr>
  </w:style>
  <w:style w:type="character" w:styleId="FootnoteReference">
    <w:name w:val="footnote reference"/>
    <w:basedOn w:val="DefaultParagraphFont"/>
    <w:unhideWhenUsed/>
    <w:rsid w:val="00C83167"/>
    <w:rPr>
      <w:vertAlign w:val="superscript"/>
    </w:rPr>
  </w:style>
  <w:style w:type="character" w:customStyle="1" w:styleId="SmallBold">
    <w:name w:val="Small Bold"/>
    <w:basedOn w:val="DefaultParagraphFont"/>
    <w:uiPriority w:val="4"/>
    <w:qFormat/>
    <w:rsid w:val="00827EB4"/>
    <w:rPr>
      <w:rFonts w:ascii="Candara" w:hAnsi="Candara"/>
      <w:b/>
      <w:sz w:val="20"/>
      <w:lang w:val="en-AU"/>
    </w:rPr>
  </w:style>
  <w:style w:type="paragraph" w:customStyle="1" w:styleId="TableCentre">
    <w:name w:val="Table Centre"/>
    <w:basedOn w:val="Table"/>
    <w:qFormat/>
    <w:rsid w:val="00827EB4"/>
    <w:pPr>
      <w:jc w:val="center"/>
    </w:pPr>
  </w:style>
  <w:style w:type="paragraph" w:customStyle="1" w:styleId="TableRight">
    <w:name w:val="Table Right"/>
    <w:basedOn w:val="Table"/>
    <w:next w:val="Table"/>
    <w:qFormat/>
    <w:rsid w:val="003211BF"/>
    <w:pPr>
      <w:jc w:val="right"/>
    </w:pPr>
  </w:style>
  <w:style w:type="paragraph" w:customStyle="1" w:styleId="CaptionFootnotes">
    <w:name w:val="Caption Footnotes"/>
    <w:basedOn w:val="Normal"/>
    <w:link w:val="CaptionFootnotesChar"/>
    <w:uiPriority w:val="6"/>
    <w:qFormat/>
    <w:rsid w:val="00FD2443"/>
    <w:pPr>
      <w:widowControl/>
      <w:spacing w:after="40" w:line="276" w:lineRule="auto"/>
    </w:pPr>
    <w:rPr>
      <w:rFonts w:ascii="Candara" w:eastAsiaTheme="majorEastAsia" w:hAnsi="Candara" w:cstheme="majorBidi"/>
      <w:snapToGrid/>
      <w:sz w:val="16"/>
      <w:szCs w:val="22"/>
      <w:lang w:bidi="en-US"/>
    </w:rPr>
  </w:style>
  <w:style w:type="character" w:customStyle="1" w:styleId="CaptionFootnotesChar">
    <w:name w:val="Caption Footnotes Char"/>
    <w:basedOn w:val="DefaultParagraphFont"/>
    <w:link w:val="CaptionFootnotes"/>
    <w:uiPriority w:val="6"/>
    <w:rsid w:val="00FD2443"/>
    <w:rPr>
      <w:rFonts w:ascii="Candara" w:eastAsiaTheme="majorEastAsia" w:hAnsi="Candara" w:cstheme="majorBidi"/>
      <w:sz w:val="16"/>
      <w:szCs w:val="22"/>
      <w:lang w:eastAsia="en-US" w:bidi="en-US"/>
    </w:rPr>
  </w:style>
  <w:style w:type="character" w:customStyle="1" w:styleId="FontSuperscript">
    <w:name w:val="Font Superscript"/>
    <w:basedOn w:val="DefaultParagraphFont"/>
    <w:uiPriority w:val="1"/>
    <w:qFormat/>
    <w:rsid w:val="00525DF1"/>
    <w:rPr>
      <w:rFonts w:ascii="Calibri" w:hAnsi="Calibri"/>
      <w:sz w:val="24"/>
      <w:vertAlign w:val="superscript"/>
    </w:rPr>
  </w:style>
  <w:style w:type="table" w:customStyle="1" w:styleId="TableGrid3">
    <w:name w:val="Table Grid3"/>
    <w:basedOn w:val="TableNormal"/>
    <w:next w:val="TableGrid"/>
    <w:uiPriority w:val="59"/>
    <w:rsid w:val="0005512D"/>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922131"/>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69E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F57FA"/>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72"/>
    <w:rsid w:val="00407E3C"/>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D339BD"/>
    <w:rPr>
      <w:rFonts w:ascii="Arial Narrow" w:hAnsi="Arial Narrow"/>
      <w:b/>
      <w:bCs/>
      <w:sz w:val="20"/>
      <w:szCs w:val="18"/>
    </w:rPr>
  </w:style>
  <w:style w:type="character" w:customStyle="1" w:styleId="CaptionChar">
    <w:name w:val="Caption Char"/>
    <w:link w:val="Caption"/>
    <w:uiPriority w:val="10"/>
    <w:rsid w:val="00D339BD"/>
    <w:rPr>
      <w:rFonts w:ascii="Arial Narrow" w:hAnsi="Arial Narrow" w:cs="Arial"/>
      <w:b/>
      <w:bCs/>
      <w:snapToGrid w:val="0"/>
      <w:szCs w:val="18"/>
      <w:lang w:eastAsia="en-US"/>
    </w:rPr>
  </w:style>
  <w:style w:type="paragraph" w:styleId="Title">
    <w:name w:val="Title"/>
    <w:basedOn w:val="Heading1"/>
    <w:next w:val="Normal"/>
    <w:link w:val="TitleChar"/>
    <w:rsid w:val="009A72E5"/>
    <w:rPr>
      <w:sz w:val="28"/>
    </w:rPr>
  </w:style>
  <w:style w:type="character" w:customStyle="1" w:styleId="TitleChar">
    <w:name w:val="Title Char"/>
    <w:basedOn w:val="DefaultParagraphFont"/>
    <w:link w:val="Title"/>
    <w:rsid w:val="009A72E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9024E9"/>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7AA2"/>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AA7AA2"/>
    <w:rPr>
      <w:rFonts w:ascii="Candara" w:eastAsiaTheme="majorEastAsia" w:hAnsi="Candara" w:cstheme="majorBidi"/>
      <w:szCs w:val="22"/>
      <w:lang w:eastAsia="en-US" w:bidi="en-US"/>
    </w:rPr>
  </w:style>
  <w:style w:type="character" w:customStyle="1" w:styleId="TableText1">
    <w:name w:val="Table Text"/>
    <w:uiPriority w:val="4"/>
    <w:qFormat/>
    <w:rsid w:val="00AA7AA2"/>
    <w:rPr>
      <w:rFonts w:ascii="Calibri" w:hAnsi="Calibri"/>
      <w:sz w:val="20"/>
    </w:rPr>
  </w:style>
  <w:style w:type="paragraph" w:customStyle="1" w:styleId="TableNotes">
    <w:name w:val="Table Notes"/>
    <w:basedOn w:val="Normal"/>
    <w:link w:val="TableNotesChar"/>
    <w:uiPriority w:val="6"/>
    <w:qFormat/>
    <w:rsid w:val="00AA7AA2"/>
    <w:pPr>
      <w:widowControl/>
      <w:spacing w:after="40" w:line="276" w:lineRule="auto"/>
    </w:pPr>
    <w:rPr>
      <w:rFonts w:ascii="Calibri" w:eastAsia="MS Gothic" w:hAnsi="Calibri" w:cs="Times New Roman"/>
      <w:snapToGrid/>
      <w:sz w:val="16"/>
    </w:rPr>
  </w:style>
  <w:style w:type="character" w:customStyle="1" w:styleId="TableNotesChar">
    <w:name w:val="Table Notes Char"/>
    <w:link w:val="TableNotes"/>
    <w:uiPriority w:val="6"/>
    <w:rsid w:val="00AA7AA2"/>
    <w:rPr>
      <w:rFonts w:ascii="Calibri" w:eastAsia="MS Gothic" w:hAnsi="Calibri"/>
      <w:sz w:val="16"/>
      <w:lang w:eastAsia="en-US"/>
    </w:rPr>
  </w:style>
  <w:style w:type="character" w:customStyle="1" w:styleId="TableBold">
    <w:name w:val="Table Bold"/>
    <w:uiPriority w:val="4"/>
    <w:qFormat/>
    <w:rsid w:val="00AA7AA2"/>
    <w:rPr>
      <w:rFonts w:ascii="Calibri" w:hAnsi="Calibri"/>
      <w:b/>
      <w:sz w:val="20"/>
      <w:lang w:val="en-AU"/>
    </w:rPr>
  </w:style>
  <w:style w:type="paragraph" w:customStyle="1" w:styleId="Default">
    <w:name w:val="Default"/>
    <w:rsid w:val="00AA7AA2"/>
    <w:pPr>
      <w:autoSpaceDE w:val="0"/>
      <w:autoSpaceDN w:val="0"/>
      <w:adjustRightInd w:val="0"/>
    </w:pPr>
    <w:rPr>
      <w:rFonts w:ascii="Arial" w:hAnsi="Arial" w:cs="Arial"/>
      <w:color w:val="000000"/>
      <w:sz w:val="24"/>
      <w:szCs w:val="24"/>
    </w:rPr>
  </w:style>
  <w:style w:type="character" w:customStyle="1" w:styleId="FontSubscript">
    <w:name w:val="Font Subscript"/>
    <w:basedOn w:val="DefaultParagraphFont"/>
    <w:uiPriority w:val="1"/>
    <w:qFormat/>
    <w:rsid w:val="00B46D2C"/>
    <w:rPr>
      <w:rFonts w:ascii="Calibri" w:hAnsi="Calibri"/>
      <w:sz w:val="24"/>
      <w:vertAlign w:val="subscript"/>
    </w:rPr>
  </w:style>
  <w:style w:type="table" w:customStyle="1" w:styleId="TableGrid2">
    <w:name w:val="Table Grid2"/>
    <w:basedOn w:val="TableNormal"/>
    <w:next w:val="TableGrid"/>
    <w:uiPriority w:val="59"/>
    <w:rsid w:val="00D10C3F"/>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Bullets">
    <w:name w:val="Table Bullets"/>
    <w:basedOn w:val="Table"/>
    <w:uiPriority w:val="5"/>
    <w:qFormat/>
    <w:rsid w:val="00EB18E6"/>
    <w:pPr>
      <w:numPr>
        <w:numId w:val="13"/>
      </w:numPr>
      <w:ind w:left="357" w:hanging="357"/>
    </w:pPr>
  </w:style>
  <w:style w:type="paragraph" w:customStyle="1" w:styleId="CaptionFootnote">
    <w:name w:val="Caption Footnote"/>
    <w:basedOn w:val="Caption"/>
    <w:qFormat/>
    <w:rsid w:val="009024E9"/>
    <w:pPr>
      <w:jc w:val="left"/>
    </w:pPr>
    <w:rPr>
      <w:rFonts w:ascii="Candara" w:eastAsiaTheme="majorEastAsia" w:hAnsi="Candara" w:cstheme="majorBidi"/>
      <w:b w:val="0"/>
      <w:snapToGrid/>
      <w:sz w:val="16"/>
      <w:lang w:bidi="en-US"/>
    </w:rPr>
  </w:style>
  <w:style w:type="paragraph" w:styleId="FootnoteText">
    <w:name w:val="footnote text"/>
    <w:basedOn w:val="Normal"/>
    <w:link w:val="FootnoteTextChar"/>
    <w:unhideWhenUsed/>
    <w:rsid w:val="00C83167"/>
    <w:rPr>
      <w:sz w:val="20"/>
    </w:rPr>
  </w:style>
  <w:style w:type="character" w:customStyle="1" w:styleId="FootnoteTextChar">
    <w:name w:val="Footnote Text Char"/>
    <w:basedOn w:val="DefaultParagraphFont"/>
    <w:link w:val="FootnoteText"/>
    <w:rsid w:val="00C83167"/>
    <w:rPr>
      <w:rFonts w:ascii="Arial" w:hAnsi="Arial" w:cs="Arial"/>
      <w:snapToGrid w:val="0"/>
      <w:lang w:eastAsia="en-US"/>
    </w:rPr>
  </w:style>
  <w:style w:type="character" w:styleId="FootnoteReference">
    <w:name w:val="footnote reference"/>
    <w:basedOn w:val="DefaultParagraphFont"/>
    <w:unhideWhenUsed/>
    <w:rsid w:val="00C83167"/>
    <w:rPr>
      <w:vertAlign w:val="superscript"/>
    </w:rPr>
  </w:style>
  <w:style w:type="character" w:customStyle="1" w:styleId="SmallBold">
    <w:name w:val="Small Bold"/>
    <w:basedOn w:val="DefaultParagraphFont"/>
    <w:uiPriority w:val="4"/>
    <w:qFormat/>
    <w:rsid w:val="00827EB4"/>
    <w:rPr>
      <w:rFonts w:ascii="Candara" w:hAnsi="Candara"/>
      <w:b/>
      <w:sz w:val="20"/>
      <w:lang w:val="en-AU"/>
    </w:rPr>
  </w:style>
  <w:style w:type="paragraph" w:customStyle="1" w:styleId="TableCentre">
    <w:name w:val="Table Centre"/>
    <w:basedOn w:val="Table"/>
    <w:qFormat/>
    <w:rsid w:val="00827EB4"/>
    <w:pPr>
      <w:jc w:val="center"/>
    </w:pPr>
  </w:style>
  <w:style w:type="paragraph" w:customStyle="1" w:styleId="TableRight">
    <w:name w:val="Table Right"/>
    <w:basedOn w:val="Table"/>
    <w:next w:val="Table"/>
    <w:qFormat/>
    <w:rsid w:val="003211BF"/>
    <w:pPr>
      <w:jc w:val="right"/>
    </w:pPr>
  </w:style>
  <w:style w:type="paragraph" w:customStyle="1" w:styleId="CaptionFootnotes">
    <w:name w:val="Caption Footnotes"/>
    <w:basedOn w:val="Normal"/>
    <w:link w:val="CaptionFootnotesChar"/>
    <w:uiPriority w:val="6"/>
    <w:qFormat/>
    <w:rsid w:val="00FD2443"/>
    <w:pPr>
      <w:widowControl/>
      <w:spacing w:after="40" w:line="276" w:lineRule="auto"/>
    </w:pPr>
    <w:rPr>
      <w:rFonts w:ascii="Candara" w:eastAsiaTheme="majorEastAsia" w:hAnsi="Candara" w:cstheme="majorBidi"/>
      <w:snapToGrid/>
      <w:sz w:val="16"/>
      <w:szCs w:val="22"/>
      <w:lang w:bidi="en-US"/>
    </w:rPr>
  </w:style>
  <w:style w:type="character" w:customStyle="1" w:styleId="CaptionFootnotesChar">
    <w:name w:val="Caption Footnotes Char"/>
    <w:basedOn w:val="DefaultParagraphFont"/>
    <w:link w:val="CaptionFootnotes"/>
    <w:uiPriority w:val="6"/>
    <w:rsid w:val="00FD2443"/>
    <w:rPr>
      <w:rFonts w:ascii="Candara" w:eastAsiaTheme="majorEastAsia" w:hAnsi="Candara" w:cstheme="majorBidi"/>
      <w:sz w:val="16"/>
      <w:szCs w:val="22"/>
      <w:lang w:eastAsia="en-US" w:bidi="en-US"/>
    </w:rPr>
  </w:style>
  <w:style w:type="character" w:customStyle="1" w:styleId="FontSuperscript">
    <w:name w:val="Font Superscript"/>
    <w:basedOn w:val="DefaultParagraphFont"/>
    <w:uiPriority w:val="1"/>
    <w:qFormat/>
    <w:rsid w:val="00525DF1"/>
    <w:rPr>
      <w:rFonts w:ascii="Calibri" w:hAnsi="Calibri"/>
      <w:sz w:val="24"/>
      <w:vertAlign w:val="superscript"/>
    </w:rPr>
  </w:style>
  <w:style w:type="table" w:customStyle="1" w:styleId="TableGrid3">
    <w:name w:val="Table Grid3"/>
    <w:basedOn w:val="TableNormal"/>
    <w:next w:val="TableGrid"/>
    <w:uiPriority w:val="59"/>
    <w:rsid w:val="0005512D"/>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FollowedHyperlink">
    <w:name w:val="FollowedHyperlink"/>
    <w:basedOn w:val="DefaultParagraphFont"/>
    <w:semiHidden/>
    <w:unhideWhenUsed/>
    <w:rsid w:val="00922131"/>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269E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DF57FA"/>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72"/>
    <w:rsid w:val="00407E3C"/>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1190">
      <w:bodyDiv w:val="1"/>
      <w:marLeft w:val="0"/>
      <w:marRight w:val="0"/>
      <w:marTop w:val="0"/>
      <w:marBottom w:val="0"/>
      <w:divBdr>
        <w:top w:val="none" w:sz="0" w:space="0" w:color="auto"/>
        <w:left w:val="none" w:sz="0" w:space="0" w:color="auto"/>
        <w:bottom w:val="none" w:sz="0" w:space="0" w:color="auto"/>
        <w:right w:val="none" w:sz="0" w:space="0" w:color="auto"/>
      </w:divBdr>
      <w:divsChild>
        <w:div w:id="999386164">
          <w:marLeft w:val="0"/>
          <w:marRight w:val="0"/>
          <w:marTop w:val="0"/>
          <w:marBottom w:val="0"/>
          <w:divBdr>
            <w:top w:val="none" w:sz="0" w:space="0" w:color="auto"/>
            <w:left w:val="none" w:sz="0" w:space="0" w:color="auto"/>
            <w:bottom w:val="none" w:sz="0" w:space="0" w:color="auto"/>
            <w:right w:val="none" w:sz="0" w:space="0" w:color="auto"/>
          </w:divBdr>
        </w:div>
      </w:divsChild>
    </w:div>
    <w:div w:id="984241704">
      <w:bodyDiv w:val="1"/>
      <w:marLeft w:val="0"/>
      <w:marRight w:val="0"/>
      <w:marTop w:val="0"/>
      <w:marBottom w:val="0"/>
      <w:divBdr>
        <w:top w:val="none" w:sz="0" w:space="0" w:color="auto"/>
        <w:left w:val="none" w:sz="0" w:space="0" w:color="auto"/>
        <w:bottom w:val="none" w:sz="0" w:space="0" w:color="auto"/>
        <w:right w:val="none" w:sz="0" w:space="0" w:color="auto"/>
      </w:divBdr>
    </w:div>
    <w:div w:id="1462917489">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Gil15</b:Tag>
    <b:SourceType>Report</b:SourceType>
    <b:Guid>{7C93FEBC-7A8A-4BBD-BBD1-08E06F02B380}</b:Guid>
    <b:Title>Submission to the PBAC for Sovaldi - Original submission considered at July 2014, and Re-submission to be considered at March 2015</b:Title>
    <b:Year>2014/2015</b:Year>
    <b:Author>
      <b:Author>
        <b:Corporate>Gilead Sciences</b:Corporate>
      </b:Author>
    </b:Author>
    <b:RefOrder>1</b:RefOrder>
  </b:Source>
  <b:Source>
    <b:Tag>Gid12</b:Tag>
    <b:SourceType>JournalArticle</b:SourceType>
    <b:Guid>{CF4C7E15-8B01-42B3-814C-70A407198295}</b:Guid>
    <b:Author>
      <b:Author>
        <b:NameList>
          <b:Person>
            <b:Last>Gidding</b:Last>
            <b:First>HF</b:First>
          </b:Person>
          <b:Person>
            <b:Last>Law</b:Last>
            <b:First>MG</b:First>
          </b:Person>
          <b:Person>
            <b:Last>Amin</b:Last>
            <b:First>J</b:First>
          </b:Person>
          <b:Person>
            <b:Last>Ostapowicz</b:Last>
            <b:First>G</b:First>
          </b:Person>
          <b:Person>
            <b:Last>Weltman</b:Last>
            <b:First>M</b:First>
          </b:Person>
          <b:Person>
            <b:Last>Macdonald</b:Last>
            <b:First>GA</b:First>
          </b:Person>
        </b:NameList>
      </b:Author>
    </b:Author>
    <b:Title>Hepatitis C treatment outcomes in Australian clinics</b:Title>
    <b:Year>2012</b:Year>
    <b:JournalName>MJA</b:JournalName>
    <b:Pages>196(10) 633-368</b:Pages>
    <b:RefOrder>2</b:RefOrder>
  </b:Source>
</b:Sources>
</file>

<file path=customXml/itemProps1.xml><?xml version="1.0" encoding="utf-8"?>
<ds:datastoreItem xmlns:ds="http://schemas.openxmlformats.org/officeDocument/2006/customXml" ds:itemID="{757462E4-4488-4A5F-BCE0-24A91355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5.21 ribavirin</vt:lpstr>
    </vt:vector>
  </TitlesOfParts>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 ribavirin</dc:title>
  <dc:creator/>
  <cp:lastModifiedBy/>
  <cp:revision>1</cp:revision>
  <dcterms:created xsi:type="dcterms:W3CDTF">2015-07-10T00:16:00Z</dcterms:created>
  <dcterms:modified xsi:type="dcterms:W3CDTF">2015-07-13T03:46:00Z</dcterms:modified>
</cp:coreProperties>
</file>