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42" w:rsidRDefault="00822E83" w:rsidP="008A1442">
      <w:pPr>
        <w:pStyle w:val="Title"/>
        <w:contextualSpacing/>
        <w:jc w:val="left"/>
        <w:rPr>
          <w:rFonts w:ascii="Arial" w:hAnsi="Arial"/>
          <w:kern w:val="0"/>
          <w:sz w:val="28"/>
          <w:szCs w:val="28"/>
        </w:rPr>
      </w:pPr>
      <w:bookmarkStart w:id="0" w:name="_Toc408474952"/>
      <w:r w:rsidRPr="00831BB6">
        <w:rPr>
          <w:rFonts w:ascii="Arial" w:hAnsi="Arial"/>
          <w:kern w:val="0"/>
          <w:sz w:val="28"/>
          <w:szCs w:val="28"/>
        </w:rPr>
        <w:t>4.1</w:t>
      </w:r>
      <w:r w:rsidR="00B60939" w:rsidRPr="00831BB6">
        <w:rPr>
          <w:rFonts w:ascii="Arial" w:hAnsi="Arial"/>
          <w:kern w:val="0"/>
          <w:sz w:val="28"/>
          <w:szCs w:val="28"/>
        </w:rPr>
        <w:tab/>
      </w:r>
      <w:r w:rsidR="00FB33B4" w:rsidRPr="00EA146D">
        <w:rPr>
          <w:rFonts w:ascii="Arial Bold" w:hAnsi="Arial Bold"/>
          <w:caps/>
          <w:kern w:val="0"/>
          <w:sz w:val="28"/>
          <w:szCs w:val="28"/>
        </w:rPr>
        <w:t>Ruxolitinib</w:t>
      </w:r>
      <w:r w:rsidR="00B60939" w:rsidRPr="00831BB6">
        <w:rPr>
          <w:rFonts w:ascii="Arial" w:hAnsi="Arial"/>
          <w:kern w:val="0"/>
          <w:sz w:val="28"/>
          <w:szCs w:val="28"/>
        </w:rPr>
        <w:t xml:space="preserve"> </w:t>
      </w:r>
    </w:p>
    <w:p w:rsidR="008A1442" w:rsidRDefault="008A1442" w:rsidP="008A1442">
      <w:pPr>
        <w:pStyle w:val="Title"/>
        <w:contextualSpacing/>
        <w:jc w:val="left"/>
        <w:rPr>
          <w:rFonts w:ascii="Arial" w:hAnsi="Arial"/>
          <w:kern w:val="0"/>
          <w:sz w:val="28"/>
          <w:szCs w:val="28"/>
        </w:rPr>
      </w:pPr>
      <w:r>
        <w:rPr>
          <w:rFonts w:ascii="Arial" w:hAnsi="Arial"/>
          <w:kern w:val="0"/>
          <w:sz w:val="28"/>
          <w:szCs w:val="28"/>
        </w:rPr>
        <w:t xml:space="preserve">         </w:t>
      </w:r>
      <w:r w:rsidRPr="00831BB6">
        <w:rPr>
          <w:rFonts w:ascii="Arial" w:hAnsi="Arial"/>
          <w:kern w:val="0"/>
          <w:sz w:val="28"/>
          <w:szCs w:val="28"/>
        </w:rPr>
        <w:t xml:space="preserve">tablets </w:t>
      </w:r>
      <w:r w:rsidR="00FB33B4" w:rsidRPr="00831BB6">
        <w:rPr>
          <w:rFonts w:ascii="Arial" w:hAnsi="Arial"/>
          <w:kern w:val="0"/>
          <w:sz w:val="28"/>
          <w:szCs w:val="28"/>
        </w:rPr>
        <w:t>5mg, 15mg and 20mg</w:t>
      </w:r>
      <w:r>
        <w:rPr>
          <w:rFonts w:ascii="Arial" w:hAnsi="Arial"/>
          <w:kern w:val="0"/>
          <w:sz w:val="28"/>
          <w:szCs w:val="28"/>
        </w:rPr>
        <w:t xml:space="preserve">; </w:t>
      </w:r>
    </w:p>
    <w:p w:rsidR="00B60939" w:rsidRPr="00831BB6" w:rsidRDefault="00FB33B4" w:rsidP="008A1442">
      <w:pPr>
        <w:pStyle w:val="Title"/>
        <w:ind w:firstLine="720"/>
        <w:contextualSpacing/>
        <w:jc w:val="left"/>
        <w:rPr>
          <w:rFonts w:ascii="Arial" w:hAnsi="Arial"/>
          <w:kern w:val="0"/>
          <w:sz w:val="28"/>
          <w:szCs w:val="28"/>
        </w:rPr>
      </w:pPr>
      <w:r w:rsidRPr="00831BB6">
        <w:rPr>
          <w:rFonts w:ascii="Arial Bold" w:hAnsi="Arial Bold"/>
          <w:kern w:val="0"/>
          <w:sz w:val="28"/>
          <w:szCs w:val="28"/>
        </w:rPr>
        <w:t>Jakavi</w:t>
      </w:r>
      <w:r w:rsidR="00B60939" w:rsidRPr="00831BB6">
        <w:rPr>
          <w:rFonts w:ascii="Arial" w:hAnsi="Arial"/>
          <w:kern w:val="0"/>
          <w:sz w:val="28"/>
          <w:szCs w:val="28"/>
          <w:vertAlign w:val="superscript"/>
        </w:rPr>
        <w:t>®</w:t>
      </w:r>
      <w:r w:rsidR="008A1442">
        <w:rPr>
          <w:rFonts w:ascii="Arial" w:hAnsi="Arial"/>
          <w:kern w:val="0"/>
          <w:sz w:val="28"/>
          <w:szCs w:val="28"/>
        </w:rPr>
        <w:t>;</w:t>
      </w:r>
      <w:r w:rsidR="00B60939" w:rsidRPr="00831BB6">
        <w:rPr>
          <w:rFonts w:ascii="Arial" w:hAnsi="Arial"/>
          <w:kern w:val="0"/>
          <w:sz w:val="28"/>
          <w:szCs w:val="28"/>
        </w:rPr>
        <w:t xml:space="preserve"> </w:t>
      </w:r>
      <w:r w:rsidRPr="00831BB6">
        <w:rPr>
          <w:rFonts w:ascii="Arial" w:hAnsi="Arial"/>
          <w:kern w:val="0"/>
          <w:sz w:val="28"/>
          <w:szCs w:val="28"/>
        </w:rPr>
        <w:t>Novartis</w:t>
      </w:r>
      <w:r w:rsidR="008A1442">
        <w:rPr>
          <w:rFonts w:ascii="Arial" w:hAnsi="Arial"/>
          <w:kern w:val="0"/>
          <w:sz w:val="28"/>
          <w:szCs w:val="28"/>
        </w:rPr>
        <w:t xml:space="preserve"> </w:t>
      </w:r>
      <w:r w:rsidR="008A1442" w:rsidRPr="008A1442">
        <w:rPr>
          <w:rFonts w:ascii="Arial" w:hAnsi="Arial"/>
          <w:kern w:val="0"/>
          <w:sz w:val="28"/>
          <w:szCs w:val="28"/>
        </w:rPr>
        <w:t>Pharmaceuticals Australia Pty Limited</w:t>
      </w:r>
      <w:r w:rsidR="00B60939" w:rsidRPr="00831BB6">
        <w:rPr>
          <w:rFonts w:ascii="Arial" w:hAnsi="Arial"/>
          <w:kern w:val="0"/>
          <w:sz w:val="28"/>
          <w:szCs w:val="28"/>
        </w:rPr>
        <w:t>.</w:t>
      </w:r>
      <w:bookmarkEnd w:id="0"/>
    </w:p>
    <w:p w:rsidR="00F338FF" w:rsidRDefault="00F338FF" w:rsidP="00F338FF"/>
    <w:p w:rsidR="00F338FF" w:rsidRPr="00407F2D" w:rsidRDefault="00F338FF" w:rsidP="005D7E3E">
      <w:pPr>
        <w:pStyle w:val="PBACheading1"/>
        <w:rPr>
          <w:b/>
        </w:rPr>
      </w:pPr>
      <w:bookmarkStart w:id="1" w:name="_Toc408474954"/>
      <w:r w:rsidRPr="00407F2D">
        <w:rPr>
          <w:b/>
        </w:rPr>
        <w:t>Purpose of Application</w:t>
      </w:r>
      <w:bookmarkEnd w:id="1"/>
    </w:p>
    <w:p w:rsidR="00B60939" w:rsidRPr="00882085" w:rsidRDefault="00B60939" w:rsidP="00B60939">
      <w:pPr>
        <w:rPr>
          <w:szCs w:val="22"/>
        </w:rPr>
      </w:pPr>
    </w:p>
    <w:p w:rsidR="00B60939" w:rsidRPr="0039379D" w:rsidRDefault="00A6321A" w:rsidP="004D64A8">
      <w:pPr>
        <w:pStyle w:val="ListParagraph"/>
        <w:widowControl/>
        <w:numPr>
          <w:ilvl w:val="1"/>
          <w:numId w:val="1"/>
        </w:numPr>
        <w:rPr>
          <w:szCs w:val="22"/>
        </w:rPr>
      </w:pPr>
      <w:r w:rsidRPr="00A6321A">
        <w:t>Authority Required lis</w:t>
      </w:r>
      <w:r w:rsidR="009679C3">
        <w:t>ting for ruxolitinib for first-line or second-</w:t>
      </w:r>
      <w:r w:rsidRPr="00A6321A">
        <w:t xml:space="preserve">line management of myelofibrosis in patients satisfying certain clinical criteria.  The first submission was considered in July 2013, with a subsequent re-submission considered in July 2014. </w:t>
      </w:r>
    </w:p>
    <w:p w:rsidR="0039379D" w:rsidRPr="0039379D" w:rsidRDefault="0039379D" w:rsidP="0039379D">
      <w:pPr>
        <w:pStyle w:val="ListParagraph"/>
        <w:widowControl/>
        <w:rPr>
          <w:szCs w:val="22"/>
        </w:rPr>
      </w:pPr>
    </w:p>
    <w:p w:rsidR="00F338FF" w:rsidRPr="00407F2D" w:rsidRDefault="00F338FF" w:rsidP="00822E83">
      <w:pPr>
        <w:pStyle w:val="PBACheading1"/>
        <w:keepNext/>
        <w:keepLines/>
        <w:rPr>
          <w:b/>
        </w:rPr>
      </w:pPr>
      <w:bookmarkStart w:id="2" w:name="_Toc408474955"/>
      <w:r w:rsidRPr="00407F2D">
        <w:rPr>
          <w:b/>
        </w:rPr>
        <w:t>Requested listing</w:t>
      </w:r>
      <w:bookmarkEnd w:id="2"/>
    </w:p>
    <w:p w:rsidR="00556C99" w:rsidRDefault="00556C99" w:rsidP="00822E83">
      <w:pPr>
        <w:keepNext/>
        <w:keepLines/>
        <w:rPr>
          <w:rFonts w:asciiTheme="minorBidi" w:hAnsiTheme="minorBidi" w:cstheme="minorBidi"/>
          <w:b/>
          <w:sz w:val="20"/>
        </w:rPr>
      </w:pPr>
    </w:p>
    <w:p w:rsidR="00FB33B4" w:rsidRPr="008D094B" w:rsidRDefault="00FB33B4" w:rsidP="00822E83">
      <w:pPr>
        <w:keepNext/>
        <w:keepLines/>
        <w:rPr>
          <w:rFonts w:asciiTheme="minorBidi" w:hAnsiTheme="minorBidi" w:cstheme="minorBidi"/>
          <w:sz w:val="20"/>
        </w:rPr>
      </w:pPr>
      <w:r w:rsidRPr="008D094B">
        <w:rPr>
          <w:rFonts w:asciiTheme="minorBidi" w:hAnsiTheme="minorBidi" w:cstheme="minorBidi"/>
          <w:b/>
          <w:sz w:val="20"/>
        </w:rPr>
        <w:t>Requested PBS listing:</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85" w:type="dxa"/>
        </w:tblCellMar>
        <w:tblLook w:val="0620" w:firstRow="1" w:lastRow="0" w:firstColumn="0" w:lastColumn="0" w:noHBand="1" w:noVBand="1"/>
      </w:tblPr>
      <w:tblGrid>
        <w:gridCol w:w="1704"/>
        <w:gridCol w:w="153"/>
        <w:gridCol w:w="699"/>
        <w:gridCol w:w="992"/>
        <w:gridCol w:w="660"/>
        <w:gridCol w:w="476"/>
        <w:gridCol w:w="1558"/>
        <w:gridCol w:w="471"/>
        <w:gridCol w:w="946"/>
        <w:gridCol w:w="971"/>
        <w:gridCol w:w="589"/>
      </w:tblGrid>
      <w:tr w:rsidR="00FB33B4" w:rsidRPr="008D094B" w:rsidTr="00BC0026">
        <w:trPr>
          <w:trHeight w:val="510"/>
        </w:trPr>
        <w:tc>
          <w:tcPr>
            <w:tcW w:w="1857" w:type="dxa"/>
            <w:gridSpan w:val="2"/>
            <w:tcBorders>
              <w:top w:val="nil"/>
              <w:left w:val="nil"/>
              <w:bottom w:val="single" w:sz="4" w:space="0" w:color="auto"/>
              <w:right w:val="nil"/>
            </w:tcBorders>
          </w:tcPr>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Name, Restriction,</w:t>
            </w:r>
          </w:p>
          <w:p w:rsidR="00FB33B4" w:rsidRPr="008D094B" w:rsidRDefault="00FB33B4" w:rsidP="00822E83">
            <w:pPr>
              <w:keepNext/>
              <w:keepLines/>
              <w:widowControl/>
              <w:ind w:left="-108"/>
              <w:jc w:val="left"/>
              <w:rPr>
                <w:rFonts w:asciiTheme="minorBidi" w:hAnsiTheme="minorBidi" w:cstheme="minorBidi"/>
                <w:snapToGrid/>
                <w:sz w:val="20"/>
                <w:lang w:eastAsia="en-AU"/>
              </w:rPr>
            </w:pPr>
            <w:r w:rsidRPr="008D094B">
              <w:rPr>
                <w:rFonts w:asciiTheme="minorBidi" w:hAnsiTheme="minorBidi" w:cstheme="minorBidi"/>
                <w:snapToGrid/>
                <w:sz w:val="20"/>
                <w:lang w:eastAsia="en-AU"/>
              </w:rPr>
              <w:t>Manner of administration and form</w:t>
            </w:r>
          </w:p>
        </w:tc>
        <w:tc>
          <w:tcPr>
            <w:tcW w:w="699" w:type="dxa"/>
            <w:tcBorders>
              <w:top w:val="nil"/>
              <w:left w:val="nil"/>
              <w:bottom w:val="single" w:sz="4" w:space="0" w:color="auto"/>
              <w:right w:val="nil"/>
            </w:tcBorders>
          </w:tcPr>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Max.</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Qty</w:t>
            </w:r>
          </w:p>
        </w:tc>
        <w:tc>
          <w:tcPr>
            <w:tcW w:w="992" w:type="dxa"/>
            <w:tcBorders>
              <w:top w:val="nil"/>
              <w:left w:val="nil"/>
              <w:bottom w:val="single" w:sz="4" w:space="0" w:color="auto"/>
              <w:right w:val="nil"/>
            </w:tcBorders>
          </w:tcPr>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№.of</w:t>
            </w:r>
          </w:p>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Rpts (initiation)</w:t>
            </w:r>
          </w:p>
        </w:tc>
        <w:tc>
          <w:tcPr>
            <w:tcW w:w="1136" w:type="dxa"/>
            <w:gridSpan w:val="2"/>
            <w:tcBorders>
              <w:top w:val="nil"/>
              <w:left w:val="nil"/>
              <w:bottom w:val="single" w:sz="4" w:space="0" w:color="auto"/>
              <w:right w:val="nil"/>
            </w:tcBorders>
          </w:tcPr>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№.of</w:t>
            </w:r>
          </w:p>
          <w:p w:rsidR="00FB33B4" w:rsidRPr="008D094B" w:rsidRDefault="00FB33B4" w:rsidP="00822E83">
            <w:pPr>
              <w:keepNext/>
              <w:keepLines/>
              <w:widowControl/>
              <w:ind w:left="-108"/>
              <w:jc w:val="left"/>
              <w:rPr>
                <w:rFonts w:asciiTheme="minorBidi" w:hAnsiTheme="minorBidi" w:cstheme="minorBidi"/>
                <w:snapToGrid/>
                <w:sz w:val="20"/>
                <w:lang w:eastAsia="en-AU"/>
              </w:rPr>
            </w:pPr>
            <w:r w:rsidRPr="008D094B">
              <w:rPr>
                <w:rFonts w:asciiTheme="minorBidi" w:hAnsiTheme="minorBidi" w:cstheme="minorBidi"/>
                <w:snapToGrid/>
                <w:sz w:val="20"/>
                <w:lang w:eastAsia="en-AU"/>
              </w:rPr>
              <w:t>Rpts (continuing)</w:t>
            </w:r>
          </w:p>
        </w:tc>
        <w:tc>
          <w:tcPr>
            <w:tcW w:w="1558" w:type="dxa"/>
            <w:tcBorders>
              <w:top w:val="nil"/>
              <w:left w:val="nil"/>
              <w:bottom w:val="single" w:sz="4" w:space="0" w:color="auto"/>
              <w:right w:val="nil"/>
            </w:tcBorders>
          </w:tcPr>
          <w:p w:rsidR="00FB33B4" w:rsidRPr="008D094B" w:rsidRDefault="00FB33B4" w:rsidP="00822E83">
            <w:pPr>
              <w:keepNext/>
              <w:keepLines/>
              <w:widowControl/>
              <w:ind w:left="-108"/>
              <w:jc w:val="left"/>
              <w:rPr>
                <w:rFonts w:asciiTheme="minorBidi" w:hAnsiTheme="minorBidi" w:cstheme="minorBidi"/>
                <w:snapToGrid/>
                <w:sz w:val="20"/>
                <w:lang w:eastAsia="en-AU"/>
              </w:rPr>
            </w:pPr>
            <w:r w:rsidRPr="008D094B">
              <w:rPr>
                <w:rFonts w:asciiTheme="minorBidi" w:hAnsiTheme="minorBidi" w:cstheme="minorBidi"/>
                <w:snapToGrid/>
                <w:sz w:val="20"/>
                <w:lang w:eastAsia="en-AU"/>
              </w:rPr>
              <w:t>Published dispensed price for Max. Qty</w:t>
            </w:r>
          </w:p>
        </w:tc>
        <w:tc>
          <w:tcPr>
            <w:tcW w:w="1417" w:type="dxa"/>
            <w:gridSpan w:val="2"/>
            <w:tcBorders>
              <w:top w:val="nil"/>
              <w:left w:val="nil"/>
              <w:bottom w:val="single" w:sz="4" w:space="0" w:color="auto"/>
              <w:right w:val="nil"/>
            </w:tcBorders>
          </w:tcPr>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Effective</w:t>
            </w:r>
          </w:p>
          <w:p w:rsidR="00FB33B4" w:rsidRPr="008D094B" w:rsidRDefault="00FB33B4" w:rsidP="00822E83">
            <w:pPr>
              <w:keepNext/>
              <w:keepLines/>
              <w:widowControl/>
              <w:ind w:left="-108"/>
              <w:jc w:val="left"/>
              <w:rPr>
                <w:rFonts w:asciiTheme="minorBidi" w:hAnsiTheme="minorBidi" w:cstheme="minorBidi"/>
                <w:snapToGrid/>
                <w:sz w:val="20"/>
                <w:lang w:eastAsia="en-AU"/>
              </w:rPr>
            </w:pPr>
            <w:r w:rsidRPr="008D094B">
              <w:rPr>
                <w:rFonts w:asciiTheme="minorBidi" w:hAnsiTheme="minorBidi" w:cstheme="minorBidi"/>
                <w:snapToGrid/>
                <w:sz w:val="20"/>
                <w:lang w:eastAsia="en-AU"/>
              </w:rPr>
              <w:t>Dispensed Price for Max. Qty</w:t>
            </w:r>
          </w:p>
        </w:tc>
        <w:tc>
          <w:tcPr>
            <w:tcW w:w="1560" w:type="dxa"/>
            <w:gridSpan w:val="2"/>
            <w:tcBorders>
              <w:top w:val="nil"/>
              <w:left w:val="nil"/>
              <w:bottom w:val="single" w:sz="4" w:space="0" w:color="auto"/>
              <w:right w:val="nil"/>
            </w:tcBorders>
          </w:tcPr>
          <w:p w:rsidR="00FB33B4" w:rsidRPr="008D094B" w:rsidRDefault="00FB33B4" w:rsidP="00822E83">
            <w:pPr>
              <w:keepNext/>
              <w:keepLines/>
              <w:widowControl/>
              <w:tabs>
                <w:tab w:val="left" w:pos="2020"/>
              </w:tabs>
              <w:ind w:right="7"/>
              <w:rPr>
                <w:rFonts w:asciiTheme="minorBidi" w:hAnsiTheme="minorBidi" w:cstheme="minorBidi"/>
                <w:snapToGrid/>
                <w:sz w:val="20"/>
                <w:lang w:val="fr-FR" w:eastAsia="en-AU"/>
              </w:rPr>
            </w:pPr>
            <w:r w:rsidRPr="008D094B">
              <w:rPr>
                <w:rFonts w:asciiTheme="minorBidi" w:hAnsiTheme="minorBidi" w:cstheme="minorBidi"/>
                <w:snapToGrid/>
                <w:sz w:val="20"/>
                <w:lang w:eastAsia="en-AU"/>
              </w:rPr>
              <w:t>Proprietary Name and Manufacturer</w:t>
            </w:r>
          </w:p>
        </w:tc>
      </w:tr>
      <w:tr w:rsidR="00FB33B4" w:rsidRPr="008D094B" w:rsidTr="00BC0026">
        <w:trPr>
          <w:trHeight w:val="624"/>
        </w:trPr>
        <w:tc>
          <w:tcPr>
            <w:tcW w:w="1857" w:type="dxa"/>
            <w:gridSpan w:val="2"/>
            <w:tcBorders>
              <w:top w:val="single" w:sz="4" w:space="0" w:color="auto"/>
              <w:left w:val="nil"/>
              <w:bottom w:val="single" w:sz="4" w:space="0" w:color="auto"/>
              <w:right w:val="nil"/>
            </w:tcBorders>
          </w:tcPr>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mallCaps/>
                <w:snapToGrid/>
                <w:sz w:val="20"/>
                <w:lang w:eastAsia="en-AU"/>
              </w:rPr>
              <w:t>Ruxolitinib</w:t>
            </w:r>
          </w:p>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Tablet 5 mg</w:t>
            </w:r>
          </w:p>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Tablet 5 mg</w:t>
            </w:r>
          </w:p>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Tablet 15 mg</w:t>
            </w:r>
          </w:p>
          <w:p w:rsidR="00FB33B4" w:rsidRPr="008D094B" w:rsidRDefault="00FB33B4" w:rsidP="00822E83">
            <w:pPr>
              <w:keepNext/>
              <w:keepLines/>
              <w:widowControl/>
              <w:ind w:left="-108"/>
              <w:rPr>
                <w:rFonts w:asciiTheme="minorBidi" w:hAnsiTheme="minorBidi" w:cstheme="minorBidi"/>
                <w:snapToGrid/>
                <w:sz w:val="20"/>
                <w:lang w:eastAsia="en-AU"/>
              </w:rPr>
            </w:pPr>
            <w:r w:rsidRPr="008D094B">
              <w:rPr>
                <w:rFonts w:asciiTheme="minorBidi" w:hAnsiTheme="minorBidi" w:cstheme="minorBidi"/>
                <w:snapToGrid/>
                <w:sz w:val="20"/>
                <w:lang w:eastAsia="en-AU"/>
              </w:rPr>
              <w:t>Tablet 20 mg</w:t>
            </w:r>
          </w:p>
          <w:p w:rsidR="00FB33B4" w:rsidRPr="008D094B" w:rsidRDefault="00FB33B4" w:rsidP="00822E83">
            <w:pPr>
              <w:keepNext/>
              <w:keepLines/>
              <w:widowControl/>
              <w:ind w:left="-108"/>
              <w:rPr>
                <w:rFonts w:asciiTheme="minorBidi" w:hAnsiTheme="minorBidi" w:cstheme="minorBidi"/>
                <w:snapToGrid/>
                <w:sz w:val="20"/>
                <w:lang w:eastAsia="en-AU"/>
              </w:rPr>
            </w:pPr>
          </w:p>
        </w:tc>
        <w:tc>
          <w:tcPr>
            <w:tcW w:w="699" w:type="dxa"/>
            <w:tcBorders>
              <w:top w:val="single" w:sz="4" w:space="0" w:color="auto"/>
              <w:left w:val="nil"/>
              <w:bottom w:val="single" w:sz="4" w:space="0" w:color="auto"/>
              <w:right w:val="nil"/>
            </w:tcBorders>
            <w:vAlign w:val="center"/>
          </w:tcPr>
          <w:p w:rsidR="00FB33B4" w:rsidRPr="008D094B" w:rsidRDefault="00FB33B4" w:rsidP="00822E83">
            <w:pPr>
              <w:keepNext/>
              <w:keepLines/>
              <w:widowControl/>
              <w:ind w:left="-108"/>
              <w:jc w:val="center"/>
              <w:rPr>
                <w:rFonts w:asciiTheme="minorBidi" w:hAnsiTheme="minorBidi" w:cstheme="minorBidi"/>
                <w:snapToGrid/>
                <w:sz w:val="20"/>
                <w:lang w:eastAsia="en-AU"/>
              </w:rPr>
            </w:pP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56</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112</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56</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56</w:t>
            </w:r>
          </w:p>
          <w:p w:rsidR="00FB33B4" w:rsidRPr="008D094B" w:rsidRDefault="00FB33B4" w:rsidP="00822E83">
            <w:pPr>
              <w:keepNext/>
              <w:keepLines/>
              <w:widowControl/>
              <w:ind w:left="-108"/>
              <w:jc w:val="center"/>
              <w:rPr>
                <w:rFonts w:asciiTheme="minorBidi" w:hAnsiTheme="minorBidi" w:cstheme="minorBidi"/>
                <w:snapToGrid/>
                <w:sz w:val="20"/>
                <w:lang w:eastAsia="en-AU"/>
              </w:rPr>
            </w:pPr>
          </w:p>
        </w:tc>
        <w:tc>
          <w:tcPr>
            <w:tcW w:w="992" w:type="dxa"/>
            <w:tcBorders>
              <w:top w:val="single" w:sz="4" w:space="0" w:color="auto"/>
              <w:left w:val="nil"/>
              <w:bottom w:val="single" w:sz="4" w:space="0" w:color="auto"/>
              <w:right w:val="nil"/>
            </w:tcBorders>
            <w:vAlign w:val="center"/>
          </w:tcPr>
          <w:p w:rsidR="00FB33B4" w:rsidRPr="008D094B" w:rsidRDefault="00FB33B4" w:rsidP="00822E83">
            <w:pPr>
              <w:keepNext/>
              <w:keepLines/>
              <w:widowControl/>
              <w:ind w:left="-108"/>
              <w:jc w:val="center"/>
              <w:rPr>
                <w:rFonts w:asciiTheme="minorBidi" w:hAnsiTheme="minorBidi" w:cstheme="minorBidi"/>
                <w:snapToGrid/>
                <w:sz w:val="20"/>
                <w:lang w:eastAsia="en-AU"/>
              </w:rPr>
            </w:pP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2</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2</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2</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2</w:t>
            </w:r>
          </w:p>
          <w:p w:rsidR="00FB33B4" w:rsidRPr="008D094B" w:rsidRDefault="00FB33B4" w:rsidP="00822E83">
            <w:pPr>
              <w:keepNext/>
              <w:keepLines/>
              <w:widowControl/>
              <w:ind w:left="-108"/>
              <w:jc w:val="center"/>
              <w:rPr>
                <w:rFonts w:asciiTheme="minorBidi" w:hAnsiTheme="minorBidi" w:cstheme="minorBidi"/>
                <w:snapToGrid/>
                <w:sz w:val="20"/>
                <w:lang w:eastAsia="en-AU"/>
              </w:rPr>
            </w:pPr>
          </w:p>
        </w:tc>
        <w:tc>
          <w:tcPr>
            <w:tcW w:w="1136" w:type="dxa"/>
            <w:gridSpan w:val="2"/>
            <w:tcBorders>
              <w:top w:val="single" w:sz="4" w:space="0" w:color="auto"/>
              <w:left w:val="nil"/>
              <w:bottom w:val="single" w:sz="4" w:space="0" w:color="auto"/>
              <w:right w:val="nil"/>
            </w:tcBorders>
          </w:tcPr>
          <w:p w:rsidR="00FB33B4" w:rsidRPr="008D094B" w:rsidRDefault="00FB33B4" w:rsidP="00822E83">
            <w:pPr>
              <w:keepNext/>
              <w:keepLines/>
              <w:widowControl/>
              <w:ind w:left="-108"/>
              <w:jc w:val="center"/>
              <w:rPr>
                <w:rFonts w:asciiTheme="minorBidi" w:hAnsiTheme="minorBidi" w:cstheme="minorBidi"/>
                <w:snapToGrid/>
                <w:sz w:val="20"/>
                <w:lang w:eastAsia="en-AU"/>
              </w:rPr>
            </w:pP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w:t>
            </w:r>
          </w:p>
          <w:p w:rsidR="00FB33B4" w:rsidRPr="008D094B" w:rsidRDefault="00FB33B4" w:rsidP="00822E83">
            <w:pPr>
              <w:keepNext/>
              <w:keepLines/>
              <w:widowControl/>
              <w:ind w:left="-108"/>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5</w:t>
            </w:r>
          </w:p>
        </w:tc>
        <w:tc>
          <w:tcPr>
            <w:tcW w:w="1558" w:type="dxa"/>
            <w:tcBorders>
              <w:top w:val="single" w:sz="4" w:space="0" w:color="auto"/>
              <w:left w:val="nil"/>
              <w:bottom w:val="single" w:sz="4" w:space="0" w:color="auto"/>
              <w:right w:val="nil"/>
            </w:tcBorders>
            <w:vAlign w:val="center"/>
          </w:tcPr>
          <w:p w:rsidR="00FB33B4" w:rsidRPr="002776F4" w:rsidRDefault="00FB33B4" w:rsidP="00822E83">
            <w:pPr>
              <w:keepNext/>
              <w:keepLines/>
              <w:widowControl/>
              <w:ind w:left="-108"/>
              <w:jc w:val="center"/>
              <w:rPr>
                <w:rFonts w:asciiTheme="minorBidi" w:hAnsiTheme="minorBidi" w:cstheme="minorBidi"/>
                <w:snapToGrid/>
                <w:sz w:val="20"/>
                <w:lang w:eastAsia="en-AU"/>
              </w:rPr>
            </w:pP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p>
        </w:tc>
        <w:tc>
          <w:tcPr>
            <w:tcW w:w="1417" w:type="dxa"/>
            <w:gridSpan w:val="2"/>
            <w:tcBorders>
              <w:top w:val="single" w:sz="4" w:space="0" w:color="auto"/>
              <w:left w:val="nil"/>
              <w:bottom w:val="single" w:sz="4" w:space="0" w:color="auto"/>
              <w:right w:val="nil"/>
            </w:tcBorders>
          </w:tcPr>
          <w:p w:rsidR="00FB33B4" w:rsidRPr="002776F4" w:rsidRDefault="00FB33B4" w:rsidP="00822E83">
            <w:pPr>
              <w:keepNext/>
              <w:keepLines/>
              <w:widowControl/>
              <w:ind w:left="-108"/>
              <w:jc w:val="center"/>
              <w:rPr>
                <w:rFonts w:asciiTheme="minorBidi" w:hAnsiTheme="minorBidi" w:cstheme="minorBidi"/>
                <w:snapToGrid/>
                <w:sz w:val="20"/>
                <w:lang w:eastAsia="en-AU"/>
              </w:rPr>
            </w:pP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p w:rsidR="00FB33B4" w:rsidRPr="002776F4" w:rsidRDefault="00FB33B4" w:rsidP="00822E83">
            <w:pPr>
              <w:keepNext/>
              <w:keepLines/>
              <w:widowControl/>
              <w:ind w:left="-108"/>
              <w:jc w:val="center"/>
              <w:rPr>
                <w:rFonts w:asciiTheme="minorBidi" w:hAnsiTheme="minorBidi" w:cstheme="minorBidi"/>
                <w:snapToGrid/>
                <w:sz w:val="20"/>
                <w:lang w:eastAsia="en-AU"/>
              </w:rPr>
            </w:pPr>
            <w:r w:rsidRPr="002776F4">
              <w:rPr>
                <w:rFonts w:asciiTheme="minorBidi" w:hAnsiTheme="minorBidi" w:cstheme="minorBidi"/>
                <w:snapToGrid/>
                <w:sz w:val="20"/>
                <w:lang w:eastAsia="en-AU"/>
              </w:rPr>
              <w:t>$</w:t>
            </w:r>
            <w:r w:rsidR="00023DE7">
              <w:rPr>
                <w:rFonts w:asciiTheme="minorBidi" w:hAnsiTheme="minorBidi" w:cstheme="minorBidi"/>
                <w:noProof/>
                <w:snapToGrid/>
                <w:color w:val="000000"/>
                <w:sz w:val="20"/>
                <w:highlight w:val="black"/>
                <w:lang w:eastAsia="en-AU"/>
              </w:rPr>
              <w:t>''''''''''''''''''''''</w:t>
            </w:r>
          </w:p>
        </w:tc>
        <w:tc>
          <w:tcPr>
            <w:tcW w:w="971" w:type="dxa"/>
            <w:tcBorders>
              <w:top w:val="single" w:sz="4" w:space="0" w:color="auto"/>
              <w:left w:val="nil"/>
              <w:bottom w:val="single" w:sz="4" w:space="0" w:color="auto"/>
              <w:right w:val="nil"/>
            </w:tcBorders>
            <w:vAlign w:val="center"/>
          </w:tcPr>
          <w:p w:rsidR="00FB33B4" w:rsidRPr="008D094B" w:rsidRDefault="00FB33B4" w:rsidP="00822E83">
            <w:pPr>
              <w:keepNext/>
              <w:keepLines/>
              <w:widowControl/>
              <w:jc w:val="center"/>
              <w:rPr>
                <w:rFonts w:asciiTheme="minorBidi" w:hAnsiTheme="minorBidi" w:cstheme="minorBidi"/>
                <w:snapToGrid/>
                <w:sz w:val="20"/>
                <w:lang w:eastAsia="en-AU"/>
              </w:rPr>
            </w:pPr>
          </w:p>
          <w:p w:rsidR="00FB33B4" w:rsidRPr="008D094B" w:rsidRDefault="00FB33B4" w:rsidP="00822E83">
            <w:pPr>
              <w:keepNext/>
              <w:keepLines/>
              <w:widowControl/>
              <w:jc w:val="center"/>
              <w:rPr>
                <w:rFonts w:asciiTheme="minorBidi" w:hAnsiTheme="minorBidi" w:cstheme="minorBidi"/>
                <w:snapToGrid/>
                <w:sz w:val="20"/>
                <w:vertAlign w:val="superscript"/>
                <w:lang w:eastAsia="en-AU"/>
              </w:rPr>
            </w:pPr>
            <w:r w:rsidRPr="008D094B">
              <w:rPr>
                <w:rFonts w:asciiTheme="minorBidi" w:hAnsiTheme="minorBidi" w:cstheme="minorBidi"/>
                <w:snapToGrid/>
                <w:sz w:val="20"/>
                <w:lang w:eastAsia="en-AU"/>
              </w:rPr>
              <w:t>Jakavi</w:t>
            </w:r>
            <w:r w:rsidRPr="008D094B">
              <w:rPr>
                <w:rFonts w:asciiTheme="minorBidi" w:hAnsiTheme="minorBidi" w:cstheme="minorBidi"/>
                <w:snapToGrid/>
                <w:sz w:val="20"/>
                <w:vertAlign w:val="superscript"/>
                <w:lang w:eastAsia="en-AU"/>
              </w:rPr>
              <w:t>®</w:t>
            </w:r>
          </w:p>
          <w:p w:rsidR="00FB33B4" w:rsidRPr="008D094B" w:rsidRDefault="00FB33B4" w:rsidP="00822E83">
            <w:pPr>
              <w:keepNext/>
              <w:keepLines/>
              <w:widowControl/>
              <w:jc w:val="center"/>
              <w:rPr>
                <w:rFonts w:asciiTheme="minorBidi" w:hAnsiTheme="minorBidi" w:cstheme="minorBidi"/>
                <w:snapToGrid/>
                <w:sz w:val="20"/>
                <w:vertAlign w:val="superscript"/>
                <w:lang w:eastAsia="en-AU"/>
              </w:rPr>
            </w:pPr>
            <w:r w:rsidRPr="008D094B">
              <w:rPr>
                <w:rFonts w:asciiTheme="minorBidi" w:hAnsiTheme="minorBidi" w:cstheme="minorBidi"/>
                <w:snapToGrid/>
                <w:sz w:val="20"/>
                <w:lang w:eastAsia="en-AU"/>
              </w:rPr>
              <w:t>Jakavi</w:t>
            </w:r>
            <w:r w:rsidRPr="008D094B">
              <w:rPr>
                <w:rFonts w:asciiTheme="minorBidi" w:hAnsiTheme="minorBidi" w:cstheme="minorBidi"/>
                <w:snapToGrid/>
                <w:sz w:val="20"/>
                <w:vertAlign w:val="superscript"/>
                <w:lang w:eastAsia="en-AU"/>
              </w:rPr>
              <w:t>®</w:t>
            </w:r>
          </w:p>
          <w:p w:rsidR="00FB33B4" w:rsidRPr="008D094B" w:rsidRDefault="00FB33B4" w:rsidP="00822E83">
            <w:pPr>
              <w:keepNext/>
              <w:keepLines/>
              <w:widowControl/>
              <w:jc w:val="center"/>
              <w:rPr>
                <w:rFonts w:asciiTheme="minorBidi" w:hAnsiTheme="minorBidi" w:cstheme="minorBidi"/>
                <w:snapToGrid/>
                <w:sz w:val="20"/>
                <w:vertAlign w:val="superscript"/>
                <w:lang w:eastAsia="en-AU"/>
              </w:rPr>
            </w:pPr>
            <w:r w:rsidRPr="008D094B">
              <w:rPr>
                <w:rFonts w:asciiTheme="minorBidi" w:hAnsiTheme="minorBidi" w:cstheme="minorBidi"/>
                <w:snapToGrid/>
                <w:sz w:val="20"/>
                <w:lang w:eastAsia="en-AU"/>
              </w:rPr>
              <w:t>Jakavi</w:t>
            </w:r>
            <w:r w:rsidRPr="008D094B">
              <w:rPr>
                <w:rFonts w:asciiTheme="minorBidi" w:hAnsiTheme="minorBidi" w:cstheme="minorBidi"/>
                <w:snapToGrid/>
                <w:sz w:val="20"/>
                <w:vertAlign w:val="superscript"/>
                <w:lang w:eastAsia="en-AU"/>
              </w:rPr>
              <w:t>®</w:t>
            </w:r>
          </w:p>
          <w:p w:rsidR="00FB33B4" w:rsidRPr="008D094B" w:rsidRDefault="00FB33B4" w:rsidP="00822E83">
            <w:pPr>
              <w:keepNext/>
              <w:keepLines/>
              <w:widowControl/>
              <w:jc w:val="center"/>
              <w:rPr>
                <w:rFonts w:asciiTheme="minorBidi" w:hAnsiTheme="minorBidi" w:cstheme="minorBidi"/>
                <w:snapToGrid/>
                <w:sz w:val="20"/>
                <w:vertAlign w:val="superscript"/>
                <w:lang w:eastAsia="en-AU"/>
              </w:rPr>
            </w:pPr>
            <w:r w:rsidRPr="008D094B">
              <w:rPr>
                <w:rFonts w:asciiTheme="minorBidi" w:hAnsiTheme="minorBidi" w:cstheme="minorBidi"/>
                <w:snapToGrid/>
                <w:sz w:val="20"/>
                <w:lang w:eastAsia="en-AU"/>
              </w:rPr>
              <w:t>Jakavi</w:t>
            </w:r>
            <w:r w:rsidRPr="008D094B">
              <w:rPr>
                <w:rFonts w:asciiTheme="minorBidi" w:hAnsiTheme="minorBidi" w:cstheme="minorBidi"/>
                <w:snapToGrid/>
                <w:sz w:val="20"/>
                <w:vertAlign w:val="superscript"/>
                <w:lang w:eastAsia="en-AU"/>
              </w:rPr>
              <w:t>®</w:t>
            </w:r>
          </w:p>
          <w:p w:rsidR="00FB33B4" w:rsidRPr="008D094B" w:rsidRDefault="00FB33B4" w:rsidP="00822E83">
            <w:pPr>
              <w:keepNext/>
              <w:keepLines/>
              <w:widowControl/>
              <w:jc w:val="center"/>
              <w:rPr>
                <w:rFonts w:asciiTheme="minorBidi" w:hAnsiTheme="minorBidi" w:cstheme="minorBidi"/>
                <w:snapToGrid/>
                <w:sz w:val="20"/>
                <w:lang w:eastAsia="en-AU"/>
              </w:rPr>
            </w:pPr>
          </w:p>
        </w:tc>
        <w:tc>
          <w:tcPr>
            <w:tcW w:w="589" w:type="dxa"/>
            <w:tcBorders>
              <w:top w:val="single" w:sz="4" w:space="0" w:color="auto"/>
              <w:left w:val="nil"/>
              <w:bottom w:val="single" w:sz="4" w:space="0" w:color="auto"/>
              <w:right w:val="nil"/>
            </w:tcBorders>
            <w:vAlign w:val="center"/>
          </w:tcPr>
          <w:p w:rsidR="00FB33B4" w:rsidRPr="008D094B" w:rsidRDefault="00FB33B4" w:rsidP="00822E83">
            <w:pPr>
              <w:keepNext/>
              <w:keepLines/>
              <w:widowControl/>
              <w:jc w:val="center"/>
              <w:rPr>
                <w:rFonts w:asciiTheme="minorBidi" w:hAnsiTheme="minorBidi" w:cstheme="minorBidi"/>
                <w:snapToGrid/>
                <w:sz w:val="20"/>
                <w:lang w:eastAsia="en-AU"/>
              </w:rPr>
            </w:pPr>
          </w:p>
          <w:p w:rsidR="00FB33B4" w:rsidRPr="008D094B" w:rsidRDefault="00FB33B4" w:rsidP="00822E83">
            <w:pPr>
              <w:keepNext/>
              <w:keepLines/>
              <w:widowControl/>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NM</w:t>
            </w:r>
          </w:p>
          <w:p w:rsidR="00FB33B4" w:rsidRPr="008D094B" w:rsidRDefault="00FB33B4" w:rsidP="00822E83">
            <w:pPr>
              <w:keepNext/>
              <w:keepLines/>
              <w:widowControl/>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NM</w:t>
            </w:r>
          </w:p>
          <w:p w:rsidR="00FB33B4" w:rsidRPr="008D094B" w:rsidRDefault="00FB33B4" w:rsidP="00822E83">
            <w:pPr>
              <w:keepNext/>
              <w:keepLines/>
              <w:widowControl/>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NM</w:t>
            </w:r>
          </w:p>
          <w:p w:rsidR="00FB33B4" w:rsidRPr="008D094B" w:rsidRDefault="00FB33B4" w:rsidP="00822E83">
            <w:pPr>
              <w:keepNext/>
              <w:keepLines/>
              <w:widowControl/>
              <w:jc w:val="center"/>
              <w:rPr>
                <w:rFonts w:asciiTheme="minorBidi" w:hAnsiTheme="minorBidi" w:cstheme="minorBidi"/>
                <w:snapToGrid/>
                <w:sz w:val="20"/>
                <w:lang w:eastAsia="en-AU"/>
              </w:rPr>
            </w:pPr>
            <w:r w:rsidRPr="008D094B">
              <w:rPr>
                <w:rFonts w:asciiTheme="minorBidi" w:hAnsiTheme="minorBidi" w:cstheme="minorBidi"/>
                <w:snapToGrid/>
                <w:sz w:val="20"/>
                <w:lang w:eastAsia="en-AU"/>
              </w:rPr>
              <w:t>NM</w:t>
            </w:r>
          </w:p>
          <w:p w:rsidR="00FB33B4" w:rsidRPr="008D094B" w:rsidRDefault="00FB33B4" w:rsidP="00822E83">
            <w:pPr>
              <w:keepNext/>
              <w:keepLines/>
              <w:widowControl/>
              <w:jc w:val="center"/>
              <w:rPr>
                <w:rFonts w:asciiTheme="minorBidi" w:hAnsiTheme="minorBidi" w:cstheme="minorBidi"/>
                <w:snapToGrid/>
                <w:sz w:val="20"/>
                <w:lang w:eastAsia="en-AU"/>
              </w:rPr>
            </w:pPr>
          </w:p>
        </w:tc>
      </w:tr>
      <w:tr w:rsidR="00FB33B4" w:rsidRPr="008D094B" w:rsidTr="00BC0026">
        <w:trPr>
          <w:trHeight w:val="70"/>
        </w:trPr>
        <w:tc>
          <w:tcPr>
            <w:tcW w:w="1704" w:type="dxa"/>
            <w:tcBorders>
              <w:top w:val="single" w:sz="4" w:space="0" w:color="auto"/>
              <w:bottom w:val="single" w:sz="4" w:space="0" w:color="auto"/>
            </w:tcBorders>
          </w:tcPr>
          <w:p w:rsidR="00FB33B4" w:rsidRPr="00771779" w:rsidDel="00771779" w:rsidRDefault="00FB33B4" w:rsidP="00822E83">
            <w:pPr>
              <w:keepNext/>
              <w:keepLines/>
              <w:widowControl/>
              <w:ind w:left="-108"/>
              <w:jc w:val="center"/>
              <w:rPr>
                <w:rFonts w:ascii="Arial Narrow" w:hAnsi="Arial Narrow" w:cstheme="minorBidi"/>
                <w:b/>
                <w:bCs/>
                <w:snapToGrid/>
                <w:sz w:val="20"/>
                <w:lang w:eastAsia="en-AU"/>
              </w:rPr>
            </w:pPr>
          </w:p>
        </w:tc>
        <w:tc>
          <w:tcPr>
            <w:tcW w:w="2504" w:type="dxa"/>
            <w:gridSpan w:val="4"/>
            <w:tcBorders>
              <w:top w:val="single" w:sz="4" w:space="0" w:color="auto"/>
              <w:bottom w:val="single" w:sz="4" w:space="0" w:color="auto"/>
            </w:tcBorders>
          </w:tcPr>
          <w:p w:rsidR="00FB33B4" w:rsidRPr="008D094B" w:rsidRDefault="00FB33B4" w:rsidP="00822E83">
            <w:pPr>
              <w:keepNext/>
              <w:keepLines/>
              <w:widowControl/>
              <w:jc w:val="center"/>
              <w:rPr>
                <w:rFonts w:asciiTheme="minorBidi" w:hAnsiTheme="minorBidi" w:cstheme="minorBidi"/>
                <w:snapToGrid/>
                <w:sz w:val="20"/>
                <w:lang w:eastAsia="en-AU"/>
              </w:rPr>
            </w:pPr>
            <w:r w:rsidRPr="00771779">
              <w:rPr>
                <w:rFonts w:ascii="Arial Narrow" w:hAnsi="Arial Narrow" w:cstheme="minorBidi"/>
                <w:b/>
                <w:bCs/>
                <w:snapToGrid/>
                <w:sz w:val="20"/>
                <w:lang w:eastAsia="en-AU"/>
              </w:rPr>
              <w:t>Intermediate-2 and High risk patients</w:t>
            </w:r>
          </w:p>
        </w:tc>
        <w:tc>
          <w:tcPr>
            <w:tcW w:w="2505" w:type="dxa"/>
            <w:gridSpan w:val="3"/>
            <w:tcBorders>
              <w:top w:val="single" w:sz="4" w:space="0" w:color="auto"/>
              <w:bottom w:val="single" w:sz="4" w:space="0" w:color="auto"/>
            </w:tcBorders>
            <w:vAlign w:val="center"/>
          </w:tcPr>
          <w:p w:rsidR="00FB33B4" w:rsidRPr="008D094B" w:rsidRDefault="00FB33B4" w:rsidP="00822E83">
            <w:pPr>
              <w:keepNext/>
              <w:keepLines/>
              <w:widowControl/>
              <w:jc w:val="center"/>
              <w:rPr>
                <w:rFonts w:asciiTheme="minorBidi" w:hAnsiTheme="minorBidi" w:cstheme="minorBidi"/>
                <w:snapToGrid/>
                <w:sz w:val="20"/>
                <w:lang w:eastAsia="en-AU"/>
              </w:rPr>
            </w:pPr>
            <w:r>
              <w:rPr>
                <w:rStyle w:val="TableBold"/>
              </w:rPr>
              <w:t>Intermediate-1 patients</w:t>
            </w:r>
          </w:p>
        </w:tc>
        <w:tc>
          <w:tcPr>
            <w:tcW w:w="2506" w:type="dxa"/>
            <w:gridSpan w:val="3"/>
            <w:tcBorders>
              <w:top w:val="single" w:sz="4" w:space="0" w:color="auto"/>
              <w:bottom w:val="single" w:sz="4" w:space="0" w:color="auto"/>
            </w:tcBorders>
          </w:tcPr>
          <w:p w:rsidR="00FB33B4" w:rsidRDefault="00FB33B4" w:rsidP="00822E83">
            <w:pPr>
              <w:keepNext/>
              <w:keepLines/>
              <w:widowControl/>
              <w:jc w:val="center"/>
              <w:rPr>
                <w:rStyle w:val="TableBold"/>
              </w:rPr>
            </w:pPr>
            <w:r>
              <w:rPr>
                <w:rStyle w:val="TableBold"/>
              </w:rPr>
              <w:t xml:space="preserve">Intermediate-1 , </w:t>
            </w:r>
            <w:r w:rsidRPr="00771779">
              <w:rPr>
                <w:rFonts w:ascii="Arial Narrow" w:hAnsi="Arial Narrow" w:cstheme="minorBidi"/>
                <w:b/>
                <w:bCs/>
                <w:snapToGrid/>
                <w:sz w:val="20"/>
                <w:lang w:eastAsia="en-AU"/>
              </w:rPr>
              <w:t>Intermediate-2 and High risk patients</w:t>
            </w:r>
          </w:p>
        </w:tc>
      </w:tr>
      <w:tr w:rsidR="00FB33B4" w:rsidRPr="008D094B" w:rsidTr="00BC0026">
        <w:trPr>
          <w:trHeight w:val="70"/>
        </w:trPr>
        <w:tc>
          <w:tcPr>
            <w:tcW w:w="1704" w:type="dxa"/>
            <w:tcBorders>
              <w:top w:val="single" w:sz="4" w:space="0" w:color="auto"/>
              <w:bottom w:val="single" w:sz="4" w:space="0" w:color="auto"/>
            </w:tcBorders>
            <w:shd w:val="clear" w:color="auto" w:fill="F2F2F2" w:themeFill="background1" w:themeFillShade="F2"/>
          </w:tcPr>
          <w:p w:rsidR="00FB33B4" w:rsidRDefault="00FB33B4" w:rsidP="00822E83">
            <w:pPr>
              <w:keepNext/>
              <w:keepLines/>
              <w:widowControl/>
              <w:jc w:val="left"/>
              <w:rPr>
                <w:rStyle w:val="TableBold"/>
              </w:rPr>
            </w:pPr>
            <w:r>
              <w:rPr>
                <w:rFonts w:ascii="Arial Narrow" w:hAnsi="Arial Narrow"/>
                <w:b/>
                <w:bCs/>
                <w:sz w:val="20"/>
                <w:lang w:eastAsia="en-AU"/>
              </w:rPr>
              <w:t xml:space="preserve">Treatment phase: </w:t>
            </w:r>
          </w:p>
        </w:tc>
        <w:tc>
          <w:tcPr>
            <w:tcW w:w="5009" w:type="dxa"/>
            <w:gridSpan w:val="7"/>
            <w:tcBorders>
              <w:top w:val="single" w:sz="4" w:space="0" w:color="auto"/>
              <w:bottom w:val="single" w:sz="4" w:space="0" w:color="auto"/>
            </w:tcBorders>
            <w:shd w:val="clear" w:color="auto" w:fill="F2F2F2" w:themeFill="background1" w:themeFillShade="F2"/>
            <w:vAlign w:val="center"/>
          </w:tcPr>
          <w:p w:rsidR="00FB33B4" w:rsidRDefault="00FB33B4" w:rsidP="00822E83">
            <w:pPr>
              <w:keepNext/>
              <w:keepLines/>
              <w:widowControl/>
              <w:jc w:val="center"/>
              <w:rPr>
                <w:rStyle w:val="TableBold"/>
              </w:rPr>
            </w:pPr>
            <w:r>
              <w:rPr>
                <w:rFonts w:ascii="Arial Narrow" w:hAnsi="Arial Narrow"/>
                <w:b/>
                <w:bCs/>
                <w:sz w:val="20"/>
                <w:lang w:eastAsia="en-AU"/>
              </w:rPr>
              <w:t>Initiation</w:t>
            </w:r>
          </w:p>
        </w:tc>
        <w:tc>
          <w:tcPr>
            <w:tcW w:w="2506" w:type="dxa"/>
            <w:gridSpan w:val="3"/>
            <w:tcBorders>
              <w:top w:val="single" w:sz="4" w:space="0" w:color="auto"/>
              <w:bottom w:val="single" w:sz="4" w:space="0" w:color="auto"/>
            </w:tcBorders>
            <w:shd w:val="clear" w:color="auto" w:fill="F2F2F2" w:themeFill="background1" w:themeFillShade="F2"/>
            <w:vAlign w:val="center"/>
          </w:tcPr>
          <w:p w:rsidR="00FB33B4" w:rsidRDefault="00FB33B4" w:rsidP="00822E83">
            <w:pPr>
              <w:keepNext/>
              <w:keepLines/>
              <w:widowControl/>
              <w:jc w:val="center"/>
              <w:rPr>
                <w:rStyle w:val="TableBold"/>
              </w:rPr>
            </w:pPr>
            <w:r>
              <w:rPr>
                <w:rStyle w:val="TableBold"/>
              </w:rPr>
              <w:t xml:space="preserve">Continuation </w:t>
            </w:r>
          </w:p>
        </w:tc>
      </w:tr>
      <w:tr w:rsidR="00FB33B4" w:rsidRPr="008D094B" w:rsidTr="00BC0026">
        <w:trPr>
          <w:trHeight w:val="70"/>
        </w:trPr>
        <w:tc>
          <w:tcPr>
            <w:tcW w:w="1704" w:type="dxa"/>
            <w:tcBorders>
              <w:top w:val="single" w:sz="4" w:space="0" w:color="auto"/>
              <w:bottom w:val="single" w:sz="4" w:space="0" w:color="auto"/>
            </w:tcBorders>
          </w:tcPr>
          <w:p w:rsidR="00FB33B4" w:rsidRPr="00AB51B6" w:rsidDel="00771779" w:rsidRDefault="00FB33B4" w:rsidP="00822E83">
            <w:pPr>
              <w:keepNext/>
              <w:keepLines/>
              <w:widowControl/>
              <w:ind w:left="-108"/>
              <w:jc w:val="left"/>
              <w:rPr>
                <w:rFonts w:ascii="Arial Narrow" w:hAnsi="Arial Narrow" w:cstheme="minorBidi"/>
                <w:b/>
                <w:bCs/>
                <w:snapToGrid/>
                <w:sz w:val="20"/>
                <w:lang w:eastAsia="en-AU"/>
              </w:rPr>
            </w:pPr>
            <w:r w:rsidRPr="00AB51B6">
              <w:rPr>
                <w:rFonts w:ascii="Arial Narrow" w:hAnsi="Arial Narrow"/>
                <w:sz w:val="20"/>
              </w:rPr>
              <w:t>Episodicity</w:t>
            </w:r>
          </w:p>
        </w:tc>
        <w:tc>
          <w:tcPr>
            <w:tcW w:w="7515" w:type="dxa"/>
            <w:gridSpan w:val="10"/>
            <w:tcBorders>
              <w:top w:val="single" w:sz="4" w:space="0" w:color="auto"/>
              <w:bottom w:val="single" w:sz="4" w:space="0" w:color="auto"/>
            </w:tcBorders>
          </w:tcPr>
          <w:p w:rsidR="00FB33B4" w:rsidRPr="00AB51B6" w:rsidRDefault="00FB33B4" w:rsidP="00822E83">
            <w:pPr>
              <w:keepNext/>
              <w:keepLines/>
              <w:widowControl/>
              <w:jc w:val="center"/>
              <w:rPr>
                <w:rStyle w:val="TableBold"/>
                <w:b w:val="0"/>
              </w:rPr>
            </w:pPr>
            <w:r>
              <w:rPr>
                <w:rFonts w:ascii="Arial Narrow" w:hAnsi="Arial Narrow" w:cstheme="minorBidi"/>
                <w:snapToGrid/>
                <w:sz w:val="20"/>
                <w:lang w:eastAsia="en-AU"/>
              </w:rPr>
              <w:t xml:space="preserve">Chronic </w:t>
            </w:r>
          </w:p>
        </w:tc>
      </w:tr>
      <w:tr w:rsidR="00FB33B4" w:rsidRPr="008D094B" w:rsidTr="00BC0026">
        <w:trPr>
          <w:trHeight w:val="70"/>
        </w:trPr>
        <w:tc>
          <w:tcPr>
            <w:tcW w:w="1704" w:type="dxa"/>
            <w:tcBorders>
              <w:top w:val="single" w:sz="4" w:space="0" w:color="auto"/>
              <w:bottom w:val="single" w:sz="4" w:space="0" w:color="auto"/>
            </w:tcBorders>
          </w:tcPr>
          <w:p w:rsidR="00FB33B4" w:rsidRPr="00AB51B6" w:rsidDel="00771779" w:rsidRDefault="00FB33B4" w:rsidP="00822E83">
            <w:pPr>
              <w:keepNext/>
              <w:keepLines/>
              <w:widowControl/>
              <w:ind w:left="-108"/>
              <w:jc w:val="left"/>
              <w:rPr>
                <w:rFonts w:ascii="Arial Narrow" w:hAnsi="Arial Narrow" w:cstheme="minorBidi"/>
                <w:b/>
                <w:bCs/>
                <w:snapToGrid/>
                <w:sz w:val="20"/>
                <w:lang w:eastAsia="en-AU"/>
              </w:rPr>
            </w:pPr>
            <w:r w:rsidRPr="00AB51B6">
              <w:rPr>
                <w:rFonts w:ascii="Arial Narrow" w:hAnsi="Arial Narrow"/>
                <w:sz w:val="20"/>
              </w:rPr>
              <w:t>Condition</w:t>
            </w:r>
          </w:p>
        </w:tc>
        <w:tc>
          <w:tcPr>
            <w:tcW w:w="7515" w:type="dxa"/>
            <w:gridSpan w:val="10"/>
            <w:tcBorders>
              <w:top w:val="single" w:sz="4" w:space="0" w:color="auto"/>
              <w:bottom w:val="single" w:sz="4" w:space="0" w:color="auto"/>
            </w:tcBorders>
          </w:tcPr>
          <w:p w:rsidR="00FB33B4" w:rsidRPr="00AB51B6" w:rsidRDefault="00FB33B4" w:rsidP="00822E83">
            <w:pPr>
              <w:keepNext/>
              <w:keepLines/>
              <w:widowControl/>
              <w:jc w:val="center"/>
              <w:rPr>
                <w:rStyle w:val="TableBold"/>
                <w:b w:val="0"/>
              </w:rPr>
            </w:pPr>
            <w:r w:rsidRPr="00230BFF">
              <w:rPr>
                <w:rStyle w:val="TableBold"/>
                <w:b w:val="0"/>
              </w:rPr>
              <w:t>Myelofibrosis</w:t>
            </w:r>
          </w:p>
        </w:tc>
      </w:tr>
      <w:tr w:rsidR="00FB33B4" w:rsidRPr="008D094B" w:rsidTr="00BC0026">
        <w:trPr>
          <w:trHeight w:val="70"/>
        </w:trPr>
        <w:tc>
          <w:tcPr>
            <w:tcW w:w="1704" w:type="dxa"/>
            <w:tcBorders>
              <w:top w:val="single" w:sz="4" w:space="0" w:color="auto"/>
              <w:bottom w:val="single" w:sz="4" w:space="0" w:color="auto"/>
            </w:tcBorders>
          </w:tcPr>
          <w:p w:rsidR="00FB33B4" w:rsidRPr="00AB51B6" w:rsidDel="00771779" w:rsidRDefault="00FB33B4" w:rsidP="00822E83">
            <w:pPr>
              <w:keepNext/>
              <w:keepLines/>
              <w:widowControl/>
              <w:ind w:left="-108"/>
              <w:jc w:val="left"/>
              <w:rPr>
                <w:rFonts w:ascii="Arial Narrow" w:hAnsi="Arial Narrow" w:cstheme="minorBidi"/>
                <w:b/>
                <w:bCs/>
                <w:snapToGrid/>
                <w:sz w:val="20"/>
                <w:lang w:eastAsia="en-AU"/>
              </w:rPr>
            </w:pPr>
            <w:r w:rsidRPr="00AB51B6">
              <w:rPr>
                <w:rFonts w:ascii="Arial Narrow" w:hAnsi="Arial Narrow"/>
                <w:sz w:val="20"/>
              </w:rPr>
              <w:t>Restriction</w:t>
            </w:r>
          </w:p>
        </w:tc>
        <w:tc>
          <w:tcPr>
            <w:tcW w:w="7515" w:type="dxa"/>
            <w:gridSpan w:val="10"/>
            <w:tcBorders>
              <w:top w:val="single" w:sz="4" w:space="0" w:color="auto"/>
              <w:bottom w:val="single" w:sz="4" w:space="0" w:color="auto"/>
            </w:tcBorders>
          </w:tcPr>
          <w:p w:rsidR="00FB33B4" w:rsidRDefault="00FB33B4" w:rsidP="00822E83">
            <w:pPr>
              <w:keepNext/>
              <w:keepLines/>
              <w:widowControl/>
              <w:jc w:val="center"/>
              <w:rPr>
                <w:rStyle w:val="TableBold"/>
              </w:rPr>
            </w:pPr>
            <w:r w:rsidRPr="00AB51B6">
              <w:rPr>
                <w:rFonts w:ascii="Arial Narrow" w:hAnsi="Arial Narrow" w:cstheme="minorBidi"/>
                <w:snapToGrid/>
                <w:sz w:val="20"/>
                <w:lang w:eastAsia="en-AU"/>
              </w:rPr>
              <w:t>Authority Required</w:t>
            </w:r>
          </w:p>
        </w:tc>
      </w:tr>
      <w:tr w:rsidR="00FB33B4" w:rsidRPr="008D094B" w:rsidTr="00BC0026">
        <w:trPr>
          <w:trHeight w:val="70"/>
        </w:trPr>
        <w:tc>
          <w:tcPr>
            <w:tcW w:w="1704" w:type="dxa"/>
            <w:tcBorders>
              <w:top w:val="single" w:sz="4" w:space="0" w:color="auto"/>
              <w:bottom w:val="single" w:sz="4" w:space="0" w:color="auto"/>
            </w:tcBorders>
          </w:tcPr>
          <w:p w:rsidR="00FB33B4" w:rsidRPr="00AB51B6" w:rsidDel="00771779" w:rsidRDefault="00FB33B4" w:rsidP="00822E83">
            <w:pPr>
              <w:keepNext/>
              <w:keepLines/>
              <w:widowControl/>
              <w:ind w:left="-108"/>
              <w:jc w:val="left"/>
              <w:rPr>
                <w:rFonts w:ascii="Arial Narrow" w:hAnsi="Arial Narrow" w:cstheme="minorBidi"/>
                <w:b/>
                <w:bCs/>
                <w:snapToGrid/>
                <w:sz w:val="20"/>
                <w:lang w:eastAsia="en-AU"/>
              </w:rPr>
            </w:pPr>
            <w:r w:rsidRPr="00AB51B6">
              <w:rPr>
                <w:rFonts w:ascii="Arial Narrow" w:hAnsi="Arial Narrow"/>
                <w:sz w:val="20"/>
              </w:rPr>
              <w:t>Clinical criteria</w:t>
            </w:r>
          </w:p>
        </w:tc>
        <w:tc>
          <w:tcPr>
            <w:tcW w:w="2504" w:type="dxa"/>
            <w:gridSpan w:val="4"/>
            <w:tcBorders>
              <w:top w:val="single" w:sz="4" w:space="0" w:color="auto"/>
              <w:bottom w:val="single" w:sz="4" w:space="0" w:color="auto"/>
            </w:tcBorders>
          </w:tcPr>
          <w:p w:rsidR="00FB33B4" w:rsidRDefault="00FB33B4" w:rsidP="00822E83">
            <w:pPr>
              <w:keepNext/>
              <w:keepLines/>
              <w:widowControl/>
              <w:jc w:val="left"/>
              <w:rPr>
                <w:rStyle w:val="TableBold"/>
                <w:b w:val="0"/>
              </w:rPr>
            </w:pPr>
            <w:r w:rsidRPr="00230BFF">
              <w:rPr>
                <w:rStyle w:val="TableBold"/>
                <w:b w:val="0"/>
              </w:rPr>
              <w:t>The condition must be primary myelofibrosis or post-polycythemia vera myelofibrosis or post-essential thrombocythemia myelofibrosis</w:t>
            </w:r>
          </w:p>
          <w:p w:rsidR="00FB33B4" w:rsidRDefault="00FB33B4" w:rsidP="00822E83">
            <w:pPr>
              <w:keepNext/>
              <w:keepLines/>
              <w:widowControl/>
              <w:jc w:val="left"/>
              <w:rPr>
                <w:rStyle w:val="TableBold"/>
                <w:b w:val="0"/>
              </w:rPr>
            </w:pPr>
            <w:r>
              <w:rPr>
                <w:rStyle w:val="TableBold"/>
                <w:b w:val="0"/>
              </w:rPr>
              <w:t>AND</w:t>
            </w:r>
          </w:p>
          <w:p w:rsidR="00FB33B4" w:rsidRDefault="00FB33B4" w:rsidP="00822E83">
            <w:pPr>
              <w:keepNext/>
              <w:keepLines/>
              <w:widowControl/>
              <w:jc w:val="left"/>
              <w:rPr>
                <w:rStyle w:val="TableBold"/>
                <w:b w:val="0"/>
              </w:rPr>
            </w:pPr>
            <w:r w:rsidRPr="00230BFF">
              <w:rPr>
                <w:rStyle w:val="TableBold"/>
                <w:b w:val="0"/>
              </w:rPr>
              <w:t>The condition must be intermediate risk level-2 or high risk</w:t>
            </w:r>
          </w:p>
          <w:p w:rsidR="00FB33B4" w:rsidRDefault="00FB33B4" w:rsidP="00822E83">
            <w:pPr>
              <w:keepNext/>
              <w:keepLines/>
              <w:widowControl/>
              <w:jc w:val="left"/>
              <w:rPr>
                <w:rStyle w:val="TableBold"/>
                <w:b w:val="0"/>
              </w:rPr>
            </w:pPr>
            <w:r>
              <w:rPr>
                <w:rStyle w:val="TableBold"/>
                <w:b w:val="0"/>
              </w:rPr>
              <w:t>AND</w:t>
            </w:r>
          </w:p>
          <w:p w:rsidR="00FB33B4" w:rsidRPr="00AB51B6" w:rsidRDefault="00FB33B4" w:rsidP="00822E83">
            <w:pPr>
              <w:keepNext/>
              <w:keepLines/>
              <w:widowControl/>
              <w:jc w:val="left"/>
              <w:rPr>
                <w:rFonts w:ascii="Arial Narrow" w:hAnsi="Arial Narrow" w:cstheme="minorBidi"/>
                <w:snapToGrid/>
                <w:sz w:val="20"/>
                <w:lang w:eastAsia="en-AU"/>
              </w:rPr>
            </w:pPr>
            <w:r w:rsidRPr="00230BFF">
              <w:rPr>
                <w:rStyle w:val="TableBold"/>
                <w:b w:val="0"/>
              </w:rPr>
              <w:t>The patient must be experiencing MF related symptoms</w:t>
            </w:r>
          </w:p>
        </w:tc>
        <w:tc>
          <w:tcPr>
            <w:tcW w:w="2505" w:type="dxa"/>
            <w:gridSpan w:val="3"/>
            <w:tcBorders>
              <w:top w:val="single" w:sz="4" w:space="0" w:color="auto"/>
              <w:bottom w:val="single" w:sz="4" w:space="0" w:color="auto"/>
            </w:tcBorders>
          </w:tcPr>
          <w:p w:rsidR="00FB33B4" w:rsidRDefault="00FB33B4" w:rsidP="00822E83">
            <w:pPr>
              <w:keepNext/>
              <w:keepLines/>
              <w:widowControl/>
              <w:jc w:val="left"/>
              <w:rPr>
                <w:rStyle w:val="TableBold"/>
                <w:b w:val="0"/>
              </w:rPr>
            </w:pPr>
            <w:r w:rsidRPr="00230BFF">
              <w:rPr>
                <w:rStyle w:val="TableBold"/>
                <w:b w:val="0"/>
              </w:rPr>
              <w:t>The condition must be primary myelofibrosis or post-polycythemia vera myelofibrosis or post-essential thrombocythemia myelofibrosis</w:t>
            </w:r>
          </w:p>
          <w:p w:rsidR="00FB33B4" w:rsidRDefault="00FB33B4" w:rsidP="00822E83">
            <w:pPr>
              <w:keepNext/>
              <w:keepLines/>
              <w:widowControl/>
              <w:jc w:val="left"/>
              <w:rPr>
                <w:rStyle w:val="TableBold"/>
                <w:b w:val="0"/>
              </w:rPr>
            </w:pPr>
            <w:r>
              <w:rPr>
                <w:rStyle w:val="TableBold"/>
                <w:b w:val="0"/>
              </w:rPr>
              <w:t>AND</w:t>
            </w:r>
          </w:p>
          <w:p w:rsidR="00FB33B4" w:rsidRDefault="00FB33B4" w:rsidP="00822E83">
            <w:pPr>
              <w:keepNext/>
              <w:keepLines/>
              <w:widowControl/>
              <w:jc w:val="left"/>
              <w:rPr>
                <w:rStyle w:val="TableBold"/>
                <w:b w:val="0"/>
              </w:rPr>
            </w:pPr>
            <w:r w:rsidRPr="00230BFF">
              <w:rPr>
                <w:rStyle w:val="TableBold"/>
                <w:b w:val="0"/>
              </w:rPr>
              <w:t>The condition m</w:t>
            </w:r>
            <w:r>
              <w:rPr>
                <w:rStyle w:val="TableBold"/>
                <w:b w:val="0"/>
              </w:rPr>
              <w:t>ust be intermediate risk level-1</w:t>
            </w:r>
          </w:p>
          <w:p w:rsidR="00FB33B4" w:rsidRDefault="00FB33B4" w:rsidP="00822E83">
            <w:pPr>
              <w:keepNext/>
              <w:keepLines/>
              <w:widowControl/>
              <w:jc w:val="left"/>
              <w:rPr>
                <w:rStyle w:val="TableBold"/>
                <w:b w:val="0"/>
              </w:rPr>
            </w:pPr>
          </w:p>
          <w:p w:rsidR="00FB33B4" w:rsidRDefault="00FB33B4" w:rsidP="00822E83">
            <w:pPr>
              <w:keepNext/>
              <w:keepLines/>
              <w:widowControl/>
              <w:jc w:val="left"/>
              <w:rPr>
                <w:rStyle w:val="TableBold"/>
                <w:b w:val="0"/>
              </w:rPr>
            </w:pPr>
            <w:r>
              <w:rPr>
                <w:rStyle w:val="TableBold"/>
                <w:b w:val="0"/>
              </w:rPr>
              <w:t>AND</w:t>
            </w:r>
          </w:p>
          <w:p w:rsidR="00FB33B4" w:rsidRPr="00AB51B6" w:rsidRDefault="00FB33B4" w:rsidP="00822E83">
            <w:pPr>
              <w:keepNext/>
              <w:keepLines/>
              <w:widowControl/>
              <w:jc w:val="left"/>
              <w:rPr>
                <w:rStyle w:val="TableBold"/>
                <w:b w:val="0"/>
              </w:rPr>
            </w:pPr>
            <w:r>
              <w:rPr>
                <w:rStyle w:val="TableBold"/>
                <w:b w:val="0"/>
              </w:rPr>
              <w:t>The patient must have severe disease-related symptoms that are resistant, refractory or intolerant to available therapy</w:t>
            </w:r>
          </w:p>
        </w:tc>
        <w:tc>
          <w:tcPr>
            <w:tcW w:w="2506" w:type="dxa"/>
            <w:gridSpan w:val="3"/>
            <w:tcBorders>
              <w:top w:val="single" w:sz="4" w:space="0" w:color="auto"/>
              <w:bottom w:val="single" w:sz="4" w:space="0" w:color="auto"/>
            </w:tcBorders>
          </w:tcPr>
          <w:p w:rsidR="00FB33B4" w:rsidRDefault="00FB33B4" w:rsidP="00822E83">
            <w:pPr>
              <w:keepNext/>
              <w:keepLines/>
              <w:widowControl/>
              <w:jc w:val="left"/>
              <w:rPr>
                <w:rStyle w:val="TableBold"/>
                <w:b w:val="0"/>
              </w:rPr>
            </w:pPr>
            <w:r w:rsidRPr="00230BFF">
              <w:rPr>
                <w:rStyle w:val="TableBold"/>
                <w:b w:val="0"/>
              </w:rPr>
              <w:t>The condition must be primary myelofibrosis or post-polycythemia vera myelofibrosis or post-essential thrombocythemia myelofibrosis</w:t>
            </w:r>
          </w:p>
          <w:p w:rsidR="00FB33B4" w:rsidRDefault="00FB33B4" w:rsidP="00822E83">
            <w:pPr>
              <w:keepNext/>
              <w:keepLines/>
              <w:widowControl/>
              <w:jc w:val="left"/>
              <w:rPr>
                <w:rStyle w:val="TableBold"/>
                <w:b w:val="0"/>
              </w:rPr>
            </w:pPr>
            <w:r>
              <w:rPr>
                <w:rStyle w:val="TableBold"/>
                <w:b w:val="0"/>
              </w:rPr>
              <w:t>AND</w:t>
            </w:r>
          </w:p>
          <w:p w:rsidR="00FB33B4" w:rsidRDefault="00FB33B4" w:rsidP="00822E83">
            <w:pPr>
              <w:keepNext/>
              <w:keepLines/>
              <w:widowControl/>
              <w:jc w:val="left"/>
              <w:rPr>
                <w:rStyle w:val="TableBold"/>
                <w:b w:val="0"/>
              </w:rPr>
            </w:pPr>
            <w:r w:rsidRPr="005027CA">
              <w:rPr>
                <w:rStyle w:val="TableBold"/>
                <w:b w:val="0"/>
              </w:rPr>
              <w:t>Patient must have previously been treated with PBS-subsidised ruxolitinib for this condition</w:t>
            </w:r>
          </w:p>
          <w:p w:rsidR="00FB33B4" w:rsidRDefault="00FB33B4" w:rsidP="00822E83">
            <w:pPr>
              <w:keepNext/>
              <w:keepLines/>
              <w:widowControl/>
              <w:jc w:val="left"/>
              <w:rPr>
                <w:rStyle w:val="TableBold"/>
                <w:b w:val="0"/>
              </w:rPr>
            </w:pPr>
            <w:r>
              <w:rPr>
                <w:rStyle w:val="TableBold"/>
                <w:b w:val="0"/>
              </w:rPr>
              <w:t>AND</w:t>
            </w:r>
          </w:p>
          <w:p w:rsidR="00FB33B4" w:rsidRPr="00230BFF" w:rsidRDefault="00FB33B4" w:rsidP="00822E83">
            <w:pPr>
              <w:keepNext/>
              <w:keepLines/>
              <w:widowControl/>
              <w:jc w:val="left"/>
              <w:rPr>
                <w:rStyle w:val="TableBold"/>
                <w:b w:val="0"/>
              </w:rPr>
            </w:pPr>
            <w:r w:rsidRPr="00B74D1A">
              <w:rPr>
                <w:rStyle w:val="TableBold"/>
                <w:b w:val="0"/>
              </w:rPr>
              <w:t>Patient must not be experiencing disease progression</w:t>
            </w:r>
          </w:p>
        </w:tc>
      </w:tr>
      <w:tr w:rsidR="00FB33B4" w:rsidRPr="008D094B" w:rsidTr="00BC0026">
        <w:trPr>
          <w:trHeight w:val="70"/>
        </w:trPr>
        <w:tc>
          <w:tcPr>
            <w:tcW w:w="6713" w:type="dxa"/>
            <w:gridSpan w:val="8"/>
            <w:tcBorders>
              <w:top w:val="single" w:sz="4" w:space="0" w:color="auto"/>
              <w:bottom w:val="single" w:sz="4" w:space="0" w:color="auto"/>
            </w:tcBorders>
          </w:tcPr>
          <w:p w:rsidR="00FB33B4" w:rsidRPr="0063087A" w:rsidRDefault="00FB33B4" w:rsidP="00822E83">
            <w:pPr>
              <w:pStyle w:val="TableCentred"/>
              <w:keepNext/>
              <w:keepLines/>
              <w:spacing w:line="240" w:lineRule="auto"/>
              <w:jc w:val="left"/>
              <w:rPr>
                <w:rStyle w:val="TableBold"/>
              </w:rPr>
            </w:pPr>
            <w:r w:rsidRPr="0063087A">
              <w:rPr>
                <w:rStyle w:val="TableBold"/>
              </w:rPr>
              <w:t>Administrative advice:</w:t>
            </w:r>
          </w:p>
          <w:p w:rsidR="00FB33B4" w:rsidRPr="00AB51B6" w:rsidRDefault="00FB33B4" w:rsidP="00822E83">
            <w:pPr>
              <w:keepNext/>
              <w:keepLines/>
              <w:widowControl/>
              <w:jc w:val="left"/>
              <w:rPr>
                <w:rStyle w:val="TableBold"/>
                <w:b w:val="0"/>
              </w:rPr>
            </w:pPr>
            <w:r>
              <w:rPr>
                <w:rStyle w:val="TableBold"/>
                <w:b w:val="0"/>
              </w:rPr>
              <w:t>Risk of myelofibrosis is defined in accordance with the M</w:t>
            </w:r>
            <w:r w:rsidRPr="00230BFF">
              <w:rPr>
                <w:rStyle w:val="TableBold"/>
                <w:b w:val="0"/>
              </w:rPr>
              <w:t>yelofibrosis International Prognostic Scoring System (IPSS) OR the Dynamic International Prognostic Scoring System (DIPSS) (or the Age Adjusted DIPSS)</w:t>
            </w:r>
          </w:p>
        </w:tc>
        <w:tc>
          <w:tcPr>
            <w:tcW w:w="2506" w:type="dxa"/>
            <w:gridSpan w:val="3"/>
            <w:tcBorders>
              <w:top w:val="single" w:sz="4" w:space="0" w:color="auto"/>
              <w:bottom w:val="single" w:sz="4" w:space="0" w:color="auto"/>
            </w:tcBorders>
          </w:tcPr>
          <w:p w:rsidR="00FB33B4" w:rsidRDefault="00FB33B4" w:rsidP="00822E83">
            <w:pPr>
              <w:pStyle w:val="TableCentred"/>
              <w:keepNext/>
              <w:keepLines/>
              <w:spacing w:line="240" w:lineRule="auto"/>
              <w:jc w:val="both"/>
              <w:rPr>
                <w:rStyle w:val="TableBold"/>
                <w:b w:val="0"/>
              </w:rPr>
            </w:pPr>
            <w:r>
              <w:rPr>
                <w:rStyle w:val="TableBold"/>
                <w:b w:val="0"/>
              </w:rPr>
              <w:t>Note:</w:t>
            </w:r>
          </w:p>
          <w:p w:rsidR="00FB33B4" w:rsidRDefault="00FB33B4" w:rsidP="00822E83">
            <w:pPr>
              <w:keepNext/>
              <w:keepLines/>
              <w:widowControl/>
              <w:jc w:val="left"/>
              <w:rPr>
                <w:rStyle w:val="TableBold"/>
                <w:b w:val="0"/>
              </w:rPr>
            </w:pPr>
            <w:r>
              <w:rPr>
                <w:rStyle w:val="TableBold"/>
                <w:b w:val="0"/>
              </w:rPr>
              <w:t>No increase in the maximum quantity may be authorised</w:t>
            </w:r>
          </w:p>
        </w:tc>
      </w:tr>
    </w:tbl>
    <w:p w:rsidR="00B60939" w:rsidRPr="00E36344" w:rsidRDefault="00B60939" w:rsidP="00E36344">
      <w:pPr>
        <w:ind w:firstLine="720"/>
      </w:pPr>
    </w:p>
    <w:p w:rsidR="00C34E09" w:rsidRDefault="00FB33B4" w:rsidP="00C34E09">
      <w:pPr>
        <w:pStyle w:val="PBACheading1"/>
        <w:numPr>
          <w:ilvl w:val="0"/>
          <w:numId w:val="0"/>
        </w:numPr>
        <w:ind w:left="720"/>
      </w:pPr>
      <w:r w:rsidRPr="00E36344">
        <w:t>The requested listing</w:t>
      </w:r>
      <w:r w:rsidR="00AA5B82" w:rsidRPr="00E36344">
        <w:t xml:space="preserve"> was based on a cost-effectiveness comparison with placebo </w:t>
      </w:r>
      <w:r w:rsidR="00AA5B82" w:rsidRPr="00E52B65">
        <w:t xml:space="preserve">in both intermediate-1 and intermediate-2 or high risk patients. </w:t>
      </w:r>
      <w:r w:rsidR="00AB3260">
        <w:t xml:space="preserve"> </w:t>
      </w:r>
    </w:p>
    <w:p w:rsidR="00AA5B82" w:rsidRDefault="00AA5B82" w:rsidP="00C34E09">
      <w:pPr>
        <w:pStyle w:val="PBACheading1"/>
        <w:numPr>
          <w:ilvl w:val="0"/>
          <w:numId w:val="0"/>
        </w:numPr>
        <w:ind w:left="720"/>
      </w:pPr>
      <w:r>
        <w:lastRenderedPageBreak/>
        <w:t xml:space="preserve">Changes to the eligibility criteria for initial and continuing treatment </w:t>
      </w:r>
      <w:r w:rsidR="009679C3">
        <w:t>between the current and previous re-submission are</w:t>
      </w:r>
      <w:r>
        <w:t xml:space="preserve"> summarised below</w:t>
      </w:r>
      <w:r w:rsidR="00894968">
        <w:t>. The current proposed restriction is in line with the stakeholder meeting consensus.</w:t>
      </w:r>
    </w:p>
    <w:p w:rsidR="0039379D" w:rsidRDefault="0039379D" w:rsidP="00010DFC">
      <w:pPr>
        <w:pStyle w:val="ListParagraph"/>
      </w:pPr>
    </w:p>
    <w:p w:rsidR="00010DFC" w:rsidRPr="0053473F" w:rsidRDefault="00010DFC" w:rsidP="0053473F">
      <w:pPr>
        <w:widowControl/>
        <w:ind w:firstLine="720"/>
        <w:jc w:val="left"/>
      </w:pPr>
      <w:r w:rsidRPr="00010DFC">
        <w:rPr>
          <w:rFonts w:ascii="Arial Narrow" w:hAnsi="Arial Narrow"/>
          <w:b/>
          <w:sz w:val="20"/>
        </w:rPr>
        <w:t>Eligibility criteria for initial and continuing treatment between the current and previous re-submission</w:t>
      </w:r>
    </w:p>
    <w:tbl>
      <w:tblPr>
        <w:tblStyle w:val="TableGrid"/>
        <w:tblW w:w="8505" w:type="dxa"/>
        <w:tblInd w:w="737" w:type="dxa"/>
        <w:tblCellMar>
          <w:left w:w="28" w:type="dxa"/>
          <w:right w:w="28" w:type="dxa"/>
        </w:tblCellMar>
        <w:tblLook w:val="0620" w:firstRow="1" w:lastRow="0" w:firstColumn="0" w:lastColumn="0" w:noHBand="1" w:noVBand="1"/>
      </w:tblPr>
      <w:tblGrid>
        <w:gridCol w:w="1176"/>
        <w:gridCol w:w="1963"/>
        <w:gridCol w:w="1964"/>
        <w:gridCol w:w="3402"/>
      </w:tblGrid>
      <w:tr w:rsidR="00AA5B82" w:rsidRPr="001E4208" w:rsidTr="00831BB6">
        <w:trPr>
          <w:tblHeader/>
        </w:trPr>
        <w:tc>
          <w:tcPr>
            <w:tcW w:w="1176" w:type="dxa"/>
            <w:shd w:val="clear" w:color="auto" w:fill="FFFFFF" w:themeFill="background1"/>
          </w:tcPr>
          <w:p w:rsidR="00AA5B82" w:rsidRPr="001E4208" w:rsidRDefault="00AA5B82" w:rsidP="00AA5B82">
            <w:pPr>
              <w:rPr>
                <w:rFonts w:ascii="Arial Narrow" w:hAnsi="Arial Narrow" w:cstheme="minorBidi"/>
                <w:b/>
                <w:bCs/>
                <w:sz w:val="20"/>
              </w:rPr>
            </w:pPr>
            <w:r w:rsidRPr="001E4208">
              <w:rPr>
                <w:rFonts w:ascii="Arial Narrow" w:hAnsi="Arial Narrow" w:cstheme="minorBidi"/>
                <w:b/>
                <w:bCs/>
                <w:sz w:val="20"/>
              </w:rPr>
              <w:t>Criteria</w:t>
            </w:r>
          </w:p>
        </w:tc>
        <w:tc>
          <w:tcPr>
            <w:tcW w:w="1963" w:type="dxa"/>
            <w:shd w:val="clear" w:color="auto" w:fill="FFFFFF" w:themeFill="background1"/>
            <w:vAlign w:val="center"/>
          </w:tcPr>
          <w:p w:rsidR="00AA5B82" w:rsidRPr="001E4208" w:rsidRDefault="00AA5B82" w:rsidP="00AA5B82">
            <w:pPr>
              <w:jc w:val="center"/>
              <w:rPr>
                <w:rFonts w:ascii="Arial Narrow" w:hAnsi="Arial Narrow" w:cstheme="minorBidi"/>
                <w:b/>
                <w:bCs/>
                <w:sz w:val="20"/>
              </w:rPr>
            </w:pPr>
            <w:r w:rsidRPr="001E4208">
              <w:rPr>
                <w:rFonts w:ascii="Arial Narrow" w:hAnsi="Arial Narrow" w:cstheme="minorBidi"/>
                <w:b/>
                <w:bCs/>
                <w:sz w:val="20"/>
              </w:rPr>
              <w:t xml:space="preserve">July 2014 </w:t>
            </w:r>
            <w:r>
              <w:rPr>
                <w:rFonts w:ascii="Arial Narrow" w:hAnsi="Arial Narrow" w:cstheme="minorBidi"/>
                <w:b/>
                <w:bCs/>
                <w:sz w:val="20"/>
              </w:rPr>
              <w:t>re-</w:t>
            </w:r>
            <w:r w:rsidRPr="001E4208">
              <w:rPr>
                <w:rFonts w:ascii="Arial Narrow" w:hAnsi="Arial Narrow" w:cstheme="minorBidi"/>
                <w:b/>
                <w:bCs/>
                <w:sz w:val="20"/>
              </w:rPr>
              <w:t>submission</w:t>
            </w:r>
          </w:p>
        </w:tc>
        <w:tc>
          <w:tcPr>
            <w:tcW w:w="1964" w:type="dxa"/>
            <w:shd w:val="clear" w:color="auto" w:fill="FFFFFF" w:themeFill="background1"/>
            <w:vAlign w:val="center"/>
          </w:tcPr>
          <w:p w:rsidR="00AA5B82" w:rsidRPr="001E4208" w:rsidRDefault="00AA5B82" w:rsidP="00AA5B82">
            <w:pPr>
              <w:jc w:val="center"/>
              <w:rPr>
                <w:rFonts w:ascii="Arial Narrow" w:hAnsi="Arial Narrow" w:cstheme="minorBidi"/>
                <w:b/>
                <w:bCs/>
                <w:sz w:val="20"/>
              </w:rPr>
            </w:pPr>
            <w:r w:rsidRPr="001E4208">
              <w:rPr>
                <w:rFonts w:ascii="Arial Narrow" w:hAnsi="Arial Narrow" w:cstheme="minorBidi"/>
                <w:b/>
                <w:bCs/>
                <w:sz w:val="20"/>
              </w:rPr>
              <w:t xml:space="preserve">Current </w:t>
            </w:r>
            <w:r>
              <w:rPr>
                <w:rFonts w:ascii="Arial Narrow" w:hAnsi="Arial Narrow" w:cstheme="minorBidi"/>
                <w:b/>
                <w:bCs/>
                <w:sz w:val="20"/>
              </w:rPr>
              <w:t>re-</w:t>
            </w:r>
            <w:r w:rsidRPr="001E4208">
              <w:rPr>
                <w:rFonts w:ascii="Arial Narrow" w:hAnsi="Arial Narrow" w:cstheme="minorBidi"/>
                <w:b/>
                <w:bCs/>
                <w:sz w:val="20"/>
              </w:rPr>
              <w:t>submission</w:t>
            </w:r>
          </w:p>
        </w:tc>
        <w:tc>
          <w:tcPr>
            <w:tcW w:w="3402" w:type="dxa"/>
            <w:shd w:val="clear" w:color="auto" w:fill="FFFFFF" w:themeFill="background1"/>
            <w:vAlign w:val="center"/>
          </w:tcPr>
          <w:p w:rsidR="00AA5B82" w:rsidRPr="001E4208" w:rsidRDefault="00AA5B82" w:rsidP="00AA5B82">
            <w:pPr>
              <w:jc w:val="center"/>
              <w:rPr>
                <w:rFonts w:ascii="Arial Narrow" w:hAnsi="Arial Narrow" w:cstheme="minorBidi"/>
                <w:b/>
                <w:bCs/>
                <w:sz w:val="20"/>
              </w:rPr>
            </w:pPr>
            <w:r w:rsidRPr="001E4208">
              <w:rPr>
                <w:rFonts w:ascii="Arial Narrow" w:hAnsi="Arial Narrow" w:cstheme="minorBidi"/>
                <w:b/>
                <w:bCs/>
                <w:sz w:val="20"/>
              </w:rPr>
              <w:t>Rationale</w:t>
            </w:r>
          </w:p>
        </w:tc>
      </w:tr>
      <w:tr w:rsidR="00AA5B82" w:rsidRPr="001E4208" w:rsidTr="00BC0026">
        <w:trPr>
          <w:tblHeader/>
        </w:trPr>
        <w:tc>
          <w:tcPr>
            <w:tcW w:w="8505" w:type="dxa"/>
            <w:gridSpan w:val="4"/>
          </w:tcPr>
          <w:p w:rsidR="00AA5B82" w:rsidRPr="001E4208" w:rsidRDefault="00AA5B82" w:rsidP="00AA5B82">
            <w:pPr>
              <w:rPr>
                <w:rFonts w:ascii="Arial Narrow" w:hAnsi="Arial Narrow" w:cstheme="minorBidi"/>
                <w:b/>
                <w:bCs/>
                <w:sz w:val="20"/>
              </w:rPr>
            </w:pPr>
            <w:r w:rsidRPr="001E4208">
              <w:rPr>
                <w:rFonts w:ascii="Arial Narrow" w:hAnsi="Arial Narrow" w:cstheme="minorBidi"/>
                <w:b/>
                <w:bCs/>
                <w:sz w:val="20"/>
              </w:rPr>
              <w:t>Initiation</w:t>
            </w:r>
          </w:p>
        </w:tc>
      </w:tr>
      <w:tr w:rsidR="00AA5B82" w:rsidRPr="001E4208" w:rsidTr="00BC0026">
        <w:tc>
          <w:tcPr>
            <w:tcW w:w="1176" w:type="dxa"/>
          </w:tcPr>
          <w:p w:rsidR="00AA5B82" w:rsidRPr="001E4208" w:rsidRDefault="00AA5B82" w:rsidP="00AA5B82">
            <w:pPr>
              <w:rPr>
                <w:rFonts w:ascii="Arial Narrow" w:hAnsi="Arial Narrow" w:cstheme="minorBidi"/>
                <w:sz w:val="20"/>
              </w:rPr>
            </w:pPr>
            <w:r w:rsidRPr="001E4208">
              <w:rPr>
                <w:rFonts w:ascii="Arial Narrow" w:hAnsi="Arial Narrow" w:cstheme="minorBidi"/>
                <w:sz w:val="20"/>
              </w:rPr>
              <w:t>Splenomegaly</w:t>
            </w:r>
          </w:p>
        </w:tc>
        <w:tc>
          <w:tcPr>
            <w:tcW w:w="1963"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Must have splenomegaly, defined as a spleen palpable ≥ 5cm from the left costal margin</w:t>
            </w:r>
          </w:p>
        </w:tc>
        <w:tc>
          <w:tcPr>
            <w:tcW w:w="1964"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 xml:space="preserve">No requirement to have splenomegaly. Instead, must have MF related symptoms which may include splenomegaly. </w:t>
            </w:r>
          </w:p>
        </w:tc>
        <w:tc>
          <w:tcPr>
            <w:tcW w:w="3402"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Splenomegaly is just one of the symptoms of MF and is largely unrelated to constitutional symptom burden</w:t>
            </w:r>
            <w:r w:rsidR="00094D38">
              <w:rPr>
                <w:rFonts w:ascii="Arial Narrow" w:hAnsi="Arial Narrow" w:cstheme="minorBidi"/>
                <w:sz w:val="20"/>
              </w:rPr>
              <w:t>.</w:t>
            </w:r>
          </w:p>
        </w:tc>
      </w:tr>
      <w:tr w:rsidR="00AA5B82" w:rsidRPr="001E4208" w:rsidTr="00BC0026">
        <w:tc>
          <w:tcPr>
            <w:tcW w:w="1176"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Intermediate-1 risk patients</w:t>
            </w:r>
          </w:p>
        </w:tc>
        <w:tc>
          <w:tcPr>
            <w:tcW w:w="1963"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 xml:space="preserve">Not eligible unless they would have met intermediate-2 criteria except they are aged &lt;65 years </w:t>
            </w:r>
          </w:p>
        </w:tc>
        <w:tc>
          <w:tcPr>
            <w:tcW w:w="1964"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Requirement for intermediate-1 patients to have severe symptoms which are resistant, refractory or intolerant to available therapy</w:t>
            </w:r>
          </w:p>
        </w:tc>
        <w:tc>
          <w:tcPr>
            <w:tcW w:w="3402"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Possible for patients with severe symptoms (e.g. significant pruritus) to not be classified as intermediate-2 or high risk given the scoring focuses on night sweats, weight loss and fever. It was possible for intermediate-1 patients to be excluded due to age, which is not preferable from a clinical and ethical point of view</w:t>
            </w:r>
            <w:r w:rsidR="00094D38">
              <w:rPr>
                <w:rFonts w:ascii="Arial Narrow" w:hAnsi="Arial Narrow" w:cstheme="minorBidi"/>
                <w:sz w:val="20"/>
              </w:rPr>
              <w:t>.</w:t>
            </w:r>
          </w:p>
        </w:tc>
      </w:tr>
      <w:tr w:rsidR="00AA5B82" w:rsidRPr="001E4208" w:rsidTr="00BC0026">
        <w:tc>
          <w:tcPr>
            <w:tcW w:w="1176"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Prognostic tool for risk grading</w:t>
            </w:r>
          </w:p>
        </w:tc>
        <w:tc>
          <w:tcPr>
            <w:tcW w:w="1963"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IPSS only</w:t>
            </w:r>
          </w:p>
        </w:tc>
        <w:tc>
          <w:tcPr>
            <w:tcW w:w="1964" w:type="dxa"/>
          </w:tcPr>
          <w:p w:rsidR="00AA5B82" w:rsidRPr="001E4208" w:rsidRDefault="00AA5B82" w:rsidP="00953D16">
            <w:pPr>
              <w:jc w:val="left"/>
              <w:rPr>
                <w:rFonts w:ascii="Arial Narrow" w:hAnsi="Arial Narrow" w:cstheme="minorBidi"/>
                <w:sz w:val="20"/>
              </w:rPr>
            </w:pPr>
            <w:r w:rsidRPr="001E4208">
              <w:rPr>
                <w:rFonts w:ascii="Arial Narrow" w:hAnsi="Arial Narrow" w:cstheme="minorBidi"/>
                <w:sz w:val="20"/>
              </w:rPr>
              <w:t xml:space="preserve">IPSS, DIPSS or </w:t>
            </w:r>
            <w:r>
              <w:rPr>
                <w:rFonts w:ascii="Arial Narrow" w:hAnsi="Arial Narrow" w:cstheme="minorBidi"/>
                <w:sz w:val="20"/>
              </w:rPr>
              <w:t>aa</w:t>
            </w:r>
            <w:r w:rsidRPr="001E4208">
              <w:rPr>
                <w:rFonts w:ascii="Arial Narrow" w:hAnsi="Arial Narrow" w:cstheme="minorBidi"/>
                <w:sz w:val="20"/>
              </w:rPr>
              <w:t xml:space="preserve">DIPSS </w:t>
            </w:r>
          </w:p>
        </w:tc>
        <w:tc>
          <w:tcPr>
            <w:tcW w:w="3402"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IPSS is not designed to reassess risk categories over the course of the disease, whereas DIPSS is designed to assess prognosis at any time point after diagnosis.</w:t>
            </w:r>
          </w:p>
        </w:tc>
      </w:tr>
      <w:tr w:rsidR="00AA5B82" w:rsidRPr="001E4208" w:rsidTr="00BC0026">
        <w:tc>
          <w:tcPr>
            <w:tcW w:w="8505" w:type="dxa"/>
            <w:gridSpan w:val="4"/>
          </w:tcPr>
          <w:p w:rsidR="00AA5B82" w:rsidRPr="001E4208" w:rsidRDefault="00AA5B82" w:rsidP="00AA5B82">
            <w:pPr>
              <w:rPr>
                <w:rFonts w:ascii="Arial Narrow" w:hAnsi="Arial Narrow" w:cstheme="minorBidi"/>
                <w:b/>
                <w:bCs/>
                <w:sz w:val="20"/>
              </w:rPr>
            </w:pPr>
            <w:r w:rsidRPr="001E4208">
              <w:rPr>
                <w:rFonts w:ascii="Arial Narrow" w:hAnsi="Arial Narrow" w:cstheme="minorBidi"/>
                <w:b/>
                <w:bCs/>
                <w:sz w:val="20"/>
              </w:rPr>
              <w:t xml:space="preserve">Continuation </w:t>
            </w:r>
          </w:p>
        </w:tc>
      </w:tr>
      <w:tr w:rsidR="00AA5B82" w:rsidRPr="001E4208" w:rsidTr="00BC0026">
        <w:tc>
          <w:tcPr>
            <w:tcW w:w="1176" w:type="dxa"/>
          </w:tcPr>
          <w:p w:rsidR="00AA5B82" w:rsidRPr="001E4208" w:rsidRDefault="00AA5B82" w:rsidP="00AA5B82">
            <w:pPr>
              <w:rPr>
                <w:rFonts w:ascii="Arial Narrow" w:hAnsi="Arial Narrow" w:cstheme="minorBidi"/>
                <w:sz w:val="20"/>
              </w:rPr>
            </w:pPr>
            <w:r w:rsidRPr="001E4208">
              <w:rPr>
                <w:rFonts w:ascii="Arial Narrow" w:hAnsi="Arial Narrow" w:cstheme="minorBidi"/>
                <w:sz w:val="20"/>
              </w:rPr>
              <w:t>Symptom improvement</w:t>
            </w:r>
          </w:p>
        </w:tc>
        <w:tc>
          <w:tcPr>
            <w:tcW w:w="1963"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Must demonstrate splenic response or symptom improvement on EORTC QLQ AND not experiencing disease progression</w:t>
            </w:r>
          </w:p>
        </w:tc>
        <w:tc>
          <w:tcPr>
            <w:tcW w:w="1964"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Eligible to continue treatment as long as not experiencing disease progression</w:t>
            </w:r>
          </w:p>
        </w:tc>
        <w:tc>
          <w:tcPr>
            <w:tcW w:w="3402" w:type="dxa"/>
          </w:tcPr>
          <w:p w:rsidR="00AA5B82" w:rsidRPr="001E4208" w:rsidRDefault="00AA5B82" w:rsidP="00AA5B82">
            <w:pPr>
              <w:jc w:val="left"/>
              <w:rPr>
                <w:rFonts w:ascii="Arial Narrow" w:hAnsi="Arial Narrow" w:cstheme="minorBidi"/>
                <w:sz w:val="20"/>
              </w:rPr>
            </w:pPr>
            <w:r w:rsidRPr="001E4208">
              <w:rPr>
                <w:rFonts w:ascii="Arial Narrow" w:hAnsi="Arial Narrow" w:cstheme="minorBidi"/>
                <w:sz w:val="20"/>
              </w:rPr>
              <w:t>Clinical opinion that there is no objective feature of MF that can be used consistently to determine when ruxolitinib should be discontinued. Criteria in current submission is based on continuation criteria for azacitidine for treatment of  myelodyspla</w:t>
            </w:r>
            <w:r w:rsidR="009A3D87">
              <w:rPr>
                <w:rFonts w:ascii="Arial Narrow" w:hAnsi="Arial Narrow" w:cstheme="minorBidi"/>
                <w:sz w:val="20"/>
              </w:rPr>
              <w:t>s</w:t>
            </w:r>
            <w:r w:rsidRPr="001E4208">
              <w:rPr>
                <w:rFonts w:ascii="Arial Narrow" w:hAnsi="Arial Narrow" w:cstheme="minorBidi"/>
                <w:sz w:val="20"/>
              </w:rPr>
              <w:t>tic syndrome</w:t>
            </w:r>
            <w:r w:rsidR="00094D38">
              <w:rPr>
                <w:rFonts w:ascii="Arial Narrow" w:hAnsi="Arial Narrow" w:cstheme="minorBidi"/>
                <w:sz w:val="20"/>
              </w:rPr>
              <w:t>.</w:t>
            </w:r>
          </w:p>
        </w:tc>
      </w:tr>
    </w:tbl>
    <w:p w:rsidR="00AA5B82" w:rsidRDefault="00AA5B82" w:rsidP="008217BA">
      <w:pPr>
        <w:ind w:left="709"/>
        <w:rPr>
          <w:rFonts w:ascii="Arial Narrow" w:hAnsi="Arial Narrow"/>
          <w:sz w:val="20"/>
        </w:rPr>
      </w:pPr>
      <w:r w:rsidRPr="00813FB2">
        <w:rPr>
          <w:rFonts w:ascii="Arial Narrow" w:hAnsi="Arial Narrow"/>
          <w:sz w:val="20"/>
        </w:rPr>
        <w:t>Abbreviations: IPSS</w:t>
      </w:r>
      <w:r>
        <w:rPr>
          <w:rFonts w:ascii="Arial Narrow" w:hAnsi="Arial Narrow"/>
          <w:sz w:val="20"/>
        </w:rPr>
        <w:t>=</w:t>
      </w:r>
      <w:r w:rsidRPr="00813FB2">
        <w:rPr>
          <w:rFonts w:ascii="Arial Narrow" w:hAnsi="Arial Narrow"/>
          <w:sz w:val="20"/>
        </w:rPr>
        <w:t>International Prognostic Scoring System; DIPSS</w:t>
      </w:r>
      <w:r>
        <w:rPr>
          <w:rFonts w:ascii="Arial Narrow" w:hAnsi="Arial Narrow"/>
          <w:sz w:val="20"/>
        </w:rPr>
        <w:t>=</w:t>
      </w:r>
      <w:r w:rsidRPr="00813FB2">
        <w:rPr>
          <w:rFonts w:ascii="Arial Narrow" w:hAnsi="Arial Narrow"/>
          <w:sz w:val="20"/>
        </w:rPr>
        <w:t>Dynamic International Prognostic Scoring System</w:t>
      </w:r>
      <w:r>
        <w:rPr>
          <w:rFonts w:ascii="Arial Narrow" w:hAnsi="Arial Narrow"/>
          <w:sz w:val="20"/>
        </w:rPr>
        <w:t xml:space="preserve">, aaDIPSS=age adjusted </w:t>
      </w:r>
      <w:r w:rsidRPr="00813FB2">
        <w:rPr>
          <w:rFonts w:ascii="Arial Narrow" w:hAnsi="Arial Narrow"/>
          <w:sz w:val="20"/>
        </w:rPr>
        <w:t>Dynamic International Prognostic Scoring System</w:t>
      </w:r>
    </w:p>
    <w:p w:rsidR="00AA5B82" w:rsidRDefault="00AA5B82" w:rsidP="006E6A97">
      <w:pPr>
        <w:ind w:firstLine="709"/>
        <w:rPr>
          <w:rFonts w:ascii="Arial Narrow" w:hAnsi="Arial Narrow" w:cstheme="minorBidi"/>
          <w:sz w:val="20"/>
        </w:rPr>
      </w:pPr>
      <w:r w:rsidRPr="006C0D53">
        <w:rPr>
          <w:rFonts w:ascii="Arial Narrow" w:hAnsi="Arial Narrow" w:cstheme="minorBidi"/>
          <w:sz w:val="20"/>
        </w:rPr>
        <w:t xml:space="preserve">Source: pp40-46 of </w:t>
      </w:r>
      <w:r>
        <w:rPr>
          <w:rFonts w:ascii="Arial Narrow" w:hAnsi="Arial Narrow" w:cstheme="minorBidi"/>
          <w:sz w:val="20"/>
        </w:rPr>
        <w:t>the re-s</w:t>
      </w:r>
      <w:r w:rsidRPr="006C0D53">
        <w:rPr>
          <w:rFonts w:ascii="Arial Narrow" w:hAnsi="Arial Narrow" w:cstheme="minorBidi"/>
          <w:sz w:val="20"/>
        </w:rPr>
        <w:t xml:space="preserve">ubmission </w:t>
      </w:r>
    </w:p>
    <w:p w:rsidR="00675DDF" w:rsidRDefault="00675DDF" w:rsidP="006E6A97">
      <w:pPr>
        <w:ind w:firstLine="709"/>
        <w:rPr>
          <w:rFonts w:ascii="Arial Narrow" w:hAnsi="Arial Narrow" w:cstheme="minorBidi"/>
          <w:sz w:val="20"/>
        </w:rPr>
      </w:pPr>
    </w:p>
    <w:p w:rsidR="00675DDF" w:rsidRDefault="00675DDF" w:rsidP="00675DDF">
      <w:pPr>
        <w:rPr>
          <w:i/>
          <w:szCs w:val="22"/>
        </w:rPr>
      </w:pPr>
      <w:r w:rsidRPr="0074551B">
        <w:rPr>
          <w:i/>
          <w:szCs w:val="22"/>
        </w:rPr>
        <w:t>For more detail on PBAC’s view, see section 7 “PBAC outcome”</w:t>
      </w:r>
    </w:p>
    <w:p w:rsidR="00675DDF" w:rsidRDefault="00675DDF" w:rsidP="00675DDF">
      <w:pPr>
        <w:rPr>
          <w:i/>
          <w:szCs w:val="22"/>
        </w:rPr>
      </w:pPr>
    </w:p>
    <w:p w:rsidR="00F338FF" w:rsidRPr="00407F2D" w:rsidRDefault="00F338FF" w:rsidP="005D7E3E">
      <w:pPr>
        <w:pStyle w:val="PBACheading1"/>
      </w:pPr>
      <w:bookmarkStart w:id="3" w:name="_Toc408474956"/>
      <w:r w:rsidRPr="00407F2D">
        <w:rPr>
          <w:b/>
        </w:rPr>
        <w:t>Background</w:t>
      </w:r>
      <w:bookmarkEnd w:id="3"/>
    </w:p>
    <w:p w:rsidR="00B60939" w:rsidRPr="00882085" w:rsidRDefault="00B60939" w:rsidP="00B60939">
      <w:pPr>
        <w:rPr>
          <w:szCs w:val="22"/>
        </w:rPr>
      </w:pPr>
    </w:p>
    <w:p w:rsidR="00B60939" w:rsidRPr="00CC0AE5" w:rsidRDefault="00D5797A" w:rsidP="004D64A8">
      <w:pPr>
        <w:pStyle w:val="ListParagraph"/>
        <w:widowControl/>
        <w:numPr>
          <w:ilvl w:val="1"/>
          <w:numId w:val="1"/>
        </w:numPr>
      </w:pPr>
      <w:r>
        <w:rPr>
          <w:szCs w:val="22"/>
        </w:rPr>
        <w:t xml:space="preserve">TGA status: </w:t>
      </w:r>
      <w:r w:rsidR="00CC0AE5" w:rsidRPr="00CC0AE5">
        <w:rPr>
          <w:szCs w:val="22"/>
        </w:rPr>
        <w:t xml:space="preserve"> Ruxolitinib </w:t>
      </w:r>
      <w:r w:rsidR="00B60939" w:rsidRPr="00CC0AE5">
        <w:rPr>
          <w:szCs w:val="22"/>
        </w:rPr>
        <w:t>was TGA registered</w:t>
      </w:r>
      <w:r w:rsidR="00CC0AE5" w:rsidRPr="00CC0AE5">
        <w:rPr>
          <w:szCs w:val="22"/>
        </w:rPr>
        <w:t xml:space="preserve"> on </w:t>
      </w:r>
      <w:r w:rsidR="00421E50">
        <w:rPr>
          <w:szCs w:val="22"/>
        </w:rPr>
        <w:t>5 November 2013</w:t>
      </w:r>
      <w:r w:rsidR="00CC0AE5" w:rsidRPr="00CC0AE5">
        <w:rPr>
          <w:szCs w:val="22"/>
        </w:rPr>
        <w:t xml:space="preserve"> for treatment of disease-related splenomegaly or symptoms in patients with primary myelofibrosis, post-polycythemia vera</w:t>
      </w:r>
      <w:r w:rsidR="00CC0AE5">
        <w:rPr>
          <w:szCs w:val="22"/>
        </w:rPr>
        <w:t xml:space="preserve"> </w:t>
      </w:r>
      <w:r w:rsidR="00CC0AE5" w:rsidRPr="00CC0AE5">
        <w:rPr>
          <w:szCs w:val="22"/>
        </w:rPr>
        <w:t>myelofibrosis or post-essential thrombocythemia myelofibrosis</w:t>
      </w:r>
    </w:p>
    <w:p w:rsidR="00CC0AE5" w:rsidRPr="00CC0AE5" w:rsidRDefault="00CC0AE5" w:rsidP="00CC0AE5">
      <w:pPr>
        <w:pStyle w:val="ListParagraph"/>
        <w:widowControl/>
      </w:pPr>
    </w:p>
    <w:p w:rsidR="00B60939" w:rsidRDefault="00CC0AE5" w:rsidP="004D64A8">
      <w:pPr>
        <w:pStyle w:val="ListParagraph"/>
        <w:widowControl/>
        <w:numPr>
          <w:ilvl w:val="1"/>
          <w:numId w:val="1"/>
        </w:numPr>
        <w:rPr>
          <w:szCs w:val="22"/>
        </w:rPr>
      </w:pPr>
      <w:r w:rsidRPr="00CC0AE5">
        <w:rPr>
          <w:szCs w:val="22"/>
        </w:rPr>
        <w:t>Ruxolitinib has previously been considered by the PBAC twice, in July 2013 and July 2014.</w:t>
      </w:r>
    </w:p>
    <w:p w:rsidR="00010DFC" w:rsidRPr="00010DFC" w:rsidRDefault="00010DFC" w:rsidP="00010DFC">
      <w:pPr>
        <w:widowControl/>
        <w:rPr>
          <w:szCs w:val="22"/>
        </w:rPr>
      </w:pPr>
    </w:p>
    <w:p w:rsidR="001D112E" w:rsidRDefault="002215A7" w:rsidP="004D64A8">
      <w:pPr>
        <w:pStyle w:val="PBACheading1"/>
        <w:numPr>
          <w:ilvl w:val="1"/>
          <w:numId w:val="1"/>
        </w:numPr>
      </w:pPr>
      <w:r>
        <w:t xml:space="preserve">Key issues compared to the previous </w:t>
      </w:r>
      <w:r w:rsidR="00010DFC">
        <w:t>re-submission are summarised below.</w:t>
      </w:r>
    </w:p>
    <w:p w:rsidR="003F31C5" w:rsidRDefault="003F31C5" w:rsidP="00C91094">
      <w:pPr>
        <w:pStyle w:val="ListParagraph"/>
        <w:keepNext/>
        <w:keepLines/>
      </w:pPr>
    </w:p>
    <w:p w:rsidR="001D112E" w:rsidRPr="00ED0F04" w:rsidRDefault="001D112E" w:rsidP="00C91094">
      <w:pPr>
        <w:keepNext/>
        <w:keepLines/>
        <w:ind w:firstLine="720"/>
        <w:rPr>
          <w:rStyle w:val="CommentReference"/>
        </w:rPr>
      </w:pPr>
      <w:r w:rsidRPr="00ED0F04">
        <w:rPr>
          <w:rStyle w:val="CommentReference"/>
        </w:rPr>
        <w:t xml:space="preserve">Summary of the previous </w:t>
      </w:r>
      <w:r w:rsidR="002215A7">
        <w:rPr>
          <w:rStyle w:val="CommentReference"/>
        </w:rPr>
        <w:t>re-</w:t>
      </w:r>
      <w:r w:rsidRPr="00ED0F04">
        <w:rPr>
          <w:rStyle w:val="CommentReference"/>
        </w:rPr>
        <w:t>submission and current re-submission</w:t>
      </w:r>
    </w:p>
    <w:tbl>
      <w:tblPr>
        <w:tblW w:w="844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omparison between previous re-submission and current re-submission"/>
      </w:tblPr>
      <w:tblGrid>
        <w:gridCol w:w="991"/>
        <w:gridCol w:w="4145"/>
        <w:gridCol w:w="3307"/>
      </w:tblGrid>
      <w:tr w:rsidR="002215A7" w:rsidRPr="002215A7" w:rsidTr="00831BB6">
        <w:trPr>
          <w:trHeight w:val="220"/>
          <w:tblHeader/>
        </w:trPr>
        <w:tc>
          <w:tcPr>
            <w:tcW w:w="992" w:type="dxa"/>
            <w:shd w:val="clear" w:color="auto" w:fill="FFFFFF" w:themeFill="background1"/>
          </w:tcPr>
          <w:p w:rsidR="001D112E" w:rsidRPr="002215A7" w:rsidRDefault="001D112E" w:rsidP="00C91094">
            <w:pPr>
              <w:keepNext/>
              <w:keepLines/>
              <w:jc w:val="left"/>
              <w:rPr>
                <w:rFonts w:ascii="Arial Narrow" w:hAnsi="Arial Narrow"/>
                <w:sz w:val="19"/>
                <w:szCs w:val="19"/>
              </w:rPr>
            </w:pPr>
          </w:p>
        </w:tc>
        <w:tc>
          <w:tcPr>
            <w:tcW w:w="4120" w:type="dxa"/>
            <w:shd w:val="clear" w:color="auto" w:fill="FFFFFF" w:themeFill="background1"/>
            <w:vAlign w:val="center"/>
          </w:tcPr>
          <w:p w:rsidR="001D112E" w:rsidRPr="002215A7" w:rsidRDefault="00421E50" w:rsidP="00C91094">
            <w:pPr>
              <w:keepNext/>
              <w:keepLines/>
              <w:jc w:val="center"/>
              <w:rPr>
                <w:rFonts w:ascii="Arial Narrow" w:hAnsi="Arial Narrow"/>
                <w:b/>
                <w:sz w:val="19"/>
                <w:szCs w:val="19"/>
              </w:rPr>
            </w:pPr>
            <w:r w:rsidRPr="002215A7">
              <w:rPr>
                <w:rFonts w:ascii="Arial Narrow" w:hAnsi="Arial Narrow"/>
                <w:b/>
                <w:sz w:val="19"/>
                <w:szCs w:val="19"/>
              </w:rPr>
              <w:t>Ruxolitinib July 2014</w:t>
            </w:r>
          </w:p>
        </w:tc>
        <w:tc>
          <w:tcPr>
            <w:tcW w:w="3331" w:type="dxa"/>
            <w:shd w:val="clear" w:color="auto" w:fill="FFFFFF" w:themeFill="background1"/>
            <w:vAlign w:val="center"/>
          </w:tcPr>
          <w:p w:rsidR="001D112E" w:rsidRPr="002215A7" w:rsidRDefault="001D112E" w:rsidP="00C91094">
            <w:pPr>
              <w:keepNext/>
              <w:keepLines/>
              <w:jc w:val="center"/>
              <w:rPr>
                <w:rFonts w:ascii="Arial Narrow" w:hAnsi="Arial Narrow"/>
                <w:b/>
                <w:sz w:val="19"/>
                <w:szCs w:val="19"/>
              </w:rPr>
            </w:pPr>
            <w:r w:rsidRPr="002215A7">
              <w:rPr>
                <w:rFonts w:ascii="Arial Narrow" w:hAnsi="Arial Narrow"/>
                <w:b/>
                <w:sz w:val="19"/>
                <w:szCs w:val="19"/>
              </w:rPr>
              <w:t>Current re-submission</w:t>
            </w:r>
          </w:p>
        </w:tc>
      </w:tr>
      <w:tr w:rsidR="002215A7" w:rsidRPr="002215A7" w:rsidTr="00BC0026">
        <w:trPr>
          <w:trHeight w:val="794"/>
        </w:trPr>
        <w:tc>
          <w:tcPr>
            <w:tcW w:w="992" w:type="dxa"/>
          </w:tcPr>
          <w:p w:rsidR="001D112E" w:rsidRPr="002215A7" w:rsidRDefault="001D112E" w:rsidP="00C91094">
            <w:pPr>
              <w:keepNext/>
              <w:keepLines/>
              <w:jc w:val="left"/>
              <w:rPr>
                <w:rFonts w:ascii="Arial Narrow" w:hAnsi="Arial Narrow"/>
                <w:sz w:val="19"/>
                <w:szCs w:val="19"/>
              </w:rPr>
            </w:pPr>
            <w:r w:rsidRPr="002215A7">
              <w:rPr>
                <w:rFonts w:ascii="Arial Narrow" w:hAnsi="Arial Narrow"/>
                <w:sz w:val="19"/>
                <w:szCs w:val="19"/>
              </w:rPr>
              <w:t>Requested PBS listing</w:t>
            </w:r>
          </w:p>
        </w:tc>
        <w:tc>
          <w:tcPr>
            <w:tcW w:w="4120" w:type="dxa"/>
          </w:tcPr>
          <w:p w:rsidR="001D112E" w:rsidRPr="002215A7" w:rsidRDefault="00421E50" w:rsidP="00C91094">
            <w:pPr>
              <w:keepNext/>
              <w:keepLines/>
              <w:jc w:val="left"/>
              <w:rPr>
                <w:rFonts w:ascii="Arial Narrow" w:hAnsi="Arial Narrow"/>
                <w:sz w:val="19"/>
                <w:szCs w:val="19"/>
              </w:rPr>
            </w:pPr>
            <w:r w:rsidRPr="002215A7">
              <w:rPr>
                <w:rFonts w:ascii="Arial Narrow" w:hAnsi="Arial Narrow"/>
                <w:sz w:val="19"/>
                <w:szCs w:val="19"/>
              </w:rPr>
              <w:t>Second line treatment in intermediate-2 or high risk MF patients</w:t>
            </w:r>
          </w:p>
          <w:p w:rsidR="001D112E" w:rsidRPr="002215A7" w:rsidRDefault="001D112E" w:rsidP="00C91094">
            <w:pPr>
              <w:keepNext/>
              <w:keepLines/>
              <w:ind w:left="-108"/>
              <w:jc w:val="left"/>
              <w:rPr>
                <w:rFonts w:ascii="Arial Narrow" w:hAnsi="Arial Narrow"/>
                <w:b/>
                <w:sz w:val="19"/>
                <w:szCs w:val="19"/>
              </w:rPr>
            </w:pPr>
          </w:p>
          <w:p w:rsidR="001D112E" w:rsidRPr="002215A7" w:rsidRDefault="001D112E" w:rsidP="00C91094">
            <w:pPr>
              <w:keepNext/>
              <w:keepLines/>
              <w:jc w:val="left"/>
              <w:rPr>
                <w:rFonts w:ascii="Arial Narrow" w:hAnsi="Arial Narrow"/>
                <w:sz w:val="19"/>
                <w:szCs w:val="19"/>
              </w:rPr>
            </w:pPr>
            <w:r w:rsidRPr="002215A7">
              <w:rPr>
                <w:rFonts w:ascii="Arial Narrow" w:hAnsi="Arial Narrow"/>
                <w:b/>
                <w:sz w:val="19"/>
                <w:szCs w:val="19"/>
              </w:rPr>
              <w:t xml:space="preserve">PBAC Comment: </w:t>
            </w:r>
            <w:r w:rsidR="00421E50" w:rsidRPr="002215A7">
              <w:rPr>
                <w:rFonts w:ascii="Arial Narrow" w:hAnsi="Arial Narrow"/>
                <w:sz w:val="19"/>
                <w:szCs w:val="19"/>
              </w:rPr>
              <w:t xml:space="preserve">In a stakeholder meeting (22 September 2014) it was noted that intermediate-1 patients with high symptom burden would likely benefit from ruxolitinib treatment. </w:t>
            </w:r>
          </w:p>
        </w:tc>
        <w:tc>
          <w:tcPr>
            <w:tcW w:w="3331" w:type="dxa"/>
          </w:tcPr>
          <w:p w:rsidR="001D112E" w:rsidRPr="002215A7" w:rsidRDefault="00421E50" w:rsidP="00C91094">
            <w:pPr>
              <w:keepNext/>
              <w:keepLines/>
              <w:jc w:val="left"/>
              <w:rPr>
                <w:rFonts w:ascii="Arial Narrow" w:hAnsi="Arial Narrow"/>
                <w:sz w:val="19"/>
                <w:szCs w:val="19"/>
              </w:rPr>
            </w:pPr>
            <w:r w:rsidRPr="002215A7">
              <w:rPr>
                <w:rFonts w:ascii="Arial Narrow" w:hAnsi="Arial Narrow"/>
                <w:sz w:val="19"/>
                <w:szCs w:val="19"/>
              </w:rPr>
              <w:t>First line in intermediate-2 or high risk MF patients, and second line in intermediate-1 MF patients with severe symptoms</w:t>
            </w:r>
          </w:p>
          <w:p w:rsidR="001D112E" w:rsidRPr="002215A7" w:rsidRDefault="001D112E" w:rsidP="00C91094">
            <w:pPr>
              <w:keepNext/>
              <w:keepLines/>
              <w:jc w:val="left"/>
              <w:rPr>
                <w:rFonts w:ascii="Arial Narrow" w:hAnsi="Arial Narrow"/>
                <w:sz w:val="19"/>
                <w:szCs w:val="19"/>
              </w:rPr>
            </w:pPr>
          </w:p>
        </w:tc>
      </w:tr>
      <w:tr w:rsidR="002215A7" w:rsidRPr="002215A7" w:rsidTr="00BC0026">
        <w:trPr>
          <w:trHeight w:val="422"/>
        </w:trPr>
        <w:tc>
          <w:tcPr>
            <w:tcW w:w="992" w:type="dxa"/>
          </w:tcPr>
          <w:p w:rsidR="001D112E" w:rsidRPr="002215A7" w:rsidRDefault="001D112E" w:rsidP="00C91094">
            <w:pPr>
              <w:keepNext/>
              <w:keepLines/>
              <w:jc w:val="left"/>
              <w:rPr>
                <w:rFonts w:ascii="Arial Narrow" w:hAnsi="Arial Narrow"/>
                <w:sz w:val="19"/>
                <w:szCs w:val="19"/>
              </w:rPr>
            </w:pPr>
            <w:r w:rsidRPr="002215A7">
              <w:rPr>
                <w:rFonts w:ascii="Arial Narrow" w:hAnsi="Arial Narrow"/>
                <w:sz w:val="19"/>
                <w:szCs w:val="19"/>
              </w:rPr>
              <w:t>Requested price</w:t>
            </w:r>
          </w:p>
        </w:tc>
        <w:tc>
          <w:tcPr>
            <w:tcW w:w="4120" w:type="dxa"/>
          </w:tcPr>
          <w:p w:rsidR="001D112E" w:rsidRPr="002215A7" w:rsidRDefault="00023DE7" w:rsidP="00C91094">
            <w:pPr>
              <w:keepNext/>
              <w:keepLines/>
              <w:jc w:val="left"/>
              <w:rPr>
                <w:rFonts w:ascii="Arial Narrow" w:hAnsi="Arial Narrow"/>
                <w:sz w:val="19"/>
                <w:szCs w:val="19"/>
              </w:rPr>
            </w:pPr>
            <w:r>
              <w:rPr>
                <w:rFonts w:ascii="Arial Narrow" w:hAnsi="Arial Narrow"/>
                <w:noProof/>
                <w:color w:val="000000"/>
                <w:sz w:val="19"/>
                <w:szCs w:val="19"/>
                <w:highlight w:val="black"/>
              </w:rPr>
              <w:t>''''''</w:t>
            </w:r>
            <w:r w:rsidR="00421E50" w:rsidRPr="002215A7">
              <w:rPr>
                <w:rFonts w:ascii="Arial Narrow" w:hAnsi="Arial Narrow"/>
                <w:sz w:val="19"/>
                <w:szCs w:val="19"/>
              </w:rPr>
              <w:t xml:space="preserve">% rebate on published DPMQ. </w:t>
            </w:r>
          </w:p>
          <w:p w:rsidR="00A3024C" w:rsidRPr="002215A7" w:rsidRDefault="00A3024C" w:rsidP="00C91094">
            <w:pPr>
              <w:keepNext/>
              <w:keepLines/>
              <w:jc w:val="left"/>
              <w:rPr>
                <w:rFonts w:ascii="Arial Narrow" w:hAnsi="Arial Narrow"/>
                <w:sz w:val="19"/>
                <w:szCs w:val="19"/>
              </w:rPr>
            </w:pPr>
          </w:p>
          <w:tbl>
            <w:tblPr>
              <w:tblStyle w:val="TableGrid"/>
              <w:tblW w:w="4079" w:type="dxa"/>
              <w:tblCellMar>
                <w:left w:w="28" w:type="dxa"/>
                <w:right w:w="28" w:type="dxa"/>
              </w:tblCellMar>
              <w:tblLook w:val="04A0" w:firstRow="1" w:lastRow="0" w:firstColumn="1" w:lastColumn="0" w:noHBand="0" w:noVBand="1"/>
            </w:tblPr>
            <w:tblGrid>
              <w:gridCol w:w="1385"/>
              <w:gridCol w:w="1347"/>
              <w:gridCol w:w="1347"/>
            </w:tblGrid>
            <w:tr w:rsidR="002215A7" w:rsidRPr="002215A7" w:rsidTr="00D5797A">
              <w:tc>
                <w:tcPr>
                  <w:tcW w:w="1385" w:type="dxa"/>
                </w:tcPr>
                <w:p w:rsidR="00A3024C" w:rsidRPr="002215A7" w:rsidRDefault="00A3024C" w:rsidP="00C91094">
                  <w:pPr>
                    <w:keepNext/>
                    <w:keepLines/>
                    <w:jc w:val="left"/>
                    <w:rPr>
                      <w:rFonts w:ascii="Arial Narrow" w:hAnsi="Arial Narrow"/>
                      <w:sz w:val="19"/>
                      <w:szCs w:val="19"/>
                    </w:rPr>
                  </w:pPr>
                </w:p>
              </w:tc>
              <w:tc>
                <w:tcPr>
                  <w:tcW w:w="1347" w:type="dxa"/>
                  <w:vAlign w:val="center"/>
                </w:tcPr>
                <w:p w:rsidR="00A3024C" w:rsidRPr="002215A7" w:rsidRDefault="00A3024C" w:rsidP="00C91094">
                  <w:pPr>
                    <w:keepNext/>
                    <w:keepLines/>
                    <w:jc w:val="center"/>
                    <w:rPr>
                      <w:rFonts w:ascii="Arial Narrow" w:hAnsi="Arial Narrow"/>
                      <w:sz w:val="19"/>
                      <w:szCs w:val="19"/>
                    </w:rPr>
                  </w:pPr>
                  <w:r w:rsidRPr="002215A7">
                    <w:rPr>
                      <w:rFonts w:ascii="Arial Narrow" w:hAnsi="Arial Narrow"/>
                      <w:sz w:val="19"/>
                      <w:szCs w:val="19"/>
                    </w:rPr>
                    <w:t>Published DPMQ</w:t>
                  </w:r>
                </w:p>
              </w:tc>
              <w:tc>
                <w:tcPr>
                  <w:tcW w:w="1347" w:type="dxa"/>
                  <w:vAlign w:val="center"/>
                </w:tcPr>
                <w:p w:rsidR="00A3024C" w:rsidRPr="002215A7" w:rsidRDefault="00A3024C" w:rsidP="00C91094">
                  <w:pPr>
                    <w:keepNext/>
                    <w:keepLines/>
                    <w:jc w:val="center"/>
                    <w:rPr>
                      <w:rFonts w:ascii="Arial Narrow" w:hAnsi="Arial Narrow"/>
                      <w:sz w:val="19"/>
                      <w:szCs w:val="19"/>
                    </w:rPr>
                  </w:pPr>
                  <w:r w:rsidRPr="002215A7">
                    <w:rPr>
                      <w:rFonts w:ascii="Arial Narrow" w:hAnsi="Arial Narrow"/>
                      <w:sz w:val="19"/>
                      <w:szCs w:val="19"/>
                    </w:rPr>
                    <w:t>Effective price</w:t>
                  </w:r>
                </w:p>
              </w:tc>
            </w:tr>
            <w:tr w:rsidR="002215A7" w:rsidRPr="002215A7" w:rsidTr="00D5797A">
              <w:tc>
                <w:tcPr>
                  <w:tcW w:w="1385" w:type="dxa"/>
                </w:tcPr>
                <w:p w:rsidR="00A3024C"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5mg (56 tabs)</w:t>
                  </w:r>
                </w:p>
              </w:tc>
              <w:tc>
                <w:tcPr>
                  <w:tcW w:w="1347" w:type="dxa"/>
                  <w:vAlign w:val="center"/>
                </w:tcPr>
                <w:p w:rsidR="00A3024C" w:rsidRPr="002776F4" w:rsidRDefault="00A3024C" w:rsidP="00C91094">
                  <w:pPr>
                    <w:keepNext/>
                    <w:keepLines/>
                    <w:jc w:val="center"/>
                    <w:rPr>
                      <w:rFonts w:ascii="Arial Narrow" w:hAnsi="Arial Narrow"/>
                      <w:sz w:val="19"/>
                      <w:szCs w:val="19"/>
                      <w:lang w:eastAsia="en-AU"/>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1347"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r w:rsidR="002215A7" w:rsidRPr="002215A7" w:rsidTr="00D5797A">
              <w:tc>
                <w:tcPr>
                  <w:tcW w:w="1385" w:type="dxa"/>
                </w:tcPr>
                <w:p w:rsidR="00A3024C"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5 mg (112 tabs)</w:t>
                  </w:r>
                </w:p>
              </w:tc>
              <w:tc>
                <w:tcPr>
                  <w:tcW w:w="1347" w:type="dxa"/>
                  <w:vAlign w:val="center"/>
                </w:tcPr>
                <w:p w:rsidR="00A3024C" w:rsidRPr="002776F4" w:rsidRDefault="00A3024C" w:rsidP="00C91094">
                  <w:pPr>
                    <w:keepNext/>
                    <w:keepLines/>
                    <w:jc w:val="center"/>
                    <w:rPr>
                      <w:rFonts w:ascii="Arial Narrow" w:hAnsi="Arial Narrow"/>
                      <w:sz w:val="19"/>
                      <w:szCs w:val="19"/>
                      <w:lang w:eastAsia="en-AU"/>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1347"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r w:rsidR="002215A7" w:rsidRPr="002215A7" w:rsidTr="00D5797A">
              <w:tc>
                <w:tcPr>
                  <w:tcW w:w="1385" w:type="dxa"/>
                </w:tcPr>
                <w:p w:rsidR="00A3024C"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15mg (56 tabs)</w:t>
                  </w:r>
                </w:p>
              </w:tc>
              <w:tc>
                <w:tcPr>
                  <w:tcW w:w="1347" w:type="dxa"/>
                  <w:vAlign w:val="center"/>
                </w:tcPr>
                <w:p w:rsidR="00A3024C" w:rsidRPr="002776F4" w:rsidRDefault="00A3024C" w:rsidP="00C91094">
                  <w:pPr>
                    <w:keepNext/>
                    <w:keepLines/>
                    <w:jc w:val="center"/>
                    <w:rPr>
                      <w:rFonts w:ascii="Arial Narrow" w:hAnsi="Arial Narrow"/>
                      <w:sz w:val="19"/>
                      <w:szCs w:val="19"/>
                      <w:lang w:eastAsia="en-AU"/>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1347"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r w:rsidR="002215A7" w:rsidRPr="002215A7" w:rsidTr="00D5797A">
              <w:tc>
                <w:tcPr>
                  <w:tcW w:w="1385" w:type="dxa"/>
                </w:tcPr>
                <w:p w:rsidR="00A3024C"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20 mg (56 tabs)</w:t>
                  </w:r>
                </w:p>
              </w:tc>
              <w:tc>
                <w:tcPr>
                  <w:tcW w:w="1347"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1347"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bl>
          <w:p w:rsidR="00A3024C" w:rsidRPr="002215A7" w:rsidRDefault="00A3024C" w:rsidP="00C91094">
            <w:pPr>
              <w:keepNext/>
              <w:keepLines/>
              <w:jc w:val="left"/>
              <w:rPr>
                <w:rFonts w:ascii="Arial Narrow" w:hAnsi="Arial Narrow"/>
                <w:sz w:val="19"/>
                <w:szCs w:val="19"/>
              </w:rPr>
            </w:pPr>
          </w:p>
        </w:tc>
        <w:tc>
          <w:tcPr>
            <w:tcW w:w="3331" w:type="dxa"/>
          </w:tcPr>
          <w:p w:rsidR="001D112E"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 xml:space="preserve">Increased to </w:t>
            </w:r>
            <w:r w:rsidR="00023DE7">
              <w:rPr>
                <w:rFonts w:ascii="Arial Narrow" w:hAnsi="Arial Narrow"/>
                <w:noProof/>
                <w:color w:val="000000"/>
                <w:sz w:val="19"/>
                <w:szCs w:val="19"/>
                <w:highlight w:val="black"/>
              </w:rPr>
              <w:t>'''''''</w:t>
            </w:r>
            <w:r w:rsidRPr="002215A7">
              <w:rPr>
                <w:rFonts w:ascii="Arial Narrow" w:hAnsi="Arial Narrow"/>
                <w:sz w:val="19"/>
                <w:szCs w:val="19"/>
              </w:rPr>
              <w:t>% rebate on published DPMQ</w:t>
            </w:r>
          </w:p>
          <w:p w:rsidR="00A3024C" w:rsidRPr="002215A7" w:rsidRDefault="00A3024C" w:rsidP="00C91094">
            <w:pPr>
              <w:keepNext/>
              <w:keepLines/>
              <w:jc w:val="left"/>
              <w:rPr>
                <w:rFonts w:ascii="Arial Narrow" w:hAnsi="Arial Narrow"/>
                <w:sz w:val="19"/>
                <w:szCs w:val="19"/>
              </w:rPr>
            </w:pPr>
          </w:p>
          <w:tbl>
            <w:tblPr>
              <w:tblStyle w:val="TableGrid"/>
              <w:tblW w:w="0" w:type="auto"/>
              <w:tblCellMar>
                <w:left w:w="28" w:type="dxa"/>
                <w:right w:w="28" w:type="dxa"/>
              </w:tblCellMar>
              <w:tblLook w:val="04A0" w:firstRow="1" w:lastRow="0" w:firstColumn="1" w:lastColumn="0" w:noHBand="0" w:noVBand="1"/>
            </w:tblPr>
            <w:tblGrid>
              <w:gridCol w:w="1313"/>
              <w:gridCol w:w="963"/>
              <w:gridCol w:w="964"/>
            </w:tblGrid>
            <w:tr w:rsidR="002215A7" w:rsidRPr="002215A7" w:rsidTr="00D5797A">
              <w:tc>
                <w:tcPr>
                  <w:tcW w:w="1313" w:type="dxa"/>
                </w:tcPr>
                <w:p w:rsidR="00A3024C" w:rsidRPr="002215A7" w:rsidRDefault="00A3024C" w:rsidP="00C91094">
                  <w:pPr>
                    <w:keepNext/>
                    <w:keepLines/>
                    <w:jc w:val="left"/>
                    <w:rPr>
                      <w:rFonts w:ascii="Arial Narrow" w:hAnsi="Arial Narrow"/>
                      <w:sz w:val="19"/>
                      <w:szCs w:val="19"/>
                    </w:rPr>
                  </w:pPr>
                </w:p>
              </w:tc>
              <w:tc>
                <w:tcPr>
                  <w:tcW w:w="963" w:type="dxa"/>
                  <w:vAlign w:val="center"/>
                </w:tcPr>
                <w:p w:rsidR="00A3024C" w:rsidRPr="002215A7" w:rsidRDefault="00A3024C" w:rsidP="00C91094">
                  <w:pPr>
                    <w:keepNext/>
                    <w:keepLines/>
                    <w:jc w:val="center"/>
                    <w:rPr>
                      <w:rFonts w:ascii="Arial Narrow" w:hAnsi="Arial Narrow"/>
                      <w:sz w:val="19"/>
                      <w:szCs w:val="19"/>
                    </w:rPr>
                  </w:pPr>
                  <w:r w:rsidRPr="002215A7">
                    <w:rPr>
                      <w:rFonts w:ascii="Arial Narrow" w:hAnsi="Arial Narrow"/>
                      <w:sz w:val="19"/>
                      <w:szCs w:val="19"/>
                    </w:rPr>
                    <w:t>Published DPMQ</w:t>
                  </w:r>
                </w:p>
              </w:tc>
              <w:tc>
                <w:tcPr>
                  <w:tcW w:w="964" w:type="dxa"/>
                  <w:vAlign w:val="center"/>
                </w:tcPr>
                <w:p w:rsidR="00A3024C" w:rsidRPr="002215A7" w:rsidRDefault="00A3024C" w:rsidP="00C91094">
                  <w:pPr>
                    <w:keepNext/>
                    <w:keepLines/>
                    <w:jc w:val="center"/>
                    <w:rPr>
                      <w:rFonts w:ascii="Arial Narrow" w:hAnsi="Arial Narrow"/>
                      <w:sz w:val="19"/>
                      <w:szCs w:val="19"/>
                    </w:rPr>
                  </w:pPr>
                  <w:r w:rsidRPr="002215A7">
                    <w:rPr>
                      <w:rFonts w:ascii="Arial Narrow" w:hAnsi="Arial Narrow"/>
                      <w:sz w:val="19"/>
                      <w:szCs w:val="19"/>
                    </w:rPr>
                    <w:t>Effective price</w:t>
                  </w:r>
                </w:p>
              </w:tc>
            </w:tr>
            <w:tr w:rsidR="002215A7" w:rsidRPr="002215A7" w:rsidTr="00D5797A">
              <w:tc>
                <w:tcPr>
                  <w:tcW w:w="1313" w:type="dxa"/>
                </w:tcPr>
                <w:p w:rsidR="00A3024C" w:rsidRPr="002776F4" w:rsidRDefault="00A3024C" w:rsidP="00C91094">
                  <w:pPr>
                    <w:keepNext/>
                    <w:keepLines/>
                    <w:jc w:val="left"/>
                    <w:rPr>
                      <w:rFonts w:ascii="Arial Narrow" w:hAnsi="Arial Narrow"/>
                      <w:sz w:val="19"/>
                      <w:szCs w:val="19"/>
                    </w:rPr>
                  </w:pPr>
                  <w:r w:rsidRPr="002776F4">
                    <w:rPr>
                      <w:rFonts w:ascii="Arial Narrow" w:hAnsi="Arial Narrow"/>
                      <w:sz w:val="19"/>
                      <w:szCs w:val="19"/>
                    </w:rPr>
                    <w:t>5mg (56 tabs)</w:t>
                  </w:r>
                </w:p>
              </w:tc>
              <w:tc>
                <w:tcPr>
                  <w:tcW w:w="963" w:type="dxa"/>
                  <w:vAlign w:val="center"/>
                </w:tcPr>
                <w:p w:rsidR="00A3024C" w:rsidRPr="002776F4" w:rsidRDefault="00A3024C" w:rsidP="00C91094">
                  <w:pPr>
                    <w:keepNext/>
                    <w:keepLines/>
                    <w:jc w:val="center"/>
                    <w:rPr>
                      <w:rFonts w:ascii="Arial Narrow" w:hAnsi="Arial Narrow"/>
                      <w:sz w:val="19"/>
                      <w:szCs w:val="19"/>
                      <w:lang w:eastAsia="en-AU"/>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964"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r w:rsidR="002215A7" w:rsidRPr="002215A7" w:rsidTr="00D5797A">
              <w:tc>
                <w:tcPr>
                  <w:tcW w:w="1313" w:type="dxa"/>
                </w:tcPr>
                <w:p w:rsidR="00A3024C" w:rsidRPr="002776F4" w:rsidRDefault="00A3024C" w:rsidP="00C91094">
                  <w:pPr>
                    <w:keepNext/>
                    <w:keepLines/>
                    <w:jc w:val="left"/>
                    <w:rPr>
                      <w:rFonts w:ascii="Arial Narrow" w:hAnsi="Arial Narrow"/>
                      <w:sz w:val="19"/>
                      <w:szCs w:val="19"/>
                    </w:rPr>
                  </w:pPr>
                  <w:r w:rsidRPr="002776F4">
                    <w:rPr>
                      <w:rFonts w:ascii="Arial Narrow" w:hAnsi="Arial Narrow"/>
                      <w:sz w:val="19"/>
                      <w:szCs w:val="19"/>
                    </w:rPr>
                    <w:t>5 mg (112 tabs)</w:t>
                  </w:r>
                </w:p>
              </w:tc>
              <w:tc>
                <w:tcPr>
                  <w:tcW w:w="963" w:type="dxa"/>
                  <w:vAlign w:val="center"/>
                </w:tcPr>
                <w:p w:rsidR="00A3024C" w:rsidRPr="002776F4" w:rsidRDefault="00A3024C" w:rsidP="00C91094">
                  <w:pPr>
                    <w:keepNext/>
                    <w:keepLines/>
                    <w:jc w:val="center"/>
                    <w:rPr>
                      <w:rFonts w:ascii="Arial Narrow" w:hAnsi="Arial Narrow"/>
                      <w:sz w:val="19"/>
                      <w:szCs w:val="19"/>
                      <w:lang w:eastAsia="en-AU"/>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964"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r w:rsidR="002215A7" w:rsidRPr="002215A7" w:rsidTr="00D5797A">
              <w:tc>
                <w:tcPr>
                  <w:tcW w:w="1313" w:type="dxa"/>
                </w:tcPr>
                <w:p w:rsidR="00A3024C" w:rsidRPr="002776F4" w:rsidRDefault="00A3024C" w:rsidP="00C91094">
                  <w:pPr>
                    <w:keepNext/>
                    <w:keepLines/>
                    <w:jc w:val="left"/>
                    <w:rPr>
                      <w:rFonts w:ascii="Arial Narrow" w:hAnsi="Arial Narrow"/>
                      <w:sz w:val="19"/>
                      <w:szCs w:val="19"/>
                    </w:rPr>
                  </w:pPr>
                  <w:r w:rsidRPr="002776F4">
                    <w:rPr>
                      <w:rFonts w:ascii="Arial Narrow" w:hAnsi="Arial Narrow"/>
                      <w:sz w:val="19"/>
                      <w:szCs w:val="19"/>
                    </w:rPr>
                    <w:t>15mg (56 tabs)</w:t>
                  </w:r>
                </w:p>
              </w:tc>
              <w:tc>
                <w:tcPr>
                  <w:tcW w:w="963" w:type="dxa"/>
                  <w:vAlign w:val="center"/>
                </w:tcPr>
                <w:p w:rsidR="00A3024C" w:rsidRPr="002776F4" w:rsidRDefault="00A3024C" w:rsidP="00C91094">
                  <w:pPr>
                    <w:keepNext/>
                    <w:keepLines/>
                    <w:jc w:val="center"/>
                    <w:rPr>
                      <w:rFonts w:ascii="Arial Narrow" w:hAnsi="Arial Narrow"/>
                      <w:sz w:val="19"/>
                      <w:szCs w:val="19"/>
                      <w:lang w:eastAsia="en-AU"/>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964"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r w:rsidR="002215A7" w:rsidRPr="002215A7" w:rsidTr="00D5797A">
              <w:tc>
                <w:tcPr>
                  <w:tcW w:w="1313" w:type="dxa"/>
                </w:tcPr>
                <w:p w:rsidR="00A3024C" w:rsidRPr="002776F4" w:rsidRDefault="00A3024C" w:rsidP="00C91094">
                  <w:pPr>
                    <w:keepNext/>
                    <w:keepLines/>
                    <w:jc w:val="left"/>
                    <w:rPr>
                      <w:rFonts w:ascii="Arial Narrow" w:hAnsi="Arial Narrow"/>
                      <w:sz w:val="19"/>
                      <w:szCs w:val="19"/>
                    </w:rPr>
                  </w:pPr>
                  <w:r w:rsidRPr="002776F4">
                    <w:rPr>
                      <w:rFonts w:ascii="Arial Narrow" w:hAnsi="Arial Narrow"/>
                      <w:sz w:val="19"/>
                      <w:szCs w:val="19"/>
                    </w:rPr>
                    <w:t>20 mg (56 tabs)</w:t>
                  </w:r>
                </w:p>
              </w:tc>
              <w:tc>
                <w:tcPr>
                  <w:tcW w:w="963"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napToGrid/>
                      <w:sz w:val="19"/>
                      <w:szCs w:val="19"/>
                      <w:lang w:eastAsia="en-AU"/>
                    </w:rPr>
                    <w:t>$</w:t>
                  </w:r>
                  <w:r w:rsidR="00023DE7">
                    <w:rPr>
                      <w:rFonts w:ascii="Arial Narrow" w:hAnsi="Arial Narrow"/>
                      <w:noProof/>
                      <w:snapToGrid/>
                      <w:color w:val="000000"/>
                      <w:sz w:val="19"/>
                      <w:szCs w:val="19"/>
                      <w:highlight w:val="black"/>
                      <w:lang w:eastAsia="en-AU"/>
                    </w:rPr>
                    <w:t>''''''''''''''''''</w:t>
                  </w:r>
                </w:p>
              </w:tc>
              <w:tc>
                <w:tcPr>
                  <w:tcW w:w="964" w:type="dxa"/>
                  <w:vAlign w:val="center"/>
                </w:tcPr>
                <w:p w:rsidR="00A3024C" w:rsidRPr="002776F4" w:rsidRDefault="00A3024C" w:rsidP="00C91094">
                  <w:pPr>
                    <w:keepNext/>
                    <w:keepLines/>
                    <w:jc w:val="center"/>
                    <w:rPr>
                      <w:rFonts w:ascii="Arial Narrow" w:hAnsi="Arial Narrow"/>
                      <w:sz w:val="19"/>
                      <w:szCs w:val="19"/>
                    </w:rPr>
                  </w:pPr>
                  <w:r w:rsidRPr="002776F4">
                    <w:rPr>
                      <w:rFonts w:ascii="Arial Narrow" w:hAnsi="Arial Narrow"/>
                      <w:sz w:val="19"/>
                      <w:szCs w:val="19"/>
                    </w:rPr>
                    <w:t>$</w:t>
                  </w:r>
                  <w:r w:rsidR="00023DE7">
                    <w:rPr>
                      <w:rFonts w:ascii="Arial Narrow" w:hAnsi="Arial Narrow"/>
                      <w:noProof/>
                      <w:color w:val="000000"/>
                      <w:sz w:val="19"/>
                      <w:szCs w:val="19"/>
                      <w:highlight w:val="black"/>
                    </w:rPr>
                    <w:t>''''''''''''''''''''</w:t>
                  </w:r>
                </w:p>
              </w:tc>
            </w:tr>
          </w:tbl>
          <w:p w:rsidR="00A3024C" w:rsidRPr="002215A7" w:rsidRDefault="00A3024C" w:rsidP="00C91094">
            <w:pPr>
              <w:keepNext/>
              <w:keepLines/>
              <w:jc w:val="left"/>
              <w:rPr>
                <w:rFonts w:ascii="Arial Narrow" w:hAnsi="Arial Narrow"/>
                <w:sz w:val="19"/>
                <w:szCs w:val="19"/>
              </w:rPr>
            </w:pPr>
          </w:p>
        </w:tc>
      </w:tr>
      <w:tr w:rsidR="002215A7" w:rsidRPr="002215A7" w:rsidTr="00BC0026">
        <w:trPr>
          <w:trHeight w:val="642"/>
        </w:trPr>
        <w:tc>
          <w:tcPr>
            <w:tcW w:w="992" w:type="dxa"/>
          </w:tcPr>
          <w:p w:rsidR="001D112E" w:rsidRPr="002215A7" w:rsidRDefault="001D112E" w:rsidP="00C91094">
            <w:pPr>
              <w:keepNext/>
              <w:keepLines/>
              <w:jc w:val="left"/>
              <w:rPr>
                <w:rFonts w:ascii="Arial Narrow" w:hAnsi="Arial Narrow"/>
                <w:sz w:val="19"/>
                <w:szCs w:val="19"/>
              </w:rPr>
            </w:pPr>
            <w:r w:rsidRPr="002215A7">
              <w:rPr>
                <w:rFonts w:ascii="Arial Narrow" w:hAnsi="Arial Narrow"/>
                <w:sz w:val="19"/>
                <w:szCs w:val="19"/>
              </w:rPr>
              <w:t>Main comparator</w:t>
            </w:r>
          </w:p>
        </w:tc>
        <w:tc>
          <w:tcPr>
            <w:tcW w:w="4120" w:type="dxa"/>
          </w:tcPr>
          <w:p w:rsidR="001D112E"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Placebo or best supportive care</w:t>
            </w:r>
          </w:p>
          <w:p w:rsidR="001D112E" w:rsidRPr="002215A7" w:rsidRDefault="001D112E" w:rsidP="00C91094">
            <w:pPr>
              <w:keepNext/>
              <w:keepLines/>
              <w:jc w:val="left"/>
              <w:rPr>
                <w:rFonts w:ascii="Arial Narrow" w:hAnsi="Arial Narrow"/>
                <w:sz w:val="19"/>
                <w:szCs w:val="19"/>
              </w:rPr>
            </w:pPr>
          </w:p>
          <w:p w:rsidR="001D112E" w:rsidRPr="002215A7" w:rsidRDefault="001D112E" w:rsidP="00C91094">
            <w:pPr>
              <w:keepNext/>
              <w:keepLines/>
              <w:jc w:val="left"/>
              <w:rPr>
                <w:rFonts w:ascii="Arial Narrow" w:hAnsi="Arial Narrow"/>
                <w:sz w:val="19"/>
                <w:szCs w:val="19"/>
              </w:rPr>
            </w:pPr>
            <w:r w:rsidRPr="002215A7">
              <w:rPr>
                <w:rFonts w:ascii="Arial Narrow" w:hAnsi="Arial Narrow"/>
                <w:b/>
                <w:sz w:val="19"/>
                <w:szCs w:val="19"/>
              </w:rPr>
              <w:t>PBAC Comment:</w:t>
            </w:r>
            <w:r w:rsidR="00A3024C" w:rsidRPr="002215A7">
              <w:rPr>
                <w:rFonts w:ascii="Arial Narrow" w:hAnsi="Arial Narrow"/>
                <w:sz w:val="19"/>
                <w:szCs w:val="19"/>
              </w:rPr>
              <w:t xml:space="preserve"> The comparator was accepted by ESC (7.8.ESC.ADV.5</w:t>
            </w:r>
            <w:r w:rsidR="004910A2" w:rsidRPr="002215A7">
              <w:rPr>
                <w:rFonts w:ascii="Arial Narrow" w:hAnsi="Arial Narrow"/>
                <w:sz w:val="19"/>
                <w:szCs w:val="19"/>
              </w:rPr>
              <w:t>, July 2014</w:t>
            </w:r>
            <w:r w:rsidR="00A3024C" w:rsidRPr="002215A7">
              <w:rPr>
                <w:rFonts w:ascii="Arial Narrow" w:hAnsi="Arial Narrow"/>
                <w:sz w:val="19"/>
                <w:szCs w:val="19"/>
              </w:rPr>
              <w:t>)</w:t>
            </w:r>
          </w:p>
        </w:tc>
        <w:tc>
          <w:tcPr>
            <w:tcW w:w="3331" w:type="dxa"/>
          </w:tcPr>
          <w:p w:rsidR="001D112E"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 xml:space="preserve">Placebo  or best supportive care </w:t>
            </w:r>
          </w:p>
        </w:tc>
      </w:tr>
      <w:tr w:rsidR="002215A7" w:rsidRPr="002215A7" w:rsidTr="00BC0026">
        <w:trPr>
          <w:trHeight w:val="860"/>
        </w:trPr>
        <w:tc>
          <w:tcPr>
            <w:tcW w:w="992" w:type="dxa"/>
          </w:tcPr>
          <w:p w:rsidR="001D112E" w:rsidRPr="002215A7" w:rsidRDefault="001D112E" w:rsidP="00C91094">
            <w:pPr>
              <w:keepNext/>
              <w:keepLines/>
              <w:jc w:val="left"/>
              <w:rPr>
                <w:rFonts w:ascii="Arial Narrow" w:hAnsi="Arial Narrow"/>
                <w:sz w:val="19"/>
                <w:szCs w:val="19"/>
              </w:rPr>
            </w:pPr>
            <w:r w:rsidRPr="002215A7">
              <w:rPr>
                <w:rFonts w:ascii="Arial Narrow" w:hAnsi="Arial Narrow"/>
                <w:sz w:val="19"/>
                <w:szCs w:val="19"/>
              </w:rPr>
              <w:t>Clinical evidence</w:t>
            </w:r>
          </w:p>
        </w:tc>
        <w:tc>
          <w:tcPr>
            <w:tcW w:w="4120" w:type="dxa"/>
          </w:tcPr>
          <w:p w:rsidR="001D112E" w:rsidRPr="002215A7" w:rsidRDefault="00A3024C" w:rsidP="00C91094">
            <w:pPr>
              <w:keepNext/>
              <w:keepLines/>
              <w:jc w:val="left"/>
              <w:rPr>
                <w:rFonts w:ascii="Arial Narrow" w:hAnsi="Arial Narrow"/>
                <w:sz w:val="19"/>
                <w:szCs w:val="19"/>
              </w:rPr>
            </w:pPr>
            <w:r w:rsidRPr="002215A7">
              <w:rPr>
                <w:rFonts w:ascii="Arial Narrow" w:hAnsi="Arial Narrow"/>
                <w:sz w:val="19"/>
                <w:szCs w:val="19"/>
              </w:rPr>
              <w:t>Based on COMFORT-I and COMFORT-II</w:t>
            </w:r>
            <w:r w:rsidR="00316E06" w:rsidRPr="002215A7">
              <w:rPr>
                <w:rFonts w:ascii="Arial Narrow" w:hAnsi="Arial Narrow"/>
                <w:sz w:val="19"/>
                <w:szCs w:val="19"/>
              </w:rPr>
              <w:t xml:space="preserve">, </w:t>
            </w:r>
            <w:r w:rsidR="001B3AAC" w:rsidRPr="002215A7">
              <w:rPr>
                <w:rFonts w:ascii="Arial Narrow" w:hAnsi="Arial Narrow"/>
                <w:sz w:val="19"/>
                <w:szCs w:val="19"/>
              </w:rPr>
              <w:t xml:space="preserve">which enrolled intermediate-2 or high risk patients, </w:t>
            </w:r>
            <w:r w:rsidR="00316E06" w:rsidRPr="002215A7">
              <w:rPr>
                <w:rFonts w:ascii="Arial Narrow" w:hAnsi="Arial Narrow"/>
                <w:sz w:val="19"/>
                <w:szCs w:val="19"/>
              </w:rPr>
              <w:t>with data up to 144 weeks</w:t>
            </w:r>
          </w:p>
          <w:p w:rsidR="001D112E" w:rsidRPr="002215A7" w:rsidRDefault="001D112E" w:rsidP="00C91094">
            <w:pPr>
              <w:keepNext/>
              <w:keepLines/>
              <w:jc w:val="left"/>
              <w:rPr>
                <w:rFonts w:ascii="Arial Narrow" w:hAnsi="Arial Narrow"/>
                <w:sz w:val="19"/>
                <w:szCs w:val="19"/>
              </w:rPr>
            </w:pPr>
          </w:p>
          <w:p w:rsidR="001D112E" w:rsidRPr="002215A7" w:rsidRDefault="001D112E" w:rsidP="00C91094">
            <w:pPr>
              <w:keepNext/>
              <w:keepLines/>
              <w:jc w:val="left"/>
              <w:rPr>
                <w:rFonts w:ascii="Arial Narrow" w:hAnsi="Arial Narrow"/>
                <w:sz w:val="19"/>
                <w:szCs w:val="19"/>
              </w:rPr>
            </w:pPr>
            <w:r w:rsidRPr="002215A7">
              <w:rPr>
                <w:rFonts w:ascii="Arial Narrow" w:hAnsi="Arial Narrow"/>
                <w:b/>
                <w:sz w:val="19"/>
                <w:szCs w:val="19"/>
              </w:rPr>
              <w:t>PBAC Comment:</w:t>
            </w:r>
            <w:r w:rsidR="00A3024C" w:rsidRPr="002215A7">
              <w:rPr>
                <w:rFonts w:ascii="Arial Narrow" w:hAnsi="Arial Narrow"/>
                <w:b/>
                <w:sz w:val="19"/>
                <w:szCs w:val="19"/>
              </w:rPr>
              <w:t xml:space="preserve"> </w:t>
            </w:r>
            <w:r w:rsidR="00A3024C" w:rsidRPr="002215A7">
              <w:rPr>
                <w:rFonts w:ascii="Arial Narrow" w:hAnsi="Arial Narrow"/>
                <w:sz w:val="19"/>
                <w:szCs w:val="19"/>
              </w:rPr>
              <w:t>Unchanged from July 2013 submission</w:t>
            </w:r>
          </w:p>
        </w:tc>
        <w:tc>
          <w:tcPr>
            <w:tcW w:w="3331" w:type="dxa"/>
          </w:tcPr>
          <w:p w:rsidR="001D112E" w:rsidRPr="002215A7" w:rsidRDefault="001B3AAC" w:rsidP="00C91094">
            <w:pPr>
              <w:keepNext/>
              <w:keepLines/>
              <w:jc w:val="left"/>
              <w:rPr>
                <w:rFonts w:ascii="Arial Narrow" w:hAnsi="Arial Narrow"/>
                <w:sz w:val="19"/>
                <w:szCs w:val="19"/>
              </w:rPr>
            </w:pPr>
            <w:r w:rsidRPr="002215A7">
              <w:rPr>
                <w:rFonts w:ascii="Arial Narrow" w:hAnsi="Arial Narrow"/>
                <w:sz w:val="19"/>
                <w:szCs w:val="19"/>
              </w:rPr>
              <w:t>Mainly b</w:t>
            </w:r>
            <w:r w:rsidR="00316E06" w:rsidRPr="002215A7">
              <w:rPr>
                <w:rFonts w:ascii="Arial Narrow" w:hAnsi="Arial Narrow"/>
                <w:sz w:val="19"/>
                <w:szCs w:val="19"/>
              </w:rPr>
              <w:t xml:space="preserve">ased on COMFORT-I. </w:t>
            </w:r>
            <w:r w:rsidRPr="002215A7">
              <w:rPr>
                <w:rFonts w:ascii="Arial Narrow" w:hAnsi="Arial Narrow"/>
                <w:sz w:val="19"/>
                <w:szCs w:val="19"/>
              </w:rPr>
              <w:t xml:space="preserve">Three single armed studies (ROBUST, Barosi 2012 and JUMP) provide supporting evidence for efficacy in intermediate-1 risk patients </w:t>
            </w:r>
          </w:p>
        </w:tc>
      </w:tr>
      <w:tr w:rsidR="002215A7" w:rsidRPr="002215A7" w:rsidTr="00BC0026">
        <w:trPr>
          <w:trHeight w:val="1064"/>
        </w:trPr>
        <w:tc>
          <w:tcPr>
            <w:tcW w:w="992" w:type="dxa"/>
          </w:tcPr>
          <w:p w:rsidR="001D112E" w:rsidRPr="002215A7" w:rsidRDefault="001D112E" w:rsidP="00C91094">
            <w:pPr>
              <w:keepNext/>
              <w:keepLines/>
              <w:jc w:val="left"/>
              <w:rPr>
                <w:rFonts w:ascii="Arial Narrow" w:hAnsi="Arial Narrow"/>
                <w:sz w:val="19"/>
                <w:szCs w:val="19"/>
              </w:rPr>
            </w:pPr>
            <w:r w:rsidRPr="002215A7">
              <w:rPr>
                <w:rFonts w:ascii="Arial Narrow" w:hAnsi="Arial Narrow"/>
                <w:sz w:val="19"/>
                <w:szCs w:val="19"/>
              </w:rPr>
              <w:t>Key effectiveness data</w:t>
            </w:r>
          </w:p>
        </w:tc>
        <w:tc>
          <w:tcPr>
            <w:tcW w:w="4120" w:type="dxa"/>
          </w:tcPr>
          <w:p w:rsidR="001D112E" w:rsidRPr="002215A7" w:rsidRDefault="0037345A" w:rsidP="00C91094">
            <w:pPr>
              <w:keepNext/>
              <w:keepLines/>
              <w:jc w:val="left"/>
              <w:rPr>
                <w:rFonts w:ascii="Arial Narrow" w:hAnsi="Arial Narrow"/>
                <w:sz w:val="19"/>
                <w:szCs w:val="19"/>
              </w:rPr>
            </w:pPr>
            <w:r w:rsidRPr="002215A7">
              <w:rPr>
                <w:rFonts w:ascii="Arial Narrow" w:hAnsi="Arial Narrow"/>
                <w:sz w:val="19"/>
                <w:szCs w:val="19"/>
              </w:rPr>
              <w:t xml:space="preserve">Ruxolitinib treatment is likely associated with improved survival but magnitude is confounded by high crossover. At 144 weeks, 73.5% and 61.6% of patients originally treated with placebo or BAT in the COMFORT I and II trials had crossed over to ruxolitinib respectively. </w:t>
            </w:r>
          </w:p>
          <w:p w:rsidR="001D112E" w:rsidRPr="002215A7" w:rsidRDefault="001D112E" w:rsidP="00C91094">
            <w:pPr>
              <w:keepNext/>
              <w:keepLines/>
              <w:jc w:val="left"/>
              <w:rPr>
                <w:rFonts w:ascii="Arial Narrow" w:hAnsi="Arial Narrow"/>
                <w:sz w:val="19"/>
                <w:szCs w:val="19"/>
              </w:rPr>
            </w:pPr>
          </w:p>
          <w:p w:rsidR="0037345A" w:rsidRPr="002215A7" w:rsidRDefault="0037345A" w:rsidP="00C91094">
            <w:pPr>
              <w:keepNext/>
              <w:keepLines/>
              <w:jc w:val="left"/>
              <w:rPr>
                <w:rFonts w:ascii="Arial Narrow" w:hAnsi="Arial Narrow"/>
                <w:sz w:val="19"/>
                <w:szCs w:val="19"/>
              </w:rPr>
            </w:pPr>
            <w:r w:rsidRPr="002215A7">
              <w:rPr>
                <w:rFonts w:ascii="Arial Narrow" w:hAnsi="Arial Narrow"/>
                <w:sz w:val="19"/>
                <w:szCs w:val="19"/>
              </w:rPr>
              <w:t>Overall survival at 144 weeks (HR (95%CI))</w:t>
            </w:r>
          </w:p>
          <w:tbl>
            <w:tblPr>
              <w:tblStyle w:val="TableGrid"/>
              <w:tblW w:w="4078" w:type="dxa"/>
              <w:tblCellMar>
                <w:left w:w="28" w:type="dxa"/>
                <w:right w:w="28" w:type="dxa"/>
              </w:tblCellMar>
              <w:tblLook w:val="04A0" w:firstRow="1" w:lastRow="0" w:firstColumn="1" w:lastColumn="0" w:noHBand="0" w:noVBand="1"/>
            </w:tblPr>
            <w:tblGrid>
              <w:gridCol w:w="1102"/>
              <w:gridCol w:w="1488"/>
              <w:gridCol w:w="1488"/>
            </w:tblGrid>
            <w:tr w:rsidR="002215A7" w:rsidRPr="002215A7" w:rsidTr="003F31C5">
              <w:tc>
                <w:tcPr>
                  <w:tcW w:w="1102" w:type="dxa"/>
                </w:tcPr>
                <w:p w:rsidR="0037345A" w:rsidRPr="002215A7" w:rsidRDefault="0037345A" w:rsidP="00C91094">
                  <w:pPr>
                    <w:keepNext/>
                    <w:keepLines/>
                    <w:jc w:val="left"/>
                    <w:rPr>
                      <w:rFonts w:ascii="Arial Narrow" w:hAnsi="Arial Narrow"/>
                      <w:sz w:val="19"/>
                      <w:szCs w:val="19"/>
                    </w:rPr>
                  </w:pPr>
                </w:p>
              </w:tc>
              <w:tc>
                <w:tcPr>
                  <w:tcW w:w="1488" w:type="dxa"/>
                  <w:vAlign w:val="center"/>
                </w:tcPr>
                <w:p w:rsidR="0037345A" w:rsidRPr="002215A7" w:rsidRDefault="0037345A" w:rsidP="00C91094">
                  <w:pPr>
                    <w:keepNext/>
                    <w:keepLines/>
                    <w:jc w:val="center"/>
                    <w:rPr>
                      <w:rFonts w:ascii="Arial Narrow" w:hAnsi="Arial Narrow"/>
                      <w:sz w:val="19"/>
                      <w:szCs w:val="19"/>
                    </w:rPr>
                  </w:pPr>
                  <w:r w:rsidRPr="002215A7">
                    <w:rPr>
                      <w:rFonts w:ascii="Arial Narrow" w:hAnsi="Arial Narrow"/>
                      <w:sz w:val="19"/>
                      <w:szCs w:val="19"/>
                    </w:rPr>
                    <w:t>ITT</w:t>
                  </w:r>
                </w:p>
              </w:tc>
              <w:tc>
                <w:tcPr>
                  <w:tcW w:w="1488" w:type="dxa"/>
                  <w:vAlign w:val="center"/>
                </w:tcPr>
                <w:p w:rsidR="0037345A" w:rsidRPr="002215A7" w:rsidRDefault="0037345A" w:rsidP="00C91094">
                  <w:pPr>
                    <w:keepNext/>
                    <w:keepLines/>
                    <w:jc w:val="center"/>
                    <w:rPr>
                      <w:rFonts w:ascii="Arial Narrow" w:hAnsi="Arial Narrow"/>
                      <w:sz w:val="19"/>
                      <w:szCs w:val="19"/>
                    </w:rPr>
                  </w:pPr>
                  <w:r w:rsidRPr="002215A7">
                    <w:rPr>
                      <w:rFonts w:ascii="Arial Narrow" w:hAnsi="Arial Narrow"/>
                      <w:sz w:val="19"/>
                      <w:szCs w:val="19"/>
                    </w:rPr>
                    <w:t>PP</w:t>
                  </w:r>
                </w:p>
              </w:tc>
            </w:tr>
            <w:tr w:rsidR="002215A7" w:rsidRPr="002215A7" w:rsidTr="003F31C5">
              <w:tc>
                <w:tcPr>
                  <w:tcW w:w="1102" w:type="dxa"/>
                </w:tcPr>
                <w:p w:rsidR="0037345A" w:rsidRPr="002215A7" w:rsidRDefault="0037345A" w:rsidP="00C91094">
                  <w:pPr>
                    <w:keepNext/>
                    <w:keepLines/>
                    <w:jc w:val="left"/>
                    <w:rPr>
                      <w:rFonts w:ascii="Arial Narrow" w:hAnsi="Arial Narrow"/>
                      <w:sz w:val="19"/>
                      <w:szCs w:val="19"/>
                    </w:rPr>
                  </w:pPr>
                  <w:r w:rsidRPr="002215A7">
                    <w:rPr>
                      <w:rFonts w:ascii="Arial Narrow" w:hAnsi="Arial Narrow"/>
                      <w:sz w:val="19"/>
                      <w:szCs w:val="19"/>
                    </w:rPr>
                    <w:t>COMFORT-I</w:t>
                  </w:r>
                </w:p>
              </w:tc>
              <w:tc>
                <w:tcPr>
                  <w:tcW w:w="1488" w:type="dxa"/>
                  <w:vAlign w:val="center"/>
                </w:tcPr>
                <w:p w:rsidR="0037345A" w:rsidRPr="002215A7" w:rsidRDefault="0037345A" w:rsidP="00C91094">
                  <w:pPr>
                    <w:keepNext/>
                    <w:keepLines/>
                    <w:jc w:val="center"/>
                    <w:rPr>
                      <w:rFonts w:ascii="Arial Narrow" w:hAnsi="Arial Narrow"/>
                      <w:sz w:val="19"/>
                      <w:szCs w:val="19"/>
                    </w:rPr>
                  </w:pPr>
                  <w:r w:rsidRPr="002215A7">
                    <w:rPr>
                      <w:rFonts w:ascii="Arial Narrow" w:hAnsi="Arial Narrow"/>
                      <w:sz w:val="19"/>
                      <w:szCs w:val="19"/>
                    </w:rPr>
                    <w:t>0.69</w:t>
                  </w:r>
                  <w:r w:rsidR="003F31C5">
                    <w:rPr>
                      <w:rFonts w:ascii="Arial Narrow" w:hAnsi="Arial Narrow"/>
                      <w:sz w:val="19"/>
                      <w:szCs w:val="19"/>
                    </w:rPr>
                    <w:t xml:space="preserve"> </w:t>
                  </w:r>
                  <w:r w:rsidRPr="002215A7">
                    <w:rPr>
                      <w:rFonts w:ascii="Arial Narrow" w:hAnsi="Arial Narrow"/>
                      <w:sz w:val="19"/>
                      <w:szCs w:val="19"/>
                    </w:rPr>
                    <w:t>(0.49, 1.03)</w:t>
                  </w:r>
                </w:p>
              </w:tc>
              <w:tc>
                <w:tcPr>
                  <w:tcW w:w="1488" w:type="dxa"/>
                  <w:vAlign w:val="center"/>
                </w:tcPr>
                <w:p w:rsidR="0037345A" w:rsidRPr="00023DE7" w:rsidRDefault="00023DE7" w:rsidP="00C91094">
                  <w:pPr>
                    <w:keepNext/>
                    <w:keepLines/>
                    <w:jc w:val="center"/>
                    <w:rPr>
                      <w:rFonts w:ascii="Arial Narrow" w:hAnsi="Arial Narrow"/>
                      <w:sz w:val="19"/>
                      <w:szCs w:val="19"/>
                      <w:highlight w:val="black"/>
                    </w:rPr>
                  </w:pPr>
                  <w:r>
                    <w:rPr>
                      <w:rFonts w:ascii="Arial Narrow" w:hAnsi="Arial Narrow"/>
                      <w:noProof/>
                      <w:color w:val="000000"/>
                      <w:sz w:val="19"/>
                      <w:szCs w:val="19"/>
                      <w:highlight w:val="black"/>
                    </w:rPr>
                    <w:t>''''''''''' '''''''''''''' '''''''''''</w:t>
                  </w:r>
                </w:p>
              </w:tc>
            </w:tr>
            <w:tr w:rsidR="002215A7" w:rsidRPr="002215A7" w:rsidTr="003F31C5">
              <w:tc>
                <w:tcPr>
                  <w:tcW w:w="1102" w:type="dxa"/>
                </w:tcPr>
                <w:p w:rsidR="0037345A" w:rsidRPr="002215A7" w:rsidRDefault="0037345A" w:rsidP="00C91094">
                  <w:pPr>
                    <w:keepNext/>
                    <w:keepLines/>
                    <w:jc w:val="left"/>
                    <w:rPr>
                      <w:rFonts w:ascii="Arial Narrow" w:hAnsi="Arial Narrow"/>
                      <w:sz w:val="19"/>
                      <w:szCs w:val="19"/>
                    </w:rPr>
                  </w:pPr>
                  <w:r w:rsidRPr="002215A7">
                    <w:rPr>
                      <w:rFonts w:ascii="Arial Narrow" w:hAnsi="Arial Narrow"/>
                      <w:sz w:val="19"/>
                      <w:szCs w:val="19"/>
                    </w:rPr>
                    <w:t>COMFORT-II</w:t>
                  </w:r>
                </w:p>
              </w:tc>
              <w:tc>
                <w:tcPr>
                  <w:tcW w:w="1488" w:type="dxa"/>
                  <w:vAlign w:val="center"/>
                </w:tcPr>
                <w:p w:rsidR="0037345A" w:rsidRPr="002215A7" w:rsidRDefault="0037345A" w:rsidP="00C91094">
                  <w:pPr>
                    <w:keepNext/>
                    <w:keepLines/>
                    <w:jc w:val="center"/>
                    <w:rPr>
                      <w:rFonts w:ascii="Arial Narrow" w:hAnsi="Arial Narrow"/>
                      <w:sz w:val="19"/>
                      <w:szCs w:val="19"/>
                    </w:rPr>
                  </w:pPr>
                  <w:r w:rsidRPr="002215A7">
                    <w:rPr>
                      <w:rFonts w:ascii="Arial Narrow" w:hAnsi="Arial Narrow"/>
                      <w:sz w:val="19"/>
                      <w:szCs w:val="19"/>
                    </w:rPr>
                    <w:t>0.48</w:t>
                  </w:r>
                  <w:r w:rsidR="003F31C5">
                    <w:rPr>
                      <w:rFonts w:ascii="Arial Narrow" w:hAnsi="Arial Narrow"/>
                      <w:sz w:val="19"/>
                      <w:szCs w:val="19"/>
                    </w:rPr>
                    <w:t xml:space="preserve"> </w:t>
                  </w:r>
                  <w:r w:rsidRPr="002215A7">
                    <w:rPr>
                      <w:rFonts w:ascii="Arial Narrow" w:hAnsi="Arial Narrow"/>
                      <w:sz w:val="19"/>
                      <w:szCs w:val="19"/>
                    </w:rPr>
                    <w:t>(0.28, 0.70)</w:t>
                  </w:r>
                </w:p>
              </w:tc>
              <w:tc>
                <w:tcPr>
                  <w:tcW w:w="1488" w:type="dxa"/>
                  <w:vAlign w:val="center"/>
                </w:tcPr>
                <w:p w:rsidR="0037345A" w:rsidRPr="00023DE7" w:rsidRDefault="00023DE7" w:rsidP="00C91094">
                  <w:pPr>
                    <w:keepNext/>
                    <w:keepLines/>
                    <w:jc w:val="center"/>
                    <w:rPr>
                      <w:rFonts w:ascii="Arial Narrow" w:hAnsi="Arial Narrow"/>
                      <w:sz w:val="19"/>
                      <w:szCs w:val="19"/>
                      <w:highlight w:val="black"/>
                    </w:rPr>
                  </w:pPr>
                  <w:r>
                    <w:rPr>
                      <w:rFonts w:ascii="Arial Narrow" w:hAnsi="Arial Narrow"/>
                      <w:noProof/>
                      <w:color w:val="000000"/>
                      <w:sz w:val="19"/>
                      <w:szCs w:val="19"/>
                      <w:highlight w:val="black"/>
                    </w:rPr>
                    <w:t>'''''''''''' ''''''''''''''' ''''''''''''</w:t>
                  </w:r>
                </w:p>
              </w:tc>
            </w:tr>
          </w:tbl>
          <w:p w:rsidR="0037345A" w:rsidRPr="002215A7" w:rsidRDefault="0037345A" w:rsidP="00C91094">
            <w:pPr>
              <w:keepNext/>
              <w:keepLines/>
              <w:jc w:val="left"/>
              <w:rPr>
                <w:rFonts w:ascii="Arial Narrow" w:hAnsi="Arial Narrow"/>
                <w:sz w:val="19"/>
                <w:szCs w:val="19"/>
              </w:rPr>
            </w:pPr>
          </w:p>
          <w:p w:rsidR="001D112E" w:rsidRPr="002215A7" w:rsidRDefault="001D112E" w:rsidP="00C91094">
            <w:pPr>
              <w:keepNext/>
              <w:keepLines/>
              <w:jc w:val="left"/>
              <w:rPr>
                <w:rFonts w:ascii="Arial Narrow" w:hAnsi="Arial Narrow"/>
                <w:sz w:val="19"/>
                <w:szCs w:val="19"/>
              </w:rPr>
            </w:pPr>
            <w:r w:rsidRPr="002215A7">
              <w:rPr>
                <w:rFonts w:ascii="Arial Narrow" w:hAnsi="Arial Narrow"/>
                <w:b/>
                <w:sz w:val="19"/>
                <w:szCs w:val="19"/>
              </w:rPr>
              <w:t>PBAC Comment:</w:t>
            </w:r>
            <w:r w:rsidR="00CA5ABE" w:rsidRPr="002215A7">
              <w:t xml:space="preserve"> </w:t>
            </w:r>
            <w:r w:rsidR="00CA5ABE" w:rsidRPr="002215A7">
              <w:rPr>
                <w:rFonts w:ascii="Arial Narrow" w:hAnsi="Arial Narrow"/>
                <w:sz w:val="19"/>
                <w:szCs w:val="19"/>
              </w:rPr>
              <w:t xml:space="preserve">The PBAC agreed with ESC that the point estimates generated by the Week 144 Kaplan Meier analyses for the ITT and PP populations should represent a lower and upper bound for the likely OS benefit base case. The PBAC noted the sponsor’s argument that the PP population are likely to represent those with the greatest clinical need and thus represent the likely OS benefit base case, however the committee did not agree with this logic, stating that the economic analysis conducted did not reflect conventional economic analysis.  </w:t>
            </w:r>
          </w:p>
        </w:tc>
        <w:tc>
          <w:tcPr>
            <w:tcW w:w="3331" w:type="dxa"/>
          </w:tcPr>
          <w:p w:rsidR="001D112E" w:rsidRPr="002215A7" w:rsidRDefault="0037345A" w:rsidP="00C91094">
            <w:pPr>
              <w:keepNext/>
              <w:keepLines/>
              <w:jc w:val="left"/>
              <w:rPr>
                <w:rFonts w:ascii="Arial Narrow" w:hAnsi="Arial Narrow"/>
                <w:sz w:val="19"/>
                <w:szCs w:val="19"/>
              </w:rPr>
            </w:pPr>
            <w:r w:rsidRPr="002215A7">
              <w:rPr>
                <w:rFonts w:ascii="Arial Narrow" w:hAnsi="Arial Narrow"/>
                <w:sz w:val="19"/>
                <w:szCs w:val="19"/>
              </w:rPr>
              <w:t xml:space="preserve">Same as previous re-submission.  PP results from COMFORT-I used in economic modelling. Results from ROBUST and Barosi 2012 are not used in the economic model, and only median age from JUMP is used to inform relative baseline mortality of intermediate-1 patients compared to intermediate-2 or high risk patients. </w:t>
            </w:r>
            <w:r w:rsidR="009679C3">
              <w:rPr>
                <w:rFonts w:ascii="Arial Narrow" w:hAnsi="Arial Narrow"/>
                <w:sz w:val="19"/>
                <w:szCs w:val="19"/>
              </w:rPr>
              <w:t xml:space="preserve">Mortality is adjusted based on Australian life tables and the median ages of patients in JUMP and COMFORT-1. </w:t>
            </w:r>
          </w:p>
        </w:tc>
      </w:tr>
      <w:tr w:rsidR="002215A7" w:rsidRPr="002215A7" w:rsidTr="00BC0026">
        <w:trPr>
          <w:trHeight w:val="860"/>
        </w:trPr>
        <w:tc>
          <w:tcPr>
            <w:tcW w:w="992" w:type="dxa"/>
          </w:tcPr>
          <w:p w:rsidR="001D112E" w:rsidRPr="002215A7" w:rsidRDefault="001D112E" w:rsidP="00C91094">
            <w:pPr>
              <w:keepNext/>
              <w:keepLines/>
              <w:jc w:val="left"/>
              <w:rPr>
                <w:rFonts w:ascii="Arial Narrow" w:hAnsi="Arial Narrow"/>
                <w:sz w:val="19"/>
                <w:szCs w:val="19"/>
              </w:rPr>
            </w:pPr>
            <w:r w:rsidRPr="002215A7">
              <w:rPr>
                <w:rFonts w:ascii="Arial Narrow" w:hAnsi="Arial Narrow"/>
                <w:sz w:val="19"/>
                <w:szCs w:val="19"/>
              </w:rPr>
              <w:t>Key safety data</w:t>
            </w:r>
          </w:p>
        </w:tc>
        <w:tc>
          <w:tcPr>
            <w:tcW w:w="4120" w:type="dxa"/>
          </w:tcPr>
          <w:p w:rsidR="001D112E" w:rsidRPr="002215A7" w:rsidRDefault="004910A2" w:rsidP="00C91094">
            <w:pPr>
              <w:keepNext/>
              <w:keepLines/>
              <w:jc w:val="left"/>
              <w:rPr>
                <w:rFonts w:ascii="Arial Narrow" w:hAnsi="Arial Narrow"/>
                <w:sz w:val="19"/>
                <w:szCs w:val="19"/>
              </w:rPr>
            </w:pPr>
            <w:r w:rsidRPr="002215A7">
              <w:rPr>
                <w:rFonts w:ascii="Arial Narrow" w:hAnsi="Arial Narrow"/>
                <w:sz w:val="19"/>
                <w:szCs w:val="19"/>
              </w:rPr>
              <w:t>Stati</w:t>
            </w:r>
            <w:r w:rsidR="00294366">
              <w:rPr>
                <w:rFonts w:ascii="Arial Narrow" w:hAnsi="Arial Narrow"/>
                <w:sz w:val="19"/>
                <w:szCs w:val="19"/>
              </w:rPr>
              <w:t>s</w:t>
            </w:r>
            <w:r w:rsidRPr="002215A7">
              <w:rPr>
                <w:rFonts w:ascii="Arial Narrow" w:hAnsi="Arial Narrow"/>
                <w:sz w:val="19"/>
                <w:szCs w:val="19"/>
              </w:rPr>
              <w:t>tically significantly more patients treated with ruxolitinib experienced a</w:t>
            </w:r>
            <w:r w:rsidR="00AF1B23" w:rsidRPr="002215A7">
              <w:rPr>
                <w:rFonts w:ascii="Arial Narrow" w:hAnsi="Arial Narrow"/>
                <w:sz w:val="19"/>
                <w:szCs w:val="19"/>
              </w:rPr>
              <w:t xml:space="preserve">naemia and thrombocytopenia </w:t>
            </w:r>
            <w:r w:rsidRPr="002215A7">
              <w:rPr>
                <w:rFonts w:ascii="Arial Narrow" w:hAnsi="Arial Narrow"/>
                <w:sz w:val="19"/>
                <w:szCs w:val="19"/>
              </w:rPr>
              <w:t xml:space="preserve">compared to those who were treated with placebo or </w:t>
            </w:r>
            <w:r w:rsidR="00AF1B23" w:rsidRPr="002215A7">
              <w:rPr>
                <w:rFonts w:ascii="Arial Narrow" w:hAnsi="Arial Narrow"/>
                <w:sz w:val="19"/>
                <w:szCs w:val="19"/>
              </w:rPr>
              <w:t xml:space="preserve">best available therapy </w:t>
            </w:r>
            <w:r w:rsidRPr="002215A7">
              <w:rPr>
                <w:rFonts w:ascii="Arial Narrow" w:hAnsi="Arial Narrow"/>
                <w:sz w:val="19"/>
                <w:szCs w:val="19"/>
              </w:rPr>
              <w:t xml:space="preserve">(BAT) </w:t>
            </w:r>
            <w:r w:rsidR="00AF1B23" w:rsidRPr="002215A7">
              <w:rPr>
                <w:rFonts w:ascii="Arial Narrow" w:hAnsi="Arial Narrow"/>
                <w:sz w:val="19"/>
                <w:szCs w:val="19"/>
              </w:rPr>
              <w:t>for MF.</w:t>
            </w:r>
          </w:p>
          <w:p w:rsidR="00AF1B23" w:rsidRPr="002215A7" w:rsidRDefault="00AF1B23" w:rsidP="00C91094">
            <w:pPr>
              <w:keepNext/>
              <w:keepLines/>
              <w:jc w:val="left"/>
              <w:rPr>
                <w:rFonts w:ascii="Arial Narrow" w:hAnsi="Arial Narrow"/>
                <w:sz w:val="19"/>
                <w:szCs w:val="19"/>
              </w:rPr>
            </w:pPr>
          </w:p>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t xml:space="preserve">Number of adverse events </w:t>
            </w:r>
          </w:p>
          <w:tbl>
            <w:tblPr>
              <w:tblStyle w:val="TableGrid"/>
              <w:tblW w:w="0" w:type="auto"/>
              <w:tblCellMar>
                <w:left w:w="28" w:type="dxa"/>
                <w:right w:w="28" w:type="dxa"/>
              </w:tblCellMar>
              <w:tblLook w:val="04A0" w:firstRow="1" w:lastRow="0" w:firstColumn="1" w:lastColumn="0" w:noHBand="0" w:noVBand="1"/>
            </w:tblPr>
            <w:tblGrid>
              <w:gridCol w:w="1102"/>
              <w:gridCol w:w="850"/>
              <w:gridCol w:w="851"/>
              <w:gridCol w:w="1226"/>
            </w:tblGrid>
            <w:tr w:rsidR="002215A7" w:rsidRPr="002215A7" w:rsidTr="003F31C5">
              <w:tc>
                <w:tcPr>
                  <w:tcW w:w="1102" w:type="dxa"/>
                </w:tcPr>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t>Anaemia</w:t>
                  </w:r>
                </w:p>
              </w:tc>
              <w:tc>
                <w:tcPr>
                  <w:tcW w:w="850"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Rux</w:t>
                  </w:r>
                </w:p>
              </w:tc>
              <w:tc>
                <w:tcPr>
                  <w:tcW w:w="851" w:type="dxa"/>
                  <w:vAlign w:val="center"/>
                </w:tcPr>
                <w:p w:rsidR="00AF1B23" w:rsidRPr="003F31C5" w:rsidRDefault="00AF1B23" w:rsidP="00C91094">
                  <w:pPr>
                    <w:keepNext/>
                    <w:keepLines/>
                    <w:jc w:val="center"/>
                    <w:rPr>
                      <w:rFonts w:ascii="Arial Narrow" w:hAnsi="Arial Narrow"/>
                      <w:sz w:val="19"/>
                      <w:szCs w:val="19"/>
                      <w:vertAlign w:val="superscript"/>
                    </w:rPr>
                  </w:pPr>
                  <w:r w:rsidRPr="002215A7">
                    <w:rPr>
                      <w:rFonts w:ascii="Arial Narrow" w:hAnsi="Arial Narrow"/>
                      <w:sz w:val="19"/>
                      <w:szCs w:val="19"/>
                    </w:rPr>
                    <w:t>PBO/BAT</w:t>
                  </w:r>
                  <w:r w:rsidRPr="003F31C5">
                    <w:rPr>
                      <w:rFonts w:ascii="Arial Narrow" w:hAnsi="Arial Narrow"/>
                      <w:sz w:val="19"/>
                      <w:szCs w:val="19"/>
                      <w:vertAlign w:val="superscript"/>
                    </w:rPr>
                    <w:t>#^</w:t>
                  </w:r>
                </w:p>
              </w:tc>
              <w:tc>
                <w:tcPr>
                  <w:tcW w:w="1226"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RR (95% CI)</w:t>
                  </w:r>
                </w:p>
              </w:tc>
            </w:tr>
            <w:tr w:rsidR="002215A7" w:rsidRPr="002215A7" w:rsidTr="003F31C5">
              <w:tc>
                <w:tcPr>
                  <w:tcW w:w="1102" w:type="dxa"/>
                </w:tcPr>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t>COMFORT-I</w:t>
                  </w:r>
                </w:p>
              </w:tc>
              <w:tc>
                <w:tcPr>
                  <w:tcW w:w="850"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64</w:t>
                  </w:r>
                </w:p>
              </w:tc>
              <w:tc>
                <w:tcPr>
                  <w:tcW w:w="851"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21</w:t>
                  </w:r>
                </w:p>
              </w:tc>
              <w:tc>
                <w:tcPr>
                  <w:tcW w:w="1226"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2.97 (1.9, 4.6)</w:t>
                  </w:r>
                </w:p>
              </w:tc>
            </w:tr>
            <w:tr w:rsidR="002215A7" w:rsidRPr="002215A7" w:rsidTr="003F31C5">
              <w:tc>
                <w:tcPr>
                  <w:tcW w:w="1102" w:type="dxa"/>
                </w:tcPr>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t>COMFORT-II</w:t>
                  </w:r>
                </w:p>
              </w:tc>
              <w:tc>
                <w:tcPr>
                  <w:tcW w:w="850"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64</w:t>
                  </w:r>
                </w:p>
              </w:tc>
              <w:tc>
                <w:tcPr>
                  <w:tcW w:w="851"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12</w:t>
                  </w:r>
                </w:p>
              </w:tc>
              <w:tc>
                <w:tcPr>
                  <w:tcW w:w="1226"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2.67 (1.5,4.6)</w:t>
                  </w:r>
                </w:p>
              </w:tc>
            </w:tr>
            <w:tr w:rsidR="002215A7" w:rsidRPr="002215A7" w:rsidTr="003F31C5">
              <w:tc>
                <w:tcPr>
                  <w:tcW w:w="4029" w:type="dxa"/>
                  <w:gridSpan w:val="4"/>
                </w:tcPr>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t>Thrombocytopenia</w:t>
                  </w:r>
                </w:p>
              </w:tc>
            </w:tr>
            <w:tr w:rsidR="002215A7" w:rsidRPr="002215A7" w:rsidTr="003F31C5">
              <w:tc>
                <w:tcPr>
                  <w:tcW w:w="1102" w:type="dxa"/>
                </w:tcPr>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lastRenderedPageBreak/>
                    <w:t>COMFORT-I</w:t>
                  </w:r>
                </w:p>
              </w:tc>
              <w:tc>
                <w:tcPr>
                  <w:tcW w:w="850"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77</w:t>
                  </w:r>
                </w:p>
              </w:tc>
              <w:tc>
                <w:tcPr>
                  <w:tcW w:w="851"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16</w:t>
                  </w:r>
                </w:p>
              </w:tc>
              <w:tc>
                <w:tcPr>
                  <w:tcW w:w="1226"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4.69 (2.9, 7.7)</w:t>
                  </w:r>
                </w:p>
              </w:tc>
            </w:tr>
            <w:tr w:rsidR="002215A7" w:rsidRPr="002215A7" w:rsidTr="003F31C5">
              <w:tc>
                <w:tcPr>
                  <w:tcW w:w="1102" w:type="dxa"/>
                </w:tcPr>
                <w:p w:rsidR="00AF1B23"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t>COMFORT-II</w:t>
                  </w:r>
                </w:p>
              </w:tc>
              <w:tc>
                <w:tcPr>
                  <w:tcW w:w="850"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67</w:t>
                  </w:r>
                </w:p>
              </w:tc>
              <w:tc>
                <w:tcPr>
                  <w:tcW w:w="851"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10</w:t>
                  </w:r>
                </w:p>
              </w:tc>
              <w:tc>
                <w:tcPr>
                  <w:tcW w:w="1226" w:type="dxa"/>
                  <w:vAlign w:val="center"/>
                </w:tcPr>
                <w:p w:rsidR="00AF1B23" w:rsidRPr="002215A7" w:rsidRDefault="00AF1B23" w:rsidP="00C91094">
                  <w:pPr>
                    <w:keepNext/>
                    <w:keepLines/>
                    <w:jc w:val="center"/>
                    <w:rPr>
                      <w:rFonts w:ascii="Arial Narrow" w:hAnsi="Arial Narrow"/>
                      <w:sz w:val="19"/>
                      <w:szCs w:val="19"/>
                    </w:rPr>
                  </w:pPr>
                  <w:r w:rsidRPr="002215A7">
                    <w:rPr>
                      <w:rFonts w:ascii="Arial Narrow" w:hAnsi="Arial Narrow"/>
                      <w:sz w:val="19"/>
                      <w:szCs w:val="19"/>
                    </w:rPr>
                    <w:t>3.35 (1.8, 6.1)</w:t>
                  </w:r>
                </w:p>
              </w:tc>
            </w:tr>
          </w:tbl>
          <w:p w:rsidR="00AF1B23" w:rsidRPr="002215A7" w:rsidRDefault="00AF1B23" w:rsidP="00C91094">
            <w:pPr>
              <w:keepNext/>
              <w:keepLines/>
              <w:tabs>
                <w:tab w:val="left" w:pos="228"/>
                <w:tab w:val="left" w:pos="372"/>
              </w:tabs>
              <w:jc w:val="left"/>
              <w:rPr>
                <w:rFonts w:ascii="Arial Narrow" w:hAnsi="Arial Narrow"/>
                <w:sz w:val="19"/>
                <w:szCs w:val="19"/>
              </w:rPr>
            </w:pPr>
            <w:r w:rsidRPr="002215A7">
              <w:rPr>
                <w:rFonts w:ascii="Arial Narrow" w:hAnsi="Arial Narrow"/>
                <w:sz w:val="19"/>
                <w:szCs w:val="19"/>
              </w:rPr>
              <w:t>#</w:t>
            </w:r>
            <w:r w:rsidRPr="002215A7">
              <w:rPr>
                <w:rFonts w:ascii="Arial Narrow" w:hAnsi="Arial Narrow"/>
                <w:sz w:val="19"/>
                <w:szCs w:val="19"/>
              </w:rPr>
              <w:tab/>
              <w:t>COMFORT I at 24 weeks, versus PBO</w:t>
            </w:r>
          </w:p>
          <w:p w:rsidR="001D112E" w:rsidRPr="002215A7" w:rsidRDefault="00AF1B23" w:rsidP="00C91094">
            <w:pPr>
              <w:keepNext/>
              <w:keepLines/>
              <w:tabs>
                <w:tab w:val="left" w:pos="228"/>
                <w:tab w:val="left" w:pos="372"/>
              </w:tabs>
              <w:jc w:val="left"/>
              <w:rPr>
                <w:rFonts w:ascii="Arial Narrow" w:hAnsi="Arial Narrow"/>
                <w:sz w:val="19"/>
                <w:szCs w:val="19"/>
              </w:rPr>
            </w:pPr>
            <w:r w:rsidRPr="002215A7">
              <w:rPr>
                <w:rFonts w:ascii="Arial Narrow" w:hAnsi="Arial Narrow"/>
                <w:sz w:val="19"/>
                <w:szCs w:val="19"/>
              </w:rPr>
              <w:t>^</w:t>
            </w:r>
            <w:r w:rsidRPr="002215A7">
              <w:rPr>
                <w:rFonts w:ascii="Arial Narrow" w:hAnsi="Arial Narrow"/>
                <w:sz w:val="19"/>
                <w:szCs w:val="19"/>
              </w:rPr>
              <w:tab/>
              <w:t>COMFORT II, at 48 weeks, versus BAT</w:t>
            </w:r>
          </w:p>
        </w:tc>
        <w:tc>
          <w:tcPr>
            <w:tcW w:w="3331" w:type="dxa"/>
          </w:tcPr>
          <w:p w:rsidR="001D112E" w:rsidRPr="002215A7" w:rsidRDefault="00AF1B23" w:rsidP="00C91094">
            <w:pPr>
              <w:keepNext/>
              <w:keepLines/>
              <w:jc w:val="left"/>
              <w:rPr>
                <w:rFonts w:ascii="Arial Narrow" w:hAnsi="Arial Narrow"/>
                <w:sz w:val="19"/>
                <w:szCs w:val="19"/>
              </w:rPr>
            </w:pPr>
            <w:r w:rsidRPr="002215A7">
              <w:rPr>
                <w:rFonts w:ascii="Arial Narrow" w:hAnsi="Arial Narrow"/>
                <w:sz w:val="19"/>
                <w:szCs w:val="19"/>
              </w:rPr>
              <w:lastRenderedPageBreak/>
              <w:t xml:space="preserve">Same as previous submission </w:t>
            </w:r>
          </w:p>
        </w:tc>
      </w:tr>
      <w:tr w:rsidR="002215A7" w:rsidRPr="002215A7" w:rsidTr="00BC0026">
        <w:trPr>
          <w:trHeight w:val="58"/>
        </w:trPr>
        <w:tc>
          <w:tcPr>
            <w:tcW w:w="992" w:type="dxa"/>
          </w:tcPr>
          <w:p w:rsidR="001D112E" w:rsidRPr="002215A7" w:rsidRDefault="001D112E" w:rsidP="00AA0A07">
            <w:pPr>
              <w:jc w:val="left"/>
              <w:rPr>
                <w:rFonts w:ascii="Arial Narrow" w:hAnsi="Arial Narrow"/>
                <w:sz w:val="19"/>
                <w:szCs w:val="19"/>
              </w:rPr>
            </w:pPr>
            <w:r w:rsidRPr="002215A7">
              <w:rPr>
                <w:rFonts w:ascii="Arial Narrow" w:hAnsi="Arial Narrow"/>
                <w:sz w:val="19"/>
                <w:szCs w:val="19"/>
              </w:rPr>
              <w:lastRenderedPageBreak/>
              <w:t>Clinical claim</w:t>
            </w:r>
          </w:p>
        </w:tc>
        <w:tc>
          <w:tcPr>
            <w:tcW w:w="4120" w:type="dxa"/>
          </w:tcPr>
          <w:p w:rsidR="001D112E" w:rsidRPr="002215A7" w:rsidRDefault="004910A2" w:rsidP="00AA0A07">
            <w:pPr>
              <w:jc w:val="left"/>
              <w:rPr>
                <w:rFonts w:ascii="Arial Narrow" w:hAnsi="Arial Narrow"/>
                <w:b/>
                <w:sz w:val="19"/>
                <w:szCs w:val="19"/>
              </w:rPr>
            </w:pPr>
            <w:r w:rsidRPr="002215A7">
              <w:rPr>
                <w:rFonts w:ascii="Arial Narrow" w:hAnsi="Arial Narrow"/>
                <w:sz w:val="19"/>
                <w:szCs w:val="19"/>
              </w:rPr>
              <w:t xml:space="preserve">The submission describes ruxolitinib as superior in terms of comparative effectiveness and inferior in terms of comparative safety over placebo.  </w:t>
            </w:r>
          </w:p>
          <w:p w:rsidR="001D112E" w:rsidRPr="002215A7" w:rsidRDefault="001D112E" w:rsidP="004910A2">
            <w:pPr>
              <w:jc w:val="left"/>
              <w:rPr>
                <w:rFonts w:ascii="Arial Narrow" w:hAnsi="Arial Narrow"/>
                <w:sz w:val="19"/>
                <w:szCs w:val="19"/>
              </w:rPr>
            </w:pPr>
            <w:r w:rsidRPr="002215A7">
              <w:rPr>
                <w:rFonts w:ascii="Arial Narrow" w:hAnsi="Arial Narrow"/>
                <w:b/>
                <w:sz w:val="19"/>
                <w:szCs w:val="19"/>
              </w:rPr>
              <w:t>PBAC Comment:</w:t>
            </w:r>
            <w:r w:rsidR="004910A2" w:rsidRPr="002215A7">
              <w:rPr>
                <w:rFonts w:ascii="Arial Narrow" w:hAnsi="Arial Narrow"/>
                <w:sz w:val="19"/>
                <w:szCs w:val="19"/>
              </w:rPr>
              <w:t xml:space="preserve"> ESC considered that although all evidence supports a conclusion of superior survival, estimating the magnitude of the actual benefit remains difficult. (7.8.ESC.ADV.8, July 2014) </w:t>
            </w:r>
          </w:p>
        </w:tc>
        <w:tc>
          <w:tcPr>
            <w:tcW w:w="3331" w:type="dxa"/>
          </w:tcPr>
          <w:p w:rsidR="001D112E" w:rsidRPr="002215A7" w:rsidRDefault="004910A2" w:rsidP="00AA0A07">
            <w:pPr>
              <w:jc w:val="left"/>
              <w:rPr>
                <w:rFonts w:ascii="Arial Narrow" w:hAnsi="Arial Narrow"/>
                <w:sz w:val="19"/>
                <w:szCs w:val="19"/>
              </w:rPr>
            </w:pPr>
            <w:r w:rsidRPr="002215A7">
              <w:rPr>
                <w:rFonts w:ascii="Arial Narrow" w:hAnsi="Arial Narrow"/>
                <w:sz w:val="19"/>
                <w:szCs w:val="19"/>
              </w:rPr>
              <w:t xml:space="preserve">Same as previous submission for both intermediate-1 and intermediate-2 or high risk patients </w:t>
            </w:r>
          </w:p>
        </w:tc>
      </w:tr>
      <w:tr w:rsidR="002215A7" w:rsidRPr="002215A7" w:rsidTr="00BC0026">
        <w:trPr>
          <w:trHeight w:val="1298"/>
        </w:trPr>
        <w:tc>
          <w:tcPr>
            <w:tcW w:w="992" w:type="dxa"/>
          </w:tcPr>
          <w:p w:rsidR="001D112E" w:rsidRPr="002215A7" w:rsidRDefault="001D112E" w:rsidP="00AA0A07">
            <w:pPr>
              <w:jc w:val="left"/>
              <w:rPr>
                <w:rFonts w:ascii="Arial Narrow" w:hAnsi="Arial Narrow"/>
                <w:sz w:val="19"/>
                <w:szCs w:val="19"/>
              </w:rPr>
            </w:pPr>
            <w:r w:rsidRPr="002215A7">
              <w:rPr>
                <w:rFonts w:ascii="Arial Narrow" w:hAnsi="Arial Narrow"/>
                <w:sz w:val="19"/>
                <w:szCs w:val="19"/>
              </w:rPr>
              <w:t>Economic evaluation</w:t>
            </w:r>
          </w:p>
        </w:tc>
        <w:tc>
          <w:tcPr>
            <w:tcW w:w="4120" w:type="dxa"/>
          </w:tcPr>
          <w:p w:rsidR="001D112E" w:rsidRPr="002215A7" w:rsidRDefault="001D112E" w:rsidP="004910A2">
            <w:pPr>
              <w:jc w:val="left"/>
              <w:rPr>
                <w:rFonts w:ascii="Arial Narrow" w:hAnsi="Arial Narrow"/>
                <w:b/>
                <w:sz w:val="19"/>
                <w:szCs w:val="19"/>
              </w:rPr>
            </w:pPr>
            <w:r w:rsidRPr="002215A7">
              <w:rPr>
                <w:rFonts w:ascii="Arial Narrow" w:hAnsi="Arial Narrow"/>
                <w:sz w:val="19"/>
                <w:szCs w:val="19"/>
              </w:rPr>
              <w:t xml:space="preserve">Cost-utility model with cost/QALY </w:t>
            </w:r>
            <w:r w:rsidR="009679C3">
              <w:rPr>
                <w:rFonts w:ascii="Arial Narrow" w:hAnsi="Arial Narrow"/>
                <w:sz w:val="19"/>
                <w:szCs w:val="19"/>
              </w:rPr>
              <w:t xml:space="preserve">of </w:t>
            </w:r>
            <w:r w:rsidRPr="002215A7">
              <w:rPr>
                <w:rFonts w:ascii="Arial Narrow" w:hAnsi="Arial Narrow"/>
                <w:sz w:val="19"/>
                <w:szCs w:val="19"/>
              </w:rPr>
              <w:t>$</w:t>
            </w:r>
            <w:r w:rsidR="00023DE7">
              <w:rPr>
                <w:rFonts w:ascii="Arial Narrow" w:hAnsi="Arial Narrow"/>
                <w:noProof/>
                <w:color w:val="000000"/>
                <w:sz w:val="19"/>
                <w:szCs w:val="19"/>
                <w:highlight w:val="black"/>
              </w:rPr>
              <w:t>'''''''''''''''''</w:t>
            </w:r>
            <w:r w:rsidR="002776F4" w:rsidRPr="002776F4">
              <w:rPr>
                <w:rFonts w:ascii="Arial Narrow" w:hAnsi="Arial Narrow"/>
                <w:sz w:val="19"/>
                <w:szCs w:val="19"/>
              </w:rPr>
              <w:t>.</w:t>
            </w:r>
          </w:p>
          <w:p w:rsidR="001D112E" w:rsidRPr="002215A7" w:rsidRDefault="001D112E" w:rsidP="00AA0A07">
            <w:pPr>
              <w:jc w:val="left"/>
              <w:rPr>
                <w:rFonts w:ascii="Arial Narrow" w:hAnsi="Arial Narrow"/>
                <w:b/>
                <w:sz w:val="19"/>
                <w:szCs w:val="19"/>
              </w:rPr>
            </w:pPr>
          </w:p>
          <w:p w:rsidR="001D112E" w:rsidRPr="002215A7" w:rsidRDefault="001D112E" w:rsidP="002215A7">
            <w:pPr>
              <w:jc w:val="left"/>
              <w:rPr>
                <w:rFonts w:ascii="Arial Narrow" w:hAnsi="Arial Narrow"/>
                <w:sz w:val="19"/>
                <w:szCs w:val="19"/>
              </w:rPr>
            </w:pPr>
            <w:r w:rsidRPr="002215A7">
              <w:rPr>
                <w:rFonts w:ascii="Arial Narrow" w:hAnsi="Arial Narrow"/>
                <w:b/>
                <w:sz w:val="19"/>
                <w:szCs w:val="19"/>
              </w:rPr>
              <w:t>PBAC Comment:</w:t>
            </w:r>
            <w:r w:rsidR="004910A2" w:rsidRPr="002215A7">
              <w:rPr>
                <w:rFonts w:ascii="Arial Narrow" w:hAnsi="Arial Narrow"/>
                <w:sz w:val="19"/>
                <w:szCs w:val="19"/>
              </w:rPr>
              <w:t xml:space="preserve"> The PBAC </w:t>
            </w:r>
            <w:r w:rsidR="002215A7" w:rsidRPr="002215A7">
              <w:rPr>
                <w:rFonts w:ascii="Arial Narrow" w:hAnsi="Arial Narrow"/>
                <w:sz w:val="19"/>
                <w:szCs w:val="19"/>
              </w:rPr>
              <w:t xml:space="preserve">considered that there was </w:t>
            </w:r>
            <w:r w:rsidR="004910A2" w:rsidRPr="002215A7">
              <w:rPr>
                <w:rFonts w:ascii="Arial Narrow" w:hAnsi="Arial Narrow"/>
                <w:sz w:val="19"/>
                <w:szCs w:val="19"/>
              </w:rPr>
              <w:t>a lack of clarity around the appropriate clinical place of ruxolitinib in Australian practice, concerns regarding the proposed restriction, and an unacceptably high price. Each of these matters precluded the committee from reaching a conclusion that ruxolitinib was cost-effective. (7.1, PBAC minutes, July 2014)</w:t>
            </w:r>
          </w:p>
        </w:tc>
        <w:tc>
          <w:tcPr>
            <w:tcW w:w="3331" w:type="dxa"/>
          </w:tcPr>
          <w:p w:rsidR="001D112E" w:rsidRPr="002215A7" w:rsidRDefault="004910A2" w:rsidP="00E37DFB">
            <w:pPr>
              <w:jc w:val="left"/>
              <w:rPr>
                <w:rFonts w:ascii="Arial Narrow" w:hAnsi="Arial Narrow"/>
                <w:sz w:val="19"/>
                <w:szCs w:val="19"/>
              </w:rPr>
            </w:pPr>
            <w:r w:rsidRPr="002215A7">
              <w:rPr>
                <w:rFonts w:ascii="Arial Narrow" w:hAnsi="Arial Narrow"/>
                <w:sz w:val="19"/>
                <w:szCs w:val="19"/>
              </w:rPr>
              <w:t xml:space="preserve">Cost-utility model with weighted cost/QALY </w:t>
            </w:r>
            <w:r w:rsidR="009679C3">
              <w:rPr>
                <w:rFonts w:ascii="Arial Narrow" w:hAnsi="Arial Narrow"/>
                <w:sz w:val="19"/>
                <w:szCs w:val="19"/>
              </w:rPr>
              <w:t xml:space="preserve">of </w:t>
            </w:r>
            <w:r w:rsidR="00023DE7">
              <w:rPr>
                <w:rFonts w:ascii="Arial Narrow" w:hAnsi="Arial Narrow"/>
                <w:noProof/>
                <w:color w:val="000000"/>
                <w:sz w:val="19"/>
                <w:szCs w:val="19"/>
                <w:highlight w:val="black"/>
              </w:rPr>
              <w:t xml:space="preserve">''''''''''''''''''''' </w:t>
            </w:r>
            <w:r w:rsidR="009679C3" w:rsidRPr="002776F4">
              <w:rPr>
                <w:rFonts w:ascii="Arial Narrow" w:hAnsi="Arial Narrow"/>
                <w:sz w:val="19"/>
                <w:szCs w:val="19"/>
              </w:rPr>
              <w:t>(</w:t>
            </w:r>
            <w:r w:rsidRPr="002776F4">
              <w:rPr>
                <w:rFonts w:ascii="Arial Narrow" w:hAnsi="Arial Narrow"/>
                <w:sz w:val="19"/>
                <w:szCs w:val="19"/>
              </w:rPr>
              <w:t xml:space="preserve">assuming </w:t>
            </w:r>
            <w:r w:rsidR="00023DE7">
              <w:rPr>
                <w:rFonts w:ascii="Arial Narrow" w:hAnsi="Arial Narrow"/>
                <w:noProof/>
                <w:color w:val="000000"/>
                <w:sz w:val="19"/>
                <w:szCs w:val="19"/>
                <w:highlight w:val="black"/>
              </w:rPr>
              <w:t>''''''</w:t>
            </w:r>
            <w:r w:rsidRPr="002776F4">
              <w:rPr>
                <w:rFonts w:ascii="Arial Narrow" w:hAnsi="Arial Narrow"/>
                <w:sz w:val="19"/>
                <w:szCs w:val="19"/>
              </w:rPr>
              <w:t xml:space="preserve">% intermediate-2 or high risk patients (ICER = </w:t>
            </w:r>
            <w:r w:rsidR="00023DE7">
              <w:rPr>
                <w:rFonts w:ascii="Arial Narrow" w:hAnsi="Arial Narrow"/>
                <w:noProof/>
                <w:color w:val="000000"/>
                <w:sz w:val="19"/>
                <w:szCs w:val="19"/>
                <w:highlight w:val="black"/>
              </w:rPr>
              <w:t>'''''''''''''''''''''''''''''''''''</w:t>
            </w:r>
            <w:r w:rsidRPr="002776F4">
              <w:rPr>
                <w:rFonts w:ascii="Arial Narrow" w:hAnsi="Arial Narrow"/>
                <w:sz w:val="19"/>
                <w:szCs w:val="19"/>
              </w:rPr>
              <w:t xml:space="preserve">) and </w:t>
            </w:r>
            <w:r w:rsidR="00023DE7">
              <w:rPr>
                <w:rFonts w:ascii="Arial Narrow" w:hAnsi="Arial Narrow"/>
                <w:noProof/>
                <w:color w:val="000000"/>
                <w:sz w:val="19"/>
                <w:szCs w:val="19"/>
                <w:highlight w:val="black"/>
              </w:rPr>
              <w:t>''''''</w:t>
            </w:r>
            <w:r w:rsidRPr="002776F4">
              <w:rPr>
                <w:rFonts w:ascii="Arial Narrow" w:hAnsi="Arial Narrow"/>
                <w:sz w:val="19"/>
                <w:szCs w:val="19"/>
              </w:rPr>
              <w:t xml:space="preserve">% intermediate-1 patients. (ICER = </w:t>
            </w:r>
            <w:r w:rsidR="00023DE7">
              <w:rPr>
                <w:rFonts w:ascii="Arial Narrow" w:hAnsi="Arial Narrow"/>
                <w:noProof/>
                <w:color w:val="000000"/>
                <w:sz w:val="19"/>
                <w:szCs w:val="19"/>
                <w:highlight w:val="black"/>
              </w:rPr>
              <w:t>''''''''''''''''''''''''''''''''''''</w:t>
            </w:r>
            <w:r w:rsidRPr="002776F4">
              <w:rPr>
                <w:rFonts w:ascii="Arial Narrow" w:hAnsi="Arial Narrow"/>
                <w:sz w:val="19"/>
                <w:szCs w:val="19"/>
              </w:rPr>
              <w:t>)</w:t>
            </w:r>
            <w:r w:rsidR="009679C3" w:rsidRPr="002776F4">
              <w:rPr>
                <w:rFonts w:ascii="Arial Narrow" w:hAnsi="Arial Narrow"/>
                <w:sz w:val="19"/>
                <w:szCs w:val="19"/>
              </w:rPr>
              <w:t>)</w:t>
            </w:r>
          </w:p>
        </w:tc>
      </w:tr>
      <w:tr w:rsidR="002215A7" w:rsidRPr="002215A7" w:rsidTr="00BC0026">
        <w:trPr>
          <w:trHeight w:val="845"/>
        </w:trPr>
        <w:tc>
          <w:tcPr>
            <w:tcW w:w="992" w:type="dxa"/>
          </w:tcPr>
          <w:p w:rsidR="001D112E" w:rsidRPr="002215A7" w:rsidRDefault="001D112E" w:rsidP="00AA0A07">
            <w:pPr>
              <w:jc w:val="left"/>
              <w:rPr>
                <w:rFonts w:ascii="Arial Narrow" w:hAnsi="Arial Narrow"/>
                <w:sz w:val="19"/>
                <w:szCs w:val="19"/>
              </w:rPr>
            </w:pPr>
            <w:r w:rsidRPr="002215A7">
              <w:rPr>
                <w:rFonts w:ascii="Arial Narrow" w:hAnsi="Arial Narrow"/>
                <w:sz w:val="19"/>
                <w:szCs w:val="19"/>
              </w:rPr>
              <w:t>Number of patients</w:t>
            </w:r>
          </w:p>
        </w:tc>
        <w:tc>
          <w:tcPr>
            <w:tcW w:w="4120" w:type="dxa"/>
          </w:tcPr>
          <w:p w:rsidR="001D112E" w:rsidRPr="002215A7" w:rsidRDefault="00023DE7" w:rsidP="004910A2">
            <w:pPr>
              <w:jc w:val="left"/>
              <w:rPr>
                <w:rFonts w:ascii="Arial Narrow" w:hAnsi="Arial Narrow"/>
                <w:sz w:val="19"/>
                <w:szCs w:val="19"/>
              </w:rPr>
            </w:pPr>
            <w:r>
              <w:rPr>
                <w:rFonts w:ascii="Arial Narrow" w:hAnsi="Arial Narrow"/>
                <w:noProof/>
                <w:color w:val="000000"/>
                <w:sz w:val="19"/>
                <w:szCs w:val="19"/>
                <w:highlight w:val="black"/>
              </w:rPr>
              <w:t>''''''''''</w:t>
            </w:r>
            <w:r w:rsidR="001D112E" w:rsidRPr="002215A7">
              <w:rPr>
                <w:rFonts w:ascii="Arial Narrow" w:hAnsi="Arial Narrow"/>
                <w:sz w:val="19"/>
                <w:szCs w:val="19"/>
              </w:rPr>
              <w:t xml:space="preserve"> in Year 1 increasing to </w:t>
            </w:r>
            <w:r>
              <w:rPr>
                <w:rFonts w:ascii="Arial Narrow" w:hAnsi="Arial Narrow"/>
                <w:noProof/>
                <w:color w:val="000000"/>
                <w:sz w:val="19"/>
                <w:szCs w:val="19"/>
                <w:highlight w:val="black"/>
              </w:rPr>
              <w:t>''''''''''''</w:t>
            </w:r>
            <w:r w:rsidR="001D112E" w:rsidRPr="002215A7">
              <w:rPr>
                <w:rFonts w:ascii="Arial Narrow" w:hAnsi="Arial Narrow"/>
                <w:sz w:val="19"/>
                <w:szCs w:val="19"/>
              </w:rPr>
              <w:t xml:space="preserve"> in Year 5.</w:t>
            </w:r>
          </w:p>
          <w:p w:rsidR="001D112E" w:rsidRPr="002215A7" w:rsidRDefault="001D112E" w:rsidP="00AA0A07">
            <w:pPr>
              <w:jc w:val="left"/>
              <w:rPr>
                <w:rFonts w:ascii="Arial Narrow" w:hAnsi="Arial Narrow"/>
                <w:b/>
                <w:sz w:val="19"/>
                <w:szCs w:val="19"/>
              </w:rPr>
            </w:pPr>
          </w:p>
          <w:p w:rsidR="001D112E" w:rsidRPr="002215A7" w:rsidRDefault="001D112E" w:rsidP="002215A7">
            <w:pPr>
              <w:jc w:val="left"/>
              <w:rPr>
                <w:rFonts w:ascii="Arial Narrow" w:hAnsi="Arial Narrow"/>
                <w:sz w:val="19"/>
                <w:szCs w:val="19"/>
              </w:rPr>
            </w:pPr>
            <w:r w:rsidRPr="002215A7">
              <w:rPr>
                <w:rFonts w:ascii="Arial Narrow" w:hAnsi="Arial Narrow"/>
                <w:b/>
                <w:sz w:val="19"/>
                <w:szCs w:val="19"/>
              </w:rPr>
              <w:t>PBAC Comment:</w:t>
            </w:r>
            <w:r w:rsidR="002215A7" w:rsidRPr="002215A7">
              <w:rPr>
                <w:rFonts w:ascii="Arial Narrow" w:hAnsi="Arial Narrow"/>
                <w:b/>
                <w:sz w:val="19"/>
                <w:szCs w:val="19"/>
              </w:rPr>
              <w:t xml:space="preserve"> </w:t>
            </w:r>
            <w:r w:rsidR="002215A7" w:rsidRPr="002215A7">
              <w:rPr>
                <w:rFonts w:ascii="Arial Narrow" w:hAnsi="Arial Narrow"/>
                <w:sz w:val="19"/>
                <w:szCs w:val="19"/>
              </w:rPr>
              <w:t xml:space="preserve">DUSC considered the method used by the re-submission produced implausibly high prevalence in later years and requested that the number of patients be estimated based on literature prevalence each year rather than carried forward from the previous year </w:t>
            </w:r>
          </w:p>
        </w:tc>
        <w:tc>
          <w:tcPr>
            <w:tcW w:w="3331" w:type="dxa"/>
          </w:tcPr>
          <w:p w:rsidR="0025603B" w:rsidRDefault="00023DE7" w:rsidP="004910A2">
            <w:pPr>
              <w:jc w:val="left"/>
              <w:rPr>
                <w:rFonts w:ascii="Arial Narrow" w:hAnsi="Arial Narrow"/>
                <w:sz w:val="19"/>
                <w:szCs w:val="19"/>
              </w:rPr>
            </w:pPr>
            <w:r>
              <w:rPr>
                <w:rFonts w:ascii="Arial Narrow" w:hAnsi="Arial Narrow"/>
                <w:noProof/>
                <w:color w:val="000000"/>
                <w:sz w:val="19"/>
                <w:szCs w:val="19"/>
                <w:highlight w:val="black"/>
              </w:rPr>
              <w:t>'''''''''</w:t>
            </w:r>
            <w:r w:rsidR="001D112E" w:rsidRPr="002215A7">
              <w:rPr>
                <w:rFonts w:ascii="Arial Narrow" w:hAnsi="Arial Narrow"/>
                <w:sz w:val="19"/>
                <w:szCs w:val="19"/>
              </w:rPr>
              <w:t xml:space="preserve"> in Year 1 increasing to </w:t>
            </w:r>
            <w:r>
              <w:rPr>
                <w:rFonts w:ascii="Arial Narrow" w:hAnsi="Arial Narrow"/>
                <w:noProof/>
                <w:color w:val="000000"/>
                <w:sz w:val="19"/>
                <w:szCs w:val="19"/>
                <w:highlight w:val="black"/>
              </w:rPr>
              <w:t>''''''''''''</w:t>
            </w:r>
            <w:r w:rsidR="001D112E" w:rsidRPr="002215A7">
              <w:rPr>
                <w:rFonts w:ascii="Arial Narrow" w:hAnsi="Arial Narrow"/>
                <w:sz w:val="19"/>
                <w:szCs w:val="19"/>
              </w:rPr>
              <w:t xml:space="preserve"> in Year 5</w:t>
            </w:r>
            <w:r w:rsidR="002215A7" w:rsidRPr="002215A7">
              <w:rPr>
                <w:rFonts w:ascii="Arial Narrow" w:hAnsi="Arial Narrow"/>
                <w:sz w:val="19"/>
                <w:szCs w:val="19"/>
              </w:rPr>
              <w:t xml:space="preserve"> using the same methodology as previous re-submission</w:t>
            </w:r>
            <w:r w:rsidR="0025603B">
              <w:rPr>
                <w:rFonts w:ascii="Arial Narrow" w:hAnsi="Arial Narrow"/>
                <w:sz w:val="19"/>
                <w:szCs w:val="19"/>
              </w:rPr>
              <w:t xml:space="preserve">. </w:t>
            </w:r>
          </w:p>
          <w:p w:rsidR="0025603B" w:rsidRDefault="0025603B" w:rsidP="004910A2">
            <w:pPr>
              <w:jc w:val="left"/>
              <w:rPr>
                <w:rFonts w:ascii="Arial Narrow" w:hAnsi="Arial Narrow"/>
                <w:sz w:val="19"/>
                <w:szCs w:val="19"/>
              </w:rPr>
            </w:pPr>
          </w:p>
          <w:p w:rsidR="001D112E" w:rsidRDefault="0025603B" w:rsidP="004910A2">
            <w:pPr>
              <w:jc w:val="left"/>
              <w:rPr>
                <w:rFonts w:ascii="Arial Narrow" w:hAnsi="Arial Narrow"/>
                <w:sz w:val="19"/>
                <w:szCs w:val="19"/>
              </w:rPr>
            </w:pPr>
            <w:r>
              <w:rPr>
                <w:rFonts w:ascii="Arial Narrow" w:hAnsi="Arial Narrow"/>
                <w:sz w:val="19"/>
                <w:szCs w:val="19"/>
              </w:rPr>
              <w:t xml:space="preserve">This submission </w:t>
            </w:r>
            <w:r w:rsidR="00D448D9">
              <w:rPr>
                <w:rFonts w:ascii="Arial Narrow" w:hAnsi="Arial Narrow"/>
                <w:sz w:val="19"/>
                <w:szCs w:val="19"/>
              </w:rPr>
              <w:t xml:space="preserve">however </w:t>
            </w:r>
            <w:r>
              <w:rPr>
                <w:rFonts w:ascii="Arial Narrow" w:hAnsi="Arial Narrow"/>
                <w:sz w:val="19"/>
                <w:szCs w:val="19"/>
              </w:rPr>
              <w:t>has:</w:t>
            </w:r>
          </w:p>
          <w:p w:rsidR="0025603B" w:rsidRPr="0025603B" w:rsidRDefault="0025603B" w:rsidP="0025603B">
            <w:pPr>
              <w:jc w:val="left"/>
              <w:rPr>
                <w:rFonts w:ascii="Arial Narrow" w:hAnsi="Arial Narrow"/>
                <w:sz w:val="19"/>
                <w:szCs w:val="19"/>
              </w:rPr>
            </w:pPr>
            <w:r>
              <w:rPr>
                <w:rFonts w:ascii="Arial Narrow" w:hAnsi="Arial Narrow"/>
                <w:sz w:val="19"/>
                <w:szCs w:val="19"/>
              </w:rPr>
              <w:t xml:space="preserve">• </w:t>
            </w:r>
            <w:r w:rsidRPr="0025603B">
              <w:rPr>
                <w:rFonts w:ascii="Arial Narrow" w:hAnsi="Arial Narrow"/>
                <w:sz w:val="19"/>
                <w:szCs w:val="19"/>
              </w:rPr>
              <w:t>A revised prevalence figure of 3.82/10</w:t>
            </w:r>
            <w:r w:rsidR="00721CE3">
              <w:rPr>
                <w:rFonts w:ascii="Arial Narrow" w:hAnsi="Arial Narrow"/>
                <w:sz w:val="19"/>
                <w:szCs w:val="19"/>
              </w:rPr>
              <w:t>0,000, reduced from 4.6/100,000;</w:t>
            </w:r>
            <w:r w:rsidR="0033724F">
              <w:rPr>
                <w:rFonts w:ascii="Arial Narrow" w:hAnsi="Arial Narrow"/>
                <w:sz w:val="19"/>
                <w:szCs w:val="19"/>
              </w:rPr>
              <w:t xml:space="preserve"> and</w:t>
            </w:r>
          </w:p>
          <w:p w:rsidR="00FB6927" w:rsidRPr="002215A7" w:rsidRDefault="0025603B" w:rsidP="00130EC9">
            <w:pPr>
              <w:jc w:val="left"/>
              <w:rPr>
                <w:rFonts w:ascii="Arial Narrow" w:hAnsi="Arial Narrow"/>
                <w:sz w:val="19"/>
                <w:szCs w:val="19"/>
              </w:rPr>
            </w:pPr>
            <w:r w:rsidRPr="0025603B">
              <w:rPr>
                <w:rFonts w:ascii="Arial Narrow" w:hAnsi="Arial Narrow"/>
                <w:sz w:val="19"/>
                <w:szCs w:val="19"/>
              </w:rPr>
              <w:t>•</w:t>
            </w:r>
            <w:r>
              <w:rPr>
                <w:rFonts w:ascii="Arial Narrow" w:hAnsi="Arial Narrow"/>
                <w:sz w:val="19"/>
                <w:szCs w:val="19"/>
              </w:rPr>
              <w:t xml:space="preserve"> </w:t>
            </w:r>
            <w:r w:rsidRPr="0025603B">
              <w:rPr>
                <w:rFonts w:ascii="Arial Narrow" w:hAnsi="Arial Narrow"/>
                <w:sz w:val="19"/>
                <w:szCs w:val="19"/>
              </w:rPr>
              <w:t>A revised incidence figure of</w:t>
            </w:r>
            <w:r w:rsidR="00A106CE">
              <w:rPr>
                <w:rFonts w:ascii="Arial Narrow" w:hAnsi="Arial Narrow"/>
                <w:sz w:val="19"/>
                <w:szCs w:val="19"/>
              </w:rPr>
              <w:t xml:space="preserve"> 1.</w:t>
            </w:r>
            <w:r w:rsidR="00130EC9">
              <w:rPr>
                <w:rFonts w:ascii="Arial Narrow" w:hAnsi="Arial Narrow"/>
                <w:sz w:val="19"/>
                <w:szCs w:val="19"/>
              </w:rPr>
              <w:t>7</w:t>
            </w:r>
            <w:r w:rsidR="00434A68">
              <w:rPr>
                <w:rFonts w:ascii="Arial Narrow" w:hAnsi="Arial Narrow"/>
                <w:sz w:val="19"/>
                <w:szCs w:val="19"/>
              </w:rPr>
              <w:t>/100,000</w:t>
            </w:r>
            <w:r w:rsidR="000A2291">
              <w:rPr>
                <w:rFonts w:ascii="Arial Narrow" w:hAnsi="Arial Narrow"/>
                <w:sz w:val="19"/>
                <w:szCs w:val="19"/>
              </w:rPr>
              <w:t xml:space="preserve">, </w:t>
            </w:r>
            <w:r w:rsidR="00130EC9">
              <w:rPr>
                <w:rFonts w:ascii="Arial Narrow" w:hAnsi="Arial Narrow"/>
                <w:sz w:val="19"/>
                <w:szCs w:val="19"/>
              </w:rPr>
              <w:t xml:space="preserve">increased </w:t>
            </w:r>
            <w:r w:rsidR="000A2291">
              <w:rPr>
                <w:rFonts w:ascii="Arial Narrow" w:hAnsi="Arial Narrow"/>
                <w:sz w:val="19"/>
                <w:szCs w:val="19"/>
              </w:rPr>
              <w:t xml:space="preserve">from 1.5/100 000. </w:t>
            </w:r>
          </w:p>
        </w:tc>
      </w:tr>
      <w:tr w:rsidR="002215A7" w:rsidRPr="002215A7" w:rsidTr="00BC0026">
        <w:trPr>
          <w:trHeight w:val="479"/>
        </w:trPr>
        <w:tc>
          <w:tcPr>
            <w:tcW w:w="992" w:type="dxa"/>
          </w:tcPr>
          <w:p w:rsidR="001D112E" w:rsidRPr="002215A7" w:rsidRDefault="001D112E" w:rsidP="00AA0A07">
            <w:pPr>
              <w:jc w:val="left"/>
              <w:rPr>
                <w:rFonts w:ascii="Arial Narrow" w:hAnsi="Arial Narrow"/>
                <w:sz w:val="19"/>
                <w:szCs w:val="19"/>
              </w:rPr>
            </w:pPr>
            <w:r w:rsidRPr="002215A7">
              <w:rPr>
                <w:rFonts w:ascii="Arial Narrow" w:hAnsi="Arial Narrow"/>
                <w:sz w:val="19"/>
                <w:szCs w:val="19"/>
              </w:rPr>
              <w:t>Estimated cost to PBS</w:t>
            </w:r>
          </w:p>
        </w:tc>
        <w:tc>
          <w:tcPr>
            <w:tcW w:w="4120" w:type="dxa"/>
          </w:tcPr>
          <w:p w:rsidR="001D112E" w:rsidRPr="00E37DFB" w:rsidRDefault="002215A7" w:rsidP="002215A7">
            <w:pPr>
              <w:jc w:val="left"/>
              <w:rPr>
                <w:rFonts w:ascii="Arial Narrow" w:hAnsi="Arial Narrow"/>
                <w:sz w:val="19"/>
                <w:szCs w:val="19"/>
              </w:rPr>
            </w:pPr>
            <w:r w:rsidRPr="00E37DFB">
              <w:rPr>
                <w:rFonts w:ascii="Arial Narrow" w:hAnsi="Arial Narrow"/>
                <w:sz w:val="19"/>
                <w:szCs w:val="19"/>
              </w:rPr>
              <w:t>$</w:t>
            </w:r>
            <w:r w:rsidR="00023DE7">
              <w:rPr>
                <w:rFonts w:ascii="Arial Narrow" w:hAnsi="Arial Narrow"/>
                <w:noProof/>
                <w:color w:val="000000"/>
                <w:sz w:val="19"/>
                <w:szCs w:val="19"/>
                <w:highlight w:val="black"/>
              </w:rPr>
              <w:t>''''''''''''''''''''''''''</w:t>
            </w:r>
            <w:r w:rsidRPr="00E37DFB">
              <w:rPr>
                <w:rFonts w:ascii="Arial Narrow" w:hAnsi="Arial Narrow"/>
                <w:sz w:val="19"/>
                <w:szCs w:val="19"/>
              </w:rPr>
              <w:t xml:space="preserve"> </w:t>
            </w:r>
            <w:r w:rsidR="001D112E" w:rsidRPr="00E37DFB">
              <w:rPr>
                <w:rFonts w:ascii="Arial Narrow" w:hAnsi="Arial Narrow"/>
                <w:sz w:val="19"/>
                <w:szCs w:val="19"/>
              </w:rPr>
              <w:t>in Year 1 increasing to $</w:t>
            </w:r>
            <w:r w:rsidR="00023DE7">
              <w:rPr>
                <w:rFonts w:ascii="Arial Narrow" w:hAnsi="Arial Narrow"/>
                <w:noProof/>
                <w:color w:val="000000"/>
                <w:sz w:val="19"/>
                <w:szCs w:val="19"/>
                <w:highlight w:val="black"/>
              </w:rPr>
              <w:t>'''''''''''''''''''''''''''</w:t>
            </w:r>
            <w:r w:rsidR="001D112E" w:rsidRPr="00E37DFB">
              <w:rPr>
                <w:rFonts w:ascii="Arial Narrow" w:hAnsi="Arial Narrow"/>
                <w:sz w:val="19"/>
                <w:szCs w:val="19"/>
              </w:rPr>
              <w:t xml:space="preserve"> in Year 5 for a total of </w:t>
            </w:r>
            <w:r w:rsidRPr="00E37DFB">
              <w:rPr>
                <w:rFonts w:ascii="Arial Narrow" w:hAnsi="Arial Narrow"/>
                <w:sz w:val="19"/>
                <w:szCs w:val="19"/>
              </w:rPr>
              <w:t>$</w:t>
            </w:r>
            <w:r w:rsidR="00023DE7">
              <w:rPr>
                <w:rFonts w:ascii="Arial Narrow" w:hAnsi="Arial Narrow"/>
                <w:noProof/>
                <w:color w:val="000000"/>
                <w:sz w:val="19"/>
                <w:szCs w:val="19"/>
                <w:highlight w:val="black"/>
              </w:rPr>
              <w:t>'''''''''''''''''''''''''''</w:t>
            </w:r>
            <w:r w:rsidR="001D112E" w:rsidRPr="00E37DFB">
              <w:rPr>
                <w:rFonts w:ascii="Arial Narrow" w:hAnsi="Arial Narrow"/>
                <w:sz w:val="19"/>
                <w:szCs w:val="19"/>
              </w:rPr>
              <w:t xml:space="preserve"> over the first 5 years of listing.</w:t>
            </w:r>
          </w:p>
          <w:p w:rsidR="001D112E" w:rsidRPr="00E37DFB" w:rsidRDefault="001D112E" w:rsidP="00AA0A07">
            <w:pPr>
              <w:jc w:val="left"/>
              <w:rPr>
                <w:rFonts w:ascii="Arial Narrow" w:hAnsi="Arial Narrow"/>
                <w:sz w:val="19"/>
                <w:szCs w:val="19"/>
              </w:rPr>
            </w:pPr>
          </w:p>
        </w:tc>
        <w:tc>
          <w:tcPr>
            <w:tcW w:w="3331" w:type="dxa"/>
          </w:tcPr>
          <w:p w:rsidR="001D112E" w:rsidRPr="00E37DFB" w:rsidRDefault="002215A7" w:rsidP="00434A68">
            <w:pPr>
              <w:jc w:val="left"/>
              <w:rPr>
                <w:rFonts w:ascii="Arial Narrow" w:hAnsi="Arial Narrow"/>
                <w:sz w:val="19"/>
                <w:szCs w:val="19"/>
              </w:rPr>
            </w:pPr>
            <w:r w:rsidRPr="00E37DFB">
              <w:rPr>
                <w:rFonts w:ascii="Arial Narrow" w:hAnsi="Arial Narrow"/>
                <w:sz w:val="19"/>
                <w:szCs w:val="19"/>
              </w:rPr>
              <w:t>$</w:t>
            </w:r>
            <w:r w:rsidR="00023DE7">
              <w:rPr>
                <w:rFonts w:ascii="Arial Narrow" w:hAnsi="Arial Narrow"/>
                <w:noProof/>
                <w:color w:val="000000"/>
                <w:sz w:val="19"/>
                <w:szCs w:val="19"/>
                <w:highlight w:val="black"/>
              </w:rPr>
              <w:t>'''''''''''''''''''''''''</w:t>
            </w:r>
            <w:r w:rsidRPr="00E37DFB">
              <w:rPr>
                <w:rFonts w:ascii="Arial Narrow" w:hAnsi="Arial Narrow"/>
                <w:sz w:val="19"/>
                <w:szCs w:val="19"/>
              </w:rPr>
              <w:t xml:space="preserve"> in Year 1 increasing to $</w:t>
            </w:r>
            <w:r w:rsidR="00023DE7">
              <w:rPr>
                <w:rFonts w:ascii="Arial Narrow" w:hAnsi="Arial Narrow"/>
                <w:noProof/>
                <w:color w:val="000000"/>
                <w:sz w:val="19"/>
                <w:szCs w:val="19"/>
                <w:highlight w:val="black"/>
              </w:rPr>
              <w:t>'''''''''''''''''''''''''''''</w:t>
            </w:r>
            <w:r w:rsidR="00434A68" w:rsidRPr="00E37DFB">
              <w:rPr>
                <w:rFonts w:ascii="Arial Narrow" w:hAnsi="Arial Narrow"/>
                <w:sz w:val="19"/>
                <w:szCs w:val="19"/>
              </w:rPr>
              <w:t xml:space="preserve"> </w:t>
            </w:r>
            <w:r w:rsidRPr="00E37DFB">
              <w:rPr>
                <w:rFonts w:ascii="Arial Narrow" w:hAnsi="Arial Narrow"/>
                <w:sz w:val="19"/>
                <w:szCs w:val="19"/>
              </w:rPr>
              <w:t>in Year 5 for a total of $</w:t>
            </w:r>
            <w:r w:rsidR="00023DE7">
              <w:rPr>
                <w:rFonts w:ascii="Arial Narrow" w:hAnsi="Arial Narrow"/>
                <w:noProof/>
                <w:color w:val="000000"/>
                <w:sz w:val="19"/>
                <w:szCs w:val="19"/>
                <w:highlight w:val="black"/>
              </w:rPr>
              <w:t>''''''''''''''''''''''''''''''</w:t>
            </w:r>
            <w:r w:rsidRPr="00E37DFB">
              <w:rPr>
                <w:rFonts w:ascii="Arial Narrow" w:hAnsi="Arial Narrow"/>
                <w:sz w:val="19"/>
                <w:szCs w:val="19"/>
              </w:rPr>
              <w:t xml:space="preserve"> over the first 5 years of listing.</w:t>
            </w:r>
          </w:p>
        </w:tc>
      </w:tr>
      <w:tr w:rsidR="002215A7" w:rsidRPr="002215A7" w:rsidTr="00BC0026">
        <w:trPr>
          <w:trHeight w:val="438"/>
        </w:trPr>
        <w:tc>
          <w:tcPr>
            <w:tcW w:w="992" w:type="dxa"/>
          </w:tcPr>
          <w:p w:rsidR="001D112E" w:rsidRPr="002215A7" w:rsidRDefault="001D112E" w:rsidP="00AA0A07">
            <w:pPr>
              <w:jc w:val="left"/>
              <w:rPr>
                <w:rFonts w:ascii="Arial Narrow" w:hAnsi="Arial Narrow"/>
                <w:sz w:val="19"/>
                <w:szCs w:val="19"/>
              </w:rPr>
            </w:pPr>
            <w:r w:rsidRPr="002215A7">
              <w:rPr>
                <w:rFonts w:ascii="Arial Narrow" w:hAnsi="Arial Narrow"/>
              </w:rPr>
              <w:br w:type="page"/>
            </w:r>
            <w:r w:rsidRPr="002215A7">
              <w:rPr>
                <w:rFonts w:ascii="Arial Narrow" w:hAnsi="Arial Narrow"/>
                <w:sz w:val="19"/>
                <w:szCs w:val="19"/>
              </w:rPr>
              <w:t>PBAC decision</w:t>
            </w:r>
          </w:p>
        </w:tc>
        <w:tc>
          <w:tcPr>
            <w:tcW w:w="4120" w:type="dxa"/>
          </w:tcPr>
          <w:p w:rsidR="001D112E" w:rsidRPr="002215A7" w:rsidRDefault="002215A7" w:rsidP="00AA0A07">
            <w:pPr>
              <w:jc w:val="left"/>
              <w:rPr>
                <w:rFonts w:ascii="Arial Narrow" w:hAnsi="Arial Narrow"/>
                <w:sz w:val="19"/>
                <w:szCs w:val="19"/>
              </w:rPr>
            </w:pPr>
            <w:r w:rsidRPr="002215A7">
              <w:rPr>
                <w:rFonts w:ascii="Arial Narrow" w:hAnsi="Arial Narrow"/>
                <w:sz w:val="19"/>
                <w:szCs w:val="19"/>
              </w:rPr>
              <w:t>The PBAC deferred the proposed Authority Required listing for ruxolitinib for second line management of myelofibrosis in patients satisfying certain clinical criteria due to a lack of clarity around the appropriate clinical place of ruxolitinib in Australian practice, concerns regarding the proposed restriction, and an unacceptably high price. Each of these matters precluded the committee from reaching a conclusion that ruxolitinib was cost-effective. (7.1, PBAC minutes, July 2014)</w:t>
            </w:r>
          </w:p>
        </w:tc>
        <w:tc>
          <w:tcPr>
            <w:tcW w:w="3331" w:type="dxa"/>
          </w:tcPr>
          <w:p w:rsidR="001D112E" w:rsidRPr="002215A7" w:rsidRDefault="001D112E" w:rsidP="00AA0A07">
            <w:pPr>
              <w:jc w:val="left"/>
              <w:rPr>
                <w:rFonts w:ascii="Arial Narrow" w:hAnsi="Arial Narrow"/>
                <w:sz w:val="19"/>
                <w:szCs w:val="19"/>
              </w:rPr>
            </w:pPr>
            <w:r w:rsidRPr="002215A7">
              <w:rPr>
                <w:rFonts w:ascii="Arial Narrow" w:hAnsi="Arial Narrow"/>
                <w:sz w:val="19"/>
                <w:szCs w:val="19"/>
              </w:rPr>
              <w:t>-</w:t>
            </w:r>
          </w:p>
        </w:tc>
      </w:tr>
    </w:tbl>
    <w:p w:rsidR="00675DDF" w:rsidRPr="003F31C5" w:rsidRDefault="001D112E" w:rsidP="00790189">
      <w:pPr>
        <w:pStyle w:val="TableFooter"/>
        <w:ind w:firstLine="720"/>
        <w:rPr>
          <w:sz w:val="20"/>
        </w:rPr>
      </w:pPr>
      <w:r w:rsidRPr="003F31C5">
        <w:rPr>
          <w:sz w:val="20"/>
        </w:rPr>
        <w:t>Source: Compiled during the evaluation</w:t>
      </w:r>
    </w:p>
    <w:p w:rsidR="001B6188" w:rsidRPr="00882085" w:rsidRDefault="001B6188" w:rsidP="00497F10"/>
    <w:p w:rsidR="00F338FF" w:rsidRPr="00407F2D" w:rsidRDefault="00F338FF" w:rsidP="005D7E3E">
      <w:pPr>
        <w:pStyle w:val="PBACheading1"/>
        <w:rPr>
          <w:b/>
        </w:rPr>
      </w:pPr>
      <w:bookmarkStart w:id="4" w:name="_Toc408474957"/>
      <w:r w:rsidRPr="00407F2D">
        <w:rPr>
          <w:b/>
        </w:rPr>
        <w:t>Clinical place for the proposed therapy</w:t>
      </w:r>
      <w:bookmarkEnd w:id="4"/>
    </w:p>
    <w:p w:rsidR="00B60939" w:rsidRPr="00CD5C10" w:rsidRDefault="00B60939" w:rsidP="00B60939">
      <w:pPr>
        <w:rPr>
          <w:szCs w:val="22"/>
        </w:rPr>
      </w:pPr>
    </w:p>
    <w:p w:rsidR="00497F10" w:rsidRPr="00675DDF" w:rsidRDefault="00CD5C10" w:rsidP="004D64A8">
      <w:pPr>
        <w:pStyle w:val="ListParagraph"/>
        <w:widowControl/>
        <w:numPr>
          <w:ilvl w:val="1"/>
          <w:numId w:val="1"/>
        </w:numPr>
        <w:rPr>
          <w:szCs w:val="22"/>
        </w:rPr>
      </w:pPr>
      <w:r w:rsidRPr="009C6BA2">
        <w:t>Myelofibrosis (MF) is a rare, debilitating neoplasm associated with substantial morbidity and mortality.  The</w:t>
      </w:r>
      <w:r w:rsidR="009679C3" w:rsidRPr="009C6BA2">
        <w:t xml:space="preserve"> re-submission </w:t>
      </w:r>
      <w:r w:rsidR="007C6240">
        <w:t>sought</w:t>
      </w:r>
      <w:r w:rsidR="009679C3" w:rsidRPr="009C6BA2">
        <w:t xml:space="preserve"> first-</w:t>
      </w:r>
      <w:r w:rsidRPr="009C6BA2">
        <w:t>line treatment for patients with intermediate-2 risk or high-risk MF (in accordance with IPSS, DIPSS or aaDIPSS) who are experiencing MF related symptoms and for patients with intermediate-1 risk MF who are experiencing severe MF related symptoms which are resistant, refractory, intolerant or not a candidate for available therapy.  In comparison, the previous re-submission requested second line treatment for patients with intermediate-2 risk or high-risk myelofibrosis (in accordance with IPSS) who are resistant refractory, or intolerant or not a candidate for available therapy.</w:t>
      </w:r>
    </w:p>
    <w:p w:rsidR="00675DDF" w:rsidRPr="009C6BA2" w:rsidRDefault="00675DDF" w:rsidP="00E32141">
      <w:pPr>
        <w:pStyle w:val="PBACheading1"/>
        <w:numPr>
          <w:ilvl w:val="0"/>
          <w:numId w:val="0"/>
        </w:numPr>
      </w:pPr>
    </w:p>
    <w:p w:rsidR="00675DDF" w:rsidRPr="00675DDF" w:rsidRDefault="00675DDF" w:rsidP="00675DDF">
      <w:pPr>
        <w:pStyle w:val="ListParagraph"/>
        <w:ind w:left="0"/>
        <w:rPr>
          <w:i/>
          <w:szCs w:val="22"/>
        </w:rPr>
      </w:pPr>
      <w:r w:rsidRPr="00A922BC">
        <w:rPr>
          <w:i/>
          <w:szCs w:val="22"/>
        </w:rPr>
        <w:lastRenderedPageBreak/>
        <w:t>For more detail on PBAC’s view, see section 7 “PBAC outcome”</w:t>
      </w:r>
    </w:p>
    <w:p w:rsidR="001B6188" w:rsidRPr="00882085" w:rsidRDefault="001B6188" w:rsidP="00E469F4">
      <w:pPr>
        <w:pStyle w:val="ListParagraph"/>
        <w:ind w:left="0"/>
        <w:rPr>
          <w:szCs w:val="22"/>
        </w:rPr>
      </w:pPr>
    </w:p>
    <w:p w:rsidR="00F338FF" w:rsidRPr="00407F2D" w:rsidRDefault="00F338FF" w:rsidP="00C91094">
      <w:pPr>
        <w:pStyle w:val="PBACheading1"/>
        <w:keepNext/>
        <w:keepLines/>
        <w:rPr>
          <w:b/>
        </w:rPr>
      </w:pPr>
      <w:bookmarkStart w:id="5" w:name="_Toc408474958"/>
      <w:r w:rsidRPr="00407F2D">
        <w:rPr>
          <w:b/>
        </w:rPr>
        <w:t>Comparator</w:t>
      </w:r>
      <w:bookmarkEnd w:id="5"/>
    </w:p>
    <w:p w:rsidR="00497F10" w:rsidRPr="00882085" w:rsidRDefault="00497F10" w:rsidP="00C91094">
      <w:pPr>
        <w:keepNext/>
        <w:keepLines/>
      </w:pPr>
    </w:p>
    <w:p w:rsidR="00C34E09" w:rsidRPr="00C34E09" w:rsidRDefault="00A91B50" w:rsidP="00C34E09">
      <w:pPr>
        <w:pStyle w:val="ListParagraph"/>
        <w:keepNext/>
        <w:keepLines/>
        <w:widowControl/>
        <w:numPr>
          <w:ilvl w:val="1"/>
          <w:numId w:val="1"/>
        </w:numPr>
      </w:pPr>
      <w:r w:rsidRPr="00A91B50">
        <w:t xml:space="preserve">The nominated comparator </w:t>
      </w:r>
      <w:r w:rsidR="00B01353">
        <w:t>was</w:t>
      </w:r>
      <w:r w:rsidRPr="00A91B50">
        <w:t xml:space="preserve"> placebo or best supportive care</w:t>
      </w:r>
      <w:r w:rsidRPr="00A91B50">
        <w:rPr>
          <w:color w:val="3366FF"/>
        </w:rPr>
        <w:t xml:space="preserve">. </w:t>
      </w:r>
      <w:r w:rsidR="0091734A" w:rsidRPr="00272ED1">
        <w:t xml:space="preserve">While </w:t>
      </w:r>
      <w:r w:rsidR="00314C4C" w:rsidRPr="00272ED1">
        <w:t>the ESC acknowledged</w:t>
      </w:r>
      <w:r w:rsidR="0091734A" w:rsidRPr="00272ED1">
        <w:t xml:space="preserve"> that best available therapy (BAT) may be a more appropriate comparator for the </w:t>
      </w:r>
      <w:r w:rsidR="00314C4C" w:rsidRPr="00272ED1">
        <w:t>first-</w:t>
      </w:r>
      <w:r w:rsidR="0091734A" w:rsidRPr="00272ED1">
        <w:t>line therapy</w:t>
      </w:r>
      <w:r w:rsidR="00314C4C" w:rsidRPr="00272ED1">
        <w:t xml:space="preserve"> request, </w:t>
      </w:r>
      <w:r w:rsidR="00314C4C" w:rsidRPr="00272ED1">
        <w:rPr>
          <w:iCs/>
        </w:rPr>
        <w:t>it was considered that the comparator choice was reasonable</w:t>
      </w:r>
      <w:r w:rsidR="00314C4C">
        <w:rPr>
          <w:i/>
          <w:iCs/>
        </w:rPr>
        <w:t xml:space="preserve"> </w:t>
      </w:r>
      <w:r w:rsidR="00314C4C">
        <w:rPr>
          <w:iCs/>
        </w:rPr>
        <w:t>a</w:t>
      </w:r>
      <w:r w:rsidR="0000373E">
        <w:rPr>
          <w:iCs/>
        </w:rPr>
        <w:t>s</w:t>
      </w:r>
      <w:r w:rsidRPr="009C6BA2">
        <w:rPr>
          <w:iCs/>
        </w:rPr>
        <w:t xml:space="preserve"> the benefits of ruxolitinib over placebo as measured by survival in COMFORT-I </w:t>
      </w:r>
      <w:r w:rsidR="00314C4C">
        <w:rPr>
          <w:iCs/>
        </w:rPr>
        <w:t>were similar</w:t>
      </w:r>
      <w:r w:rsidRPr="009C6BA2">
        <w:rPr>
          <w:iCs/>
        </w:rPr>
        <w:t xml:space="preserve"> to the benefit of ruxolitinib over BAT in COMFORT-II</w:t>
      </w:r>
      <w:r w:rsidR="004B2F68">
        <w:rPr>
          <w:iCs/>
        </w:rPr>
        <w:t>.</w:t>
      </w:r>
    </w:p>
    <w:p w:rsidR="00675DDF" w:rsidRDefault="00C34E09" w:rsidP="00C34E09">
      <w:pPr>
        <w:pStyle w:val="ListParagraph"/>
        <w:keepNext/>
        <w:keepLines/>
        <w:widowControl/>
      </w:pPr>
      <w:r>
        <w:t xml:space="preserve"> </w:t>
      </w:r>
    </w:p>
    <w:p w:rsidR="00675DDF" w:rsidRPr="00675DDF" w:rsidRDefault="00675DDF" w:rsidP="00675DDF">
      <w:pPr>
        <w:pStyle w:val="PBACheading1"/>
        <w:numPr>
          <w:ilvl w:val="0"/>
          <w:numId w:val="0"/>
        </w:numPr>
        <w:ind w:left="720" w:hanging="720"/>
        <w:rPr>
          <w:i/>
        </w:rPr>
      </w:pPr>
      <w:r w:rsidRPr="00A922BC">
        <w:rPr>
          <w:i/>
        </w:rPr>
        <w:t>For more detail on PBAC’s view, see section 7 “PBAC outcome”</w:t>
      </w:r>
    </w:p>
    <w:p w:rsidR="001B6188" w:rsidRPr="00506E16" w:rsidRDefault="001B6188" w:rsidP="00497F10"/>
    <w:p w:rsidR="00D06FD4" w:rsidRPr="00407F2D" w:rsidRDefault="00472359" w:rsidP="005D7E3E">
      <w:pPr>
        <w:pStyle w:val="PBACheading1"/>
        <w:rPr>
          <w:b/>
        </w:rPr>
      </w:pPr>
      <w:bookmarkStart w:id="6" w:name="_Toc408474959"/>
      <w:r>
        <w:rPr>
          <w:b/>
        </w:rPr>
        <w:t>C</w:t>
      </w:r>
      <w:r w:rsidR="00D06FD4" w:rsidRPr="00407F2D">
        <w:rPr>
          <w:b/>
        </w:rPr>
        <w:t>onsideration of the evidence</w:t>
      </w:r>
      <w:bookmarkEnd w:id="6"/>
    </w:p>
    <w:p w:rsidR="00B60939" w:rsidRPr="00882085" w:rsidRDefault="00B60939" w:rsidP="00996B1A">
      <w:pPr>
        <w:widowControl/>
        <w:rPr>
          <w:b/>
          <w:szCs w:val="22"/>
        </w:rPr>
      </w:pPr>
    </w:p>
    <w:p w:rsidR="00E32141" w:rsidRDefault="00E32141" w:rsidP="00E32141">
      <w:pPr>
        <w:pStyle w:val="Heading2"/>
        <w:rPr>
          <w:bCs/>
          <w:i/>
        </w:rPr>
      </w:pPr>
      <w:bookmarkStart w:id="7" w:name="_Toc408474960"/>
      <w:r>
        <w:rPr>
          <w:bCs/>
          <w:i/>
        </w:rPr>
        <w:t>Sponsor hearing</w:t>
      </w:r>
    </w:p>
    <w:p w:rsidR="00E32141" w:rsidRDefault="00E32141" w:rsidP="00E32141"/>
    <w:p w:rsidR="00E32141" w:rsidRPr="00E32141" w:rsidRDefault="00E32141" w:rsidP="004D64A8">
      <w:pPr>
        <w:pStyle w:val="Heading2"/>
        <w:numPr>
          <w:ilvl w:val="1"/>
          <w:numId w:val="1"/>
        </w:numPr>
        <w:rPr>
          <w:b w:val="0"/>
        </w:rPr>
      </w:pPr>
      <w:r w:rsidRPr="00E32141">
        <w:rPr>
          <w:b w:val="0"/>
        </w:rPr>
        <w:t xml:space="preserve">There was no hearing for this item. </w:t>
      </w:r>
    </w:p>
    <w:p w:rsidR="00E32141" w:rsidRDefault="00E32141" w:rsidP="0095042A">
      <w:pPr>
        <w:pStyle w:val="Heading2"/>
        <w:rPr>
          <w:bCs/>
          <w:i/>
        </w:rPr>
      </w:pPr>
    </w:p>
    <w:p w:rsidR="0095042A" w:rsidRPr="00854517" w:rsidRDefault="00E32141" w:rsidP="0095042A">
      <w:pPr>
        <w:pStyle w:val="Heading2"/>
        <w:rPr>
          <w:bCs/>
          <w:i/>
        </w:rPr>
      </w:pPr>
      <w:r>
        <w:rPr>
          <w:bCs/>
          <w:i/>
        </w:rPr>
        <w:t>Consumer C</w:t>
      </w:r>
      <w:r w:rsidR="0095042A" w:rsidRPr="00854517">
        <w:rPr>
          <w:bCs/>
          <w:i/>
        </w:rPr>
        <w:t>omments</w:t>
      </w:r>
    </w:p>
    <w:p w:rsidR="0095042A" w:rsidRPr="00854517" w:rsidRDefault="0095042A" w:rsidP="0095042A">
      <w:pPr>
        <w:pStyle w:val="Heading2"/>
        <w:rPr>
          <w:b w:val="0"/>
          <w:bCs/>
        </w:rPr>
      </w:pPr>
    </w:p>
    <w:p w:rsidR="00E32141" w:rsidRPr="00E32141" w:rsidRDefault="0095042A" w:rsidP="004D64A8">
      <w:pPr>
        <w:pStyle w:val="Heading2"/>
        <w:numPr>
          <w:ilvl w:val="1"/>
          <w:numId w:val="1"/>
        </w:numPr>
        <w:rPr>
          <w:b w:val="0"/>
          <w:bCs/>
        </w:rPr>
      </w:pPr>
      <w:r w:rsidRPr="00854517">
        <w:rPr>
          <w:b w:val="0"/>
          <w:bCs/>
        </w:rPr>
        <w:t>The PBAC noted that no consumer comments were received for this item.</w:t>
      </w:r>
    </w:p>
    <w:p w:rsidR="0095042A" w:rsidRDefault="0095042A" w:rsidP="00497F10">
      <w:pPr>
        <w:pStyle w:val="Heading2"/>
        <w:rPr>
          <w:i/>
        </w:rPr>
      </w:pPr>
    </w:p>
    <w:p w:rsidR="00B60939" w:rsidRPr="00497F10" w:rsidRDefault="00B60939" w:rsidP="00497F10">
      <w:pPr>
        <w:pStyle w:val="Heading2"/>
        <w:rPr>
          <w:i/>
        </w:rPr>
      </w:pPr>
      <w:r w:rsidRPr="00497F10">
        <w:rPr>
          <w:i/>
        </w:rPr>
        <w:t>Clinical trials</w:t>
      </w:r>
      <w:bookmarkEnd w:id="7"/>
    </w:p>
    <w:p w:rsidR="00B60939" w:rsidRPr="00882085" w:rsidRDefault="00B60939" w:rsidP="00B60939">
      <w:pPr>
        <w:rPr>
          <w:szCs w:val="22"/>
        </w:rPr>
      </w:pPr>
    </w:p>
    <w:p w:rsidR="00C34E09" w:rsidRPr="00C34E09" w:rsidRDefault="001B6188" w:rsidP="00C34E09">
      <w:pPr>
        <w:pStyle w:val="ListParagraph"/>
        <w:widowControl/>
        <w:numPr>
          <w:ilvl w:val="1"/>
          <w:numId w:val="1"/>
        </w:numPr>
        <w:rPr>
          <w:szCs w:val="22"/>
        </w:rPr>
      </w:pPr>
      <w:r w:rsidRPr="00862502">
        <w:t xml:space="preserve">The </w:t>
      </w:r>
      <w:r>
        <w:t>re-</w:t>
      </w:r>
      <w:r w:rsidRPr="00862502">
        <w:t xml:space="preserve">submission </w:t>
      </w:r>
      <w:r w:rsidR="00DF6CDF">
        <w:t>was</w:t>
      </w:r>
      <w:r w:rsidRPr="00862502">
        <w:t xml:space="preserve"> </w:t>
      </w:r>
      <w:r w:rsidR="00F5128D">
        <w:t>based mainly</w:t>
      </w:r>
      <w:r w:rsidRPr="00862502">
        <w:t xml:space="preserve"> on </w:t>
      </w:r>
      <w:r w:rsidR="008C443C">
        <w:t xml:space="preserve">the results of </w:t>
      </w:r>
      <w:r w:rsidRPr="00862502">
        <w:t xml:space="preserve">one head-to-head trial comparing </w:t>
      </w:r>
      <w:r w:rsidR="008C443C">
        <w:t>ruxolitinib</w:t>
      </w:r>
      <w:r w:rsidRPr="00862502">
        <w:t xml:space="preserve"> to </w:t>
      </w:r>
      <w:r w:rsidR="008C443C">
        <w:t>placebo (</w:t>
      </w:r>
      <w:r w:rsidR="008C443C" w:rsidRPr="008C443C">
        <w:t>COMFORT-I (n=309; randomised 1:1, double blind, 24 week follow up</w:t>
      </w:r>
      <w:r w:rsidR="008C443C">
        <w:t xml:space="preserve">)), which </w:t>
      </w:r>
      <w:r w:rsidR="00DF6CDF">
        <w:t>was</w:t>
      </w:r>
      <w:r w:rsidR="008C443C">
        <w:t xml:space="preserve"> the same as in the previous re-submission</w:t>
      </w:r>
      <w:r w:rsidR="00D92F52">
        <w:t>.</w:t>
      </w:r>
      <w:r w:rsidR="00852889">
        <w:t xml:space="preserve">  The re-submission also present</w:t>
      </w:r>
      <w:r w:rsidR="00F5128D">
        <w:t>ed</w:t>
      </w:r>
      <w:r w:rsidR="00852889">
        <w:t xml:space="preserve"> data from COMFORT-II, ROBUST, Barosi 2012 and </w:t>
      </w:r>
      <w:r w:rsidR="009A3D87">
        <w:t>JUMP;</w:t>
      </w:r>
      <w:r w:rsidR="00852889">
        <w:t xml:space="preserve"> however these </w:t>
      </w:r>
      <w:r w:rsidR="00F5128D">
        <w:t>were</w:t>
      </w:r>
      <w:r w:rsidR="00852889">
        <w:t xml:space="preserve"> not relied upon in the modelled economic evaluation.</w:t>
      </w:r>
    </w:p>
    <w:p w:rsidR="00AB3260" w:rsidRDefault="00AB3260" w:rsidP="00C34E09">
      <w:pPr>
        <w:pStyle w:val="ListParagraph"/>
        <w:widowControl/>
        <w:rPr>
          <w:szCs w:val="22"/>
        </w:rPr>
      </w:pPr>
      <w:r>
        <w:rPr>
          <w:szCs w:val="22"/>
        </w:rPr>
        <w:t xml:space="preserve"> </w:t>
      </w:r>
    </w:p>
    <w:p w:rsidR="00AB3260" w:rsidRPr="00D06FD4" w:rsidRDefault="00AB3260" w:rsidP="004D64A8">
      <w:pPr>
        <w:pStyle w:val="ListParagraph"/>
        <w:widowControl/>
        <w:numPr>
          <w:ilvl w:val="1"/>
          <w:numId w:val="1"/>
        </w:numPr>
        <w:rPr>
          <w:szCs w:val="22"/>
        </w:rPr>
      </w:pPr>
      <w:r>
        <w:rPr>
          <w:szCs w:val="22"/>
        </w:rPr>
        <w:t>Details of the trials and studies presented in the re-su</w:t>
      </w:r>
      <w:r w:rsidR="004B20FC">
        <w:rPr>
          <w:szCs w:val="22"/>
        </w:rPr>
        <w:t>bmission are provided in the table below.</w:t>
      </w:r>
      <w:r>
        <w:rPr>
          <w:szCs w:val="22"/>
        </w:rPr>
        <w:t xml:space="preserve"> </w:t>
      </w:r>
    </w:p>
    <w:p w:rsidR="008C443C" w:rsidRPr="008C443C" w:rsidRDefault="008C443C" w:rsidP="008C443C">
      <w:pPr>
        <w:pStyle w:val="ListParagraph"/>
        <w:widowControl/>
        <w:rPr>
          <w:rFonts w:ascii="Arial Narrow" w:hAnsi="Arial Narrow"/>
          <w:b/>
          <w:sz w:val="20"/>
          <w:szCs w:val="16"/>
        </w:rPr>
      </w:pPr>
    </w:p>
    <w:p w:rsidR="00E076C5" w:rsidRDefault="00E076C5">
      <w:pPr>
        <w:widowControl/>
        <w:jc w:val="left"/>
        <w:rPr>
          <w:rStyle w:val="CommentReference"/>
        </w:rPr>
      </w:pPr>
      <w:r>
        <w:rPr>
          <w:rStyle w:val="CommentReference"/>
        </w:rPr>
        <w:br w:type="page"/>
      </w:r>
    </w:p>
    <w:p w:rsidR="00961AF9" w:rsidRDefault="00961AF9" w:rsidP="008C443C">
      <w:pPr>
        <w:pStyle w:val="ListParagraph"/>
        <w:widowControl/>
        <w:rPr>
          <w:rStyle w:val="CommentReference"/>
        </w:rPr>
      </w:pPr>
      <w:r w:rsidRPr="000812CA">
        <w:rPr>
          <w:rStyle w:val="CommentReference"/>
        </w:rPr>
        <w:lastRenderedPageBreak/>
        <w:t xml:space="preserve">Trials and associated reports presented in the </w:t>
      </w:r>
      <w:r>
        <w:rPr>
          <w:rStyle w:val="CommentReference"/>
        </w:rPr>
        <w:t>re-</w:t>
      </w:r>
      <w:r w:rsidRPr="000812CA">
        <w:rPr>
          <w:rStyle w:val="CommentReference"/>
        </w:rPr>
        <w:t>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20" w:firstRow="1" w:lastRow="0" w:firstColumn="0" w:lastColumn="0" w:noHBand="1" w:noVBand="1"/>
        <w:tblCaption w:val="Clinical trials"/>
      </w:tblPr>
      <w:tblGrid>
        <w:gridCol w:w="992"/>
        <w:gridCol w:w="4818"/>
        <w:gridCol w:w="2535"/>
      </w:tblGrid>
      <w:tr w:rsidR="00D06FD4" w:rsidRPr="004E2ADC" w:rsidTr="00BC0026">
        <w:trPr>
          <w:tblHeader/>
        </w:trPr>
        <w:tc>
          <w:tcPr>
            <w:tcW w:w="594" w:type="pct"/>
            <w:tcBorders>
              <w:top w:val="single" w:sz="4" w:space="0" w:color="auto"/>
              <w:left w:val="single" w:sz="4" w:space="0" w:color="auto"/>
              <w:bottom w:val="single" w:sz="4" w:space="0" w:color="auto"/>
              <w:right w:val="single" w:sz="4" w:space="0" w:color="auto"/>
            </w:tcBorders>
            <w:shd w:val="clear" w:color="auto" w:fill="FFFFFF" w:themeFill="background1"/>
          </w:tcPr>
          <w:p w:rsidR="00D06FD4" w:rsidRPr="004E2ADC" w:rsidRDefault="00D06FD4" w:rsidP="00D06FD4">
            <w:pPr>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887" w:type="pct"/>
            <w:tcBorders>
              <w:top w:val="single" w:sz="4" w:space="0" w:color="auto"/>
              <w:left w:val="single" w:sz="4" w:space="0" w:color="auto"/>
              <w:bottom w:val="single" w:sz="4" w:space="0" w:color="auto"/>
              <w:right w:val="single" w:sz="4" w:space="0" w:color="auto"/>
            </w:tcBorders>
            <w:shd w:val="clear" w:color="auto" w:fill="FFFFFF" w:themeFill="background1"/>
          </w:tcPr>
          <w:p w:rsidR="00D06FD4" w:rsidRPr="004E2ADC" w:rsidRDefault="00D06FD4" w:rsidP="00D06FD4">
            <w:pPr>
              <w:jc w:val="center"/>
              <w:rPr>
                <w:rFonts w:ascii="Arial Narrow" w:hAnsi="Arial Narrow"/>
                <w:b/>
                <w:sz w:val="20"/>
              </w:rPr>
            </w:pPr>
            <w:r w:rsidRPr="004E2ADC">
              <w:rPr>
                <w:rFonts w:ascii="Arial Narrow" w:hAnsi="Arial Narrow"/>
                <w:b/>
                <w:sz w:val="20"/>
              </w:rPr>
              <w:t>Protocol title/ Publication title</w:t>
            </w:r>
          </w:p>
        </w:tc>
        <w:tc>
          <w:tcPr>
            <w:tcW w:w="1519" w:type="pct"/>
            <w:tcBorders>
              <w:top w:val="single" w:sz="4" w:space="0" w:color="auto"/>
              <w:left w:val="single" w:sz="4" w:space="0" w:color="auto"/>
              <w:bottom w:val="single" w:sz="4" w:space="0" w:color="auto"/>
              <w:right w:val="single" w:sz="4" w:space="0" w:color="auto"/>
            </w:tcBorders>
            <w:shd w:val="clear" w:color="auto" w:fill="FFFFFF" w:themeFill="background1"/>
          </w:tcPr>
          <w:p w:rsidR="00D06FD4" w:rsidRPr="004E2ADC" w:rsidRDefault="00D06FD4" w:rsidP="00D06FD4">
            <w:pPr>
              <w:jc w:val="center"/>
              <w:rPr>
                <w:rFonts w:ascii="Arial Narrow" w:hAnsi="Arial Narrow"/>
                <w:b/>
                <w:sz w:val="20"/>
              </w:rPr>
            </w:pPr>
            <w:r w:rsidRPr="004E2ADC">
              <w:rPr>
                <w:rFonts w:ascii="Arial Narrow" w:hAnsi="Arial Narrow"/>
                <w:b/>
                <w:sz w:val="20"/>
              </w:rPr>
              <w:t>Publication citation</w:t>
            </w:r>
          </w:p>
        </w:tc>
      </w:tr>
      <w:tr w:rsidR="00D06FD4" w:rsidRPr="004E2ADC" w:rsidTr="00BC0026">
        <w:tc>
          <w:tcPr>
            <w:tcW w:w="5000" w:type="pct"/>
            <w:gridSpan w:val="3"/>
          </w:tcPr>
          <w:p w:rsidR="00D06FD4" w:rsidRPr="004E2ADC" w:rsidRDefault="00D06FD4" w:rsidP="00D06FD4">
            <w:pPr>
              <w:jc w:val="left"/>
              <w:rPr>
                <w:rFonts w:ascii="Arial Narrow" w:hAnsi="Arial Narrow"/>
                <w:b/>
                <w:sz w:val="20"/>
              </w:rPr>
            </w:pPr>
            <w:r w:rsidRPr="004E2ADC">
              <w:rPr>
                <w:rFonts w:ascii="Arial Narrow" w:hAnsi="Arial Narrow"/>
                <w:b/>
                <w:sz w:val="20"/>
              </w:rPr>
              <w:t>Direct randomised trial(s)</w:t>
            </w:r>
          </w:p>
        </w:tc>
      </w:tr>
      <w:tr w:rsidR="008C443C" w:rsidRPr="004E2ADC" w:rsidTr="00BC0026">
        <w:tc>
          <w:tcPr>
            <w:tcW w:w="594" w:type="pct"/>
          </w:tcPr>
          <w:p w:rsidR="008C443C" w:rsidRPr="002959B1" w:rsidRDefault="008C443C" w:rsidP="00A25A11">
            <w:pPr>
              <w:rPr>
                <w:rFonts w:ascii="Arial Narrow" w:hAnsi="Arial Narrow"/>
                <w:sz w:val="20"/>
              </w:rPr>
            </w:pPr>
            <w:r>
              <w:rPr>
                <w:rFonts w:ascii="Arial Narrow" w:hAnsi="Arial Narrow"/>
                <w:sz w:val="20"/>
              </w:rPr>
              <w:t>COMFORT-I</w:t>
            </w:r>
          </w:p>
        </w:tc>
        <w:tc>
          <w:tcPr>
            <w:tcW w:w="2887" w:type="pct"/>
          </w:tcPr>
          <w:p w:rsidR="008C443C" w:rsidRDefault="008C443C" w:rsidP="00A25A11">
            <w:pPr>
              <w:jc w:val="left"/>
              <w:rPr>
                <w:rFonts w:ascii="Arial Narrow" w:hAnsi="Arial Narrow"/>
                <w:sz w:val="20"/>
              </w:rPr>
            </w:pPr>
            <w:r w:rsidRPr="002959B1">
              <w:rPr>
                <w:rFonts w:ascii="Arial Narrow" w:hAnsi="Arial Narrow"/>
                <w:sz w:val="20"/>
              </w:rPr>
              <w:t>A randomised, double-blind placebo-controlled trial of the JAK inhibitor INCB018424 tablets administered orally to subjects with Primary Myelofibrosis (PMF), Post-Polycythemia Vera-Myelofibrosis (PPV-MF) or Post-Essential Thrombocythemia-Myelofibrosis (PET-MF).</w:t>
            </w:r>
          </w:p>
          <w:p w:rsidR="008C443C" w:rsidRDefault="008C443C" w:rsidP="00A25A11">
            <w:pPr>
              <w:jc w:val="left"/>
              <w:rPr>
                <w:rFonts w:ascii="Arial Narrow" w:hAnsi="Arial Narrow"/>
                <w:sz w:val="20"/>
              </w:rPr>
            </w:pPr>
          </w:p>
          <w:p w:rsidR="008C443C" w:rsidRDefault="008C443C" w:rsidP="00A25A11">
            <w:pPr>
              <w:jc w:val="left"/>
              <w:rPr>
                <w:rFonts w:ascii="Arial Narrow" w:hAnsi="Arial Narrow"/>
                <w:sz w:val="20"/>
              </w:rPr>
            </w:pPr>
            <w:r w:rsidRPr="002959B1">
              <w:rPr>
                <w:rFonts w:ascii="Arial Narrow" w:hAnsi="Arial Narrow"/>
                <w:sz w:val="20"/>
              </w:rPr>
              <w:t>Verstovsek et al. A double-blind, placebo controlled trial of ruxolitinib for myelofibrosis.</w:t>
            </w:r>
          </w:p>
          <w:p w:rsidR="008C443C" w:rsidRDefault="008C443C" w:rsidP="00A25A11">
            <w:pPr>
              <w:jc w:val="left"/>
              <w:rPr>
                <w:rFonts w:ascii="Arial Narrow" w:hAnsi="Arial Narrow"/>
                <w:sz w:val="20"/>
              </w:rPr>
            </w:pPr>
          </w:p>
          <w:p w:rsidR="008C443C" w:rsidRDefault="008C443C" w:rsidP="00A25A11">
            <w:pPr>
              <w:jc w:val="left"/>
              <w:rPr>
                <w:rFonts w:ascii="Arial Narrow" w:hAnsi="Arial Narrow"/>
                <w:sz w:val="20"/>
              </w:rPr>
            </w:pPr>
            <w:r w:rsidRPr="002959B1">
              <w:rPr>
                <w:rFonts w:ascii="Arial Narrow" w:hAnsi="Arial Narrow"/>
                <w:sz w:val="20"/>
              </w:rPr>
              <w:t xml:space="preserve">Verstovsek S, Mesa RA, Gotlib J, et al. Efficacy, safety and survival with ruxolitinib in patients with myelofibrosis: Results of a median 2-year follow-up of </w:t>
            </w:r>
            <w:r>
              <w:rPr>
                <w:rFonts w:ascii="Arial Narrow" w:hAnsi="Arial Narrow"/>
                <w:sz w:val="20"/>
              </w:rPr>
              <w:t>COMFORT-I</w:t>
            </w:r>
            <w:r w:rsidRPr="002959B1">
              <w:rPr>
                <w:rFonts w:ascii="Arial Narrow" w:hAnsi="Arial Narrow"/>
                <w:sz w:val="20"/>
              </w:rPr>
              <w:t>.</w:t>
            </w:r>
          </w:p>
          <w:p w:rsidR="008C443C" w:rsidRDefault="008C443C" w:rsidP="00A25A11">
            <w:pPr>
              <w:jc w:val="left"/>
              <w:rPr>
                <w:rFonts w:ascii="Arial Narrow" w:hAnsi="Arial Narrow"/>
                <w:sz w:val="20"/>
              </w:rPr>
            </w:pPr>
          </w:p>
          <w:p w:rsidR="008C443C" w:rsidRPr="002959B1" w:rsidRDefault="008C443C" w:rsidP="00294366">
            <w:pPr>
              <w:jc w:val="left"/>
              <w:rPr>
                <w:rFonts w:ascii="Arial Narrow" w:hAnsi="Arial Narrow"/>
                <w:sz w:val="20"/>
              </w:rPr>
            </w:pPr>
            <w:r w:rsidRPr="002959B1">
              <w:rPr>
                <w:rFonts w:ascii="Arial Narrow" w:hAnsi="Arial Narrow"/>
                <w:sz w:val="20"/>
              </w:rPr>
              <w:t xml:space="preserve">Verstovsek S, Mesa RA, Gotlib J, et al. Long-term outcomes of ruxolitinib therapy in patients with myelofibrosis: 3-year update from </w:t>
            </w:r>
            <w:r>
              <w:rPr>
                <w:rFonts w:ascii="Arial Narrow" w:hAnsi="Arial Narrow"/>
                <w:sz w:val="20"/>
              </w:rPr>
              <w:t>COMFORT-I</w:t>
            </w:r>
            <w:r w:rsidRPr="002959B1">
              <w:rPr>
                <w:rFonts w:ascii="Arial Narrow" w:hAnsi="Arial Narrow"/>
                <w:sz w:val="20"/>
              </w:rPr>
              <w:t>.</w:t>
            </w:r>
          </w:p>
        </w:tc>
        <w:tc>
          <w:tcPr>
            <w:tcW w:w="1518" w:type="pct"/>
          </w:tcPr>
          <w:p w:rsidR="008C443C" w:rsidRPr="002959B1" w:rsidRDefault="008C443C" w:rsidP="00A25A11">
            <w:pPr>
              <w:rPr>
                <w:rFonts w:ascii="Arial Narrow" w:hAnsi="Arial Narrow"/>
                <w:sz w:val="20"/>
              </w:rPr>
            </w:pPr>
            <w:r w:rsidRPr="002959B1">
              <w:rPr>
                <w:rFonts w:ascii="Arial Narrow" w:hAnsi="Arial Narrow"/>
                <w:sz w:val="20"/>
              </w:rPr>
              <w:t>24th July 2013</w:t>
            </w:r>
          </w:p>
          <w:p w:rsidR="008C443C" w:rsidRPr="002959B1" w:rsidRDefault="008C443C" w:rsidP="00A25A11">
            <w:pPr>
              <w:rPr>
                <w:rFonts w:ascii="Arial Narrow" w:hAnsi="Arial Narrow"/>
                <w:sz w:val="20"/>
              </w:rPr>
            </w:pPr>
          </w:p>
          <w:p w:rsidR="008C443C" w:rsidRPr="002959B1" w:rsidRDefault="008C443C" w:rsidP="00A25A11">
            <w:pPr>
              <w:rPr>
                <w:rFonts w:ascii="Arial Narrow" w:hAnsi="Arial Narrow"/>
                <w:sz w:val="20"/>
              </w:rPr>
            </w:pPr>
          </w:p>
          <w:p w:rsidR="008C443C" w:rsidRPr="002959B1" w:rsidRDefault="008C443C" w:rsidP="00A25A11">
            <w:pPr>
              <w:rPr>
                <w:rFonts w:ascii="Arial Narrow" w:hAnsi="Arial Narrow"/>
                <w:sz w:val="20"/>
              </w:rPr>
            </w:pPr>
          </w:p>
          <w:p w:rsidR="008C443C" w:rsidRDefault="008C443C" w:rsidP="00A25A11">
            <w:pPr>
              <w:rPr>
                <w:rFonts w:ascii="Arial Narrow" w:hAnsi="Arial Narrow"/>
                <w:sz w:val="20"/>
              </w:rPr>
            </w:pPr>
          </w:p>
          <w:p w:rsidR="008C443C" w:rsidRPr="002959B1" w:rsidRDefault="008C443C" w:rsidP="00A25A11">
            <w:pPr>
              <w:rPr>
                <w:rFonts w:ascii="Arial Narrow" w:hAnsi="Arial Narrow"/>
                <w:sz w:val="20"/>
              </w:rPr>
            </w:pPr>
          </w:p>
          <w:p w:rsidR="008C443C" w:rsidRDefault="008C443C" w:rsidP="008C443C">
            <w:pPr>
              <w:rPr>
                <w:rFonts w:ascii="Arial Narrow" w:hAnsi="Arial Narrow"/>
                <w:sz w:val="20"/>
              </w:rPr>
            </w:pPr>
            <w:r w:rsidRPr="002959B1">
              <w:rPr>
                <w:rFonts w:ascii="Arial Narrow" w:hAnsi="Arial Narrow"/>
                <w:sz w:val="20"/>
              </w:rPr>
              <w:t>NEJM 2012; 366(9):799-</w:t>
            </w:r>
          </w:p>
          <w:p w:rsidR="008C443C" w:rsidRDefault="008C443C" w:rsidP="008C443C">
            <w:pPr>
              <w:rPr>
                <w:rFonts w:ascii="Arial Narrow" w:hAnsi="Arial Narrow"/>
                <w:sz w:val="20"/>
              </w:rPr>
            </w:pPr>
          </w:p>
          <w:p w:rsidR="008C443C" w:rsidRDefault="008C443C" w:rsidP="008C443C">
            <w:pPr>
              <w:rPr>
                <w:rFonts w:ascii="Arial Narrow" w:hAnsi="Arial Narrow"/>
                <w:sz w:val="20"/>
              </w:rPr>
            </w:pPr>
          </w:p>
          <w:p w:rsidR="008C443C" w:rsidRPr="002959B1" w:rsidRDefault="008C443C" w:rsidP="008C443C">
            <w:pPr>
              <w:rPr>
                <w:rFonts w:ascii="Arial Narrow" w:hAnsi="Arial Narrow"/>
                <w:sz w:val="20"/>
              </w:rPr>
            </w:pPr>
            <w:r w:rsidRPr="002959B1">
              <w:rPr>
                <w:rFonts w:ascii="Arial Narrow" w:hAnsi="Arial Narrow"/>
                <w:sz w:val="20"/>
              </w:rPr>
              <w:t xml:space="preserve">Haematologica 2013; 98(12): 1865–1871. </w:t>
            </w:r>
          </w:p>
          <w:p w:rsidR="008C443C" w:rsidRDefault="008C443C" w:rsidP="008C443C">
            <w:pPr>
              <w:rPr>
                <w:rFonts w:ascii="Arial Narrow" w:hAnsi="Arial Narrow"/>
                <w:sz w:val="20"/>
              </w:rPr>
            </w:pPr>
          </w:p>
          <w:p w:rsidR="008C443C" w:rsidRPr="002959B1" w:rsidRDefault="008C443C" w:rsidP="008C443C">
            <w:pPr>
              <w:rPr>
                <w:rFonts w:ascii="Arial Narrow" w:hAnsi="Arial Narrow"/>
                <w:sz w:val="20"/>
              </w:rPr>
            </w:pPr>
          </w:p>
          <w:p w:rsidR="008C443C" w:rsidRPr="002959B1" w:rsidRDefault="008C443C" w:rsidP="00A25A11">
            <w:pPr>
              <w:rPr>
                <w:rFonts w:ascii="Arial Narrow" w:hAnsi="Arial Narrow"/>
                <w:b/>
                <w:sz w:val="20"/>
              </w:rPr>
            </w:pPr>
            <w:r w:rsidRPr="002959B1">
              <w:rPr>
                <w:rFonts w:ascii="Arial Narrow" w:hAnsi="Arial Narrow"/>
                <w:sz w:val="20"/>
              </w:rPr>
              <w:t>Blood 2013; 122(21)</w:t>
            </w:r>
          </w:p>
        </w:tc>
      </w:tr>
      <w:tr w:rsidR="00852889" w:rsidRPr="002959B1" w:rsidTr="00BC0026">
        <w:trPr>
          <w:trHeight w:val="708"/>
        </w:trPr>
        <w:tc>
          <w:tcPr>
            <w:tcW w:w="594" w:type="pct"/>
            <w:vMerge w:val="restart"/>
            <w:tcBorders>
              <w:top w:val="single" w:sz="4" w:space="0" w:color="auto"/>
              <w:left w:val="single" w:sz="4" w:space="0" w:color="auto"/>
              <w:right w:val="single" w:sz="4" w:space="0" w:color="auto"/>
            </w:tcBorders>
          </w:tcPr>
          <w:p w:rsidR="00852889" w:rsidRPr="002959B1" w:rsidRDefault="00852889" w:rsidP="00CE30A4">
            <w:pPr>
              <w:rPr>
                <w:rFonts w:ascii="Arial Narrow" w:hAnsi="Arial Narrow"/>
                <w:sz w:val="20"/>
              </w:rPr>
            </w:pPr>
            <w:r>
              <w:rPr>
                <w:rFonts w:ascii="Arial Narrow" w:hAnsi="Arial Narrow"/>
                <w:sz w:val="20"/>
              </w:rPr>
              <w:t>COMFORT-I</w:t>
            </w:r>
            <w:r w:rsidRPr="002959B1">
              <w:rPr>
                <w:rFonts w:ascii="Arial Narrow" w:hAnsi="Arial Narrow"/>
                <w:sz w:val="20"/>
              </w:rPr>
              <w:t>I</w:t>
            </w:r>
          </w:p>
        </w:tc>
        <w:tc>
          <w:tcPr>
            <w:tcW w:w="2887" w:type="pct"/>
            <w:tcBorders>
              <w:top w:val="single" w:sz="4" w:space="0" w:color="auto"/>
              <w:left w:val="single" w:sz="4" w:space="0" w:color="auto"/>
              <w:bottom w:val="nil"/>
              <w:right w:val="single" w:sz="4" w:space="0" w:color="auto"/>
            </w:tcBorders>
          </w:tcPr>
          <w:p w:rsidR="00852889" w:rsidRPr="00852889" w:rsidRDefault="00852889" w:rsidP="00852889">
            <w:pPr>
              <w:rPr>
                <w:rFonts w:ascii="Arial Narrow" w:hAnsi="Arial Narrow"/>
                <w:sz w:val="20"/>
              </w:rPr>
            </w:pPr>
            <w:r w:rsidRPr="00852889">
              <w:rPr>
                <w:rFonts w:ascii="Arial Narrow" w:hAnsi="Arial Narrow"/>
                <w:sz w:val="20"/>
              </w:rPr>
              <w:t xml:space="preserve">I </w:t>
            </w:r>
            <w:r w:rsidRPr="002959B1">
              <w:rPr>
                <w:rStyle w:val="TableText1"/>
              </w:rPr>
              <w:t xml:space="preserve">A randomised trial of the JAK inhibitor INC424 tablets compared to best available therapy in subjects with Primary Myelofibrosis (PMF), Post-Polycythemia Vera-Myelofibrosis (PPV MF) or Post-Essential Thrombocythemia-Myelofibrosis (PET MF). </w:t>
            </w:r>
          </w:p>
        </w:tc>
        <w:tc>
          <w:tcPr>
            <w:tcW w:w="1518" w:type="pct"/>
            <w:tcBorders>
              <w:top w:val="single" w:sz="4" w:space="0" w:color="auto"/>
              <w:left w:val="single" w:sz="4" w:space="0" w:color="auto"/>
              <w:bottom w:val="nil"/>
              <w:right w:val="single" w:sz="4" w:space="0" w:color="auto"/>
            </w:tcBorders>
          </w:tcPr>
          <w:p w:rsidR="00852889" w:rsidRPr="002959B1" w:rsidRDefault="00852889" w:rsidP="00CE30A4">
            <w:pPr>
              <w:rPr>
                <w:rFonts w:ascii="Arial Narrow" w:hAnsi="Arial Narrow"/>
                <w:sz w:val="20"/>
              </w:rPr>
            </w:pPr>
            <w:r w:rsidRPr="002959B1">
              <w:rPr>
                <w:rStyle w:val="TableText1"/>
              </w:rPr>
              <w:t>19th June 2013</w:t>
            </w:r>
            <w:r w:rsidRPr="002959B1">
              <w:rPr>
                <w:rFonts w:ascii="Arial Narrow" w:hAnsi="Arial Narrow"/>
                <w:sz w:val="20"/>
              </w:rPr>
              <w:t xml:space="preserve"> </w:t>
            </w:r>
          </w:p>
          <w:p w:rsidR="00852889" w:rsidRPr="002959B1" w:rsidRDefault="00852889" w:rsidP="00CE30A4">
            <w:pPr>
              <w:rPr>
                <w:rFonts w:ascii="Arial Narrow" w:hAnsi="Arial Narrow"/>
                <w:sz w:val="20"/>
              </w:rPr>
            </w:pPr>
          </w:p>
          <w:p w:rsidR="00852889" w:rsidRPr="002959B1" w:rsidRDefault="00852889" w:rsidP="00CE30A4">
            <w:pPr>
              <w:rPr>
                <w:rFonts w:ascii="Arial Narrow" w:hAnsi="Arial Narrow"/>
                <w:sz w:val="20"/>
              </w:rPr>
            </w:pPr>
          </w:p>
          <w:p w:rsidR="00852889" w:rsidRPr="00852889" w:rsidRDefault="00852889" w:rsidP="00CE30A4">
            <w:pPr>
              <w:rPr>
                <w:rFonts w:ascii="Arial Narrow" w:hAnsi="Arial Narrow"/>
                <w:sz w:val="20"/>
              </w:rPr>
            </w:pPr>
          </w:p>
        </w:tc>
      </w:tr>
      <w:tr w:rsidR="00852889" w:rsidRPr="002959B1" w:rsidTr="00BC0026">
        <w:tc>
          <w:tcPr>
            <w:tcW w:w="594" w:type="pct"/>
            <w:vMerge/>
            <w:tcBorders>
              <w:left w:val="single" w:sz="4" w:space="0" w:color="auto"/>
              <w:right w:val="single" w:sz="4" w:space="0" w:color="auto"/>
            </w:tcBorders>
          </w:tcPr>
          <w:p w:rsidR="00852889" w:rsidRPr="002959B1" w:rsidRDefault="00852889" w:rsidP="00CE30A4">
            <w:pPr>
              <w:rPr>
                <w:rFonts w:ascii="Arial Narrow" w:hAnsi="Arial Narrow"/>
                <w:sz w:val="20"/>
              </w:rPr>
            </w:pPr>
          </w:p>
        </w:tc>
        <w:tc>
          <w:tcPr>
            <w:tcW w:w="2887" w:type="pct"/>
            <w:tcBorders>
              <w:top w:val="nil"/>
              <w:left w:val="single" w:sz="4" w:space="0" w:color="auto"/>
              <w:bottom w:val="nil"/>
              <w:right w:val="single" w:sz="4" w:space="0" w:color="auto"/>
            </w:tcBorders>
          </w:tcPr>
          <w:p w:rsidR="00852889" w:rsidRDefault="00852889" w:rsidP="00CE30A4">
            <w:pPr>
              <w:jc w:val="left"/>
              <w:rPr>
                <w:rFonts w:ascii="Arial Narrow" w:hAnsi="Arial Narrow"/>
                <w:sz w:val="20"/>
              </w:rPr>
            </w:pPr>
          </w:p>
          <w:p w:rsidR="00852889" w:rsidRPr="002959B1" w:rsidRDefault="00852889" w:rsidP="00CE30A4">
            <w:pPr>
              <w:jc w:val="left"/>
              <w:rPr>
                <w:rFonts w:ascii="Arial Narrow" w:hAnsi="Arial Narrow"/>
                <w:sz w:val="20"/>
              </w:rPr>
            </w:pPr>
            <w:r w:rsidRPr="002959B1">
              <w:rPr>
                <w:rFonts w:ascii="Arial Narrow" w:hAnsi="Arial Narrow"/>
                <w:sz w:val="20"/>
              </w:rPr>
              <w:t xml:space="preserve">Harrison et al. JAK inhibition with ruxolitinib versus best available therapy for myelofibrosis. </w:t>
            </w:r>
          </w:p>
        </w:tc>
        <w:tc>
          <w:tcPr>
            <w:tcW w:w="1519" w:type="pct"/>
            <w:tcBorders>
              <w:top w:val="nil"/>
              <w:left w:val="single" w:sz="4" w:space="0" w:color="auto"/>
              <w:bottom w:val="nil"/>
              <w:right w:val="single" w:sz="4" w:space="0" w:color="auto"/>
            </w:tcBorders>
          </w:tcPr>
          <w:p w:rsidR="00852889" w:rsidRDefault="00852889" w:rsidP="00CE30A4">
            <w:pPr>
              <w:rPr>
                <w:rFonts w:ascii="Arial Narrow" w:hAnsi="Arial Narrow"/>
                <w:sz w:val="20"/>
              </w:rPr>
            </w:pPr>
          </w:p>
          <w:p w:rsidR="00852889" w:rsidRPr="002959B1" w:rsidRDefault="00852889" w:rsidP="00CE30A4">
            <w:pPr>
              <w:rPr>
                <w:rStyle w:val="TableText1"/>
              </w:rPr>
            </w:pPr>
            <w:r w:rsidRPr="002959B1">
              <w:rPr>
                <w:rFonts w:ascii="Arial Narrow" w:hAnsi="Arial Narrow"/>
                <w:sz w:val="20"/>
              </w:rPr>
              <w:t>NEJM 2012; 366(9):787-798.</w:t>
            </w:r>
          </w:p>
        </w:tc>
      </w:tr>
      <w:tr w:rsidR="00852889" w:rsidRPr="002959B1" w:rsidTr="00BC0026">
        <w:tc>
          <w:tcPr>
            <w:tcW w:w="594" w:type="pct"/>
            <w:vMerge/>
            <w:tcBorders>
              <w:left w:val="single" w:sz="4" w:space="0" w:color="auto"/>
              <w:bottom w:val="single" w:sz="4" w:space="0" w:color="auto"/>
              <w:right w:val="single" w:sz="4" w:space="0" w:color="auto"/>
            </w:tcBorders>
          </w:tcPr>
          <w:p w:rsidR="00852889" w:rsidRPr="002959B1" w:rsidRDefault="00852889" w:rsidP="00CE30A4">
            <w:pPr>
              <w:rPr>
                <w:rFonts w:ascii="Arial Narrow" w:hAnsi="Arial Narrow"/>
                <w:sz w:val="20"/>
              </w:rPr>
            </w:pPr>
          </w:p>
        </w:tc>
        <w:tc>
          <w:tcPr>
            <w:tcW w:w="2887" w:type="pct"/>
            <w:tcBorders>
              <w:top w:val="nil"/>
              <w:left w:val="single" w:sz="4" w:space="0" w:color="auto"/>
              <w:bottom w:val="single" w:sz="4" w:space="0" w:color="auto"/>
              <w:right w:val="single" w:sz="4" w:space="0" w:color="auto"/>
            </w:tcBorders>
          </w:tcPr>
          <w:p w:rsidR="00852889" w:rsidRPr="002959B1" w:rsidRDefault="00852889" w:rsidP="00CE30A4">
            <w:pPr>
              <w:jc w:val="left"/>
              <w:rPr>
                <w:rFonts w:ascii="Arial Narrow" w:hAnsi="Arial Narrow"/>
                <w:sz w:val="20"/>
              </w:rPr>
            </w:pPr>
          </w:p>
          <w:p w:rsidR="00852889" w:rsidRPr="002959B1" w:rsidRDefault="00852889" w:rsidP="00CE30A4">
            <w:pPr>
              <w:jc w:val="left"/>
              <w:rPr>
                <w:rFonts w:ascii="Arial Narrow" w:hAnsi="Arial Narrow"/>
                <w:sz w:val="20"/>
              </w:rPr>
            </w:pPr>
            <w:r w:rsidRPr="002959B1">
              <w:rPr>
                <w:rFonts w:ascii="Arial Narrow" w:hAnsi="Arial Narrow"/>
                <w:sz w:val="20"/>
              </w:rPr>
              <w:t xml:space="preserve">Cervantes F. Three year efficacy, safety and survival findings from </w:t>
            </w:r>
            <w:r>
              <w:rPr>
                <w:rFonts w:ascii="Arial Narrow" w:hAnsi="Arial Narrow"/>
                <w:sz w:val="20"/>
              </w:rPr>
              <w:t>COMFORT-I</w:t>
            </w:r>
            <w:r w:rsidRPr="002959B1">
              <w:rPr>
                <w:rFonts w:ascii="Arial Narrow" w:hAnsi="Arial Narrow"/>
                <w:sz w:val="20"/>
              </w:rPr>
              <w:t xml:space="preserve">I, a phase 3 trial comparing ruxolitinib with best available therapy for myelofibrosis. </w:t>
            </w:r>
          </w:p>
        </w:tc>
        <w:tc>
          <w:tcPr>
            <w:tcW w:w="1519" w:type="pct"/>
            <w:tcBorders>
              <w:top w:val="nil"/>
              <w:left w:val="single" w:sz="4" w:space="0" w:color="auto"/>
              <w:bottom w:val="single" w:sz="4" w:space="0" w:color="auto"/>
              <w:right w:val="single" w:sz="4" w:space="0" w:color="auto"/>
            </w:tcBorders>
          </w:tcPr>
          <w:p w:rsidR="00852889" w:rsidRPr="002959B1" w:rsidRDefault="00852889" w:rsidP="00CE30A4">
            <w:pPr>
              <w:rPr>
                <w:rFonts w:ascii="Arial Narrow" w:hAnsi="Arial Narrow"/>
                <w:sz w:val="20"/>
              </w:rPr>
            </w:pPr>
          </w:p>
          <w:p w:rsidR="00852889" w:rsidRPr="002959B1" w:rsidRDefault="00852889" w:rsidP="00CE30A4">
            <w:pPr>
              <w:rPr>
                <w:rFonts w:ascii="Arial Narrow" w:hAnsi="Arial Narrow"/>
                <w:sz w:val="20"/>
              </w:rPr>
            </w:pPr>
            <w:r w:rsidRPr="002959B1">
              <w:rPr>
                <w:rFonts w:ascii="Arial Narrow" w:hAnsi="Arial Narrow"/>
                <w:sz w:val="20"/>
              </w:rPr>
              <w:t>Blood 2013; 122 (25)</w:t>
            </w:r>
          </w:p>
          <w:p w:rsidR="00852889" w:rsidRPr="002959B1" w:rsidRDefault="00852889" w:rsidP="00CE30A4">
            <w:pPr>
              <w:rPr>
                <w:rFonts w:ascii="Arial Narrow" w:hAnsi="Arial Narrow"/>
                <w:sz w:val="20"/>
              </w:rPr>
            </w:pPr>
          </w:p>
          <w:p w:rsidR="00852889" w:rsidRPr="002959B1" w:rsidRDefault="00852889" w:rsidP="00CE30A4">
            <w:pPr>
              <w:rPr>
                <w:rFonts w:ascii="Arial Narrow" w:hAnsi="Arial Narrow"/>
                <w:sz w:val="20"/>
              </w:rPr>
            </w:pPr>
          </w:p>
        </w:tc>
      </w:tr>
      <w:tr w:rsidR="00852889" w:rsidRPr="002959B1" w:rsidTr="00BC0026">
        <w:tc>
          <w:tcPr>
            <w:tcW w:w="594" w:type="pct"/>
            <w:tcBorders>
              <w:top w:val="single" w:sz="4" w:space="0" w:color="auto"/>
              <w:left w:val="single" w:sz="4" w:space="0" w:color="auto"/>
              <w:bottom w:val="single" w:sz="4" w:space="0" w:color="auto"/>
              <w:right w:val="single" w:sz="4" w:space="0" w:color="auto"/>
            </w:tcBorders>
          </w:tcPr>
          <w:p w:rsidR="00852889" w:rsidRPr="002959B1" w:rsidRDefault="00852889" w:rsidP="00CE30A4">
            <w:pPr>
              <w:rPr>
                <w:rFonts w:ascii="Arial Narrow" w:hAnsi="Arial Narrow"/>
                <w:sz w:val="20"/>
              </w:rPr>
            </w:pPr>
            <w:r>
              <w:rPr>
                <w:rFonts w:ascii="Arial Narrow" w:hAnsi="Arial Narrow"/>
                <w:sz w:val="20"/>
              </w:rPr>
              <w:t>ROBUST</w:t>
            </w:r>
          </w:p>
        </w:tc>
        <w:tc>
          <w:tcPr>
            <w:tcW w:w="2887" w:type="pct"/>
            <w:tcBorders>
              <w:top w:val="single" w:sz="4" w:space="0" w:color="auto"/>
              <w:left w:val="single" w:sz="4" w:space="0" w:color="auto"/>
              <w:bottom w:val="single" w:sz="4" w:space="0" w:color="auto"/>
              <w:right w:val="single" w:sz="4" w:space="0" w:color="auto"/>
            </w:tcBorders>
          </w:tcPr>
          <w:p w:rsidR="00852889" w:rsidRDefault="00852889" w:rsidP="00CE30A4">
            <w:pPr>
              <w:jc w:val="left"/>
              <w:rPr>
                <w:rFonts w:ascii="Arial Narrow" w:hAnsi="Arial Narrow"/>
                <w:sz w:val="20"/>
              </w:rPr>
            </w:pPr>
            <w:r w:rsidRPr="00327297">
              <w:rPr>
                <w:rFonts w:ascii="Arial Narrow" w:hAnsi="Arial Narrow"/>
                <w:sz w:val="20"/>
                <w:lang w:val="fr-FR"/>
              </w:rPr>
              <w:t xml:space="preserve">Harrison C, Clark R, Chacko J et al. </w:t>
            </w:r>
            <w:r w:rsidRPr="007F5B33">
              <w:rPr>
                <w:rFonts w:ascii="Arial Narrow" w:hAnsi="Arial Narrow"/>
                <w:sz w:val="20"/>
              </w:rPr>
              <w:t>Response To Ruxolitinib In Patients With Intermediate-1, Intermediate-2 and High-Risk Myelofibrosis: Interim Results Of The UK Robust Trial.</w:t>
            </w:r>
          </w:p>
          <w:p w:rsidR="00852889" w:rsidRDefault="00852889" w:rsidP="00CE30A4">
            <w:pPr>
              <w:jc w:val="left"/>
              <w:rPr>
                <w:rFonts w:ascii="Arial Narrow" w:hAnsi="Arial Narrow"/>
                <w:sz w:val="20"/>
              </w:rPr>
            </w:pPr>
          </w:p>
          <w:p w:rsidR="00852889" w:rsidRPr="002959B1" w:rsidRDefault="00852889" w:rsidP="00CE30A4">
            <w:pPr>
              <w:jc w:val="left"/>
              <w:rPr>
                <w:rFonts w:ascii="Arial Narrow" w:hAnsi="Arial Narrow"/>
                <w:sz w:val="20"/>
              </w:rPr>
            </w:pPr>
            <w:r w:rsidRPr="00327297">
              <w:rPr>
                <w:rFonts w:ascii="Arial Narrow" w:hAnsi="Arial Narrow"/>
                <w:sz w:val="20"/>
                <w:lang w:val="fr-FR"/>
              </w:rPr>
              <w:t xml:space="preserve">Harrison C, Clark R, Chacko J et al. </w:t>
            </w:r>
            <w:r w:rsidRPr="007F5B33">
              <w:rPr>
                <w:rFonts w:ascii="Arial Narrow" w:hAnsi="Arial Narrow"/>
                <w:sz w:val="20"/>
              </w:rPr>
              <w:t>Response To Ruxolitinib In Patients With Intermediate-1, Intermediate-2 and High-Risk Myelofibrosis: Interim</w:t>
            </w:r>
            <w:r>
              <w:rPr>
                <w:rFonts w:ascii="Arial Narrow" w:hAnsi="Arial Narrow"/>
                <w:sz w:val="20"/>
              </w:rPr>
              <w:t xml:space="preserve"> Results Of The UK Robust Trial – poster presented at ASH December 2013 </w:t>
            </w:r>
            <w:r w:rsidRPr="00023DE7">
              <w:rPr>
                <w:rFonts w:ascii="Arial Narrow" w:hAnsi="Arial Narrow"/>
                <w:sz w:val="20"/>
              </w:rPr>
              <w:t>http://www.incyte.com/sites/default/files/ASH%202013_Harrison_ROBUST.pdf</w:t>
            </w:r>
            <w:r>
              <w:rPr>
                <w:rFonts w:ascii="Arial Narrow" w:hAnsi="Arial Narrow"/>
                <w:sz w:val="20"/>
              </w:rPr>
              <w:t xml:space="preserve"> </w:t>
            </w:r>
          </w:p>
        </w:tc>
        <w:tc>
          <w:tcPr>
            <w:tcW w:w="1519" w:type="pct"/>
            <w:tcBorders>
              <w:top w:val="single" w:sz="4" w:space="0" w:color="auto"/>
              <w:left w:val="single" w:sz="4" w:space="0" w:color="auto"/>
              <w:bottom w:val="single" w:sz="4" w:space="0" w:color="auto"/>
              <w:right w:val="single" w:sz="4" w:space="0" w:color="auto"/>
            </w:tcBorders>
          </w:tcPr>
          <w:p w:rsidR="00852889" w:rsidRDefault="00852889" w:rsidP="00CE30A4">
            <w:pPr>
              <w:rPr>
                <w:rFonts w:ascii="Arial Narrow" w:hAnsi="Arial Narrow"/>
                <w:sz w:val="20"/>
              </w:rPr>
            </w:pPr>
            <w:r>
              <w:rPr>
                <w:rFonts w:ascii="Arial Narrow" w:hAnsi="Arial Narrow"/>
                <w:sz w:val="20"/>
              </w:rPr>
              <w:t xml:space="preserve">Blood 2013, </w:t>
            </w:r>
            <w:r w:rsidRPr="007F5B33">
              <w:rPr>
                <w:rFonts w:ascii="Arial Narrow" w:hAnsi="Arial Narrow"/>
                <w:sz w:val="20"/>
              </w:rPr>
              <w:t>122 (21)</w:t>
            </w:r>
          </w:p>
          <w:p w:rsidR="00852889" w:rsidRDefault="00852889" w:rsidP="00CE30A4">
            <w:pPr>
              <w:rPr>
                <w:rFonts w:ascii="Arial Narrow" w:hAnsi="Arial Narrow"/>
                <w:sz w:val="20"/>
              </w:rPr>
            </w:pPr>
          </w:p>
          <w:p w:rsidR="00852889" w:rsidRDefault="00852889" w:rsidP="00CE30A4">
            <w:pPr>
              <w:rPr>
                <w:rFonts w:ascii="Arial Narrow" w:hAnsi="Arial Narrow"/>
                <w:sz w:val="20"/>
              </w:rPr>
            </w:pPr>
          </w:p>
          <w:p w:rsidR="00852889" w:rsidRDefault="00852889" w:rsidP="00CE30A4">
            <w:pPr>
              <w:rPr>
                <w:rFonts w:ascii="Arial Narrow" w:hAnsi="Arial Narrow"/>
                <w:sz w:val="20"/>
              </w:rPr>
            </w:pPr>
          </w:p>
          <w:p w:rsidR="00852889" w:rsidRPr="002959B1" w:rsidRDefault="00852889" w:rsidP="00CE30A4">
            <w:pPr>
              <w:rPr>
                <w:rFonts w:ascii="Arial Narrow" w:hAnsi="Arial Narrow"/>
                <w:sz w:val="20"/>
              </w:rPr>
            </w:pPr>
            <w:r>
              <w:rPr>
                <w:rFonts w:ascii="Arial Narrow" w:hAnsi="Arial Narrow"/>
                <w:sz w:val="20"/>
              </w:rPr>
              <w:t xml:space="preserve">ASH December 2013 </w:t>
            </w:r>
          </w:p>
        </w:tc>
      </w:tr>
      <w:tr w:rsidR="00852889" w:rsidRPr="002959B1" w:rsidTr="00BC0026">
        <w:tc>
          <w:tcPr>
            <w:tcW w:w="594" w:type="pct"/>
            <w:tcBorders>
              <w:top w:val="single" w:sz="4" w:space="0" w:color="auto"/>
              <w:left w:val="single" w:sz="4" w:space="0" w:color="auto"/>
              <w:bottom w:val="single" w:sz="4" w:space="0" w:color="auto"/>
              <w:right w:val="single" w:sz="4" w:space="0" w:color="auto"/>
            </w:tcBorders>
          </w:tcPr>
          <w:p w:rsidR="00852889" w:rsidRPr="002959B1" w:rsidRDefault="00852889" w:rsidP="00CE30A4">
            <w:pPr>
              <w:rPr>
                <w:rFonts w:ascii="Arial Narrow" w:hAnsi="Arial Narrow"/>
                <w:sz w:val="20"/>
              </w:rPr>
            </w:pPr>
            <w:r>
              <w:rPr>
                <w:rFonts w:ascii="Arial Narrow" w:hAnsi="Arial Narrow"/>
                <w:sz w:val="20"/>
              </w:rPr>
              <w:t>Barosi 2012</w:t>
            </w:r>
          </w:p>
        </w:tc>
        <w:tc>
          <w:tcPr>
            <w:tcW w:w="2887" w:type="pct"/>
            <w:tcBorders>
              <w:top w:val="single" w:sz="4" w:space="0" w:color="auto"/>
              <w:left w:val="single" w:sz="4" w:space="0" w:color="auto"/>
              <w:bottom w:val="single" w:sz="4" w:space="0" w:color="auto"/>
              <w:right w:val="single" w:sz="4" w:space="0" w:color="auto"/>
            </w:tcBorders>
          </w:tcPr>
          <w:p w:rsidR="00852889" w:rsidRPr="002959B1" w:rsidRDefault="00852889" w:rsidP="00CE30A4">
            <w:pPr>
              <w:jc w:val="left"/>
              <w:rPr>
                <w:rFonts w:ascii="Arial Narrow" w:hAnsi="Arial Narrow"/>
                <w:sz w:val="20"/>
              </w:rPr>
            </w:pPr>
            <w:r>
              <w:rPr>
                <w:rFonts w:ascii="Arial Narrow" w:hAnsi="Arial Narrow"/>
                <w:sz w:val="20"/>
              </w:rPr>
              <w:t xml:space="preserve">Barosi G, Agarwal M, Zweegman S et al. </w:t>
            </w:r>
            <w:r w:rsidRPr="007F5B33">
              <w:rPr>
                <w:rFonts w:ascii="Arial Narrow" w:hAnsi="Arial Narrow"/>
                <w:sz w:val="20"/>
              </w:rPr>
              <w:t>An Individual Patient Supply Program for Ruxolitinib for the Treatment of Patients with Primary Myelofibrosis (PMF), Post-Polycythemia Vera Myelofibrosis (PPV-MF), or Post-Essential Thrombocythemia Myelofibrosis (PET-MF)</w:t>
            </w:r>
          </w:p>
        </w:tc>
        <w:tc>
          <w:tcPr>
            <w:tcW w:w="1519" w:type="pct"/>
            <w:tcBorders>
              <w:top w:val="single" w:sz="4" w:space="0" w:color="auto"/>
              <w:left w:val="single" w:sz="4" w:space="0" w:color="auto"/>
              <w:bottom w:val="single" w:sz="4" w:space="0" w:color="auto"/>
              <w:right w:val="single" w:sz="4" w:space="0" w:color="auto"/>
            </w:tcBorders>
          </w:tcPr>
          <w:p w:rsidR="00852889" w:rsidRPr="002959B1" w:rsidRDefault="00852889" w:rsidP="00CE30A4">
            <w:pPr>
              <w:rPr>
                <w:rFonts w:ascii="Arial Narrow" w:hAnsi="Arial Narrow"/>
                <w:sz w:val="20"/>
              </w:rPr>
            </w:pPr>
            <w:r w:rsidRPr="007F5B33">
              <w:rPr>
                <w:rFonts w:ascii="Arial Narrow" w:hAnsi="Arial Narrow"/>
                <w:sz w:val="20"/>
              </w:rPr>
              <w:t>ASH Annual Meeting Abstracts 2012; 120(21)</w:t>
            </w:r>
          </w:p>
        </w:tc>
      </w:tr>
      <w:tr w:rsidR="00852889" w:rsidRPr="002959B1" w:rsidTr="00BC0026">
        <w:tc>
          <w:tcPr>
            <w:tcW w:w="594" w:type="pct"/>
            <w:tcBorders>
              <w:top w:val="single" w:sz="4" w:space="0" w:color="auto"/>
              <w:left w:val="single" w:sz="4" w:space="0" w:color="auto"/>
              <w:bottom w:val="single" w:sz="4" w:space="0" w:color="auto"/>
              <w:right w:val="single" w:sz="4" w:space="0" w:color="auto"/>
            </w:tcBorders>
          </w:tcPr>
          <w:p w:rsidR="00852889" w:rsidRPr="002959B1" w:rsidRDefault="00852889" w:rsidP="00CE30A4">
            <w:pPr>
              <w:rPr>
                <w:rFonts w:ascii="Arial Narrow" w:hAnsi="Arial Narrow"/>
                <w:sz w:val="20"/>
              </w:rPr>
            </w:pPr>
            <w:r>
              <w:rPr>
                <w:rFonts w:ascii="Arial Narrow" w:hAnsi="Arial Narrow"/>
                <w:sz w:val="20"/>
              </w:rPr>
              <w:t>JUMP</w:t>
            </w:r>
          </w:p>
        </w:tc>
        <w:tc>
          <w:tcPr>
            <w:tcW w:w="2887" w:type="pct"/>
            <w:tcBorders>
              <w:top w:val="single" w:sz="4" w:space="0" w:color="auto"/>
              <w:left w:val="single" w:sz="4" w:space="0" w:color="auto"/>
              <w:bottom w:val="single" w:sz="4" w:space="0" w:color="auto"/>
              <w:right w:val="single" w:sz="4" w:space="0" w:color="auto"/>
            </w:tcBorders>
          </w:tcPr>
          <w:p w:rsidR="00852889" w:rsidRPr="00852889" w:rsidRDefault="009A3D87" w:rsidP="00CE30A4">
            <w:pPr>
              <w:jc w:val="left"/>
              <w:rPr>
                <w:rFonts w:ascii="Arial Narrow" w:hAnsi="Arial Narrow"/>
                <w:sz w:val="20"/>
              </w:rPr>
            </w:pPr>
            <w:r w:rsidRPr="00327297">
              <w:rPr>
                <w:rFonts w:ascii="Arial Narrow" w:hAnsi="Arial Narrow"/>
                <w:sz w:val="20"/>
                <w:lang w:val="fr-FR"/>
              </w:rPr>
              <w:t>Martino B, le Coutre P, Fr</w:t>
            </w:r>
            <w:r w:rsidR="00852889" w:rsidRPr="00327297">
              <w:rPr>
                <w:rFonts w:ascii="Arial Narrow" w:hAnsi="Arial Narrow"/>
                <w:sz w:val="20"/>
                <w:lang w:val="fr-FR"/>
              </w:rPr>
              <w:t xml:space="preserve">iesshammer M et al. </w:t>
            </w:r>
            <w:r w:rsidR="00852889" w:rsidRPr="00A840EF">
              <w:rPr>
                <w:rFonts w:ascii="Arial Narrow" w:hAnsi="Arial Narrow"/>
                <w:sz w:val="20"/>
              </w:rPr>
              <w:t>Safety and Efficacy of Ruxolitinib in an Open-Label, Multicenter, Single-Arm, Expanded-Access Study in Patients with Myelofibrosis (MF): An 1144-Patient Update</w:t>
            </w:r>
          </w:p>
        </w:tc>
        <w:tc>
          <w:tcPr>
            <w:tcW w:w="1519" w:type="pct"/>
            <w:tcBorders>
              <w:top w:val="single" w:sz="4" w:space="0" w:color="auto"/>
              <w:left w:val="single" w:sz="4" w:space="0" w:color="auto"/>
              <w:bottom w:val="single" w:sz="4" w:space="0" w:color="auto"/>
              <w:right w:val="single" w:sz="4" w:space="0" w:color="auto"/>
            </w:tcBorders>
          </w:tcPr>
          <w:p w:rsidR="00852889" w:rsidRPr="002959B1" w:rsidRDefault="00852889" w:rsidP="00852889">
            <w:pPr>
              <w:jc w:val="left"/>
              <w:rPr>
                <w:rFonts w:ascii="Arial Narrow" w:hAnsi="Arial Narrow"/>
                <w:sz w:val="20"/>
              </w:rPr>
            </w:pPr>
            <w:r>
              <w:rPr>
                <w:rFonts w:ascii="Arial Narrow" w:hAnsi="Arial Narrow"/>
                <w:sz w:val="20"/>
              </w:rPr>
              <w:t xml:space="preserve">ASH Annual meeting Abstracts 2014. Available from </w:t>
            </w:r>
            <w:r w:rsidRPr="00023DE7">
              <w:rPr>
                <w:rFonts w:ascii="Arial Narrow" w:hAnsi="Arial Narrow"/>
                <w:sz w:val="20"/>
              </w:rPr>
              <w:t>https://ash.confex.com/ash/2014/webprogram/Paper70819.html</w:t>
            </w:r>
            <w:r>
              <w:rPr>
                <w:rFonts w:ascii="Arial Narrow" w:hAnsi="Arial Narrow"/>
                <w:sz w:val="20"/>
              </w:rPr>
              <w:t xml:space="preserve"> </w:t>
            </w:r>
          </w:p>
        </w:tc>
      </w:tr>
    </w:tbl>
    <w:p w:rsidR="001B6188" w:rsidRPr="00294366" w:rsidRDefault="00961AF9" w:rsidP="008C443C">
      <w:pPr>
        <w:pStyle w:val="TableFooter"/>
        <w:ind w:firstLine="709"/>
        <w:rPr>
          <w:sz w:val="20"/>
        </w:rPr>
      </w:pPr>
      <w:r w:rsidRPr="00294366">
        <w:rPr>
          <w:sz w:val="20"/>
        </w:rPr>
        <w:t xml:space="preserve">Source: </w:t>
      </w:r>
      <w:r w:rsidR="008C443C" w:rsidRPr="00294366">
        <w:rPr>
          <w:sz w:val="20"/>
        </w:rPr>
        <w:t>Table B.2-4, pp66-69 the re-submission.</w:t>
      </w:r>
    </w:p>
    <w:p w:rsidR="001B6188" w:rsidRPr="001B6188" w:rsidRDefault="001B6188" w:rsidP="001B6188">
      <w:pPr>
        <w:widowControl/>
        <w:rPr>
          <w:szCs w:val="22"/>
        </w:rPr>
      </w:pPr>
    </w:p>
    <w:p w:rsidR="00C34E09" w:rsidRPr="00C34E09" w:rsidRDefault="00961AF9" w:rsidP="00C34E09">
      <w:pPr>
        <w:pStyle w:val="ListParagraph"/>
        <w:widowControl/>
        <w:numPr>
          <w:ilvl w:val="1"/>
          <w:numId w:val="1"/>
        </w:numPr>
        <w:rPr>
          <w:rFonts w:ascii="Arial Narrow" w:hAnsi="Arial Narrow"/>
          <w:b/>
          <w:sz w:val="20"/>
          <w:szCs w:val="16"/>
        </w:rPr>
      </w:pPr>
      <w:r w:rsidRPr="008C443C">
        <w:rPr>
          <w:szCs w:val="22"/>
        </w:rPr>
        <w:t>The key features o</w:t>
      </w:r>
      <w:r w:rsidR="008C443C" w:rsidRPr="008C443C">
        <w:rPr>
          <w:szCs w:val="22"/>
        </w:rPr>
        <w:t>f the direct randomised trial</w:t>
      </w:r>
      <w:r w:rsidRPr="008C443C">
        <w:rPr>
          <w:szCs w:val="22"/>
        </w:rPr>
        <w:t xml:space="preserve"> </w:t>
      </w:r>
      <w:r w:rsidR="00B01353">
        <w:rPr>
          <w:szCs w:val="22"/>
        </w:rPr>
        <w:t>are</w:t>
      </w:r>
      <w:r w:rsidR="008C443C" w:rsidRPr="008C443C">
        <w:rPr>
          <w:szCs w:val="22"/>
        </w:rPr>
        <w:t xml:space="preserve"> </w:t>
      </w:r>
      <w:r w:rsidRPr="008C443C">
        <w:rPr>
          <w:szCs w:val="22"/>
        </w:rPr>
        <w:t xml:space="preserve">summarised in </w:t>
      </w:r>
      <w:r w:rsidR="004B20FC">
        <w:rPr>
          <w:szCs w:val="22"/>
        </w:rPr>
        <w:t>the table below</w:t>
      </w:r>
      <w:r w:rsidRPr="008C443C">
        <w:rPr>
          <w:szCs w:val="22"/>
        </w:rPr>
        <w:t>.</w:t>
      </w:r>
      <w:r w:rsidR="00C34E09" w:rsidRPr="00C34E09">
        <w:rPr>
          <w:rFonts w:ascii="Arial Narrow" w:hAnsi="Arial Narrow"/>
          <w:b/>
          <w:sz w:val="20"/>
          <w:szCs w:val="16"/>
        </w:rPr>
        <w:t xml:space="preserve"> </w:t>
      </w:r>
    </w:p>
    <w:p w:rsidR="00C34E09" w:rsidRDefault="00C34E09" w:rsidP="008C443C">
      <w:pPr>
        <w:ind w:firstLine="720"/>
        <w:rPr>
          <w:rStyle w:val="CommentReference"/>
        </w:rPr>
      </w:pPr>
    </w:p>
    <w:p w:rsidR="008C443C" w:rsidRDefault="008C443C" w:rsidP="008C443C">
      <w:pPr>
        <w:ind w:firstLine="720"/>
        <w:rPr>
          <w:rStyle w:val="CommentReference"/>
        </w:rPr>
      </w:pPr>
      <w:r w:rsidRPr="00A13948">
        <w:rPr>
          <w:rStyle w:val="CommentReference"/>
        </w:rPr>
        <w:lastRenderedPageBreak/>
        <w:t>Key features of the included evidence</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Key features of the included evidence (randomised direct trial)"/>
      </w:tblPr>
      <w:tblGrid>
        <w:gridCol w:w="994"/>
        <w:gridCol w:w="472"/>
        <w:gridCol w:w="1881"/>
        <w:gridCol w:w="611"/>
        <w:gridCol w:w="1699"/>
        <w:gridCol w:w="1396"/>
        <w:gridCol w:w="1294"/>
      </w:tblGrid>
      <w:tr w:rsidR="008C443C" w:rsidRPr="00ED0F04" w:rsidTr="00BC0026">
        <w:trPr>
          <w:tblHeader/>
        </w:trPr>
        <w:tc>
          <w:tcPr>
            <w:tcW w:w="595" w:type="pct"/>
            <w:shd w:val="clear" w:color="auto" w:fill="FFFFFF" w:themeFill="background1"/>
            <w:vAlign w:val="center"/>
          </w:tcPr>
          <w:p w:rsidR="008C443C" w:rsidRPr="00ED0F04" w:rsidRDefault="008C443C" w:rsidP="00A25A11">
            <w:pPr>
              <w:jc w:val="left"/>
              <w:rPr>
                <w:rFonts w:ascii="Arial Narrow" w:hAnsi="Arial Narrow"/>
                <w:b/>
                <w:sz w:val="20"/>
                <w:lang w:val="en-US"/>
              </w:rPr>
            </w:pPr>
            <w:r w:rsidRPr="00ED0F04">
              <w:rPr>
                <w:rFonts w:ascii="Arial Narrow" w:hAnsi="Arial Narrow"/>
                <w:b/>
                <w:sz w:val="20"/>
                <w:lang w:val="en-US"/>
              </w:rPr>
              <w:t>Trial</w:t>
            </w:r>
          </w:p>
        </w:tc>
        <w:tc>
          <w:tcPr>
            <w:tcW w:w="283" w:type="pct"/>
            <w:shd w:val="clear" w:color="auto" w:fill="FFFFFF" w:themeFill="background1"/>
            <w:vAlign w:val="center"/>
          </w:tcPr>
          <w:p w:rsidR="008C443C" w:rsidRPr="00ED0F04" w:rsidRDefault="008C443C" w:rsidP="00A25A11">
            <w:pPr>
              <w:jc w:val="center"/>
              <w:rPr>
                <w:rFonts w:ascii="Arial Narrow" w:hAnsi="Arial Narrow"/>
                <w:b/>
                <w:sz w:val="20"/>
                <w:lang w:val="en-US"/>
              </w:rPr>
            </w:pPr>
            <w:r w:rsidRPr="00ED0F04">
              <w:rPr>
                <w:rFonts w:ascii="Arial Narrow" w:hAnsi="Arial Narrow"/>
                <w:b/>
                <w:sz w:val="20"/>
                <w:lang w:val="en-US"/>
              </w:rPr>
              <w:t>N</w:t>
            </w:r>
          </w:p>
        </w:tc>
        <w:tc>
          <w:tcPr>
            <w:tcW w:w="1127" w:type="pct"/>
            <w:shd w:val="clear" w:color="auto" w:fill="FFFFFF" w:themeFill="background1"/>
            <w:vAlign w:val="center"/>
          </w:tcPr>
          <w:p w:rsidR="008C443C" w:rsidRPr="00ED0F04" w:rsidRDefault="008C443C" w:rsidP="00A25A11">
            <w:pPr>
              <w:jc w:val="center"/>
              <w:rPr>
                <w:rFonts w:ascii="Arial Narrow" w:hAnsi="Arial Narrow"/>
                <w:b/>
                <w:sz w:val="20"/>
                <w:lang w:val="en-US"/>
              </w:rPr>
            </w:pPr>
            <w:r w:rsidRPr="00ED0F04">
              <w:rPr>
                <w:rFonts w:ascii="Arial Narrow" w:hAnsi="Arial Narrow"/>
                <w:b/>
                <w:sz w:val="20"/>
                <w:lang w:val="en-US"/>
              </w:rPr>
              <w:t>Design/ duration</w:t>
            </w:r>
          </w:p>
        </w:tc>
        <w:tc>
          <w:tcPr>
            <w:tcW w:w="366" w:type="pct"/>
            <w:shd w:val="clear" w:color="auto" w:fill="FFFFFF" w:themeFill="background1"/>
            <w:vAlign w:val="center"/>
          </w:tcPr>
          <w:p w:rsidR="008C443C" w:rsidRPr="00ED0F04" w:rsidRDefault="008C443C" w:rsidP="00A25A11">
            <w:pPr>
              <w:jc w:val="center"/>
              <w:rPr>
                <w:rFonts w:ascii="Arial Narrow" w:hAnsi="Arial Narrow"/>
                <w:b/>
                <w:sz w:val="20"/>
                <w:lang w:val="en-US"/>
              </w:rPr>
            </w:pPr>
            <w:r w:rsidRPr="00ED0F04">
              <w:rPr>
                <w:rFonts w:ascii="Arial Narrow" w:hAnsi="Arial Narrow"/>
                <w:b/>
                <w:sz w:val="20"/>
                <w:lang w:val="en-US"/>
              </w:rPr>
              <w:t>Risk of bias</w:t>
            </w:r>
          </w:p>
        </w:tc>
        <w:tc>
          <w:tcPr>
            <w:tcW w:w="1018" w:type="pct"/>
            <w:shd w:val="clear" w:color="auto" w:fill="FFFFFF" w:themeFill="background1"/>
            <w:vAlign w:val="center"/>
          </w:tcPr>
          <w:p w:rsidR="008C443C" w:rsidRPr="00ED0F04" w:rsidRDefault="008C443C" w:rsidP="00A25A11">
            <w:pPr>
              <w:jc w:val="center"/>
              <w:rPr>
                <w:rFonts w:ascii="Arial Narrow" w:hAnsi="Arial Narrow"/>
                <w:b/>
                <w:sz w:val="20"/>
                <w:lang w:val="en-US"/>
              </w:rPr>
            </w:pPr>
            <w:r w:rsidRPr="00ED0F04">
              <w:rPr>
                <w:rFonts w:ascii="Arial Narrow" w:hAnsi="Arial Narrow"/>
                <w:b/>
                <w:sz w:val="20"/>
                <w:lang w:val="en-US"/>
              </w:rPr>
              <w:t>Patient population</w:t>
            </w:r>
          </w:p>
        </w:tc>
        <w:tc>
          <w:tcPr>
            <w:tcW w:w="836" w:type="pct"/>
            <w:shd w:val="clear" w:color="auto" w:fill="FFFFFF" w:themeFill="background1"/>
            <w:vAlign w:val="center"/>
          </w:tcPr>
          <w:p w:rsidR="008C443C" w:rsidRPr="00ED0F04" w:rsidRDefault="008C443C" w:rsidP="00A25A11">
            <w:pPr>
              <w:jc w:val="center"/>
              <w:rPr>
                <w:rFonts w:ascii="Arial Narrow" w:hAnsi="Arial Narrow"/>
                <w:b/>
                <w:sz w:val="20"/>
                <w:lang w:val="en-US"/>
              </w:rPr>
            </w:pPr>
            <w:r>
              <w:rPr>
                <w:rFonts w:ascii="Arial Narrow" w:hAnsi="Arial Narrow"/>
                <w:b/>
                <w:sz w:val="20"/>
                <w:lang w:val="en-US"/>
              </w:rPr>
              <w:t>Outcome</w:t>
            </w:r>
            <w:r w:rsidRPr="00ED0F04">
              <w:rPr>
                <w:rFonts w:ascii="Arial Narrow" w:hAnsi="Arial Narrow"/>
                <w:b/>
                <w:sz w:val="20"/>
                <w:lang w:val="en-US"/>
              </w:rPr>
              <w:t>s</w:t>
            </w:r>
          </w:p>
        </w:tc>
        <w:tc>
          <w:tcPr>
            <w:tcW w:w="775" w:type="pct"/>
            <w:shd w:val="clear" w:color="auto" w:fill="FFFFFF" w:themeFill="background1"/>
            <w:vAlign w:val="center"/>
          </w:tcPr>
          <w:p w:rsidR="008C443C" w:rsidRPr="00ED0F04" w:rsidRDefault="008C443C" w:rsidP="00A25A11">
            <w:pPr>
              <w:jc w:val="center"/>
              <w:rPr>
                <w:rFonts w:ascii="Arial Narrow" w:hAnsi="Arial Narrow"/>
                <w:b/>
                <w:sz w:val="20"/>
                <w:lang w:val="en-US"/>
              </w:rPr>
            </w:pPr>
            <w:r w:rsidRPr="00ED0F04">
              <w:rPr>
                <w:rFonts w:ascii="Arial Narrow" w:hAnsi="Arial Narrow"/>
                <w:b/>
                <w:sz w:val="20"/>
                <w:lang w:val="en-US"/>
              </w:rPr>
              <w:t>Use in modelled evaluation</w:t>
            </w:r>
          </w:p>
        </w:tc>
      </w:tr>
      <w:tr w:rsidR="008C443C" w:rsidRPr="00ED0F04" w:rsidTr="00BC0026">
        <w:tc>
          <w:tcPr>
            <w:tcW w:w="5000" w:type="pct"/>
            <w:gridSpan w:val="7"/>
            <w:shd w:val="clear" w:color="auto" w:fill="auto"/>
            <w:vAlign w:val="center"/>
          </w:tcPr>
          <w:p w:rsidR="008C443C" w:rsidRPr="00ED0F04" w:rsidRDefault="008C443C" w:rsidP="00A25A11">
            <w:pPr>
              <w:jc w:val="left"/>
              <w:rPr>
                <w:rFonts w:ascii="Arial Narrow" w:hAnsi="Arial Narrow"/>
                <w:b/>
                <w:sz w:val="20"/>
                <w:lang w:val="en-US"/>
              </w:rPr>
            </w:pPr>
            <w:r>
              <w:rPr>
                <w:rFonts w:ascii="Arial Narrow" w:hAnsi="Arial Narrow"/>
                <w:b/>
                <w:sz w:val="20"/>
                <w:lang w:val="en-US"/>
              </w:rPr>
              <w:t>Ruxolitinib vs Placebo</w:t>
            </w:r>
          </w:p>
        </w:tc>
      </w:tr>
      <w:tr w:rsidR="008C443C" w:rsidRPr="00ED0F04" w:rsidTr="00BC0026">
        <w:tc>
          <w:tcPr>
            <w:tcW w:w="595" w:type="pct"/>
            <w:shd w:val="clear" w:color="auto" w:fill="auto"/>
            <w:vAlign w:val="center"/>
          </w:tcPr>
          <w:p w:rsidR="008C443C" w:rsidRPr="00ED0F04" w:rsidRDefault="008C443C" w:rsidP="00852889">
            <w:pPr>
              <w:jc w:val="left"/>
              <w:rPr>
                <w:rFonts w:ascii="Arial Narrow" w:hAnsi="Arial Narrow"/>
                <w:sz w:val="20"/>
                <w:lang w:val="en-US"/>
              </w:rPr>
            </w:pPr>
            <w:r>
              <w:rPr>
                <w:rFonts w:ascii="Arial Narrow" w:hAnsi="Arial Narrow"/>
                <w:sz w:val="20"/>
                <w:lang w:val="en-US"/>
              </w:rPr>
              <w:t>COMFORT</w:t>
            </w:r>
            <w:r w:rsidR="00852889">
              <w:rPr>
                <w:rFonts w:ascii="Arial Narrow" w:hAnsi="Arial Narrow"/>
                <w:sz w:val="20"/>
                <w:lang w:val="en-US"/>
              </w:rPr>
              <w:t>-</w:t>
            </w:r>
            <w:r>
              <w:rPr>
                <w:rFonts w:ascii="Arial Narrow" w:hAnsi="Arial Narrow"/>
                <w:sz w:val="20"/>
                <w:lang w:val="en-US"/>
              </w:rPr>
              <w:t>I</w:t>
            </w:r>
          </w:p>
        </w:tc>
        <w:tc>
          <w:tcPr>
            <w:tcW w:w="283" w:type="pct"/>
            <w:shd w:val="clear" w:color="auto" w:fill="auto"/>
            <w:vAlign w:val="center"/>
          </w:tcPr>
          <w:p w:rsidR="008C443C" w:rsidRPr="00ED0F04" w:rsidRDefault="008C443C" w:rsidP="00A25A11">
            <w:pPr>
              <w:jc w:val="center"/>
              <w:rPr>
                <w:rFonts w:ascii="Arial Narrow" w:hAnsi="Arial Narrow"/>
                <w:sz w:val="20"/>
                <w:lang w:val="en-US"/>
              </w:rPr>
            </w:pPr>
            <w:r>
              <w:rPr>
                <w:rFonts w:ascii="Arial Narrow" w:hAnsi="Arial Narrow"/>
                <w:sz w:val="20"/>
                <w:lang w:val="en-US"/>
              </w:rPr>
              <w:t>309</w:t>
            </w:r>
          </w:p>
        </w:tc>
        <w:tc>
          <w:tcPr>
            <w:tcW w:w="1127" w:type="pct"/>
            <w:shd w:val="clear" w:color="auto" w:fill="auto"/>
            <w:vAlign w:val="center"/>
          </w:tcPr>
          <w:p w:rsidR="008C443C" w:rsidRPr="00ED0F04" w:rsidRDefault="008C443C" w:rsidP="00A25A11">
            <w:pPr>
              <w:jc w:val="center"/>
              <w:rPr>
                <w:rFonts w:ascii="Arial Narrow" w:hAnsi="Arial Narrow"/>
                <w:sz w:val="20"/>
                <w:lang w:val="en-US"/>
              </w:rPr>
            </w:pPr>
            <w:r w:rsidRPr="00ED0F04">
              <w:rPr>
                <w:rFonts w:ascii="Arial Narrow" w:hAnsi="Arial Narrow"/>
                <w:sz w:val="20"/>
                <w:lang w:val="en-US"/>
              </w:rPr>
              <w:t>R, DB</w:t>
            </w:r>
          </w:p>
          <w:p w:rsidR="008C443C" w:rsidRDefault="008C443C" w:rsidP="00A25A11">
            <w:pPr>
              <w:jc w:val="center"/>
              <w:rPr>
                <w:rFonts w:ascii="Arial Narrow" w:hAnsi="Arial Narrow"/>
                <w:sz w:val="20"/>
                <w:lang w:val="en-US"/>
              </w:rPr>
            </w:pPr>
            <w:r>
              <w:rPr>
                <w:rFonts w:ascii="Arial Narrow" w:hAnsi="Arial Narrow"/>
                <w:sz w:val="20"/>
                <w:lang w:val="en-US"/>
              </w:rPr>
              <w:t>24 week plus extension study (144 weeks FU so far)</w:t>
            </w:r>
          </w:p>
          <w:p w:rsidR="008C443C" w:rsidRPr="00ED0F04" w:rsidRDefault="008C443C" w:rsidP="00A25A11">
            <w:pPr>
              <w:jc w:val="center"/>
              <w:rPr>
                <w:rFonts w:ascii="Arial Narrow" w:hAnsi="Arial Narrow"/>
                <w:sz w:val="20"/>
                <w:lang w:val="en-US"/>
              </w:rPr>
            </w:pPr>
            <w:r>
              <w:rPr>
                <w:rFonts w:ascii="Arial Narrow" w:hAnsi="Arial Narrow"/>
                <w:sz w:val="20"/>
                <w:lang w:val="en-US"/>
              </w:rPr>
              <w:t>Cross over allowed during DB period</w:t>
            </w:r>
          </w:p>
        </w:tc>
        <w:tc>
          <w:tcPr>
            <w:tcW w:w="366" w:type="pct"/>
            <w:shd w:val="clear" w:color="auto" w:fill="auto"/>
            <w:vAlign w:val="center"/>
          </w:tcPr>
          <w:p w:rsidR="008C443C" w:rsidRPr="00ED0F04" w:rsidRDefault="008C443C" w:rsidP="00A25A11">
            <w:pPr>
              <w:jc w:val="center"/>
              <w:rPr>
                <w:rFonts w:ascii="Arial Narrow" w:hAnsi="Arial Narrow"/>
                <w:sz w:val="20"/>
                <w:lang w:val="en-US"/>
              </w:rPr>
            </w:pPr>
            <w:r w:rsidRPr="00ED0F04">
              <w:rPr>
                <w:rFonts w:ascii="Arial Narrow" w:hAnsi="Arial Narrow"/>
                <w:sz w:val="20"/>
                <w:lang w:val="en-US"/>
              </w:rPr>
              <w:t>Low</w:t>
            </w:r>
            <w:r>
              <w:rPr>
                <w:rFonts w:ascii="Arial Narrow" w:hAnsi="Arial Narrow"/>
                <w:sz w:val="20"/>
                <w:lang w:val="en-US"/>
              </w:rPr>
              <w:t xml:space="preserve"> during R DB phase</w:t>
            </w:r>
          </w:p>
        </w:tc>
        <w:tc>
          <w:tcPr>
            <w:tcW w:w="1018" w:type="pct"/>
            <w:shd w:val="clear" w:color="auto" w:fill="auto"/>
            <w:vAlign w:val="center"/>
          </w:tcPr>
          <w:p w:rsidR="008C443C" w:rsidRPr="00ED0F04" w:rsidRDefault="008C443C" w:rsidP="00A25A11">
            <w:pPr>
              <w:jc w:val="center"/>
              <w:rPr>
                <w:rFonts w:ascii="Arial Narrow" w:hAnsi="Arial Narrow"/>
                <w:sz w:val="20"/>
                <w:lang w:val="en-US"/>
              </w:rPr>
            </w:pPr>
            <w:r>
              <w:rPr>
                <w:rFonts w:ascii="Arial Narrow" w:hAnsi="Arial Narrow"/>
                <w:sz w:val="20"/>
                <w:lang w:val="en-US"/>
              </w:rPr>
              <w:t>IPSS intermediate 2 or high risk, splenomegaly, refractory or intolerant to BAT</w:t>
            </w:r>
          </w:p>
        </w:tc>
        <w:tc>
          <w:tcPr>
            <w:tcW w:w="836" w:type="pct"/>
            <w:shd w:val="clear" w:color="auto" w:fill="auto"/>
            <w:vAlign w:val="center"/>
          </w:tcPr>
          <w:p w:rsidR="008C443C" w:rsidRDefault="008C443C" w:rsidP="00A25A11">
            <w:pPr>
              <w:jc w:val="center"/>
              <w:rPr>
                <w:rFonts w:ascii="Arial Narrow" w:hAnsi="Arial Narrow"/>
                <w:sz w:val="20"/>
                <w:lang w:val="en-US"/>
              </w:rPr>
            </w:pPr>
            <w:r>
              <w:rPr>
                <w:rFonts w:ascii="Arial Narrow" w:hAnsi="Arial Narrow"/>
                <w:sz w:val="20"/>
                <w:lang w:val="en-US"/>
              </w:rPr>
              <w:t xml:space="preserve">Patients with ≥35%reduction in spleen volume </w:t>
            </w:r>
          </w:p>
          <w:p w:rsidR="008C443C" w:rsidRDefault="008C443C" w:rsidP="00A25A11">
            <w:pPr>
              <w:jc w:val="center"/>
              <w:rPr>
                <w:rFonts w:ascii="Arial Narrow" w:hAnsi="Arial Narrow"/>
                <w:sz w:val="20"/>
                <w:lang w:val="en-US"/>
              </w:rPr>
            </w:pPr>
            <w:r w:rsidRPr="00ED0F04">
              <w:rPr>
                <w:rFonts w:ascii="Arial Narrow" w:hAnsi="Arial Narrow"/>
                <w:sz w:val="20"/>
                <w:lang w:val="en-US"/>
              </w:rPr>
              <w:t>OS</w:t>
            </w:r>
            <w:r>
              <w:rPr>
                <w:rFonts w:ascii="Arial Narrow" w:hAnsi="Arial Narrow"/>
                <w:sz w:val="20"/>
                <w:lang w:val="en-US"/>
              </w:rPr>
              <w:t xml:space="preserve"> </w:t>
            </w:r>
          </w:p>
          <w:p w:rsidR="008C443C" w:rsidRPr="00ED0F04" w:rsidRDefault="008C443C" w:rsidP="00A25A11">
            <w:pPr>
              <w:jc w:val="center"/>
              <w:rPr>
                <w:rFonts w:ascii="Arial Narrow" w:hAnsi="Arial Narrow"/>
                <w:sz w:val="20"/>
                <w:lang w:val="en-US"/>
              </w:rPr>
            </w:pPr>
            <w:r>
              <w:rPr>
                <w:rFonts w:ascii="Arial Narrow" w:hAnsi="Arial Narrow"/>
                <w:sz w:val="20"/>
                <w:lang w:val="en-US"/>
              </w:rPr>
              <w:t>MF symptom</w:t>
            </w:r>
          </w:p>
        </w:tc>
        <w:tc>
          <w:tcPr>
            <w:tcW w:w="775" w:type="pct"/>
            <w:shd w:val="clear" w:color="auto" w:fill="auto"/>
            <w:vAlign w:val="center"/>
          </w:tcPr>
          <w:p w:rsidR="008C443C" w:rsidRPr="00ED0F04" w:rsidRDefault="008C443C" w:rsidP="00A25A11">
            <w:pPr>
              <w:jc w:val="center"/>
              <w:rPr>
                <w:rFonts w:ascii="Arial Narrow" w:hAnsi="Arial Narrow"/>
                <w:sz w:val="20"/>
                <w:lang w:val="en-US"/>
              </w:rPr>
            </w:pPr>
            <w:r>
              <w:rPr>
                <w:rFonts w:ascii="Arial Narrow" w:hAnsi="Arial Narrow"/>
                <w:sz w:val="20"/>
                <w:lang w:val="en-US"/>
              </w:rPr>
              <w:t>Yes primary source of evidence</w:t>
            </w:r>
          </w:p>
        </w:tc>
      </w:tr>
      <w:tr w:rsidR="00852889" w:rsidRPr="00ED0F04" w:rsidTr="00BC0026">
        <w:tc>
          <w:tcPr>
            <w:tcW w:w="5000" w:type="pct"/>
            <w:gridSpan w:val="7"/>
            <w:shd w:val="clear" w:color="auto" w:fill="auto"/>
            <w:vAlign w:val="center"/>
          </w:tcPr>
          <w:p w:rsidR="00852889" w:rsidRPr="002D1E18" w:rsidRDefault="00852889" w:rsidP="00CE30A4">
            <w:pPr>
              <w:jc w:val="left"/>
              <w:rPr>
                <w:rFonts w:ascii="Arial Narrow" w:hAnsi="Arial Narrow"/>
                <w:b/>
                <w:sz w:val="20"/>
                <w:lang w:val="en-US"/>
              </w:rPr>
            </w:pPr>
            <w:r w:rsidRPr="002D1E18">
              <w:rPr>
                <w:rFonts w:ascii="Arial Narrow" w:hAnsi="Arial Narrow"/>
                <w:b/>
                <w:sz w:val="20"/>
                <w:lang w:val="en-US"/>
              </w:rPr>
              <w:t>Ruxolitinib versus BAT</w:t>
            </w:r>
          </w:p>
        </w:tc>
      </w:tr>
      <w:tr w:rsidR="00852889" w:rsidRPr="00ED0F04" w:rsidTr="00BC0026">
        <w:trPr>
          <w:trHeight w:val="915"/>
        </w:trPr>
        <w:tc>
          <w:tcPr>
            <w:tcW w:w="595" w:type="pct"/>
            <w:shd w:val="clear" w:color="auto" w:fill="auto"/>
            <w:vAlign w:val="center"/>
          </w:tcPr>
          <w:p w:rsidR="00852889" w:rsidRPr="00ED0F04" w:rsidRDefault="00852889" w:rsidP="00852889">
            <w:pPr>
              <w:jc w:val="left"/>
              <w:rPr>
                <w:rFonts w:ascii="Arial Narrow" w:hAnsi="Arial Narrow"/>
                <w:sz w:val="20"/>
                <w:lang w:val="en-US"/>
              </w:rPr>
            </w:pPr>
            <w:r>
              <w:rPr>
                <w:rFonts w:ascii="Arial Narrow" w:hAnsi="Arial Narrow"/>
                <w:sz w:val="20"/>
                <w:lang w:val="en-US"/>
              </w:rPr>
              <w:t>COMFORT-II</w:t>
            </w:r>
          </w:p>
        </w:tc>
        <w:tc>
          <w:tcPr>
            <w:tcW w:w="283" w:type="pct"/>
            <w:shd w:val="clear" w:color="auto" w:fill="auto"/>
            <w:vAlign w:val="center"/>
          </w:tcPr>
          <w:p w:rsidR="00852889" w:rsidRPr="00ED0F04" w:rsidRDefault="00852889" w:rsidP="00CE30A4">
            <w:pPr>
              <w:jc w:val="center"/>
              <w:rPr>
                <w:rFonts w:ascii="Arial Narrow" w:hAnsi="Arial Narrow"/>
                <w:sz w:val="20"/>
                <w:lang w:val="en-US"/>
              </w:rPr>
            </w:pPr>
            <w:r>
              <w:rPr>
                <w:rFonts w:ascii="Arial Narrow" w:hAnsi="Arial Narrow"/>
                <w:sz w:val="20"/>
                <w:lang w:val="en-US"/>
              </w:rPr>
              <w:t>219</w:t>
            </w:r>
          </w:p>
        </w:tc>
        <w:tc>
          <w:tcPr>
            <w:tcW w:w="1127" w:type="pct"/>
            <w:shd w:val="clear" w:color="auto" w:fill="auto"/>
            <w:vAlign w:val="center"/>
          </w:tcPr>
          <w:p w:rsidR="00852889" w:rsidRPr="00ED0F04" w:rsidRDefault="00852889" w:rsidP="00CE30A4">
            <w:pPr>
              <w:jc w:val="center"/>
              <w:rPr>
                <w:rFonts w:ascii="Arial Narrow" w:hAnsi="Arial Narrow"/>
                <w:sz w:val="20"/>
                <w:lang w:val="en-US"/>
              </w:rPr>
            </w:pPr>
            <w:r w:rsidRPr="00ED0F04">
              <w:rPr>
                <w:rFonts w:ascii="Arial Narrow" w:hAnsi="Arial Narrow"/>
                <w:sz w:val="20"/>
                <w:lang w:val="en-US"/>
              </w:rPr>
              <w:t>R, OL</w:t>
            </w:r>
          </w:p>
          <w:p w:rsidR="00852889" w:rsidRDefault="00852889" w:rsidP="00CE30A4">
            <w:pPr>
              <w:jc w:val="center"/>
              <w:rPr>
                <w:rFonts w:ascii="Arial Narrow" w:hAnsi="Arial Narrow"/>
                <w:sz w:val="20"/>
                <w:lang w:val="en-US"/>
              </w:rPr>
            </w:pPr>
            <w:r>
              <w:rPr>
                <w:rFonts w:ascii="Arial Narrow" w:hAnsi="Arial Narrow"/>
                <w:sz w:val="20"/>
                <w:lang w:val="en-US"/>
              </w:rPr>
              <w:t>48 weeks plus extension study (144 weeks FU so far)</w:t>
            </w:r>
          </w:p>
          <w:p w:rsidR="00852889" w:rsidRPr="00ED0F04" w:rsidRDefault="00852889" w:rsidP="00CE30A4">
            <w:pPr>
              <w:jc w:val="center"/>
              <w:rPr>
                <w:rFonts w:ascii="Arial Narrow" w:hAnsi="Arial Narrow"/>
                <w:sz w:val="20"/>
                <w:lang w:val="en-US"/>
              </w:rPr>
            </w:pPr>
            <w:r>
              <w:rPr>
                <w:rFonts w:ascii="Arial Narrow" w:hAnsi="Arial Narrow"/>
                <w:sz w:val="20"/>
                <w:lang w:val="en-US"/>
              </w:rPr>
              <w:t>Cross over allowed at end of DB period, but those who discontinued*could continue to the crossover/extension  phase</w:t>
            </w:r>
          </w:p>
        </w:tc>
        <w:tc>
          <w:tcPr>
            <w:tcW w:w="366" w:type="pct"/>
            <w:shd w:val="clear" w:color="auto" w:fill="auto"/>
            <w:vAlign w:val="center"/>
          </w:tcPr>
          <w:p w:rsidR="00852889" w:rsidRPr="00ED0F04" w:rsidRDefault="00852889" w:rsidP="00CE30A4">
            <w:pPr>
              <w:jc w:val="center"/>
              <w:rPr>
                <w:rFonts w:ascii="Arial Narrow" w:hAnsi="Arial Narrow"/>
                <w:sz w:val="20"/>
                <w:lang w:val="en-US"/>
              </w:rPr>
            </w:pPr>
            <w:r w:rsidRPr="00ED0F04">
              <w:rPr>
                <w:rFonts w:ascii="Arial Narrow" w:hAnsi="Arial Narrow"/>
                <w:sz w:val="20"/>
                <w:lang w:val="en-US"/>
              </w:rPr>
              <w:t>Low</w:t>
            </w:r>
            <w:r>
              <w:rPr>
                <w:rFonts w:ascii="Arial Narrow" w:hAnsi="Arial Narrow"/>
                <w:sz w:val="20"/>
                <w:lang w:val="en-US"/>
              </w:rPr>
              <w:t xml:space="preserve"> during R DB phase</w:t>
            </w:r>
          </w:p>
        </w:tc>
        <w:tc>
          <w:tcPr>
            <w:tcW w:w="1018" w:type="pct"/>
            <w:shd w:val="clear" w:color="auto" w:fill="auto"/>
            <w:vAlign w:val="center"/>
          </w:tcPr>
          <w:p w:rsidR="00852889" w:rsidRPr="00ED0F04" w:rsidRDefault="00852889" w:rsidP="00CE30A4">
            <w:pPr>
              <w:jc w:val="center"/>
              <w:rPr>
                <w:rFonts w:ascii="Arial Narrow" w:hAnsi="Arial Narrow"/>
                <w:sz w:val="20"/>
                <w:lang w:val="en-US"/>
              </w:rPr>
            </w:pPr>
            <w:r>
              <w:rPr>
                <w:rFonts w:ascii="Arial Narrow" w:hAnsi="Arial Narrow"/>
                <w:sz w:val="20"/>
                <w:lang w:val="en-US"/>
              </w:rPr>
              <w:t>IPSS intermediate 2 or high risk patients , splenomegaly</w:t>
            </w:r>
          </w:p>
        </w:tc>
        <w:tc>
          <w:tcPr>
            <w:tcW w:w="836" w:type="pct"/>
            <w:shd w:val="clear" w:color="auto" w:fill="auto"/>
            <w:vAlign w:val="center"/>
          </w:tcPr>
          <w:p w:rsidR="00852889" w:rsidRDefault="00852889" w:rsidP="00CE30A4">
            <w:pPr>
              <w:jc w:val="center"/>
              <w:rPr>
                <w:rFonts w:ascii="Arial Narrow" w:hAnsi="Arial Narrow"/>
                <w:sz w:val="20"/>
                <w:lang w:val="en-US"/>
              </w:rPr>
            </w:pPr>
            <w:r>
              <w:rPr>
                <w:rFonts w:ascii="Arial Narrow" w:hAnsi="Arial Narrow"/>
                <w:sz w:val="20"/>
                <w:lang w:val="en-US"/>
              </w:rPr>
              <w:t xml:space="preserve">Patients with ≥35%reduction in spleen volume </w:t>
            </w:r>
          </w:p>
          <w:p w:rsidR="00852889" w:rsidRDefault="00852889" w:rsidP="00CE30A4">
            <w:pPr>
              <w:jc w:val="center"/>
              <w:rPr>
                <w:rFonts w:ascii="Arial Narrow" w:hAnsi="Arial Narrow"/>
                <w:sz w:val="20"/>
                <w:lang w:val="en-US"/>
              </w:rPr>
            </w:pPr>
            <w:r w:rsidRPr="00ED0F04">
              <w:rPr>
                <w:rFonts w:ascii="Arial Narrow" w:hAnsi="Arial Narrow"/>
                <w:sz w:val="20"/>
                <w:lang w:val="en-US"/>
              </w:rPr>
              <w:t>OS</w:t>
            </w:r>
          </w:p>
          <w:p w:rsidR="00852889" w:rsidRPr="00ED0F04" w:rsidRDefault="00852889" w:rsidP="00CE30A4">
            <w:pPr>
              <w:jc w:val="center"/>
              <w:rPr>
                <w:rFonts w:ascii="Arial Narrow" w:hAnsi="Arial Narrow"/>
                <w:sz w:val="20"/>
                <w:lang w:val="en-US"/>
              </w:rPr>
            </w:pPr>
            <w:r>
              <w:rPr>
                <w:rFonts w:ascii="Arial Narrow" w:hAnsi="Arial Narrow"/>
                <w:sz w:val="20"/>
                <w:lang w:val="en-US"/>
              </w:rPr>
              <w:t>MF symptom</w:t>
            </w:r>
          </w:p>
        </w:tc>
        <w:tc>
          <w:tcPr>
            <w:tcW w:w="775" w:type="pct"/>
            <w:shd w:val="clear" w:color="auto" w:fill="auto"/>
            <w:vAlign w:val="center"/>
          </w:tcPr>
          <w:p w:rsidR="00852889" w:rsidRPr="00ED0F04" w:rsidRDefault="00852889" w:rsidP="00852889">
            <w:pPr>
              <w:jc w:val="center"/>
              <w:rPr>
                <w:rFonts w:ascii="Arial Narrow" w:hAnsi="Arial Narrow"/>
                <w:sz w:val="20"/>
                <w:lang w:val="en-US"/>
              </w:rPr>
            </w:pPr>
            <w:r w:rsidRPr="00ED0F04">
              <w:rPr>
                <w:rFonts w:ascii="Arial Narrow" w:hAnsi="Arial Narrow"/>
                <w:sz w:val="20"/>
                <w:lang w:val="en-US"/>
              </w:rPr>
              <w:t>Not used</w:t>
            </w:r>
            <w:r>
              <w:rPr>
                <w:rFonts w:ascii="Arial Narrow" w:hAnsi="Arial Narrow"/>
                <w:sz w:val="20"/>
                <w:lang w:val="en-US"/>
              </w:rPr>
              <w:t xml:space="preserve"> </w:t>
            </w:r>
          </w:p>
        </w:tc>
      </w:tr>
      <w:tr w:rsidR="00852889" w:rsidRPr="00E2771E" w:rsidTr="00BC0026">
        <w:tc>
          <w:tcPr>
            <w:tcW w:w="5000" w:type="pct"/>
            <w:gridSpan w:val="7"/>
            <w:shd w:val="clear" w:color="auto" w:fill="auto"/>
            <w:vAlign w:val="center"/>
          </w:tcPr>
          <w:p w:rsidR="00852889" w:rsidRPr="00E2771E" w:rsidRDefault="00852889" w:rsidP="00CE30A4">
            <w:pPr>
              <w:jc w:val="left"/>
              <w:rPr>
                <w:rFonts w:ascii="Arial Narrow" w:hAnsi="Arial Narrow"/>
                <w:b/>
                <w:sz w:val="20"/>
                <w:lang w:val="en-US"/>
              </w:rPr>
            </w:pPr>
            <w:r>
              <w:rPr>
                <w:rFonts w:ascii="Arial Narrow" w:hAnsi="Arial Narrow"/>
                <w:b/>
                <w:sz w:val="20"/>
                <w:lang w:val="en-US"/>
              </w:rPr>
              <w:t xml:space="preserve">Ruxolitinib </w:t>
            </w:r>
          </w:p>
        </w:tc>
      </w:tr>
      <w:tr w:rsidR="00852889" w:rsidRPr="00E2771E" w:rsidTr="00BC0026">
        <w:tc>
          <w:tcPr>
            <w:tcW w:w="595" w:type="pct"/>
            <w:shd w:val="clear" w:color="auto" w:fill="auto"/>
            <w:vAlign w:val="center"/>
          </w:tcPr>
          <w:p w:rsidR="00852889" w:rsidRPr="00E2771E" w:rsidRDefault="00852889" w:rsidP="00CE30A4">
            <w:pPr>
              <w:jc w:val="left"/>
              <w:rPr>
                <w:rFonts w:ascii="Arial Narrow" w:hAnsi="Arial Narrow"/>
                <w:sz w:val="20"/>
                <w:lang w:val="en-US"/>
              </w:rPr>
            </w:pPr>
            <w:r>
              <w:rPr>
                <w:rFonts w:ascii="Arial Narrow" w:hAnsi="Arial Narrow"/>
                <w:sz w:val="20"/>
                <w:lang w:val="en-US"/>
              </w:rPr>
              <w:t>ROBUST</w:t>
            </w:r>
          </w:p>
        </w:tc>
        <w:tc>
          <w:tcPr>
            <w:tcW w:w="283"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48</w:t>
            </w:r>
          </w:p>
        </w:tc>
        <w:tc>
          <w:tcPr>
            <w:tcW w:w="1127"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OL, SA</w:t>
            </w:r>
          </w:p>
          <w:p w:rsidR="00852889" w:rsidRPr="007451A0" w:rsidRDefault="00852889" w:rsidP="00CE30A4">
            <w:pPr>
              <w:jc w:val="center"/>
              <w:rPr>
                <w:rFonts w:ascii="Arial Narrow" w:hAnsi="Arial Narrow"/>
                <w:sz w:val="20"/>
                <w:vertAlign w:val="superscript"/>
                <w:lang w:val="en-US"/>
              </w:rPr>
            </w:pPr>
            <w:r>
              <w:rPr>
                <w:rFonts w:ascii="Arial Narrow" w:hAnsi="Arial Narrow"/>
                <w:sz w:val="20"/>
                <w:lang w:val="en-US"/>
              </w:rPr>
              <w:t>48 weeks</w:t>
            </w:r>
            <w:r>
              <w:rPr>
                <w:rFonts w:ascii="Arial Narrow" w:hAnsi="Arial Narrow"/>
                <w:sz w:val="20"/>
                <w:vertAlign w:val="superscript"/>
                <w:lang w:val="en-US"/>
              </w:rPr>
              <w:t>a</w:t>
            </w:r>
          </w:p>
        </w:tc>
        <w:tc>
          <w:tcPr>
            <w:tcW w:w="366"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 xml:space="preserve">High </w:t>
            </w:r>
          </w:p>
        </w:tc>
        <w:tc>
          <w:tcPr>
            <w:tcW w:w="1018" w:type="pct"/>
            <w:shd w:val="clear" w:color="auto" w:fill="auto"/>
            <w:vAlign w:val="center"/>
          </w:tcPr>
          <w:p w:rsidR="00852889" w:rsidRPr="007451A0" w:rsidRDefault="00852889" w:rsidP="00CE30A4">
            <w:pPr>
              <w:jc w:val="center"/>
              <w:rPr>
                <w:rFonts w:ascii="Arial Narrow" w:hAnsi="Arial Narrow"/>
                <w:sz w:val="20"/>
                <w:vertAlign w:val="superscript"/>
                <w:lang w:val="en-US"/>
              </w:rPr>
            </w:pPr>
            <w:r>
              <w:rPr>
                <w:rFonts w:ascii="Arial Narrow" w:hAnsi="Arial Narrow"/>
                <w:sz w:val="20"/>
                <w:lang w:val="en-US"/>
              </w:rPr>
              <w:t>19 Int-1, 12 Int-2, 17 High risk MF</w:t>
            </w:r>
            <w:r>
              <w:rPr>
                <w:rFonts w:ascii="Arial Narrow" w:hAnsi="Arial Narrow"/>
                <w:sz w:val="20"/>
                <w:vertAlign w:val="superscript"/>
                <w:lang w:val="en-US"/>
              </w:rPr>
              <w:t>b</w:t>
            </w:r>
          </w:p>
        </w:tc>
        <w:tc>
          <w:tcPr>
            <w:tcW w:w="836" w:type="pct"/>
            <w:shd w:val="clear" w:color="auto" w:fill="auto"/>
          </w:tcPr>
          <w:p w:rsidR="00852889" w:rsidRPr="003877CE" w:rsidRDefault="00852889" w:rsidP="004D64A8">
            <w:pPr>
              <w:pStyle w:val="ListParagraph"/>
              <w:numPr>
                <w:ilvl w:val="0"/>
                <w:numId w:val="3"/>
              </w:numPr>
              <w:ind w:left="202" w:hanging="160"/>
              <w:jc w:val="left"/>
              <w:rPr>
                <w:rFonts w:ascii="Arial Narrow" w:hAnsi="Arial Narrow"/>
                <w:sz w:val="20"/>
              </w:rPr>
            </w:pPr>
            <w:r w:rsidRPr="003877CE">
              <w:rPr>
                <w:rFonts w:ascii="Arial Narrow" w:hAnsi="Arial Narrow"/>
                <w:sz w:val="20"/>
              </w:rPr>
              <w:t xml:space="preserve">Spleen Length </w:t>
            </w:r>
          </w:p>
          <w:p w:rsidR="00852889" w:rsidRPr="003877CE" w:rsidRDefault="00852889" w:rsidP="004D64A8">
            <w:pPr>
              <w:pStyle w:val="ListParagraph"/>
              <w:numPr>
                <w:ilvl w:val="0"/>
                <w:numId w:val="3"/>
              </w:numPr>
              <w:ind w:left="202" w:hanging="160"/>
              <w:jc w:val="left"/>
              <w:rPr>
                <w:rFonts w:ascii="Arial Narrow" w:hAnsi="Arial Narrow"/>
                <w:sz w:val="20"/>
              </w:rPr>
            </w:pPr>
            <w:r w:rsidRPr="003877CE">
              <w:rPr>
                <w:rFonts w:ascii="Arial Narrow" w:hAnsi="Arial Narrow"/>
                <w:sz w:val="20"/>
              </w:rPr>
              <w:t xml:space="preserve">MF-SAF Total and Individual Symptom Scores </w:t>
            </w:r>
          </w:p>
          <w:p w:rsidR="00852889" w:rsidRPr="003877CE" w:rsidRDefault="009A3D87" w:rsidP="004D64A8">
            <w:pPr>
              <w:pStyle w:val="ListParagraph"/>
              <w:numPr>
                <w:ilvl w:val="0"/>
                <w:numId w:val="3"/>
              </w:numPr>
              <w:ind w:left="202" w:hanging="160"/>
              <w:jc w:val="left"/>
              <w:rPr>
                <w:rFonts w:ascii="Arial Narrow" w:hAnsi="Arial Narrow"/>
                <w:sz w:val="20"/>
              </w:rPr>
            </w:pPr>
            <w:r w:rsidRPr="003877CE">
              <w:rPr>
                <w:rFonts w:ascii="Arial Narrow" w:hAnsi="Arial Narrow"/>
                <w:sz w:val="20"/>
              </w:rPr>
              <w:t>Haematology</w:t>
            </w:r>
            <w:r w:rsidR="00852889" w:rsidRPr="003877CE">
              <w:rPr>
                <w:rFonts w:ascii="Arial Narrow" w:hAnsi="Arial Narrow"/>
                <w:sz w:val="20"/>
              </w:rPr>
              <w:t xml:space="preserve"> Parameters </w:t>
            </w:r>
          </w:p>
        </w:tc>
        <w:tc>
          <w:tcPr>
            <w:tcW w:w="775" w:type="pct"/>
            <w:shd w:val="clear" w:color="auto" w:fill="auto"/>
            <w:vAlign w:val="center"/>
          </w:tcPr>
          <w:p w:rsidR="00852889" w:rsidRPr="00E2771E" w:rsidRDefault="00852889" w:rsidP="00CE30A4">
            <w:pPr>
              <w:jc w:val="center"/>
              <w:rPr>
                <w:rFonts w:ascii="Arial Narrow" w:hAnsi="Arial Narrow"/>
                <w:sz w:val="20"/>
                <w:lang w:val="en-US"/>
              </w:rPr>
            </w:pPr>
            <w:r w:rsidRPr="00E2771E">
              <w:rPr>
                <w:rFonts w:ascii="Arial Narrow" w:hAnsi="Arial Narrow"/>
                <w:sz w:val="20"/>
                <w:lang w:val="en-US"/>
              </w:rPr>
              <w:t>Not used</w:t>
            </w:r>
          </w:p>
        </w:tc>
      </w:tr>
      <w:tr w:rsidR="00852889" w:rsidRPr="00E2771E" w:rsidTr="00BC0026">
        <w:tc>
          <w:tcPr>
            <w:tcW w:w="595" w:type="pct"/>
            <w:shd w:val="clear" w:color="auto" w:fill="auto"/>
            <w:vAlign w:val="center"/>
          </w:tcPr>
          <w:p w:rsidR="00852889" w:rsidRPr="00E2771E" w:rsidRDefault="00852889" w:rsidP="00CE30A4">
            <w:pPr>
              <w:jc w:val="left"/>
              <w:rPr>
                <w:rFonts w:ascii="Arial Narrow" w:hAnsi="Arial Narrow"/>
                <w:sz w:val="20"/>
                <w:lang w:val="en-US"/>
              </w:rPr>
            </w:pPr>
            <w:r>
              <w:rPr>
                <w:rFonts w:ascii="Arial Narrow" w:hAnsi="Arial Narrow"/>
                <w:sz w:val="20"/>
                <w:lang w:val="en-US"/>
              </w:rPr>
              <w:t>JUMP</w:t>
            </w:r>
          </w:p>
        </w:tc>
        <w:tc>
          <w:tcPr>
            <w:tcW w:w="283"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2,025</w:t>
            </w:r>
          </w:p>
        </w:tc>
        <w:tc>
          <w:tcPr>
            <w:tcW w:w="1127"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OL, SA</w:t>
            </w:r>
          </w:p>
          <w:p w:rsidR="00852889" w:rsidRPr="00E2771E" w:rsidRDefault="00852889" w:rsidP="00CE30A4">
            <w:pPr>
              <w:jc w:val="center"/>
              <w:rPr>
                <w:rFonts w:ascii="Arial Narrow" w:hAnsi="Arial Narrow"/>
                <w:sz w:val="20"/>
                <w:lang w:val="en-US"/>
              </w:rPr>
            </w:pPr>
            <w:r>
              <w:rPr>
                <w:rFonts w:ascii="Arial Narrow" w:hAnsi="Arial Narrow"/>
                <w:sz w:val="20"/>
                <w:lang w:val="en-US"/>
              </w:rPr>
              <w:t>24 months</w:t>
            </w:r>
          </w:p>
        </w:tc>
        <w:tc>
          <w:tcPr>
            <w:tcW w:w="366" w:type="pct"/>
            <w:shd w:val="clear" w:color="auto" w:fill="auto"/>
            <w:vAlign w:val="center"/>
          </w:tcPr>
          <w:p w:rsidR="00852889" w:rsidRPr="00E2771E" w:rsidRDefault="00852889" w:rsidP="00CE30A4">
            <w:pPr>
              <w:jc w:val="center"/>
              <w:rPr>
                <w:rFonts w:ascii="Arial Narrow" w:hAnsi="Arial Narrow"/>
                <w:sz w:val="20"/>
                <w:lang w:val="en-US"/>
              </w:rPr>
            </w:pPr>
            <w:r w:rsidRPr="00E2771E">
              <w:rPr>
                <w:rFonts w:ascii="Arial Narrow" w:hAnsi="Arial Narrow"/>
                <w:sz w:val="20"/>
                <w:lang w:val="en-US"/>
              </w:rPr>
              <w:t>High</w:t>
            </w:r>
          </w:p>
        </w:tc>
        <w:tc>
          <w:tcPr>
            <w:tcW w:w="1018"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P</w:t>
            </w:r>
            <w:r w:rsidRPr="007451A0">
              <w:rPr>
                <w:rFonts w:ascii="Arial Narrow" w:hAnsi="Arial Narrow"/>
                <w:sz w:val="20"/>
                <w:lang w:val="en-US"/>
              </w:rPr>
              <w:t xml:space="preserve">atients </w:t>
            </w:r>
            <w:r>
              <w:rPr>
                <w:rFonts w:ascii="Arial Narrow" w:hAnsi="Arial Narrow"/>
                <w:sz w:val="20"/>
                <w:lang w:val="en-US"/>
              </w:rPr>
              <w:t>MF</w:t>
            </w:r>
            <w:r>
              <w:rPr>
                <w:rFonts w:ascii="Arial Narrow" w:hAnsi="Arial Narrow"/>
                <w:sz w:val="20"/>
                <w:vertAlign w:val="superscript"/>
                <w:lang w:val="en-US"/>
              </w:rPr>
              <w:t>b</w:t>
            </w:r>
            <w:r w:rsidRPr="007451A0">
              <w:rPr>
                <w:rFonts w:ascii="Arial Narrow" w:hAnsi="Arial Narrow"/>
                <w:sz w:val="20"/>
                <w:lang w:val="en-US"/>
              </w:rPr>
              <w:t xml:space="preserve"> who are tre</w:t>
            </w:r>
            <w:r>
              <w:rPr>
                <w:rFonts w:ascii="Arial Narrow" w:hAnsi="Arial Narrow"/>
                <w:sz w:val="20"/>
                <w:lang w:val="en-US"/>
              </w:rPr>
              <w:t>atment naïve and are intolerant</w:t>
            </w:r>
            <w:r w:rsidRPr="007451A0">
              <w:rPr>
                <w:rFonts w:ascii="Arial Narrow" w:hAnsi="Arial Narrow"/>
                <w:sz w:val="20"/>
                <w:lang w:val="en-US"/>
              </w:rPr>
              <w:t xml:space="preserve"> of or had progressed on other therapies</w:t>
            </w:r>
          </w:p>
        </w:tc>
        <w:tc>
          <w:tcPr>
            <w:tcW w:w="836" w:type="pct"/>
            <w:shd w:val="clear" w:color="auto" w:fill="auto"/>
          </w:tcPr>
          <w:p w:rsidR="00852889" w:rsidRDefault="00852889" w:rsidP="004D64A8">
            <w:pPr>
              <w:pStyle w:val="ListParagraph"/>
              <w:numPr>
                <w:ilvl w:val="0"/>
                <w:numId w:val="3"/>
              </w:numPr>
              <w:ind w:left="202" w:hanging="160"/>
              <w:jc w:val="left"/>
              <w:rPr>
                <w:rFonts w:ascii="Arial Narrow" w:hAnsi="Arial Narrow"/>
                <w:sz w:val="20"/>
              </w:rPr>
            </w:pPr>
            <w:r>
              <w:rPr>
                <w:rFonts w:ascii="Arial Narrow" w:hAnsi="Arial Narrow"/>
                <w:sz w:val="20"/>
              </w:rPr>
              <w:t>R</w:t>
            </w:r>
            <w:r w:rsidRPr="009E7CEB">
              <w:rPr>
                <w:rFonts w:ascii="Arial Narrow" w:hAnsi="Arial Narrow"/>
                <w:sz w:val="20"/>
              </w:rPr>
              <w:t xml:space="preserve">eduction </w:t>
            </w:r>
            <w:r>
              <w:rPr>
                <w:rFonts w:ascii="Arial Narrow" w:hAnsi="Arial Narrow"/>
                <w:sz w:val="20"/>
              </w:rPr>
              <w:t xml:space="preserve">in </w:t>
            </w:r>
            <w:r w:rsidRPr="009E7CEB">
              <w:rPr>
                <w:rFonts w:ascii="Arial Narrow" w:hAnsi="Arial Narrow"/>
                <w:sz w:val="20"/>
              </w:rPr>
              <w:t>palpable</w:t>
            </w:r>
            <w:r>
              <w:rPr>
                <w:rFonts w:ascii="Arial Narrow" w:hAnsi="Arial Narrow"/>
                <w:sz w:val="20"/>
              </w:rPr>
              <w:t xml:space="preserve"> s</w:t>
            </w:r>
            <w:r w:rsidRPr="009E7CEB">
              <w:rPr>
                <w:rFonts w:ascii="Arial Narrow" w:hAnsi="Arial Narrow"/>
                <w:sz w:val="20"/>
              </w:rPr>
              <w:t>pleen length</w:t>
            </w:r>
          </w:p>
          <w:p w:rsidR="00852889" w:rsidRPr="004E2ADC" w:rsidRDefault="00852889" w:rsidP="004D64A8">
            <w:pPr>
              <w:pStyle w:val="ListParagraph"/>
              <w:numPr>
                <w:ilvl w:val="0"/>
                <w:numId w:val="3"/>
              </w:numPr>
              <w:ind w:left="202" w:hanging="160"/>
              <w:jc w:val="left"/>
              <w:rPr>
                <w:rFonts w:ascii="Arial Narrow" w:hAnsi="Arial Narrow"/>
                <w:sz w:val="20"/>
              </w:rPr>
            </w:pPr>
            <w:r w:rsidRPr="009E7CEB">
              <w:rPr>
                <w:rFonts w:ascii="Arial Narrow" w:hAnsi="Arial Narrow"/>
                <w:sz w:val="20"/>
              </w:rPr>
              <w:t>FACT-Lym TS</w:t>
            </w:r>
          </w:p>
        </w:tc>
        <w:tc>
          <w:tcPr>
            <w:tcW w:w="775" w:type="pct"/>
            <w:shd w:val="clear" w:color="auto" w:fill="auto"/>
            <w:vAlign w:val="center"/>
          </w:tcPr>
          <w:p w:rsidR="00852889" w:rsidRPr="00E2771E" w:rsidRDefault="00852889" w:rsidP="00CE30A4">
            <w:pPr>
              <w:jc w:val="center"/>
              <w:rPr>
                <w:rFonts w:ascii="Arial Narrow" w:hAnsi="Arial Narrow"/>
                <w:sz w:val="20"/>
                <w:lang w:val="en-US"/>
              </w:rPr>
            </w:pPr>
            <w:r w:rsidRPr="00E2771E">
              <w:rPr>
                <w:rFonts w:ascii="Arial Narrow" w:hAnsi="Arial Narrow"/>
                <w:sz w:val="20"/>
                <w:lang w:val="en-US"/>
              </w:rPr>
              <w:t>Not used</w:t>
            </w:r>
          </w:p>
        </w:tc>
      </w:tr>
      <w:tr w:rsidR="00852889" w:rsidRPr="00E2771E" w:rsidTr="00BC0026">
        <w:tc>
          <w:tcPr>
            <w:tcW w:w="595" w:type="pct"/>
            <w:shd w:val="clear" w:color="auto" w:fill="auto"/>
            <w:vAlign w:val="center"/>
          </w:tcPr>
          <w:p w:rsidR="00852889" w:rsidRPr="00E2771E" w:rsidRDefault="00852889" w:rsidP="00CE30A4">
            <w:pPr>
              <w:jc w:val="left"/>
              <w:rPr>
                <w:rFonts w:ascii="Arial Narrow" w:hAnsi="Arial Narrow"/>
                <w:sz w:val="20"/>
                <w:lang w:val="en-US"/>
              </w:rPr>
            </w:pPr>
            <w:r>
              <w:rPr>
                <w:rFonts w:ascii="Arial Narrow" w:hAnsi="Arial Narrow"/>
                <w:sz w:val="20"/>
                <w:lang w:val="en-US"/>
              </w:rPr>
              <w:t>Barosi 2012</w:t>
            </w:r>
          </w:p>
        </w:tc>
        <w:tc>
          <w:tcPr>
            <w:tcW w:w="283"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1,428</w:t>
            </w:r>
          </w:p>
        </w:tc>
        <w:tc>
          <w:tcPr>
            <w:tcW w:w="1127"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OL, SA</w:t>
            </w:r>
          </w:p>
          <w:p w:rsidR="00852889" w:rsidRPr="00E2771E" w:rsidRDefault="00852889" w:rsidP="00CE30A4">
            <w:pPr>
              <w:jc w:val="center"/>
              <w:rPr>
                <w:rFonts w:ascii="Arial Narrow" w:hAnsi="Arial Narrow"/>
                <w:sz w:val="20"/>
                <w:lang w:val="en-US"/>
              </w:rPr>
            </w:pPr>
            <w:r>
              <w:rPr>
                <w:rFonts w:ascii="Arial Narrow" w:hAnsi="Arial Narrow"/>
                <w:sz w:val="20"/>
                <w:lang w:val="en-US"/>
              </w:rPr>
              <w:t>Unknown duration</w:t>
            </w:r>
          </w:p>
        </w:tc>
        <w:tc>
          <w:tcPr>
            <w:tcW w:w="366" w:type="pct"/>
            <w:shd w:val="clear" w:color="auto" w:fill="auto"/>
            <w:vAlign w:val="center"/>
          </w:tcPr>
          <w:p w:rsidR="00852889" w:rsidRPr="00E2771E" w:rsidRDefault="00852889" w:rsidP="00CE30A4">
            <w:pPr>
              <w:jc w:val="center"/>
              <w:rPr>
                <w:rFonts w:ascii="Arial Narrow" w:hAnsi="Arial Narrow"/>
                <w:sz w:val="20"/>
                <w:lang w:val="en-US"/>
              </w:rPr>
            </w:pPr>
            <w:r>
              <w:rPr>
                <w:rFonts w:ascii="Arial Narrow" w:hAnsi="Arial Narrow"/>
                <w:sz w:val="20"/>
                <w:lang w:val="en-US"/>
              </w:rPr>
              <w:t>High</w:t>
            </w:r>
          </w:p>
        </w:tc>
        <w:tc>
          <w:tcPr>
            <w:tcW w:w="1018" w:type="pct"/>
            <w:shd w:val="clear" w:color="auto" w:fill="auto"/>
            <w:vAlign w:val="center"/>
          </w:tcPr>
          <w:p w:rsidR="00852889" w:rsidRPr="00E2771E" w:rsidRDefault="00852889" w:rsidP="00CE30A4">
            <w:pPr>
              <w:jc w:val="center"/>
              <w:rPr>
                <w:rFonts w:ascii="Arial Narrow" w:hAnsi="Arial Narrow"/>
                <w:sz w:val="20"/>
                <w:lang w:val="en-US"/>
              </w:rPr>
            </w:pPr>
            <w:r w:rsidRPr="007451A0">
              <w:rPr>
                <w:rFonts w:ascii="Arial Narrow" w:hAnsi="Arial Narrow"/>
                <w:sz w:val="20"/>
                <w:lang w:val="en-US"/>
              </w:rPr>
              <w:t xml:space="preserve">Patients with </w:t>
            </w:r>
            <w:r>
              <w:rPr>
                <w:rFonts w:ascii="Arial Narrow" w:hAnsi="Arial Narrow"/>
                <w:sz w:val="20"/>
                <w:lang w:val="en-US"/>
              </w:rPr>
              <w:t>MF</w:t>
            </w:r>
            <w:r>
              <w:rPr>
                <w:rFonts w:ascii="Arial Narrow" w:hAnsi="Arial Narrow"/>
                <w:sz w:val="20"/>
                <w:vertAlign w:val="superscript"/>
                <w:lang w:val="en-US"/>
              </w:rPr>
              <w:t>b</w:t>
            </w:r>
            <w:r w:rsidRPr="007451A0">
              <w:rPr>
                <w:rFonts w:ascii="Arial Narrow" w:hAnsi="Arial Narrow"/>
                <w:sz w:val="20"/>
                <w:lang w:val="en-US"/>
              </w:rPr>
              <w:t xml:space="preserve"> </w:t>
            </w:r>
            <w:r>
              <w:rPr>
                <w:rFonts w:ascii="Arial Narrow" w:hAnsi="Arial Narrow"/>
                <w:sz w:val="20"/>
                <w:lang w:val="en-US"/>
              </w:rPr>
              <w:t xml:space="preserve">(Int-1, Int-2 or High) </w:t>
            </w:r>
            <w:r w:rsidRPr="007451A0">
              <w:rPr>
                <w:rFonts w:ascii="Arial Narrow" w:hAnsi="Arial Narrow"/>
                <w:sz w:val="20"/>
                <w:lang w:val="en-US"/>
              </w:rPr>
              <w:t>and an enlarged spleen who were determined to require ruxolitinib treatment by their doctor were considered for the IPSP</w:t>
            </w:r>
          </w:p>
        </w:tc>
        <w:tc>
          <w:tcPr>
            <w:tcW w:w="836" w:type="pct"/>
            <w:shd w:val="clear" w:color="auto" w:fill="auto"/>
          </w:tcPr>
          <w:p w:rsidR="00852889" w:rsidRDefault="00852889" w:rsidP="004D64A8">
            <w:pPr>
              <w:pStyle w:val="ListParagraph"/>
              <w:numPr>
                <w:ilvl w:val="0"/>
                <w:numId w:val="3"/>
              </w:numPr>
              <w:ind w:left="202" w:hanging="160"/>
              <w:jc w:val="left"/>
              <w:rPr>
                <w:rFonts w:ascii="Arial Narrow" w:hAnsi="Arial Narrow"/>
                <w:sz w:val="20"/>
              </w:rPr>
            </w:pPr>
            <w:r>
              <w:rPr>
                <w:rFonts w:ascii="Arial Narrow" w:hAnsi="Arial Narrow"/>
                <w:sz w:val="20"/>
              </w:rPr>
              <w:t>Spleen response</w:t>
            </w:r>
          </w:p>
          <w:p w:rsidR="00852889" w:rsidRDefault="00852889" w:rsidP="004D64A8">
            <w:pPr>
              <w:pStyle w:val="ListParagraph"/>
              <w:numPr>
                <w:ilvl w:val="0"/>
                <w:numId w:val="3"/>
              </w:numPr>
              <w:ind w:left="202" w:hanging="160"/>
              <w:jc w:val="left"/>
              <w:rPr>
                <w:rFonts w:ascii="Arial Narrow" w:hAnsi="Arial Narrow"/>
                <w:sz w:val="20"/>
              </w:rPr>
            </w:pPr>
            <w:r>
              <w:rPr>
                <w:rFonts w:ascii="Arial Narrow" w:hAnsi="Arial Narrow"/>
                <w:sz w:val="20"/>
              </w:rPr>
              <w:t>Constitutional symptoms response</w:t>
            </w:r>
          </w:p>
        </w:tc>
        <w:tc>
          <w:tcPr>
            <w:tcW w:w="775" w:type="pct"/>
            <w:shd w:val="clear" w:color="auto" w:fill="auto"/>
            <w:vAlign w:val="center"/>
          </w:tcPr>
          <w:p w:rsidR="00852889" w:rsidRPr="00E2771E" w:rsidRDefault="00852889" w:rsidP="00CE30A4">
            <w:pPr>
              <w:jc w:val="center"/>
              <w:rPr>
                <w:rFonts w:ascii="Arial Narrow" w:hAnsi="Arial Narrow"/>
                <w:sz w:val="20"/>
                <w:lang w:val="en-US"/>
              </w:rPr>
            </w:pPr>
            <w:r w:rsidRPr="00E2771E">
              <w:rPr>
                <w:rFonts w:ascii="Arial Narrow" w:hAnsi="Arial Narrow"/>
                <w:sz w:val="20"/>
                <w:lang w:val="en-US"/>
              </w:rPr>
              <w:t>Not used</w:t>
            </w:r>
          </w:p>
        </w:tc>
      </w:tr>
    </w:tbl>
    <w:p w:rsidR="008C443C" w:rsidRPr="00294366" w:rsidRDefault="008C443C" w:rsidP="00294366">
      <w:pPr>
        <w:pStyle w:val="TableFooter"/>
        <w:tabs>
          <w:tab w:val="left" w:pos="993"/>
        </w:tabs>
        <w:ind w:firstLine="709"/>
        <w:rPr>
          <w:sz w:val="20"/>
        </w:rPr>
      </w:pPr>
      <w:r w:rsidRPr="00294366">
        <w:rPr>
          <w:sz w:val="20"/>
        </w:rPr>
        <w:t>*</w:t>
      </w:r>
      <w:r w:rsidRPr="00294366">
        <w:rPr>
          <w:sz w:val="20"/>
        </w:rPr>
        <w:tab/>
      </w:r>
      <w:r w:rsidRPr="00294366">
        <w:rPr>
          <w:rFonts w:hint="eastAsia"/>
          <w:sz w:val="20"/>
        </w:rPr>
        <w:t xml:space="preserve">Patients having a </w:t>
      </w:r>
      <w:r w:rsidRPr="00294366">
        <w:rPr>
          <w:sz w:val="20"/>
        </w:rPr>
        <w:t>≥</w:t>
      </w:r>
      <w:r w:rsidRPr="00294366">
        <w:rPr>
          <w:rFonts w:hint="eastAsia"/>
          <w:sz w:val="20"/>
        </w:rPr>
        <w:t>25% increase in spleen volume from the on</w:t>
      </w:r>
      <w:r w:rsidRPr="00294366">
        <w:rPr>
          <w:sz w:val="20"/>
        </w:rPr>
        <w:t xml:space="preserve"> </w:t>
      </w:r>
      <w:r w:rsidRPr="00294366">
        <w:rPr>
          <w:rFonts w:hint="eastAsia"/>
          <w:sz w:val="20"/>
        </w:rPr>
        <w:t>study</w:t>
      </w:r>
      <w:r w:rsidRPr="00294366">
        <w:rPr>
          <w:sz w:val="20"/>
        </w:rPr>
        <w:t xml:space="preserve"> nadir OR splenectomy</w:t>
      </w:r>
    </w:p>
    <w:p w:rsidR="008C443C" w:rsidRDefault="008C443C" w:rsidP="008C443C">
      <w:pPr>
        <w:pStyle w:val="TableFooter"/>
        <w:ind w:left="720"/>
        <w:rPr>
          <w:sz w:val="20"/>
        </w:rPr>
      </w:pPr>
      <w:r w:rsidRPr="00294366">
        <w:rPr>
          <w:sz w:val="20"/>
        </w:rPr>
        <w:t xml:space="preserve">DB=double blind; MC=multi-centre; OL=open label; </w:t>
      </w:r>
      <w:r w:rsidR="00852889">
        <w:rPr>
          <w:sz w:val="20"/>
        </w:rPr>
        <w:t xml:space="preserve">SA=single arm; </w:t>
      </w:r>
      <w:r w:rsidRPr="00294366">
        <w:rPr>
          <w:sz w:val="20"/>
        </w:rPr>
        <w:t>OS=overall survival; PFS=progression-free survival; R=randomised, FU=follow up; IPSS= myelofibrosis international prognostic scoring system</w:t>
      </w:r>
      <w:r w:rsidR="00852889">
        <w:rPr>
          <w:sz w:val="20"/>
        </w:rPr>
        <w:t>; Int-1=intermediate-1, Int-2=intermediate-2, High=high risk, MF=myelofibrosis, IPSP=</w:t>
      </w:r>
      <w:r w:rsidR="00852889" w:rsidRPr="007451A0">
        <w:rPr>
          <w:sz w:val="20"/>
        </w:rPr>
        <w:t>individual patient supply program</w:t>
      </w:r>
      <w:r w:rsidRPr="00294366">
        <w:rPr>
          <w:sz w:val="20"/>
        </w:rPr>
        <w:t xml:space="preserve">. </w:t>
      </w:r>
    </w:p>
    <w:p w:rsidR="00010DFC" w:rsidRPr="00294366" w:rsidRDefault="00010DFC" w:rsidP="008C443C">
      <w:pPr>
        <w:pStyle w:val="TableFooter"/>
        <w:ind w:left="720"/>
        <w:rPr>
          <w:sz w:val="20"/>
        </w:rPr>
      </w:pPr>
    </w:p>
    <w:p w:rsidR="00010DFC" w:rsidRPr="00A922BC" w:rsidRDefault="005C3022" w:rsidP="004D64A8">
      <w:pPr>
        <w:pStyle w:val="PBACheading1"/>
        <w:numPr>
          <w:ilvl w:val="1"/>
          <w:numId w:val="1"/>
        </w:numPr>
      </w:pPr>
      <w:r w:rsidRPr="00A922BC">
        <w:t xml:space="preserve">Information on COMFORT-II, ROBUST, Barosi 2012 and JUMP have been presented but </w:t>
      </w:r>
      <w:r w:rsidR="00294366" w:rsidRPr="00A922BC">
        <w:t>the results of these trials have not been applied</w:t>
      </w:r>
      <w:r w:rsidR="00AC50A5" w:rsidRPr="00A922BC">
        <w:t xml:space="preserve"> in the modelled economic evaluation. </w:t>
      </w:r>
    </w:p>
    <w:p w:rsidR="00100321" w:rsidRDefault="00100321" w:rsidP="00100321">
      <w:pPr>
        <w:pStyle w:val="PBACheading1"/>
        <w:numPr>
          <w:ilvl w:val="0"/>
          <w:numId w:val="0"/>
        </w:numPr>
        <w:ind w:left="720"/>
      </w:pPr>
    </w:p>
    <w:p w:rsidR="00C5542A" w:rsidRPr="00272ED1" w:rsidRDefault="00C5542A" w:rsidP="004D64A8">
      <w:pPr>
        <w:pStyle w:val="PBACheading1"/>
        <w:numPr>
          <w:ilvl w:val="1"/>
          <w:numId w:val="1"/>
        </w:numPr>
      </w:pPr>
      <w:r w:rsidRPr="00272ED1">
        <w:lastRenderedPageBreak/>
        <w:t xml:space="preserve">The re-submission acknowledged that no randomised controlled trials of ruxolitinib have included intermediate-1 patients. Clinicians at the </w:t>
      </w:r>
      <w:r w:rsidR="008C7966" w:rsidRPr="00272ED1">
        <w:t xml:space="preserve">PBAC </w:t>
      </w:r>
      <w:r w:rsidRPr="00272ED1">
        <w:t xml:space="preserve">stakeholder meeting </w:t>
      </w:r>
      <w:r w:rsidR="008C7966" w:rsidRPr="00272ED1">
        <w:t>for ruxolitinib advised</w:t>
      </w:r>
      <w:r w:rsidRPr="00272ED1">
        <w:t xml:space="preserve"> that intermediate-1 patients with a </w:t>
      </w:r>
      <w:r w:rsidR="00227B04" w:rsidRPr="00272ED1">
        <w:t>high symptom burden</w:t>
      </w:r>
      <w:r w:rsidRPr="00272ED1">
        <w:t xml:space="preserve"> should be included in the requested population and advised that, in the absence of comparative evidence, it woul</w:t>
      </w:r>
      <w:r w:rsidR="00A061CC" w:rsidRPr="00272ED1">
        <w:t>d be reasonable to assume that the</w:t>
      </w:r>
      <w:r w:rsidRPr="00272ED1">
        <w:t xml:space="preserve"> efficacy of</w:t>
      </w:r>
      <w:r w:rsidR="00A061CC" w:rsidRPr="00272ED1">
        <w:t xml:space="preserve"> ruxolitinib for intermediate-1 patients would be the same as for intermediate-2</w:t>
      </w:r>
      <w:r w:rsidR="00631635" w:rsidRPr="00272ED1">
        <w:t xml:space="preserve"> for the purpose of determining cost effectiveness</w:t>
      </w:r>
      <w:r w:rsidR="00A061CC" w:rsidRPr="00272ED1">
        <w:t>.</w:t>
      </w:r>
      <w:r w:rsidR="00631635" w:rsidRPr="00272ED1">
        <w:t xml:space="preserve"> </w:t>
      </w:r>
      <w:r w:rsidR="00B01353" w:rsidRPr="00272ED1">
        <w:t xml:space="preserve">The ESC accepted this </w:t>
      </w:r>
      <w:r w:rsidR="00D24590" w:rsidRPr="00272ED1">
        <w:t>approach</w:t>
      </w:r>
      <w:r w:rsidR="00B01353" w:rsidRPr="00272ED1">
        <w:t xml:space="preserve">. </w:t>
      </w:r>
    </w:p>
    <w:p w:rsidR="00B60939" w:rsidRPr="00882085" w:rsidRDefault="00B60939" w:rsidP="00B60939">
      <w:pPr>
        <w:rPr>
          <w:szCs w:val="22"/>
        </w:rPr>
      </w:pPr>
    </w:p>
    <w:p w:rsidR="00B60939" w:rsidRDefault="00B60939" w:rsidP="00497F10">
      <w:pPr>
        <w:pStyle w:val="Heading2"/>
        <w:rPr>
          <w:i/>
        </w:rPr>
      </w:pPr>
      <w:bookmarkStart w:id="8" w:name="_Toc408474961"/>
      <w:r w:rsidRPr="00497F10">
        <w:rPr>
          <w:i/>
        </w:rPr>
        <w:t>Comparative effectiveness</w:t>
      </w:r>
      <w:bookmarkEnd w:id="8"/>
    </w:p>
    <w:p w:rsidR="00AB3260" w:rsidRPr="00AB3260" w:rsidRDefault="00AB3260" w:rsidP="00AB3260"/>
    <w:p w:rsidR="00B60939" w:rsidRPr="00AB3260" w:rsidRDefault="00AC50A5" w:rsidP="004D64A8">
      <w:pPr>
        <w:pStyle w:val="PBACheading1"/>
        <w:numPr>
          <w:ilvl w:val="1"/>
          <w:numId w:val="1"/>
        </w:numPr>
        <w:rPr>
          <w:color w:val="C0504D" w:themeColor="accent2"/>
          <w:spacing w:val="5"/>
        </w:rPr>
      </w:pPr>
      <w:r w:rsidRPr="00AC50A5">
        <w:t xml:space="preserve">Results </w:t>
      </w:r>
      <w:r w:rsidR="00803E7A">
        <w:t xml:space="preserve">for comparative effectiveness </w:t>
      </w:r>
      <w:r w:rsidR="00F5128D">
        <w:t>were</w:t>
      </w:r>
      <w:r w:rsidRPr="00AC50A5">
        <w:t xml:space="preserve"> unchanged from the previous re-su</w:t>
      </w:r>
      <w:r w:rsidR="00294366">
        <w:t xml:space="preserve">bmission and are summarised in </w:t>
      </w:r>
      <w:r w:rsidR="004B20FC">
        <w:t>the table below</w:t>
      </w:r>
      <w:r w:rsidRPr="00AC50A5">
        <w:t>.</w:t>
      </w:r>
      <w:r w:rsidRPr="00AB3260">
        <w:t xml:space="preserve"> </w:t>
      </w:r>
    </w:p>
    <w:p w:rsidR="00803E7A" w:rsidRDefault="00803E7A" w:rsidP="00803E7A">
      <w:pPr>
        <w:pStyle w:val="ListParagraph"/>
        <w:ind w:left="360"/>
        <w:rPr>
          <w:rStyle w:val="CommentReference"/>
        </w:rPr>
      </w:pPr>
    </w:p>
    <w:p w:rsidR="00803E7A" w:rsidRPr="00367C84" w:rsidRDefault="00803E7A" w:rsidP="00852889">
      <w:pPr>
        <w:pStyle w:val="ListParagraph"/>
        <w:ind w:left="567" w:firstLine="142"/>
        <w:rPr>
          <w:rFonts w:ascii="Arial Narrow" w:hAnsi="Arial Narrow"/>
          <w:sz w:val="20"/>
        </w:rPr>
      </w:pPr>
      <w:r w:rsidRPr="00367C84">
        <w:rPr>
          <w:rFonts w:ascii="Arial Narrow" w:eastAsia="MS Mincho" w:hAnsi="Arial Narrow"/>
          <w:b/>
          <w:sz w:val="20"/>
        </w:rPr>
        <w:t>Summary of OS events at each reporting time point in the COMFORT</w:t>
      </w:r>
      <w:r w:rsidR="00D92F52">
        <w:rPr>
          <w:rFonts w:ascii="Arial Narrow" w:eastAsia="MS Mincho" w:hAnsi="Arial Narrow"/>
          <w:b/>
          <w:sz w:val="20"/>
        </w:rPr>
        <w:t>-I</w:t>
      </w:r>
      <w:r w:rsidRPr="00367C84">
        <w:rPr>
          <w:rFonts w:ascii="Arial Narrow" w:eastAsia="MS Mincho" w:hAnsi="Arial Narrow"/>
          <w:b/>
          <w:sz w:val="20"/>
        </w:rPr>
        <w:t xml:space="preserve"> </w:t>
      </w:r>
    </w:p>
    <w:tbl>
      <w:tblPr>
        <w:tblStyle w:val="TableGrid"/>
        <w:tblW w:w="8363" w:type="dxa"/>
        <w:tblInd w:w="737" w:type="dxa"/>
        <w:tblCellMar>
          <w:left w:w="28" w:type="dxa"/>
          <w:right w:w="28" w:type="dxa"/>
        </w:tblCellMar>
        <w:tblLook w:val="0620" w:firstRow="1" w:lastRow="0" w:firstColumn="0" w:lastColumn="0" w:noHBand="1" w:noVBand="1"/>
        <w:tblCaption w:val="Comparative effectiveness"/>
      </w:tblPr>
      <w:tblGrid>
        <w:gridCol w:w="4961"/>
        <w:gridCol w:w="2410"/>
        <w:gridCol w:w="992"/>
      </w:tblGrid>
      <w:tr w:rsidR="00803E7A" w:rsidRPr="00922BBC" w:rsidTr="00BC0026">
        <w:tc>
          <w:tcPr>
            <w:tcW w:w="4961" w:type="dxa"/>
            <w:shd w:val="clear" w:color="auto" w:fill="FFFFFF" w:themeFill="background1"/>
          </w:tcPr>
          <w:p w:rsidR="00803E7A" w:rsidRPr="00922BBC" w:rsidRDefault="00803E7A" w:rsidP="00A25A11">
            <w:pPr>
              <w:rPr>
                <w:rFonts w:ascii="Arial Narrow" w:hAnsi="Arial Narrow"/>
                <w:b/>
                <w:sz w:val="20"/>
              </w:rPr>
            </w:pPr>
            <w:r w:rsidRPr="00922BBC">
              <w:rPr>
                <w:rFonts w:ascii="Arial Narrow" w:hAnsi="Arial Narrow"/>
                <w:b/>
                <w:sz w:val="20"/>
              </w:rPr>
              <w:t>Study</w:t>
            </w:r>
          </w:p>
        </w:tc>
        <w:tc>
          <w:tcPr>
            <w:tcW w:w="2410" w:type="dxa"/>
            <w:shd w:val="clear" w:color="auto" w:fill="FFFFFF" w:themeFill="background1"/>
            <w:vAlign w:val="center"/>
          </w:tcPr>
          <w:p w:rsidR="00803E7A" w:rsidRPr="00922BBC" w:rsidRDefault="00803E7A" w:rsidP="00A25A11">
            <w:pPr>
              <w:jc w:val="center"/>
              <w:rPr>
                <w:rFonts w:ascii="Arial Narrow" w:hAnsi="Arial Narrow"/>
                <w:b/>
                <w:sz w:val="20"/>
              </w:rPr>
            </w:pPr>
            <w:r w:rsidRPr="00922BBC">
              <w:rPr>
                <w:rFonts w:ascii="Arial Narrow" w:hAnsi="Arial Narrow"/>
                <w:b/>
                <w:sz w:val="20"/>
              </w:rPr>
              <w:t>Hazard ratio</w:t>
            </w:r>
          </w:p>
          <w:p w:rsidR="00803E7A" w:rsidRPr="00922BBC" w:rsidRDefault="00803E7A" w:rsidP="00A25A11">
            <w:pPr>
              <w:jc w:val="center"/>
              <w:rPr>
                <w:rFonts w:ascii="Arial Narrow" w:hAnsi="Arial Narrow"/>
                <w:b/>
                <w:sz w:val="20"/>
              </w:rPr>
            </w:pPr>
            <w:r w:rsidRPr="00922BBC">
              <w:rPr>
                <w:rFonts w:ascii="Arial Narrow" w:hAnsi="Arial Narrow"/>
                <w:b/>
                <w:sz w:val="20"/>
              </w:rPr>
              <w:t>(Confidence interval)</w:t>
            </w:r>
          </w:p>
        </w:tc>
        <w:tc>
          <w:tcPr>
            <w:tcW w:w="992" w:type="dxa"/>
            <w:shd w:val="clear" w:color="auto" w:fill="FFFFFF" w:themeFill="background1"/>
            <w:vAlign w:val="center"/>
          </w:tcPr>
          <w:p w:rsidR="00803E7A" w:rsidRPr="00922BBC" w:rsidRDefault="00803E7A" w:rsidP="00A25A11">
            <w:pPr>
              <w:jc w:val="center"/>
              <w:rPr>
                <w:rFonts w:ascii="Arial Narrow" w:hAnsi="Arial Narrow"/>
                <w:b/>
                <w:sz w:val="20"/>
              </w:rPr>
            </w:pPr>
            <w:r w:rsidRPr="00922BBC">
              <w:rPr>
                <w:rFonts w:ascii="Arial Narrow" w:hAnsi="Arial Narrow"/>
                <w:b/>
                <w:sz w:val="20"/>
              </w:rPr>
              <w:t>p-value</w:t>
            </w:r>
          </w:p>
        </w:tc>
      </w:tr>
      <w:tr w:rsidR="00803E7A" w:rsidRPr="00922BBC" w:rsidTr="00BC0026">
        <w:tc>
          <w:tcPr>
            <w:tcW w:w="4961" w:type="dxa"/>
          </w:tcPr>
          <w:p w:rsidR="00803E7A" w:rsidRPr="00922BBC" w:rsidRDefault="00803E7A" w:rsidP="00A25A11">
            <w:pPr>
              <w:rPr>
                <w:rFonts w:ascii="Arial Narrow" w:hAnsi="Arial Narrow"/>
                <w:sz w:val="20"/>
              </w:rPr>
            </w:pPr>
            <w:r w:rsidRPr="00922BBC">
              <w:rPr>
                <w:rFonts w:ascii="Arial Narrow" w:hAnsi="Arial Narrow"/>
                <w:sz w:val="20"/>
              </w:rPr>
              <w:t>COMFORT-I (ITT)</w:t>
            </w:r>
          </w:p>
          <w:p w:rsidR="00803E7A" w:rsidRPr="00922BBC" w:rsidRDefault="00803E7A" w:rsidP="00A25A11">
            <w:pPr>
              <w:jc w:val="right"/>
              <w:rPr>
                <w:rFonts w:ascii="Arial Narrow" w:hAnsi="Arial Narrow"/>
                <w:sz w:val="20"/>
              </w:rPr>
            </w:pPr>
            <w:r w:rsidRPr="00922BBC">
              <w:rPr>
                <w:rFonts w:ascii="Arial Narrow" w:hAnsi="Arial Narrow"/>
                <w:sz w:val="20"/>
              </w:rPr>
              <w:t>24 weeks</w:t>
            </w:r>
            <w:r w:rsidRPr="00922BBC">
              <w:rPr>
                <w:rFonts w:ascii="Arial Narrow" w:hAnsi="Arial Narrow"/>
                <w:sz w:val="20"/>
                <w:vertAlign w:val="superscript"/>
              </w:rPr>
              <w:t>a</w:t>
            </w:r>
          </w:p>
          <w:p w:rsidR="00803E7A" w:rsidRPr="00922BBC" w:rsidRDefault="00803E7A" w:rsidP="00A25A11">
            <w:pPr>
              <w:jc w:val="right"/>
              <w:rPr>
                <w:rFonts w:ascii="Arial Narrow" w:hAnsi="Arial Narrow"/>
                <w:sz w:val="20"/>
                <w:vertAlign w:val="superscript"/>
              </w:rPr>
            </w:pPr>
            <w:r w:rsidRPr="00922BBC">
              <w:rPr>
                <w:rFonts w:ascii="Arial Narrow" w:hAnsi="Arial Narrow"/>
                <w:sz w:val="20"/>
              </w:rPr>
              <w:t>48 weeks</w:t>
            </w:r>
            <w:r w:rsidRPr="00922BBC">
              <w:rPr>
                <w:rFonts w:ascii="Arial Narrow" w:hAnsi="Arial Narrow"/>
                <w:sz w:val="20"/>
                <w:vertAlign w:val="superscript"/>
              </w:rPr>
              <w:t>b</w:t>
            </w:r>
          </w:p>
          <w:p w:rsidR="00803E7A" w:rsidRPr="00922BBC" w:rsidRDefault="00803E7A" w:rsidP="00A25A11">
            <w:pPr>
              <w:jc w:val="right"/>
              <w:rPr>
                <w:rFonts w:ascii="Arial Narrow" w:hAnsi="Arial Narrow"/>
                <w:sz w:val="20"/>
                <w:vertAlign w:val="superscript"/>
              </w:rPr>
            </w:pPr>
            <w:r w:rsidRPr="00922BBC">
              <w:rPr>
                <w:rFonts w:ascii="Arial Narrow" w:hAnsi="Arial Narrow"/>
                <w:sz w:val="20"/>
              </w:rPr>
              <w:t>112 weeks</w:t>
            </w:r>
            <w:r w:rsidRPr="00922BBC">
              <w:rPr>
                <w:rFonts w:ascii="Arial Narrow" w:hAnsi="Arial Narrow"/>
                <w:sz w:val="20"/>
                <w:vertAlign w:val="superscript"/>
              </w:rPr>
              <w:t>b</w:t>
            </w:r>
          </w:p>
          <w:p w:rsidR="00803E7A" w:rsidRPr="00922BBC" w:rsidRDefault="00803E7A" w:rsidP="00A25A11">
            <w:pPr>
              <w:jc w:val="right"/>
              <w:rPr>
                <w:rFonts w:ascii="Arial Narrow" w:hAnsi="Arial Narrow"/>
                <w:sz w:val="20"/>
                <w:vertAlign w:val="superscript"/>
              </w:rPr>
            </w:pPr>
            <w:r w:rsidRPr="00922BBC">
              <w:rPr>
                <w:rFonts w:ascii="Arial Narrow" w:hAnsi="Arial Narrow"/>
                <w:sz w:val="20"/>
              </w:rPr>
              <w:t>144 weeks</w:t>
            </w:r>
          </w:p>
        </w:tc>
        <w:tc>
          <w:tcPr>
            <w:tcW w:w="2410" w:type="dxa"/>
            <w:vAlign w:val="center"/>
          </w:tcPr>
          <w:p w:rsidR="00803E7A" w:rsidRPr="00922BBC" w:rsidRDefault="00803E7A" w:rsidP="00A25A11">
            <w:pPr>
              <w:jc w:val="center"/>
              <w:rPr>
                <w:rFonts w:ascii="Arial Narrow" w:hAnsi="Arial Narrow"/>
                <w:sz w:val="20"/>
              </w:rPr>
            </w:pPr>
          </w:p>
          <w:p w:rsidR="00803E7A" w:rsidRPr="00922BBC" w:rsidRDefault="00803E7A" w:rsidP="00A25A11">
            <w:pPr>
              <w:jc w:val="center"/>
              <w:rPr>
                <w:rFonts w:ascii="Arial Narrow" w:hAnsi="Arial Narrow"/>
                <w:sz w:val="20"/>
              </w:rPr>
            </w:pPr>
            <w:r w:rsidRPr="00922BBC">
              <w:rPr>
                <w:rFonts w:ascii="Arial Narrow" w:hAnsi="Arial Narrow"/>
                <w:sz w:val="20"/>
              </w:rPr>
              <w:t>0.67 (0.3,1.5)</w:t>
            </w:r>
          </w:p>
          <w:p w:rsidR="00803E7A" w:rsidRPr="00922BBC" w:rsidRDefault="00803E7A" w:rsidP="00A25A11">
            <w:pPr>
              <w:jc w:val="center"/>
              <w:rPr>
                <w:rFonts w:ascii="Arial Narrow" w:hAnsi="Arial Narrow"/>
                <w:sz w:val="20"/>
              </w:rPr>
            </w:pPr>
            <w:r w:rsidRPr="00922BBC">
              <w:rPr>
                <w:rFonts w:ascii="Arial Narrow" w:hAnsi="Arial Narrow"/>
                <w:sz w:val="20"/>
              </w:rPr>
              <w:t>0.50 (0.25, 0.98)</w:t>
            </w:r>
          </w:p>
          <w:p w:rsidR="00803E7A" w:rsidRPr="00922BBC" w:rsidRDefault="00803E7A" w:rsidP="00A25A11">
            <w:pPr>
              <w:jc w:val="center"/>
              <w:rPr>
                <w:rFonts w:ascii="Arial Narrow" w:hAnsi="Arial Narrow"/>
                <w:sz w:val="20"/>
              </w:rPr>
            </w:pPr>
            <w:r w:rsidRPr="00922BBC">
              <w:rPr>
                <w:rFonts w:ascii="Arial Narrow" w:hAnsi="Arial Narrow"/>
                <w:sz w:val="20"/>
              </w:rPr>
              <w:t>0.58 (0.36, 0.95)</w:t>
            </w:r>
          </w:p>
          <w:p w:rsidR="00803E7A" w:rsidRPr="00922BBC" w:rsidRDefault="00803E7A" w:rsidP="00A25A11">
            <w:pPr>
              <w:jc w:val="center"/>
              <w:rPr>
                <w:rFonts w:ascii="Arial Narrow" w:hAnsi="Arial Narrow"/>
                <w:sz w:val="20"/>
              </w:rPr>
            </w:pPr>
            <w:r w:rsidRPr="00922BBC">
              <w:rPr>
                <w:rFonts w:ascii="Arial Narrow" w:hAnsi="Arial Narrow"/>
                <w:sz w:val="20"/>
              </w:rPr>
              <w:t>0.69 (0.49, 1.03)</w:t>
            </w:r>
          </w:p>
        </w:tc>
        <w:tc>
          <w:tcPr>
            <w:tcW w:w="992" w:type="dxa"/>
            <w:vAlign w:val="center"/>
          </w:tcPr>
          <w:p w:rsidR="00803E7A" w:rsidRPr="00922BBC" w:rsidRDefault="00803E7A" w:rsidP="00A25A11">
            <w:pPr>
              <w:jc w:val="center"/>
              <w:rPr>
                <w:rFonts w:ascii="Arial Narrow" w:hAnsi="Arial Narrow"/>
                <w:sz w:val="20"/>
              </w:rPr>
            </w:pPr>
          </w:p>
          <w:p w:rsidR="00803E7A" w:rsidRPr="00922BBC" w:rsidRDefault="00803E7A" w:rsidP="00A25A11">
            <w:pPr>
              <w:jc w:val="center"/>
              <w:rPr>
                <w:rFonts w:ascii="Arial Narrow" w:hAnsi="Arial Narrow"/>
                <w:sz w:val="20"/>
              </w:rPr>
            </w:pPr>
            <w:r w:rsidRPr="00922BBC">
              <w:rPr>
                <w:rFonts w:ascii="Arial Narrow" w:hAnsi="Arial Narrow"/>
                <w:sz w:val="20"/>
              </w:rPr>
              <w:t>0.33</w:t>
            </w:r>
          </w:p>
          <w:p w:rsidR="00803E7A" w:rsidRPr="00922BBC" w:rsidRDefault="00803E7A" w:rsidP="00A25A11">
            <w:pPr>
              <w:jc w:val="center"/>
              <w:rPr>
                <w:rFonts w:ascii="Arial Narrow" w:hAnsi="Arial Narrow"/>
                <w:sz w:val="20"/>
              </w:rPr>
            </w:pPr>
            <w:r w:rsidRPr="00922BBC">
              <w:rPr>
                <w:rFonts w:ascii="Arial Narrow" w:hAnsi="Arial Narrow"/>
                <w:sz w:val="20"/>
              </w:rPr>
              <w:t>0.0395</w:t>
            </w:r>
          </w:p>
          <w:p w:rsidR="00803E7A" w:rsidRPr="00922BBC" w:rsidRDefault="00803E7A" w:rsidP="00A25A11">
            <w:pPr>
              <w:jc w:val="center"/>
              <w:rPr>
                <w:rFonts w:ascii="Arial Narrow" w:hAnsi="Arial Narrow"/>
                <w:sz w:val="20"/>
              </w:rPr>
            </w:pPr>
            <w:r w:rsidRPr="00922BBC">
              <w:rPr>
                <w:rFonts w:ascii="Arial Narrow" w:hAnsi="Arial Narrow"/>
                <w:sz w:val="20"/>
              </w:rPr>
              <w:t>0.028</w:t>
            </w:r>
          </w:p>
          <w:p w:rsidR="00803E7A" w:rsidRPr="00922BBC" w:rsidRDefault="00803E7A" w:rsidP="00A25A11">
            <w:pPr>
              <w:jc w:val="center"/>
              <w:rPr>
                <w:rFonts w:ascii="Arial Narrow" w:hAnsi="Arial Narrow"/>
                <w:sz w:val="20"/>
              </w:rPr>
            </w:pPr>
            <w:r w:rsidRPr="00922BBC">
              <w:rPr>
                <w:rFonts w:ascii="Arial Narrow" w:hAnsi="Arial Narrow"/>
                <w:sz w:val="20"/>
              </w:rPr>
              <w:t>0.687</w:t>
            </w:r>
          </w:p>
        </w:tc>
      </w:tr>
      <w:tr w:rsidR="00803E7A" w:rsidRPr="00922BBC" w:rsidTr="00BC0026">
        <w:tc>
          <w:tcPr>
            <w:tcW w:w="4961" w:type="dxa"/>
          </w:tcPr>
          <w:p w:rsidR="00803E7A" w:rsidRPr="00922BBC" w:rsidRDefault="00803E7A" w:rsidP="00A25A11">
            <w:pPr>
              <w:rPr>
                <w:rFonts w:ascii="Arial Narrow" w:hAnsi="Arial Narrow"/>
                <w:sz w:val="20"/>
              </w:rPr>
            </w:pPr>
            <w:r w:rsidRPr="00922BBC">
              <w:rPr>
                <w:rFonts w:ascii="Arial Narrow" w:hAnsi="Arial Narrow"/>
                <w:sz w:val="20"/>
              </w:rPr>
              <w:t>COMFORT-I (PP) 144 weeks</w:t>
            </w:r>
          </w:p>
        </w:tc>
        <w:tc>
          <w:tcPr>
            <w:tcW w:w="2410" w:type="dxa"/>
            <w:vAlign w:val="center"/>
          </w:tcPr>
          <w:p w:rsidR="00803E7A" w:rsidRPr="00023DE7" w:rsidRDefault="00023DE7" w:rsidP="00A25A11">
            <w:pPr>
              <w:jc w:val="center"/>
              <w:rPr>
                <w:rFonts w:ascii="Arial Narrow" w:hAnsi="Arial Narrow"/>
                <w:sz w:val="20"/>
                <w:highlight w:val="black"/>
              </w:rPr>
            </w:pPr>
            <w:r>
              <w:rPr>
                <w:rFonts w:ascii="Arial Narrow" w:hAnsi="Arial Narrow"/>
                <w:noProof/>
                <w:color w:val="000000"/>
                <w:sz w:val="20"/>
                <w:highlight w:val="black"/>
              </w:rPr>
              <w:t>''''''''''' '''''''''''''' ''''''''''''''</w:t>
            </w:r>
          </w:p>
        </w:tc>
        <w:tc>
          <w:tcPr>
            <w:tcW w:w="992" w:type="dxa"/>
            <w:vAlign w:val="center"/>
          </w:tcPr>
          <w:p w:rsidR="00803E7A" w:rsidRPr="00023DE7" w:rsidRDefault="00023DE7" w:rsidP="00A25A11">
            <w:pPr>
              <w:jc w:val="center"/>
              <w:rPr>
                <w:rFonts w:ascii="Arial Narrow" w:hAnsi="Arial Narrow"/>
                <w:sz w:val="20"/>
                <w:highlight w:val="black"/>
              </w:rPr>
            </w:pPr>
            <w:r>
              <w:rPr>
                <w:rFonts w:ascii="Arial Narrow" w:hAnsi="Arial Narrow"/>
                <w:noProof/>
                <w:color w:val="000000"/>
                <w:sz w:val="20"/>
                <w:highlight w:val="black"/>
              </w:rPr>
              <w:t>'''''''''''''''</w:t>
            </w:r>
          </w:p>
        </w:tc>
      </w:tr>
      <w:tr w:rsidR="00803E7A" w:rsidRPr="00922BBC" w:rsidTr="00BC0026">
        <w:tc>
          <w:tcPr>
            <w:tcW w:w="4961" w:type="dxa"/>
          </w:tcPr>
          <w:p w:rsidR="00803E7A" w:rsidRPr="00922BBC" w:rsidRDefault="00803E7A" w:rsidP="00A25A11">
            <w:pPr>
              <w:rPr>
                <w:rFonts w:ascii="Arial Narrow" w:hAnsi="Arial Narrow"/>
                <w:sz w:val="20"/>
              </w:rPr>
            </w:pPr>
            <w:r w:rsidRPr="00922BBC">
              <w:rPr>
                <w:rFonts w:ascii="Arial Narrow" w:hAnsi="Arial Narrow"/>
                <w:sz w:val="20"/>
              </w:rPr>
              <w:t>COMFORT-I (RPSFT corrected) 144 weeks</w:t>
            </w:r>
          </w:p>
        </w:tc>
        <w:tc>
          <w:tcPr>
            <w:tcW w:w="2410" w:type="dxa"/>
            <w:vAlign w:val="center"/>
          </w:tcPr>
          <w:p w:rsidR="00803E7A" w:rsidRPr="00023DE7" w:rsidRDefault="00023DE7" w:rsidP="00A25A11">
            <w:pPr>
              <w:jc w:val="center"/>
              <w:rPr>
                <w:rFonts w:ascii="Arial Narrow" w:hAnsi="Arial Narrow"/>
                <w:sz w:val="20"/>
                <w:highlight w:val="black"/>
              </w:rPr>
            </w:pPr>
            <w:r>
              <w:rPr>
                <w:rFonts w:ascii="Arial Narrow" w:hAnsi="Arial Narrow"/>
                <w:noProof/>
                <w:color w:val="000000"/>
                <w:sz w:val="20"/>
                <w:highlight w:val="black"/>
              </w:rPr>
              <w:t>'''''''''' ''''''''''''</w:t>
            </w:r>
          </w:p>
        </w:tc>
        <w:tc>
          <w:tcPr>
            <w:tcW w:w="992" w:type="dxa"/>
            <w:vAlign w:val="center"/>
          </w:tcPr>
          <w:p w:rsidR="00803E7A" w:rsidRPr="00023DE7" w:rsidRDefault="00023DE7" w:rsidP="00A25A11">
            <w:pPr>
              <w:jc w:val="center"/>
              <w:rPr>
                <w:rFonts w:ascii="Arial Narrow" w:hAnsi="Arial Narrow"/>
                <w:sz w:val="20"/>
                <w:highlight w:val="black"/>
              </w:rPr>
            </w:pPr>
            <w:r>
              <w:rPr>
                <w:rFonts w:ascii="Arial Narrow" w:hAnsi="Arial Narrow"/>
                <w:noProof/>
                <w:color w:val="000000"/>
                <w:sz w:val="20"/>
                <w:highlight w:val="black"/>
              </w:rPr>
              <w:t>''''''''</w:t>
            </w:r>
          </w:p>
        </w:tc>
      </w:tr>
    </w:tbl>
    <w:p w:rsidR="00803E7A" w:rsidRPr="00D92F52" w:rsidRDefault="00803E7A" w:rsidP="006E584F">
      <w:pPr>
        <w:ind w:firstLine="720"/>
        <w:rPr>
          <w:rFonts w:ascii="Arial Narrow" w:hAnsi="Arial Narrow"/>
          <w:sz w:val="20"/>
        </w:rPr>
      </w:pPr>
      <w:r w:rsidRPr="00D92F52">
        <w:rPr>
          <w:rFonts w:ascii="Arial Narrow" w:hAnsi="Arial Narrow"/>
          <w:sz w:val="20"/>
          <w:vertAlign w:val="superscript"/>
        </w:rPr>
        <w:t>a</w:t>
      </w:r>
      <w:r w:rsidRPr="00D92F52">
        <w:rPr>
          <w:rFonts w:ascii="Arial Narrow" w:hAnsi="Arial Narrow"/>
          <w:sz w:val="20"/>
        </w:rPr>
        <w:t xml:space="preserve"> denotes original trial duration, </w:t>
      </w:r>
      <w:r w:rsidRPr="00D92F52">
        <w:rPr>
          <w:rFonts w:ascii="Arial Narrow" w:hAnsi="Arial Narrow"/>
          <w:sz w:val="20"/>
          <w:vertAlign w:val="superscript"/>
        </w:rPr>
        <w:t>b</w:t>
      </w:r>
      <w:r w:rsidRPr="00D92F52">
        <w:rPr>
          <w:rFonts w:ascii="Arial Narrow" w:hAnsi="Arial Narrow"/>
          <w:sz w:val="20"/>
        </w:rPr>
        <w:t xml:space="preserve"> denotes unplanned analysis </w:t>
      </w:r>
    </w:p>
    <w:p w:rsidR="00803E7A" w:rsidRPr="00D92F52" w:rsidRDefault="00803E7A" w:rsidP="006E584F">
      <w:pPr>
        <w:ind w:firstLine="720"/>
        <w:rPr>
          <w:rFonts w:ascii="Arial Narrow" w:hAnsi="Arial Narrow"/>
          <w:sz w:val="20"/>
        </w:rPr>
      </w:pPr>
      <w:r w:rsidRPr="00D92F52">
        <w:rPr>
          <w:rFonts w:ascii="Arial Narrow" w:hAnsi="Arial Narrow"/>
          <w:sz w:val="20"/>
        </w:rPr>
        <w:t xml:space="preserve">RPSFT: rank preserving structural failure time model </w:t>
      </w:r>
    </w:p>
    <w:p w:rsidR="00803E7A" w:rsidRDefault="00803E7A" w:rsidP="006E584F">
      <w:pPr>
        <w:ind w:firstLine="720"/>
        <w:rPr>
          <w:rFonts w:ascii="Arial Narrow" w:hAnsi="Arial Narrow"/>
          <w:sz w:val="20"/>
        </w:rPr>
      </w:pPr>
      <w:r w:rsidRPr="00D92F52">
        <w:rPr>
          <w:rFonts w:ascii="Arial Narrow" w:hAnsi="Arial Narrow"/>
          <w:sz w:val="20"/>
        </w:rPr>
        <w:t xml:space="preserve">Source: Table B.6-2, pp94-95 and Table B.6-3, p95 of the </w:t>
      </w:r>
      <w:r w:rsidR="00D92F52">
        <w:rPr>
          <w:rFonts w:ascii="Arial Narrow" w:hAnsi="Arial Narrow"/>
          <w:sz w:val="20"/>
        </w:rPr>
        <w:t>re-</w:t>
      </w:r>
      <w:r w:rsidRPr="00D92F52">
        <w:rPr>
          <w:rFonts w:ascii="Arial Narrow" w:hAnsi="Arial Narrow"/>
          <w:sz w:val="20"/>
        </w:rPr>
        <w:t xml:space="preserve">submission </w:t>
      </w:r>
    </w:p>
    <w:p w:rsidR="006E6A97" w:rsidRPr="00D92F52" w:rsidRDefault="006E6A97" w:rsidP="006E584F">
      <w:pPr>
        <w:ind w:firstLine="720"/>
        <w:rPr>
          <w:rFonts w:ascii="Arial Narrow" w:hAnsi="Arial Narrow"/>
          <w:sz w:val="20"/>
        </w:rPr>
      </w:pPr>
    </w:p>
    <w:p w:rsidR="006E584F" w:rsidRDefault="006E584F" w:rsidP="006E584F">
      <w:pPr>
        <w:ind w:firstLine="720"/>
      </w:pPr>
      <w:r>
        <w:t>In terms of symptom (and quality of life) improvement, in COMFORT-I, at 24 weeks:</w:t>
      </w:r>
    </w:p>
    <w:p w:rsidR="006E584F" w:rsidRDefault="006E584F" w:rsidP="004D64A8">
      <w:pPr>
        <w:pStyle w:val="ListParagraph"/>
        <w:numPr>
          <w:ilvl w:val="0"/>
          <w:numId w:val="2"/>
        </w:numPr>
        <w:ind w:left="993" w:hanging="284"/>
      </w:pPr>
      <w:r>
        <w:t>MF-SAF total symptom score (TSS): 45.9% of patients treated with ruxolitinib had achieved a decrease of 50% or more in the MF-SAF total symptom score (TSS); compared to only 5.3% of patients in the placebo group (OR 15.28; 95% CI: 6.93, 33.66; p&lt;0.0001); improvements in symptoms were also rapid with the majority of responses occurring within 4 weeks of ruxolitinib initiation.  The median percent improvement from baseline in the ruxolitinib group was significantly higher (p&lt;0.0001) than in the placebo group for all 7 of the individual symptoms measured.  The biggest improvement in symptoms compared to placebo treatment was for itch (111% increase in placebo versus 43% decrease in ruxolitinib treatment arm).</w:t>
      </w:r>
    </w:p>
    <w:p w:rsidR="006E584F" w:rsidRDefault="006E584F" w:rsidP="004D64A8">
      <w:pPr>
        <w:pStyle w:val="ListParagraph"/>
        <w:numPr>
          <w:ilvl w:val="0"/>
          <w:numId w:val="2"/>
        </w:numPr>
        <w:ind w:left="993" w:hanging="284"/>
      </w:pPr>
      <w:r>
        <w:t xml:space="preserve">Patient Global Impression of Change (PGIC): From Week 4 through to 24, the median PGIC was 2.0 (Much improved) in the ruxolitinib group versus 4.0 (no change) in the placebo group in the COMFORT-I trial.  Over time, the ruxolitinib group maintained a mean PGIC score associated with symptom improvement (P&lt;0.0001 versus baseline), whereas the placebo group maintained a mean PGIC </w:t>
      </w:r>
      <w:r w:rsidR="00BB5F0D">
        <w:t>score associated with no change.</w:t>
      </w:r>
    </w:p>
    <w:p w:rsidR="006E584F" w:rsidRPr="00882085" w:rsidRDefault="006E584F" w:rsidP="00CF14FC">
      <w:pPr>
        <w:rPr>
          <w:szCs w:val="22"/>
        </w:rPr>
      </w:pPr>
    </w:p>
    <w:p w:rsidR="00B60939" w:rsidRPr="00497F10" w:rsidRDefault="00B60939" w:rsidP="00497F10">
      <w:pPr>
        <w:pStyle w:val="Heading2"/>
        <w:rPr>
          <w:i/>
        </w:rPr>
      </w:pPr>
      <w:bookmarkStart w:id="9" w:name="_Toc408474962"/>
      <w:r w:rsidRPr="00497F10">
        <w:rPr>
          <w:i/>
        </w:rPr>
        <w:t>Comparative harms</w:t>
      </w:r>
      <w:bookmarkEnd w:id="9"/>
    </w:p>
    <w:p w:rsidR="00B60939" w:rsidRPr="00882085" w:rsidRDefault="00B60939" w:rsidP="00B60939">
      <w:pPr>
        <w:ind w:left="720" w:hanging="720"/>
        <w:rPr>
          <w:szCs w:val="22"/>
        </w:rPr>
      </w:pPr>
    </w:p>
    <w:p w:rsidR="00E076C5" w:rsidRDefault="00803E7A" w:rsidP="00BC0026">
      <w:pPr>
        <w:pStyle w:val="PBACheading1"/>
        <w:numPr>
          <w:ilvl w:val="1"/>
          <w:numId w:val="1"/>
        </w:numPr>
        <w:rPr>
          <w:rStyle w:val="CommentReference"/>
        </w:rPr>
      </w:pPr>
      <w:r w:rsidRPr="00803E7A">
        <w:t xml:space="preserve">Results </w:t>
      </w:r>
      <w:r>
        <w:t xml:space="preserve">for comparative harms </w:t>
      </w:r>
      <w:r w:rsidR="00F5128D">
        <w:t>were</w:t>
      </w:r>
      <w:r w:rsidRPr="00803E7A">
        <w:t xml:space="preserve"> unchanged from the previous re-submissi</w:t>
      </w:r>
      <w:r w:rsidR="004B20FC">
        <w:t>on and are summarised in the table below</w:t>
      </w:r>
      <w:r w:rsidRPr="00803E7A">
        <w:t xml:space="preserve">. </w:t>
      </w:r>
    </w:p>
    <w:p w:rsidR="0053473F" w:rsidRDefault="0053473F">
      <w:pPr>
        <w:widowControl/>
        <w:jc w:val="left"/>
        <w:rPr>
          <w:rStyle w:val="CommentReference"/>
        </w:rPr>
      </w:pPr>
      <w:r>
        <w:rPr>
          <w:rStyle w:val="CommentReference"/>
        </w:rPr>
        <w:br w:type="page"/>
      </w:r>
    </w:p>
    <w:p w:rsidR="00803E7A" w:rsidRPr="00803E7A" w:rsidRDefault="00803E7A" w:rsidP="00294366">
      <w:pPr>
        <w:pStyle w:val="ListParagraph"/>
        <w:ind w:left="567" w:firstLine="142"/>
        <w:rPr>
          <w:szCs w:val="22"/>
        </w:rPr>
      </w:pPr>
      <w:r w:rsidRPr="00D243A4">
        <w:rPr>
          <w:rStyle w:val="CommentReference"/>
        </w:rPr>
        <w:lastRenderedPageBreak/>
        <w:t xml:space="preserve">Summary of comparative harms for </w:t>
      </w:r>
      <w:r>
        <w:rPr>
          <w:rStyle w:val="CommentReference"/>
        </w:rPr>
        <w:t xml:space="preserve">ruxolitinib </w:t>
      </w:r>
      <w:r w:rsidRPr="00D243A4">
        <w:rPr>
          <w:rStyle w:val="CommentReference"/>
        </w:rPr>
        <w:t xml:space="preserve">and </w:t>
      </w:r>
      <w:r>
        <w:rPr>
          <w:rStyle w:val="CommentReference"/>
        </w:rPr>
        <w:t>placebo in COMFORT-I at 144 weeks</w:t>
      </w:r>
    </w:p>
    <w:tbl>
      <w:tblPr>
        <w:tblW w:w="4447"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Caption w:val="Summary of comparative harms for ruxolitinib and placebo "/>
      </w:tblPr>
      <w:tblGrid>
        <w:gridCol w:w="2977"/>
        <w:gridCol w:w="1986"/>
        <w:gridCol w:w="1701"/>
        <w:gridCol w:w="1414"/>
      </w:tblGrid>
      <w:tr w:rsidR="006E584F" w:rsidRPr="00512CC1" w:rsidTr="00C91094">
        <w:trPr>
          <w:tblHeader/>
        </w:trPr>
        <w:tc>
          <w:tcPr>
            <w:tcW w:w="1843" w:type="pct"/>
            <w:vMerge w:val="restart"/>
            <w:vAlign w:val="center"/>
          </w:tcPr>
          <w:p w:rsidR="006E584F" w:rsidRPr="00512CC1" w:rsidRDefault="006E584F" w:rsidP="00294366">
            <w:pPr>
              <w:jc w:val="left"/>
              <w:rPr>
                <w:rFonts w:ascii="Arial Narrow" w:hAnsi="Arial Narrow"/>
                <w:b/>
                <w:sz w:val="20"/>
              </w:rPr>
            </w:pPr>
            <w:r w:rsidRPr="00512CC1">
              <w:rPr>
                <w:rFonts w:ascii="Arial Narrow" w:hAnsi="Arial Narrow"/>
                <w:b/>
                <w:sz w:val="20"/>
              </w:rPr>
              <w:t>Preferred term</w:t>
            </w:r>
          </w:p>
          <w:p w:rsidR="006E584F" w:rsidRPr="00512CC1" w:rsidRDefault="006E584F" w:rsidP="00A25A11">
            <w:pPr>
              <w:jc w:val="left"/>
              <w:rPr>
                <w:rFonts w:ascii="Arial Narrow" w:hAnsi="Arial Narrow"/>
                <w:b/>
                <w:sz w:val="20"/>
              </w:rPr>
            </w:pPr>
            <w:r w:rsidRPr="00512CC1">
              <w:rPr>
                <w:rFonts w:ascii="Arial Narrow" w:hAnsi="Arial Narrow"/>
                <w:b/>
                <w:sz w:val="20"/>
              </w:rPr>
              <w:t>Maximum grade</w:t>
            </w:r>
          </w:p>
        </w:tc>
        <w:tc>
          <w:tcPr>
            <w:tcW w:w="3157" w:type="pct"/>
            <w:gridSpan w:val="3"/>
            <w:vAlign w:val="center"/>
          </w:tcPr>
          <w:p w:rsidR="006E584F" w:rsidRPr="00512CC1" w:rsidRDefault="006E584F" w:rsidP="00A25A11">
            <w:pPr>
              <w:jc w:val="center"/>
              <w:rPr>
                <w:rFonts w:ascii="Arial Narrow" w:hAnsi="Arial Narrow"/>
                <w:b/>
                <w:sz w:val="20"/>
              </w:rPr>
            </w:pPr>
            <w:r w:rsidRPr="00512CC1">
              <w:rPr>
                <w:rFonts w:ascii="Arial Narrow" w:hAnsi="Arial Narrow"/>
                <w:b/>
                <w:sz w:val="20"/>
              </w:rPr>
              <w:t>COMFOR</w:t>
            </w:r>
            <w:r>
              <w:rPr>
                <w:rFonts w:ascii="Arial Narrow" w:hAnsi="Arial Narrow"/>
                <w:b/>
                <w:sz w:val="20"/>
              </w:rPr>
              <w:t>T-</w:t>
            </w:r>
            <w:r w:rsidRPr="00512CC1">
              <w:rPr>
                <w:rFonts w:ascii="Arial Narrow" w:hAnsi="Arial Narrow"/>
                <w:b/>
                <w:sz w:val="20"/>
              </w:rPr>
              <w:t>I</w:t>
            </w:r>
          </w:p>
        </w:tc>
      </w:tr>
      <w:tr w:rsidR="006E584F" w:rsidRPr="00512CC1" w:rsidTr="00C91094">
        <w:trPr>
          <w:tblHeader/>
        </w:trPr>
        <w:tc>
          <w:tcPr>
            <w:tcW w:w="1843" w:type="pct"/>
            <w:vMerge/>
          </w:tcPr>
          <w:p w:rsidR="006E584F" w:rsidRPr="00512CC1" w:rsidRDefault="006E584F" w:rsidP="00A25A11">
            <w:pPr>
              <w:rPr>
                <w:rFonts w:ascii="Arial Narrow" w:hAnsi="Arial Narrow"/>
                <w:b/>
                <w:sz w:val="20"/>
              </w:rPr>
            </w:pPr>
          </w:p>
        </w:tc>
        <w:tc>
          <w:tcPr>
            <w:tcW w:w="1229" w:type="pct"/>
            <w:vAlign w:val="center"/>
          </w:tcPr>
          <w:p w:rsidR="006E584F" w:rsidRPr="00512CC1" w:rsidRDefault="006E584F" w:rsidP="006E584F">
            <w:pPr>
              <w:jc w:val="center"/>
              <w:rPr>
                <w:rFonts w:ascii="Arial Narrow" w:hAnsi="Arial Narrow"/>
                <w:b/>
                <w:sz w:val="20"/>
              </w:rPr>
            </w:pPr>
            <w:r w:rsidRPr="00512CC1">
              <w:rPr>
                <w:rFonts w:ascii="Arial Narrow" w:hAnsi="Arial Narrow"/>
                <w:b/>
                <w:sz w:val="20"/>
              </w:rPr>
              <w:t>Ruxolitinib</w:t>
            </w:r>
            <w:r>
              <w:rPr>
                <w:rFonts w:ascii="Arial Narrow" w:hAnsi="Arial Narrow"/>
                <w:b/>
                <w:sz w:val="20"/>
              </w:rPr>
              <w:t xml:space="preserve"> </w:t>
            </w:r>
            <w:r w:rsidRPr="00512CC1">
              <w:rPr>
                <w:rFonts w:ascii="Arial Narrow" w:hAnsi="Arial Narrow"/>
                <w:b/>
                <w:sz w:val="20"/>
              </w:rPr>
              <w:t xml:space="preserve">(N=155) </w:t>
            </w:r>
          </w:p>
          <w:p w:rsidR="006E584F" w:rsidRPr="00512CC1" w:rsidRDefault="006E584F" w:rsidP="00A25A11">
            <w:pPr>
              <w:jc w:val="center"/>
              <w:rPr>
                <w:rFonts w:ascii="Arial Narrow" w:hAnsi="Arial Narrow"/>
                <w:b/>
                <w:sz w:val="20"/>
              </w:rPr>
            </w:pPr>
            <w:r w:rsidRPr="00512CC1">
              <w:rPr>
                <w:rFonts w:ascii="Arial Narrow" w:hAnsi="Arial Narrow"/>
                <w:b/>
                <w:sz w:val="20"/>
              </w:rPr>
              <w:t>n (%)</w:t>
            </w:r>
          </w:p>
        </w:tc>
        <w:tc>
          <w:tcPr>
            <w:tcW w:w="1053" w:type="pct"/>
            <w:vAlign w:val="center"/>
          </w:tcPr>
          <w:p w:rsidR="006E584F" w:rsidRPr="00512CC1" w:rsidRDefault="006E584F" w:rsidP="00A25A11">
            <w:pPr>
              <w:jc w:val="center"/>
              <w:rPr>
                <w:rFonts w:ascii="Arial Narrow" w:hAnsi="Arial Narrow"/>
                <w:b/>
                <w:sz w:val="20"/>
              </w:rPr>
            </w:pPr>
            <w:r w:rsidRPr="00512CC1">
              <w:rPr>
                <w:rFonts w:ascii="Arial Narrow" w:hAnsi="Arial Narrow"/>
                <w:b/>
                <w:sz w:val="20"/>
              </w:rPr>
              <w:t>Placebo (N=151)</w:t>
            </w:r>
          </w:p>
          <w:p w:rsidR="006E584F" w:rsidRPr="00512CC1" w:rsidRDefault="006E584F" w:rsidP="00A25A11">
            <w:pPr>
              <w:jc w:val="center"/>
              <w:rPr>
                <w:rFonts w:ascii="Arial Narrow" w:hAnsi="Arial Narrow"/>
                <w:b/>
                <w:sz w:val="20"/>
              </w:rPr>
            </w:pPr>
            <w:r w:rsidRPr="00512CC1">
              <w:rPr>
                <w:rFonts w:ascii="Arial Narrow" w:hAnsi="Arial Narrow"/>
                <w:b/>
                <w:sz w:val="20"/>
              </w:rPr>
              <w:t>n (%)</w:t>
            </w:r>
          </w:p>
        </w:tc>
        <w:tc>
          <w:tcPr>
            <w:tcW w:w="875" w:type="pct"/>
            <w:vAlign w:val="center"/>
          </w:tcPr>
          <w:p w:rsidR="006E584F" w:rsidRPr="00512CC1" w:rsidRDefault="006E584F" w:rsidP="00A25A11">
            <w:pPr>
              <w:jc w:val="center"/>
              <w:rPr>
                <w:rFonts w:ascii="Arial Narrow" w:hAnsi="Arial Narrow"/>
                <w:b/>
                <w:sz w:val="20"/>
              </w:rPr>
            </w:pPr>
            <w:r w:rsidRPr="00512CC1">
              <w:rPr>
                <w:rFonts w:ascii="Arial Narrow" w:hAnsi="Arial Narrow"/>
                <w:b/>
                <w:sz w:val="20"/>
              </w:rPr>
              <w:t>OR (95%CI)</w:t>
            </w:r>
          </w:p>
        </w:tc>
      </w:tr>
      <w:tr w:rsidR="006E584F" w:rsidRPr="00512CC1" w:rsidTr="00294366">
        <w:tc>
          <w:tcPr>
            <w:tcW w:w="1843" w:type="pct"/>
            <w:vAlign w:val="center"/>
          </w:tcPr>
          <w:p w:rsidR="006E584F" w:rsidRPr="00512CC1" w:rsidRDefault="006E584F" w:rsidP="00A25A11">
            <w:pPr>
              <w:jc w:val="left"/>
              <w:rPr>
                <w:rFonts w:ascii="Arial Narrow" w:hAnsi="Arial Narrow"/>
                <w:sz w:val="20"/>
              </w:rPr>
            </w:pPr>
            <w:r w:rsidRPr="00512CC1">
              <w:rPr>
                <w:rFonts w:ascii="Arial Narrow" w:hAnsi="Arial Narrow"/>
                <w:sz w:val="20"/>
              </w:rPr>
              <w:t>Any preferred term</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115 (74.2)</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84 (55.6)</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2.3 (1.3, 3.7)</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3</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31 (20)</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25 (16.6)</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1.3 (0.7, 2.3)</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4</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12 (7.7)</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0</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26.4 (1.6, 449.9)</w:t>
            </w:r>
          </w:p>
        </w:tc>
      </w:tr>
      <w:tr w:rsidR="006E584F" w:rsidRPr="00512CC1" w:rsidTr="00294366">
        <w:tc>
          <w:tcPr>
            <w:tcW w:w="1843" w:type="pct"/>
            <w:vAlign w:val="center"/>
          </w:tcPr>
          <w:p w:rsidR="006E584F" w:rsidRPr="00512CC1" w:rsidRDefault="006E584F" w:rsidP="00A25A11">
            <w:pPr>
              <w:jc w:val="left"/>
              <w:rPr>
                <w:rFonts w:ascii="Arial Narrow" w:hAnsi="Arial Narrow"/>
                <w:sz w:val="20"/>
              </w:rPr>
            </w:pPr>
            <w:r w:rsidRPr="00512CC1">
              <w:rPr>
                <w:rFonts w:ascii="Arial Narrow" w:hAnsi="Arial Narrow"/>
                <w:sz w:val="20"/>
              </w:rPr>
              <w:t>Thrombocytopenia</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47 (30.3)</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8 (5.3)</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7.8 (3.5, 17.1)</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3</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10 (6.5)</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 (0.7)</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10.3 (1.3, 81.8)</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4</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 (0.6)</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0</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2.9 (0.1, 72.8)</w:t>
            </w:r>
          </w:p>
        </w:tc>
      </w:tr>
      <w:tr w:rsidR="006E584F" w:rsidRPr="00512CC1" w:rsidTr="00294366">
        <w:tc>
          <w:tcPr>
            <w:tcW w:w="1843" w:type="pct"/>
          </w:tcPr>
          <w:p w:rsidR="006E584F" w:rsidRPr="00512CC1" w:rsidRDefault="006E584F" w:rsidP="00A25A11">
            <w:pPr>
              <w:rPr>
                <w:rFonts w:ascii="Arial Narrow" w:hAnsi="Arial Narrow"/>
                <w:sz w:val="20"/>
              </w:rPr>
            </w:pPr>
            <w:r w:rsidRPr="00512CC1">
              <w:rPr>
                <w:rFonts w:ascii="Arial Narrow" w:hAnsi="Arial Narrow"/>
                <w:sz w:val="20"/>
              </w:rPr>
              <w:t>Anaemia</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38 (24.5)</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9 (6.0)</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5.1 (2.4, 11.0)</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3</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10 (6.5)</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5 (3.3)</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2.0 (0.7, 6.0)</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4</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6 (3.9)</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0</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13.2 (0.7, 235.9)</w:t>
            </w:r>
          </w:p>
        </w:tc>
      </w:tr>
      <w:tr w:rsidR="006E584F" w:rsidRPr="00512CC1" w:rsidTr="00294366">
        <w:tc>
          <w:tcPr>
            <w:tcW w:w="1843" w:type="pct"/>
          </w:tcPr>
          <w:p w:rsidR="006E584F" w:rsidRPr="00512CC1" w:rsidRDefault="006E584F" w:rsidP="00A25A11">
            <w:pPr>
              <w:rPr>
                <w:rFonts w:ascii="Arial Narrow" w:hAnsi="Arial Narrow"/>
                <w:i/>
                <w:iCs/>
                <w:sz w:val="20"/>
              </w:rPr>
            </w:pPr>
            <w:r w:rsidRPr="00512CC1">
              <w:rPr>
                <w:rFonts w:ascii="Arial Narrow" w:hAnsi="Arial Narrow"/>
                <w:i/>
                <w:iCs/>
                <w:sz w:val="20"/>
              </w:rPr>
              <w:t>Erythropenia</w:t>
            </w:r>
          </w:p>
        </w:tc>
        <w:tc>
          <w:tcPr>
            <w:tcW w:w="1229"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1053"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875" w:type="pct"/>
            <w:vAlign w:val="center"/>
          </w:tcPr>
          <w:p w:rsidR="006E584F" w:rsidRPr="0074551B" w:rsidRDefault="006E584F" w:rsidP="00A25A11">
            <w:pPr>
              <w:jc w:val="center"/>
              <w:rPr>
                <w:rFonts w:ascii="Arial Narrow" w:hAnsi="Arial Narrow"/>
                <w:iCs/>
                <w:sz w:val="20"/>
              </w:rPr>
            </w:pPr>
            <w:r w:rsidRPr="0074551B">
              <w:rPr>
                <w:rFonts w:ascii="Arial Narrow" w:hAnsi="Arial Narrow"/>
                <w:iCs/>
                <w:sz w:val="20"/>
              </w:rPr>
              <w:t>NA</w:t>
            </w:r>
          </w:p>
        </w:tc>
      </w:tr>
      <w:tr w:rsidR="006E584F" w:rsidRPr="00512CC1" w:rsidTr="00294366">
        <w:tc>
          <w:tcPr>
            <w:tcW w:w="1843" w:type="pct"/>
          </w:tcPr>
          <w:p w:rsidR="006E584F" w:rsidRPr="00512CC1" w:rsidRDefault="006E584F" w:rsidP="00A25A11">
            <w:pPr>
              <w:jc w:val="right"/>
              <w:rPr>
                <w:rFonts w:ascii="Arial Narrow" w:hAnsi="Arial Narrow"/>
                <w:i/>
                <w:iCs/>
                <w:sz w:val="20"/>
              </w:rPr>
            </w:pPr>
            <w:r w:rsidRPr="00512CC1">
              <w:rPr>
                <w:rFonts w:ascii="Arial Narrow" w:hAnsi="Arial Narrow"/>
                <w:i/>
                <w:iCs/>
                <w:sz w:val="20"/>
              </w:rPr>
              <w:t>Grade 3-4</w:t>
            </w:r>
          </w:p>
        </w:tc>
        <w:tc>
          <w:tcPr>
            <w:tcW w:w="1229"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1053"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875" w:type="pct"/>
            <w:vAlign w:val="center"/>
          </w:tcPr>
          <w:p w:rsidR="006E584F" w:rsidRPr="0074551B" w:rsidRDefault="006E584F" w:rsidP="00A25A11">
            <w:pPr>
              <w:jc w:val="center"/>
              <w:rPr>
                <w:rFonts w:ascii="Arial Narrow" w:hAnsi="Arial Narrow"/>
                <w:iCs/>
                <w:sz w:val="20"/>
              </w:rPr>
            </w:pPr>
            <w:r w:rsidRPr="0074551B">
              <w:rPr>
                <w:rFonts w:ascii="Arial Narrow" w:hAnsi="Arial Narrow"/>
                <w:iCs/>
                <w:sz w:val="20"/>
              </w:rPr>
              <w:t>NA</w:t>
            </w:r>
          </w:p>
        </w:tc>
      </w:tr>
      <w:tr w:rsidR="006E584F" w:rsidRPr="00512CC1" w:rsidTr="00294366">
        <w:tc>
          <w:tcPr>
            <w:tcW w:w="1843" w:type="pct"/>
            <w:vAlign w:val="center"/>
          </w:tcPr>
          <w:p w:rsidR="006E584F" w:rsidRPr="00512CC1" w:rsidRDefault="006E584F" w:rsidP="00A25A11">
            <w:pPr>
              <w:jc w:val="left"/>
              <w:rPr>
                <w:rFonts w:ascii="Arial Narrow" w:hAnsi="Arial Narrow"/>
                <w:sz w:val="20"/>
              </w:rPr>
            </w:pPr>
            <w:r w:rsidRPr="00512CC1">
              <w:rPr>
                <w:rFonts w:ascii="Arial Narrow" w:hAnsi="Arial Narrow"/>
                <w:sz w:val="20"/>
              </w:rPr>
              <w:t xml:space="preserve">Platelet count decreased </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14 (9.0)</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 (1.3)</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7.4 (1.7, 33.1)</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3</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 (1.3)</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0</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4.9 (0.2, 103.6)</w:t>
            </w:r>
          </w:p>
        </w:tc>
      </w:tr>
      <w:tr w:rsidR="006E584F" w:rsidRPr="00512CC1" w:rsidTr="00294366">
        <w:tc>
          <w:tcPr>
            <w:tcW w:w="1843" w:type="pct"/>
          </w:tcPr>
          <w:p w:rsidR="006E584F" w:rsidRPr="00512CC1" w:rsidRDefault="006E584F" w:rsidP="00A25A11">
            <w:pPr>
              <w:rPr>
                <w:rFonts w:ascii="Arial Narrow" w:hAnsi="Arial Narrow"/>
                <w:sz w:val="20"/>
              </w:rPr>
            </w:pPr>
            <w:r w:rsidRPr="00512CC1">
              <w:rPr>
                <w:rFonts w:ascii="Arial Narrow" w:hAnsi="Arial Narrow"/>
                <w:sz w:val="20"/>
              </w:rPr>
              <w:t>Oedema peripheral</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9 (5.8)</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10 (6.6)</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0.9 (0.3, 2.2)</w:t>
            </w:r>
          </w:p>
        </w:tc>
      </w:tr>
      <w:tr w:rsidR="006E584F" w:rsidRPr="00512CC1" w:rsidTr="00294366">
        <w:tc>
          <w:tcPr>
            <w:tcW w:w="1843" w:type="pct"/>
          </w:tcPr>
          <w:p w:rsidR="006E584F" w:rsidRPr="00512CC1" w:rsidRDefault="006E584F" w:rsidP="00A25A11">
            <w:pPr>
              <w:rPr>
                <w:rFonts w:ascii="Arial Narrow" w:hAnsi="Arial Narrow"/>
                <w:sz w:val="20"/>
              </w:rPr>
            </w:pPr>
            <w:r w:rsidRPr="00512CC1">
              <w:rPr>
                <w:rFonts w:ascii="Arial Narrow" w:hAnsi="Arial Narrow"/>
                <w:sz w:val="20"/>
              </w:rPr>
              <w:t xml:space="preserve">Haemoglobin decreased </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13 (8.4)</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 (1.3)</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13.7 (1.8, 106.3)</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3</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8 (5.2)</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 (1.3)</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4.0 (0.9, 19.4)</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Grade 4</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 (1.3)</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0</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4.9 (0.2, 103.6)</w:t>
            </w:r>
          </w:p>
        </w:tc>
      </w:tr>
      <w:tr w:rsidR="006E584F" w:rsidRPr="00512CC1" w:rsidTr="00294366">
        <w:tc>
          <w:tcPr>
            <w:tcW w:w="1843" w:type="pct"/>
            <w:vAlign w:val="center"/>
          </w:tcPr>
          <w:p w:rsidR="006E584F" w:rsidRPr="00512CC1" w:rsidRDefault="006E584F" w:rsidP="00A25A11">
            <w:pPr>
              <w:jc w:val="left"/>
              <w:rPr>
                <w:rFonts w:ascii="Arial Narrow" w:hAnsi="Arial Narrow"/>
                <w:i/>
                <w:iCs/>
                <w:sz w:val="20"/>
              </w:rPr>
            </w:pPr>
            <w:r w:rsidRPr="00512CC1">
              <w:rPr>
                <w:rFonts w:ascii="Arial Narrow" w:hAnsi="Arial Narrow"/>
                <w:i/>
                <w:iCs/>
                <w:sz w:val="20"/>
              </w:rPr>
              <w:t>Serious AE</w:t>
            </w:r>
          </w:p>
        </w:tc>
        <w:tc>
          <w:tcPr>
            <w:tcW w:w="1229"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1053"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875" w:type="pct"/>
            <w:vAlign w:val="center"/>
          </w:tcPr>
          <w:p w:rsidR="006E584F" w:rsidRPr="0074551B" w:rsidRDefault="006E584F" w:rsidP="00A25A11">
            <w:pPr>
              <w:jc w:val="center"/>
              <w:rPr>
                <w:rFonts w:ascii="Arial Narrow" w:hAnsi="Arial Narrow"/>
                <w:iCs/>
                <w:sz w:val="20"/>
              </w:rPr>
            </w:pPr>
            <w:r w:rsidRPr="0074551B">
              <w:rPr>
                <w:rFonts w:ascii="Arial Narrow" w:hAnsi="Arial Narrow"/>
                <w:iCs/>
                <w:sz w:val="20"/>
              </w:rPr>
              <w:t>NA</w:t>
            </w:r>
          </w:p>
        </w:tc>
      </w:tr>
      <w:tr w:rsidR="006E584F" w:rsidRPr="00512CC1" w:rsidTr="00294366">
        <w:tc>
          <w:tcPr>
            <w:tcW w:w="1843" w:type="pct"/>
            <w:vAlign w:val="center"/>
          </w:tcPr>
          <w:p w:rsidR="006E584F" w:rsidRPr="00512CC1" w:rsidRDefault="006E584F" w:rsidP="00A25A11">
            <w:pPr>
              <w:jc w:val="left"/>
              <w:rPr>
                <w:rFonts w:ascii="Arial Narrow" w:hAnsi="Arial Narrow"/>
                <w:i/>
                <w:iCs/>
                <w:sz w:val="20"/>
              </w:rPr>
            </w:pPr>
            <w:r w:rsidRPr="00512CC1">
              <w:rPr>
                <w:rFonts w:ascii="Arial Narrow" w:hAnsi="Arial Narrow"/>
                <w:i/>
                <w:iCs/>
                <w:sz w:val="20"/>
              </w:rPr>
              <w:t>AE requiring concomitant medication*</w:t>
            </w:r>
          </w:p>
        </w:tc>
        <w:tc>
          <w:tcPr>
            <w:tcW w:w="1229"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1053"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875" w:type="pct"/>
            <w:vAlign w:val="center"/>
          </w:tcPr>
          <w:p w:rsidR="006E584F" w:rsidRPr="0074551B" w:rsidRDefault="006E584F" w:rsidP="00A25A11">
            <w:pPr>
              <w:jc w:val="center"/>
              <w:rPr>
                <w:rFonts w:ascii="Arial Narrow" w:hAnsi="Arial Narrow"/>
                <w:iCs/>
                <w:sz w:val="20"/>
              </w:rPr>
            </w:pPr>
            <w:r w:rsidRPr="0074551B">
              <w:rPr>
                <w:rFonts w:ascii="Arial Narrow" w:hAnsi="Arial Narrow"/>
                <w:iCs/>
                <w:sz w:val="20"/>
              </w:rPr>
              <w:t>NA</w:t>
            </w:r>
          </w:p>
        </w:tc>
      </w:tr>
      <w:tr w:rsidR="006E584F" w:rsidRPr="00512CC1" w:rsidTr="00294366">
        <w:tc>
          <w:tcPr>
            <w:tcW w:w="1843" w:type="pct"/>
            <w:vAlign w:val="center"/>
          </w:tcPr>
          <w:p w:rsidR="006E584F" w:rsidRPr="00512CC1" w:rsidRDefault="006E584F" w:rsidP="00A25A11">
            <w:pPr>
              <w:jc w:val="left"/>
              <w:rPr>
                <w:rFonts w:ascii="Arial Narrow" w:hAnsi="Arial Narrow"/>
                <w:i/>
                <w:iCs/>
                <w:sz w:val="20"/>
              </w:rPr>
            </w:pPr>
            <w:r w:rsidRPr="00512CC1">
              <w:rPr>
                <w:rFonts w:ascii="Arial Narrow" w:hAnsi="Arial Narrow"/>
                <w:i/>
                <w:iCs/>
                <w:sz w:val="20"/>
              </w:rPr>
              <w:t>Clinically notable AE*^</w:t>
            </w:r>
          </w:p>
        </w:tc>
        <w:tc>
          <w:tcPr>
            <w:tcW w:w="1229"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1053" w:type="pct"/>
            <w:vAlign w:val="center"/>
          </w:tcPr>
          <w:p w:rsidR="006E584F" w:rsidRPr="00512CC1" w:rsidRDefault="006E584F" w:rsidP="00A25A11">
            <w:pPr>
              <w:jc w:val="center"/>
              <w:rPr>
                <w:rFonts w:ascii="Arial Narrow" w:hAnsi="Arial Narrow"/>
                <w:i/>
                <w:iCs/>
                <w:sz w:val="20"/>
              </w:rPr>
            </w:pPr>
            <w:r w:rsidRPr="00512CC1">
              <w:rPr>
                <w:rFonts w:ascii="Arial Narrow" w:hAnsi="Arial Narrow"/>
                <w:sz w:val="20"/>
              </w:rPr>
              <w:t>NR</w:t>
            </w:r>
          </w:p>
        </w:tc>
        <w:tc>
          <w:tcPr>
            <w:tcW w:w="875" w:type="pct"/>
            <w:vAlign w:val="center"/>
          </w:tcPr>
          <w:p w:rsidR="006E584F" w:rsidRPr="0074551B" w:rsidRDefault="006E584F" w:rsidP="00A25A11">
            <w:pPr>
              <w:jc w:val="center"/>
              <w:rPr>
                <w:rFonts w:ascii="Arial Narrow" w:hAnsi="Arial Narrow"/>
                <w:iCs/>
                <w:sz w:val="20"/>
              </w:rPr>
            </w:pPr>
            <w:r w:rsidRPr="0074551B">
              <w:rPr>
                <w:rFonts w:ascii="Arial Narrow" w:hAnsi="Arial Narrow"/>
                <w:iCs/>
                <w:sz w:val="20"/>
              </w:rPr>
              <w:t>NA</w:t>
            </w:r>
          </w:p>
        </w:tc>
      </w:tr>
      <w:tr w:rsidR="006E584F" w:rsidRPr="00512CC1" w:rsidTr="00294366">
        <w:tc>
          <w:tcPr>
            <w:tcW w:w="1843" w:type="pct"/>
            <w:vAlign w:val="center"/>
          </w:tcPr>
          <w:p w:rsidR="006E584F" w:rsidRPr="00512CC1" w:rsidRDefault="006E584F" w:rsidP="00A25A11">
            <w:pPr>
              <w:jc w:val="left"/>
              <w:rPr>
                <w:rFonts w:ascii="Arial Narrow" w:hAnsi="Arial Narrow"/>
                <w:sz w:val="20"/>
              </w:rPr>
            </w:pPr>
            <w:r w:rsidRPr="00512CC1">
              <w:rPr>
                <w:rFonts w:ascii="Arial Narrow" w:hAnsi="Arial Narrow"/>
                <w:sz w:val="20"/>
              </w:rPr>
              <w:t>Haemorrhagic events</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51 (32.9)</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28 (25.2)</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b/>
                <w:bCs/>
                <w:iCs/>
                <w:sz w:val="20"/>
              </w:rPr>
              <w:t>2.2 (1.3, 3.7)</w:t>
            </w:r>
          </w:p>
        </w:tc>
      </w:tr>
      <w:tr w:rsidR="006E584F" w:rsidRPr="00512CC1" w:rsidTr="00294366">
        <w:tc>
          <w:tcPr>
            <w:tcW w:w="1843" w:type="pct"/>
          </w:tcPr>
          <w:p w:rsidR="006E584F" w:rsidRPr="00512CC1" w:rsidRDefault="006E584F" w:rsidP="00A25A11">
            <w:pPr>
              <w:jc w:val="right"/>
              <w:rPr>
                <w:rFonts w:ascii="Arial Narrow" w:hAnsi="Arial Narrow"/>
                <w:sz w:val="20"/>
              </w:rPr>
            </w:pPr>
            <w:r w:rsidRPr="00512CC1">
              <w:rPr>
                <w:rFonts w:ascii="Arial Narrow" w:hAnsi="Arial Narrow"/>
                <w:sz w:val="20"/>
              </w:rPr>
              <w:t>Bruising</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36 (23.2)</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22 (14.6)</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1.8 (0.99, 3.2)</w:t>
            </w:r>
          </w:p>
        </w:tc>
      </w:tr>
      <w:tr w:rsidR="006E584F" w:rsidRPr="00512CC1" w:rsidTr="00294366">
        <w:tc>
          <w:tcPr>
            <w:tcW w:w="1843" w:type="pct"/>
            <w:vAlign w:val="center"/>
          </w:tcPr>
          <w:p w:rsidR="006E584F" w:rsidRPr="00512CC1" w:rsidRDefault="006E584F" w:rsidP="00A25A11">
            <w:pPr>
              <w:jc w:val="left"/>
              <w:rPr>
                <w:rFonts w:ascii="Arial Narrow" w:hAnsi="Arial Narrow"/>
                <w:sz w:val="20"/>
              </w:rPr>
            </w:pPr>
            <w:r w:rsidRPr="00512CC1">
              <w:rPr>
                <w:rFonts w:ascii="Arial Narrow" w:hAnsi="Arial Narrow"/>
                <w:sz w:val="20"/>
              </w:rPr>
              <w:t>UTI</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14 (9.0)</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8 (5.3)</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1.8 (0.7, 4.4)</w:t>
            </w:r>
          </w:p>
        </w:tc>
      </w:tr>
      <w:tr w:rsidR="006E584F" w:rsidRPr="00512CC1" w:rsidTr="00294366">
        <w:tc>
          <w:tcPr>
            <w:tcW w:w="1843" w:type="pct"/>
            <w:vAlign w:val="center"/>
          </w:tcPr>
          <w:p w:rsidR="006E584F" w:rsidRPr="00512CC1" w:rsidRDefault="006E584F" w:rsidP="00A25A11">
            <w:pPr>
              <w:jc w:val="left"/>
              <w:rPr>
                <w:rFonts w:ascii="Arial Narrow" w:hAnsi="Arial Narrow"/>
                <w:sz w:val="20"/>
              </w:rPr>
            </w:pPr>
            <w:r w:rsidRPr="00512CC1">
              <w:rPr>
                <w:rFonts w:ascii="Arial Narrow" w:hAnsi="Arial Narrow"/>
                <w:sz w:val="20"/>
              </w:rPr>
              <w:t>Herpes Zoster infection</w:t>
            </w:r>
          </w:p>
        </w:tc>
        <w:tc>
          <w:tcPr>
            <w:tcW w:w="1229"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3 (1.9)</w:t>
            </w:r>
          </w:p>
        </w:tc>
        <w:tc>
          <w:tcPr>
            <w:tcW w:w="1053" w:type="pct"/>
            <w:vAlign w:val="center"/>
          </w:tcPr>
          <w:p w:rsidR="006E584F" w:rsidRPr="00512CC1" w:rsidRDefault="006E584F" w:rsidP="00A25A11">
            <w:pPr>
              <w:jc w:val="center"/>
              <w:rPr>
                <w:rFonts w:ascii="Arial Narrow" w:hAnsi="Arial Narrow"/>
                <w:sz w:val="20"/>
              </w:rPr>
            </w:pPr>
            <w:r w:rsidRPr="00512CC1">
              <w:rPr>
                <w:rFonts w:ascii="Arial Narrow" w:hAnsi="Arial Narrow"/>
                <w:sz w:val="20"/>
              </w:rPr>
              <w:t>1 (0.7)</w:t>
            </w:r>
          </w:p>
        </w:tc>
        <w:tc>
          <w:tcPr>
            <w:tcW w:w="875" w:type="pct"/>
            <w:vAlign w:val="center"/>
          </w:tcPr>
          <w:p w:rsidR="006E584F" w:rsidRPr="0074551B" w:rsidRDefault="006E584F" w:rsidP="00A25A11">
            <w:pPr>
              <w:jc w:val="center"/>
              <w:rPr>
                <w:rFonts w:ascii="Arial Narrow" w:hAnsi="Arial Narrow"/>
                <w:sz w:val="20"/>
              </w:rPr>
            </w:pPr>
            <w:r w:rsidRPr="0074551B">
              <w:rPr>
                <w:rFonts w:ascii="Arial Narrow" w:hAnsi="Arial Narrow"/>
                <w:iCs/>
                <w:sz w:val="20"/>
              </w:rPr>
              <w:t>3.0 (0.3, 28.8)</w:t>
            </w:r>
          </w:p>
        </w:tc>
      </w:tr>
    </w:tbl>
    <w:p w:rsidR="006E584F" w:rsidRPr="00512CC1" w:rsidRDefault="006E584F" w:rsidP="00294366">
      <w:pPr>
        <w:ind w:left="567" w:firstLine="142"/>
        <w:rPr>
          <w:rFonts w:ascii="Arial Narrow" w:hAnsi="Arial Narrow"/>
          <w:sz w:val="20"/>
        </w:rPr>
      </w:pPr>
      <w:r w:rsidRPr="00512CC1">
        <w:rPr>
          <w:rFonts w:ascii="Arial Narrow" w:hAnsi="Arial Narrow"/>
          <w:sz w:val="20"/>
        </w:rPr>
        <w:t xml:space="preserve">NA= Not applicable NR = not reported </w:t>
      </w:r>
    </w:p>
    <w:p w:rsidR="006E584F" w:rsidRPr="00512CC1" w:rsidRDefault="006E584F" w:rsidP="00294366">
      <w:pPr>
        <w:tabs>
          <w:tab w:val="left" w:pos="284"/>
        </w:tabs>
        <w:ind w:left="567" w:firstLine="142"/>
        <w:rPr>
          <w:rFonts w:ascii="Arial Narrow" w:hAnsi="Arial Narrow"/>
          <w:sz w:val="20"/>
        </w:rPr>
      </w:pPr>
      <w:r>
        <w:rPr>
          <w:rFonts w:ascii="Arial Narrow" w:hAnsi="Arial Narrow"/>
          <w:sz w:val="20"/>
        </w:rPr>
        <w:t>*</w:t>
      </w:r>
      <w:r w:rsidRPr="00512CC1">
        <w:rPr>
          <w:rFonts w:ascii="Arial Narrow" w:hAnsi="Arial Narrow"/>
          <w:sz w:val="20"/>
        </w:rPr>
        <w:t>These events are not limited to drug related events but all reported adverse events</w:t>
      </w:r>
    </w:p>
    <w:p w:rsidR="006E584F" w:rsidRPr="00512CC1" w:rsidRDefault="006E584F" w:rsidP="00294366">
      <w:pPr>
        <w:ind w:left="567" w:firstLine="142"/>
        <w:rPr>
          <w:rFonts w:ascii="Arial Narrow" w:hAnsi="Arial Narrow"/>
          <w:sz w:val="20"/>
        </w:rPr>
      </w:pPr>
      <w:r w:rsidRPr="00512CC1">
        <w:rPr>
          <w:rFonts w:ascii="Arial Narrow" w:hAnsi="Arial Narrow"/>
          <w:sz w:val="20"/>
        </w:rPr>
        <w:t>Text in bold indicate statistically significant differences, text in italics indicate values calculated during evaluation</w:t>
      </w:r>
    </w:p>
    <w:p w:rsidR="006E584F" w:rsidRDefault="006E584F" w:rsidP="00294366">
      <w:pPr>
        <w:ind w:left="567" w:firstLine="142"/>
        <w:rPr>
          <w:rFonts w:ascii="Arial Narrow" w:hAnsi="Arial Narrow"/>
          <w:sz w:val="20"/>
        </w:rPr>
      </w:pPr>
      <w:r w:rsidRPr="00512CC1">
        <w:rPr>
          <w:rFonts w:ascii="Arial Narrow" w:hAnsi="Arial Narrow"/>
          <w:sz w:val="20"/>
        </w:rPr>
        <w:t xml:space="preserve">Source: Table B.6.2 of the July 2014 Ruxolitinib Commentary. </w:t>
      </w:r>
    </w:p>
    <w:p w:rsidR="00E00940" w:rsidRDefault="00E00940" w:rsidP="00294366">
      <w:pPr>
        <w:ind w:left="567" w:firstLine="142"/>
        <w:rPr>
          <w:rFonts w:ascii="Arial Narrow" w:hAnsi="Arial Narrow"/>
          <w:sz w:val="20"/>
        </w:rPr>
      </w:pPr>
    </w:p>
    <w:p w:rsidR="0031597E" w:rsidRDefault="00E00940" w:rsidP="00C34E09">
      <w:pPr>
        <w:widowControl/>
        <w:ind w:left="709"/>
        <w:rPr>
          <w:b/>
          <w:szCs w:val="22"/>
        </w:rPr>
      </w:pPr>
      <w:r>
        <w:t xml:space="preserve">The </w:t>
      </w:r>
      <w:r w:rsidR="00A106CE">
        <w:t>submission stated</w:t>
      </w:r>
      <w:r>
        <w:t xml:space="preserve"> that the safety profile of ruxolitinib in ROBUST was comparable to that observed in COMFORT-I and -II.  </w:t>
      </w:r>
      <w:r w:rsidRPr="009C6BA2">
        <w:t>Barosi 2012 states that 81 cases of adverse or serious adverse events were reported by the investigators.  It is unknown whether these led to discontinuation of ruxolitinib.  The interim results for JUMP reported that 32.3% of all patients (n=1,144) reported a serious adverse event at 48 weeks, which is substantially greater than that reported in patients treated with ruxolitinib in COMFORT-II (9.6%, n=146).</w:t>
      </w:r>
      <w:r w:rsidR="00242C56">
        <w:t xml:space="preserve"> </w:t>
      </w:r>
      <w:r w:rsidR="00990723">
        <w:t xml:space="preserve">  </w:t>
      </w:r>
      <w:r w:rsidR="00990723" w:rsidRPr="00272ED1">
        <w:t>The ESC noted that the PSCR (p4) stated that 30.1 % of patients reported a serious adverse event at week 48 in the COMFORT II study regardless of relationship to the study drug.  The PSCR states that the figure of 9.6 % in COMFORT II is for serious adverse events determined by investigators to be related to treatment with ruxolitinib.  The PSCR consider</w:t>
      </w:r>
      <w:r w:rsidR="005428BF">
        <w:t>ed</w:t>
      </w:r>
      <w:r w:rsidR="00990723" w:rsidRPr="00272ED1">
        <w:t xml:space="preserve"> that the rate of 30.1 % from COMFORT II should be compared to the rate of 32.3 % in JUMP, as the relationship of the serious adverse events to ruxolitinib in JUMP was not reported.</w:t>
      </w:r>
      <w:bookmarkStart w:id="10" w:name="_Toc408474963"/>
      <w:r w:rsidR="00C34E09">
        <w:rPr>
          <w:b/>
          <w:szCs w:val="22"/>
        </w:rPr>
        <w:t xml:space="preserve"> </w:t>
      </w:r>
    </w:p>
    <w:p w:rsidR="00A53482" w:rsidRDefault="00A53482" w:rsidP="00A53482"/>
    <w:p w:rsidR="00A53482" w:rsidRDefault="00A53482" w:rsidP="00A53482"/>
    <w:p w:rsidR="00A53482" w:rsidRPr="00A53482" w:rsidRDefault="00A53482" w:rsidP="00A53482"/>
    <w:p w:rsidR="0053473F" w:rsidRDefault="0053473F">
      <w:pPr>
        <w:widowControl/>
        <w:jc w:val="left"/>
        <w:rPr>
          <w:b/>
          <w:i/>
        </w:rPr>
      </w:pPr>
      <w:r>
        <w:rPr>
          <w:i/>
        </w:rPr>
        <w:br w:type="page"/>
      </w:r>
    </w:p>
    <w:p w:rsidR="007F1017" w:rsidRPr="00497F10" w:rsidRDefault="007F1017" w:rsidP="00497F10">
      <w:pPr>
        <w:pStyle w:val="Heading2"/>
        <w:rPr>
          <w:i/>
          <w:szCs w:val="22"/>
        </w:rPr>
      </w:pPr>
      <w:r w:rsidRPr="00497F10">
        <w:rPr>
          <w:i/>
        </w:rPr>
        <w:lastRenderedPageBreak/>
        <w:t>Benefits/harms</w:t>
      </w:r>
      <w:bookmarkEnd w:id="10"/>
    </w:p>
    <w:p w:rsidR="007F1017" w:rsidRPr="00803E7A" w:rsidRDefault="007F1017" w:rsidP="007F1017">
      <w:pPr>
        <w:pStyle w:val="ListParagraph"/>
        <w:ind w:left="0"/>
        <w:rPr>
          <w:szCs w:val="22"/>
        </w:rPr>
      </w:pPr>
    </w:p>
    <w:p w:rsidR="00E076C5" w:rsidRDefault="006E584F" w:rsidP="004D64A8">
      <w:pPr>
        <w:pStyle w:val="ListParagraph"/>
        <w:widowControl/>
        <w:numPr>
          <w:ilvl w:val="1"/>
          <w:numId w:val="1"/>
        </w:numPr>
        <w:rPr>
          <w:szCs w:val="22"/>
        </w:rPr>
      </w:pPr>
      <w:r w:rsidRPr="00D06FD4">
        <w:rPr>
          <w:szCs w:val="22"/>
        </w:rPr>
        <w:t xml:space="preserve">A summary of the comparative benefits and harms for </w:t>
      </w:r>
      <w:r w:rsidR="00D92F52">
        <w:rPr>
          <w:szCs w:val="22"/>
        </w:rPr>
        <w:t>ruxolitinib</w:t>
      </w:r>
      <w:r w:rsidRPr="00D06FD4">
        <w:rPr>
          <w:szCs w:val="22"/>
        </w:rPr>
        <w:t xml:space="preserve"> versus </w:t>
      </w:r>
      <w:r w:rsidR="00D92F52">
        <w:rPr>
          <w:szCs w:val="22"/>
        </w:rPr>
        <w:t>placebo</w:t>
      </w:r>
      <w:r w:rsidR="00E00940">
        <w:rPr>
          <w:szCs w:val="22"/>
        </w:rPr>
        <w:t>, based on the results reported in COMFORT-I (the basis of the modelled economic evaluation)</w:t>
      </w:r>
      <w:r w:rsidRPr="00D06FD4">
        <w:rPr>
          <w:szCs w:val="22"/>
        </w:rPr>
        <w:t xml:space="preserve"> is presented in </w:t>
      </w:r>
      <w:r w:rsidR="004B20FC">
        <w:rPr>
          <w:szCs w:val="22"/>
        </w:rPr>
        <w:t>the table below</w:t>
      </w:r>
      <w:r w:rsidRPr="00D06FD4">
        <w:rPr>
          <w:szCs w:val="22"/>
        </w:rPr>
        <w:t>.</w:t>
      </w:r>
      <w:bookmarkStart w:id="11" w:name="_Toc406452869"/>
      <w:bookmarkStart w:id="12" w:name="_Toc408474964"/>
    </w:p>
    <w:p w:rsidR="005428BF" w:rsidRDefault="005428BF" w:rsidP="005428BF">
      <w:pPr>
        <w:pStyle w:val="ListParagraph"/>
        <w:widowControl/>
        <w:rPr>
          <w:szCs w:val="22"/>
        </w:rPr>
      </w:pPr>
    </w:p>
    <w:p w:rsidR="00803E7A" w:rsidRPr="00E076C5" w:rsidRDefault="00803E7A" w:rsidP="00E076C5">
      <w:pPr>
        <w:pStyle w:val="ListParagraph"/>
        <w:widowControl/>
        <w:rPr>
          <w:szCs w:val="22"/>
        </w:rPr>
      </w:pPr>
      <w:r w:rsidRPr="00D243A4">
        <w:rPr>
          <w:rStyle w:val="CommentReference"/>
        </w:rPr>
        <w:t xml:space="preserve">Summary of comparative benefits </w:t>
      </w:r>
      <w:r>
        <w:rPr>
          <w:rStyle w:val="CommentReference"/>
        </w:rPr>
        <w:t xml:space="preserve">and harms </w:t>
      </w:r>
      <w:r w:rsidRPr="00D243A4">
        <w:rPr>
          <w:rStyle w:val="CommentReference"/>
        </w:rPr>
        <w:t xml:space="preserve">for </w:t>
      </w:r>
      <w:r>
        <w:rPr>
          <w:rStyle w:val="CommentReference"/>
        </w:rPr>
        <w:t xml:space="preserve">ruxolitinib </w:t>
      </w:r>
      <w:r w:rsidRPr="00D243A4">
        <w:rPr>
          <w:rStyle w:val="CommentReference"/>
        </w:rPr>
        <w:t xml:space="preserve">and </w:t>
      </w:r>
      <w:r>
        <w:rPr>
          <w:rStyle w:val="CommentReference"/>
        </w:rPr>
        <w:t>placebo in COMFORT-I at 144 weeks</w:t>
      </w:r>
      <w:bookmarkEnd w:id="11"/>
      <w:bookmarkEnd w:id="12"/>
    </w:p>
    <w:tbl>
      <w:tblPr>
        <w:tblW w:w="4672" w:type="pct"/>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620" w:firstRow="1" w:lastRow="0" w:firstColumn="0" w:lastColumn="0" w:noHBand="1" w:noVBand="1"/>
        <w:tblCaption w:val="Benefits/Harms"/>
        <w:tblDescription w:val="Summary of comparative benefits and harms for ruxolitinib and placebo"/>
      </w:tblPr>
      <w:tblGrid>
        <w:gridCol w:w="993"/>
        <w:gridCol w:w="137"/>
        <w:gridCol w:w="952"/>
        <w:gridCol w:w="1037"/>
        <w:gridCol w:w="392"/>
        <w:gridCol w:w="1207"/>
        <w:gridCol w:w="22"/>
        <w:gridCol w:w="1282"/>
        <w:gridCol w:w="1085"/>
        <w:gridCol w:w="49"/>
        <w:gridCol w:w="1331"/>
      </w:tblGrid>
      <w:tr w:rsidR="00803E7A" w:rsidRPr="00ED0F04" w:rsidTr="00BC0026">
        <w:trPr>
          <w:trHeight w:val="150"/>
        </w:trPr>
        <w:tc>
          <w:tcPr>
            <w:tcW w:w="666" w:type="pct"/>
            <w:gridSpan w:val="2"/>
            <w:vMerge w:val="restart"/>
            <w:shd w:val="clear" w:color="auto" w:fill="auto"/>
            <w:vAlign w:val="center"/>
          </w:tcPr>
          <w:p w:rsidR="00803E7A" w:rsidRPr="00ED0F04" w:rsidRDefault="00803E7A" w:rsidP="00A25A11">
            <w:pPr>
              <w:rPr>
                <w:rFonts w:ascii="Arial Narrow" w:hAnsi="Arial Narrow"/>
                <w:b/>
                <w:color w:val="000000"/>
                <w:sz w:val="20"/>
                <w:szCs w:val="18"/>
              </w:rPr>
            </w:pPr>
            <w:r w:rsidRPr="00ED0F04">
              <w:rPr>
                <w:rFonts w:ascii="Arial Narrow" w:hAnsi="Arial Narrow"/>
                <w:b/>
                <w:color w:val="000000"/>
                <w:sz w:val="20"/>
                <w:szCs w:val="18"/>
              </w:rPr>
              <w:t>Trial</w:t>
            </w:r>
          </w:p>
        </w:tc>
        <w:tc>
          <w:tcPr>
            <w:tcW w:w="561" w:type="pct"/>
            <w:vMerge w:val="restart"/>
            <w:shd w:val="clear" w:color="auto" w:fill="auto"/>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RUX</w:t>
            </w:r>
          </w:p>
        </w:tc>
        <w:tc>
          <w:tcPr>
            <w:tcW w:w="611" w:type="pct"/>
            <w:vMerge w:val="restart"/>
            <w:shd w:val="clear" w:color="auto" w:fill="auto"/>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PBO/BAT</w:t>
            </w:r>
          </w:p>
        </w:tc>
        <w:tc>
          <w:tcPr>
            <w:tcW w:w="942" w:type="pct"/>
            <w:gridSpan w:val="2"/>
            <w:vMerge w:val="restart"/>
            <w:shd w:val="clear" w:color="auto" w:fill="auto"/>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 xml:space="preserve">RR </w:t>
            </w:r>
            <w:r w:rsidRPr="00ED0F04">
              <w:rPr>
                <w:rFonts w:ascii="Arial Narrow" w:hAnsi="Arial Narrow"/>
                <w:b/>
                <w:color w:val="000000"/>
                <w:sz w:val="20"/>
                <w:szCs w:val="18"/>
              </w:rPr>
              <w:t>(95% CI)</w:t>
            </w:r>
          </w:p>
        </w:tc>
        <w:tc>
          <w:tcPr>
            <w:tcW w:w="1436" w:type="pct"/>
            <w:gridSpan w:val="4"/>
            <w:shd w:val="clear" w:color="auto" w:fill="auto"/>
            <w:vAlign w:val="center"/>
          </w:tcPr>
          <w:p w:rsidR="00803E7A" w:rsidRPr="00ED0F04" w:rsidRDefault="00803E7A" w:rsidP="00A25A11">
            <w:pPr>
              <w:jc w:val="center"/>
              <w:rPr>
                <w:rFonts w:ascii="Arial Narrow" w:hAnsi="Arial Narrow"/>
                <w:b/>
                <w:color w:val="000000"/>
                <w:sz w:val="20"/>
                <w:szCs w:val="18"/>
              </w:rPr>
            </w:pPr>
            <w:r w:rsidRPr="00ED0F04">
              <w:rPr>
                <w:rFonts w:ascii="Arial Narrow" w:hAnsi="Arial Narrow"/>
                <w:b/>
                <w:color w:val="000000"/>
                <w:sz w:val="20"/>
                <w:szCs w:val="18"/>
              </w:rPr>
              <w:t xml:space="preserve">Event rate/100 patients* </w:t>
            </w:r>
          </w:p>
        </w:tc>
        <w:tc>
          <w:tcPr>
            <w:tcW w:w="784" w:type="pct"/>
            <w:vMerge w:val="restart"/>
            <w:shd w:val="clear" w:color="auto" w:fill="auto"/>
            <w:vAlign w:val="center"/>
          </w:tcPr>
          <w:p w:rsidR="00803E7A" w:rsidRPr="00ED0F04" w:rsidRDefault="00803E7A" w:rsidP="00BC0026">
            <w:pPr>
              <w:shd w:val="clear" w:color="auto" w:fill="FFFFFF" w:themeFill="background1"/>
              <w:jc w:val="center"/>
              <w:rPr>
                <w:rFonts w:ascii="Arial Narrow" w:hAnsi="Arial Narrow"/>
                <w:b/>
                <w:color w:val="000000"/>
                <w:sz w:val="20"/>
                <w:szCs w:val="18"/>
              </w:rPr>
            </w:pPr>
            <w:r w:rsidRPr="00ED0F04">
              <w:rPr>
                <w:rFonts w:ascii="Arial Narrow" w:hAnsi="Arial Narrow"/>
                <w:b/>
                <w:color w:val="000000"/>
                <w:sz w:val="20"/>
                <w:szCs w:val="18"/>
              </w:rPr>
              <w:t>RD</w:t>
            </w:r>
          </w:p>
          <w:p w:rsidR="00803E7A" w:rsidRPr="00ED0F04" w:rsidRDefault="00803E7A" w:rsidP="00A25A11">
            <w:pPr>
              <w:jc w:val="center"/>
              <w:rPr>
                <w:rFonts w:ascii="Arial Narrow" w:hAnsi="Arial Narrow"/>
                <w:b/>
                <w:color w:val="000000"/>
                <w:sz w:val="20"/>
                <w:szCs w:val="18"/>
              </w:rPr>
            </w:pPr>
            <w:r w:rsidRPr="00BC0026">
              <w:rPr>
                <w:rFonts w:ascii="Arial Narrow" w:hAnsi="Arial Narrow"/>
                <w:b/>
                <w:color w:val="000000"/>
                <w:sz w:val="20"/>
                <w:szCs w:val="18"/>
                <w:shd w:val="clear" w:color="auto" w:fill="F2F2F2" w:themeFill="background1" w:themeFillShade="F2"/>
              </w:rPr>
              <w:t>(95% CI)</w:t>
            </w:r>
          </w:p>
        </w:tc>
      </w:tr>
      <w:tr w:rsidR="00803E7A" w:rsidRPr="00ED0F04" w:rsidTr="00BC0026">
        <w:trPr>
          <w:trHeight w:val="177"/>
        </w:trPr>
        <w:tc>
          <w:tcPr>
            <w:tcW w:w="666" w:type="pct"/>
            <w:gridSpan w:val="2"/>
            <w:vMerge/>
            <w:shd w:val="clear" w:color="auto" w:fill="auto"/>
            <w:vAlign w:val="center"/>
          </w:tcPr>
          <w:p w:rsidR="00803E7A" w:rsidRPr="00ED0F04" w:rsidRDefault="00803E7A" w:rsidP="00A25A11">
            <w:pPr>
              <w:rPr>
                <w:rFonts w:ascii="Arial Narrow" w:hAnsi="Arial Narrow"/>
                <w:b/>
                <w:color w:val="000000"/>
                <w:sz w:val="20"/>
                <w:szCs w:val="18"/>
              </w:rPr>
            </w:pPr>
          </w:p>
        </w:tc>
        <w:tc>
          <w:tcPr>
            <w:tcW w:w="561" w:type="pct"/>
            <w:vMerge/>
            <w:vAlign w:val="center"/>
          </w:tcPr>
          <w:p w:rsidR="00803E7A" w:rsidRPr="00ED0F04" w:rsidRDefault="00803E7A" w:rsidP="00A25A11">
            <w:pPr>
              <w:jc w:val="center"/>
              <w:rPr>
                <w:rFonts w:ascii="Arial Narrow" w:hAnsi="Arial Narrow"/>
                <w:b/>
                <w:color w:val="000000"/>
                <w:sz w:val="20"/>
                <w:szCs w:val="18"/>
              </w:rPr>
            </w:pPr>
          </w:p>
        </w:tc>
        <w:tc>
          <w:tcPr>
            <w:tcW w:w="611" w:type="pct"/>
            <w:vMerge/>
            <w:vAlign w:val="center"/>
          </w:tcPr>
          <w:p w:rsidR="00803E7A" w:rsidRPr="00ED0F04" w:rsidRDefault="00803E7A" w:rsidP="00A25A11">
            <w:pPr>
              <w:jc w:val="center"/>
              <w:rPr>
                <w:rFonts w:ascii="Arial Narrow" w:hAnsi="Arial Narrow"/>
                <w:b/>
                <w:color w:val="000000"/>
                <w:sz w:val="20"/>
                <w:szCs w:val="18"/>
              </w:rPr>
            </w:pPr>
          </w:p>
        </w:tc>
        <w:tc>
          <w:tcPr>
            <w:tcW w:w="942" w:type="pct"/>
            <w:gridSpan w:val="2"/>
            <w:vMerge/>
            <w:vAlign w:val="center"/>
          </w:tcPr>
          <w:p w:rsidR="00803E7A" w:rsidRPr="00ED0F04" w:rsidRDefault="00803E7A" w:rsidP="00A25A11">
            <w:pPr>
              <w:jc w:val="center"/>
              <w:rPr>
                <w:rFonts w:ascii="Arial Narrow" w:hAnsi="Arial Narrow"/>
                <w:b/>
                <w:color w:val="000000"/>
                <w:sz w:val="20"/>
                <w:szCs w:val="18"/>
              </w:rPr>
            </w:pPr>
          </w:p>
        </w:tc>
        <w:tc>
          <w:tcPr>
            <w:tcW w:w="768" w:type="pct"/>
            <w:gridSpan w:val="2"/>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RUX</w:t>
            </w:r>
          </w:p>
        </w:tc>
        <w:tc>
          <w:tcPr>
            <w:tcW w:w="668" w:type="pct"/>
            <w:gridSpan w:val="2"/>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Pbo/BAT</w:t>
            </w:r>
          </w:p>
        </w:tc>
        <w:tc>
          <w:tcPr>
            <w:tcW w:w="784" w:type="pct"/>
            <w:vMerge/>
            <w:shd w:val="clear" w:color="auto" w:fill="auto"/>
            <w:vAlign w:val="center"/>
          </w:tcPr>
          <w:p w:rsidR="00803E7A" w:rsidRPr="00ED0F04" w:rsidRDefault="00803E7A" w:rsidP="00A25A11">
            <w:pPr>
              <w:jc w:val="center"/>
              <w:rPr>
                <w:rFonts w:ascii="Arial Narrow" w:hAnsi="Arial Narrow"/>
                <w:b/>
                <w:color w:val="000000"/>
                <w:sz w:val="20"/>
                <w:szCs w:val="18"/>
              </w:rPr>
            </w:pPr>
          </w:p>
        </w:tc>
      </w:tr>
      <w:tr w:rsidR="00803E7A" w:rsidRPr="00ED0F04" w:rsidTr="00BC0026">
        <w:trPr>
          <w:trHeight w:val="81"/>
        </w:trPr>
        <w:tc>
          <w:tcPr>
            <w:tcW w:w="5000" w:type="pct"/>
            <w:gridSpan w:val="11"/>
            <w:shd w:val="clear" w:color="auto" w:fill="auto"/>
            <w:vAlign w:val="center"/>
          </w:tcPr>
          <w:p w:rsidR="00803E7A" w:rsidRPr="00392104" w:rsidRDefault="00803E7A" w:rsidP="00A25A11">
            <w:pPr>
              <w:rPr>
                <w:rFonts w:ascii="Arial Narrow" w:hAnsi="Arial Narrow"/>
                <w:b/>
                <w:smallCaps/>
                <w:color w:val="000000"/>
                <w:sz w:val="20"/>
                <w:szCs w:val="18"/>
              </w:rPr>
            </w:pPr>
            <w:r w:rsidRPr="00392104">
              <w:rPr>
                <w:rFonts w:ascii="Arial Narrow" w:hAnsi="Arial Narrow"/>
                <w:b/>
                <w:smallCaps/>
                <w:color w:val="000000"/>
                <w:sz w:val="20"/>
                <w:szCs w:val="18"/>
              </w:rPr>
              <w:t>Benefits</w:t>
            </w:r>
          </w:p>
        </w:tc>
      </w:tr>
      <w:tr w:rsidR="00803E7A" w:rsidRPr="00ED0F04" w:rsidTr="00BC0026">
        <w:trPr>
          <w:trHeight w:val="66"/>
        </w:trPr>
        <w:tc>
          <w:tcPr>
            <w:tcW w:w="5000" w:type="pct"/>
            <w:gridSpan w:val="11"/>
            <w:shd w:val="clear" w:color="auto" w:fill="auto"/>
            <w:vAlign w:val="center"/>
          </w:tcPr>
          <w:p w:rsidR="00803E7A" w:rsidRPr="00ED0F04" w:rsidRDefault="00803E7A" w:rsidP="00A25A11">
            <w:pPr>
              <w:rPr>
                <w:rFonts w:ascii="Arial Narrow" w:hAnsi="Arial Narrow"/>
                <w:b/>
                <w:color w:val="000000"/>
                <w:sz w:val="20"/>
                <w:szCs w:val="18"/>
              </w:rPr>
            </w:pPr>
            <w:r>
              <w:rPr>
                <w:rFonts w:ascii="Arial Narrow" w:hAnsi="Arial Narrow"/>
                <w:b/>
                <w:color w:val="000000"/>
                <w:sz w:val="20"/>
                <w:szCs w:val="18"/>
              </w:rPr>
              <w:t>Spleen response defined as (≥35% reduction in volume) (at end of weeks 24 and 48 respectively)</w:t>
            </w:r>
          </w:p>
        </w:tc>
      </w:tr>
      <w:tr w:rsidR="00803E7A" w:rsidRPr="00ED0F04" w:rsidTr="00BC0026">
        <w:trPr>
          <w:trHeight w:val="66"/>
        </w:trPr>
        <w:tc>
          <w:tcPr>
            <w:tcW w:w="666" w:type="pct"/>
            <w:gridSpan w:val="2"/>
            <w:shd w:val="clear" w:color="auto" w:fill="auto"/>
            <w:vAlign w:val="center"/>
          </w:tcPr>
          <w:p w:rsidR="00803E7A" w:rsidRPr="006804F5" w:rsidRDefault="00803E7A" w:rsidP="00A25A11">
            <w:pPr>
              <w:rPr>
                <w:rFonts w:ascii="Arial Narrow" w:hAnsi="Arial Narrow"/>
                <w:color w:val="000000"/>
                <w:sz w:val="20"/>
                <w:szCs w:val="18"/>
                <w:vertAlign w:val="superscript"/>
              </w:rPr>
            </w:pPr>
            <w:r>
              <w:rPr>
                <w:rFonts w:ascii="Arial Narrow" w:hAnsi="Arial Narrow"/>
                <w:color w:val="000000"/>
                <w:sz w:val="20"/>
                <w:szCs w:val="18"/>
              </w:rPr>
              <w:t>COMFORT</w:t>
            </w:r>
            <w:r w:rsidRPr="00ED0F04">
              <w:rPr>
                <w:rFonts w:ascii="Arial Narrow" w:hAnsi="Arial Narrow"/>
                <w:color w:val="000000"/>
                <w:sz w:val="20"/>
                <w:szCs w:val="18"/>
              </w:rPr>
              <w:t xml:space="preserve"> I</w:t>
            </w:r>
            <w:r>
              <w:rPr>
                <w:rFonts w:ascii="Arial Narrow" w:hAnsi="Arial Narrow"/>
                <w:color w:val="000000"/>
                <w:sz w:val="20"/>
                <w:szCs w:val="18"/>
                <w:vertAlign w:val="superscript"/>
              </w:rPr>
              <w:t>#</w:t>
            </w:r>
          </w:p>
        </w:tc>
        <w:tc>
          <w:tcPr>
            <w:tcW w:w="561" w:type="pct"/>
            <w:vAlign w:val="center"/>
          </w:tcPr>
          <w:p w:rsidR="00803E7A" w:rsidRPr="00ED0F04" w:rsidRDefault="00803E7A" w:rsidP="00A25A11">
            <w:pPr>
              <w:ind w:left="-28" w:firstLine="28"/>
              <w:jc w:val="center"/>
              <w:rPr>
                <w:rFonts w:ascii="Arial Narrow" w:hAnsi="Arial Narrow"/>
                <w:color w:val="000000"/>
                <w:sz w:val="20"/>
                <w:szCs w:val="18"/>
              </w:rPr>
            </w:pPr>
            <w:r>
              <w:rPr>
                <w:rFonts w:ascii="Arial Narrow" w:hAnsi="Arial Narrow"/>
                <w:color w:val="000000"/>
                <w:sz w:val="20"/>
                <w:szCs w:val="18"/>
              </w:rPr>
              <w:t>65/155</w:t>
            </w:r>
          </w:p>
        </w:tc>
        <w:tc>
          <w:tcPr>
            <w:tcW w:w="611" w:type="pct"/>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1/154</w:t>
            </w:r>
          </w:p>
        </w:tc>
        <w:tc>
          <w:tcPr>
            <w:tcW w:w="942" w:type="pct"/>
            <w:gridSpan w:val="2"/>
            <w:vAlign w:val="center"/>
          </w:tcPr>
          <w:p w:rsidR="00803E7A" w:rsidRPr="00ED0F04" w:rsidRDefault="00803E7A" w:rsidP="00803E7A">
            <w:pPr>
              <w:jc w:val="center"/>
              <w:rPr>
                <w:rFonts w:ascii="Arial Narrow" w:hAnsi="Arial Narrow"/>
                <w:color w:val="000000"/>
                <w:sz w:val="20"/>
                <w:szCs w:val="18"/>
              </w:rPr>
            </w:pPr>
            <w:r w:rsidRPr="00F378D5">
              <w:rPr>
                <w:rFonts w:ascii="Arial Narrow" w:hAnsi="Arial Narrow"/>
                <w:color w:val="000000"/>
                <w:sz w:val="20"/>
                <w:szCs w:val="18"/>
              </w:rPr>
              <w:t>63.59</w:t>
            </w:r>
            <w:r>
              <w:rPr>
                <w:rFonts w:ascii="Arial Narrow" w:hAnsi="Arial Narrow"/>
                <w:color w:val="000000"/>
                <w:sz w:val="20"/>
                <w:szCs w:val="18"/>
              </w:rPr>
              <w:t xml:space="preserve">  </w:t>
            </w:r>
            <w:r w:rsidRPr="00F378D5">
              <w:rPr>
                <w:rFonts w:ascii="Arial Narrow" w:hAnsi="Arial Narrow"/>
                <w:color w:val="000000"/>
                <w:sz w:val="20"/>
                <w:szCs w:val="18"/>
              </w:rPr>
              <w:t>(8.9, 452.6)</w:t>
            </w:r>
          </w:p>
        </w:tc>
        <w:tc>
          <w:tcPr>
            <w:tcW w:w="768"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41.9</w:t>
            </w:r>
          </w:p>
        </w:tc>
        <w:tc>
          <w:tcPr>
            <w:tcW w:w="668"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0.6</w:t>
            </w:r>
          </w:p>
        </w:tc>
        <w:tc>
          <w:tcPr>
            <w:tcW w:w="784" w:type="pct"/>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0.41 (0.33, 0.49)</w:t>
            </w:r>
          </w:p>
        </w:tc>
      </w:tr>
      <w:tr w:rsidR="00803E7A" w:rsidRPr="00ED0F04" w:rsidTr="00BC0026">
        <w:trPr>
          <w:trHeight w:val="141"/>
        </w:trPr>
        <w:tc>
          <w:tcPr>
            <w:tcW w:w="5000" w:type="pct"/>
            <w:gridSpan w:val="11"/>
            <w:shd w:val="clear" w:color="auto" w:fill="auto"/>
            <w:vAlign w:val="center"/>
          </w:tcPr>
          <w:p w:rsidR="00803E7A" w:rsidRPr="00ED0F04" w:rsidRDefault="00803E7A" w:rsidP="00A25A11">
            <w:pPr>
              <w:rPr>
                <w:rFonts w:ascii="Arial Narrow" w:hAnsi="Arial Narrow"/>
                <w:b/>
                <w:color w:val="000000"/>
                <w:sz w:val="20"/>
                <w:szCs w:val="18"/>
              </w:rPr>
            </w:pPr>
            <w:r>
              <w:rPr>
                <w:rFonts w:ascii="Arial Narrow" w:hAnsi="Arial Narrow"/>
                <w:b/>
                <w:color w:val="000000"/>
                <w:sz w:val="20"/>
                <w:szCs w:val="18"/>
              </w:rPr>
              <w:t>OS: COMFORT I (week 144)</w:t>
            </w:r>
          </w:p>
        </w:tc>
      </w:tr>
      <w:tr w:rsidR="00803E7A" w:rsidRPr="00ED0F04" w:rsidTr="00BC0026">
        <w:tc>
          <w:tcPr>
            <w:tcW w:w="1227" w:type="pct"/>
            <w:gridSpan w:val="3"/>
            <w:shd w:val="clear" w:color="auto" w:fill="auto"/>
            <w:vAlign w:val="center"/>
          </w:tcPr>
          <w:p w:rsidR="00803E7A" w:rsidRPr="00ED0F04" w:rsidRDefault="00803E7A" w:rsidP="00A25A11">
            <w:pPr>
              <w:jc w:val="left"/>
              <w:rPr>
                <w:rFonts w:ascii="Arial Narrow" w:hAnsi="Arial Narrow"/>
                <w:color w:val="000000"/>
                <w:sz w:val="20"/>
                <w:szCs w:val="18"/>
              </w:rPr>
            </w:pPr>
            <w:r>
              <w:rPr>
                <w:rFonts w:ascii="Arial Narrow" w:hAnsi="Arial Narrow"/>
                <w:b/>
                <w:color w:val="000000"/>
                <w:sz w:val="20"/>
                <w:szCs w:val="18"/>
              </w:rPr>
              <w:t>ITT</w:t>
            </w:r>
          </w:p>
        </w:tc>
        <w:tc>
          <w:tcPr>
            <w:tcW w:w="842" w:type="pct"/>
            <w:gridSpan w:val="2"/>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RUX</w:t>
            </w:r>
          </w:p>
        </w:tc>
        <w:tc>
          <w:tcPr>
            <w:tcW w:w="724" w:type="pct"/>
            <w:gridSpan w:val="2"/>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PBO</w:t>
            </w:r>
          </w:p>
        </w:tc>
        <w:tc>
          <w:tcPr>
            <w:tcW w:w="1394" w:type="pct"/>
            <w:gridSpan w:val="2"/>
            <w:vAlign w:val="center"/>
          </w:tcPr>
          <w:p w:rsidR="00803E7A" w:rsidRPr="00ED0F04" w:rsidRDefault="00803E7A" w:rsidP="00A25A11">
            <w:pPr>
              <w:jc w:val="center"/>
              <w:rPr>
                <w:rFonts w:ascii="Arial Narrow" w:hAnsi="Arial Narrow"/>
                <w:b/>
                <w:color w:val="000000"/>
                <w:sz w:val="20"/>
                <w:szCs w:val="18"/>
              </w:rPr>
            </w:pPr>
            <w:r w:rsidRPr="00ED0F04">
              <w:rPr>
                <w:rFonts w:ascii="Arial Narrow" w:hAnsi="Arial Narrow"/>
                <w:b/>
                <w:color w:val="000000"/>
                <w:sz w:val="20"/>
                <w:szCs w:val="18"/>
              </w:rPr>
              <w:t>Absolute Difference</w:t>
            </w:r>
          </w:p>
        </w:tc>
        <w:tc>
          <w:tcPr>
            <w:tcW w:w="813" w:type="pct"/>
            <w:gridSpan w:val="2"/>
            <w:vAlign w:val="center"/>
          </w:tcPr>
          <w:p w:rsidR="00803E7A" w:rsidRPr="00ED0F04" w:rsidRDefault="00803E7A" w:rsidP="00A25A11">
            <w:pPr>
              <w:jc w:val="center"/>
              <w:rPr>
                <w:rFonts w:ascii="Arial Narrow" w:hAnsi="Arial Narrow"/>
                <w:b/>
                <w:color w:val="000000"/>
                <w:sz w:val="20"/>
                <w:szCs w:val="18"/>
              </w:rPr>
            </w:pPr>
            <w:r w:rsidRPr="00ED0F04">
              <w:rPr>
                <w:rFonts w:ascii="Arial Narrow" w:hAnsi="Arial Narrow"/>
                <w:b/>
                <w:color w:val="000000"/>
                <w:sz w:val="20"/>
                <w:szCs w:val="18"/>
              </w:rPr>
              <w:t>HR (95% CI)</w:t>
            </w:r>
          </w:p>
        </w:tc>
      </w:tr>
      <w:tr w:rsidR="00803E7A" w:rsidRPr="00ED0F04" w:rsidTr="00BC0026">
        <w:tc>
          <w:tcPr>
            <w:tcW w:w="1227" w:type="pct"/>
            <w:gridSpan w:val="3"/>
            <w:shd w:val="clear" w:color="auto" w:fill="auto"/>
            <w:vAlign w:val="center"/>
          </w:tcPr>
          <w:p w:rsidR="00803E7A" w:rsidRPr="00ED0F04" w:rsidRDefault="00803E7A" w:rsidP="00A25A11">
            <w:pPr>
              <w:rPr>
                <w:rFonts w:ascii="Arial Narrow" w:hAnsi="Arial Narrow"/>
                <w:color w:val="000000"/>
                <w:sz w:val="20"/>
                <w:szCs w:val="18"/>
              </w:rPr>
            </w:pPr>
            <w:r>
              <w:rPr>
                <w:rFonts w:ascii="Arial Narrow" w:hAnsi="Arial Narrow"/>
                <w:color w:val="000000"/>
                <w:sz w:val="20"/>
                <w:szCs w:val="18"/>
              </w:rPr>
              <w:t>Dead</w:t>
            </w:r>
            <w:r w:rsidRPr="00ED0F04">
              <w:rPr>
                <w:rFonts w:ascii="Arial Narrow" w:hAnsi="Arial Narrow"/>
                <w:color w:val="000000"/>
                <w:sz w:val="20"/>
                <w:szCs w:val="18"/>
              </w:rPr>
              <w:t>*</w:t>
            </w:r>
          </w:p>
        </w:tc>
        <w:tc>
          <w:tcPr>
            <w:tcW w:w="842" w:type="pct"/>
            <w:gridSpan w:val="2"/>
          </w:tcPr>
          <w:p w:rsidR="00803E7A" w:rsidRPr="00ED0F04" w:rsidRDefault="00803E7A" w:rsidP="00A25A11">
            <w:pPr>
              <w:jc w:val="center"/>
              <w:rPr>
                <w:rFonts w:ascii="Arial Narrow" w:hAnsi="Arial Narrow"/>
                <w:sz w:val="20"/>
              </w:rPr>
            </w:pPr>
            <w:r>
              <w:rPr>
                <w:rFonts w:ascii="Arial Narrow" w:hAnsi="Arial Narrow"/>
                <w:sz w:val="20"/>
              </w:rPr>
              <w:t>42/155</w:t>
            </w:r>
          </w:p>
        </w:tc>
        <w:tc>
          <w:tcPr>
            <w:tcW w:w="724" w:type="pct"/>
            <w:gridSpan w:val="2"/>
          </w:tcPr>
          <w:p w:rsidR="00803E7A" w:rsidRPr="00ED0F04" w:rsidRDefault="00803E7A" w:rsidP="00A25A11">
            <w:pPr>
              <w:jc w:val="center"/>
              <w:rPr>
                <w:rFonts w:ascii="Arial Narrow" w:hAnsi="Arial Narrow"/>
                <w:sz w:val="20"/>
              </w:rPr>
            </w:pPr>
            <w:r>
              <w:rPr>
                <w:rFonts w:ascii="Arial Narrow" w:hAnsi="Arial Narrow"/>
                <w:sz w:val="20"/>
              </w:rPr>
              <w:t>54/154</w:t>
            </w:r>
          </w:p>
        </w:tc>
        <w:tc>
          <w:tcPr>
            <w:tcW w:w="1394" w:type="pct"/>
            <w:gridSpan w:val="2"/>
            <w:vAlign w:val="center"/>
          </w:tcPr>
          <w:p w:rsidR="00803E7A" w:rsidRPr="00ED0F04" w:rsidRDefault="001226DB" w:rsidP="00A25A11">
            <w:pPr>
              <w:jc w:val="center"/>
              <w:rPr>
                <w:rFonts w:ascii="Arial Narrow" w:hAnsi="Arial Narrow"/>
                <w:color w:val="000000"/>
                <w:sz w:val="20"/>
                <w:szCs w:val="18"/>
              </w:rPr>
            </w:pPr>
            <w:r>
              <w:rPr>
                <w:rFonts w:ascii="Arial Narrow" w:hAnsi="Arial Narrow"/>
                <w:color w:val="000000"/>
                <w:sz w:val="20"/>
                <w:szCs w:val="18"/>
              </w:rPr>
              <w:t>8</w:t>
            </w:r>
          </w:p>
        </w:tc>
        <w:tc>
          <w:tcPr>
            <w:tcW w:w="813"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0.69 (0.49, 1.03)</w:t>
            </w:r>
          </w:p>
        </w:tc>
      </w:tr>
      <w:tr w:rsidR="00803E7A" w:rsidRPr="00AD5A1E" w:rsidTr="00BC0026">
        <w:tc>
          <w:tcPr>
            <w:tcW w:w="1227" w:type="pct"/>
            <w:gridSpan w:val="3"/>
            <w:shd w:val="clear" w:color="auto" w:fill="auto"/>
            <w:vAlign w:val="center"/>
          </w:tcPr>
          <w:p w:rsidR="00803E7A" w:rsidRPr="00AD5A1E" w:rsidRDefault="00803E7A" w:rsidP="00A25A11">
            <w:pPr>
              <w:rPr>
                <w:rFonts w:ascii="Arial Narrow" w:hAnsi="Arial Narrow"/>
                <w:color w:val="000000"/>
                <w:sz w:val="20"/>
                <w:szCs w:val="18"/>
              </w:rPr>
            </w:pPr>
            <w:r w:rsidRPr="00AD5A1E">
              <w:rPr>
                <w:rFonts w:ascii="Arial Narrow" w:hAnsi="Arial Narrow"/>
                <w:color w:val="000000"/>
                <w:sz w:val="20"/>
                <w:szCs w:val="18"/>
              </w:rPr>
              <w:t>Median (mths)</w:t>
            </w:r>
          </w:p>
        </w:tc>
        <w:tc>
          <w:tcPr>
            <w:tcW w:w="842" w:type="pct"/>
            <w:gridSpan w:val="2"/>
          </w:tcPr>
          <w:p w:rsidR="00803E7A" w:rsidRPr="00AD5A1E" w:rsidRDefault="00803E7A" w:rsidP="00A25A11">
            <w:pPr>
              <w:jc w:val="center"/>
              <w:rPr>
                <w:rFonts w:ascii="Arial Narrow" w:hAnsi="Arial Narrow"/>
                <w:sz w:val="20"/>
              </w:rPr>
            </w:pPr>
            <w:r w:rsidRPr="00AD5A1E">
              <w:rPr>
                <w:rFonts w:ascii="Arial Narrow" w:hAnsi="Arial Narrow"/>
                <w:sz w:val="20"/>
              </w:rPr>
              <w:t>Not reached</w:t>
            </w:r>
          </w:p>
        </w:tc>
        <w:tc>
          <w:tcPr>
            <w:tcW w:w="724" w:type="pct"/>
            <w:gridSpan w:val="2"/>
          </w:tcPr>
          <w:p w:rsidR="00803E7A" w:rsidRPr="00AD5A1E" w:rsidRDefault="00803E7A" w:rsidP="00A25A11">
            <w:pPr>
              <w:jc w:val="center"/>
              <w:rPr>
                <w:rFonts w:ascii="Arial Narrow" w:hAnsi="Arial Narrow"/>
                <w:sz w:val="20"/>
              </w:rPr>
            </w:pPr>
            <w:r w:rsidRPr="00AD5A1E">
              <w:rPr>
                <w:rFonts w:ascii="Arial Narrow" w:hAnsi="Arial Narrow"/>
                <w:sz w:val="20"/>
              </w:rPr>
              <w:t>Not reached</w:t>
            </w:r>
          </w:p>
        </w:tc>
        <w:tc>
          <w:tcPr>
            <w:tcW w:w="1394" w:type="pct"/>
            <w:gridSpan w:val="2"/>
            <w:vAlign w:val="center"/>
          </w:tcPr>
          <w:p w:rsidR="00803E7A" w:rsidRPr="00AD5A1E" w:rsidRDefault="00803E7A" w:rsidP="00A25A11">
            <w:pPr>
              <w:jc w:val="center"/>
              <w:rPr>
                <w:rFonts w:ascii="Arial Narrow" w:hAnsi="Arial Narrow"/>
                <w:color w:val="000000"/>
                <w:sz w:val="20"/>
                <w:szCs w:val="18"/>
              </w:rPr>
            </w:pPr>
            <w:r w:rsidRPr="00AD5A1E">
              <w:rPr>
                <w:rFonts w:ascii="Arial Narrow" w:hAnsi="Arial Narrow"/>
                <w:color w:val="000000"/>
                <w:sz w:val="20"/>
                <w:szCs w:val="18"/>
              </w:rPr>
              <w:t>Cannot estimate</w:t>
            </w:r>
          </w:p>
        </w:tc>
        <w:tc>
          <w:tcPr>
            <w:tcW w:w="813" w:type="pct"/>
            <w:gridSpan w:val="2"/>
            <w:vAlign w:val="center"/>
          </w:tcPr>
          <w:p w:rsidR="00803E7A" w:rsidRPr="00AD5A1E" w:rsidRDefault="00803E7A" w:rsidP="00A25A11">
            <w:pPr>
              <w:jc w:val="center"/>
              <w:rPr>
                <w:rFonts w:ascii="Arial Narrow" w:hAnsi="Arial Narrow"/>
                <w:color w:val="000000"/>
                <w:sz w:val="20"/>
                <w:szCs w:val="18"/>
              </w:rPr>
            </w:pPr>
            <w:r w:rsidRPr="00AD5A1E">
              <w:rPr>
                <w:rFonts w:ascii="Arial Narrow" w:hAnsi="Arial Narrow"/>
                <w:color w:val="000000"/>
                <w:sz w:val="20"/>
                <w:szCs w:val="18"/>
              </w:rPr>
              <w:t>-</w:t>
            </w:r>
          </w:p>
        </w:tc>
      </w:tr>
      <w:tr w:rsidR="00803E7A" w:rsidRPr="00AD5A1E" w:rsidTr="00BC0026">
        <w:tc>
          <w:tcPr>
            <w:tcW w:w="1227" w:type="pct"/>
            <w:gridSpan w:val="3"/>
            <w:shd w:val="clear" w:color="auto" w:fill="auto"/>
            <w:vAlign w:val="center"/>
          </w:tcPr>
          <w:p w:rsidR="00803E7A" w:rsidRPr="00AD5A1E" w:rsidRDefault="00803E7A" w:rsidP="00A25A11">
            <w:pPr>
              <w:jc w:val="left"/>
              <w:rPr>
                <w:rFonts w:ascii="Arial Narrow" w:hAnsi="Arial Narrow"/>
                <w:color w:val="000000"/>
                <w:sz w:val="20"/>
                <w:szCs w:val="18"/>
              </w:rPr>
            </w:pPr>
            <w:r w:rsidRPr="00AD5A1E">
              <w:rPr>
                <w:rFonts w:ascii="Arial Narrow" w:hAnsi="Arial Narrow"/>
                <w:b/>
                <w:color w:val="000000"/>
                <w:sz w:val="20"/>
                <w:szCs w:val="18"/>
              </w:rPr>
              <w:t>PP (censoring at cross over)</w:t>
            </w:r>
          </w:p>
        </w:tc>
        <w:tc>
          <w:tcPr>
            <w:tcW w:w="842" w:type="pct"/>
            <w:gridSpan w:val="2"/>
            <w:vAlign w:val="center"/>
          </w:tcPr>
          <w:p w:rsidR="00803E7A" w:rsidRPr="00AD5A1E" w:rsidRDefault="00803E7A" w:rsidP="00A25A11">
            <w:pPr>
              <w:jc w:val="center"/>
              <w:rPr>
                <w:rFonts w:ascii="Arial Narrow" w:hAnsi="Arial Narrow"/>
                <w:b/>
                <w:color w:val="000000"/>
                <w:sz w:val="20"/>
                <w:szCs w:val="18"/>
              </w:rPr>
            </w:pPr>
          </w:p>
        </w:tc>
        <w:tc>
          <w:tcPr>
            <w:tcW w:w="724" w:type="pct"/>
            <w:gridSpan w:val="2"/>
            <w:vAlign w:val="center"/>
          </w:tcPr>
          <w:p w:rsidR="00803E7A" w:rsidRPr="00AD5A1E" w:rsidRDefault="00803E7A" w:rsidP="00A25A11">
            <w:pPr>
              <w:jc w:val="center"/>
              <w:rPr>
                <w:rFonts w:ascii="Arial Narrow" w:hAnsi="Arial Narrow"/>
                <w:b/>
                <w:color w:val="000000"/>
                <w:sz w:val="20"/>
                <w:szCs w:val="18"/>
              </w:rPr>
            </w:pPr>
          </w:p>
        </w:tc>
        <w:tc>
          <w:tcPr>
            <w:tcW w:w="1394" w:type="pct"/>
            <w:gridSpan w:val="2"/>
            <w:vAlign w:val="center"/>
          </w:tcPr>
          <w:p w:rsidR="00803E7A" w:rsidRPr="00AD5A1E" w:rsidRDefault="00803E7A" w:rsidP="00A25A11">
            <w:pPr>
              <w:jc w:val="center"/>
              <w:rPr>
                <w:rFonts w:ascii="Arial Narrow" w:hAnsi="Arial Narrow"/>
                <w:b/>
                <w:color w:val="000000"/>
                <w:sz w:val="20"/>
                <w:szCs w:val="18"/>
              </w:rPr>
            </w:pPr>
            <w:r w:rsidRPr="00AD5A1E">
              <w:rPr>
                <w:rFonts w:ascii="Arial Narrow" w:hAnsi="Arial Narrow"/>
                <w:b/>
                <w:color w:val="000000"/>
                <w:sz w:val="20"/>
                <w:szCs w:val="18"/>
              </w:rPr>
              <w:t>Absolute Difference</w:t>
            </w:r>
          </w:p>
        </w:tc>
        <w:tc>
          <w:tcPr>
            <w:tcW w:w="813" w:type="pct"/>
            <w:gridSpan w:val="2"/>
            <w:vAlign w:val="center"/>
          </w:tcPr>
          <w:p w:rsidR="00803E7A" w:rsidRPr="00AD5A1E" w:rsidRDefault="00803E7A" w:rsidP="00A25A11">
            <w:pPr>
              <w:jc w:val="center"/>
              <w:rPr>
                <w:rFonts w:ascii="Arial Narrow" w:hAnsi="Arial Narrow"/>
                <w:b/>
                <w:color w:val="000000"/>
                <w:sz w:val="20"/>
                <w:szCs w:val="18"/>
              </w:rPr>
            </w:pPr>
            <w:r w:rsidRPr="00AD5A1E">
              <w:rPr>
                <w:rFonts w:ascii="Arial Narrow" w:hAnsi="Arial Narrow"/>
                <w:b/>
                <w:color w:val="000000"/>
                <w:sz w:val="20"/>
                <w:szCs w:val="18"/>
              </w:rPr>
              <w:t>HR (95% CI)</w:t>
            </w:r>
          </w:p>
        </w:tc>
      </w:tr>
      <w:tr w:rsidR="00803E7A" w:rsidRPr="00AD5A1E" w:rsidTr="00BC0026">
        <w:tc>
          <w:tcPr>
            <w:tcW w:w="1227" w:type="pct"/>
            <w:gridSpan w:val="3"/>
            <w:shd w:val="clear" w:color="auto" w:fill="auto"/>
            <w:vAlign w:val="center"/>
          </w:tcPr>
          <w:p w:rsidR="00803E7A" w:rsidRPr="00AD5A1E" w:rsidRDefault="00803E7A" w:rsidP="00A25A11">
            <w:pPr>
              <w:rPr>
                <w:rFonts w:ascii="Arial Narrow" w:hAnsi="Arial Narrow"/>
                <w:color w:val="000000"/>
                <w:sz w:val="20"/>
                <w:szCs w:val="18"/>
              </w:rPr>
            </w:pPr>
            <w:r w:rsidRPr="00AD5A1E">
              <w:rPr>
                <w:rFonts w:ascii="Arial Narrow" w:hAnsi="Arial Narrow"/>
                <w:color w:val="000000"/>
                <w:sz w:val="20"/>
                <w:szCs w:val="18"/>
              </w:rPr>
              <w:t>Dead*</w:t>
            </w:r>
          </w:p>
        </w:tc>
        <w:tc>
          <w:tcPr>
            <w:tcW w:w="842" w:type="pct"/>
            <w:gridSpan w:val="2"/>
          </w:tcPr>
          <w:p w:rsidR="00803E7A" w:rsidRPr="00023DE7" w:rsidRDefault="00023DE7" w:rsidP="00A25A11">
            <w:pPr>
              <w:jc w:val="center"/>
              <w:rPr>
                <w:rFonts w:ascii="Arial Narrow" w:hAnsi="Arial Narrow"/>
                <w:sz w:val="20"/>
                <w:highlight w:val="black"/>
              </w:rPr>
            </w:pPr>
            <w:r>
              <w:rPr>
                <w:rFonts w:ascii="Arial Narrow" w:hAnsi="Arial Narrow"/>
                <w:noProof/>
                <w:color w:val="000000"/>
                <w:sz w:val="20"/>
                <w:highlight w:val="black"/>
              </w:rPr>
              <w:t>'''''''''''''''</w:t>
            </w:r>
          </w:p>
        </w:tc>
        <w:tc>
          <w:tcPr>
            <w:tcW w:w="724" w:type="pct"/>
            <w:gridSpan w:val="2"/>
          </w:tcPr>
          <w:p w:rsidR="00803E7A" w:rsidRPr="00023DE7" w:rsidRDefault="00023DE7" w:rsidP="00A25A11">
            <w:pPr>
              <w:jc w:val="center"/>
              <w:rPr>
                <w:rFonts w:ascii="Arial Narrow" w:hAnsi="Arial Narrow"/>
                <w:sz w:val="20"/>
                <w:highlight w:val="black"/>
              </w:rPr>
            </w:pPr>
            <w:r>
              <w:rPr>
                <w:rFonts w:ascii="Arial Narrow" w:hAnsi="Arial Narrow"/>
                <w:noProof/>
                <w:color w:val="000000"/>
                <w:sz w:val="20"/>
                <w:highlight w:val="black"/>
              </w:rPr>
              <w:t>'''''''''''''''</w:t>
            </w:r>
          </w:p>
        </w:tc>
        <w:tc>
          <w:tcPr>
            <w:tcW w:w="1394" w:type="pct"/>
            <w:gridSpan w:val="2"/>
            <w:vAlign w:val="center"/>
          </w:tcPr>
          <w:p w:rsidR="00803E7A" w:rsidRPr="00023DE7" w:rsidRDefault="00023DE7" w:rsidP="00A25A11">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13" w:type="pct"/>
            <w:gridSpan w:val="2"/>
            <w:vAlign w:val="center"/>
          </w:tcPr>
          <w:p w:rsidR="00803E7A" w:rsidRPr="00023DE7" w:rsidRDefault="00023DE7" w:rsidP="00A25A11">
            <w:pPr>
              <w:jc w:val="center"/>
              <w:rPr>
                <w:rFonts w:ascii="Arial Narrow" w:hAnsi="Arial Narrow"/>
                <w:color w:val="000000"/>
                <w:sz w:val="20"/>
                <w:szCs w:val="18"/>
                <w:highlight w:val="black"/>
              </w:rPr>
            </w:pPr>
            <w:r>
              <w:rPr>
                <w:rFonts w:ascii="Arial Narrow" w:hAnsi="Arial Narrow"/>
                <w:noProof/>
                <w:color w:val="000000"/>
                <w:sz w:val="20"/>
                <w:highlight w:val="black"/>
              </w:rPr>
              <w:t>'''''''''' '''''''''''' '''''''''''''</w:t>
            </w:r>
          </w:p>
        </w:tc>
      </w:tr>
      <w:tr w:rsidR="00803E7A" w:rsidRPr="00ED0F04" w:rsidTr="00BC0026">
        <w:trPr>
          <w:trHeight w:val="218"/>
        </w:trPr>
        <w:tc>
          <w:tcPr>
            <w:tcW w:w="1227" w:type="pct"/>
            <w:gridSpan w:val="3"/>
            <w:shd w:val="clear" w:color="auto" w:fill="auto"/>
            <w:vAlign w:val="center"/>
          </w:tcPr>
          <w:p w:rsidR="00803E7A" w:rsidRPr="00AD5A1E" w:rsidRDefault="00803E7A" w:rsidP="00A25A11">
            <w:pPr>
              <w:rPr>
                <w:rFonts w:ascii="Arial Narrow" w:hAnsi="Arial Narrow"/>
                <w:color w:val="000000"/>
                <w:sz w:val="20"/>
                <w:szCs w:val="18"/>
              </w:rPr>
            </w:pPr>
            <w:r w:rsidRPr="00AD5A1E">
              <w:rPr>
                <w:rFonts w:ascii="Arial Narrow" w:hAnsi="Arial Narrow"/>
                <w:color w:val="000000"/>
                <w:sz w:val="20"/>
                <w:szCs w:val="18"/>
              </w:rPr>
              <w:t>Median (mths)</w:t>
            </w:r>
          </w:p>
        </w:tc>
        <w:tc>
          <w:tcPr>
            <w:tcW w:w="842" w:type="pct"/>
            <w:gridSpan w:val="2"/>
          </w:tcPr>
          <w:p w:rsidR="00803E7A" w:rsidRPr="00AD5A1E" w:rsidRDefault="00803E7A" w:rsidP="00A25A11">
            <w:pPr>
              <w:jc w:val="center"/>
              <w:rPr>
                <w:rFonts w:ascii="Arial Narrow" w:hAnsi="Arial Narrow"/>
                <w:sz w:val="20"/>
              </w:rPr>
            </w:pPr>
            <w:r w:rsidRPr="00AD5A1E">
              <w:rPr>
                <w:rFonts w:ascii="Arial Narrow" w:hAnsi="Arial Narrow"/>
                <w:sz w:val="20"/>
              </w:rPr>
              <w:t>Not reached</w:t>
            </w:r>
          </w:p>
        </w:tc>
        <w:tc>
          <w:tcPr>
            <w:tcW w:w="724" w:type="pct"/>
            <w:gridSpan w:val="2"/>
          </w:tcPr>
          <w:p w:rsidR="00803E7A" w:rsidRPr="00AD5A1E" w:rsidRDefault="00803E7A" w:rsidP="00A25A11">
            <w:pPr>
              <w:jc w:val="center"/>
              <w:rPr>
                <w:rFonts w:ascii="Arial Narrow" w:hAnsi="Arial Narrow"/>
                <w:sz w:val="20"/>
              </w:rPr>
            </w:pPr>
            <w:r w:rsidRPr="00AD5A1E">
              <w:rPr>
                <w:rFonts w:ascii="Arial Narrow" w:hAnsi="Arial Narrow"/>
                <w:sz w:val="20"/>
              </w:rPr>
              <w:t>Not reached</w:t>
            </w:r>
          </w:p>
        </w:tc>
        <w:tc>
          <w:tcPr>
            <w:tcW w:w="1394" w:type="pct"/>
            <w:gridSpan w:val="2"/>
            <w:vAlign w:val="center"/>
          </w:tcPr>
          <w:p w:rsidR="00803E7A" w:rsidRPr="00AD5A1E" w:rsidRDefault="00803E7A" w:rsidP="00A25A11">
            <w:pPr>
              <w:jc w:val="center"/>
              <w:rPr>
                <w:rFonts w:ascii="Arial Narrow" w:hAnsi="Arial Narrow"/>
                <w:color w:val="000000"/>
                <w:sz w:val="20"/>
                <w:szCs w:val="18"/>
              </w:rPr>
            </w:pPr>
            <w:r w:rsidRPr="00AD5A1E">
              <w:rPr>
                <w:rFonts w:ascii="Arial Narrow" w:hAnsi="Arial Narrow"/>
                <w:color w:val="000000"/>
                <w:sz w:val="20"/>
                <w:szCs w:val="18"/>
              </w:rPr>
              <w:t>Cannot estimate</w:t>
            </w:r>
          </w:p>
        </w:tc>
        <w:tc>
          <w:tcPr>
            <w:tcW w:w="813" w:type="pct"/>
            <w:gridSpan w:val="2"/>
            <w:vAlign w:val="center"/>
          </w:tcPr>
          <w:p w:rsidR="00803E7A" w:rsidRPr="00ED0F04" w:rsidRDefault="00803E7A" w:rsidP="00A25A11">
            <w:pPr>
              <w:jc w:val="center"/>
              <w:rPr>
                <w:rFonts w:ascii="Arial Narrow" w:hAnsi="Arial Narrow"/>
                <w:color w:val="000000"/>
                <w:sz w:val="20"/>
                <w:szCs w:val="18"/>
              </w:rPr>
            </w:pPr>
            <w:r w:rsidRPr="00AD5A1E">
              <w:rPr>
                <w:rFonts w:ascii="Arial Narrow" w:hAnsi="Arial Narrow"/>
                <w:color w:val="000000"/>
                <w:sz w:val="20"/>
                <w:szCs w:val="18"/>
              </w:rPr>
              <w:t>-</w:t>
            </w:r>
          </w:p>
        </w:tc>
      </w:tr>
      <w:tr w:rsidR="00803E7A" w:rsidRPr="00ED0F04" w:rsidTr="00BC0026">
        <w:trPr>
          <w:trHeight w:val="153"/>
        </w:trPr>
        <w:tc>
          <w:tcPr>
            <w:tcW w:w="2793" w:type="pct"/>
            <w:gridSpan w:val="7"/>
            <w:shd w:val="clear" w:color="auto" w:fill="auto"/>
            <w:vAlign w:val="center"/>
          </w:tcPr>
          <w:p w:rsidR="00803E7A" w:rsidRPr="00392104" w:rsidRDefault="00803E7A" w:rsidP="00A25A11">
            <w:pPr>
              <w:rPr>
                <w:rFonts w:ascii="Arial Narrow" w:hAnsi="Arial Narrow"/>
                <w:b/>
                <w:smallCaps/>
                <w:color w:val="000000"/>
                <w:sz w:val="20"/>
                <w:szCs w:val="18"/>
              </w:rPr>
            </w:pPr>
            <w:r w:rsidRPr="00392104">
              <w:rPr>
                <w:rFonts w:ascii="Arial Narrow" w:hAnsi="Arial Narrow"/>
                <w:b/>
                <w:smallCaps/>
                <w:color w:val="000000"/>
                <w:sz w:val="20"/>
                <w:szCs w:val="18"/>
              </w:rPr>
              <w:t xml:space="preserve">Harms </w:t>
            </w:r>
            <w:r>
              <w:rPr>
                <w:rFonts w:ascii="Arial Narrow" w:hAnsi="Arial Narrow"/>
                <w:b/>
                <w:smallCaps/>
                <w:color w:val="000000"/>
                <w:sz w:val="20"/>
                <w:szCs w:val="18"/>
              </w:rPr>
              <w:t xml:space="preserve"> ( week 144)</w:t>
            </w:r>
          </w:p>
        </w:tc>
        <w:tc>
          <w:tcPr>
            <w:tcW w:w="2207" w:type="pct"/>
            <w:gridSpan w:val="4"/>
            <w:shd w:val="clear" w:color="auto" w:fill="auto"/>
            <w:vAlign w:val="center"/>
          </w:tcPr>
          <w:p w:rsidR="00803E7A" w:rsidRPr="00ED0F04" w:rsidRDefault="00803E7A" w:rsidP="00A25A11">
            <w:pPr>
              <w:rPr>
                <w:rFonts w:ascii="Arial Narrow" w:hAnsi="Arial Narrow"/>
                <w:b/>
                <w:color w:val="000000"/>
                <w:sz w:val="20"/>
                <w:szCs w:val="18"/>
              </w:rPr>
            </w:pPr>
            <w:r>
              <w:rPr>
                <w:rFonts w:ascii="Arial Narrow" w:hAnsi="Arial Narrow"/>
                <w:b/>
                <w:color w:val="000000"/>
                <w:sz w:val="20"/>
                <w:szCs w:val="18"/>
              </w:rPr>
              <w:t>Event rate/100 patients*</w:t>
            </w:r>
          </w:p>
        </w:tc>
      </w:tr>
      <w:tr w:rsidR="00803E7A" w:rsidRPr="00ED0F04" w:rsidTr="00BC0026">
        <w:trPr>
          <w:trHeight w:val="70"/>
        </w:trPr>
        <w:tc>
          <w:tcPr>
            <w:tcW w:w="585" w:type="pct"/>
            <w:shd w:val="clear" w:color="auto" w:fill="auto"/>
            <w:vAlign w:val="bottom"/>
          </w:tcPr>
          <w:p w:rsidR="00803E7A" w:rsidRPr="00ED0F04" w:rsidRDefault="00803E7A" w:rsidP="00A25A11">
            <w:pPr>
              <w:rPr>
                <w:rFonts w:ascii="Arial Narrow" w:hAnsi="Arial Narrow"/>
                <w:b/>
                <w:color w:val="000000"/>
                <w:sz w:val="20"/>
                <w:szCs w:val="18"/>
              </w:rPr>
            </w:pPr>
            <w:r>
              <w:rPr>
                <w:rFonts w:ascii="Arial Narrow" w:hAnsi="Arial Narrow"/>
                <w:b/>
                <w:color w:val="000000"/>
                <w:sz w:val="20"/>
                <w:szCs w:val="18"/>
              </w:rPr>
              <w:t>Anaemia</w:t>
            </w:r>
          </w:p>
        </w:tc>
        <w:tc>
          <w:tcPr>
            <w:tcW w:w="642" w:type="pct"/>
            <w:gridSpan w:val="2"/>
            <w:vAlign w:val="center"/>
          </w:tcPr>
          <w:p w:rsidR="00803E7A" w:rsidRPr="00ED0F04" w:rsidRDefault="00803E7A" w:rsidP="00A25A11">
            <w:pPr>
              <w:jc w:val="center"/>
              <w:rPr>
                <w:rFonts w:ascii="Arial Narrow" w:hAnsi="Arial Narrow"/>
                <w:b/>
                <w:color w:val="000000"/>
                <w:sz w:val="20"/>
                <w:szCs w:val="18"/>
              </w:rPr>
            </w:pPr>
            <w:r>
              <w:rPr>
                <w:rFonts w:ascii="Arial Narrow" w:hAnsi="Arial Narrow"/>
                <w:b/>
                <w:color w:val="000000"/>
                <w:sz w:val="20"/>
                <w:szCs w:val="18"/>
              </w:rPr>
              <w:t>RUX</w:t>
            </w:r>
          </w:p>
        </w:tc>
        <w:tc>
          <w:tcPr>
            <w:tcW w:w="842" w:type="pct"/>
            <w:gridSpan w:val="2"/>
            <w:vAlign w:val="center"/>
          </w:tcPr>
          <w:p w:rsidR="00803E7A" w:rsidRPr="00ED0F04" w:rsidRDefault="00803E7A" w:rsidP="00A25A11">
            <w:pPr>
              <w:jc w:val="center"/>
              <w:rPr>
                <w:rFonts w:ascii="Arial Narrow" w:hAnsi="Arial Narrow"/>
                <w:b/>
                <w:color w:val="000000"/>
                <w:sz w:val="20"/>
                <w:szCs w:val="18"/>
              </w:rPr>
            </w:pPr>
            <w:r w:rsidRPr="00ED0F04">
              <w:rPr>
                <w:rFonts w:ascii="Arial Narrow" w:hAnsi="Arial Narrow"/>
                <w:b/>
                <w:color w:val="000000"/>
                <w:sz w:val="20"/>
                <w:szCs w:val="18"/>
              </w:rPr>
              <w:t>PBO</w:t>
            </w:r>
            <w:r>
              <w:rPr>
                <w:rFonts w:ascii="Arial Narrow" w:hAnsi="Arial Narrow"/>
                <w:b/>
                <w:color w:val="000000"/>
                <w:sz w:val="20"/>
                <w:szCs w:val="18"/>
              </w:rPr>
              <w:t>/BAT</w:t>
            </w:r>
            <w:r>
              <w:rPr>
                <w:rFonts w:ascii="Arial Narrow" w:hAnsi="Arial Narrow"/>
                <w:b/>
                <w:color w:val="000000"/>
                <w:sz w:val="20"/>
                <w:szCs w:val="18"/>
                <w:vertAlign w:val="superscript"/>
              </w:rPr>
              <w:t># ^</w:t>
            </w:r>
          </w:p>
        </w:tc>
        <w:tc>
          <w:tcPr>
            <w:tcW w:w="724" w:type="pct"/>
            <w:gridSpan w:val="2"/>
            <w:vAlign w:val="center"/>
          </w:tcPr>
          <w:p w:rsidR="00803E7A" w:rsidRPr="00ED0F04" w:rsidRDefault="00803E7A" w:rsidP="00A25A11">
            <w:pPr>
              <w:jc w:val="center"/>
              <w:rPr>
                <w:rFonts w:ascii="Arial Narrow" w:hAnsi="Arial Narrow"/>
                <w:b/>
                <w:color w:val="000000"/>
                <w:sz w:val="20"/>
                <w:szCs w:val="18"/>
              </w:rPr>
            </w:pPr>
            <w:r w:rsidRPr="00ED0F04">
              <w:rPr>
                <w:rFonts w:ascii="Arial Narrow" w:hAnsi="Arial Narrow"/>
                <w:b/>
                <w:color w:val="000000"/>
                <w:sz w:val="20"/>
                <w:szCs w:val="18"/>
              </w:rPr>
              <w:t>RR</w:t>
            </w:r>
            <w:r>
              <w:rPr>
                <w:rFonts w:ascii="Arial Narrow" w:hAnsi="Arial Narrow"/>
                <w:b/>
                <w:color w:val="000000"/>
                <w:sz w:val="20"/>
                <w:szCs w:val="18"/>
              </w:rPr>
              <w:t xml:space="preserve"> </w:t>
            </w:r>
            <w:r w:rsidRPr="00ED0F04">
              <w:rPr>
                <w:rFonts w:ascii="Arial Narrow" w:hAnsi="Arial Narrow"/>
                <w:b/>
                <w:color w:val="000000"/>
                <w:sz w:val="20"/>
                <w:szCs w:val="18"/>
              </w:rPr>
              <w:t>(95% CI)</w:t>
            </w:r>
          </w:p>
        </w:tc>
        <w:tc>
          <w:tcPr>
            <w:tcW w:w="755" w:type="pct"/>
            <w:vAlign w:val="center"/>
          </w:tcPr>
          <w:p w:rsidR="00803E7A" w:rsidRDefault="00803E7A" w:rsidP="00A25A11">
            <w:pPr>
              <w:jc w:val="center"/>
              <w:rPr>
                <w:rFonts w:ascii="Arial Narrow" w:hAnsi="Arial Narrow"/>
                <w:b/>
                <w:color w:val="000000"/>
                <w:sz w:val="20"/>
                <w:szCs w:val="18"/>
              </w:rPr>
            </w:pPr>
            <w:r>
              <w:rPr>
                <w:rFonts w:ascii="Arial Narrow" w:hAnsi="Arial Narrow"/>
                <w:b/>
                <w:color w:val="000000"/>
                <w:sz w:val="20"/>
                <w:szCs w:val="18"/>
              </w:rPr>
              <w:t>RUX</w:t>
            </w:r>
          </w:p>
        </w:tc>
        <w:tc>
          <w:tcPr>
            <w:tcW w:w="668" w:type="pct"/>
            <w:gridSpan w:val="2"/>
            <w:vAlign w:val="center"/>
          </w:tcPr>
          <w:p w:rsidR="00803E7A" w:rsidRDefault="00803E7A" w:rsidP="00A25A11">
            <w:pPr>
              <w:jc w:val="center"/>
              <w:rPr>
                <w:rFonts w:ascii="Arial Narrow" w:hAnsi="Arial Narrow"/>
                <w:b/>
                <w:color w:val="000000"/>
                <w:sz w:val="20"/>
                <w:szCs w:val="18"/>
              </w:rPr>
            </w:pPr>
            <w:r>
              <w:rPr>
                <w:rFonts w:ascii="Arial Narrow" w:hAnsi="Arial Narrow"/>
                <w:b/>
                <w:color w:val="000000"/>
                <w:sz w:val="20"/>
                <w:szCs w:val="18"/>
              </w:rPr>
              <w:t>PBO/BAT</w:t>
            </w:r>
            <w:r>
              <w:rPr>
                <w:rFonts w:ascii="Arial Narrow" w:hAnsi="Arial Narrow"/>
                <w:b/>
                <w:color w:val="000000"/>
                <w:sz w:val="20"/>
                <w:szCs w:val="18"/>
                <w:vertAlign w:val="superscript"/>
              </w:rPr>
              <w:t># ^</w:t>
            </w:r>
          </w:p>
        </w:tc>
        <w:tc>
          <w:tcPr>
            <w:tcW w:w="784" w:type="pct"/>
            <w:vAlign w:val="center"/>
          </w:tcPr>
          <w:p w:rsidR="00803E7A" w:rsidRPr="00ED0F04" w:rsidRDefault="00803E7A" w:rsidP="00A25A11">
            <w:pPr>
              <w:jc w:val="center"/>
              <w:rPr>
                <w:rFonts w:ascii="Arial Narrow" w:hAnsi="Arial Narrow"/>
                <w:b/>
                <w:color w:val="000000"/>
                <w:sz w:val="20"/>
                <w:szCs w:val="18"/>
              </w:rPr>
            </w:pPr>
            <w:r w:rsidRPr="00ED0F04">
              <w:rPr>
                <w:rFonts w:ascii="Arial Narrow" w:hAnsi="Arial Narrow"/>
                <w:b/>
                <w:color w:val="000000"/>
                <w:sz w:val="20"/>
                <w:szCs w:val="18"/>
              </w:rPr>
              <w:t>RD(95% CI)</w:t>
            </w:r>
          </w:p>
        </w:tc>
      </w:tr>
      <w:tr w:rsidR="00803E7A" w:rsidRPr="00ED0F04" w:rsidTr="00BC0026">
        <w:tc>
          <w:tcPr>
            <w:tcW w:w="585" w:type="pct"/>
            <w:shd w:val="clear" w:color="auto" w:fill="auto"/>
            <w:vAlign w:val="center"/>
          </w:tcPr>
          <w:p w:rsidR="00803E7A" w:rsidRPr="00ED0F04" w:rsidRDefault="00803E7A" w:rsidP="00A25A11">
            <w:pPr>
              <w:rPr>
                <w:rFonts w:ascii="Arial Narrow" w:hAnsi="Arial Narrow"/>
                <w:color w:val="000000"/>
                <w:sz w:val="20"/>
                <w:szCs w:val="18"/>
              </w:rPr>
            </w:pPr>
            <w:r>
              <w:rPr>
                <w:rFonts w:ascii="Arial Narrow" w:hAnsi="Arial Narrow"/>
                <w:color w:val="000000"/>
                <w:sz w:val="20"/>
                <w:szCs w:val="18"/>
              </w:rPr>
              <w:t>COMFORT I</w:t>
            </w:r>
          </w:p>
        </w:tc>
        <w:tc>
          <w:tcPr>
            <w:tcW w:w="642"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64</w:t>
            </w:r>
          </w:p>
        </w:tc>
        <w:tc>
          <w:tcPr>
            <w:tcW w:w="842"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21</w:t>
            </w:r>
          </w:p>
        </w:tc>
        <w:tc>
          <w:tcPr>
            <w:tcW w:w="724"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2.97 (1.9, 4.6)</w:t>
            </w:r>
          </w:p>
        </w:tc>
        <w:tc>
          <w:tcPr>
            <w:tcW w:w="755" w:type="pct"/>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41.3</w:t>
            </w:r>
          </w:p>
        </w:tc>
        <w:tc>
          <w:tcPr>
            <w:tcW w:w="668"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13.9</w:t>
            </w:r>
          </w:p>
        </w:tc>
        <w:tc>
          <w:tcPr>
            <w:tcW w:w="784" w:type="pct"/>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0.27 (0.2,0.4)</w:t>
            </w:r>
          </w:p>
        </w:tc>
      </w:tr>
      <w:tr w:rsidR="00803E7A" w:rsidRPr="00ED0F04" w:rsidTr="00BC0026">
        <w:tc>
          <w:tcPr>
            <w:tcW w:w="5000" w:type="pct"/>
            <w:gridSpan w:val="11"/>
            <w:shd w:val="clear" w:color="auto" w:fill="auto"/>
            <w:vAlign w:val="center"/>
          </w:tcPr>
          <w:p w:rsidR="00803E7A" w:rsidRPr="00ED0F04" w:rsidRDefault="00803E7A" w:rsidP="00A25A11">
            <w:pPr>
              <w:rPr>
                <w:rFonts w:ascii="Arial Narrow" w:hAnsi="Arial Narrow"/>
                <w:b/>
                <w:color w:val="000000"/>
                <w:sz w:val="20"/>
                <w:szCs w:val="18"/>
              </w:rPr>
            </w:pPr>
            <w:r>
              <w:rPr>
                <w:rFonts w:ascii="Arial Narrow" w:hAnsi="Arial Narrow"/>
                <w:b/>
                <w:color w:val="000000"/>
                <w:sz w:val="20"/>
                <w:szCs w:val="18"/>
              </w:rPr>
              <w:t>Thrombocytopenia</w:t>
            </w:r>
          </w:p>
        </w:tc>
      </w:tr>
      <w:tr w:rsidR="00803E7A" w:rsidRPr="00ED0F04" w:rsidTr="00BC0026">
        <w:tc>
          <w:tcPr>
            <w:tcW w:w="585" w:type="pct"/>
            <w:shd w:val="clear" w:color="auto" w:fill="auto"/>
            <w:vAlign w:val="center"/>
          </w:tcPr>
          <w:p w:rsidR="00803E7A" w:rsidRPr="00ED0F04" w:rsidRDefault="00803E7A" w:rsidP="00A25A11">
            <w:pPr>
              <w:rPr>
                <w:rFonts w:ascii="Arial Narrow" w:hAnsi="Arial Narrow"/>
                <w:color w:val="000000"/>
                <w:sz w:val="20"/>
                <w:szCs w:val="18"/>
              </w:rPr>
            </w:pPr>
            <w:r>
              <w:rPr>
                <w:rFonts w:ascii="Arial Narrow" w:hAnsi="Arial Narrow"/>
                <w:color w:val="000000"/>
                <w:sz w:val="20"/>
                <w:szCs w:val="18"/>
              </w:rPr>
              <w:t>COMFORT I</w:t>
            </w:r>
          </w:p>
        </w:tc>
        <w:tc>
          <w:tcPr>
            <w:tcW w:w="642"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77</w:t>
            </w:r>
          </w:p>
        </w:tc>
        <w:tc>
          <w:tcPr>
            <w:tcW w:w="842"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16</w:t>
            </w:r>
          </w:p>
        </w:tc>
        <w:tc>
          <w:tcPr>
            <w:tcW w:w="724"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4.69 (2.9, 7.7)</w:t>
            </w:r>
          </w:p>
        </w:tc>
        <w:tc>
          <w:tcPr>
            <w:tcW w:w="755" w:type="pct"/>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49.7</w:t>
            </w:r>
          </w:p>
        </w:tc>
        <w:tc>
          <w:tcPr>
            <w:tcW w:w="668" w:type="pct"/>
            <w:gridSpan w:val="2"/>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10.6</w:t>
            </w:r>
          </w:p>
        </w:tc>
        <w:tc>
          <w:tcPr>
            <w:tcW w:w="784" w:type="pct"/>
            <w:vAlign w:val="center"/>
          </w:tcPr>
          <w:p w:rsidR="00803E7A" w:rsidRPr="00ED0F04" w:rsidRDefault="00803E7A" w:rsidP="00A25A11">
            <w:pPr>
              <w:jc w:val="center"/>
              <w:rPr>
                <w:rFonts w:ascii="Arial Narrow" w:hAnsi="Arial Narrow"/>
                <w:color w:val="000000"/>
                <w:sz w:val="20"/>
                <w:szCs w:val="18"/>
              </w:rPr>
            </w:pPr>
            <w:r>
              <w:rPr>
                <w:rFonts w:ascii="Arial Narrow" w:hAnsi="Arial Narrow"/>
                <w:color w:val="000000"/>
                <w:sz w:val="20"/>
                <w:szCs w:val="18"/>
              </w:rPr>
              <w:t>0.39 (0.3, 0.5)</w:t>
            </w:r>
          </w:p>
        </w:tc>
      </w:tr>
    </w:tbl>
    <w:p w:rsidR="00803E7A" w:rsidRPr="00294366" w:rsidRDefault="00803E7A" w:rsidP="00294366">
      <w:pPr>
        <w:pStyle w:val="TableFooter"/>
        <w:ind w:left="709"/>
        <w:rPr>
          <w:sz w:val="20"/>
        </w:rPr>
      </w:pPr>
      <w:r w:rsidRPr="00294366">
        <w:rPr>
          <w:sz w:val="20"/>
        </w:rPr>
        <w:t>Abbreviations: RUX=ruxolitinib</w:t>
      </w:r>
      <w:r w:rsidR="009A3D87" w:rsidRPr="00294366">
        <w:rPr>
          <w:sz w:val="20"/>
        </w:rPr>
        <w:t>;</w:t>
      </w:r>
      <w:r w:rsidRPr="00294366">
        <w:rPr>
          <w:sz w:val="20"/>
        </w:rPr>
        <w:t xml:space="preserve"> PBO = placebo; RD = risk difference; RR = risk ratio; ITT=intention to treat, PP=per protocol</w:t>
      </w:r>
    </w:p>
    <w:p w:rsidR="00803E7A" w:rsidRPr="00294366" w:rsidRDefault="00803E7A" w:rsidP="00294366">
      <w:pPr>
        <w:pStyle w:val="TableFooter"/>
        <w:ind w:left="709"/>
        <w:rPr>
          <w:sz w:val="20"/>
        </w:rPr>
      </w:pPr>
      <w:r w:rsidRPr="00294366">
        <w:rPr>
          <w:sz w:val="20"/>
        </w:rPr>
        <w:t xml:space="preserve">Source: Table 2, July 2014 commentary </w:t>
      </w:r>
    </w:p>
    <w:p w:rsidR="00E00940" w:rsidRDefault="00E00940" w:rsidP="007F1017">
      <w:pPr>
        <w:widowControl/>
        <w:ind w:left="709"/>
      </w:pPr>
    </w:p>
    <w:p w:rsidR="002C6144" w:rsidRDefault="002C6144" w:rsidP="004D64A8">
      <w:pPr>
        <w:pStyle w:val="ListParagraph"/>
        <w:widowControl/>
        <w:numPr>
          <w:ilvl w:val="1"/>
          <w:numId w:val="1"/>
        </w:numPr>
      </w:pPr>
      <w:r>
        <w:t>On the basis of direct evidence presented by the resubmission, for every 100 intermediate-2 and high risk patients treated with ruxolitinib in comparison to placebo;</w:t>
      </w:r>
    </w:p>
    <w:p w:rsidR="002C6144" w:rsidRDefault="002C6144" w:rsidP="004D64A8">
      <w:pPr>
        <w:pStyle w:val="ListParagraph"/>
        <w:widowControl/>
        <w:numPr>
          <w:ilvl w:val="1"/>
          <w:numId w:val="4"/>
        </w:numPr>
        <w:ind w:left="993" w:hanging="284"/>
      </w:pPr>
      <w:r w:rsidRPr="002C6144">
        <w:t>Approximately 8 fewer patients will have died over a median duration of follow-up of 144 weeks</w:t>
      </w:r>
      <w:r w:rsidR="00663099">
        <w:t>.</w:t>
      </w:r>
      <w:r w:rsidRPr="002C6144">
        <w:t xml:space="preserve"> </w:t>
      </w:r>
      <w:r w:rsidR="00663099">
        <w:t xml:space="preserve"> </w:t>
      </w:r>
    </w:p>
    <w:p w:rsidR="002C6144" w:rsidRDefault="002C6144" w:rsidP="004D64A8">
      <w:pPr>
        <w:pStyle w:val="ListParagraph"/>
        <w:widowControl/>
        <w:numPr>
          <w:ilvl w:val="1"/>
          <w:numId w:val="4"/>
        </w:numPr>
        <w:ind w:left="993" w:hanging="284"/>
      </w:pPr>
      <w:r>
        <w:t xml:space="preserve">Approximately 41 additional patients who are intolerant or irresponsive to BAT would have a spleen response over a maximum duration of follow-up of 24 weeks. </w:t>
      </w:r>
    </w:p>
    <w:p w:rsidR="002C6144" w:rsidRDefault="002C6144" w:rsidP="004D64A8">
      <w:pPr>
        <w:pStyle w:val="ListParagraph"/>
        <w:widowControl/>
        <w:numPr>
          <w:ilvl w:val="1"/>
          <w:numId w:val="4"/>
        </w:numPr>
        <w:ind w:left="993" w:hanging="284"/>
      </w:pPr>
      <w:r>
        <w:t>Approximately 27 additional patients would have at least one anaemic episode over a median duration of follow-up of 144 weeks compared to placebo.</w:t>
      </w:r>
      <w:r w:rsidR="00663099">
        <w:t xml:space="preserve"> </w:t>
      </w:r>
    </w:p>
    <w:p w:rsidR="002C6144" w:rsidRDefault="002C6144" w:rsidP="004D64A8">
      <w:pPr>
        <w:pStyle w:val="ListParagraph"/>
        <w:widowControl/>
        <w:numPr>
          <w:ilvl w:val="1"/>
          <w:numId w:val="4"/>
        </w:numPr>
        <w:ind w:left="993" w:hanging="284"/>
      </w:pPr>
      <w:r>
        <w:t>Approximately 39 additional patients would have at least one thrombocytopenia episode over a median duration of follow-up of 144 weeks compared to placebo.</w:t>
      </w:r>
    </w:p>
    <w:p w:rsidR="0035055E" w:rsidRDefault="0035055E" w:rsidP="0035055E">
      <w:pPr>
        <w:pStyle w:val="ListParagraph"/>
        <w:widowControl/>
        <w:ind w:left="993"/>
      </w:pPr>
    </w:p>
    <w:p w:rsidR="0045463B" w:rsidRPr="0045463B" w:rsidRDefault="0045463B" w:rsidP="00747D66">
      <w:pPr>
        <w:pStyle w:val="ListParagraph"/>
        <w:widowControl/>
        <w:numPr>
          <w:ilvl w:val="1"/>
          <w:numId w:val="1"/>
        </w:numPr>
        <w:rPr>
          <w:lang w:val="en-US"/>
        </w:rPr>
      </w:pPr>
      <w:r>
        <w:rPr>
          <w:lang w:val="en-US"/>
        </w:rPr>
        <w:t xml:space="preserve">The PBAC recalled that based on the corresponding data from the COMFORT-II study presented in July 2014, for every 100 intermediate-2 and high risk patients treated with ruxolitinib in comparison with </w:t>
      </w:r>
      <w:r w:rsidR="0035055E">
        <w:rPr>
          <w:lang w:val="en-US"/>
        </w:rPr>
        <w:t>BAT;</w:t>
      </w:r>
    </w:p>
    <w:p w:rsidR="0035055E" w:rsidRDefault="0045463B" w:rsidP="0045463B">
      <w:pPr>
        <w:pStyle w:val="ListParagraph"/>
        <w:widowControl/>
        <w:numPr>
          <w:ilvl w:val="1"/>
          <w:numId w:val="4"/>
        </w:numPr>
        <w:ind w:left="993" w:hanging="284"/>
        <w:rPr>
          <w:lang w:val="en-US"/>
        </w:rPr>
      </w:pPr>
      <w:r w:rsidRPr="0045463B">
        <w:rPr>
          <w:lang w:val="en-US"/>
        </w:rPr>
        <w:t xml:space="preserve">Approximately 10 additional patients </w:t>
      </w:r>
      <w:r w:rsidR="0035055E">
        <w:rPr>
          <w:lang w:val="en-US"/>
        </w:rPr>
        <w:t xml:space="preserve">will be alive </w:t>
      </w:r>
      <w:r w:rsidRPr="0045463B">
        <w:rPr>
          <w:lang w:val="en-US"/>
        </w:rPr>
        <w:t>at 144 weeks.</w:t>
      </w:r>
    </w:p>
    <w:p w:rsidR="0035055E" w:rsidRDefault="0045463B" w:rsidP="0035055E">
      <w:pPr>
        <w:pStyle w:val="ListParagraph"/>
        <w:widowControl/>
        <w:ind w:left="993"/>
        <w:rPr>
          <w:lang w:val="en-US"/>
        </w:rPr>
      </w:pPr>
      <w:r w:rsidRPr="0045463B">
        <w:rPr>
          <w:lang w:val="en-US"/>
        </w:rPr>
        <w:t xml:space="preserve"> </w:t>
      </w:r>
    </w:p>
    <w:p w:rsidR="0045463B" w:rsidRPr="0045463B" w:rsidRDefault="0035055E" w:rsidP="0035055E">
      <w:pPr>
        <w:pStyle w:val="ListParagraph"/>
        <w:widowControl/>
        <w:rPr>
          <w:lang w:val="en-US"/>
        </w:rPr>
      </w:pPr>
      <w:r>
        <w:rPr>
          <w:lang w:val="en-US"/>
        </w:rPr>
        <w:t>The PBAC also noted that for both the COMFORT-1 and COMFORT-II studies, the</w:t>
      </w:r>
      <w:r w:rsidR="0045463B" w:rsidRPr="0045463B">
        <w:rPr>
          <w:lang w:val="en-US"/>
        </w:rPr>
        <w:t xml:space="preserve"> crossover of patients from </w:t>
      </w:r>
      <w:r>
        <w:rPr>
          <w:lang w:val="en-US"/>
        </w:rPr>
        <w:t xml:space="preserve">placebo or </w:t>
      </w:r>
      <w:r w:rsidR="0045463B" w:rsidRPr="0045463B">
        <w:rPr>
          <w:lang w:val="en-US"/>
        </w:rPr>
        <w:t xml:space="preserve">BAT to ruxolitinib </w:t>
      </w:r>
      <w:r>
        <w:rPr>
          <w:lang w:val="en-US"/>
        </w:rPr>
        <w:t xml:space="preserve">means that </w:t>
      </w:r>
      <w:r w:rsidR="0045463B" w:rsidRPr="0045463B">
        <w:rPr>
          <w:lang w:val="en-US"/>
        </w:rPr>
        <w:t xml:space="preserve">the degree of improvement in overall survival is uncertain, </w:t>
      </w:r>
      <w:r w:rsidR="0045463B" w:rsidRPr="00B3145B">
        <w:rPr>
          <w:lang w:val="en-US"/>
        </w:rPr>
        <w:t>and may be greater than the observed estimates</w:t>
      </w:r>
      <w:r w:rsidR="009510F9">
        <w:rPr>
          <w:lang w:val="en-US"/>
        </w:rPr>
        <w:t>,</w:t>
      </w:r>
      <w:r w:rsidR="0045463B" w:rsidRPr="00B3145B">
        <w:rPr>
          <w:lang w:val="en-US"/>
        </w:rPr>
        <w:t xml:space="preserve"> which are based on the intention-to-treat analyses.</w:t>
      </w:r>
      <w:r w:rsidR="0045463B" w:rsidRPr="0045463B">
        <w:rPr>
          <w:lang w:val="en-US"/>
        </w:rPr>
        <w:t xml:space="preserve"> </w:t>
      </w:r>
    </w:p>
    <w:p w:rsidR="0045463B" w:rsidRDefault="0045463B" w:rsidP="0035055E">
      <w:pPr>
        <w:pStyle w:val="ListParagraph"/>
        <w:widowControl/>
        <w:ind w:left="993"/>
      </w:pPr>
    </w:p>
    <w:p w:rsidR="00B60939" w:rsidRPr="00882085" w:rsidRDefault="00B60939" w:rsidP="0045463B">
      <w:pPr>
        <w:ind w:left="709"/>
      </w:pPr>
    </w:p>
    <w:p w:rsidR="00B60939" w:rsidRPr="00497F10" w:rsidRDefault="00B60939" w:rsidP="00D06FD4">
      <w:pPr>
        <w:pStyle w:val="Heading2"/>
        <w:rPr>
          <w:i/>
        </w:rPr>
      </w:pPr>
      <w:bookmarkStart w:id="13" w:name="_Toc408474965"/>
      <w:r w:rsidRPr="00497F10">
        <w:rPr>
          <w:i/>
        </w:rPr>
        <w:lastRenderedPageBreak/>
        <w:t>Clinical claim</w:t>
      </w:r>
      <w:bookmarkEnd w:id="13"/>
    </w:p>
    <w:p w:rsidR="00B60939" w:rsidRPr="00882085" w:rsidRDefault="00B60939" w:rsidP="00D06FD4">
      <w:pPr>
        <w:pStyle w:val="BodyText"/>
      </w:pPr>
    </w:p>
    <w:p w:rsidR="00AA77F4" w:rsidRDefault="00A25A11" w:rsidP="004D64A8">
      <w:pPr>
        <w:pStyle w:val="ListParagraph"/>
        <w:numPr>
          <w:ilvl w:val="1"/>
          <w:numId w:val="1"/>
        </w:numPr>
        <w:rPr>
          <w:iCs/>
        </w:rPr>
      </w:pPr>
      <w:r w:rsidRPr="00A25A11">
        <w:t>The re-submission describe</w:t>
      </w:r>
      <w:r w:rsidR="00F5128D">
        <w:t>d</w:t>
      </w:r>
      <w:r w:rsidRPr="00A25A11">
        <w:t xml:space="preserve"> ruxolitinib as superior in terms of comparative effectiveness and inferior in terms of comparative safety over placebo or BAT in intermediate-1, intermediate-2 and high risk MF patients.  </w:t>
      </w:r>
      <w:r w:rsidR="00AA77F4" w:rsidRPr="00272ED1">
        <w:rPr>
          <w:iCs/>
        </w:rPr>
        <w:t>The ESC considered this reasonable, noting the lack of comparative data for the intermediate-1 population.  The ESC also</w:t>
      </w:r>
      <w:r w:rsidR="00000E20" w:rsidRPr="00272ED1">
        <w:rPr>
          <w:iCs/>
        </w:rPr>
        <w:t xml:space="preserve"> </w:t>
      </w:r>
      <w:r w:rsidR="00FD5759" w:rsidRPr="00272ED1">
        <w:rPr>
          <w:iCs/>
        </w:rPr>
        <w:t xml:space="preserve">considered </w:t>
      </w:r>
      <w:r w:rsidR="00AA77F4" w:rsidRPr="00272ED1">
        <w:rPr>
          <w:iCs/>
        </w:rPr>
        <w:t>that the</w:t>
      </w:r>
      <w:r w:rsidR="009B5950">
        <w:rPr>
          <w:i/>
          <w:iCs/>
        </w:rPr>
        <w:t xml:space="preserve"> </w:t>
      </w:r>
      <w:r w:rsidRPr="00B52616">
        <w:rPr>
          <w:iCs/>
        </w:rPr>
        <w:t>magnitude of benefit in overall survival and quality of life for intermediate-2 and high risk MF patients is highly uncertain given the high degree of cross over in COMFORT-I and COMFORT-II.</w:t>
      </w:r>
    </w:p>
    <w:p w:rsidR="0029070F" w:rsidRDefault="0029070F" w:rsidP="0029070F">
      <w:pPr>
        <w:pStyle w:val="ListParagraph"/>
        <w:rPr>
          <w:iCs/>
        </w:rPr>
      </w:pPr>
      <w:r>
        <w:rPr>
          <w:iCs/>
        </w:rPr>
        <w:t xml:space="preserve"> </w:t>
      </w:r>
    </w:p>
    <w:p w:rsidR="00C34E09" w:rsidRDefault="0029070F" w:rsidP="00C34E09">
      <w:pPr>
        <w:pStyle w:val="ListParagraph"/>
        <w:numPr>
          <w:ilvl w:val="1"/>
          <w:numId w:val="1"/>
        </w:numPr>
        <w:rPr>
          <w:iCs/>
        </w:rPr>
      </w:pPr>
      <w:r>
        <w:rPr>
          <w:iCs/>
        </w:rPr>
        <w:t>The PBAC noted that the pre-PBAC response highlighted that modelled s</w:t>
      </w:r>
      <w:r w:rsidR="0038586B">
        <w:rPr>
          <w:iCs/>
        </w:rPr>
        <w:t xml:space="preserve">urvival estimates in the arm representing </w:t>
      </w:r>
      <w:r>
        <w:rPr>
          <w:iCs/>
        </w:rPr>
        <w:t>the current scenario (i.e. ruxolitinib not</w:t>
      </w:r>
      <w:r w:rsidR="0038586B">
        <w:rPr>
          <w:iCs/>
        </w:rPr>
        <w:t xml:space="preserve"> being available</w:t>
      </w:r>
      <w:r>
        <w:rPr>
          <w:iCs/>
        </w:rPr>
        <w:t xml:space="preserve">) were validated with </w:t>
      </w:r>
      <w:r w:rsidR="0038586B">
        <w:rPr>
          <w:iCs/>
        </w:rPr>
        <w:t>observed historical cohort data as reported by Price et al, 2014.</w:t>
      </w:r>
    </w:p>
    <w:p w:rsidR="0095042A" w:rsidRPr="00C34E09" w:rsidRDefault="0095042A" w:rsidP="00C34E09">
      <w:pPr>
        <w:rPr>
          <w:iCs/>
        </w:rPr>
      </w:pPr>
      <w:r w:rsidRPr="00C34E09">
        <w:rPr>
          <w:iCs/>
        </w:rPr>
        <w:t xml:space="preserve"> </w:t>
      </w:r>
    </w:p>
    <w:p w:rsidR="00D31794" w:rsidRPr="00D31794" w:rsidRDefault="00DD0376" w:rsidP="004D64A8">
      <w:pPr>
        <w:pStyle w:val="ListParagraph"/>
        <w:widowControl/>
        <w:numPr>
          <w:ilvl w:val="1"/>
          <w:numId w:val="1"/>
        </w:numPr>
        <w:jc w:val="left"/>
        <w:rPr>
          <w:bCs/>
          <w:szCs w:val="22"/>
        </w:rPr>
      </w:pPr>
      <w:r>
        <w:rPr>
          <w:bCs/>
          <w:szCs w:val="22"/>
        </w:rPr>
        <w:t xml:space="preserve">The </w:t>
      </w:r>
      <w:r w:rsidR="00D31794" w:rsidRPr="00D31794">
        <w:rPr>
          <w:bCs/>
          <w:szCs w:val="22"/>
        </w:rPr>
        <w:t>PBAC</w:t>
      </w:r>
      <w:r w:rsidR="005428BF">
        <w:rPr>
          <w:bCs/>
          <w:szCs w:val="22"/>
        </w:rPr>
        <w:t xml:space="preserve"> agreed with ESC</w:t>
      </w:r>
      <w:r w:rsidR="00D31794" w:rsidRPr="00D31794">
        <w:rPr>
          <w:bCs/>
          <w:szCs w:val="22"/>
        </w:rPr>
        <w:t xml:space="preserve"> that the claim of superior comparative effectiveness was </w:t>
      </w:r>
      <w:r w:rsidR="00476BD7" w:rsidRPr="00D31794">
        <w:rPr>
          <w:bCs/>
          <w:szCs w:val="22"/>
        </w:rPr>
        <w:t>reasonable</w:t>
      </w:r>
      <w:r w:rsidR="00476BD7">
        <w:rPr>
          <w:bCs/>
          <w:szCs w:val="22"/>
        </w:rPr>
        <w:t>;</w:t>
      </w:r>
      <w:r>
        <w:rPr>
          <w:bCs/>
          <w:szCs w:val="22"/>
        </w:rPr>
        <w:t xml:space="preserve"> no</w:t>
      </w:r>
      <w:r w:rsidRPr="00D31794">
        <w:rPr>
          <w:iCs/>
        </w:rPr>
        <w:t>ting the lack of comparative data for th</w:t>
      </w:r>
      <w:r w:rsidR="00476BD7">
        <w:rPr>
          <w:iCs/>
        </w:rPr>
        <w:t xml:space="preserve">e intermediate-1 population and </w:t>
      </w:r>
      <w:r w:rsidR="000A7F87" w:rsidRPr="00663099">
        <w:rPr>
          <w:bCs/>
          <w:szCs w:val="22"/>
        </w:rPr>
        <w:t>th</w:t>
      </w:r>
      <w:r w:rsidR="00476BD7" w:rsidRPr="00663099">
        <w:rPr>
          <w:bCs/>
          <w:szCs w:val="22"/>
        </w:rPr>
        <w:t xml:space="preserve">e continuing difficulty of </w:t>
      </w:r>
      <w:r w:rsidR="000A7F87" w:rsidRPr="00663099">
        <w:rPr>
          <w:szCs w:val="22"/>
        </w:rPr>
        <w:t>estimating the magnitude of the benefit</w:t>
      </w:r>
      <w:r w:rsidR="00476BD7" w:rsidRPr="00663099">
        <w:rPr>
          <w:szCs w:val="22"/>
        </w:rPr>
        <w:t xml:space="preserve"> due to crossover</w:t>
      </w:r>
      <w:r w:rsidR="00663099">
        <w:rPr>
          <w:szCs w:val="22"/>
        </w:rPr>
        <w:t xml:space="preserve"> in the COMFORT trials</w:t>
      </w:r>
      <w:r w:rsidR="000A7F87" w:rsidRPr="00663099">
        <w:rPr>
          <w:szCs w:val="22"/>
        </w:rPr>
        <w:t>.</w:t>
      </w:r>
      <w:r w:rsidRPr="00D31794">
        <w:rPr>
          <w:bCs/>
          <w:szCs w:val="22"/>
        </w:rPr>
        <w:t xml:space="preserve"> </w:t>
      </w:r>
    </w:p>
    <w:p w:rsidR="00D31794" w:rsidRPr="00D31794" w:rsidRDefault="00D31794" w:rsidP="00D31794">
      <w:pPr>
        <w:pStyle w:val="ListParagraph"/>
        <w:rPr>
          <w:szCs w:val="22"/>
          <w:highlight w:val="yellow"/>
        </w:rPr>
      </w:pPr>
    </w:p>
    <w:p w:rsidR="00024EDC" w:rsidRPr="00D31794" w:rsidRDefault="00024EDC" w:rsidP="004D64A8">
      <w:pPr>
        <w:pStyle w:val="ListParagraph"/>
        <w:widowControl/>
        <w:numPr>
          <w:ilvl w:val="1"/>
          <w:numId w:val="1"/>
        </w:numPr>
        <w:jc w:val="left"/>
        <w:rPr>
          <w:bCs/>
          <w:szCs w:val="22"/>
        </w:rPr>
      </w:pPr>
      <w:r>
        <w:rPr>
          <w:iCs/>
        </w:rPr>
        <w:t>The</w:t>
      </w:r>
      <w:r w:rsidRPr="00D31794">
        <w:rPr>
          <w:bCs/>
          <w:szCs w:val="22"/>
        </w:rPr>
        <w:t xml:space="preserve"> PBAC considered that the claim of </w:t>
      </w:r>
      <w:r>
        <w:rPr>
          <w:bCs/>
          <w:szCs w:val="22"/>
        </w:rPr>
        <w:t>inferior</w:t>
      </w:r>
      <w:r w:rsidRPr="00D31794">
        <w:rPr>
          <w:bCs/>
          <w:szCs w:val="22"/>
        </w:rPr>
        <w:t xml:space="preserve"> comparative </w:t>
      </w:r>
      <w:r>
        <w:rPr>
          <w:bCs/>
          <w:szCs w:val="22"/>
        </w:rPr>
        <w:t>safety</w:t>
      </w:r>
      <w:r w:rsidRPr="00D31794">
        <w:rPr>
          <w:bCs/>
          <w:szCs w:val="22"/>
        </w:rPr>
        <w:t xml:space="preserve"> was reasonable.</w:t>
      </w:r>
    </w:p>
    <w:p w:rsidR="00B60939" w:rsidRPr="00B52616" w:rsidRDefault="00B60939" w:rsidP="00A25A11">
      <w:pPr>
        <w:pStyle w:val="ListParagraph"/>
        <w:widowControl/>
        <w:rPr>
          <w:szCs w:val="22"/>
        </w:rPr>
      </w:pPr>
    </w:p>
    <w:p w:rsidR="00B60939" w:rsidRPr="00497F10" w:rsidRDefault="00B60939" w:rsidP="00497F10">
      <w:pPr>
        <w:pStyle w:val="Heading2"/>
        <w:rPr>
          <w:i/>
        </w:rPr>
      </w:pPr>
      <w:bookmarkStart w:id="14" w:name="_Toc408474966"/>
      <w:r w:rsidRPr="00894968">
        <w:rPr>
          <w:i/>
        </w:rPr>
        <w:t>Economic analysis</w:t>
      </w:r>
      <w:bookmarkEnd w:id="14"/>
    </w:p>
    <w:p w:rsidR="00B60939" w:rsidRPr="000E5584" w:rsidRDefault="00B60939" w:rsidP="00B60939">
      <w:pPr>
        <w:ind w:left="720" w:hanging="720"/>
        <w:rPr>
          <w:szCs w:val="22"/>
        </w:rPr>
      </w:pPr>
    </w:p>
    <w:p w:rsidR="000E5584" w:rsidRPr="00B52616" w:rsidRDefault="000E5584" w:rsidP="004D64A8">
      <w:pPr>
        <w:pStyle w:val="ListParagraph"/>
        <w:widowControl/>
        <w:numPr>
          <w:ilvl w:val="1"/>
          <w:numId w:val="1"/>
        </w:numPr>
        <w:rPr>
          <w:iCs/>
        </w:rPr>
      </w:pPr>
      <w:r w:rsidRPr="00B52616">
        <w:rPr>
          <w:iCs/>
        </w:rPr>
        <w:t>The re-submission presen</w:t>
      </w:r>
      <w:r w:rsidR="00294366" w:rsidRPr="00B52616">
        <w:rPr>
          <w:iCs/>
        </w:rPr>
        <w:t>ted</w:t>
      </w:r>
      <w:r w:rsidRPr="00B52616">
        <w:rPr>
          <w:iCs/>
        </w:rPr>
        <w:t xml:space="preserve"> a modelled economic evaluation, which is identical in structure to the previous re-submission from July 2014.  The main changes </w:t>
      </w:r>
      <w:r w:rsidR="00140E08">
        <w:rPr>
          <w:iCs/>
        </w:rPr>
        <w:t xml:space="preserve">to the model </w:t>
      </w:r>
      <w:r w:rsidR="00F5128D">
        <w:rPr>
          <w:iCs/>
        </w:rPr>
        <w:t>wer</w:t>
      </w:r>
      <w:r w:rsidRPr="00B52616">
        <w:rPr>
          <w:iCs/>
        </w:rPr>
        <w:t>e:</w:t>
      </w:r>
    </w:p>
    <w:p w:rsidR="000E5584" w:rsidRPr="00B52616" w:rsidRDefault="000E5584" w:rsidP="004D64A8">
      <w:pPr>
        <w:pStyle w:val="ListParagraph"/>
        <w:widowControl/>
        <w:numPr>
          <w:ilvl w:val="1"/>
          <w:numId w:val="4"/>
        </w:numPr>
        <w:ind w:left="993" w:hanging="284"/>
        <w:rPr>
          <w:iCs/>
        </w:rPr>
      </w:pPr>
      <w:r w:rsidRPr="00B52616">
        <w:rPr>
          <w:iCs/>
        </w:rPr>
        <w:t xml:space="preserve">Cost of ruxolitinib </w:t>
      </w:r>
      <w:r w:rsidRPr="00B52616">
        <w:t>decreased</w:t>
      </w:r>
      <w:r w:rsidRPr="00B52616">
        <w:rPr>
          <w:iCs/>
        </w:rPr>
        <w:t xml:space="preserve"> from </w:t>
      </w:r>
      <w:r w:rsidRPr="00E37DFB">
        <w:rPr>
          <w:iCs/>
        </w:rPr>
        <w:t>$</w:t>
      </w:r>
      <w:r w:rsidR="00023DE7">
        <w:rPr>
          <w:iCs/>
          <w:noProof/>
          <w:color w:val="000000"/>
          <w:highlight w:val="black"/>
        </w:rPr>
        <w:t>''''''''''''''''''''''</w:t>
      </w:r>
      <w:r w:rsidRPr="00E37DFB">
        <w:rPr>
          <w:iCs/>
        </w:rPr>
        <w:t xml:space="preserve"> per cycle to $</w:t>
      </w:r>
      <w:r w:rsidR="00023DE7">
        <w:rPr>
          <w:iCs/>
          <w:noProof/>
          <w:color w:val="000000"/>
          <w:highlight w:val="black"/>
        </w:rPr>
        <w:t>'''''''''''''''''''''''</w:t>
      </w:r>
      <w:r w:rsidRPr="00E37DFB">
        <w:rPr>
          <w:iCs/>
        </w:rPr>
        <w:t>, reflecting</w:t>
      </w:r>
      <w:r w:rsidRPr="00B52616">
        <w:rPr>
          <w:iCs/>
        </w:rPr>
        <w:t xml:space="preserve"> an additional </w:t>
      </w:r>
      <w:r w:rsidR="00023DE7">
        <w:rPr>
          <w:iCs/>
          <w:noProof/>
          <w:color w:val="000000"/>
          <w:highlight w:val="black"/>
        </w:rPr>
        <w:t>''''</w:t>
      </w:r>
      <w:r w:rsidRPr="00B52616">
        <w:rPr>
          <w:iCs/>
        </w:rPr>
        <w:t xml:space="preserve">% discount for a total of </w:t>
      </w:r>
      <w:r w:rsidR="00023DE7">
        <w:rPr>
          <w:iCs/>
          <w:noProof/>
          <w:color w:val="000000"/>
          <w:highlight w:val="black"/>
        </w:rPr>
        <w:t>'''''''</w:t>
      </w:r>
      <w:r w:rsidRPr="00B52616">
        <w:rPr>
          <w:iCs/>
        </w:rPr>
        <w:t>% on the ex-ma</w:t>
      </w:r>
      <w:r w:rsidR="00294366" w:rsidRPr="00B52616">
        <w:rPr>
          <w:iCs/>
        </w:rPr>
        <w:t>nu</w:t>
      </w:r>
      <w:r w:rsidRPr="00B52616">
        <w:rPr>
          <w:iCs/>
        </w:rPr>
        <w:t>facturer price; and</w:t>
      </w:r>
    </w:p>
    <w:p w:rsidR="000E5584" w:rsidRPr="00B52616" w:rsidRDefault="000E5584" w:rsidP="004D64A8">
      <w:pPr>
        <w:pStyle w:val="ListParagraph"/>
        <w:widowControl/>
        <w:numPr>
          <w:ilvl w:val="1"/>
          <w:numId w:val="4"/>
        </w:numPr>
        <w:ind w:left="993" w:hanging="284"/>
        <w:rPr>
          <w:iCs/>
        </w:rPr>
      </w:pPr>
      <w:r w:rsidRPr="00B52616">
        <w:rPr>
          <w:iCs/>
        </w:rPr>
        <w:t xml:space="preserve">Inclusion of </w:t>
      </w:r>
      <w:r w:rsidRPr="00B52616">
        <w:t>intermediate</w:t>
      </w:r>
      <w:r w:rsidRPr="00B52616">
        <w:rPr>
          <w:iCs/>
        </w:rPr>
        <w:t xml:space="preserve">-1 patients, representing </w:t>
      </w:r>
      <w:r w:rsidR="00023DE7">
        <w:rPr>
          <w:iCs/>
          <w:noProof/>
          <w:color w:val="000000"/>
          <w:highlight w:val="black"/>
        </w:rPr>
        <w:t>''''''</w:t>
      </w:r>
      <w:r w:rsidRPr="00B52616">
        <w:rPr>
          <w:iCs/>
        </w:rPr>
        <w:t xml:space="preserve">% of all patients treated with ruxolitinib.  Mortality in intermediate-1 patients is lower (47% of intermediate-2 or high risk patients) but efficacy is assumed to be the same as in intermediate-2 or high risk patients. </w:t>
      </w:r>
    </w:p>
    <w:p w:rsidR="000E5584" w:rsidRPr="00B52616" w:rsidRDefault="00000E20" w:rsidP="000E5584">
      <w:pPr>
        <w:widowControl/>
        <w:ind w:left="709"/>
        <w:rPr>
          <w:iCs/>
        </w:rPr>
      </w:pPr>
      <w:r w:rsidRPr="00A11A6E">
        <w:rPr>
          <w:iCs/>
        </w:rPr>
        <w:t>The ESC</w:t>
      </w:r>
      <w:r w:rsidR="000E5584" w:rsidRPr="00A11A6E">
        <w:rPr>
          <w:iCs/>
        </w:rPr>
        <w:t xml:space="preserve"> noted that</w:t>
      </w:r>
      <w:r w:rsidR="000E5584" w:rsidRPr="00EA46F2">
        <w:rPr>
          <w:i/>
          <w:iCs/>
        </w:rPr>
        <w:t xml:space="preserve"> </w:t>
      </w:r>
      <w:r w:rsidR="000E5584" w:rsidRPr="00EA46F2">
        <w:rPr>
          <w:iCs/>
        </w:rPr>
        <w:t>even though the proposed restrictions no longer contain</w:t>
      </w:r>
      <w:r w:rsidR="00F5128D" w:rsidRPr="00EA46F2">
        <w:rPr>
          <w:iCs/>
        </w:rPr>
        <w:t>ed</w:t>
      </w:r>
      <w:r w:rsidR="000E5584" w:rsidRPr="00EA46F2">
        <w:rPr>
          <w:iCs/>
        </w:rPr>
        <w:t xml:space="preserve"> discontinuation criteria, the economic model continue</w:t>
      </w:r>
      <w:r w:rsidR="00F5128D" w:rsidRPr="00EA46F2">
        <w:rPr>
          <w:iCs/>
        </w:rPr>
        <w:t>d</w:t>
      </w:r>
      <w:r w:rsidR="000E5584" w:rsidRPr="00EA46F2">
        <w:rPr>
          <w:iCs/>
        </w:rPr>
        <w:t xml:space="preserve"> to assume that patients w</w:t>
      </w:r>
      <w:r w:rsidR="00F5128D" w:rsidRPr="00EA46F2">
        <w:rPr>
          <w:iCs/>
        </w:rPr>
        <w:t>ould</w:t>
      </w:r>
      <w:r w:rsidR="000E5584" w:rsidRPr="00EA46F2">
        <w:rPr>
          <w:iCs/>
        </w:rPr>
        <w:t xml:space="preserve"> stop treatment if they transition to spleen non-responder with uncontrolled symptoms</w:t>
      </w:r>
      <w:r w:rsidR="000E5584" w:rsidRPr="00EA46F2">
        <w:rPr>
          <w:i/>
          <w:iCs/>
        </w:rPr>
        <w:t>.</w:t>
      </w:r>
      <w:r w:rsidR="000E5584" w:rsidRPr="00B52616">
        <w:rPr>
          <w:iCs/>
        </w:rPr>
        <w:t xml:space="preserve"> </w:t>
      </w:r>
      <w:r w:rsidR="002205F2" w:rsidRPr="00272ED1">
        <w:rPr>
          <w:iCs/>
        </w:rPr>
        <w:t xml:space="preserve">Given </w:t>
      </w:r>
      <w:r w:rsidRPr="00272ED1">
        <w:rPr>
          <w:iCs/>
        </w:rPr>
        <w:t>the absence of discontinuation criteria in the proposed restrictions, the ESC did not accept the assumption of discontinuation in the model.</w:t>
      </w:r>
      <w:r>
        <w:rPr>
          <w:i/>
          <w:iCs/>
        </w:rPr>
        <w:t xml:space="preserve"> </w:t>
      </w:r>
      <w:r w:rsidR="006465AE">
        <w:rPr>
          <w:iCs/>
        </w:rPr>
        <w:t>The Pre-PBAC response accepted the ESC concern and provided a revised ICER with the discontinuation in the model removed.</w:t>
      </w:r>
      <w:r w:rsidRPr="00B52616">
        <w:rPr>
          <w:iCs/>
        </w:rPr>
        <w:t xml:space="preserve"> </w:t>
      </w:r>
      <w:r w:rsidR="000E5584" w:rsidRPr="00B52616">
        <w:rPr>
          <w:iCs/>
        </w:rPr>
        <w:t xml:space="preserve"> </w:t>
      </w:r>
    </w:p>
    <w:p w:rsidR="000E5584" w:rsidRPr="000E5584" w:rsidRDefault="000E5584" w:rsidP="000E5584">
      <w:pPr>
        <w:widowControl/>
        <w:ind w:left="709"/>
        <w:rPr>
          <w:i/>
          <w:iCs/>
        </w:rPr>
      </w:pPr>
    </w:p>
    <w:p w:rsidR="00140E08" w:rsidRDefault="00140E08">
      <w:pPr>
        <w:widowControl/>
        <w:jc w:val="left"/>
        <w:rPr>
          <w:rStyle w:val="CommentReference"/>
        </w:rPr>
      </w:pPr>
      <w:r>
        <w:rPr>
          <w:rStyle w:val="CommentReference"/>
        </w:rPr>
        <w:br w:type="page"/>
      </w:r>
    </w:p>
    <w:p w:rsidR="00D06FD4" w:rsidRPr="000E5584" w:rsidRDefault="00D06FD4" w:rsidP="0031597E">
      <w:pPr>
        <w:pStyle w:val="ListParagraph"/>
        <w:widowControl/>
        <w:rPr>
          <w:rStyle w:val="CommentReference"/>
          <w:rFonts w:ascii="Arial" w:hAnsi="Arial"/>
          <w:b w:val="0"/>
          <w:sz w:val="22"/>
          <w:szCs w:val="22"/>
        </w:rPr>
      </w:pPr>
      <w:r w:rsidRPr="00A56B6A">
        <w:rPr>
          <w:rStyle w:val="CommentReference"/>
        </w:rPr>
        <w:lastRenderedPageBreak/>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Summary of economic model components"/>
      </w:tblPr>
      <w:tblGrid>
        <w:gridCol w:w="1277"/>
        <w:gridCol w:w="3460"/>
        <w:gridCol w:w="3608"/>
      </w:tblGrid>
      <w:tr w:rsidR="000E5584" w:rsidRPr="00ED0F04" w:rsidTr="00BC0026">
        <w:trPr>
          <w:trHeight w:val="240"/>
          <w:tblHeader/>
        </w:trPr>
        <w:tc>
          <w:tcPr>
            <w:tcW w:w="765" w:type="pct"/>
            <w:shd w:val="clear" w:color="auto" w:fill="auto"/>
          </w:tcPr>
          <w:p w:rsidR="000E5584" w:rsidRPr="00ED0F04" w:rsidRDefault="000E5584" w:rsidP="00E70CAB">
            <w:pPr>
              <w:rPr>
                <w:rFonts w:ascii="Arial Narrow" w:hAnsi="Arial Narrow"/>
                <w:b/>
                <w:sz w:val="20"/>
              </w:rPr>
            </w:pPr>
            <w:r w:rsidRPr="00ED0F04">
              <w:rPr>
                <w:rFonts w:ascii="Arial Narrow" w:hAnsi="Arial Narrow"/>
                <w:b/>
                <w:sz w:val="20"/>
              </w:rPr>
              <w:t>Component</w:t>
            </w:r>
          </w:p>
        </w:tc>
        <w:tc>
          <w:tcPr>
            <w:tcW w:w="4235" w:type="pct"/>
            <w:gridSpan w:val="2"/>
            <w:shd w:val="clear" w:color="auto" w:fill="auto"/>
          </w:tcPr>
          <w:p w:rsidR="000E5584" w:rsidRPr="00ED0F04" w:rsidRDefault="000E5584" w:rsidP="00E70CAB">
            <w:pPr>
              <w:jc w:val="center"/>
              <w:rPr>
                <w:rFonts w:ascii="Arial Narrow" w:hAnsi="Arial Narrow"/>
                <w:b/>
                <w:sz w:val="20"/>
              </w:rPr>
            </w:pPr>
            <w:r w:rsidRPr="00ED0F04">
              <w:rPr>
                <w:rFonts w:ascii="Arial Narrow" w:hAnsi="Arial Narrow"/>
                <w:b/>
                <w:sz w:val="20"/>
              </w:rPr>
              <w:t>Summary</w:t>
            </w:r>
          </w:p>
        </w:tc>
      </w:tr>
      <w:tr w:rsidR="000E5584" w:rsidRPr="00ED0F04" w:rsidTr="00BC0026">
        <w:trPr>
          <w:trHeight w:val="225"/>
        </w:trPr>
        <w:tc>
          <w:tcPr>
            <w:tcW w:w="765" w:type="pct"/>
            <w:shd w:val="clear" w:color="auto" w:fill="auto"/>
          </w:tcPr>
          <w:p w:rsidR="000E5584" w:rsidRPr="00ED0F04" w:rsidRDefault="000E5584" w:rsidP="00E70CAB">
            <w:pPr>
              <w:rPr>
                <w:rFonts w:ascii="Arial Narrow" w:hAnsi="Arial Narrow"/>
                <w:sz w:val="20"/>
              </w:rPr>
            </w:pPr>
            <w:r w:rsidRPr="00ED0F04">
              <w:rPr>
                <w:rFonts w:ascii="Arial Narrow" w:hAnsi="Arial Narrow"/>
                <w:sz w:val="20"/>
              </w:rPr>
              <w:t>Time horizon</w:t>
            </w:r>
          </w:p>
        </w:tc>
        <w:tc>
          <w:tcPr>
            <w:tcW w:w="4235" w:type="pct"/>
            <w:gridSpan w:val="2"/>
            <w:shd w:val="clear" w:color="auto" w:fill="auto"/>
          </w:tcPr>
          <w:p w:rsidR="000E5584" w:rsidRPr="00ED0F04" w:rsidRDefault="000E5584" w:rsidP="00E70CAB">
            <w:pPr>
              <w:rPr>
                <w:rFonts w:ascii="Arial Narrow" w:hAnsi="Arial Narrow"/>
                <w:sz w:val="20"/>
              </w:rPr>
            </w:pPr>
            <w:r>
              <w:rPr>
                <w:rFonts w:ascii="Arial Narrow" w:hAnsi="Arial Narrow"/>
                <w:sz w:val="20"/>
              </w:rPr>
              <w:t>20</w:t>
            </w:r>
            <w:r w:rsidRPr="004A4DB0">
              <w:rPr>
                <w:rFonts w:ascii="Arial Narrow" w:hAnsi="Arial Narrow"/>
                <w:sz w:val="20"/>
              </w:rPr>
              <w:t xml:space="preserve"> years in</w:t>
            </w:r>
            <w:r>
              <w:rPr>
                <w:rFonts w:ascii="Arial Narrow" w:hAnsi="Arial Narrow"/>
                <w:sz w:val="20"/>
              </w:rPr>
              <w:t xml:space="preserve"> the model base case versus 3 years</w:t>
            </w:r>
            <w:r w:rsidRPr="004A4DB0">
              <w:rPr>
                <w:rFonts w:ascii="Arial Narrow" w:hAnsi="Arial Narrow"/>
                <w:sz w:val="20"/>
              </w:rPr>
              <w:t xml:space="preserve"> in trial</w:t>
            </w:r>
          </w:p>
        </w:tc>
      </w:tr>
      <w:tr w:rsidR="000E5584" w:rsidRPr="00ED0F04" w:rsidTr="00BC0026">
        <w:trPr>
          <w:trHeight w:val="70"/>
        </w:trPr>
        <w:tc>
          <w:tcPr>
            <w:tcW w:w="765" w:type="pct"/>
            <w:shd w:val="clear" w:color="auto" w:fill="auto"/>
          </w:tcPr>
          <w:p w:rsidR="000E5584" w:rsidRPr="00ED0F04" w:rsidRDefault="000E5584" w:rsidP="00E70CAB">
            <w:pPr>
              <w:rPr>
                <w:rFonts w:ascii="Arial Narrow" w:hAnsi="Arial Narrow"/>
                <w:sz w:val="20"/>
              </w:rPr>
            </w:pPr>
            <w:r w:rsidRPr="00ED0F04">
              <w:rPr>
                <w:rFonts w:ascii="Arial Narrow" w:hAnsi="Arial Narrow"/>
                <w:sz w:val="20"/>
              </w:rPr>
              <w:t>Outcomes</w:t>
            </w:r>
          </w:p>
        </w:tc>
        <w:tc>
          <w:tcPr>
            <w:tcW w:w="4235" w:type="pct"/>
            <w:gridSpan w:val="2"/>
            <w:shd w:val="clear" w:color="auto" w:fill="auto"/>
          </w:tcPr>
          <w:p w:rsidR="000E5584" w:rsidRPr="00ED0F04" w:rsidRDefault="000E5584" w:rsidP="00E70CAB">
            <w:pPr>
              <w:rPr>
                <w:rFonts w:ascii="Arial Narrow" w:hAnsi="Arial Narrow"/>
                <w:sz w:val="20"/>
              </w:rPr>
            </w:pPr>
            <w:r>
              <w:rPr>
                <w:rFonts w:ascii="Arial Narrow" w:hAnsi="Arial Narrow"/>
                <w:sz w:val="20"/>
              </w:rPr>
              <w:t>LYG and QALYs</w:t>
            </w:r>
          </w:p>
        </w:tc>
      </w:tr>
      <w:tr w:rsidR="000E5584" w:rsidRPr="00ED0F04" w:rsidTr="00BC0026">
        <w:trPr>
          <w:trHeight w:val="70"/>
        </w:trPr>
        <w:tc>
          <w:tcPr>
            <w:tcW w:w="765" w:type="pct"/>
            <w:shd w:val="clear" w:color="auto" w:fill="auto"/>
          </w:tcPr>
          <w:p w:rsidR="000E5584" w:rsidRPr="00ED0F04" w:rsidRDefault="000E5584" w:rsidP="00E70CAB">
            <w:pPr>
              <w:rPr>
                <w:rFonts w:ascii="Arial Narrow" w:hAnsi="Arial Narrow"/>
                <w:sz w:val="20"/>
              </w:rPr>
            </w:pPr>
            <w:r w:rsidRPr="00ED0F04">
              <w:rPr>
                <w:rFonts w:ascii="Arial Narrow" w:hAnsi="Arial Narrow"/>
                <w:sz w:val="20"/>
              </w:rPr>
              <w:t>Methods used to generate results</w:t>
            </w:r>
          </w:p>
        </w:tc>
        <w:tc>
          <w:tcPr>
            <w:tcW w:w="4235" w:type="pct"/>
            <w:gridSpan w:val="2"/>
            <w:shd w:val="clear" w:color="auto" w:fill="auto"/>
            <w:vAlign w:val="center"/>
          </w:tcPr>
          <w:p w:rsidR="000E5584" w:rsidRPr="00ED0F04" w:rsidRDefault="000E5584" w:rsidP="00E70CAB">
            <w:pPr>
              <w:jc w:val="left"/>
              <w:rPr>
                <w:rFonts w:ascii="Arial Narrow" w:hAnsi="Arial Narrow"/>
                <w:sz w:val="20"/>
              </w:rPr>
            </w:pPr>
            <w:r>
              <w:rPr>
                <w:rFonts w:ascii="Arial Narrow" w:hAnsi="Arial Narrow"/>
                <w:sz w:val="20"/>
              </w:rPr>
              <w:t>Cohort expected value analysis</w:t>
            </w:r>
          </w:p>
        </w:tc>
      </w:tr>
      <w:tr w:rsidR="000E5584" w:rsidRPr="00ED0F04" w:rsidTr="00BC0026">
        <w:trPr>
          <w:trHeight w:val="70"/>
        </w:trPr>
        <w:tc>
          <w:tcPr>
            <w:tcW w:w="765" w:type="pct"/>
            <w:vMerge w:val="restart"/>
            <w:shd w:val="clear" w:color="auto" w:fill="auto"/>
          </w:tcPr>
          <w:p w:rsidR="000E5584" w:rsidRPr="00ED0F04" w:rsidRDefault="000E5584" w:rsidP="00E70CAB">
            <w:pPr>
              <w:rPr>
                <w:rFonts w:ascii="Arial Narrow" w:hAnsi="Arial Narrow"/>
                <w:sz w:val="20"/>
              </w:rPr>
            </w:pPr>
            <w:r w:rsidRPr="00ED0F04">
              <w:rPr>
                <w:rFonts w:ascii="Arial Narrow" w:hAnsi="Arial Narrow"/>
                <w:sz w:val="20"/>
              </w:rPr>
              <w:t>Health states</w:t>
            </w:r>
          </w:p>
        </w:tc>
        <w:tc>
          <w:tcPr>
            <w:tcW w:w="4235" w:type="pct"/>
            <w:gridSpan w:val="2"/>
            <w:tcBorders>
              <w:bottom w:val="nil"/>
            </w:tcBorders>
            <w:shd w:val="clear" w:color="auto" w:fill="auto"/>
          </w:tcPr>
          <w:p w:rsidR="000E5584" w:rsidRPr="00ED0F04" w:rsidRDefault="000E5584" w:rsidP="00E70CAB">
            <w:pPr>
              <w:rPr>
                <w:rFonts w:ascii="Arial Narrow" w:hAnsi="Arial Narrow"/>
                <w:sz w:val="20"/>
              </w:rPr>
            </w:pPr>
            <w:r w:rsidRPr="00763885">
              <w:rPr>
                <w:rFonts w:ascii="Arial Narrow" w:hAnsi="Arial Narrow"/>
                <w:sz w:val="20"/>
              </w:rPr>
              <w:t>In the model, patients are cycled through the following health states over the modelled time horizon:</w:t>
            </w:r>
          </w:p>
        </w:tc>
      </w:tr>
      <w:tr w:rsidR="000E5584" w:rsidRPr="00ED0F04" w:rsidTr="00BC0026">
        <w:trPr>
          <w:trHeight w:val="682"/>
        </w:trPr>
        <w:tc>
          <w:tcPr>
            <w:tcW w:w="765" w:type="pct"/>
            <w:vMerge/>
            <w:shd w:val="clear" w:color="auto" w:fill="auto"/>
          </w:tcPr>
          <w:p w:rsidR="000E5584" w:rsidRPr="00ED0F04" w:rsidRDefault="000E5584" w:rsidP="00E70CAB">
            <w:pPr>
              <w:rPr>
                <w:rFonts w:ascii="Arial Narrow" w:hAnsi="Arial Narrow"/>
                <w:sz w:val="20"/>
              </w:rPr>
            </w:pPr>
          </w:p>
        </w:tc>
        <w:tc>
          <w:tcPr>
            <w:tcW w:w="2073" w:type="pct"/>
            <w:tcBorders>
              <w:top w:val="nil"/>
              <w:right w:val="nil"/>
            </w:tcBorders>
            <w:shd w:val="clear" w:color="auto" w:fill="auto"/>
          </w:tcPr>
          <w:p w:rsidR="000E5584" w:rsidRPr="00763885" w:rsidRDefault="000E5584" w:rsidP="000E5584">
            <w:pPr>
              <w:ind w:left="113" w:hanging="113"/>
              <w:rPr>
                <w:rFonts w:ascii="Arial Narrow" w:hAnsi="Arial Narrow"/>
                <w:sz w:val="20"/>
              </w:rPr>
            </w:pPr>
            <w:r w:rsidRPr="00763885">
              <w:rPr>
                <w:rFonts w:ascii="Arial Narrow" w:hAnsi="Arial Narrow"/>
                <w:sz w:val="20"/>
              </w:rPr>
              <w:t xml:space="preserve"> •</w:t>
            </w:r>
            <w:r w:rsidRPr="00763885">
              <w:rPr>
                <w:rFonts w:ascii="Arial Narrow" w:hAnsi="Arial Narrow"/>
                <w:sz w:val="20"/>
              </w:rPr>
              <w:tab/>
              <w:t>baseline state with controlled pain/fatigue</w:t>
            </w:r>
            <w:r>
              <w:rPr>
                <w:rFonts w:ascii="Arial Narrow" w:hAnsi="Arial Narrow"/>
                <w:sz w:val="20"/>
              </w:rPr>
              <w:t xml:space="preserve"> </w:t>
            </w:r>
          </w:p>
          <w:p w:rsidR="000E5584" w:rsidRPr="00763885" w:rsidRDefault="000E5584" w:rsidP="000E5584">
            <w:pPr>
              <w:ind w:left="113" w:hanging="113"/>
              <w:rPr>
                <w:rFonts w:ascii="Arial Narrow" w:hAnsi="Arial Narrow"/>
                <w:sz w:val="20"/>
              </w:rPr>
            </w:pPr>
            <w:r w:rsidRPr="00763885">
              <w:rPr>
                <w:rFonts w:ascii="Arial Narrow" w:hAnsi="Arial Narrow"/>
                <w:sz w:val="20"/>
              </w:rPr>
              <w:t>•</w:t>
            </w:r>
            <w:r w:rsidRPr="00763885">
              <w:rPr>
                <w:rFonts w:ascii="Arial Narrow" w:hAnsi="Arial Narrow"/>
                <w:sz w:val="20"/>
              </w:rPr>
              <w:tab/>
              <w:t>spleen response with controlled pain/fatigue</w:t>
            </w:r>
          </w:p>
          <w:p w:rsidR="000E5584" w:rsidRPr="00763885" w:rsidRDefault="000E5584" w:rsidP="000E5584">
            <w:pPr>
              <w:ind w:left="113" w:hanging="113"/>
              <w:rPr>
                <w:rFonts w:ascii="Arial Narrow" w:hAnsi="Arial Narrow"/>
                <w:sz w:val="20"/>
              </w:rPr>
            </w:pPr>
            <w:r w:rsidRPr="00763885">
              <w:rPr>
                <w:rFonts w:ascii="Arial Narrow" w:hAnsi="Arial Narrow"/>
                <w:sz w:val="20"/>
              </w:rPr>
              <w:t>•</w:t>
            </w:r>
            <w:r w:rsidRPr="00763885">
              <w:rPr>
                <w:rFonts w:ascii="Arial Narrow" w:hAnsi="Arial Narrow"/>
                <w:sz w:val="20"/>
              </w:rPr>
              <w:tab/>
              <w:t>no spleen response but controlled pain/fatigue</w:t>
            </w:r>
          </w:p>
          <w:p w:rsidR="000E5584" w:rsidRPr="00763885" w:rsidRDefault="000E5584" w:rsidP="000E5584">
            <w:pPr>
              <w:ind w:left="113" w:hanging="113"/>
              <w:rPr>
                <w:rFonts w:ascii="Arial Narrow" w:hAnsi="Arial Narrow"/>
                <w:sz w:val="20"/>
              </w:rPr>
            </w:pPr>
            <w:r w:rsidRPr="00763885">
              <w:rPr>
                <w:rFonts w:ascii="Arial Narrow" w:hAnsi="Arial Narrow"/>
                <w:sz w:val="20"/>
              </w:rPr>
              <w:t>•</w:t>
            </w:r>
            <w:r w:rsidRPr="00763885">
              <w:rPr>
                <w:rFonts w:ascii="Arial Narrow" w:hAnsi="Arial Narrow"/>
                <w:sz w:val="20"/>
              </w:rPr>
              <w:tab/>
              <w:t>dead</w:t>
            </w:r>
          </w:p>
        </w:tc>
        <w:tc>
          <w:tcPr>
            <w:tcW w:w="2162" w:type="pct"/>
            <w:tcBorders>
              <w:top w:val="nil"/>
              <w:left w:val="nil"/>
            </w:tcBorders>
            <w:shd w:val="clear" w:color="auto" w:fill="auto"/>
          </w:tcPr>
          <w:p w:rsidR="000E5584" w:rsidRPr="00754E26" w:rsidRDefault="000E5584" w:rsidP="0038586B">
            <w:pPr>
              <w:pStyle w:val="ListParagraph"/>
              <w:tabs>
                <w:tab w:val="left" w:pos="126"/>
              </w:tabs>
              <w:ind w:left="113"/>
              <w:rPr>
                <w:rFonts w:ascii="Arial Narrow" w:hAnsi="Arial Narrow"/>
                <w:sz w:val="20"/>
              </w:rPr>
            </w:pPr>
          </w:p>
        </w:tc>
      </w:tr>
      <w:tr w:rsidR="000E5584" w:rsidRPr="00ED0F04" w:rsidTr="00BC0026">
        <w:trPr>
          <w:trHeight w:val="240"/>
        </w:trPr>
        <w:tc>
          <w:tcPr>
            <w:tcW w:w="765" w:type="pct"/>
            <w:shd w:val="clear" w:color="auto" w:fill="auto"/>
          </w:tcPr>
          <w:p w:rsidR="000E5584" w:rsidRPr="00ED0F04" w:rsidRDefault="000E5584" w:rsidP="00E70CAB">
            <w:pPr>
              <w:rPr>
                <w:rFonts w:ascii="Arial Narrow" w:hAnsi="Arial Narrow"/>
                <w:sz w:val="20"/>
              </w:rPr>
            </w:pPr>
            <w:r w:rsidRPr="00ED0F04">
              <w:rPr>
                <w:rFonts w:ascii="Arial Narrow" w:hAnsi="Arial Narrow"/>
                <w:sz w:val="20"/>
              </w:rPr>
              <w:t>Cycle length</w:t>
            </w:r>
          </w:p>
        </w:tc>
        <w:tc>
          <w:tcPr>
            <w:tcW w:w="4235" w:type="pct"/>
            <w:gridSpan w:val="2"/>
            <w:shd w:val="clear" w:color="auto" w:fill="auto"/>
          </w:tcPr>
          <w:p w:rsidR="000E5584" w:rsidRPr="00ED0F04" w:rsidRDefault="000E5584" w:rsidP="00E70CAB">
            <w:pPr>
              <w:rPr>
                <w:rFonts w:ascii="Arial Narrow" w:hAnsi="Arial Narrow"/>
                <w:sz w:val="20"/>
              </w:rPr>
            </w:pPr>
            <w:r>
              <w:rPr>
                <w:rFonts w:ascii="Arial Narrow" w:hAnsi="Arial Narrow"/>
                <w:sz w:val="20"/>
              </w:rPr>
              <w:t>24 weeks/44 cycles</w:t>
            </w:r>
          </w:p>
        </w:tc>
      </w:tr>
      <w:tr w:rsidR="000E5584" w:rsidRPr="00ED0F04" w:rsidTr="00BC0026">
        <w:trPr>
          <w:trHeight w:val="70"/>
        </w:trPr>
        <w:tc>
          <w:tcPr>
            <w:tcW w:w="765" w:type="pct"/>
            <w:shd w:val="clear" w:color="auto" w:fill="auto"/>
          </w:tcPr>
          <w:p w:rsidR="000E5584" w:rsidRPr="00ED0F04" w:rsidRDefault="000E5584" w:rsidP="00E70CAB">
            <w:pPr>
              <w:rPr>
                <w:rFonts w:ascii="Arial Narrow" w:hAnsi="Arial Narrow"/>
                <w:sz w:val="20"/>
              </w:rPr>
            </w:pPr>
            <w:r w:rsidRPr="00ED0F04">
              <w:rPr>
                <w:rFonts w:ascii="Arial Narrow" w:hAnsi="Arial Narrow"/>
                <w:sz w:val="20"/>
              </w:rPr>
              <w:t>Transition probabilities</w:t>
            </w:r>
          </w:p>
        </w:tc>
        <w:tc>
          <w:tcPr>
            <w:tcW w:w="4235" w:type="pct"/>
            <w:gridSpan w:val="2"/>
            <w:shd w:val="clear" w:color="auto" w:fill="auto"/>
          </w:tcPr>
          <w:p w:rsidR="000E5584" w:rsidRPr="00ED0F04" w:rsidRDefault="000E5584" w:rsidP="00140E08">
            <w:pPr>
              <w:rPr>
                <w:rFonts w:ascii="Arial Narrow" w:hAnsi="Arial Narrow"/>
                <w:sz w:val="20"/>
              </w:rPr>
            </w:pPr>
            <w:r>
              <w:rPr>
                <w:rFonts w:ascii="Arial Narrow" w:hAnsi="Arial Narrow"/>
                <w:sz w:val="20"/>
              </w:rPr>
              <w:t>Derived from the COMFORT I trial using individual patient data (IPD) and following the per protocol principle</w:t>
            </w:r>
            <w:r w:rsidR="00140E08">
              <w:rPr>
                <w:rFonts w:ascii="Arial Narrow" w:hAnsi="Arial Narrow"/>
                <w:sz w:val="20"/>
              </w:rPr>
              <w:t>.</w:t>
            </w:r>
            <w:r>
              <w:rPr>
                <w:rFonts w:ascii="Arial Narrow" w:hAnsi="Arial Narrow"/>
                <w:sz w:val="20"/>
              </w:rPr>
              <w:t xml:space="preserve"> </w:t>
            </w:r>
          </w:p>
        </w:tc>
      </w:tr>
    </w:tbl>
    <w:p w:rsidR="00D06FD4" w:rsidRPr="00275C5A" w:rsidRDefault="00D06FD4" w:rsidP="000E5584">
      <w:pPr>
        <w:pStyle w:val="TableFooter"/>
        <w:ind w:firstLine="720"/>
      </w:pPr>
      <w:r w:rsidRPr="00275C5A">
        <w:t xml:space="preserve">Source: </w:t>
      </w:r>
      <w:r w:rsidR="000E5584">
        <w:t xml:space="preserve">Table 3, July 2014 commentary </w:t>
      </w:r>
    </w:p>
    <w:p w:rsidR="00275C5A" w:rsidRPr="00275C5A" w:rsidRDefault="00275C5A" w:rsidP="00275C5A">
      <w:pPr>
        <w:widowControl/>
        <w:rPr>
          <w:szCs w:val="22"/>
        </w:rPr>
      </w:pPr>
    </w:p>
    <w:p w:rsidR="00D06FD4" w:rsidRPr="000E5584" w:rsidRDefault="00D06FD4" w:rsidP="0031597E">
      <w:pPr>
        <w:pStyle w:val="ListParagraph"/>
        <w:widowControl/>
        <w:rPr>
          <w:rStyle w:val="CommentReference"/>
          <w:rFonts w:ascii="Arial" w:hAnsi="Arial"/>
          <w:b w:val="0"/>
          <w:sz w:val="22"/>
          <w:szCs w:val="22"/>
        </w:rPr>
      </w:pPr>
      <w:r w:rsidRPr="00A56B6A">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Key dirvers of the economic model"/>
      </w:tblPr>
      <w:tblGrid>
        <w:gridCol w:w="1701"/>
        <w:gridCol w:w="4394"/>
        <w:gridCol w:w="2250"/>
      </w:tblGrid>
      <w:tr w:rsidR="00D06FD4" w:rsidRPr="00E2771E" w:rsidTr="00BC0026">
        <w:trPr>
          <w:tblHeader/>
        </w:trPr>
        <w:tc>
          <w:tcPr>
            <w:tcW w:w="1019" w:type="pct"/>
            <w:shd w:val="clear" w:color="auto" w:fill="auto"/>
            <w:vAlign w:val="center"/>
          </w:tcPr>
          <w:p w:rsidR="00D06FD4" w:rsidRPr="00E2771E" w:rsidRDefault="00D06FD4" w:rsidP="00D06FD4">
            <w:pPr>
              <w:jc w:val="left"/>
              <w:rPr>
                <w:rFonts w:ascii="Arial Narrow" w:hAnsi="Arial Narrow"/>
                <w:b/>
                <w:sz w:val="20"/>
                <w:lang w:val="en-US"/>
              </w:rPr>
            </w:pPr>
            <w:r w:rsidRPr="00E2771E">
              <w:rPr>
                <w:rFonts w:ascii="Arial Narrow" w:hAnsi="Arial Narrow"/>
                <w:b/>
                <w:sz w:val="20"/>
                <w:lang w:val="en-US"/>
              </w:rPr>
              <w:t>Description</w:t>
            </w:r>
          </w:p>
        </w:tc>
        <w:tc>
          <w:tcPr>
            <w:tcW w:w="2633" w:type="pct"/>
            <w:shd w:val="clear" w:color="auto" w:fill="auto"/>
            <w:vAlign w:val="center"/>
          </w:tcPr>
          <w:p w:rsidR="00D06FD4" w:rsidRPr="00E2771E" w:rsidRDefault="00D06FD4" w:rsidP="00D06FD4">
            <w:pPr>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D06FD4" w:rsidRPr="00E2771E" w:rsidRDefault="00D06FD4" w:rsidP="00D06FD4">
            <w:pPr>
              <w:jc w:val="center"/>
              <w:rPr>
                <w:rFonts w:ascii="Arial Narrow" w:hAnsi="Arial Narrow"/>
                <w:b/>
                <w:sz w:val="20"/>
                <w:lang w:val="en-US"/>
              </w:rPr>
            </w:pPr>
            <w:r w:rsidRPr="00E2771E">
              <w:rPr>
                <w:rFonts w:ascii="Arial Narrow" w:hAnsi="Arial Narrow"/>
                <w:b/>
                <w:sz w:val="20"/>
                <w:lang w:val="en-US"/>
              </w:rPr>
              <w:t>Impact</w:t>
            </w:r>
          </w:p>
        </w:tc>
      </w:tr>
      <w:tr w:rsidR="00D06FD4" w:rsidRPr="00E2771E" w:rsidTr="00BC0026">
        <w:tc>
          <w:tcPr>
            <w:tcW w:w="1019" w:type="pct"/>
            <w:shd w:val="clear" w:color="auto" w:fill="auto"/>
            <w:vAlign w:val="center"/>
          </w:tcPr>
          <w:p w:rsidR="00D06FD4" w:rsidRPr="00E2771E" w:rsidRDefault="000E5584" w:rsidP="00D06FD4">
            <w:pPr>
              <w:jc w:val="left"/>
              <w:rPr>
                <w:rFonts w:ascii="Arial Narrow" w:hAnsi="Arial Narrow"/>
                <w:sz w:val="20"/>
                <w:lang w:val="en-US"/>
              </w:rPr>
            </w:pPr>
            <w:r>
              <w:rPr>
                <w:rFonts w:ascii="Arial Narrow" w:hAnsi="Arial Narrow"/>
                <w:sz w:val="20"/>
                <w:lang w:val="en-US"/>
              </w:rPr>
              <w:t>Cost of ruxolitinib</w:t>
            </w:r>
          </w:p>
        </w:tc>
        <w:tc>
          <w:tcPr>
            <w:tcW w:w="2633" w:type="pct"/>
            <w:shd w:val="clear" w:color="auto" w:fill="auto"/>
            <w:vAlign w:val="center"/>
          </w:tcPr>
          <w:p w:rsidR="00D06FD4" w:rsidRPr="00E2771E" w:rsidRDefault="000E5584" w:rsidP="000E5584">
            <w:pPr>
              <w:jc w:val="left"/>
              <w:rPr>
                <w:rFonts w:ascii="Arial Narrow" w:hAnsi="Arial Narrow"/>
                <w:sz w:val="20"/>
                <w:lang w:val="en-US"/>
              </w:rPr>
            </w:pPr>
            <w:r>
              <w:rPr>
                <w:rFonts w:ascii="Arial Narrow" w:hAnsi="Arial Narrow"/>
                <w:sz w:val="20"/>
                <w:lang w:val="en-US"/>
              </w:rPr>
              <w:t>Changing cost of ruxolitinib rebate significantly changes cost effectiveness</w:t>
            </w:r>
          </w:p>
        </w:tc>
        <w:tc>
          <w:tcPr>
            <w:tcW w:w="1348" w:type="pct"/>
            <w:shd w:val="clear" w:color="auto" w:fill="auto"/>
            <w:vAlign w:val="center"/>
          </w:tcPr>
          <w:p w:rsidR="00D06FD4" w:rsidRPr="00E2771E" w:rsidRDefault="00D06FD4" w:rsidP="000E5584">
            <w:pPr>
              <w:jc w:val="center"/>
              <w:rPr>
                <w:rFonts w:ascii="Arial Narrow" w:hAnsi="Arial Narrow"/>
                <w:sz w:val="20"/>
                <w:lang w:val="en-US"/>
              </w:rPr>
            </w:pPr>
            <w:r w:rsidRPr="00E2771E">
              <w:rPr>
                <w:rFonts w:ascii="Arial Narrow" w:hAnsi="Arial Narrow"/>
                <w:sz w:val="20"/>
                <w:lang w:val="en-US"/>
              </w:rPr>
              <w:t>High</w:t>
            </w:r>
          </w:p>
        </w:tc>
      </w:tr>
      <w:tr w:rsidR="00D06FD4" w:rsidRPr="00E2771E" w:rsidTr="00BC0026">
        <w:tc>
          <w:tcPr>
            <w:tcW w:w="1019" w:type="pct"/>
            <w:shd w:val="clear" w:color="auto" w:fill="auto"/>
            <w:vAlign w:val="center"/>
          </w:tcPr>
          <w:p w:rsidR="00D06FD4" w:rsidRPr="00E2771E" w:rsidRDefault="000E5584" w:rsidP="00D06FD4">
            <w:pPr>
              <w:jc w:val="left"/>
              <w:rPr>
                <w:rFonts w:ascii="Arial Narrow" w:hAnsi="Arial Narrow"/>
                <w:sz w:val="20"/>
                <w:lang w:val="en-US"/>
              </w:rPr>
            </w:pPr>
            <w:r>
              <w:rPr>
                <w:rFonts w:ascii="Arial Narrow" w:hAnsi="Arial Narrow"/>
                <w:sz w:val="20"/>
                <w:lang w:val="en-US"/>
              </w:rPr>
              <w:t>Discontinuation</w:t>
            </w:r>
          </w:p>
        </w:tc>
        <w:tc>
          <w:tcPr>
            <w:tcW w:w="2633" w:type="pct"/>
            <w:shd w:val="clear" w:color="auto" w:fill="auto"/>
            <w:vAlign w:val="center"/>
          </w:tcPr>
          <w:p w:rsidR="00D06FD4" w:rsidRPr="00E2771E" w:rsidRDefault="000E5584" w:rsidP="00FA4E73">
            <w:pPr>
              <w:rPr>
                <w:rFonts w:ascii="Arial Narrow" w:hAnsi="Arial Narrow"/>
                <w:sz w:val="20"/>
                <w:lang w:val="en-US"/>
              </w:rPr>
            </w:pPr>
            <w:r>
              <w:rPr>
                <w:rFonts w:ascii="Arial Narrow" w:hAnsi="Arial Narrow"/>
                <w:sz w:val="20"/>
                <w:lang w:val="en-US"/>
              </w:rPr>
              <w:t xml:space="preserve">The re-submission assumes that patients with no spleen response and uncontrolled pain and fatigue will discontinue treatment.  However, in these patients, COMFORT-I showed that there is a 24% chance for the patient to return to a state with controlled pain and fatigue (with or without splenic response) and, given the lack of alternatives and lack of discontinuation criteria in the proposed restriction, </w:t>
            </w:r>
            <w:r w:rsidR="00FA4E73">
              <w:rPr>
                <w:rFonts w:ascii="Arial Narrow" w:hAnsi="Arial Narrow"/>
                <w:sz w:val="20"/>
                <w:lang w:val="en-US"/>
              </w:rPr>
              <w:t xml:space="preserve">the ESC considered </w:t>
            </w:r>
            <w:r>
              <w:rPr>
                <w:rFonts w:ascii="Arial Narrow" w:hAnsi="Arial Narrow"/>
                <w:sz w:val="20"/>
                <w:lang w:val="en-US"/>
              </w:rPr>
              <w:t xml:space="preserve">discontinuation </w:t>
            </w:r>
            <w:r w:rsidR="00FA4E73">
              <w:rPr>
                <w:rFonts w:ascii="Arial Narrow" w:hAnsi="Arial Narrow"/>
                <w:sz w:val="20"/>
                <w:lang w:val="en-US"/>
              </w:rPr>
              <w:t>to</w:t>
            </w:r>
            <w:r>
              <w:rPr>
                <w:rFonts w:ascii="Arial Narrow" w:hAnsi="Arial Narrow"/>
                <w:sz w:val="20"/>
                <w:lang w:val="en-US"/>
              </w:rPr>
              <w:t xml:space="preserve"> be unreasonable. </w:t>
            </w:r>
          </w:p>
        </w:tc>
        <w:tc>
          <w:tcPr>
            <w:tcW w:w="1348" w:type="pct"/>
            <w:shd w:val="clear" w:color="auto" w:fill="auto"/>
            <w:vAlign w:val="center"/>
          </w:tcPr>
          <w:p w:rsidR="00D06FD4" w:rsidRPr="00E2771E" w:rsidRDefault="000E5584" w:rsidP="00D06FD4">
            <w:pPr>
              <w:jc w:val="center"/>
              <w:rPr>
                <w:rFonts w:ascii="Arial Narrow" w:hAnsi="Arial Narrow"/>
                <w:sz w:val="20"/>
                <w:lang w:val="en-US"/>
              </w:rPr>
            </w:pPr>
            <w:r>
              <w:rPr>
                <w:rFonts w:ascii="Arial Narrow" w:hAnsi="Arial Narrow"/>
                <w:sz w:val="20"/>
                <w:lang w:val="en-US"/>
              </w:rPr>
              <w:t xml:space="preserve">Moderate, favours </w:t>
            </w:r>
            <w:r w:rsidR="009A3D87">
              <w:rPr>
                <w:rFonts w:ascii="Arial Narrow" w:hAnsi="Arial Narrow"/>
                <w:sz w:val="20"/>
                <w:lang w:val="en-US"/>
              </w:rPr>
              <w:t>ruxolitinib</w:t>
            </w:r>
            <w:r>
              <w:rPr>
                <w:rFonts w:ascii="Arial Narrow" w:hAnsi="Arial Narrow"/>
                <w:sz w:val="20"/>
                <w:lang w:val="en-US"/>
              </w:rPr>
              <w:t>.</w:t>
            </w:r>
          </w:p>
        </w:tc>
      </w:tr>
      <w:tr w:rsidR="00D06FD4" w:rsidRPr="00E2771E" w:rsidTr="00BC0026">
        <w:tc>
          <w:tcPr>
            <w:tcW w:w="1019" w:type="pct"/>
            <w:shd w:val="clear" w:color="auto" w:fill="auto"/>
            <w:vAlign w:val="center"/>
          </w:tcPr>
          <w:p w:rsidR="00D06FD4" w:rsidRPr="00E2771E" w:rsidRDefault="000E5584" w:rsidP="00D06FD4">
            <w:pPr>
              <w:jc w:val="left"/>
              <w:rPr>
                <w:rFonts w:ascii="Arial Narrow" w:hAnsi="Arial Narrow"/>
                <w:sz w:val="20"/>
                <w:lang w:val="en-US"/>
              </w:rPr>
            </w:pPr>
            <w:r>
              <w:rPr>
                <w:rFonts w:ascii="Arial Narrow" w:hAnsi="Arial Narrow"/>
                <w:sz w:val="20"/>
                <w:lang w:val="en-US"/>
              </w:rPr>
              <w:t>Proportion of patients crossing over to ruxolitinib with uncontrolled pain/fatigue</w:t>
            </w:r>
          </w:p>
        </w:tc>
        <w:tc>
          <w:tcPr>
            <w:tcW w:w="2633" w:type="pct"/>
            <w:shd w:val="clear" w:color="auto" w:fill="auto"/>
            <w:vAlign w:val="center"/>
          </w:tcPr>
          <w:p w:rsidR="00D06FD4" w:rsidRPr="00E2771E" w:rsidRDefault="000E5584" w:rsidP="006346AB">
            <w:pPr>
              <w:rPr>
                <w:rFonts w:ascii="Arial Narrow" w:hAnsi="Arial Narrow"/>
                <w:sz w:val="20"/>
                <w:lang w:val="en-US"/>
              </w:rPr>
            </w:pPr>
            <w:r>
              <w:rPr>
                <w:rFonts w:ascii="Arial Narrow" w:hAnsi="Arial Narrow"/>
                <w:sz w:val="20"/>
                <w:lang w:val="en-US"/>
              </w:rPr>
              <w:t>Base case assumes 80% of patients who crossed over from placebo to ruxolitinib in COMFORT-I had uncontrolled pain/fatigue.  The model is not very sensitive to minor changes (such as decreasing to 50%)</w:t>
            </w:r>
            <w:r w:rsidR="006346AB">
              <w:rPr>
                <w:rFonts w:ascii="Arial Narrow" w:hAnsi="Arial Narrow"/>
                <w:sz w:val="20"/>
                <w:lang w:val="en-US"/>
              </w:rPr>
              <w:t>.</w:t>
            </w:r>
          </w:p>
        </w:tc>
        <w:tc>
          <w:tcPr>
            <w:tcW w:w="1348" w:type="pct"/>
            <w:shd w:val="clear" w:color="auto" w:fill="auto"/>
            <w:vAlign w:val="center"/>
          </w:tcPr>
          <w:p w:rsidR="00D06FD4" w:rsidRPr="00E2771E" w:rsidRDefault="000E5584" w:rsidP="00D06FD4">
            <w:pPr>
              <w:jc w:val="center"/>
              <w:rPr>
                <w:rFonts w:ascii="Arial Narrow" w:hAnsi="Arial Narrow"/>
                <w:sz w:val="20"/>
                <w:lang w:val="en-US"/>
              </w:rPr>
            </w:pPr>
            <w:r>
              <w:rPr>
                <w:rFonts w:ascii="Arial Narrow" w:hAnsi="Arial Narrow"/>
                <w:sz w:val="20"/>
                <w:lang w:val="en-US"/>
              </w:rPr>
              <w:t xml:space="preserve">Minor </w:t>
            </w:r>
          </w:p>
        </w:tc>
      </w:tr>
      <w:tr w:rsidR="00D06FD4" w:rsidRPr="00E2771E" w:rsidTr="00BC0026">
        <w:tc>
          <w:tcPr>
            <w:tcW w:w="1019" w:type="pct"/>
            <w:shd w:val="clear" w:color="auto" w:fill="auto"/>
            <w:vAlign w:val="center"/>
          </w:tcPr>
          <w:p w:rsidR="00D06FD4" w:rsidRPr="00E2771E" w:rsidRDefault="00656BC1" w:rsidP="00D06FD4">
            <w:pPr>
              <w:jc w:val="left"/>
              <w:rPr>
                <w:rFonts w:ascii="Arial Narrow" w:hAnsi="Arial Narrow"/>
                <w:sz w:val="20"/>
                <w:lang w:val="en-US"/>
              </w:rPr>
            </w:pPr>
            <w:r>
              <w:rPr>
                <w:rFonts w:ascii="Arial Narrow" w:hAnsi="Arial Narrow"/>
                <w:sz w:val="20"/>
                <w:lang w:val="en-US"/>
              </w:rPr>
              <w:t>Risk category according to IPSS</w:t>
            </w:r>
          </w:p>
        </w:tc>
        <w:tc>
          <w:tcPr>
            <w:tcW w:w="2633" w:type="pct"/>
            <w:shd w:val="clear" w:color="auto" w:fill="auto"/>
            <w:vAlign w:val="center"/>
          </w:tcPr>
          <w:p w:rsidR="00D06FD4" w:rsidRPr="00E2771E" w:rsidRDefault="00656BC1" w:rsidP="00656BC1">
            <w:pPr>
              <w:rPr>
                <w:rFonts w:ascii="Arial Narrow" w:hAnsi="Arial Narrow"/>
                <w:sz w:val="20"/>
                <w:lang w:val="en-US"/>
              </w:rPr>
            </w:pPr>
            <w:r>
              <w:rPr>
                <w:rFonts w:ascii="Arial Narrow" w:hAnsi="Arial Narrow"/>
                <w:sz w:val="20"/>
                <w:lang w:val="en-US"/>
              </w:rPr>
              <w:t xml:space="preserve">Intermediate-2 or high risk patients have a lower ICER compared to intermediate-1 patients in the model, as intermediate-1 patients have a lower baseline mortality rate.  The re-submission assumes only </w:t>
            </w:r>
            <w:r w:rsidR="00023DE7">
              <w:rPr>
                <w:rFonts w:ascii="Arial Narrow" w:hAnsi="Arial Narrow"/>
                <w:noProof/>
                <w:color w:val="000000"/>
                <w:sz w:val="20"/>
                <w:highlight w:val="black"/>
                <w:lang w:val="en-US"/>
              </w:rPr>
              <w:t>'''''</w:t>
            </w:r>
            <w:r>
              <w:rPr>
                <w:rFonts w:ascii="Arial Narrow" w:hAnsi="Arial Narrow"/>
                <w:sz w:val="20"/>
                <w:lang w:val="en-US"/>
              </w:rPr>
              <w:t xml:space="preserve">% of all patients using ruxolitinib are intermediate-1 patients, but as this proportion increases, the ICER will also increase </w:t>
            </w:r>
          </w:p>
        </w:tc>
        <w:tc>
          <w:tcPr>
            <w:tcW w:w="1348" w:type="pct"/>
            <w:shd w:val="clear" w:color="auto" w:fill="auto"/>
            <w:vAlign w:val="center"/>
          </w:tcPr>
          <w:p w:rsidR="00D06FD4" w:rsidRPr="00E2771E" w:rsidRDefault="00656BC1" w:rsidP="00D06FD4">
            <w:pPr>
              <w:jc w:val="center"/>
              <w:rPr>
                <w:rFonts w:ascii="Arial Narrow" w:hAnsi="Arial Narrow"/>
                <w:sz w:val="20"/>
                <w:lang w:val="en-US"/>
              </w:rPr>
            </w:pPr>
            <w:r>
              <w:rPr>
                <w:rFonts w:ascii="Arial Narrow" w:hAnsi="Arial Narrow"/>
                <w:sz w:val="20"/>
                <w:lang w:val="en-US"/>
              </w:rPr>
              <w:t>Moderate</w:t>
            </w:r>
          </w:p>
        </w:tc>
      </w:tr>
    </w:tbl>
    <w:p w:rsidR="00D110BD" w:rsidRPr="00E076C5" w:rsidRDefault="00D06FD4" w:rsidP="00E076C5">
      <w:pPr>
        <w:pStyle w:val="TableFooter"/>
        <w:ind w:firstLine="720"/>
        <w:rPr>
          <w:sz w:val="20"/>
        </w:rPr>
      </w:pPr>
      <w:r w:rsidRPr="00852889">
        <w:rPr>
          <w:sz w:val="20"/>
        </w:rPr>
        <w:t>Source: compiled during the evaluation</w:t>
      </w:r>
    </w:p>
    <w:p w:rsidR="0039379D" w:rsidRDefault="0039379D">
      <w:pPr>
        <w:widowControl/>
        <w:jc w:val="left"/>
        <w:rPr>
          <w:rStyle w:val="CommentReference"/>
        </w:rPr>
      </w:pPr>
      <w:r>
        <w:rPr>
          <w:rStyle w:val="CommentReference"/>
        </w:rPr>
        <w:br w:type="page"/>
      </w:r>
    </w:p>
    <w:p w:rsidR="005428BF" w:rsidRDefault="005428BF" w:rsidP="005428BF">
      <w:pPr>
        <w:pStyle w:val="ListParagraph"/>
        <w:widowControl/>
        <w:rPr>
          <w:rStyle w:val="CommentReference"/>
        </w:rPr>
      </w:pPr>
    </w:p>
    <w:p w:rsidR="002570C5" w:rsidRPr="00656BC1" w:rsidRDefault="002570C5" w:rsidP="005428BF">
      <w:pPr>
        <w:pStyle w:val="ListParagraph"/>
        <w:widowControl/>
        <w:rPr>
          <w:rStyle w:val="CommentReference"/>
          <w:rFonts w:ascii="Arial" w:hAnsi="Arial"/>
          <w:b w:val="0"/>
          <w:sz w:val="22"/>
          <w:szCs w:val="22"/>
        </w:rPr>
      </w:pPr>
      <w:r w:rsidRPr="001222FC">
        <w:rPr>
          <w:rStyle w:val="CommentReference"/>
        </w:rPr>
        <w:t>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Economic evaluation results"/>
      </w:tblPr>
      <w:tblGrid>
        <w:gridCol w:w="2552"/>
        <w:gridCol w:w="2268"/>
        <w:gridCol w:w="2126"/>
        <w:gridCol w:w="1399"/>
      </w:tblGrid>
      <w:tr w:rsidR="002570C5" w:rsidRPr="00E2771E" w:rsidTr="00BC0026">
        <w:trPr>
          <w:tblHeader/>
        </w:trPr>
        <w:tc>
          <w:tcPr>
            <w:tcW w:w="5000" w:type="pct"/>
            <w:gridSpan w:val="4"/>
            <w:vAlign w:val="center"/>
          </w:tcPr>
          <w:p w:rsidR="002570C5" w:rsidRPr="00E2771E" w:rsidRDefault="00656BC1" w:rsidP="00DB4467">
            <w:pPr>
              <w:pStyle w:val="TableHeading"/>
              <w:widowControl w:val="0"/>
              <w:spacing w:before="0" w:after="0"/>
              <w:rPr>
                <w:snapToGrid w:val="0"/>
              </w:rPr>
            </w:pPr>
            <w:r>
              <w:rPr>
                <w:snapToGrid w:val="0"/>
              </w:rPr>
              <w:t>M</w:t>
            </w:r>
            <w:r w:rsidR="002570C5" w:rsidRPr="00E2771E">
              <w:rPr>
                <w:snapToGrid w:val="0"/>
              </w:rPr>
              <w:t>odelled evaluation (specify which parameters have changed)</w:t>
            </w:r>
          </w:p>
        </w:tc>
      </w:tr>
      <w:tr w:rsidR="00656BC1" w:rsidRPr="00E2771E" w:rsidTr="00BC0026">
        <w:tc>
          <w:tcPr>
            <w:tcW w:w="5000" w:type="pct"/>
            <w:gridSpan w:val="4"/>
            <w:vAlign w:val="center"/>
          </w:tcPr>
          <w:p w:rsidR="00656BC1" w:rsidRPr="00656BC1" w:rsidRDefault="00656BC1" w:rsidP="00656BC1">
            <w:pPr>
              <w:jc w:val="left"/>
              <w:rPr>
                <w:rFonts w:ascii="Arial Narrow" w:hAnsi="Arial Narrow"/>
                <w:b/>
                <w:bCs/>
                <w:sz w:val="20"/>
              </w:rPr>
            </w:pPr>
            <w:r w:rsidRPr="00656BC1">
              <w:rPr>
                <w:rFonts w:ascii="Arial Narrow" w:hAnsi="Arial Narrow"/>
                <w:b/>
                <w:bCs/>
                <w:sz w:val="20"/>
              </w:rPr>
              <w:t>Intermediate-1 patients</w:t>
            </w:r>
          </w:p>
        </w:tc>
      </w:tr>
      <w:tr w:rsidR="00656BC1" w:rsidRPr="00E2771E" w:rsidTr="00BC0026">
        <w:tc>
          <w:tcPr>
            <w:tcW w:w="1529" w:type="pct"/>
            <w:vAlign w:val="center"/>
          </w:tcPr>
          <w:p w:rsidR="00656BC1" w:rsidRPr="00E2771E" w:rsidRDefault="00656BC1" w:rsidP="00DB4467">
            <w:pPr>
              <w:jc w:val="left"/>
              <w:rPr>
                <w:rFonts w:ascii="Arial Narrow" w:hAnsi="Arial Narrow"/>
                <w:sz w:val="20"/>
              </w:rPr>
            </w:pPr>
          </w:p>
        </w:tc>
        <w:tc>
          <w:tcPr>
            <w:tcW w:w="1359" w:type="pct"/>
            <w:shd w:val="clear" w:color="auto" w:fill="auto"/>
            <w:vAlign w:val="center"/>
          </w:tcPr>
          <w:p w:rsidR="00656BC1" w:rsidRPr="00E37DFB" w:rsidRDefault="00656BC1" w:rsidP="00DB4467">
            <w:pPr>
              <w:jc w:val="center"/>
              <w:rPr>
                <w:rFonts w:ascii="Arial Narrow" w:hAnsi="Arial Narrow"/>
                <w:sz w:val="20"/>
              </w:rPr>
            </w:pPr>
            <w:r w:rsidRPr="00E37DFB">
              <w:rPr>
                <w:rFonts w:ascii="Arial Narrow" w:hAnsi="Arial Narrow"/>
                <w:sz w:val="20"/>
              </w:rPr>
              <w:t>Ruxolitinib</w:t>
            </w:r>
          </w:p>
        </w:tc>
        <w:tc>
          <w:tcPr>
            <w:tcW w:w="1274" w:type="pct"/>
            <w:shd w:val="clear" w:color="auto" w:fill="auto"/>
            <w:vAlign w:val="center"/>
          </w:tcPr>
          <w:p w:rsidR="00656BC1" w:rsidRPr="00E37DFB" w:rsidRDefault="00656BC1" w:rsidP="00DB4467">
            <w:pPr>
              <w:jc w:val="center"/>
              <w:rPr>
                <w:rFonts w:ascii="Arial Narrow" w:hAnsi="Arial Narrow"/>
                <w:sz w:val="20"/>
              </w:rPr>
            </w:pPr>
            <w:r w:rsidRPr="00E37DFB">
              <w:rPr>
                <w:rFonts w:ascii="Arial Narrow" w:hAnsi="Arial Narrow"/>
                <w:sz w:val="20"/>
              </w:rPr>
              <w:t>Placebo</w:t>
            </w:r>
          </w:p>
        </w:tc>
        <w:tc>
          <w:tcPr>
            <w:tcW w:w="838" w:type="pct"/>
            <w:shd w:val="clear" w:color="auto" w:fill="auto"/>
            <w:vAlign w:val="center"/>
          </w:tcPr>
          <w:p w:rsidR="00656BC1" w:rsidRPr="00E37DFB" w:rsidRDefault="00656BC1" w:rsidP="00DB4467">
            <w:pPr>
              <w:jc w:val="center"/>
              <w:rPr>
                <w:rFonts w:ascii="Arial Narrow" w:hAnsi="Arial Narrow"/>
                <w:sz w:val="20"/>
              </w:rPr>
            </w:pPr>
            <w:r w:rsidRPr="00E37DFB">
              <w:rPr>
                <w:rFonts w:ascii="Arial Narrow" w:hAnsi="Arial Narrow"/>
                <w:sz w:val="20"/>
              </w:rPr>
              <w:t>Incremental</w:t>
            </w:r>
          </w:p>
        </w:tc>
      </w:tr>
      <w:tr w:rsidR="00656BC1" w:rsidRPr="00E2771E" w:rsidTr="00BC0026">
        <w:tc>
          <w:tcPr>
            <w:tcW w:w="1529" w:type="pct"/>
            <w:vAlign w:val="center"/>
          </w:tcPr>
          <w:p w:rsidR="00656BC1" w:rsidRPr="00E2771E" w:rsidRDefault="00656BC1" w:rsidP="00DB4467">
            <w:pPr>
              <w:jc w:val="left"/>
              <w:rPr>
                <w:rFonts w:ascii="Arial Narrow" w:hAnsi="Arial Narrow"/>
                <w:sz w:val="20"/>
              </w:rPr>
            </w:pPr>
            <w:r w:rsidRPr="00E2771E">
              <w:rPr>
                <w:rFonts w:ascii="Arial Narrow" w:hAnsi="Arial Narrow"/>
                <w:sz w:val="20"/>
              </w:rPr>
              <w:t>Costs</w:t>
            </w:r>
          </w:p>
        </w:tc>
        <w:tc>
          <w:tcPr>
            <w:tcW w:w="1359" w:type="pct"/>
            <w:vAlign w:val="center"/>
          </w:tcPr>
          <w:p w:rsidR="00656BC1" w:rsidRPr="00E37DFB" w:rsidRDefault="00656BC1"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c>
          <w:tcPr>
            <w:tcW w:w="1274" w:type="pct"/>
            <w:vAlign w:val="center"/>
          </w:tcPr>
          <w:p w:rsidR="00656BC1" w:rsidRPr="00E37DFB" w:rsidRDefault="00656BC1" w:rsidP="00E70CAB">
            <w:pPr>
              <w:jc w:val="center"/>
              <w:rPr>
                <w:rFonts w:ascii="Arial Narrow" w:hAnsi="Arial Narrow"/>
                <w:sz w:val="20"/>
              </w:rPr>
            </w:pPr>
            <w:r w:rsidRPr="00E37DFB">
              <w:rPr>
                <w:rFonts w:ascii="Arial Narrow" w:hAnsi="Arial Narrow"/>
                <w:sz w:val="20"/>
              </w:rPr>
              <w:t>$10,356</w:t>
            </w:r>
          </w:p>
        </w:tc>
        <w:tc>
          <w:tcPr>
            <w:tcW w:w="838" w:type="pct"/>
            <w:vAlign w:val="center"/>
          </w:tcPr>
          <w:p w:rsidR="00656BC1" w:rsidRPr="00E37DFB" w:rsidRDefault="00656BC1"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656BC1" w:rsidRPr="00E2771E" w:rsidTr="00BC0026">
        <w:tc>
          <w:tcPr>
            <w:tcW w:w="1529" w:type="pct"/>
            <w:vAlign w:val="center"/>
          </w:tcPr>
          <w:p w:rsidR="00656BC1" w:rsidRPr="00E2771E" w:rsidRDefault="00656BC1" w:rsidP="00DB4467">
            <w:pPr>
              <w:jc w:val="left"/>
              <w:rPr>
                <w:rFonts w:ascii="Arial Narrow" w:hAnsi="Arial Narrow"/>
                <w:sz w:val="20"/>
              </w:rPr>
            </w:pPr>
            <w:r>
              <w:rPr>
                <w:rFonts w:ascii="Arial Narrow" w:hAnsi="Arial Narrow"/>
                <w:sz w:val="20"/>
              </w:rPr>
              <w:t>Life years gained*</w:t>
            </w:r>
          </w:p>
        </w:tc>
        <w:tc>
          <w:tcPr>
            <w:tcW w:w="1359" w:type="pct"/>
            <w:vAlign w:val="center"/>
          </w:tcPr>
          <w:p w:rsidR="00656BC1" w:rsidRPr="00E37DFB" w:rsidRDefault="00656BC1" w:rsidP="00E70CAB">
            <w:pPr>
              <w:jc w:val="center"/>
              <w:rPr>
                <w:rFonts w:ascii="Arial Narrow" w:hAnsi="Arial Narrow"/>
                <w:sz w:val="20"/>
              </w:rPr>
            </w:pPr>
            <w:r w:rsidRPr="00E37DFB">
              <w:rPr>
                <w:rFonts w:ascii="Arial Narrow" w:hAnsi="Arial Narrow"/>
                <w:sz w:val="20"/>
              </w:rPr>
              <w:t>5.015</w:t>
            </w:r>
          </w:p>
        </w:tc>
        <w:tc>
          <w:tcPr>
            <w:tcW w:w="1274" w:type="pct"/>
            <w:vAlign w:val="center"/>
          </w:tcPr>
          <w:p w:rsidR="00656BC1" w:rsidRPr="00E37DFB" w:rsidRDefault="00656BC1" w:rsidP="00E70CAB">
            <w:pPr>
              <w:jc w:val="center"/>
              <w:rPr>
                <w:rFonts w:ascii="Arial Narrow" w:hAnsi="Arial Narrow"/>
                <w:sz w:val="20"/>
              </w:rPr>
            </w:pPr>
            <w:r w:rsidRPr="00E37DFB">
              <w:rPr>
                <w:rFonts w:ascii="Arial Narrow" w:hAnsi="Arial Narrow"/>
                <w:sz w:val="20"/>
              </w:rPr>
              <w:t>2.389</w:t>
            </w:r>
          </w:p>
        </w:tc>
        <w:tc>
          <w:tcPr>
            <w:tcW w:w="838" w:type="pct"/>
            <w:vAlign w:val="center"/>
          </w:tcPr>
          <w:p w:rsidR="00656BC1" w:rsidRPr="00E37DFB" w:rsidRDefault="00656BC1" w:rsidP="00E70CAB">
            <w:pPr>
              <w:jc w:val="center"/>
              <w:rPr>
                <w:rFonts w:ascii="Arial Narrow" w:hAnsi="Arial Narrow"/>
                <w:sz w:val="20"/>
              </w:rPr>
            </w:pPr>
            <w:r w:rsidRPr="00E37DFB">
              <w:rPr>
                <w:rFonts w:ascii="Arial Narrow" w:hAnsi="Arial Narrow"/>
                <w:sz w:val="20"/>
              </w:rPr>
              <w:t>2.626</w:t>
            </w:r>
          </w:p>
        </w:tc>
      </w:tr>
      <w:tr w:rsidR="00656BC1" w:rsidRPr="00E2771E" w:rsidTr="00BC0026">
        <w:tc>
          <w:tcPr>
            <w:tcW w:w="4162" w:type="pct"/>
            <w:gridSpan w:val="3"/>
            <w:vAlign w:val="center"/>
          </w:tcPr>
          <w:p w:rsidR="00656BC1" w:rsidRPr="00E37DFB" w:rsidRDefault="00656BC1" w:rsidP="00656BC1">
            <w:pPr>
              <w:jc w:val="right"/>
              <w:rPr>
                <w:rFonts w:ascii="Arial Narrow" w:hAnsi="Arial Narrow"/>
                <w:sz w:val="20"/>
              </w:rPr>
            </w:pPr>
            <w:r w:rsidRPr="00E37DFB">
              <w:rPr>
                <w:rFonts w:ascii="Arial Narrow" w:hAnsi="Arial Narrow"/>
                <w:b/>
                <w:sz w:val="20"/>
              </w:rPr>
              <w:t>Incremental cost/ life year gained</w:t>
            </w:r>
          </w:p>
        </w:tc>
        <w:tc>
          <w:tcPr>
            <w:tcW w:w="838" w:type="pct"/>
            <w:vAlign w:val="center"/>
          </w:tcPr>
          <w:p w:rsidR="00656BC1" w:rsidRPr="00E37DFB" w:rsidRDefault="00C90768" w:rsidP="00DB4467">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1529" w:type="pct"/>
            <w:vAlign w:val="center"/>
          </w:tcPr>
          <w:p w:rsidR="00C90768" w:rsidRPr="00E2771E" w:rsidRDefault="00C90768" w:rsidP="00DB4467">
            <w:pPr>
              <w:jc w:val="left"/>
              <w:rPr>
                <w:rFonts w:ascii="Arial Narrow" w:hAnsi="Arial Narrow"/>
                <w:sz w:val="20"/>
              </w:rPr>
            </w:pPr>
            <w:r>
              <w:rPr>
                <w:rFonts w:ascii="Arial Narrow" w:hAnsi="Arial Narrow"/>
                <w:sz w:val="20"/>
              </w:rPr>
              <w:t>Cost</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$10,356</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1529" w:type="pct"/>
            <w:vAlign w:val="center"/>
          </w:tcPr>
          <w:p w:rsidR="00C90768" w:rsidRPr="00E2771E" w:rsidRDefault="00C90768" w:rsidP="00DB4467">
            <w:pPr>
              <w:jc w:val="left"/>
              <w:rPr>
                <w:rFonts w:ascii="Arial Narrow" w:hAnsi="Arial Narrow"/>
                <w:sz w:val="20"/>
              </w:rPr>
            </w:pPr>
            <w:r>
              <w:rPr>
                <w:rFonts w:ascii="Arial Narrow" w:hAnsi="Arial Narrow"/>
                <w:sz w:val="20"/>
              </w:rPr>
              <w:t>QALY</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3.163</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0.936</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2.227</w:t>
            </w:r>
          </w:p>
        </w:tc>
      </w:tr>
      <w:tr w:rsidR="00656BC1" w:rsidRPr="00E2771E" w:rsidTr="00BC0026">
        <w:tc>
          <w:tcPr>
            <w:tcW w:w="4162" w:type="pct"/>
            <w:gridSpan w:val="3"/>
            <w:vAlign w:val="center"/>
          </w:tcPr>
          <w:p w:rsidR="00656BC1" w:rsidRPr="00E37DFB" w:rsidRDefault="00656BC1" w:rsidP="00656BC1">
            <w:pPr>
              <w:jc w:val="right"/>
              <w:rPr>
                <w:rFonts w:ascii="Arial Narrow" w:hAnsi="Arial Narrow"/>
                <w:b/>
                <w:bCs/>
                <w:sz w:val="20"/>
              </w:rPr>
            </w:pPr>
            <w:r w:rsidRPr="00E37DFB">
              <w:rPr>
                <w:rFonts w:ascii="Arial Narrow" w:hAnsi="Arial Narrow"/>
                <w:b/>
                <w:bCs/>
                <w:sz w:val="20"/>
              </w:rPr>
              <w:t xml:space="preserve">Incremental cost/QALY gained </w:t>
            </w:r>
          </w:p>
        </w:tc>
        <w:tc>
          <w:tcPr>
            <w:tcW w:w="838" w:type="pct"/>
            <w:vAlign w:val="center"/>
          </w:tcPr>
          <w:p w:rsidR="00656BC1" w:rsidRPr="00E37DFB" w:rsidRDefault="00C90768" w:rsidP="00DB4467">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5000" w:type="pct"/>
            <w:gridSpan w:val="4"/>
            <w:vAlign w:val="center"/>
          </w:tcPr>
          <w:p w:rsidR="00C90768" w:rsidRPr="00E37DFB" w:rsidRDefault="00C90768" w:rsidP="00C90768">
            <w:pPr>
              <w:rPr>
                <w:rFonts w:ascii="Arial Narrow" w:hAnsi="Arial Narrow"/>
                <w:b/>
                <w:bCs/>
                <w:sz w:val="20"/>
              </w:rPr>
            </w:pPr>
            <w:r w:rsidRPr="00E37DFB">
              <w:rPr>
                <w:rFonts w:ascii="Arial Narrow" w:hAnsi="Arial Narrow"/>
                <w:b/>
                <w:bCs/>
                <w:sz w:val="20"/>
              </w:rPr>
              <w:t>Intermediate-2 or high risk patients</w:t>
            </w:r>
          </w:p>
        </w:tc>
      </w:tr>
      <w:tr w:rsidR="00C90768" w:rsidRPr="00E2771E" w:rsidTr="00BC0026">
        <w:tc>
          <w:tcPr>
            <w:tcW w:w="1529" w:type="pct"/>
            <w:vAlign w:val="center"/>
          </w:tcPr>
          <w:p w:rsidR="00C90768" w:rsidRPr="00E2771E" w:rsidRDefault="00C90768" w:rsidP="00E70CAB">
            <w:pPr>
              <w:jc w:val="left"/>
              <w:rPr>
                <w:rFonts w:ascii="Arial Narrow" w:hAnsi="Arial Narrow"/>
                <w:sz w:val="20"/>
              </w:rPr>
            </w:pPr>
            <w:r w:rsidRPr="00E2771E">
              <w:rPr>
                <w:rFonts w:ascii="Arial Narrow" w:hAnsi="Arial Narrow"/>
                <w:sz w:val="20"/>
              </w:rPr>
              <w:t>Costs</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$10,822</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1529" w:type="pct"/>
            <w:vAlign w:val="center"/>
          </w:tcPr>
          <w:p w:rsidR="00C90768" w:rsidRPr="00E2771E" w:rsidRDefault="00C90768" w:rsidP="00E70CAB">
            <w:pPr>
              <w:jc w:val="left"/>
              <w:rPr>
                <w:rFonts w:ascii="Arial Narrow" w:hAnsi="Arial Narrow"/>
                <w:sz w:val="20"/>
              </w:rPr>
            </w:pPr>
            <w:r>
              <w:rPr>
                <w:rFonts w:ascii="Arial Narrow" w:hAnsi="Arial Narrow"/>
                <w:sz w:val="20"/>
              </w:rPr>
              <w:t>Life years gained*</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5.015</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2.389</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2.626</w:t>
            </w:r>
          </w:p>
        </w:tc>
      </w:tr>
      <w:tr w:rsidR="00C90768" w:rsidRPr="00E2771E" w:rsidTr="00BC0026">
        <w:tc>
          <w:tcPr>
            <w:tcW w:w="4162" w:type="pct"/>
            <w:gridSpan w:val="3"/>
            <w:vAlign w:val="center"/>
          </w:tcPr>
          <w:p w:rsidR="00C90768" w:rsidRPr="00E37DFB" w:rsidRDefault="00C90768" w:rsidP="00E70CAB">
            <w:pPr>
              <w:jc w:val="right"/>
              <w:rPr>
                <w:rFonts w:ascii="Arial Narrow" w:hAnsi="Arial Narrow"/>
                <w:sz w:val="20"/>
              </w:rPr>
            </w:pPr>
            <w:r w:rsidRPr="00E37DFB">
              <w:rPr>
                <w:rFonts w:ascii="Arial Narrow" w:hAnsi="Arial Narrow"/>
                <w:b/>
                <w:sz w:val="20"/>
              </w:rPr>
              <w:t>Incremental cost/ life year gained</w:t>
            </w:r>
          </w:p>
        </w:tc>
        <w:tc>
          <w:tcPr>
            <w:tcW w:w="838" w:type="pct"/>
            <w:vAlign w:val="center"/>
          </w:tcPr>
          <w:p w:rsidR="00C90768" w:rsidRPr="00E37DFB" w:rsidRDefault="00C90768" w:rsidP="00C90768">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1529" w:type="pct"/>
            <w:vAlign w:val="center"/>
          </w:tcPr>
          <w:p w:rsidR="00C90768" w:rsidRPr="00E2771E" w:rsidRDefault="00C90768" w:rsidP="00E70CAB">
            <w:pPr>
              <w:jc w:val="left"/>
              <w:rPr>
                <w:rFonts w:ascii="Arial Narrow" w:hAnsi="Arial Narrow"/>
                <w:sz w:val="20"/>
              </w:rPr>
            </w:pPr>
            <w:r>
              <w:rPr>
                <w:rFonts w:ascii="Arial Narrow" w:hAnsi="Arial Narrow"/>
                <w:sz w:val="20"/>
              </w:rPr>
              <w:t>Cost</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$10,822</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1529" w:type="pct"/>
            <w:vAlign w:val="center"/>
          </w:tcPr>
          <w:p w:rsidR="00C90768" w:rsidRPr="00E2771E" w:rsidRDefault="00C90768" w:rsidP="00E70CAB">
            <w:pPr>
              <w:jc w:val="left"/>
              <w:rPr>
                <w:rFonts w:ascii="Arial Narrow" w:hAnsi="Arial Narrow"/>
                <w:sz w:val="20"/>
              </w:rPr>
            </w:pPr>
            <w:r>
              <w:rPr>
                <w:rFonts w:ascii="Arial Narrow" w:hAnsi="Arial Narrow"/>
                <w:sz w:val="20"/>
              </w:rPr>
              <w:t>QALY</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3.163</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0.936</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sz w:val="20"/>
              </w:rPr>
              <w:t>2.227</w:t>
            </w:r>
          </w:p>
        </w:tc>
      </w:tr>
      <w:tr w:rsidR="00C90768" w:rsidRPr="00E2771E" w:rsidTr="00BC0026">
        <w:tc>
          <w:tcPr>
            <w:tcW w:w="4162" w:type="pct"/>
            <w:gridSpan w:val="3"/>
            <w:vAlign w:val="center"/>
          </w:tcPr>
          <w:p w:rsidR="00C90768" w:rsidRPr="00E37DFB" w:rsidRDefault="00C90768" w:rsidP="00E70CAB">
            <w:pPr>
              <w:jc w:val="right"/>
              <w:rPr>
                <w:rFonts w:ascii="Arial Narrow" w:hAnsi="Arial Narrow"/>
                <w:b/>
                <w:bCs/>
                <w:sz w:val="20"/>
              </w:rPr>
            </w:pPr>
            <w:r w:rsidRPr="00E37DFB">
              <w:rPr>
                <w:rFonts w:ascii="Arial Narrow" w:hAnsi="Arial Narrow"/>
                <w:b/>
                <w:bCs/>
                <w:sz w:val="20"/>
              </w:rPr>
              <w:t xml:space="preserve">Incremental cost/QALY gained </w:t>
            </w:r>
          </w:p>
        </w:tc>
        <w:tc>
          <w:tcPr>
            <w:tcW w:w="838" w:type="pct"/>
            <w:vAlign w:val="center"/>
          </w:tcPr>
          <w:p w:rsidR="00C90768" w:rsidRPr="00E37DFB" w:rsidRDefault="00C90768" w:rsidP="00C90768">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r>
      <w:tr w:rsidR="00C90768" w:rsidRPr="00E2771E" w:rsidTr="00BC0026">
        <w:tc>
          <w:tcPr>
            <w:tcW w:w="5000" w:type="pct"/>
            <w:gridSpan w:val="4"/>
            <w:vAlign w:val="center"/>
          </w:tcPr>
          <w:p w:rsidR="00C90768" w:rsidRPr="00E37DFB" w:rsidRDefault="00C90768" w:rsidP="00C90768">
            <w:pPr>
              <w:jc w:val="left"/>
              <w:rPr>
                <w:rFonts w:ascii="Arial Narrow" w:hAnsi="Arial Narrow"/>
                <w:b/>
                <w:bCs/>
                <w:sz w:val="20"/>
              </w:rPr>
            </w:pPr>
            <w:r w:rsidRPr="00E37DFB">
              <w:rPr>
                <w:rFonts w:ascii="Arial Narrow" w:hAnsi="Arial Narrow"/>
                <w:b/>
                <w:bCs/>
                <w:sz w:val="20"/>
              </w:rPr>
              <w:t xml:space="preserve">Intermediate-2 or high risk patients (July 2014 submission) </w:t>
            </w:r>
          </w:p>
        </w:tc>
      </w:tr>
      <w:tr w:rsidR="00C90768" w:rsidRPr="00E2771E" w:rsidTr="00BC0026">
        <w:tc>
          <w:tcPr>
            <w:tcW w:w="1529" w:type="pct"/>
            <w:vAlign w:val="center"/>
          </w:tcPr>
          <w:p w:rsidR="00C90768" w:rsidRPr="00E2771E" w:rsidRDefault="00C90768" w:rsidP="00DB4467">
            <w:pPr>
              <w:jc w:val="left"/>
              <w:rPr>
                <w:rFonts w:ascii="Arial Narrow" w:hAnsi="Arial Narrow"/>
                <w:sz w:val="20"/>
              </w:rPr>
            </w:pPr>
            <w:r>
              <w:rPr>
                <w:rFonts w:ascii="Arial Narrow" w:hAnsi="Arial Narrow"/>
                <w:sz w:val="20"/>
              </w:rPr>
              <w:t>Cost</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cs="Times New Roman"/>
                <w:sz w:val="20"/>
              </w:rPr>
              <w:t>$</w:t>
            </w:r>
            <w:r w:rsidR="00023DE7">
              <w:rPr>
                <w:rFonts w:ascii="Arial Narrow" w:hAnsi="Arial Narrow" w:cs="Times New Roman"/>
                <w:noProof/>
                <w:color w:val="000000"/>
                <w:sz w:val="20"/>
                <w:highlight w:val="black"/>
              </w:rPr>
              <w:t>''''''''''''''''''''''''''''</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cs="Times New Roman"/>
                <w:sz w:val="20"/>
              </w:rPr>
              <w:t>$10,822.04</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cs="Times New Roman"/>
                <w:sz w:val="20"/>
              </w:rPr>
              <w:t>$</w:t>
            </w:r>
            <w:r w:rsidR="00023DE7">
              <w:rPr>
                <w:rFonts w:ascii="Arial Narrow" w:hAnsi="Arial Narrow" w:cs="Times New Roman"/>
                <w:noProof/>
                <w:color w:val="000000"/>
                <w:sz w:val="20"/>
                <w:highlight w:val="black"/>
              </w:rPr>
              <w:t>'''''''''''''''''''''''''</w:t>
            </w:r>
          </w:p>
        </w:tc>
      </w:tr>
      <w:tr w:rsidR="00C90768" w:rsidRPr="00E2771E" w:rsidTr="00BC0026">
        <w:tc>
          <w:tcPr>
            <w:tcW w:w="1529" w:type="pct"/>
            <w:vAlign w:val="center"/>
          </w:tcPr>
          <w:p w:rsidR="00C90768" w:rsidRPr="00E2771E" w:rsidRDefault="00C90768" w:rsidP="00DB4467">
            <w:pPr>
              <w:jc w:val="left"/>
              <w:rPr>
                <w:rFonts w:ascii="Arial Narrow" w:hAnsi="Arial Narrow"/>
                <w:sz w:val="20"/>
              </w:rPr>
            </w:pPr>
            <w:r>
              <w:rPr>
                <w:rFonts w:ascii="Arial Narrow" w:hAnsi="Arial Narrow"/>
                <w:sz w:val="20"/>
              </w:rPr>
              <w:t>QALY</w:t>
            </w:r>
          </w:p>
        </w:tc>
        <w:tc>
          <w:tcPr>
            <w:tcW w:w="1359" w:type="pct"/>
            <w:vAlign w:val="center"/>
          </w:tcPr>
          <w:p w:rsidR="00C90768" w:rsidRPr="00E37DFB" w:rsidRDefault="00C90768" w:rsidP="00E70CAB">
            <w:pPr>
              <w:jc w:val="center"/>
              <w:rPr>
                <w:rFonts w:ascii="Arial Narrow" w:hAnsi="Arial Narrow"/>
                <w:sz w:val="20"/>
              </w:rPr>
            </w:pPr>
            <w:r w:rsidRPr="00E37DFB">
              <w:rPr>
                <w:rFonts w:ascii="Arial Narrow" w:hAnsi="Arial Narrow" w:cs="Times New Roman"/>
                <w:sz w:val="20"/>
              </w:rPr>
              <w:t>5.015</w:t>
            </w:r>
          </w:p>
        </w:tc>
        <w:tc>
          <w:tcPr>
            <w:tcW w:w="1274" w:type="pct"/>
            <w:vAlign w:val="center"/>
          </w:tcPr>
          <w:p w:rsidR="00C90768" w:rsidRPr="00E37DFB" w:rsidRDefault="00C90768" w:rsidP="00E70CAB">
            <w:pPr>
              <w:jc w:val="center"/>
              <w:rPr>
                <w:rFonts w:ascii="Arial Narrow" w:hAnsi="Arial Narrow"/>
                <w:sz w:val="20"/>
              </w:rPr>
            </w:pPr>
            <w:r w:rsidRPr="00E37DFB">
              <w:rPr>
                <w:rFonts w:ascii="Arial Narrow" w:hAnsi="Arial Narrow" w:cs="Times New Roman"/>
                <w:sz w:val="20"/>
              </w:rPr>
              <w:t>2.389</w:t>
            </w:r>
          </w:p>
        </w:tc>
        <w:tc>
          <w:tcPr>
            <w:tcW w:w="838" w:type="pct"/>
            <w:vAlign w:val="center"/>
          </w:tcPr>
          <w:p w:rsidR="00C90768" w:rsidRPr="00E37DFB" w:rsidRDefault="00C90768" w:rsidP="00E70CAB">
            <w:pPr>
              <w:jc w:val="center"/>
              <w:rPr>
                <w:rFonts w:ascii="Arial Narrow" w:hAnsi="Arial Narrow"/>
                <w:sz w:val="20"/>
              </w:rPr>
            </w:pPr>
            <w:r w:rsidRPr="00E37DFB">
              <w:rPr>
                <w:rFonts w:ascii="Arial Narrow" w:hAnsi="Arial Narrow" w:cs="Times New Roman"/>
                <w:sz w:val="20"/>
              </w:rPr>
              <w:t>2.626</w:t>
            </w:r>
          </w:p>
        </w:tc>
      </w:tr>
      <w:tr w:rsidR="00C90768" w:rsidRPr="00E2771E" w:rsidTr="00BC0026">
        <w:tc>
          <w:tcPr>
            <w:tcW w:w="4162" w:type="pct"/>
            <w:gridSpan w:val="3"/>
            <w:vAlign w:val="center"/>
          </w:tcPr>
          <w:p w:rsidR="00C90768" w:rsidRPr="00E37DFB" w:rsidRDefault="00C90768" w:rsidP="00C90768">
            <w:pPr>
              <w:jc w:val="right"/>
              <w:rPr>
                <w:rFonts w:ascii="Arial Narrow" w:hAnsi="Arial Narrow"/>
                <w:b/>
                <w:sz w:val="20"/>
              </w:rPr>
            </w:pPr>
            <w:r w:rsidRPr="00E37DFB">
              <w:rPr>
                <w:rFonts w:ascii="Arial Narrow" w:hAnsi="Arial Narrow"/>
                <w:b/>
                <w:bCs/>
                <w:sz w:val="20"/>
              </w:rPr>
              <w:t>Incremental cost/QALY gained</w:t>
            </w:r>
          </w:p>
        </w:tc>
        <w:tc>
          <w:tcPr>
            <w:tcW w:w="838" w:type="pct"/>
            <w:vAlign w:val="center"/>
          </w:tcPr>
          <w:p w:rsidR="00C90768" w:rsidRPr="00E37DFB" w:rsidRDefault="00C90768" w:rsidP="00DB4467">
            <w:pPr>
              <w:jc w:val="center"/>
              <w:rPr>
                <w:rFonts w:ascii="Arial Narrow" w:hAnsi="Arial Narrow"/>
                <w:bCs/>
                <w:sz w:val="20"/>
              </w:rPr>
            </w:pPr>
            <w:r w:rsidRPr="00E37DFB">
              <w:rPr>
                <w:rFonts w:ascii="Arial Narrow" w:hAnsi="Arial Narrow"/>
                <w:bCs/>
                <w:sz w:val="20"/>
              </w:rPr>
              <w:t>$</w:t>
            </w:r>
            <w:r w:rsidR="00023DE7">
              <w:rPr>
                <w:rFonts w:ascii="Arial Narrow" w:hAnsi="Arial Narrow"/>
                <w:bCs/>
                <w:noProof/>
                <w:color w:val="000000"/>
                <w:sz w:val="20"/>
                <w:highlight w:val="black"/>
              </w:rPr>
              <w:t>''''''''''''''''</w:t>
            </w:r>
          </w:p>
        </w:tc>
      </w:tr>
      <w:tr w:rsidR="00C90768" w:rsidRPr="00ED0F04" w:rsidTr="00BC0026">
        <w:tc>
          <w:tcPr>
            <w:tcW w:w="5000" w:type="pct"/>
            <w:gridSpan w:val="4"/>
            <w:vAlign w:val="center"/>
          </w:tcPr>
          <w:p w:rsidR="00C90768" w:rsidRPr="00E37DFB" w:rsidRDefault="00C90768" w:rsidP="005801E9">
            <w:pPr>
              <w:jc w:val="left"/>
              <w:rPr>
                <w:rFonts w:ascii="Arial Narrow" w:hAnsi="Arial Narrow"/>
                <w:b/>
                <w:sz w:val="20"/>
              </w:rPr>
            </w:pPr>
            <w:r w:rsidRPr="00E37DFB">
              <w:rPr>
                <w:rFonts w:ascii="Arial Narrow" w:hAnsi="Arial Narrow"/>
                <w:b/>
                <w:sz w:val="20"/>
              </w:rPr>
              <w:t xml:space="preserve">Weighted ICER in current re-submission </w:t>
            </w:r>
          </w:p>
        </w:tc>
      </w:tr>
      <w:tr w:rsidR="006346AB" w:rsidRPr="00ED0F04" w:rsidTr="00BC0026">
        <w:tc>
          <w:tcPr>
            <w:tcW w:w="1529" w:type="pct"/>
            <w:vAlign w:val="center"/>
          </w:tcPr>
          <w:p w:rsidR="006346AB" w:rsidRPr="00C90768" w:rsidRDefault="006346AB" w:rsidP="005801E9">
            <w:pPr>
              <w:jc w:val="left"/>
              <w:rPr>
                <w:rFonts w:ascii="Arial Narrow" w:hAnsi="Arial Narrow"/>
                <w:sz w:val="20"/>
              </w:rPr>
            </w:pPr>
          </w:p>
        </w:tc>
        <w:tc>
          <w:tcPr>
            <w:tcW w:w="1359" w:type="pct"/>
            <w:vAlign w:val="center"/>
          </w:tcPr>
          <w:p w:rsidR="006346AB" w:rsidRPr="00E37DFB" w:rsidRDefault="006346AB" w:rsidP="005801E9">
            <w:pPr>
              <w:jc w:val="center"/>
              <w:rPr>
                <w:rFonts w:ascii="Arial Narrow" w:hAnsi="Arial Narrow"/>
                <w:sz w:val="20"/>
              </w:rPr>
            </w:pPr>
            <w:r w:rsidRPr="00E37DFB">
              <w:rPr>
                <w:rFonts w:ascii="Arial Narrow" w:hAnsi="Arial Narrow"/>
                <w:sz w:val="20"/>
              </w:rPr>
              <w:t>ICER</w:t>
            </w:r>
          </w:p>
        </w:tc>
        <w:tc>
          <w:tcPr>
            <w:tcW w:w="2112" w:type="pct"/>
            <w:gridSpan w:val="2"/>
            <w:vAlign w:val="center"/>
          </w:tcPr>
          <w:p w:rsidR="006346AB" w:rsidRPr="00E37DFB" w:rsidRDefault="006346AB" w:rsidP="006346AB">
            <w:pPr>
              <w:jc w:val="center"/>
              <w:rPr>
                <w:rFonts w:ascii="Arial Narrow" w:hAnsi="Arial Narrow"/>
                <w:sz w:val="20"/>
              </w:rPr>
            </w:pPr>
            <w:r w:rsidRPr="00E37DFB">
              <w:rPr>
                <w:rFonts w:ascii="Arial Narrow" w:hAnsi="Arial Narrow"/>
                <w:sz w:val="20"/>
              </w:rPr>
              <w:t>Proportion</w:t>
            </w:r>
          </w:p>
        </w:tc>
      </w:tr>
      <w:tr w:rsidR="006346AB" w:rsidRPr="00ED0F04" w:rsidTr="00BC0026">
        <w:tc>
          <w:tcPr>
            <w:tcW w:w="1529" w:type="pct"/>
          </w:tcPr>
          <w:p w:rsidR="006346AB" w:rsidRPr="00C90768" w:rsidRDefault="006346AB" w:rsidP="00E70CAB">
            <w:pPr>
              <w:rPr>
                <w:rFonts w:ascii="Arial Narrow" w:hAnsi="Arial Narrow"/>
                <w:sz w:val="20"/>
              </w:rPr>
            </w:pPr>
            <w:r w:rsidRPr="00C90768">
              <w:rPr>
                <w:rFonts w:ascii="Arial Narrow" w:hAnsi="Arial Narrow"/>
                <w:sz w:val="20"/>
              </w:rPr>
              <w:t>Intermediate-2 or high risk</w:t>
            </w:r>
          </w:p>
        </w:tc>
        <w:tc>
          <w:tcPr>
            <w:tcW w:w="1359" w:type="pct"/>
            <w:vAlign w:val="center"/>
          </w:tcPr>
          <w:p w:rsidR="006346AB" w:rsidRPr="00E37DFB" w:rsidRDefault="006346AB"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c>
          <w:tcPr>
            <w:tcW w:w="2112" w:type="pct"/>
            <w:gridSpan w:val="2"/>
            <w:vAlign w:val="center"/>
          </w:tcPr>
          <w:p w:rsidR="006346AB" w:rsidRPr="00023DE7" w:rsidRDefault="00023DE7" w:rsidP="006346AB">
            <w:pPr>
              <w:jc w:val="center"/>
              <w:rPr>
                <w:rFonts w:ascii="Arial Narrow" w:hAnsi="Arial Narrow"/>
                <w:sz w:val="20"/>
                <w:highlight w:val="black"/>
              </w:rPr>
            </w:pPr>
            <w:r>
              <w:rPr>
                <w:rFonts w:ascii="Arial Narrow" w:hAnsi="Arial Narrow"/>
                <w:noProof/>
                <w:color w:val="000000"/>
                <w:sz w:val="20"/>
                <w:highlight w:val="black"/>
              </w:rPr>
              <w:t>''''''''''</w:t>
            </w:r>
          </w:p>
        </w:tc>
      </w:tr>
      <w:tr w:rsidR="006346AB" w:rsidRPr="00ED0F04" w:rsidTr="00BC0026">
        <w:tc>
          <w:tcPr>
            <w:tcW w:w="1529" w:type="pct"/>
          </w:tcPr>
          <w:p w:rsidR="006346AB" w:rsidRPr="00C90768" w:rsidRDefault="006346AB" w:rsidP="00E70CAB">
            <w:pPr>
              <w:rPr>
                <w:rFonts w:ascii="Arial Narrow" w:hAnsi="Arial Narrow"/>
                <w:sz w:val="20"/>
              </w:rPr>
            </w:pPr>
            <w:r w:rsidRPr="00C90768">
              <w:rPr>
                <w:rFonts w:ascii="Arial Narrow" w:hAnsi="Arial Narrow"/>
                <w:sz w:val="20"/>
              </w:rPr>
              <w:t xml:space="preserve">Intermediate-1 </w:t>
            </w:r>
          </w:p>
        </w:tc>
        <w:tc>
          <w:tcPr>
            <w:tcW w:w="1359" w:type="pct"/>
            <w:vAlign w:val="center"/>
          </w:tcPr>
          <w:p w:rsidR="006346AB" w:rsidRPr="00E37DFB" w:rsidRDefault="006346AB" w:rsidP="00E70CAB">
            <w:pPr>
              <w:jc w:val="center"/>
              <w:rPr>
                <w:rFonts w:ascii="Arial Narrow" w:hAnsi="Arial Narrow"/>
                <w:sz w:val="20"/>
              </w:rPr>
            </w:pPr>
            <w:r w:rsidRPr="00E37DFB">
              <w:rPr>
                <w:rFonts w:ascii="Arial Narrow" w:hAnsi="Arial Narrow"/>
                <w:sz w:val="20"/>
              </w:rPr>
              <w:t>$</w:t>
            </w:r>
            <w:r w:rsidR="00023DE7">
              <w:rPr>
                <w:rFonts w:ascii="Arial Narrow" w:hAnsi="Arial Narrow"/>
                <w:noProof/>
                <w:color w:val="000000"/>
                <w:sz w:val="20"/>
                <w:highlight w:val="black"/>
              </w:rPr>
              <w:t>''''''''''''''''''''''''''''''''''</w:t>
            </w:r>
          </w:p>
        </w:tc>
        <w:tc>
          <w:tcPr>
            <w:tcW w:w="2112" w:type="pct"/>
            <w:gridSpan w:val="2"/>
            <w:vAlign w:val="center"/>
          </w:tcPr>
          <w:p w:rsidR="006346AB" w:rsidRPr="00023DE7" w:rsidRDefault="00023DE7" w:rsidP="005801E9">
            <w:pPr>
              <w:jc w:val="center"/>
              <w:rPr>
                <w:rFonts w:ascii="Arial Narrow" w:hAnsi="Arial Narrow"/>
                <w:sz w:val="20"/>
                <w:highlight w:val="black"/>
              </w:rPr>
            </w:pPr>
            <w:r>
              <w:rPr>
                <w:rFonts w:ascii="Arial Narrow" w:hAnsi="Arial Narrow"/>
                <w:noProof/>
                <w:color w:val="000000"/>
                <w:sz w:val="20"/>
                <w:highlight w:val="black"/>
              </w:rPr>
              <w:t>'''''''''''</w:t>
            </w:r>
          </w:p>
        </w:tc>
      </w:tr>
      <w:tr w:rsidR="00C90768" w:rsidRPr="00ED0F04" w:rsidTr="00BC0026">
        <w:tc>
          <w:tcPr>
            <w:tcW w:w="4162" w:type="pct"/>
            <w:gridSpan w:val="3"/>
            <w:vAlign w:val="center"/>
          </w:tcPr>
          <w:p w:rsidR="00C90768" w:rsidRPr="00E37DFB" w:rsidRDefault="00C90768" w:rsidP="00C90768">
            <w:pPr>
              <w:jc w:val="right"/>
              <w:rPr>
                <w:rFonts w:ascii="Arial Narrow" w:hAnsi="Arial Narrow"/>
                <w:b/>
                <w:sz w:val="20"/>
              </w:rPr>
            </w:pPr>
            <w:r w:rsidRPr="00E37DFB">
              <w:rPr>
                <w:rFonts w:ascii="Arial Narrow" w:hAnsi="Arial Narrow"/>
                <w:b/>
                <w:sz w:val="20"/>
              </w:rPr>
              <w:t>Total weighted ICER for base case in re-submission</w:t>
            </w:r>
          </w:p>
        </w:tc>
        <w:tc>
          <w:tcPr>
            <w:tcW w:w="838" w:type="pct"/>
            <w:vAlign w:val="center"/>
          </w:tcPr>
          <w:p w:rsidR="00C90768" w:rsidRPr="00E37DFB" w:rsidRDefault="00C90768" w:rsidP="005801E9">
            <w:pPr>
              <w:jc w:val="center"/>
              <w:rPr>
                <w:rFonts w:ascii="Arial Narrow" w:hAnsi="Arial Narrow"/>
                <w:b/>
                <w:sz w:val="20"/>
              </w:rPr>
            </w:pPr>
            <w:r w:rsidRPr="00E37DFB">
              <w:rPr>
                <w:rFonts w:ascii="Arial Narrow" w:hAnsi="Arial Narrow"/>
                <w:b/>
                <w:sz w:val="20"/>
              </w:rPr>
              <w:t>$</w:t>
            </w:r>
            <w:r w:rsidR="00023DE7">
              <w:rPr>
                <w:rFonts w:ascii="Arial Narrow" w:hAnsi="Arial Narrow"/>
                <w:b/>
                <w:noProof/>
                <w:color w:val="000000"/>
                <w:sz w:val="20"/>
                <w:highlight w:val="black"/>
              </w:rPr>
              <w:t>''''''''''''''''''''''''''''</w:t>
            </w:r>
          </w:p>
        </w:tc>
      </w:tr>
    </w:tbl>
    <w:p w:rsidR="00656BC1" w:rsidRPr="00D92F52" w:rsidRDefault="00656BC1" w:rsidP="00656BC1">
      <w:pPr>
        <w:pStyle w:val="TableFooter"/>
        <w:ind w:left="709"/>
        <w:rPr>
          <w:sz w:val="20"/>
        </w:rPr>
      </w:pPr>
      <w:r w:rsidRPr="00D92F52">
        <w:rPr>
          <w:sz w:val="20"/>
        </w:rPr>
        <w:t>*The submission assumes that the efficacy, defined by life years and QALY gain, is the same in intermediate-1 and intermediate-2 or high risk patients</w:t>
      </w:r>
    </w:p>
    <w:p w:rsidR="00D110BD" w:rsidRPr="00D92F52" w:rsidRDefault="007265FB" w:rsidP="00C90768">
      <w:pPr>
        <w:pStyle w:val="TableFooter"/>
        <w:ind w:left="709"/>
        <w:rPr>
          <w:rFonts w:cstheme="minorBidi"/>
          <w:sz w:val="20"/>
          <w:szCs w:val="18"/>
        </w:rPr>
      </w:pPr>
      <w:r w:rsidRPr="00D92F52">
        <w:rPr>
          <w:rFonts w:cstheme="minorBidi"/>
          <w:sz w:val="20"/>
          <w:szCs w:val="18"/>
        </w:rPr>
        <w:t xml:space="preserve">Source: </w:t>
      </w:r>
      <w:r w:rsidR="00C90768" w:rsidRPr="00D92F52">
        <w:rPr>
          <w:rFonts w:cstheme="minorBidi"/>
          <w:sz w:val="20"/>
          <w:szCs w:val="18"/>
        </w:rPr>
        <w:t xml:space="preserve">Tables D.5-1 and D.5-2, p122 of the re-submission; Tables D.5-3 p123 of the re-submission; Tables D.5-4 p123 of the re-submission and table 5, July 2014 commentary </w:t>
      </w:r>
    </w:p>
    <w:p w:rsidR="00D110BD" w:rsidRPr="00C90768" w:rsidRDefault="00D110BD" w:rsidP="00D110BD">
      <w:pPr>
        <w:widowControl/>
        <w:rPr>
          <w:rFonts w:asciiTheme="minorBidi" w:hAnsiTheme="minorBidi" w:cstheme="minorBidi"/>
          <w:szCs w:val="22"/>
        </w:rPr>
      </w:pPr>
    </w:p>
    <w:p w:rsidR="009B5950" w:rsidRPr="00C7463C" w:rsidRDefault="00C90768" w:rsidP="004D64A8">
      <w:pPr>
        <w:pStyle w:val="ListParagraph"/>
        <w:widowControl/>
        <w:numPr>
          <w:ilvl w:val="1"/>
          <w:numId w:val="1"/>
        </w:numPr>
        <w:rPr>
          <w:iCs/>
          <w:szCs w:val="22"/>
        </w:rPr>
      </w:pPr>
      <w:r w:rsidRPr="00B52616">
        <w:rPr>
          <w:iCs/>
        </w:rPr>
        <w:t xml:space="preserve">The ICER </w:t>
      </w:r>
      <w:r w:rsidR="00F5128D">
        <w:rPr>
          <w:iCs/>
        </w:rPr>
        <w:t>was</w:t>
      </w:r>
      <w:r w:rsidRPr="00B52616">
        <w:rPr>
          <w:iCs/>
        </w:rPr>
        <w:t xml:space="preserve"> lower than the previous re-submission, reflecting an increase in the rebate from </w:t>
      </w:r>
      <w:r w:rsidR="00023DE7">
        <w:rPr>
          <w:iCs/>
          <w:noProof/>
          <w:color w:val="000000"/>
          <w:highlight w:val="black"/>
        </w:rPr>
        <w:t>''''''</w:t>
      </w:r>
      <w:r w:rsidRPr="00B52616">
        <w:rPr>
          <w:iCs/>
        </w:rPr>
        <w:t xml:space="preserve">% of published DPMQ to </w:t>
      </w:r>
      <w:r w:rsidR="00023DE7">
        <w:rPr>
          <w:iCs/>
          <w:noProof/>
          <w:color w:val="000000"/>
          <w:highlight w:val="black"/>
        </w:rPr>
        <w:t>''''''</w:t>
      </w:r>
      <w:r w:rsidRPr="00B52616">
        <w:rPr>
          <w:iCs/>
        </w:rPr>
        <w:t xml:space="preserve">%, but </w:t>
      </w:r>
      <w:r w:rsidR="00F5128D">
        <w:rPr>
          <w:iCs/>
        </w:rPr>
        <w:t>wa</w:t>
      </w:r>
      <w:r w:rsidRPr="00B52616">
        <w:rPr>
          <w:iCs/>
        </w:rPr>
        <w:t>s partially offset by inclusion of intermediate-1 patients, who h</w:t>
      </w:r>
      <w:r w:rsidR="00F5128D">
        <w:rPr>
          <w:iCs/>
        </w:rPr>
        <w:t>ad</w:t>
      </w:r>
      <w:r w:rsidRPr="00B52616">
        <w:rPr>
          <w:iCs/>
        </w:rPr>
        <w:t xml:space="preserve"> a lower baseline </w:t>
      </w:r>
      <w:r w:rsidR="006465AE">
        <w:rPr>
          <w:iCs/>
        </w:rPr>
        <w:t xml:space="preserve">risk of </w:t>
      </w:r>
      <w:r w:rsidRPr="00B52616">
        <w:rPr>
          <w:iCs/>
        </w:rPr>
        <w:t>mortality and therefore incur more drug costs for the same (assumed) benefit</w:t>
      </w:r>
      <w:r w:rsidR="00807C49" w:rsidRPr="00B52616">
        <w:rPr>
          <w:iCs/>
        </w:rPr>
        <w:t>.</w:t>
      </w:r>
      <w:r w:rsidR="00A86E8B" w:rsidRPr="00B52616">
        <w:t xml:space="preserve">  </w:t>
      </w:r>
      <w:r w:rsidR="00CA4147" w:rsidRPr="00B52616">
        <w:t xml:space="preserve">For intermediate-2/high risk patients, the ICER in the previous re-submission was </w:t>
      </w:r>
      <w:r w:rsidR="00213896">
        <w:t xml:space="preserve">$75,000/QALY - $105,000/QALY </w:t>
      </w:r>
      <w:r w:rsidR="00CA4147" w:rsidRPr="00B52616">
        <w:t xml:space="preserve">over 20 years compared with </w:t>
      </w:r>
      <w:r w:rsidR="00213896">
        <w:t xml:space="preserve">$45,000/QALY - $75,000/QALY </w:t>
      </w:r>
      <w:r w:rsidR="00CA4147" w:rsidRPr="00B52616">
        <w:t>in the current re-submission.</w:t>
      </w:r>
    </w:p>
    <w:p w:rsidR="00C7463C" w:rsidRPr="009B5950" w:rsidRDefault="00C7463C" w:rsidP="009B5950">
      <w:pPr>
        <w:pStyle w:val="ListParagraph"/>
        <w:widowControl/>
        <w:rPr>
          <w:iCs/>
          <w:szCs w:val="22"/>
        </w:rPr>
      </w:pPr>
    </w:p>
    <w:p w:rsidR="00BF2005" w:rsidRDefault="00807C49" w:rsidP="004D64A8">
      <w:pPr>
        <w:pStyle w:val="ListParagraph"/>
        <w:widowControl/>
        <w:numPr>
          <w:ilvl w:val="1"/>
          <w:numId w:val="1"/>
        </w:numPr>
      </w:pPr>
      <w:r w:rsidRPr="00C7463C">
        <w:t>As in the previous re-submission, the results of the sensitivity analyses indicate</w:t>
      </w:r>
      <w:r w:rsidR="00F5128D">
        <w:t>d</w:t>
      </w:r>
      <w:r w:rsidRPr="00C7463C">
        <w:t xml:space="preserve"> that the model is by far the most sensitive to the price of ruxolitinib.  </w:t>
      </w:r>
      <w:r w:rsidR="00F5128D">
        <w:t>The ICER wa</w:t>
      </w:r>
      <w:r w:rsidR="008E759B" w:rsidRPr="00C7463C">
        <w:t xml:space="preserve">s also sensitive </w:t>
      </w:r>
      <w:r w:rsidRPr="00C7463C">
        <w:t xml:space="preserve">to the assumption that patients will stop ruxolitinib if there is no splenic response </w:t>
      </w:r>
      <w:r w:rsidR="00476BD7">
        <w:t>even if symptoms are much impro</w:t>
      </w:r>
      <w:r w:rsidR="000A7F87">
        <w:t xml:space="preserve">ved; </w:t>
      </w:r>
      <w:r w:rsidR="00C7463C" w:rsidRPr="00C7463C">
        <w:t>this assumption</w:t>
      </w:r>
      <w:r w:rsidR="008E759B" w:rsidRPr="00C7463C">
        <w:t xml:space="preserve"> </w:t>
      </w:r>
      <w:r w:rsidR="006F62A4">
        <w:t>favoured</w:t>
      </w:r>
      <w:r w:rsidR="00C7463C" w:rsidRPr="00C7463C">
        <w:t xml:space="preserve"> ruxolitinib. </w:t>
      </w:r>
      <w:r w:rsidR="00000E20" w:rsidRPr="00272ED1">
        <w:t>As t</w:t>
      </w:r>
      <w:r w:rsidR="00C7463C" w:rsidRPr="00272ED1">
        <w:t>he ESC did not accept the assumption of discontinuation in the model</w:t>
      </w:r>
      <w:r w:rsidR="00000E20" w:rsidRPr="00272ED1">
        <w:t>, it</w:t>
      </w:r>
      <w:r w:rsidR="00C7463C" w:rsidRPr="00272ED1">
        <w:t xml:space="preserve"> </w:t>
      </w:r>
      <w:r w:rsidR="00A44442" w:rsidRPr="00272ED1">
        <w:t>considered</w:t>
      </w:r>
      <w:r w:rsidR="00C7463C" w:rsidRPr="00272ED1">
        <w:t xml:space="preserve"> that the ICER for the assumption of no discontinuation</w:t>
      </w:r>
      <w:r w:rsidR="00AA77F4" w:rsidRPr="00272ED1">
        <w:t xml:space="preserve"> </w:t>
      </w:r>
      <w:r w:rsidR="00951FAD">
        <w:t>(</w:t>
      </w:r>
      <w:r w:rsidR="00213896">
        <w:t>$75,000/QALY - $105,000/QALY</w:t>
      </w:r>
      <w:r w:rsidR="00A44442" w:rsidRPr="00272ED1">
        <w:t>)</w:t>
      </w:r>
      <w:r w:rsidR="00AA77F4" w:rsidRPr="00272ED1">
        <w:t xml:space="preserve"> [</w:t>
      </w:r>
      <w:r w:rsidR="00B77FA4" w:rsidRPr="00272ED1">
        <w:t xml:space="preserve">Table D.6.1, </w:t>
      </w:r>
      <w:r w:rsidR="00AA77F4" w:rsidRPr="00272ED1">
        <w:t xml:space="preserve">Comm. </w:t>
      </w:r>
      <w:r w:rsidR="00A44442" w:rsidRPr="00272ED1">
        <w:t>p42</w:t>
      </w:r>
      <w:r w:rsidR="00AA77F4" w:rsidRPr="00272ED1">
        <w:t>]</w:t>
      </w:r>
      <w:r w:rsidR="00C7463C" w:rsidRPr="00272ED1">
        <w:t xml:space="preserve"> would be more realistic in the context of the proposed restriction</w:t>
      </w:r>
      <w:r w:rsidR="00000E20" w:rsidRPr="00272ED1">
        <w:t>s</w:t>
      </w:r>
      <w:r w:rsidR="00C7463C" w:rsidRPr="00272ED1">
        <w:t>.</w:t>
      </w:r>
    </w:p>
    <w:p w:rsidR="00BF2005" w:rsidRDefault="00BF2005" w:rsidP="00BF2005">
      <w:pPr>
        <w:pStyle w:val="ListParagraph"/>
      </w:pPr>
    </w:p>
    <w:p w:rsidR="0097114D" w:rsidRPr="0097114D" w:rsidRDefault="00024EDC" w:rsidP="004D64A8">
      <w:pPr>
        <w:pStyle w:val="ListParagraph"/>
        <w:widowControl/>
        <w:numPr>
          <w:ilvl w:val="1"/>
          <w:numId w:val="1"/>
        </w:numPr>
      </w:pPr>
      <w:r>
        <w:t xml:space="preserve">The pre-PBAC response accepted the ESC advice </w:t>
      </w:r>
      <w:r w:rsidR="00F062DF">
        <w:t xml:space="preserve">that the ICER for the assumption of no discontinuation would be more realistic, and proposed to </w:t>
      </w:r>
      <w:r w:rsidR="00F062DF" w:rsidRPr="00F062DF">
        <w:rPr>
          <w:szCs w:val="22"/>
          <w:lang w:eastAsia="ja-JP"/>
        </w:rPr>
        <w:t xml:space="preserve">increase the rebate to the Government from </w:t>
      </w:r>
      <w:r w:rsidR="00023DE7">
        <w:rPr>
          <w:noProof/>
          <w:color w:val="000000"/>
          <w:szCs w:val="22"/>
          <w:highlight w:val="black"/>
          <w:lang w:eastAsia="ja-JP"/>
        </w:rPr>
        <w:t>''''''</w:t>
      </w:r>
      <w:r w:rsidR="00F062DF" w:rsidRPr="00F062DF">
        <w:rPr>
          <w:szCs w:val="22"/>
          <w:lang w:eastAsia="ja-JP"/>
        </w:rPr>
        <w:t xml:space="preserve">% to </w:t>
      </w:r>
      <w:r w:rsidR="00023DE7">
        <w:rPr>
          <w:noProof/>
          <w:color w:val="000000"/>
          <w:szCs w:val="22"/>
          <w:highlight w:val="black"/>
          <w:lang w:eastAsia="ja-JP"/>
        </w:rPr>
        <w:t>''''''''''''</w:t>
      </w:r>
      <w:r w:rsidR="00F062DF" w:rsidRPr="00F062DF">
        <w:rPr>
          <w:szCs w:val="22"/>
          <w:lang w:eastAsia="ja-JP"/>
        </w:rPr>
        <w:t>%, thus r</w:t>
      </w:r>
      <w:r w:rsidR="00727E66">
        <w:rPr>
          <w:szCs w:val="22"/>
          <w:lang w:eastAsia="ja-JP"/>
        </w:rPr>
        <w:t>evising the</w:t>
      </w:r>
      <w:r w:rsidR="00F062DF" w:rsidRPr="00F062DF">
        <w:rPr>
          <w:szCs w:val="22"/>
          <w:lang w:eastAsia="ja-JP"/>
        </w:rPr>
        <w:t xml:space="preserve"> weighted ICER from </w:t>
      </w:r>
      <w:r w:rsidR="00CA5213">
        <w:t xml:space="preserve">$75,000/QALY - $105,000/QALY </w:t>
      </w:r>
      <w:r w:rsidR="00F062DF" w:rsidRPr="00F062DF">
        <w:rPr>
          <w:szCs w:val="22"/>
          <w:lang w:eastAsia="ja-JP"/>
        </w:rPr>
        <w:t xml:space="preserve">to </w:t>
      </w:r>
      <w:r w:rsidR="00CA5213">
        <w:t>$75,000/QALY - $105,000/QALY</w:t>
      </w:r>
      <w:r w:rsidR="00F062DF">
        <w:rPr>
          <w:szCs w:val="22"/>
        </w:rPr>
        <w:t xml:space="preserve">. </w:t>
      </w:r>
      <w:r w:rsidR="00C7463C" w:rsidRPr="00F062DF">
        <w:rPr>
          <w:szCs w:val="22"/>
        </w:rPr>
        <w:t xml:space="preserve"> </w:t>
      </w:r>
    </w:p>
    <w:p w:rsidR="0097114D" w:rsidRPr="0097114D" w:rsidRDefault="0097114D" w:rsidP="0097114D">
      <w:pPr>
        <w:pStyle w:val="ListParagraph"/>
        <w:rPr>
          <w:szCs w:val="22"/>
        </w:rPr>
      </w:pPr>
    </w:p>
    <w:p w:rsidR="006346AB" w:rsidRPr="001F6D92" w:rsidRDefault="0097114D" w:rsidP="00786BCB">
      <w:pPr>
        <w:pStyle w:val="PBACheading1"/>
        <w:numPr>
          <w:ilvl w:val="1"/>
          <w:numId w:val="1"/>
        </w:numPr>
      </w:pPr>
      <w:r w:rsidRPr="001F6D92">
        <w:t xml:space="preserve">The PBAC noted the Pre-PBAC response’s revision of the ICER to </w:t>
      </w:r>
      <w:r w:rsidR="00786BCB" w:rsidRPr="001F6D92">
        <w:t>$75,000/QALY – $105,000/QALY</w:t>
      </w:r>
      <w:r w:rsidRPr="001F6D92">
        <w:t xml:space="preserve">, however </w:t>
      </w:r>
      <w:r w:rsidR="00594CFF" w:rsidRPr="001F6D92">
        <w:t>considered that this ICER was still not acceptably cost-effective</w:t>
      </w:r>
      <w:r w:rsidRPr="001F6D92">
        <w:t xml:space="preserve">.   </w:t>
      </w:r>
      <w:r w:rsidR="00594CFF" w:rsidRPr="001F6D92">
        <w:t>The PBAC considered that</w:t>
      </w:r>
      <w:r w:rsidRPr="001F6D92">
        <w:t xml:space="preserve"> </w:t>
      </w:r>
      <w:r w:rsidR="00594CFF" w:rsidRPr="001F6D92">
        <w:t>ruxolitinib would be cost-effective at a reduc</w:t>
      </w:r>
      <w:r w:rsidR="0052763D" w:rsidRPr="001F6D92">
        <w:t>ed price that produced an ICER</w:t>
      </w:r>
      <w:r w:rsidR="00594CFF" w:rsidRPr="001F6D92">
        <w:t xml:space="preserve"> between </w:t>
      </w:r>
      <w:r w:rsidR="001F6D92" w:rsidRPr="001F6D92">
        <w:t>$45,000/QALY – $75,000/QALY</w:t>
      </w:r>
      <w:r w:rsidR="00594CFF" w:rsidRPr="001F6D92">
        <w:t xml:space="preserve"> and </w:t>
      </w:r>
      <w:r w:rsidR="00786BCB" w:rsidRPr="001F6D92">
        <w:t>$45,000/QALY – $75,000/QALY</w:t>
      </w:r>
      <w:r w:rsidR="00594CFF" w:rsidRPr="001F6D92">
        <w:t xml:space="preserve">. </w:t>
      </w:r>
      <w:bookmarkStart w:id="15" w:name="_Toc408474967"/>
    </w:p>
    <w:p w:rsidR="004A210A" w:rsidRDefault="004A210A" w:rsidP="004A210A">
      <w:pPr>
        <w:pStyle w:val="ListParagraph"/>
      </w:pPr>
    </w:p>
    <w:p w:rsidR="004A210A" w:rsidRDefault="004A210A" w:rsidP="00786BCB">
      <w:pPr>
        <w:pStyle w:val="PBACheading1"/>
        <w:numPr>
          <w:ilvl w:val="1"/>
          <w:numId w:val="1"/>
        </w:numPr>
      </w:pPr>
      <w:r>
        <w:t xml:space="preserve">The PBAC did consider whether to limit the population eligible for PBS listing to intermediate-2 </w:t>
      </w:r>
      <w:r w:rsidR="000A7F87">
        <w:t xml:space="preserve">and high risk patients </w:t>
      </w:r>
      <w:r>
        <w:t xml:space="preserve">only, as the ICER would be more certain at </w:t>
      </w:r>
      <w:r w:rsidR="00786BCB" w:rsidRPr="00786BCB">
        <w:t>$45,000/QALY – $75,000/QALY</w:t>
      </w:r>
      <w:r w:rsidR="00786BCB">
        <w:t xml:space="preserve"> </w:t>
      </w:r>
      <w:r>
        <w:t>based on the revised price offer in the pre-PBAC response. Howeve</w:t>
      </w:r>
      <w:r w:rsidR="00476BD7">
        <w:t>r, the committee’s preference was</w:t>
      </w:r>
      <w:r>
        <w:t xml:space="preserve"> to make the PBS listing available for patients with an unmet need who will benefit clinically, and as identified at the stakeholder meeting this includes intermediate-1 patients with high symptom burden. </w:t>
      </w:r>
    </w:p>
    <w:p w:rsidR="004A210A" w:rsidRDefault="004A210A" w:rsidP="004A210A">
      <w:pPr>
        <w:pStyle w:val="PBACheading1"/>
        <w:numPr>
          <w:ilvl w:val="0"/>
          <w:numId w:val="0"/>
        </w:numPr>
        <w:ind w:left="720"/>
      </w:pPr>
    </w:p>
    <w:p w:rsidR="00C25D9C" w:rsidRPr="00497F10" w:rsidRDefault="00C25D9C" w:rsidP="00497F10">
      <w:pPr>
        <w:pStyle w:val="Heading2"/>
        <w:rPr>
          <w:i/>
          <w:szCs w:val="22"/>
        </w:rPr>
      </w:pPr>
      <w:r w:rsidRPr="00497F10">
        <w:rPr>
          <w:i/>
        </w:rPr>
        <w:t>Drug cost/patient/year:</w:t>
      </w:r>
      <w:bookmarkEnd w:id="15"/>
    </w:p>
    <w:p w:rsidR="00C25D9C" w:rsidRPr="00C25D9C" w:rsidRDefault="00C25D9C" w:rsidP="00C25D9C">
      <w:pPr>
        <w:widowControl/>
        <w:rPr>
          <w:szCs w:val="22"/>
        </w:rPr>
      </w:pPr>
    </w:p>
    <w:p w:rsidR="005B66F4" w:rsidRPr="00380C3E" w:rsidRDefault="00807C49" w:rsidP="004D64A8">
      <w:pPr>
        <w:pStyle w:val="PBACheading1"/>
        <w:numPr>
          <w:ilvl w:val="1"/>
          <w:numId w:val="1"/>
        </w:numPr>
        <w:rPr>
          <w:color w:val="C0504D" w:themeColor="accent2"/>
          <w:spacing w:val="5"/>
        </w:rPr>
      </w:pPr>
      <w:r w:rsidRPr="00AB3260">
        <w:t xml:space="preserve">Assuming 13 packs of ruxolitinib per year, with each pack lasting for 28 days, the </w:t>
      </w:r>
      <w:r w:rsidRPr="00380C3E">
        <w:t>drug cost per patient per year</w:t>
      </w:r>
      <w:r w:rsidR="00E872D3" w:rsidRPr="00380C3E">
        <w:t xml:space="preserve"> (based on the effective price)</w:t>
      </w:r>
      <w:r w:rsidRPr="00380C3E">
        <w:t xml:space="preserve"> </w:t>
      </w:r>
      <w:r w:rsidR="006F62A4" w:rsidRPr="00380C3E">
        <w:t>wa</w:t>
      </w:r>
      <w:r w:rsidRPr="00380C3E">
        <w:t xml:space="preserve">s </w:t>
      </w:r>
      <w:r w:rsidR="00E872D3" w:rsidRPr="00380C3E">
        <w:t>$</w:t>
      </w:r>
      <w:r w:rsidR="00023DE7">
        <w:rPr>
          <w:noProof/>
          <w:color w:val="000000"/>
          <w:highlight w:val="black"/>
        </w:rPr>
        <w:t>'''''''''''''''''''''''''</w:t>
      </w:r>
      <w:r w:rsidR="00E872D3" w:rsidRPr="00380C3E">
        <w:t xml:space="preserve"> (at a dose of 5mg twice daily), </w:t>
      </w:r>
      <w:r w:rsidRPr="00380C3E">
        <w:t>$</w:t>
      </w:r>
      <w:r w:rsidR="00023DE7">
        <w:rPr>
          <w:noProof/>
          <w:color w:val="000000"/>
          <w:highlight w:val="black"/>
        </w:rPr>
        <w:t>''''''''''''''''''''''''</w:t>
      </w:r>
      <w:r w:rsidR="00E872D3" w:rsidRPr="00380C3E">
        <w:t xml:space="preserve"> (at a dose of 10mg, 15mg or 20mg twice daily) and $</w:t>
      </w:r>
      <w:r w:rsidR="00023DE7">
        <w:rPr>
          <w:noProof/>
          <w:color w:val="000000"/>
          <w:highlight w:val="black"/>
        </w:rPr>
        <w:t>'''''''''''''''''''''''</w:t>
      </w:r>
      <w:r w:rsidR="00E872D3" w:rsidRPr="00380C3E">
        <w:t xml:space="preserve"> (at a dose of 25mg twice daily)</w:t>
      </w:r>
      <w:r w:rsidRPr="00380C3E">
        <w:t>.</w:t>
      </w:r>
      <w:r w:rsidR="00E872D3" w:rsidRPr="00380C3E">
        <w:t xml:space="preserve">  This compare</w:t>
      </w:r>
      <w:r w:rsidR="006F62A4" w:rsidRPr="00380C3E">
        <w:t>d</w:t>
      </w:r>
      <w:r w:rsidR="00E872D3" w:rsidRPr="00380C3E">
        <w:t xml:space="preserve"> with $</w:t>
      </w:r>
      <w:r w:rsidR="00023DE7">
        <w:rPr>
          <w:noProof/>
          <w:color w:val="000000"/>
          <w:highlight w:val="black"/>
        </w:rPr>
        <w:t>''''''''''''''''''''''''</w:t>
      </w:r>
      <w:r w:rsidR="00E872D3" w:rsidRPr="00380C3E">
        <w:t>, $</w:t>
      </w:r>
      <w:r w:rsidR="00023DE7">
        <w:rPr>
          <w:noProof/>
          <w:color w:val="000000"/>
          <w:highlight w:val="black"/>
        </w:rPr>
        <w:t>'''''''''''''''''''''''</w:t>
      </w:r>
      <w:r w:rsidR="00E872D3" w:rsidRPr="00380C3E">
        <w:t xml:space="preserve"> and $</w:t>
      </w:r>
      <w:r w:rsidR="00023DE7">
        <w:rPr>
          <w:noProof/>
          <w:color w:val="000000"/>
          <w:highlight w:val="black"/>
        </w:rPr>
        <w:t>''''''''''''''''''''''</w:t>
      </w:r>
      <w:r w:rsidR="00E872D3" w:rsidRPr="00380C3E">
        <w:t xml:space="preserve"> in the previous re-submission, respectively.</w:t>
      </w:r>
    </w:p>
    <w:p w:rsidR="005B66F4" w:rsidRDefault="005B66F4" w:rsidP="005B66F4">
      <w:pPr>
        <w:pStyle w:val="PBACheading1"/>
        <w:numPr>
          <w:ilvl w:val="0"/>
          <w:numId w:val="0"/>
        </w:numPr>
        <w:ind w:left="720"/>
        <w:rPr>
          <w:color w:val="C0504D" w:themeColor="accent2"/>
          <w:spacing w:val="5"/>
        </w:rPr>
      </w:pPr>
    </w:p>
    <w:p w:rsidR="005B66F4" w:rsidRPr="00343F2A" w:rsidRDefault="005B66F4" w:rsidP="005B66F4">
      <w:pPr>
        <w:pStyle w:val="Heading2"/>
        <w:rPr>
          <w:i/>
        </w:rPr>
      </w:pPr>
      <w:r w:rsidRPr="00343F2A">
        <w:rPr>
          <w:i/>
        </w:rPr>
        <w:t>Estimated PBS usage &amp; financial implications</w:t>
      </w:r>
    </w:p>
    <w:p w:rsidR="005B66F4" w:rsidRDefault="005B66F4" w:rsidP="005B66F4">
      <w:pPr>
        <w:pStyle w:val="PBACheading1"/>
        <w:numPr>
          <w:ilvl w:val="0"/>
          <w:numId w:val="0"/>
        </w:numPr>
        <w:ind w:left="720"/>
        <w:rPr>
          <w:color w:val="C0504D" w:themeColor="accent2"/>
          <w:spacing w:val="5"/>
        </w:rPr>
      </w:pPr>
    </w:p>
    <w:p w:rsidR="005B66F4" w:rsidRPr="005B66F4" w:rsidRDefault="005B66F4" w:rsidP="004D64A8">
      <w:pPr>
        <w:pStyle w:val="PBACheading1"/>
        <w:numPr>
          <w:ilvl w:val="1"/>
          <w:numId w:val="1"/>
        </w:numPr>
        <w:rPr>
          <w:color w:val="C0504D" w:themeColor="accent2"/>
          <w:spacing w:val="5"/>
        </w:rPr>
      </w:pPr>
      <w:r w:rsidRPr="00B735EB">
        <w:t>The re-submission was not considered by DUSC.  An epidemiological approach was used to estimate the extent of use and financial impact for ruxolitinib. Changes compared to the previous re-submission include:</w:t>
      </w:r>
    </w:p>
    <w:p w:rsidR="005B66F4" w:rsidRPr="005B66F4" w:rsidRDefault="005B66F4" w:rsidP="004D64A8">
      <w:pPr>
        <w:pStyle w:val="ListParagraph"/>
        <w:widowControl/>
        <w:numPr>
          <w:ilvl w:val="1"/>
          <w:numId w:val="4"/>
        </w:numPr>
        <w:ind w:left="993" w:hanging="284"/>
        <w:rPr>
          <w:iCs/>
        </w:rPr>
      </w:pPr>
      <w:r w:rsidRPr="005B66F4">
        <w:rPr>
          <w:iCs/>
        </w:rPr>
        <w:t>New prevalence and incidence rate estimates;</w:t>
      </w:r>
    </w:p>
    <w:p w:rsidR="005B66F4" w:rsidRPr="005B66F4" w:rsidRDefault="005B66F4" w:rsidP="004D64A8">
      <w:pPr>
        <w:pStyle w:val="ListParagraph"/>
        <w:widowControl/>
        <w:numPr>
          <w:ilvl w:val="1"/>
          <w:numId w:val="4"/>
        </w:numPr>
        <w:ind w:left="993" w:hanging="284"/>
        <w:rPr>
          <w:iCs/>
        </w:rPr>
      </w:pPr>
      <w:r w:rsidRPr="005B66F4">
        <w:rPr>
          <w:iCs/>
        </w:rPr>
        <w:t>Lower price to reflect increase of rebate; and</w:t>
      </w:r>
    </w:p>
    <w:p w:rsidR="005B66F4" w:rsidRPr="005B66F4" w:rsidRDefault="005B66F4" w:rsidP="004D64A8">
      <w:pPr>
        <w:pStyle w:val="ListParagraph"/>
        <w:widowControl/>
        <w:numPr>
          <w:ilvl w:val="1"/>
          <w:numId w:val="4"/>
        </w:numPr>
        <w:ind w:left="993" w:hanging="284"/>
        <w:rPr>
          <w:iCs/>
        </w:rPr>
      </w:pPr>
      <w:r w:rsidRPr="005B66F4">
        <w:rPr>
          <w:iCs/>
        </w:rPr>
        <w:t>Inclusion of intermediate-1 patients to reflect changes to requested restriction</w:t>
      </w:r>
      <w:r>
        <w:rPr>
          <w:iCs/>
        </w:rPr>
        <w:t>.</w:t>
      </w:r>
    </w:p>
    <w:p w:rsidR="005B66F4" w:rsidRPr="005B66F4" w:rsidRDefault="005B66F4" w:rsidP="005B66F4">
      <w:pPr>
        <w:pStyle w:val="ListParagraph"/>
        <w:widowControl/>
        <w:ind w:left="993"/>
        <w:rPr>
          <w:iCs/>
        </w:rPr>
      </w:pPr>
    </w:p>
    <w:p w:rsidR="005B66F4" w:rsidRDefault="005B66F4" w:rsidP="004D64A8">
      <w:pPr>
        <w:pStyle w:val="PBACheading1"/>
        <w:numPr>
          <w:ilvl w:val="1"/>
          <w:numId w:val="1"/>
        </w:numPr>
        <w:rPr>
          <w:spacing w:val="5"/>
        </w:rPr>
      </w:pPr>
      <w:r w:rsidRPr="005B66F4">
        <w:rPr>
          <w:spacing w:val="5"/>
        </w:rPr>
        <w:t>The re-submission’s estimates</w:t>
      </w:r>
      <w:r w:rsidR="00862ECD">
        <w:rPr>
          <w:spacing w:val="5"/>
        </w:rPr>
        <w:t xml:space="preserve"> </w:t>
      </w:r>
      <w:r w:rsidR="00010DFC">
        <w:rPr>
          <w:spacing w:val="5"/>
        </w:rPr>
        <w:t xml:space="preserve">are provided in </w:t>
      </w:r>
      <w:r w:rsidR="004B20FC">
        <w:rPr>
          <w:spacing w:val="5"/>
        </w:rPr>
        <w:t xml:space="preserve">the </w:t>
      </w:r>
      <w:r w:rsidR="00010DFC">
        <w:rPr>
          <w:spacing w:val="5"/>
        </w:rPr>
        <w:t>table</w:t>
      </w:r>
      <w:r w:rsidR="004B20FC">
        <w:rPr>
          <w:spacing w:val="5"/>
        </w:rPr>
        <w:t xml:space="preserve"> below</w:t>
      </w:r>
      <w:r w:rsidRPr="005B66F4">
        <w:rPr>
          <w:spacing w:val="5"/>
        </w:rPr>
        <w:t>.</w:t>
      </w:r>
    </w:p>
    <w:p w:rsidR="0039379D" w:rsidRDefault="0039379D">
      <w:pPr>
        <w:widowControl/>
        <w:jc w:val="left"/>
        <w:rPr>
          <w:szCs w:val="22"/>
        </w:rPr>
      </w:pPr>
      <w:r>
        <w:rPr>
          <w:szCs w:val="22"/>
        </w:rPr>
        <w:br w:type="page"/>
      </w:r>
    </w:p>
    <w:p w:rsidR="005B66F4" w:rsidRPr="002725BF" w:rsidRDefault="005B66F4" w:rsidP="002725BF">
      <w:pPr>
        <w:widowControl/>
        <w:rPr>
          <w:rStyle w:val="CommentReference"/>
        </w:rPr>
      </w:pPr>
      <w:r w:rsidRPr="002725BF">
        <w:rPr>
          <w:rStyle w:val="CommentReference"/>
        </w:rPr>
        <w:lastRenderedPageBreak/>
        <w:t>Estimated use and financial implications</w:t>
      </w: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Pr>
      <w:tblGrid>
        <w:gridCol w:w="2552"/>
        <w:gridCol w:w="1140"/>
        <w:gridCol w:w="1133"/>
        <w:gridCol w:w="1133"/>
        <w:gridCol w:w="1135"/>
        <w:gridCol w:w="1252"/>
      </w:tblGrid>
      <w:tr w:rsidR="0056115D" w:rsidRPr="002725BF" w:rsidTr="00BC0026">
        <w:trPr>
          <w:tblHeader/>
        </w:trPr>
        <w:tc>
          <w:tcPr>
            <w:tcW w:w="1529" w:type="pct"/>
            <w:shd w:val="clear" w:color="auto" w:fill="auto"/>
            <w:vAlign w:val="center"/>
          </w:tcPr>
          <w:p w:rsidR="005B66F4" w:rsidRPr="002725BF" w:rsidRDefault="005B66F4" w:rsidP="005B66F4">
            <w:pPr>
              <w:widowControl/>
              <w:tabs>
                <w:tab w:val="left" w:pos="142"/>
              </w:tabs>
              <w:spacing w:after="200" w:line="276" w:lineRule="auto"/>
              <w:ind w:right="93"/>
              <w:jc w:val="left"/>
              <w:rPr>
                <w:rFonts w:ascii="Arial Narrow" w:eastAsiaTheme="minorHAnsi" w:hAnsi="Arial Narrow"/>
                <w:b/>
                <w:snapToGrid/>
                <w:sz w:val="20"/>
              </w:rPr>
            </w:pPr>
          </w:p>
        </w:tc>
        <w:tc>
          <w:tcPr>
            <w:tcW w:w="683" w:type="pct"/>
            <w:shd w:val="clear" w:color="auto" w:fill="FFFFFF" w:themeFill="background1"/>
            <w:vAlign w:val="center"/>
          </w:tcPr>
          <w:p w:rsidR="005B66F4" w:rsidRPr="002725BF" w:rsidRDefault="005B66F4" w:rsidP="005B66F4">
            <w:pPr>
              <w:widowControl/>
              <w:spacing w:after="200" w:line="276" w:lineRule="auto"/>
              <w:ind w:right="93"/>
              <w:jc w:val="center"/>
              <w:rPr>
                <w:rFonts w:ascii="Arial Narrow" w:eastAsiaTheme="minorHAnsi" w:hAnsi="Arial Narrow"/>
                <w:b/>
                <w:snapToGrid/>
                <w:sz w:val="20"/>
              </w:rPr>
            </w:pPr>
            <w:r w:rsidRPr="002725BF">
              <w:rPr>
                <w:rFonts w:ascii="Arial Narrow" w:eastAsiaTheme="minorHAnsi" w:hAnsi="Arial Narrow"/>
                <w:b/>
                <w:snapToGrid/>
                <w:sz w:val="20"/>
              </w:rPr>
              <w:t>Year 1</w:t>
            </w:r>
          </w:p>
        </w:tc>
        <w:tc>
          <w:tcPr>
            <w:tcW w:w="679" w:type="pct"/>
            <w:shd w:val="clear" w:color="auto" w:fill="FFFFFF" w:themeFill="background1"/>
            <w:vAlign w:val="center"/>
          </w:tcPr>
          <w:p w:rsidR="005B66F4" w:rsidRPr="002725BF" w:rsidRDefault="005B66F4" w:rsidP="005B66F4">
            <w:pPr>
              <w:widowControl/>
              <w:spacing w:after="200" w:line="276" w:lineRule="auto"/>
              <w:ind w:right="93"/>
              <w:jc w:val="center"/>
              <w:rPr>
                <w:rFonts w:ascii="Arial Narrow" w:eastAsiaTheme="minorHAnsi" w:hAnsi="Arial Narrow"/>
                <w:b/>
                <w:snapToGrid/>
                <w:sz w:val="20"/>
              </w:rPr>
            </w:pPr>
            <w:r w:rsidRPr="002725BF">
              <w:rPr>
                <w:rFonts w:ascii="Arial Narrow" w:eastAsiaTheme="minorHAnsi" w:hAnsi="Arial Narrow"/>
                <w:b/>
                <w:snapToGrid/>
                <w:sz w:val="20"/>
              </w:rPr>
              <w:t>Year 2</w:t>
            </w:r>
          </w:p>
        </w:tc>
        <w:tc>
          <w:tcPr>
            <w:tcW w:w="679" w:type="pct"/>
            <w:shd w:val="clear" w:color="auto" w:fill="FFFFFF" w:themeFill="background1"/>
            <w:vAlign w:val="center"/>
          </w:tcPr>
          <w:p w:rsidR="005B66F4" w:rsidRPr="002725BF" w:rsidRDefault="005B66F4" w:rsidP="005B66F4">
            <w:pPr>
              <w:widowControl/>
              <w:spacing w:after="200" w:line="276" w:lineRule="auto"/>
              <w:ind w:right="93"/>
              <w:jc w:val="center"/>
              <w:rPr>
                <w:rFonts w:ascii="Arial Narrow" w:eastAsiaTheme="minorHAnsi" w:hAnsi="Arial Narrow"/>
                <w:b/>
                <w:snapToGrid/>
                <w:sz w:val="20"/>
              </w:rPr>
            </w:pPr>
            <w:r w:rsidRPr="002725BF">
              <w:rPr>
                <w:rFonts w:ascii="Arial Narrow" w:eastAsiaTheme="minorHAnsi" w:hAnsi="Arial Narrow"/>
                <w:b/>
                <w:snapToGrid/>
                <w:sz w:val="20"/>
              </w:rPr>
              <w:t>Year 3</w:t>
            </w:r>
          </w:p>
        </w:tc>
        <w:tc>
          <w:tcPr>
            <w:tcW w:w="680" w:type="pct"/>
            <w:shd w:val="clear" w:color="auto" w:fill="FFFFFF" w:themeFill="background1"/>
            <w:vAlign w:val="center"/>
          </w:tcPr>
          <w:p w:rsidR="005B66F4" w:rsidRPr="002725BF" w:rsidRDefault="005B66F4" w:rsidP="005B66F4">
            <w:pPr>
              <w:widowControl/>
              <w:spacing w:after="200" w:line="276" w:lineRule="auto"/>
              <w:ind w:right="93"/>
              <w:jc w:val="center"/>
              <w:rPr>
                <w:rFonts w:ascii="Arial Narrow" w:eastAsiaTheme="minorHAnsi" w:hAnsi="Arial Narrow"/>
                <w:b/>
                <w:snapToGrid/>
                <w:sz w:val="20"/>
              </w:rPr>
            </w:pPr>
            <w:r w:rsidRPr="002725BF">
              <w:rPr>
                <w:rFonts w:ascii="Arial Narrow" w:eastAsiaTheme="minorHAnsi" w:hAnsi="Arial Narrow"/>
                <w:b/>
                <w:snapToGrid/>
                <w:sz w:val="20"/>
              </w:rPr>
              <w:t>Year 4</w:t>
            </w:r>
          </w:p>
        </w:tc>
        <w:tc>
          <w:tcPr>
            <w:tcW w:w="750" w:type="pct"/>
            <w:shd w:val="clear" w:color="auto" w:fill="FFFFFF" w:themeFill="background1"/>
            <w:vAlign w:val="center"/>
          </w:tcPr>
          <w:p w:rsidR="005B66F4" w:rsidRPr="002725BF" w:rsidRDefault="005B66F4" w:rsidP="005B66F4">
            <w:pPr>
              <w:widowControl/>
              <w:spacing w:after="200" w:line="276" w:lineRule="auto"/>
              <w:ind w:right="93"/>
              <w:jc w:val="center"/>
              <w:rPr>
                <w:rFonts w:ascii="Arial Narrow" w:eastAsiaTheme="minorHAnsi" w:hAnsi="Arial Narrow"/>
                <w:b/>
                <w:snapToGrid/>
                <w:sz w:val="20"/>
              </w:rPr>
            </w:pPr>
            <w:r w:rsidRPr="002725BF">
              <w:rPr>
                <w:rFonts w:ascii="Arial Narrow" w:eastAsiaTheme="minorHAnsi" w:hAnsi="Arial Narrow"/>
                <w:b/>
                <w:snapToGrid/>
                <w:sz w:val="20"/>
              </w:rPr>
              <w:t>Year 5</w:t>
            </w:r>
          </w:p>
        </w:tc>
      </w:tr>
      <w:tr w:rsidR="005B66F4" w:rsidRPr="002725BF" w:rsidTr="00BC0026">
        <w:tc>
          <w:tcPr>
            <w:tcW w:w="5000" w:type="pct"/>
            <w:gridSpan w:val="6"/>
            <w:shd w:val="clear" w:color="auto" w:fill="auto"/>
            <w:vAlign w:val="center"/>
          </w:tcPr>
          <w:p w:rsidR="005B66F4" w:rsidRPr="002725BF" w:rsidRDefault="005B66F4" w:rsidP="005B66F4">
            <w:pPr>
              <w:widowControl/>
              <w:spacing w:after="200" w:line="276" w:lineRule="auto"/>
              <w:ind w:right="93"/>
              <w:jc w:val="left"/>
              <w:rPr>
                <w:rFonts w:ascii="Arial Narrow" w:eastAsiaTheme="minorHAnsi" w:hAnsi="Arial Narrow"/>
                <w:b/>
                <w:bCs/>
                <w:snapToGrid/>
                <w:sz w:val="20"/>
              </w:rPr>
            </w:pPr>
            <w:r w:rsidRPr="002725BF">
              <w:rPr>
                <w:rFonts w:ascii="Arial Narrow" w:eastAsiaTheme="minorHAnsi" w:hAnsi="Arial Narrow"/>
                <w:b/>
                <w:bCs/>
                <w:snapToGrid/>
                <w:sz w:val="20"/>
              </w:rPr>
              <w:t>Estimated extent of use</w:t>
            </w:r>
          </w:p>
        </w:tc>
      </w:tr>
      <w:tr w:rsidR="0056115D" w:rsidRPr="002725BF" w:rsidTr="00BC0026">
        <w:tc>
          <w:tcPr>
            <w:tcW w:w="1529" w:type="pct"/>
            <w:shd w:val="clear" w:color="auto" w:fill="auto"/>
            <w:vAlign w:val="center"/>
          </w:tcPr>
          <w:p w:rsidR="005B66F4" w:rsidRPr="002725BF" w:rsidRDefault="005B66F4" w:rsidP="005B66F4">
            <w:pPr>
              <w:widowControl/>
              <w:tabs>
                <w:tab w:val="left" w:pos="142"/>
              </w:tabs>
              <w:spacing w:after="200" w:line="276" w:lineRule="auto"/>
              <w:ind w:right="93"/>
              <w:jc w:val="left"/>
              <w:rPr>
                <w:rFonts w:ascii="Arial Narrow" w:eastAsiaTheme="minorHAnsi" w:hAnsi="Arial Narrow"/>
                <w:snapToGrid/>
                <w:sz w:val="20"/>
              </w:rPr>
            </w:pPr>
            <w:r w:rsidRPr="002725BF">
              <w:rPr>
                <w:rFonts w:ascii="Arial Narrow" w:eastAsiaTheme="minorHAnsi" w:hAnsi="Arial Narrow"/>
                <w:snapToGrid/>
                <w:sz w:val="20"/>
              </w:rPr>
              <w:t>Number treated</w:t>
            </w:r>
          </w:p>
        </w:tc>
        <w:tc>
          <w:tcPr>
            <w:tcW w:w="683"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79"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79"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80"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750"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r>
      <w:tr w:rsidR="0056115D" w:rsidRPr="002725BF" w:rsidTr="00BC0026">
        <w:tc>
          <w:tcPr>
            <w:tcW w:w="1529" w:type="pct"/>
            <w:shd w:val="clear" w:color="auto" w:fill="auto"/>
            <w:vAlign w:val="center"/>
          </w:tcPr>
          <w:p w:rsidR="005B66F4" w:rsidRPr="002725BF" w:rsidRDefault="005B66F4" w:rsidP="005B66F4">
            <w:pPr>
              <w:widowControl/>
              <w:tabs>
                <w:tab w:val="left" w:pos="114"/>
              </w:tabs>
              <w:spacing w:after="200" w:line="276" w:lineRule="auto"/>
              <w:jc w:val="left"/>
              <w:rPr>
                <w:rFonts w:ascii="Arial Narrow" w:eastAsiaTheme="minorHAnsi" w:hAnsi="Arial Narrow"/>
                <w:snapToGrid/>
                <w:sz w:val="20"/>
              </w:rPr>
            </w:pPr>
            <w:r w:rsidRPr="002725BF">
              <w:rPr>
                <w:rFonts w:ascii="Arial Narrow" w:eastAsiaTheme="minorHAnsi" w:hAnsi="Arial Narrow"/>
                <w:snapToGrid/>
                <w:sz w:val="20"/>
              </w:rPr>
              <w:t>Int-2 or high risk MF patients</w:t>
            </w:r>
          </w:p>
        </w:tc>
        <w:tc>
          <w:tcPr>
            <w:tcW w:w="683"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79"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79"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80"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750"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r>
      <w:tr w:rsidR="0056115D" w:rsidRPr="002725BF" w:rsidTr="00BC0026">
        <w:tc>
          <w:tcPr>
            <w:tcW w:w="1529" w:type="pct"/>
            <w:shd w:val="clear" w:color="auto" w:fill="auto"/>
            <w:vAlign w:val="center"/>
          </w:tcPr>
          <w:p w:rsidR="005B66F4" w:rsidRPr="002725BF" w:rsidRDefault="005B66F4" w:rsidP="005B66F4">
            <w:pPr>
              <w:widowControl/>
              <w:tabs>
                <w:tab w:val="left" w:pos="114"/>
              </w:tabs>
              <w:spacing w:after="200" w:line="276" w:lineRule="auto"/>
              <w:jc w:val="left"/>
              <w:rPr>
                <w:rFonts w:ascii="Arial Narrow" w:eastAsiaTheme="minorHAnsi" w:hAnsi="Arial Narrow"/>
                <w:snapToGrid/>
                <w:sz w:val="20"/>
              </w:rPr>
            </w:pPr>
            <w:r w:rsidRPr="002725BF">
              <w:rPr>
                <w:rFonts w:ascii="Arial Narrow" w:eastAsiaTheme="minorHAnsi" w:hAnsi="Arial Narrow"/>
                <w:snapToGrid/>
                <w:sz w:val="20"/>
              </w:rPr>
              <w:t xml:space="preserve">Severely symptomatic Int-1 </w:t>
            </w:r>
          </w:p>
        </w:tc>
        <w:tc>
          <w:tcPr>
            <w:tcW w:w="683"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79"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79"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680"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c>
          <w:tcPr>
            <w:tcW w:w="750" w:type="pct"/>
            <w:shd w:val="clear" w:color="auto" w:fill="auto"/>
          </w:tcPr>
          <w:p w:rsidR="005B66F4" w:rsidRPr="00023DE7" w:rsidRDefault="00023DE7" w:rsidP="005B66F4">
            <w:pPr>
              <w:widowControl/>
              <w:spacing w:after="200" w:line="276" w:lineRule="auto"/>
              <w:jc w:val="center"/>
              <w:rPr>
                <w:rFonts w:ascii="Arial Narrow" w:eastAsiaTheme="minorHAnsi" w:hAnsi="Arial Narrow"/>
                <w:snapToGrid/>
                <w:sz w:val="20"/>
                <w:highlight w:val="black"/>
              </w:rPr>
            </w:pPr>
            <w:r>
              <w:rPr>
                <w:rFonts w:ascii="Arial Narrow" w:eastAsiaTheme="minorHAnsi" w:hAnsi="Arial Narrow"/>
                <w:noProof/>
                <w:snapToGrid/>
                <w:color w:val="000000"/>
                <w:sz w:val="20"/>
                <w:highlight w:val="black"/>
              </w:rPr>
              <w:t>'''''''''</w:t>
            </w:r>
          </w:p>
        </w:tc>
      </w:tr>
      <w:tr w:rsidR="0056115D" w:rsidRPr="002725BF" w:rsidTr="00BC0026">
        <w:tc>
          <w:tcPr>
            <w:tcW w:w="1529" w:type="pct"/>
            <w:shd w:val="clear" w:color="auto" w:fill="auto"/>
            <w:vAlign w:val="center"/>
          </w:tcPr>
          <w:p w:rsidR="005B66F4" w:rsidRPr="002725BF" w:rsidRDefault="005B66F4" w:rsidP="005B66F4">
            <w:pPr>
              <w:widowControl/>
              <w:tabs>
                <w:tab w:val="left" w:pos="142"/>
              </w:tabs>
              <w:spacing w:after="200" w:line="276" w:lineRule="auto"/>
              <w:ind w:right="93"/>
              <w:jc w:val="left"/>
              <w:rPr>
                <w:rFonts w:ascii="Arial Narrow" w:eastAsiaTheme="minorHAnsi" w:hAnsi="Arial Narrow"/>
                <w:snapToGrid/>
                <w:sz w:val="20"/>
              </w:rPr>
            </w:pPr>
            <w:r w:rsidRPr="002725BF">
              <w:rPr>
                <w:rFonts w:ascii="Arial Narrow" w:eastAsiaTheme="minorHAnsi" w:hAnsi="Arial Narrow"/>
                <w:snapToGrid/>
                <w:sz w:val="20"/>
              </w:rPr>
              <w:t>Uptake - Int-1</w:t>
            </w:r>
          </w:p>
        </w:tc>
        <w:tc>
          <w:tcPr>
            <w:tcW w:w="683"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679"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679"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 xml:space="preserve">'''''''''' </w:t>
            </w:r>
            <w:r w:rsidR="005B66F4" w:rsidRPr="002725BF">
              <w:rPr>
                <w:rFonts w:ascii="Arial Narrow" w:eastAsiaTheme="minorHAnsi" w:hAnsi="Arial Narrow"/>
                <w:snapToGrid/>
                <w:sz w:val="20"/>
              </w:rPr>
              <w:t>%</w:t>
            </w:r>
          </w:p>
        </w:tc>
        <w:tc>
          <w:tcPr>
            <w:tcW w:w="680"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750"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r>
      <w:tr w:rsidR="0056115D" w:rsidRPr="002725BF" w:rsidTr="00BC0026">
        <w:tc>
          <w:tcPr>
            <w:tcW w:w="1529" w:type="pct"/>
            <w:shd w:val="clear" w:color="auto" w:fill="auto"/>
            <w:vAlign w:val="center"/>
          </w:tcPr>
          <w:p w:rsidR="005B66F4" w:rsidRPr="002725BF" w:rsidRDefault="005B66F4" w:rsidP="005B66F4">
            <w:pPr>
              <w:widowControl/>
              <w:tabs>
                <w:tab w:val="left" w:pos="142"/>
              </w:tabs>
              <w:spacing w:after="200" w:line="276" w:lineRule="auto"/>
              <w:ind w:right="93"/>
              <w:jc w:val="left"/>
              <w:rPr>
                <w:rFonts w:ascii="Arial Narrow" w:eastAsiaTheme="minorHAnsi" w:hAnsi="Arial Narrow"/>
                <w:snapToGrid/>
                <w:sz w:val="20"/>
              </w:rPr>
            </w:pPr>
            <w:r w:rsidRPr="002725BF">
              <w:rPr>
                <w:rFonts w:ascii="Arial Narrow" w:eastAsiaTheme="minorHAnsi" w:hAnsi="Arial Narrow"/>
                <w:snapToGrid/>
                <w:sz w:val="20"/>
              </w:rPr>
              <w:t>Uptake – Int-2</w:t>
            </w:r>
          </w:p>
        </w:tc>
        <w:tc>
          <w:tcPr>
            <w:tcW w:w="683"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679"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679"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680"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w:t>
            </w:r>
            <w:r w:rsidR="005B66F4" w:rsidRPr="002725BF">
              <w:rPr>
                <w:rFonts w:ascii="Arial Narrow" w:eastAsiaTheme="minorHAnsi" w:hAnsi="Arial Narrow"/>
                <w:snapToGrid/>
                <w:sz w:val="20"/>
              </w:rPr>
              <w:t xml:space="preserve"> %</w:t>
            </w:r>
          </w:p>
        </w:tc>
        <w:tc>
          <w:tcPr>
            <w:tcW w:w="750" w:type="pct"/>
            <w:shd w:val="clear" w:color="auto" w:fill="auto"/>
            <w:vAlign w:val="center"/>
          </w:tcPr>
          <w:p w:rsidR="005B66F4" w:rsidRPr="002725BF" w:rsidRDefault="00023DE7" w:rsidP="005B66F4">
            <w:pPr>
              <w:widowControl/>
              <w:spacing w:after="200" w:line="276" w:lineRule="auto"/>
              <w:jc w:val="center"/>
              <w:rPr>
                <w:rFonts w:ascii="Arial Narrow" w:eastAsiaTheme="minorHAnsi" w:hAnsi="Arial Narrow"/>
                <w:snapToGrid/>
                <w:sz w:val="20"/>
              </w:rPr>
            </w:pPr>
            <w:r>
              <w:rPr>
                <w:rFonts w:ascii="Arial Narrow" w:eastAsiaTheme="minorHAnsi" w:hAnsi="Arial Narrow"/>
                <w:noProof/>
                <w:snapToGrid/>
                <w:color w:val="000000"/>
                <w:sz w:val="20"/>
                <w:highlight w:val="black"/>
              </w:rPr>
              <w:t xml:space="preserve">'''''' </w:t>
            </w:r>
            <w:r w:rsidR="005B66F4" w:rsidRPr="002725BF">
              <w:rPr>
                <w:rFonts w:ascii="Arial Narrow" w:eastAsiaTheme="minorHAnsi" w:hAnsi="Arial Narrow"/>
                <w:snapToGrid/>
                <w:sz w:val="20"/>
              </w:rPr>
              <w:t>%</w:t>
            </w:r>
          </w:p>
        </w:tc>
      </w:tr>
      <w:tr w:rsidR="005B66F4" w:rsidRPr="002725BF" w:rsidTr="00BC0026">
        <w:tc>
          <w:tcPr>
            <w:tcW w:w="5000" w:type="pct"/>
            <w:gridSpan w:val="6"/>
            <w:shd w:val="clear" w:color="auto" w:fill="auto"/>
            <w:vAlign w:val="center"/>
          </w:tcPr>
          <w:p w:rsidR="005B66F4" w:rsidRPr="002725BF" w:rsidRDefault="005B66F4" w:rsidP="005B66F4">
            <w:pPr>
              <w:widowControl/>
              <w:spacing w:after="200" w:line="276" w:lineRule="auto"/>
              <w:ind w:right="93"/>
              <w:jc w:val="left"/>
              <w:rPr>
                <w:rFonts w:ascii="Arial Narrow" w:eastAsiaTheme="minorHAnsi" w:hAnsi="Arial Narrow"/>
                <w:b/>
                <w:bCs/>
                <w:snapToGrid/>
                <w:sz w:val="20"/>
              </w:rPr>
            </w:pPr>
            <w:r w:rsidRPr="002725BF">
              <w:rPr>
                <w:rFonts w:ascii="Arial Narrow" w:eastAsiaTheme="minorHAnsi" w:hAnsi="Arial Narrow"/>
                <w:b/>
                <w:bCs/>
                <w:snapToGrid/>
                <w:sz w:val="20"/>
              </w:rPr>
              <w:t xml:space="preserve">Estimated net cost to </w:t>
            </w:r>
            <w:r w:rsidR="006465AE">
              <w:rPr>
                <w:rFonts w:ascii="Arial Narrow" w:eastAsiaTheme="minorHAnsi" w:hAnsi="Arial Narrow"/>
                <w:b/>
                <w:bCs/>
                <w:snapToGrid/>
                <w:sz w:val="20"/>
              </w:rPr>
              <w:t xml:space="preserve">Government </w:t>
            </w:r>
            <w:r w:rsidRPr="002725BF">
              <w:rPr>
                <w:rFonts w:ascii="Arial Narrow" w:eastAsiaTheme="minorHAnsi" w:hAnsi="Arial Narrow"/>
                <w:b/>
                <w:bCs/>
                <w:snapToGrid/>
                <w:sz w:val="20"/>
              </w:rPr>
              <w:t>PBS/</w:t>
            </w:r>
            <w:r w:rsidR="006465AE">
              <w:rPr>
                <w:rFonts w:ascii="Arial Narrow" w:eastAsiaTheme="minorHAnsi" w:hAnsi="Arial Narrow"/>
                <w:b/>
                <w:bCs/>
                <w:snapToGrid/>
                <w:sz w:val="20"/>
              </w:rPr>
              <w:t>RPBS/</w:t>
            </w:r>
            <w:r w:rsidRPr="002725BF">
              <w:rPr>
                <w:rFonts w:ascii="Arial Narrow" w:eastAsiaTheme="minorHAnsi" w:hAnsi="Arial Narrow"/>
                <w:b/>
                <w:bCs/>
                <w:snapToGrid/>
                <w:sz w:val="20"/>
              </w:rPr>
              <w:t>MBS</w:t>
            </w:r>
          </w:p>
        </w:tc>
      </w:tr>
      <w:tr w:rsidR="0056115D" w:rsidRPr="002725BF" w:rsidTr="00BC0026">
        <w:tc>
          <w:tcPr>
            <w:tcW w:w="1529" w:type="pct"/>
            <w:shd w:val="clear" w:color="auto" w:fill="auto"/>
            <w:vAlign w:val="center"/>
          </w:tcPr>
          <w:p w:rsidR="005B66F4" w:rsidRPr="002725BF" w:rsidRDefault="005B66F4" w:rsidP="005B66F4">
            <w:pPr>
              <w:widowControl/>
              <w:tabs>
                <w:tab w:val="left" w:pos="142"/>
              </w:tabs>
              <w:spacing w:after="200" w:line="276" w:lineRule="auto"/>
              <w:ind w:right="93"/>
              <w:jc w:val="left"/>
              <w:rPr>
                <w:rFonts w:ascii="Arial Narrow" w:eastAsiaTheme="minorHAnsi" w:hAnsi="Arial Narrow"/>
                <w:snapToGrid/>
                <w:sz w:val="20"/>
              </w:rPr>
            </w:pPr>
            <w:r w:rsidRPr="002725BF">
              <w:rPr>
                <w:rFonts w:ascii="Arial Narrow" w:eastAsiaTheme="minorHAnsi" w:hAnsi="Arial Narrow"/>
                <w:snapToGrid/>
                <w:sz w:val="20"/>
              </w:rPr>
              <w:t>Net cost to PBS</w:t>
            </w:r>
            <w:r w:rsidR="006465AE">
              <w:rPr>
                <w:rFonts w:ascii="Arial Narrow" w:eastAsiaTheme="minorHAnsi" w:hAnsi="Arial Narrow"/>
                <w:snapToGrid/>
                <w:sz w:val="20"/>
              </w:rPr>
              <w:t>/RPBS</w:t>
            </w:r>
          </w:p>
        </w:tc>
        <w:tc>
          <w:tcPr>
            <w:tcW w:w="683" w:type="pct"/>
            <w:shd w:val="clear" w:color="auto" w:fill="auto"/>
            <w:vAlign w:val="center"/>
          </w:tcPr>
          <w:p w:rsidR="005B66F4" w:rsidRPr="00F22EDF" w:rsidRDefault="005B66F4" w:rsidP="00D50C65">
            <w:pPr>
              <w:widowControl/>
              <w:spacing w:after="200" w:line="276" w:lineRule="auto"/>
              <w:jc w:val="center"/>
              <w:rPr>
                <w:rFonts w:ascii="Arial Narrow" w:eastAsiaTheme="minorHAnsi" w:hAnsi="Arial Narrow"/>
                <w:iCs/>
                <w:snapToGrid/>
                <w:sz w:val="20"/>
              </w:rPr>
            </w:pPr>
            <w:r w:rsidRPr="00F22EDF">
              <w:rPr>
                <w:rFonts w:ascii="Arial Narrow" w:eastAsiaTheme="minorHAnsi" w:hAnsi="Arial Narrow"/>
                <w:iCs/>
                <w:snapToGrid/>
                <w:sz w:val="20"/>
              </w:rPr>
              <w:t>$</w:t>
            </w:r>
            <w:r w:rsidR="00023DE7">
              <w:rPr>
                <w:rFonts w:ascii="Arial Narrow" w:hAnsi="Arial Narrow"/>
                <w:noProof/>
                <w:color w:val="000000"/>
                <w:sz w:val="20"/>
                <w:highlight w:val="black"/>
                <w:lang w:val="en-US"/>
              </w:rPr>
              <w:t>'''''''''''''''''''''''''''''</w:t>
            </w:r>
          </w:p>
        </w:tc>
        <w:tc>
          <w:tcPr>
            <w:tcW w:w="679" w:type="pct"/>
            <w:shd w:val="clear" w:color="auto" w:fill="auto"/>
            <w:vAlign w:val="center"/>
          </w:tcPr>
          <w:p w:rsidR="005B66F4" w:rsidRPr="00F22EDF" w:rsidRDefault="005B66F4" w:rsidP="005B66F4">
            <w:pPr>
              <w:widowControl/>
              <w:spacing w:after="200" w:line="276" w:lineRule="auto"/>
              <w:jc w:val="center"/>
              <w:rPr>
                <w:rFonts w:ascii="Arial Narrow" w:eastAsiaTheme="minorHAnsi" w:hAnsi="Arial Narrow"/>
                <w:iCs/>
                <w:snapToGrid/>
                <w:sz w:val="20"/>
              </w:rPr>
            </w:pPr>
            <w:r w:rsidRPr="00F22EDF">
              <w:rPr>
                <w:rFonts w:ascii="Arial Narrow" w:eastAsiaTheme="minorHAnsi" w:hAnsi="Arial Narrow"/>
                <w:iCs/>
                <w:snapToGrid/>
                <w:sz w:val="20"/>
              </w:rPr>
              <w:t>$</w:t>
            </w:r>
            <w:r w:rsidR="00023DE7">
              <w:rPr>
                <w:rFonts w:ascii="Arial Narrow" w:hAnsi="Arial Narrow"/>
                <w:noProof/>
                <w:color w:val="000000"/>
                <w:sz w:val="20"/>
                <w:highlight w:val="black"/>
                <w:lang w:val="en-US"/>
              </w:rPr>
              <w:t>''''''''''''''''''''''''''''</w:t>
            </w:r>
          </w:p>
        </w:tc>
        <w:tc>
          <w:tcPr>
            <w:tcW w:w="679" w:type="pct"/>
            <w:shd w:val="clear" w:color="auto" w:fill="auto"/>
            <w:vAlign w:val="center"/>
          </w:tcPr>
          <w:p w:rsidR="005B66F4" w:rsidRPr="00F22EDF" w:rsidRDefault="005B66F4" w:rsidP="005B66F4">
            <w:pPr>
              <w:widowControl/>
              <w:spacing w:after="200" w:line="276" w:lineRule="auto"/>
              <w:jc w:val="center"/>
              <w:rPr>
                <w:rFonts w:ascii="Arial Narrow" w:eastAsiaTheme="minorHAnsi" w:hAnsi="Arial Narrow"/>
                <w:iCs/>
                <w:snapToGrid/>
                <w:sz w:val="20"/>
              </w:rPr>
            </w:pPr>
            <w:r w:rsidRPr="00F22EDF">
              <w:rPr>
                <w:rFonts w:ascii="Arial Narrow" w:eastAsiaTheme="minorHAnsi" w:hAnsi="Arial Narrow"/>
                <w:iCs/>
                <w:snapToGrid/>
                <w:sz w:val="20"/>
              </w:rPr>
              <w:t>$</w:t>
            </w:r>
            <w:r w:rsidR="00023DE7">
              <w:rPr>
                <w:rFonts w:ascii="Arial Narrow" w:hAnsi="Arial Narrow"/>
                <w:noProof/>
                <w:color w:val="000000"/>
                <w:sz w:val="20"/>
                <w:highlight w:val="black"/>
                <w:lang w:val="en-US"/>
              </w:rPr>
              <w:t>'''''''''''''''''''''''''''''</w:t>
            </w:r>
          </w:p>
        </w:tc>
        <w:tc>
          <w:tcPr>
            <w:tcW w:w="680" w:type="pct"/>
            <w:shd w:val="clear" w:color="auto" w:fill="auto"/>
            <w:vAlign w:val="center"/>
          </w:tcPr>
          <w:p w:rsidR="005B66F4" w:rsidRPr="00F22EDF" w:rsidRDefault="005B66F4" w:rsidP="005B66F4">
            <w:pPr>
              <w:widowControl/>
              <w:spacing w:after="200" w:line="276" w:lineRule="auto"/>
              <w:jc w:val="center"/>
              <w:rPr>
                <w:rFonts w:ascii="Arial Narrow" w:eastAsiaTheme="minorHAnsi" w:hAnsi="Arial Narrow"/>
                <w:iCs/>
                <w:snapToGrid/>
                <w:sz w:val="20"/>
              </w:rPr>
            </w:pPr>
            <w:r w:rsidRPr="00F22EDF">
              <w:rPr>
                <w:rFonts w:ascii="Arial Narrow" w:eastAsiaTheme="minorHAnsi" w:hAnsi="Arial Narrow"/>
                <w:iCs/>
                <w:snapToGrid/>
                <w:sz w:val="20"/>
              </w:rPr>
              <w:t>$</w:t>
            </w:r>
            <w:r w:rsidR="00023DE7">
              <w:rPr>
                <w:rFonts w:ascii="Arial Narrow" w:hAnsi="Arial Narrow"/>
                <w:noProof/>
                <w:color w:val="000000"/>
                <w:sz w:val="20"/>
                <w:highlight w:val="black"/>
                <w:lang w:val="en-US"/>
              </w:rPr>
              <w:t>'''''''''''''''''''''''''''''</w:t>
            </w:r>
          </w:p>
        </w:tc>
        <w:tc>
          <w:tcPr>
            <w:tcW w:w="750" w:type="pct"/>
            <w:shd w:val="clear" w:color="auto" w:fill="auto"/>
            <w:vAlign w:val="center"/>
          </w:tcPr>
          <w:p w:rsidR="005B66F4" w:rsidRPr="00F22EDF" w:rsidRDefault="005B66F4" w:rsidP="005B66F4">
            <w:pPr>
              <w:widowControl/>
              <w:spacing w:after="200" w:line="276" w:lineRule="auto"/>
              <w:jc w:val="center"/>
              <w:rPr>
                <w:rFonts w:ascii="Arial Narrow" w:eastAsiaTheme="minorHAnsi" w:hAnsi="Arial Narrow"/>
                <w:iCs/>
                <w:snapToGrid/>
                <w:sz w:val="20"/>
              </w:rPr>
            </w:pPr>
            <w:r w:rsidRPr="00F22EDF">
              <w:rPr>
                <w:rFonts w:ascii="Arial Narrow" w:eastAsiaTheme="minorHAnsi" w:hAnsi="Arial Narrow"/>
                <w:iCs/>
                <w:snapToGrid/>
                <w:sz w:val="20"/>
              </w:rPr>
              <w:t>$</w:t>
            </w:r>
            <w:r w:rsidR="00023DE7">
              <w:rPr>
                <w:rFonts w:ascii="Arial Narrow" w:hAnsi="Arial Narrow"/>
                <w:noProof/>
                <w:color w:val="000000"/>
                <w:sz w:val="20"/>
                <w:highlight w:val="black"/>
                <w:lang w:val="en-US"/>
              </w:rPr>
              <w:t>'''''''''''''''''''''''''</w:t>
            </w:r>
          </w:p>
        </w:tc>
      </w:tr>
      <w:tr w:rsidR="0056115D" w:rsidRPr="002725BF" w:rsidTr="00BC0026">
        <w:tc>
          <w:tcPr>
            <w:tcW w:w="1529" w:type="pct"/>
            <w:shd w:val="clear" w:color="auto" w:fill="auto"/>
            <w:vAlign w:val="center"/>
          </w:tcPr>
          <w:p w:rsidR="005B66F4" w:rsidRPr="002725BF" w:rsidRDefault="005B66F4" w:rsidP="005B66F4">
            <w:pPr>
              <w:widowControl/>
              <w:tabs>
                <w:tab w:val="left" w:pos="142"/>
              </w:tabs>
              <w:spacing w:after="200" w:line="276" w:lineRule="auto"/>
              <w:ind w:right="93"/>
              <w:jc w:val="left"/>
              <w:rPr>
                <w:rFonts w:ascii="Arial Narrow" w:eastAsiaTheme="minorHAnsi" w:hAnsi="Arial Narrow"/>
                <w:snapToGrid/>
                <w:sz w:val="20"/>
              </w:rPr>
            </w:pPr>
            <w:r w:rsidRPr="002725BF">
              <w:rPr>
                <w:rFonts w:ascii="Arial Narrow" w:eastAsiaTheme="minorHAnsi" w:hAnsi="Arial Narrow"/>
                <w:snapToGrid/>
                <w:sz w:val="20"/>
              </w:rPr>
              <w:t>Net cost to MBS</w:t>
            </w:r>
          </w:p>
        </w:tc>
        <w:tc>
          <w:tcPr>
            <w:tcW w:w="683" w:type="pct"/>
            <w:shd w:val="clear" w:color="auto" w:fill="auto"/>
          </w:tcPr>
          <w:p w:rsidR="005B66F4" w:rsidRPr="00B34C73" w:rsidRDefault="005B66F4" w:rsidP="005B66F4">
            <w:pPr>
              <w:widowControl/>
              <w:spacing w:after="200" w:line="276" w:lineRule="auto"/>
              <w:jc w:val="center"/>
              <w:rPr>
                <w:rFonts w:ascii="Arial Narrow" w:eastAsiaTheme="minorHAnsi" w:hAnsi="Arial Narrow"/>
                <w:iCs/>
                <w:snapToGrid/>
                <w:sz w:val="20"/>
              </w:rPr>
            </w:pPr>
            <w:r w:rsidRPr="00B34C73">
              <w:rPr>
                <w:rFonts w:ascii="Arial Narrow" w:eastAsiaTheme="minorHAnsi" w:hAnsi="Arial Narrow"/>
                <w:iCs/>
                <w:snapToGrid/>
                <w:sz w:val="20"/>
              </w:rPr>
              <w:t>$</w:t>
            </w:r>
            <w:r w:rsidR="00023DE7">
              <w:rPr>
                <w:rFonts w:ascii="Arial Narrow" w:eastAsiaTheme="minorHAnsi" w:hAnsi="Arial Narrow"/>
                <w:iCs/>
                <w:noProof/>
                <w:snapToGrid/>
                <w:color w:val="000000"/>
                <w:sz w:val="20"/>
                <w:highlight w:val="black"/>
              </w:rPr>
              <w:t>'''''''''''''''</w:t>
            </w:r>
          </w:p>
        </w:tc>
        <w:tc>
          <w:tcPr>
            <w:tcW w:w="679" w:type="pct"/>
            <w:shd w:val="clear" w:color="auto" w:fill="auto"/>
          </w:tcPr>
          <w:p w:rsidR="005B66F4" w:rsidRPr="00B34C73" w:rsidRDefault="005B66F4" w:rsidP="005B66F4">
            <w:pPr>
              <w:widowControl/>
              <w:spacing w:after="200" w:line="276" w:lineRule="auto"/>
              <w:jc w:val="center"/>
              <w:rPr>
                <w:rFonts w:ascii="Arial Narrow" w:eastAsiaTheme="minorHAnsi" w:hAnsi="Arial Narrow"/>
                <w:iCs/>
                <w:snapToGrid/>
                <w:sz w:val="20"/>
              </w:rPr>
            </w:pPr>
            <w:r w:rsidRPr="00B34C73">
              <w:rPr>
                <w:rFonts w:ascii="Arial Narrow" w:eastAsiaTheme="minorHAnsi" w:hAnsi="Arial Narrow"/>
                <w:iCs/>
                <w:snapToGrid/>
                <w:sz w:val="20"/>
              </w:rPr>
              <w:t>$</w:t>
            </w:r>
            <w:r w:rsidR="00023DE7">
              <w:rPr>
                <w:rFonts w:ascii="Arial Narrow" w:eastAsiaTheme="minorHAnsi" w:hAnsi="Arial Narrow"/>
                <w:iCs/>
                <w:noProof/>
                <w:snapToGrid/>
                <w:color w:val="000000"/>
                <w:sz w:val="20"/>
                <w:highlight w:val="black"/>
              </w:rPr>
              <w:t>''''''''''''''''</w:t>
            </w:r>
          </w:p>
        </w:tc>
        <w:tc>
          <w:tcPr>
            <w:tcW w:w="679" w:type="pct"/>
            <w:shd w:val="clear" w:color="auto" w:fill="auto"/>
          </w:tcPr>
          <w:p w:rsidR="005B66F4" w:rsidRPr="00B34C73" w:rsidRDefault="005B66F4" w:rsidP="005B66F4">
            <w:pPr>
              <w:widowControl/>
              <w:spacing w:after="200" w:line="276" w:lineRule="auto"/>
              <w:jc w:val="center"/>
              <w:rPr>
                <w:rFonts w:ascii="Arial Narrow" w:eastAsiaTheme="minorHAnsi" w:hAnsi="Arial Narrow"/>
                <w:iCs/>
                <w:snapToGrid/>
                <w:sz w:val="20"/>
              </w:rPr>
            </w:pPr>
            <w:r w:rsidRPr="00B34C73">
              <w:rPr>
                <w:rFonts w:ascii="Arial Narrow" w:eastAsiaTheme="minorHAnsi" w:hAnsi="Arial Narrow"/>
                <w:iCs/>
                <w:snapToGrid/>
                <w:sz w:val="20"/>
              </w:rPr>
              <w:t>$</w:t>
            </w:r>
            <w:r w:rsidR="00023DE7">
              <w:rPr>
                <w:rFonts w:ascii="Arial Narrow" w:eastAsiaTheme="minorHAnsi" w:hAnsi="Arial Narrow"/>
                <w:iCs/>
                <w:noProof/>
                <w:snapToGrid/>
                <w:color w:val="000000"/>
                <w:sz w:val="20"/>
                <w:highlight w:val="black"/>
              </w:rPr>
              <w:t>''''''''''''''''''</w:t>
            </w:r>
          </w:p>
        </w:tc>
        <w:tc>
          <w:tcPr>
            <w:tcW w:w="680" w:type="pct"/>
            <w:shd w:val="clear" w:color="auto" w:fill="auto"/>
          </w:tcPr>
          <w:p w:rsidR="005B66F4" w:rsidRPr="00B34C73" w:rsidRDefault="005B66F4" w:rsidP="005B66F4">
            <w:pPr>
              <w:widowControl/>
              <w:spacing w:after="200" w:line="276" w:lineRule="auto"/>
              <w:jc w:val="center"/>
              <w:rPr>
                <w:rFonts w:ascii="Arial Narrow" w:eastAsiaTheme="minorHAnsi" w:hAnsi="Arial Narrow"/>
                <w:iCs/>
                <w:snapToGrid/>
                <w:sz w:val="20"/>
              </w:rPr>
            </w:pPr>
            <w:r w:rsidRPr="00B34C73">
              <w:rPr>
                <w:rFonts w:ascii="Arial Narrow" w:eastAsiaTheme="minorHAnsi" w:hAnsi="Arial Narrow"/>
                <w:iCs/>
                <w:snapToGrid/>
                <w:sz w:val="20"/>
              </w:rPr>
              <w:t>$</w:t>
            </w:r>
            <w:r w:rsidR="00023DE7">
              <w:rPr>
                <w:rFonts w:ascii="Arial Narrow" w:eastAsiaTheme="minorHAnsi" w:hAnsi="Arial Narrow"/>
                <w:iCs/>
                <w:noProof/>
                <w:snapToGrid/>
                <w:color w:val="000000"/>
                <w:sz w:val="20"/>
                <w:highlight w:val="black"/>
              </w:rPr>
              <w:t>'''''''''''''''''</w:t>
            </w:r>
          </w:p>
        </w:tc>
        <w:tc>
          <w:tcPr>
            <w:tcW w:w="750" w:type="pct"/>
            <w:shd w:val="clear" w:color="auto" w:fill="auto"/>
          </w:tcPr>
          <w:p w:rsidR="005B66F4" w:rsidRPr="00B34C73" w:rsidRDefault="005B66F4" w:rsidP="005B66F4">
            <w:pPr>
              <w:widowControl/>
              <w:spacing w:after="200" w:line="276" w:lineRule="auto"/>
              <w:jc w:val="center"/>
              <w:rPr>
                <w:rFonts w:ascii="Arial Narrow" w:eastAsiaTheme="minorHAnsi" w:hAnsi="Arial Narrow"/>
                <w:iCs/>
                <w:snapToGrid/>
                <w:sz w:val="20"/>
              </w:rPr>
            </w:pPr>
            <w:r w:rsidRPr="00B34C73">
              <w:rPr>
                <w:rFonts w:ascii="Arial Narrow" w:eastAsiaTheme="minorHAnsi" w:hAnsi="Arial Narrow"/>
                <w:iCs/>
                <w:snapToGrid/>
                <w:sz w:val="20"/>
              </w:rPr>
              <w:t>$</w:t>
            </w:r>
            <w:r w:rsidR="00023DE7">
              <w:rPr>
                <w:rFonts w:ascii="Arial Narrow" w:eastAsiaTheme="minorHAnsi" w:hAnsi="Arial Narrow"/>
                <w:iCs/>
                <w:noProof/>
                <w:snapToGrid/>
                <w:color w:val="000000"/>
                <w:sz w:val="20"/>
                <w:highlight w:val="black"/>
              </w:rPr>
              <w:t>''''''''''''''''</w:t>
            </w:r>
          </w:p>
        </w:tc>
      </w:tr>
      <w:tr w:rsidR="0056115D" w:rsidRPr="002725BF" w:rsidTr="00BC0026">
        <w:tc>
          <w:tcPr>
            <w:tcW w:w="1529" w:type="pct"/>
            <w:shd w:val="clear" w:color="auto" w:fill="auto"/>
          </w:tcPr>
          <w:p w:rsidR="005B66F4" w:rsidRPr="002725BF" w:rsidRDefault="005B66F4" w:rsidP="00F22EDF">
            <w:pPr>
              <w:widowControl/>
              <w:tabs>
                <w:tab w:val="left" w:pos="142"/>
              </w:tabs>
              <w:spacing w:after="200" w:line="276" w:lineRule="auto"/>
              <w:ind w:right="93"/>
              <w:jc w:val="left"/>
              <w:rPr>
                <w:rFonts w:ascii="Arial Narrow" w:eastAsiaTheme="minorHAnsi" w:hAnsi="Arial Narrow"/>
                <w:b/>
                <w:snapToGrid/>
                <w:sz w:val="20"/>
              </w:rPr>
            </w:pPr>
            <w:r w:rsidRPr="002725BF">
              <w:rPr>
                <w:rFonts w:ascii="Arial Narrow" w:eastAsiaTheme="minorHAnsi" w:hAnsi="Arial Narrow"/>
                <w:b/>
                <w:bCs/>
                <w:snapToGrid/>
                <w:sz w:val="20"/>
              </w:rPr>
              <w:t xml:space="preserve">Net cost </w:t>
            </w:r>
            <w:r w:rsidR="0056115D">
              <w:rPr>
                <w:rFonts w:ascii="Arial Narrow" w:eastAsiaTheme="minorHAnsi" w:hAnsi="Arial Narrow"/>
                <w:b/>
                <w:bCs/>
                <w:snapToGrid/>
                <w:sz w:val="20"/>
              </w:rPr>
              <w:t>to Government</w:t>
            </w:r>
            <w:r w:rsidR="006315EE">
              <w:rPr>
                <w:rFonts w:ascii="Arial Narrow" w:eastAsiaTheme="minorHAnsi" w:hAnsi="Arial Narrow"/>
                <w:b/>
                <w:bCs/>
                <w:snapToGrid/>
                <w:sz w:val="20"/>
              </w:rPr>
              <w:t xml:space="preserve"> (PBS/</w:t>
            </w:r>
            <w:r w:rsidR="006465AE">
              <w:rPr>
                <w:rFonts w:ascii="Arial Narrow" w:eastAsiaTheme="minorHAnsi" w:hAnsi="Arial Narrow"/>
                <w:b/>
                <w:bCs/>
                <w:snapToGrid/>
                <w:sz w:val="20"/>
              </w:rPr>
              <w:t>RPBS/</w:t>
            </w:r>
            <w:r w:rsidR="006315EE">
              <w:rPr>
                <w:rFonts w:ascii="Arial Narrow" w:eastAsiaTheme="minorHAnsi" w:hAnsi="Arial Narrow"/>
                <w:b/>
                <w:bCs/>
                <w:snapToGrid/>
                <w:sz w:val="20"/>
              </w:rPr>
              <w:t>MBS)</w:t>
            </w:r>
          </w:p>
        </w:tc>
        <w:tc>
          <w:tcPr>
            <w:tcW w:w="683" w:type="pct"/>
            <w:shd w:val="clear" w:color="auto" w:fill="auto"/>
          </w:tcPr>
          <w:p w:rsidR="005B66F4" w:rsidRPr="00F22EDF" w:rsidRDefault="005B66F4" w:rsidP="00F22EDF">
            <w:pPr>
              <w:widowControl/>
              <w:spacing w:after="200" w:line="276" w:lineRule="auto"/>
              <w:jc w:val="center"/>
              <w:rPr>
                <w:rFonts w:ascii="Arial Narrow" w:eastAsiaTheme="minorHAnsi" w:hAnsi="Arial Narrow"/>
                <w:b/>
                <w:bCs/>
                <w:iCs/>
                <w:snapToGrid/>
                <w:sz w:val="20"/>
              </w:rPr>
            </w:pPr>
            <w:r w:rsidRPr="00F22EDF">
              <w:rPr>
                <w:rFonts w:ascii="Arial Narrow" w:eastAsiaTheme="minorHAnsi" w:hAnsi="Arial Narrow"/>
                <w:b/>
                <w:bCs/>
                <w:iCs/>
                <w:snapToGrid/>
                <w:sz w:val="20"/>
              </w:rPr>
              <w:t>$</w:t>
            </w:r>
            <w:r w:rsidR="00023DE7">
              <w:rPr>
                <w:rFonts w:ascii="Arial Narrow" w:hAnsi="Arial Narrow"/>
                <w:b/>
                <w:noProof/>
                <w:color w:val="000000"/>
                <w:sz w:val="20"/>
                <w:highlight w:val="black"/>
                <w:lang w:val="en-US"/>
              </w:rPr>
              <w:t>''''''''''''''''''''''''</w:t>
            </w:r>
          </w:p>
        </w:tc>
        <w:tc>
          <w:tcPr>
            <w:tcW w:w="679" w:type="pct"/>
            <w:shd w:val="clear" w:color="auto" w:fill="auto"/>
          </w:tcPr>
          <w:p w:rsidR="005B66F4" w:rsidRPr="00F22EDF" w:rsidRDefault="005B66F4" w:rsidP="00F22EDF">
            <w:pPr>
              <w:widowControl/>
              <w:spacing w:after="200" w:line="276" w:lineRule="auto"/>
              <w:jc w:val="center"/>
              <w:rPr>
                <w:rFonts w:ascii="Arial Narrow" w:eastAsiaTheme="minorHAnsi" w:hAnsi="Arial Narrow"/>
                <w:b/>
                <w:bCs/>
                <w:iCs/>
                <w:snapToGrid/>
                <w:sz w:val="20"/>
              </w:rPr>
            </w:pPr>
            <w:r w:rsidRPr="00F22EDF">
              <w:rPr>
                <w:rFonts w:ascii="Arial Narrow" w:eastAsiaTheme="minorHAnsi" w:hAnsi="Arial Narrow"/>
                <w:b/>
                <w:bCs/>
                <w:iCs/>
                <w:snapToGrid/>
                <w:sz w:val="20"/>
              </w:rPr>
              <w:t>$</w:t>
            </w:r>
            <w:r w:rsidR="00023DE7">
              <w:rPr>
                <w:rFonts w:ascii="Arial Narrow" w:hAnsi="Arial Narrow"/>
                <w:b/>
                <w:noProof/>
                <w:color w:val="000000"/>
                <w:sz w:val="20"/>
                <w:highlight w:val="black"/>
                <w:lang w:val="en-US"/>
              </w:rPr>
              <w:t>'''''''''''''''''''''</w:t>
            </w:r>
          </w:p>
        </w:tc>
        <w:tc>
          <w:tcPr>
            <w:tcW w:w="679" w:type="pct"/>
            <w:shd w:val="clear" w:color="auto" w:fill="auto"/>
          </w:tcPr>
          <w:p w:rsidR="005B66F4" w:rsidRPr="00F22EDF" w:rsidRDefault="005B66F4" w:rsidP="00F22EDF">
            <w:pPr>
              <w:widowControl/>
              <w:spacing w:after="200" w:line="276" w:lineRule="auto"/>
              <w:jc w:val="center"/>
              <w:rPr>
                <w:rFonts w:ascii="Arial Narrow" w:eastAsiaTheme="minorHAnsi" w:hAnsi="Arial Narrow"/>
                <w:b/>
                <w:bCs/>
                <w:iCs/>
                <w:snapToGrid/>
                <w:sz w:val="20"/>
              </w:rPr>
            </w:pPr>
            <w:r w:rsidRPr="00F22EDF">
              <w:rPr>
                <w:rFonts w:ascii="Arial Narrow" w:eastAsiaTheme="minorHAnsi" w:hAnsi="Arial Narrow"/>
                <w:b/>
                <w:bCs/>
                <w:iCs/>
                <w:snapToGrid/>
                <w:sz w:val="20"/>
              </w:rPr>
              <w:t>$</w:t>
            </w:r>
            <w:r w:rsidR="00023DE7">
              <w:rPr>
                <w:rFonts w:ascii="Arial Narrow" w:hAnsi="Arial Narrow"/>
                <w:b/>
                <w:noProof/>
                <w:color w:val="000000"/>
                <w:sz w:val="20"/>
                <w:highlight w:val="black"/>
                <w:lang w:val="en-US"/>
              </w:rPr>
              <w:t>''''''''''''''''''''</w:t>
            </w:r>
          </w:p>
        </w:tc>
        <w:tc>
          <w:tcPr>
            <w:tcW w:w="680" w:type="pct"/>
            <w:shd w:val="clear" w:color="auto" w:fill="auto"/>
          </w:tcPr>
          <w:p w:rsidR="005B66F4" w:rsidRPr="00F22EDF" w:rsidRDefault="005B66F4" w:rsidP="00F22EDF">
            <w:pPr>
              <w:widowControl/>
              <w:spacing w:after="200" w:line="276" w:lineRule="auto"/>
              <w:jc w:val="center"/>
              <w:rPr>
                <w:rFonts w:ascii="Arial Narrow" w:eastAsiaTheme="minorHAnsi" w:hAnsi="Arial Narrow"/>
                <w:b/>
                <w:bCs/>
                <w:iCs/>
                <w:snapToGrid/>
                <w:sz w:val="20"/>
              </w:rPr>
            </w:pPr>
            <w:r w:rsidRPr="00F22EDF">
              <w:rPr>
                <w:rFonts w:ascii="Arial Narrow" w:eastAsiaTheme="minorHAnsi" w:hAnsi="Arial Narrow"/>
                <w:b/>
                <w:bCs/>
                <w:iCs/>
                <w:snapToGrid/>
                <w:sz w:val="20"/>
              </w:rPr>
              <w:t>$</w:t>
            </w:r>
            <w:r w:rsidR="00023DE7">
              <w:rPr>
                <w:rFonts w:ascii="Arial Narrow" w:hAnsi="Arial Narrow"/>
                <w:b/>
                <w:noProof/>
                <w:color w:val="000000"/>
                <w:sz w:val="20"/>
                <w:highlight w:val="black"/>
                <w:lang w:val="en-US"/>
              </w:rPr>
              <w:t>'''''''''''''''''''</w:t>
            </w:r>
          </w:p>
        </w:tc>
        <w:tc>
          <w:tcPr>
            <w:tcW w:w="750" w:type="pct"/>
            <w:shd w:val="clear" w:color="auto" w:fill="auto"/>
          </w:tcPr>
          <w:p w:rsidR="005B66F4" w:rsidRPr="00F22EDF" w:rsidRDefault="005B66F4" w:rsidP="00F22EDF">
            <w:pPr>
              <w:widowControl/>
              <w:spacing w:after="200" w:line="276" w:lineRule="auto"/>
              <w:jc w:val="center"/>
              <w:rPr>
                <w:rFonts w:ascii="Arial Narrow" w:eastAsiaTheme="minorHAnsi" w:hAnsi="Arial Narrow"/>
                <w:b/>
                <w:bCs/>
                <w:iCs/>
                <w:snapToGrid/>
                <w:sz w:val="20"/>
              </w:rPr>
            </w:pPr>
            <w:r w:rsidRPr="00F22EDF">
              <w:rPr>
                <w:rFonts w:ascii="Arial Narrow" w:eastAsiaTheme="minorHAnsi" w:hAnsi="Arial Narrow"/>
                <w:b/>
                <w:bCs/>
                <w:iCs/>
                <w:snapToGrid/>
                <w:sz w:val="20"/>
              </w:rPr>
              <w:t>$</w:t>
            </w:r>
            <w:r w:rsidR="00023DE7">
              <w:rPr>
                <w:rFonts w:ascii="Arial Narrow" w:hAnsi="Arial Narrow"/>
                <w:b/>
                <w:noProof/>
                <w:color w:val="000000"/>
                <w:sz w:val="20"/>
                <w:highlight w:val="black"/>
                <w:lang w:val="en-US"/>
              </w:rPr>
              <w:t>''''''''''''''''''''</w:t>
            </w:r>
          </w:p>
        </w:tc>
      </w:tr>
    </w:tbl>
    <w:p w:rsidR="005B66F4" w:rsidRPr="002725BF" w:rsidRDefault="005B66F4" w:rsidP="005B66F4">
      <w:pPr>
        <w:rPr>
          <w:rFonts w:ascii="Arial Narrow" w:hAnsi="Arial Narrow"/>
          <w:sz w:val="20"/>
        </w:rPr>
      </w:pPr>
      <w:r w:rsidRPr="002725BF">
        <w:rPr>
          <w:rFonts w:ascii="Arial Narrow" w:hAnsi="Arial Narrow"/>
          <w:sz w:val="20"/>
        </w:rPr>
        <w:t>Patients assumed to use 13 packs, or 7 packs if the</w:t>
      </w:r>
      <w:r w:rsidR="00545EB4">
        <w:rPr>
          <w:rFonts w:ascii="Arial Narrow" w:hAnsi="Arial Narrow"/>
          <w:sz w:val="20"/>
        </w:rPr>
        <w:t>y</w:t>
      </w:r>
      <w:r w:rsidRPr="002725BF">
        <w:rPr>
          <w:rFonts w:ascii="Arial Narrow" w:hAnsi="Arial Narrow"/>
          <w:sz w:val="20"/>
        </w:rPr>
        <w:t xml:space="preserve"> discontinue treatment. </w:t>
      </w:r>
    </w:p>
    <w:p w:rsidR="005B66F4" w:rsidRPr="002725BF" w:rsidRDefault="005B66F4" w:rsidP="005B66F4">
      <w:pPr>
        <w:rPr>
          <w:rFonts w:ascii="Arial Narrow" w:hAnsi="Arial Narrow"/>
          <w:sz w:val="20"/>
        </w:rPr>
      </w:pPr>
      <w:r w:rsidRPr="002725BF">
        <w:rPr>
          <w:rFonts w:ascii="Arial Narrow" w:hAnsi="Arial Narrow"/>
          <w:sz w:val="20"/>
        </w:rPr>
        <w:t xml:space="preserve">Costs reported are effective prices, net of patient </w:t>
      </w:r>
      <w:r w:rsidR="00D0423D" w:rsidRPr="002725BF">
        <w:rPr>
          <w:rFonts w:ascii="Arial Narrow" w:hAnsi="Arial Narrow"/>
          <w:sz w:val="20"/>
        </w:rPr>
        <w:t>co-payments</w:t>
      </w:r>
      <w:r w:rsidRPr="002725BF">
        <w:rPr>
          <w:rFonts w:ascii="Arial Narrow" w:hAnsi="Arial Narrow"/>
          <w:sz w:val="20"/>
        </w:rPr>
        <w:t>.</w:t>
      </w:r>
      <w:r w:rsidR="006315EE">
        <w:rPr>
          <w:rFonts w:ascii="Arial Narrow" w:hAnsi="Arial Narrow"/>
          <w:sz w:val="20"/>
        </w:rPr>
        <w:t xml:space="preserve"> </w:t>
      </w:r>
      <w:r w:rsidR="00F22EDF">
        <w:rPr>
          <w:rFonts w:ascii="Arial Narrow" w:hAnsi="Arial Narrow"/>
          <w:sz w:val="20"/>
        </w:rPr>
        <w:t xml:space="preserve">Hospitalisation costs are not included. </w:t>
      </w:r>
      <w:r w:rsidR="006315EE">
        <w:rPr>
          <w:rFonts w:ascii="Arial Narrow" w:hAnsi="Arial Narrow"/>
          <w:sz w:val="20"/>
        </w:rPr>
        <w:t xml:space="preserve"> </w:t>
      </w:r>
    </w:p>
    <w:p w:rsidR="005B66F4" w:rsidRPr="005B66F4" w:rsidRDefault="005B66F4" w:rsidP="005B66F4">
      <w:pPr>
        <w:widowControl/>
        <w:spacing w:after="200" w:line="276" w:lineRule="auto"/>
        <w:jc w:val="left"/>
        <w:rPr>
          <w:rFonts w:ascii="Arial Narrow" w:eastAsiaTheme="minorHAnsi" w:hAnsi="Arial Narrow"/>
          <w:i/>
          <w:snapToGrid/>
          <w:sz w:val="20"/>
        </w:rPr>
      </w:pPr>
      <w:r w:rsidRPr="002725BF">
        <w:rPr>
          <w:rFonts w:ascii="Arial Narrow" w:eastAsiaTheme="minorHAnsi" w:hAnsi="Arial Narrow"/>
          <w:snapToGrid/>
          <w:sz w:val="20"/>
        </w:rPr>
        <w:t xml:space="preserve">Source: Technical document 8: JAKAVI myelofibrosis – Excel Section E – NOV 2014 FINAL.xslx, </w:t>
      </w:r>
    </w:p>
    <w:p w:rsidR="001352A2" w:rsidRPr="002725BF" w:rsidRDefault="001352A2" w:rsidP="001352A2">
      <w:pPr>
        <w:pStyle w:val="PBACheading1"/>
        <w:numPr>
          <w:ilvl w:val="0"/>
          <w:numId w:val="0"/>
        </w:numPr>
        <w:ind w:left="720"/>
        <w:rPr>
          <w:spacing w:val="5"/>
        </w:rPr>
      </w:pPr>
    </w:p>
    <w:p w:rsidR="00B63551" w:rsidRDefault="00B63551" w:rsidP="004D64A8">
      <w:pPr>
        <w:pStyle w:val="PBACheading1"/>
        <w:numPr>
          <w:ilvl w:val="1"/>
          <w:numId w:val="1"/>
        </w:numPr>
        <w:rPr>
          <w:spacing w:val="5"/>
        </w:rPr>
      </w:pPr>
      <w:r>
        <w:rPr>
          <w:spacing w:val="5"/>
        </w:rPr>
        <w:t xml:space="preserve">The redacted table above shows the estimated net cost to the PBS/MBS to be $20 - $30 million per year in years 1-2 and $30 - $60 million in years 3 to 5. </w:t>
      </w:r>
    </w:p>
    <w:p w:rsidR="00B63551" w:rsidRDefault="00B63551" w:rsidP="00B63551">
      <w:pPr>
        <w:pStyle w:val="PBACheading1"/>
        <w:numPr>
          <w:ilvl w:val="0"/>
          <w:numId w:val="0"/>
        </w:numPr>
        <w:ind w:left="720"/>
        <w:rPr>
          <w:spacing w:val="5"/>
        </w:rPr>
      </w:pPr>
    </w:p>
    <w:p w:rsidR="005B66F4" w:rsidRPr="002725BF" w:rsidRDefault="002725BF" w:rsidP="004D64A8">
      <w:pPr>
        <w:pStyle w:val="PBACheading1"/>
        <w:numPr>
          <w:ilvl w:val="1"/>
          <w:numId w:val="1"/>
        </w:numPr>
        <w:rPr>
          <w:spacing w:val="5"/>
        </w:rPr>
      </w:pPr>
      <w:r w:rsidRPr="00272ED1">
        <w:rPr>
          <w:spacing w:val="5"/>
        </w:rPr>
        <w:t>The</w:t>
      </w:r>
      <w:r w:rsidR="005B66F4" w:rsidRPr="00272ED1">
        <w:rPr>
          <w:rFonts w:eastAsiaTheme="minorHAnsi"/>
          <w:iCs/>
          <w:snapToGrid/>
        </w:rPr>
        <w:t xml:space="preserve"> ESC noted that the sponsor acknowledged some errors in the financial estimates which were corrected in the recalculations undertaken during the evaluation (PSCR</w:t>
      </w:r>
      <w:r w:rsidR="00D0423D" w:rsidRPr="00272ED1">
        <w:rPr>
          <w:rFonts w:eastAsiaTheme="minorHAnsi"/>
          <w:iCs/>
          <w:snapToGrid/>
        </w:rPr>
        <w:t>, p3</w:t>
      </w:r>
      <w:r w:rsidR="005B66F4" w:rsidRPr="00272ED1">
        <w:rPr>
          <w:rFonts w:eastAsiaTheme="minorHAnsi"/>
          <w:iCs/>
          <w:snapToGrid/>
        </w:rPr>
        <w:t>).</w:t>
      </w:r>
      <w:r w:rsidR="005B66F4" w:rsidRPr="002725BF">
        <w:rPr>
          <w:rFonts w:eastAsiaTheme="minorHAnsi"/>
          <w:i/>
          <w:iCs/>
          <w:snapToGrid/>
        </w:rPr>
        <w:t xml:space="preserve">  </w:t>
      </w:r>
      <w:r w:rsidR="005B66F4" w:rsidRPr="002725BF">
        <w:rPr>
          <w:rFonts w:eastAsiaTheme="minorHAnsi"/>
          <w:iCs/>
          <w:snapToGrid/>
        </w:rPr>
        <w:t>These include;</w:t>
      </w:r>
    </w:p>
    <w:p w:rsidR="005B66F4" w:rsidRPr="00E32F6C" w:rsidRDefault="005B66F4" w:rsidP="004D64A8">
      <w:pPr>
        <w:pStyle w:val="ListParagraph"/>
        <w:widowControl/>
        <w:numPr>
          <w:ilvl w:val="1"/>
          <w:numId w:val="4"/>
        </w:numPr>
        <w:ind w:left="993" w:hanging="284"/>
        <w:rPr>
          <w:iCs/>
        </w:rPr>
      </w:pPr>
      <w:r w:rsidRPr="00E32F6C">
        <w:rPr>
          <w:iCs/>
        </w:rPr>
        <w:t>An error in the half cycle correction for patients who discontinued treatment.  For patients who discontinued treatment a mid-cycle correction of 0.46 was used in the submission.  7 packs was used for the correction;</w:t>
      </w:r>
    </w:p>
    <w:p w:rsidR="002725BF" w:rsidRDefault="005B66F4" w:rsidP="004D64A8">
      <w:pPr>
        <w:pStyle w:val="ListParagraph"/>
        <w:widowControl/>
        <w:numPr>
          <w:ilvl w:val="1"/>
          <w:numId w:val="4"/>
        </w:numPr>
        <w:ind w:left="993" w:hanging="284"/>
        <w:rPr>
          <w:iCs/>
        </w:rPr>
      </w:pPr>
      <w:r w:rsidRPr="00E32F6C">
        <w:rPr>
          <w:iCs/>
        </w:rPr>
        <w:t>Patients who were newly diagnosed were considered untreated in the year of diagnosis in the submission.  The recalculated estimates included a half cycle correction for the incident patients to account for the treatment of new patients.</w:t>
      </w:r>
    </w:p>
    <w:p w:rsidR="00E32F6C" w:rsidRPr="00E32F6C" w:rsidRDefault="00E32F6C" w:rsidP="00E32F6C">
      <w:pPr>
        <w:pStyle w:val="ListParagraph"/>
        <w:widowControl/>
        <w:ind w:left="993"/>
        <w:rPr>
          <w:iCs/>
        </w:rPr>
      </w:pPr>
    </w:p>
    <w:p w:rsidR="005B66F4" w:rsidRPr="002725BF" w:rsidRDefault="005B66F4" w:rsidP="004D64A8">
      <w:pPr>
        <w:pStyle w:val="PBACheading1"/>
        <w:numPr>
          <w:ilvl w:val="1"/>
          <w:numId w:val="1"/>
        </w:numPr>
        <w:spacing w:after="200" w:line="276" w:lineRule="auto"/>
        <w:contextualSpacing/>
        <w:rPr>
          <w:rFonts w:eastAsiaTheme="minorHAnsi"/>
          <w:iCs/>
          <w:snapToGrid/>
        </w:rPr>
      </w:pPr>
      <w:r w:rsidRPr="00272ED1">
        <w:rPr>
          <w:rFonts w:eastAsiaTheme="minorHAnsi"/>
          <w:iCs/>
          <w:snapToGrid/>
        </w:rPr>
        <w:t xml:space="preserve">The ESC noted that the sponsor stated it was unable to replicate the recalculations presented in the Commentary (PSCR, p3).  </w:t>
      </w:r>
      <w:r w:rsidRPr="002725BF">
        <w:rPr>
          <w:rFonts w:eastAsiaTheme="minorHAnsi"/>
          <w:iCs/>
          <w:snapToGrid/>
        </w:rPr>
        <w:t>The recalculated estimates undertaken during the evaluation followed the submission’s methodology, with the exceptions of correcting the errors noted above and using the prevalence rate of 3.82/100,000 sourced from Mehta 2013 to calculate the number of prevalent patients each year.  The parameters used by the evaluator for the recalculation of estimates are as follows:</w:t>
      </w:r>
    </w:p>
    <w:p w:rsidR="005B66F4" w:rsidRPr="00E32F6C" w:rsidRDefault="005B66F4" w:rsidP="004D64A8">
      <w:pPr>
        <w:pStyle w:val="ListParagraph"/>
        <w:widowControl/>
        <w:numPr>
          <w:ilvl w:val="1"/>
          <w:numId w:val="4"/>
        </w:numPr>
        <w:ind w:left="993" w:hanging="284"/>
        <w:rPr>
          <w:iCs/>
        </w:rPr>
      </w:pPr>
      <w:r w:rsidRPr="00E32F6C">
        <w:rPr>
          <w:iCs/>
        </w:rPr>
        <w:t>Prevalence used to determine existing patients each year;</w:t>
      </w:r>
    </w:p>
    <w:p w:rsidR="005B66F4" w:rsidRPr="00E32F6C" w:rsidRDefault="005B66F4" w:rsidP="004D64A8">
      <w:pPr>
        <w:pStyle w:val="ListParagraph"/>
        <w:widowControl/>
        <w:numPr>
          <w:ilvl w:val="1"/>
          <w:numId w:val="4"/>
        </w:numPr>
        <w:ind w:left="993" w:hanging="284"/>
        <w:rPr>
          <w:iCs/>
        </w:rPr>
      </w:pPr>
      <w:r w:rsidRPr="00E32F6C">
        <w:rPr>
          <w:iCs/>
        </w:rPr>
        <w:lastRenderedPageBreak/>
        <w:t>Existing patients (adjusting for uptake rate and eligibility) are assumed to be treated with 13 packs per year.  The number of packs is further adjusted by an assumed compliance rate (</w:t>
      </w:r>
      <w:r w:rsidR="00023DE7">
        <w:rPr>
          <w:iCs/>
          <w:noProof/>
          <w:color w:val="000000"/>
          <w:highlight w:val="black"/>
        </w:rPr>
        <w:t>'''''''</w:t>
      </w:r>
      <w:r w:rsidR="002F72FC">
        <w:rPr>
          <w:iCs/>
        </w:rPr>
        <w:t xml:space="preserve">% for int-1 and </w:t>
      </w:r>
      <w:r w:rsidR="00023DE7">
        <w:rPr>
          <w:iCs/>
          <w:noProof/>
          <w:color w:val="000000"/>
          <w:highlight w:val="black"/>
        </w:rPr>
        <w:t>''''''</w:t>
      </w:r>
      <w:r w:rsidRPr="00E32F6C">
        <w:rPr>
          <w:iCs/>
        </w:rPr>
        <w:t>% for int-2 or high risk) and also dose distribution from COMFORT-I;</w:t>
      </w:r>
    </w:p>
    <w:p w:rsidR="005B66F4" w:rsidRPr="00E32F6C" w:rsidRDefault="005B66F4" w:rsidP="004D64A8">
      <w:pPr>
        <w:pStyle w:val="ListParagraph"/>
        <w:widowControl/>
        <w:numPr>
          <w:ilvl w:val="1"/>
          <w:numId w:val="4"/>
        </w:numPr>
        <w:ind w:left="993" w:hanging="284"/>
        <w:rPr>
          <w:iCs/>
        </w:rPr>
      </w:pPr>
      <w:r w:rsidRPr="00E32F6C">
        <w:rPr>
          <w:iCs/>
        </w:rPr>
        <w:t>Patients who died are assumed to die at the beginning of the cycle and received no treatment. However, deaths do not carry over and has no impact on number of patient estimates for following cycles;</w:t>
      </w:r>
    </w:p>
    <w:p w:rsidR="005B66F4" w:rsidRPr="00E32F6C" w:rsidRDefault="005B66F4" w:rsidP="004D64A8">
      <w:pPr>
        <w:pStyle w:val="ListParagraph"/>
        <w:widowControl/>
        <w:numPr>
          <w:ilvl w:val="1"/>
          <w:numId w:val="4"/>
        </w:numPr>
        <w:ind w:left="993" w:hanging="284"/>
        <w:rPr>
          <w:iCs/>
        </w:rPr>
      </w:pPr>
      <w:r w:rsidRPr="00E32F6C">
        <w:rPr>
          <w:iCs/>
        </w:rPr>
        <w:t>Patients who discontinued had half cycle adjustment of 7 packs per year;</w:t>
      </w:r>
    </w:p>
    <w:p w:rsidR="005B66F4" w:rsidRPr="00E32F6C" w:rsidRDefault="005B66F4" w:rsidP="004D64A8">
      <w:pPr>
        <w:pStyle w:val="ListParagraph"/>
        <w:widowControl/>
        <w:numPr>
          <w:ilvl w:val="1"/>
          <w:numId w:val="4"/>
        </w:numPr>
        <w:ind w:left="993" w:hanging="284"/>
        <w:rPr>
          <w:iCs/>
        </w:rPr>
      </w:pPr>
      <w:r w:rsidRPr="00E32F6C">
        <w:rPr>
          <w:iCs/>
        </w:rPr>
        <w:t>Incidence rate used to estimate patients who were diagnosed with MF.  Number of patients treated is based on number of newly diagnosed patients, adjusted by uptake rate and eligibility criteria based on risk score.  New patients who are treated with ruxolitinib are assumed to use 7 packs (same as those who discontinued);</w:t>
      </w:r>
    </w:p>
    <w:p w:rsidR="005B66F4" w:rsidRPr="00E32F6C" w:rsidRDefault="005B66F4" w:rsidP="004D64A8">
      <w:pPr>
        <w:pStyle w:val="ListParagraph"/>
        <w:widowControl/>
        <w:numPr>
          <w:ilvl w:val="1"/>
          <w:numId w:val="4"/>
        </w:numPr>
        <w:ind w:left="993" w:hanging="284"/>
        <w:rPr>
          <w:iCs/>
        </w:rPr>
      </w:pPr>
      <w:r w:rsidRPr="00E32F6C">
        <w:rPr>
          <w:iCs/>
        </w:rPr>
        <w:t>Mortality has no influence in these estimates.</w:t>
      </w:r>
    </w:p>
    <w:p w:rsidR="005B66F4" w:rsidRPr="005B66F4" w:rsidRDefault="005B66F4" w:rsidP="005B66F4">
      <w:pPr>
        <w:widowControl/>
        <w:spacing w:line="276" w:lineRule="auto"/>
        <w:ind w:left="709"/>
        <w:jc w:val="left"/>
        <w:rPr>
          <w:rFonts w:eastAsiaTheme="minorHAnsi"/>
          <w:i/>
          <w:iCs/>
          <w:snapToGrid/>
          <w:szCs w:val="22"/>
        </w:rPr>
      </w:pPr>
    </w:p>
    <w:p w:rsidR="002725BF" w:rsidRPr="00272ED1" w:rsidRDefault="00E32F6C" w:rsidP="009C3B5C">
      <w:pPr>
        <w:pStyle w:val="PBACheading1"/>
        <w:numPr>
          <w:ilvl w:val="1"/>
          <w:numId w:val="1"/>
        </w:numPr>
        <w:rPr>
          <w:spacing w:val="5"/>
        </w:rPr>
      </w:pPr>
      <w:r w:rsidRPr="00272ED1">
        <w:rPr>
          <w:rFonts w:eastAsiaTheme="minorHAnsi"/>
          <w:iCs/>
          <w:snapToGrid/>
        </w:rPr>
        <w:t xml:space="preserve">The </w:t>
      </w:r>
      <w:r w:rsidR="005B66F4" w:rsidRPr="00272ED1">
        <w:rPr>
          <w:rFonts w:eastAsiaTheme="minorHAnsi"/>
          <w:iCs/>
          <w:snapToGrid/>
        </w:rPr>
        <w:t>ESC noted that the PSCR (p.3) stated that using a point prevalence estimate to determine the number of patients with myelofibrosis over time does not account for a survival benefit being associated with ruxolitinib. The ESC agreed that inclusion of survival benefit associated with ruxolitinib is appropriate and that that this will increase the prevalent pool</w:t>
      </w:r>
      <w:r w:rsidR="005B66F4" w:rsidRPr="00272ED1">
        <w:rPr>
          <w:rFonts w:eastAsiaTheme="minorHAnsi"/>
          <w:b/>
          <w:iCs/>
          <w:snapToGrid/>
        </w:rPr>
        <w:t xml:space="preserve"> </w:t>
      </w:r>
      <w:r w:rsidR="005B66F4" w:rsidRPr="00272ED1">
        <w:rPr>
          <w:rFonts w:eastAsiaTheme="minorHAnsi"/>
          <w:iCs/>
          <w:snapToGrid/>
        </w:rPr>
        <w:t xml:space="preserve">over time. It was noted however that inclusion of a survival advantage in the financial estimates does not have a large effect on the estimated total net cost to the PBS, as shown in the sensitivity analyses around the financial estimates (table E.6.7, p.167 submission, with recalculated figures table E.6.1,p46/7 Comm.). </w:t>
      </w:r>
      <w:r w:rsidR="006A5EB3">
        <w:rPr>
          <w:rFonts w:eastAsiaTheme="minorHAnsi"/>
          <w:iCs/>
          <w:snapToGrid/>
        </w:rPr>
        <w:t>The sensitivity analyses also demonstrated that v</w:t>
      </w:r>
      <w:r w:rsidR="005B66F4" w:rsidRPr="00272ED1">
        <w:rPr>
          <w:rFonts w:eastAsiaTheme="minorHAnsi"/>
          <w:iCs/>
          <w:snapToGrid/>
        </w:rPr>
        <w:t xml:space="preserve">arying the base case annual mortality for int-1 patients of </w:t>
      </w:r>
      <w:r w:rsidR="00023DE7">
        <w:rPr>
          <w:rFonts w:eastAsiaTheme="minorHAnsi"/>
          <w:iCs/>
          <w:noProof/>
          <w:snapToGrid/>
          <w:color w:val="000000"/>
          <w:highlight w:val="black"/>
        </w:rPr>
        <w:t>'''''''</w:t>
      </w:r>
      <w:r w:rsidR="005B66F4" w:rsidRPr="00272ED1">
        <w:rPr>
          <w:rFonts w:eastAsiaTheme="minorHAnsi"/>
          <w:iCs/>
          <w:snapToGrid/>
        </w:rPr>
        <w:t xml:space="preserve">% and int-2/high patients of </w:t>
      </w:r>
      <w:r w:rsidR="00023DE7">
        <w:rPr>
          <w:rFonts w:eastAsiaTheme="minorHAnsi"/>
          <w:iCs/>
          <w:noProof/>
          <w:snapToGrid/>
          <w:color w:val="000000"/>
          <w:highlight w:val="black"/>
        </w:rPr>
        <w:t>'''''''</w:t>
      </w:r>
      <w:r w:rsidR="005B66F4" w:rsidRPr="00272ED1">
        <w:rPr>
          <w:rFonts w:eastAsiaTheme="minorHAnsi"/>
          <w:iCs/>
          <w:snapToGrid/>
        </w:rPr>
        <w:t xml:space="preserve">% to </w:t>
      </w:r>
      <w:r w:rsidR="00023DE7">
        <w:rPr>
          <w:rFonts w:eastAsiaTheme="minorHAnsi"/>
          <w:iCs/>
          <w:noProof/>
          <w:snapToGrid/>
          <w:color w:val="000000"/>
          <w:highlight w:val="black"/>
        </w:rPr>
        <w:t>'''''''</w:t>
      </w:r>
      <w:r w:rsidR="005B66F4" w:rsidRPr="00272ED1">
        <w:rPr>
          <w:rFonts w:eastAsiaTheme="minorHAnsi"/>
          <w:iCs/>
          <w:snapToGrid/>
        </w:rPr>
        <w:t xml:space="preserve">% and </w:t>
      </w:r>
      <w:r w:rsidR="00023DE7">
        <w:rPr>
          <w:rFonts w:eastAsiaTheme="minorHAnsi"/>
          <w:iCs/>
          <w:noProof/>
          <w:snapToGrid/>
          <w:color w:val="000000"/>
          <w:highlight w:val="black"/>
        </w:rPr>
        <w:t>'''''''</w:t>
      </w:r>
      <w:r w:rsidR="005B66F4" w:rsidRPr="00272ED1">
        <w:rPr>
          <w:rFonts w:eastAsiaTheme="minorHAnsi"/>
          <w:iCs/>
          <w:snapToGrid/>
        </w:rPr>
        <w:t xml:space="preserve">% respectively for year 1 changed the estimated cost from </w:t>
      </w:r>
      <w:r w:rsidR="001837EE" w:rsidRPr="001837EE">
        <w:rPr>
          <w:rFonts w:eastAsiaTheme="minorHAnsi"/>
          <w:iCs/>
          <w:snapToGrid/>
        </w:rPr>
        <w:t>$20 – $30 million per year</w:t>
      </w:r>
      <w:r w:rsidR="005B66F4" w:rsidRPr="001837EE">
        <w:rPr>
          <w:rFonts w:eastAsiaTheme="minorHAnsi"/>
          <w:iCs/>
          <w:snapToGrid/>
        </w:rPr>
        <w:t xml:space="preserve"> to </w:t>
      </w:r>
      <w:r w:rsidR="009C3B5C" w:rsidRPr="009C3B5C">
        <w:rPr>
          <w:rFonts w:eastAsiaTheme="minorHAnsi"/>
          <w:iCs/>
          <w:snapToGrid/>
        </w:rPr>
        <w:t>$20 – $30 million per year</w:t>
      </w:r>
      <w:r w:rsidR="005B66F4" w:rsidRPr="00272ED1">
        <w:rPr>
          <w:rFonts w:eastAsiaTheme="minorHAnsi"/>
          <w:iCs/>
          <w:snapToGrid/>
        </w:rPr>
        <w:t xml:space="preserve">, and for the upper limit used in the sensitivity analysis of 5.6% (int-1) and 20.5% (int-2/high) the estimated cost was </w:t>
      </w:r>
      <w:r w:rsidR="009C3B5C" w:rsidRPr="009C3B5C">
        <w:rPr>
          <w:rFonts w:eastAsiaTheme="minorHAnsi"/>
          <w:iCs/>
          <w:snapToGrid/>
        </w:rPr>
        <w:t>$20 – $30 million per year</w:t>
      </w:r>
      <w:r w:rsidR="005B66F4" w:rsidRPr="00272ED1">
        <w:rPr>
          <w:rFonts w:eastAsiaTheme="minorHAnsi"/>
          <w:iCs/>
          <w:snapToGrid/>
        </w:rPr>
        <w:t>.  Further it was noted that this was in the context of a highly uncertain magnitude of overall survival for int-2 and high risk MF patients given the high degree of cross over in COMFORT-I and COMFORT-II.</w:t>
      </w:r>
    </w:p>
    <w:p w:rsidR="002725BF" w:rsidRPr="002725BF" w:rsidRDefault="002725BF" w:rsidP="002725BF">
      <w:pPr>
        <w:pStyle w:val="PBACheading1"/>
        <w:numPr>
          <w:ilvl w:val="0"/>
          <w:numId w:val="0"/>
        </w:numPr>
        <w:ind w:left="720"/>
        <w:rPr>
          <w:spacing w:val="5"/>
        </w:rPr>
      </w:pPr>
    </w:p>
    <w:p w:rsidR="005B66F4" w:rsidRPr="00760FFB" w:rsidRDefault="005B66F4" w:rsidP="004D64A8">
      <w:pPr>
        <w:pStyle w:val="PBACheading1"/>
        <w:numPr>
          <w:ilvl w:val="1"/>
          <w:numId w:val="1"/>
        </w:numPr>
        <w:rPr>
          <w:spacing w:val="5"/>
        </w:rPr>
      </w:pPr>
      <w:r w:rsidRPr="002725BF">
        <w:rPr>
          <w:rFonts w:eastAsiaTheme="minorHAnsi"/>
          <w:iCs/>
          <w:snapToGrid/>
        </w:rPr>
        <w:t>The number of patients estimated to be treated with ruxolitinib more than doubles over the first five years of listing.</w:t>
      </w:r>
      <w:r w:rsidRPr="002725BF">
        <w:rPr>
          <w:rFonts w:eastAsiaTheme="minorHAnsi"/>
          <w:i/>
          <w:iCs/>
          <w:snapToGrid/>
        </w:rPr>
        <w:t xml:space="preserve"> </w:t>
      </w:r>
      <w:r w:rsidRPr="00272ED1">
        <w:rPr>
          <w:rFonts w:eastAsiaTheme="minorHAnsi"/>
          <w:iCs/>
          <w:snapToGrid/>
        </w:rPr>
        <w:t>The ESC considered that a doubling of the number of patients over the first 5 years seem</w:t>
      </w:r>
      <w:r w:rsidR="00C04373">
        <w:rPr>
          <w:rFonts w:eastAsiaTheme="minorHAnsi"/>
          <w:iCs/>
          <w:snapToGrid/>
        </w:rPr>
        <w:t>ed</w:t>
      </w:r>
      <w:r w:rsidRPr="00272ED1">
        <w:rPr>
          <w:rFonts w:eastAsiaTheme="minorHAnsi"/>
          <w:iCs/>
          <w:snapToGrid/>
        </w:rPr>
        <w:t xml:space="preserve"> high and considered that the factors driving this increase, other than increased survival, remain unclear. To assist the PBAC, the ESC recommended that a summary of the methods and assumptions in the financial estimates be prepared, highlighting what has previously been accepted by the PBAC and issues that remain unresolved. This summary </w:t>
      </w:r>
      <w:r w:rsidR="004A7A08">
        <w:rPr>
          <w:rFonts w:eastAsiaTheme="minorHAnsi"/>
          <w:iCs/>
          <w:snapToGrid/>
        </w:rPr>
        <w:t>was</w:t>
      </w:r>
      <w:r w:rsidR="00EA6423">
        <w:rPr>
          <w:rFonts w:eastAsiaTheme="minorHAnsi"/>
          <w:iCs/>
          <w:snapToGrid/>
        </w:rPr>
        <w:t xml:space="preserve"> provided as a PEB a</w:t>
      </w:r>
      <w:r w:rsidRPr="00272ED1">
        <w:rPr>
          <w:rFonts w:eastAsiaTheme="minorHAnsi"/>
          <w:iCs/>
          <w:snapToGrid/>
        </w:rPr>
        <w:t>ddendum.</w:t>
      </w:r>
      <w:bookmarkStart w:id="16" w:name="_Toc408474969"/>
    </w:p>
    <w:p w:rsidR="00760FFB" w:rsidRDefault="00760FFB" w:rsidP="00760FFB">
      <w:pPr>
        <w:pStyle w:val="ListParagraph"/>
        <w:rPr>
          <w:spacing w:val="5"/>
        </w:rPr>
      </w:pPr>
    </w:p>
    <w:p w:rsidR="00760FFB" w:rsidRPr="004A7A08" w:rsidRDefault="00760FFB" w:rsidP="004D64A8">
      <w:pPr>
        <w:pStyle w:val="PBACheading1"/>
        <w:numPr>
          <w:ilvl w:val="1"/>
          <w:numId w:val="1"/>
        </w:numPr>
        <w:rPr>
          <w:spacing w:val="5"/>
        </w:rPr>
      </w:pPr>
      <w:r>
        <w:rPr>
          <w:spacing w:val="5"/>
        </w:rPr>
        <w:t xml:space="preserve">In </w:t>
      </w:r>
      <w:r w:rsidR="007B6439">
        <w:rPr>
          <w:spacing w:val="5"/>
        </w:rPr>
        <w:t xml:space="preserve">response to the ESC advice and </w:t>
      </w:r>
      <w:r>
        <w:rPr>
          <w:spacing w:val="5"/>
        </w:rPr>
        <w:t>the PEB addendum, the</w:t>
      </w:r>
      <w:r w:rsidR="00C04373">
        <w:rPr>
          <w:spacing w:val="5"/>
        </w:rPr>
        <w:t xml:space="preserve"> p</w:t>
      </w:r>
      <w:r>
        <w:rPr>
          <w:spacing w:val="5"/>
        </w:rPr>
        <w:t>re-PBAC</w:t>
      </w:r>
      <w:r w:rsidR="007B6439">
        <w:rPr>
          <w:spacing w:val="5"/>
        </w:rPr>
        <w:t xml:space="preserve"> response</w:t>
      </w:r>
      <w:r>
        <w:rPr>
          <w:spacing w:val="5"/>
        </w:rPr>
        <w:t xml:space="preserve"> </w:t>
      </w:r>
      <w:r w:rsidR="00C04373">
        <w:rPr>
          <w:spacing w:val="5"/>
        </w:rPr>
        <w:t>outlined</w:t>
      </w:r>
      <w:r w:rsidR="006B2900">
        <w:rPr>
          <w:spacing w:val="5"/>
        </w:rPr>
        <w:t xml:space="preserve"> the following revisions</w:t>
      </w:r>
      <w:r>
        <w:rPr>
          <w:spacing w:val="5"/>
        </w:rPr>
        <w:t xml:space="preserve"> to the financial estimates:</w:t>
      </w:r>
    </w:p>
    <w:p w:rsidR="0037788A" w:rsidRPr="0037788A" w:rsidRDefault="004A7A08" w:rsidP="004D64A8">
      <w:pPr>
        <w:pStyle w:val="ListParagraph"/>
        <w:widowControl/>
        <w:numPr>
          <w:ilvl w:val="1"/>
          <w:numId w:val="4"/>
        </w:numPr>
        <w:ind w:left="993" w:hanging="284"/>
        <w:rPr>
          <w:rStyle w:val="IntenseReference"/>
          <w:b w:val="0"/>
          <w:bCs w:val="0"/>
          <w:i w:val="0"/>
          <w:iCs/>
          <w:smallCaps w:val="0"/>
          <w:color w:val="auto"/>
          <w:spacing w:val="0"/>
        </w:rPr>
      </w:pPr>
      <w:r w:rsidRPr="0036103A">
        <w:rPr>
          <w:iCs/>
        </w:rPr>
        <w:t>The incidence rate was reduced to</w:t>
      </w:r>
      <w:r w:rsidR="0036103A" w:rsidRPr="0036103A">
        <w:rPr>
          <w:iCs/>
        </w:rPr>
        <w:t xml:space="preserve"> 1.2/100,000, </w:t>
      </w:r>
      <w:r w:rsidRPr="0036103A">
        <w:rPr>
          <w:iCs/>
        </w:rPr>
        <w:t xml:space="preserve">the lower bound of the incidence estimate reported by Mehta et al, 2013. </w:t>
      </w:r>
    </w:p>
    <w:p w:rsidR="004A7A08" w:rsidRPr="0036103A" w:rsidRDefault="004A7A08" w:rsidP="004D64A8">
      <w:pPr>
        <w:pStyle w:val="ListParagraph"/>
        <w:widowControl/>
        <w:numPr>
          <w:ilvl w:val="1"/>
          <w:numId w:val="4"/>
        </w:numPr>
        <w:ind w:left="993" w:hanging="284"/>
        <w:rPr>
          <w:iCs/>
        </w:rPr>
      </w:pPr>
      <w:r w:rsidRPr="0036103A">
        <w:rPr>
          <w:iCs/>
        </w:rPr>
        <w:t xml:space="preserve">The </w:t>
      </w:r>
      <w:r w:rsidR="00023DE7">
        <w:rPr>
          <w:iCs/>
          <w:noProof/>
          <w:color w:val="000000"/>
          <w:highlight w:val="black"/>
        </w:rPr>
        <w:t>''''''</w:t>
      </w:r>
      <w:r w:rsidRPr="0036103A">
        <w:rPr>
          <w:iCs/>
        </w:rPr>
        <w:t>% adherence factor which incorporated permanent discontinuations was no longer applied</w:t>
      </w:r>
      <w:r w:rsidR="0036103A">
        <w:rPr>
          <w:iCs/>
        </w:rPr>
        <w:t>.</w:t>
      </w:r>
    </w:p>
    <w:p w:rsidR="00C04373" w:rsidRDefault="004A7A08" w:rsidP="004D64A8">
      <w:pPr>
        <w:pStyle w:val="ListParagraph"/>
        <w:widowControl/>
        <w:numPr>
          <w:ilvl w:val="1"/>
          <w:numId w:val="4"/>
        </w:numPr>
        <w:ind w:left="993" w:hanging="284"/>
        <w:rPr>
          <w:iCs/>
        </w:rPr>
      </w:pPr>
      <w:r>
        <w:rPr>
          <w:iCs/>
        </w:rPr>
        <w:t xml:space="preserve">A compliance factor of </w:t>
      </w:r>
      <w:r w:rsidR="00023DE7">
        <w:rPr>
          <w:iCs/>
          <w:noProof/>
          <w:color w:val="000000"/>
          <w:highlight w:val="black"/>
        </w:rPr>
        <w:t>'''''''</w:t>
      </w:r>
      <w:r>
        <w:rPr>
          <w:iCs/>
        </w:rPr>
        <w:t>% was applied in the model which was intended to account for temporary discontinuations due to adverse events or other reasons.</w:t>
      </w:r>
    </w:p>
    <w:p w:rsidR="0036103A" w:rsidRDefault="0036103A" w:rsidP="004D64A8">
      <w:pPr>
        <w:pStyle w:val="ListParagraph"/>
        <w:widowControl/>
        <w:numPr>
          <w:ilvl w:val="1"/>
          <w:numId w:val="4"/>
        </w:numPr>
        <w:ind w:left="993" w:hanging="284"/>
        <w:rPr>
          <w:iCs/>
        </w:rPr>
      </w:pPr>
      <w:r>
        <w:rPr>
          <w:iCs/>
        </w:rPr>
        <w:lastRenderedPageBreak/>
        <w:t>The revised estimates also incorporated the further price reduction offered in the pre-PBAC response.</w:t>
      </w:r>
    </w:p>
    <w:p w:rsidR="0037788A" w:rsidRDefault="0037788A" w:rsidP="0037788A">
      <w:pPr>
        <w:pStyle w:val="ListParagraph"/>
        <w:widowControl/>
        <w:ind w:left="993"/>
        <w:rPr>
          <w:iCs/>
        </w:rPr>
      </w:pPr>
    </w:p>
    <w:p w:rsidR="0037788A" w:rsidRPr="0037788A" w:rsidRDefault="0037788A" w:rsidP="0037788A">
      <w:pPr>
        <w:widowControl/>
        <w:ind w:firstLine="709"/>
        <w:rPr>
          <w:rFonts w:ascii="Arial Narrow" w:hAnsi="Arial Narrow"/>
          <w:b/>
          <w:sz w:val="20"/>
          <w:szCs w:val="16"/>
        </w:rPr>
      </w:pPr>
      <w:r>
        <w:rPr>
          <w:rStyle w:val="CommentReference"/>
        </w:rPr>
        <w:t>Revised e</w:t>
      </w:r>
      <w:r w:rsidRPr="002725BF">
        <w:rPr>
          <w:rStyle w:val="CommentReference"/>
        </w:rPr>
        <w:t>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Revised estimated use and financial implications"/>
        <w:tblDescription w:val="Year 1 to 5"/>
      </w:tblPr>
      <w:tblGrid>
        <w:gridCol w:w="1415"/>
        <w:gridCol w:w="1419"/>
        <w:gridCol w:w="1414"/>
        <w:gridCol w:w="1420"/>
        <w:gridCol w:w="1420"/>
        <w:gridCol w:w="1276"/>
      </w:tblGrid>
      <w:tr w:rsidR="0037008D" w:rsidRPr="005833F3" w:rsidTr="0037008D">
        <w:trPr>
          <w:tblHeader/>
        </w:trPr>
        <w:tc>
          <w:tcPr>
            <w:tcW w:w="846" w:type="pct"/>
            <w:shd w:val="clear" w:color="auto" w:fill="auto"/>
            <w:vAlign w:val="center"/>
          </w:tcPr>
          <w:p w:rsidR="0037788A" w:rsidRPr="0037788A" w:rsidRDefault="0037788A" w:rsidP="00654950">
            <w:pPr>
              <w:tabs>
                <w:tab w:val="left" w:pos="142"/>
              </w:tabs>
              <w:ind w:right="93"/>
              <w:rPr>
                <w:rFonts w:ascii="Arial Narrow" w:eastAsiaTheme="minorHAnsi" w:hAnsi="Arial Narrow"/>
                <w:b/>
                <w:sz w:val="20"/>
              </w:rPr>
            </w:pPr>
          </w:p>
        </w:tc>
        <w:tc>
          <w:tcPr>
            <w:tcW w:w="848" w:type="pct"/>
            <w:shd w:val="clear" w:color="auto" w:fill="auto"/>
            <w:vAlign w:val="center"/>
          </w:tcPr>
          <w:p w:rsidR="0037788A" w:rsidRPr="0037788A" w:rsidRDefault="0037788A" w:rsidP="00654950">
            <w:pPr>
              <w:ind w:right="93"/>
              <w:jc w:val="center"/>
              <w:rPr>
                <w:rFonts w:ascii="Arial Narrow" w:eastAsiaTheme="minorHAnsi" w:hAnsi="Arial Narrow"/>
                <w:b/>
                <w:sz w:val="20"/>
              </w:rPr>
            </w:pPr>
            <w:r w:rsidRPr="0037788A">
              <w:rPr>
                <w:rFonts w:ascii="Arial Narrow" w:eastAsiaTheme="minorHAnsi" w:hAnsi="Arial Narrow"/>
                <w:b/>
                <w:sz w:val="20"/>
              </w:rPr>
              <w:t>Year 1</w:t>
            </w:r>
          </w:p>
        </w:tc>
        <w:tc>
          <w:tcPr>
            <w:tcW w:w="845" w:type="pct"/>
            <w:shd w:val="clear" w:color="auto" w:fill="auto"/>
            <w:vAlign w:val="center"/>
          </w:tcPr>
          <w:p w:rsidR="0037788A" w:rsidRPr="0037788A" w:rsidRDefault="0037788A" w:rsidP="00654950">
            <w:pPr>
              <w:ind w:right="93"/>
              <w:jc w:val="center"/>
              <w:rPr>
                <w:rFonts w:ascii="Arial Narrow" w:eastAsiaTheme="minorHAnsi" w:hAnsi="Arial Narrow"/>
                <w:b/>
                <w:sz w:val="20"/>
              </w:rPr>
            </w:pPr>
            <w:r w:rsidRPr="0037788A">
              <w:rPr>
                <w:rFonts w:ascii="Arial Narrow" w:eastAsiaTheme="minorHAnsi" w:hAnsi="Arial Narrow"/>
                <w:b/>
                <w:sz w:val="20"/>
              </w:rPr>
              <w:t>Year 2</w:t>
            </w:r>
          </w:p>
        </w:tc>
        <w:tc>
          <w:tcPr>
            <w:tcW w:w="849" w:type="pct"/>
            <w:shd w:val="clear" w:color="auto" w:fill="auto"/>
            <w:vAlign w:val="center"/>
          </w:tcPr>
          <w:p w:rsidR="0037788A" w:rsidRPr="0037788A" w:rsidRDefault="0037788A" w:rsidP="00654950">
            <w:pPr>
              <w:ind w:right="93"/>
              <w:jc w:val="center"/>
              <w:rPr>
                <w:rFonts w:ascii="Arial Narrow" w:eastAsiaTheme="minorHAnsi" w:hAnsi="Arial Narrow"/>
                <w:b/>
                <w:sz w:val="20"/>
              </w:rPr>
            </w:pPr>
            <w:r w:rsidRPr="0037788A">
              <w:rPr>
                <w:rFonts w:ascii="Arial Narrow" w:eastAsiaTheme="minorHAnsi" w:hAnsi="Arial Narrow"/>
                <w:b/>
                <w:sz w:val="20"/>
              </w:rPr>
              <w:t>Year 3</w:t>
            </w:r>
          </w:p>
        </w:tc>
        <w:tc>
          <w:tcPr>
            <w:tcW w:w="849" w:type="pct"/>
            <w:shd w:val="clear" w:color="auto" w:fill="auto"/>
            <w:vAlign w:val="center"/>
          </w:tcPr>
          <w:p w:rsidR="0037788A" w:rsidRPr="0037788A" w:rsidRDefault="0037788A" w:rsidP="00654950">
            <w:pPr>
              <w:ind w:right="93"/>
              <w:jc w:val="center"/>
              <w:rPr>
                <w:rFonts w:ascii="Arial Narrow" w:eastAsiaTheme="minorHAnsi" w:hAnsi="Arial Narrow"/>
                <w:b/>
                <w:sz w:val="20"/>
              </w:rPr>
            </w:pPr>
            <w:r w:rsidRPr="0037788A">
              <w:rPr>
                <w:rFonts w:ascii="Arial Narrow" w:eastAsiaTheme="minorHAnsi" w:hAnsi="Arial Narrow"/>
                <w:b/>
                <w:sz w:val="20"/>
              </w:rPr>
              <w:t>Year 4</w:t>
            </w:r>
          </w:p>
        </w:tc>
        <w:tc>
          <w:tcPr>
            <w:tcW w:w="763" w:type="pct"/>
            <w:shd w:val="clear" w:color="auto" w:fill="auto"/>
            <w:vAlign w:val="center"/>
          </w:tcPr>
          <w:p w:rsidR="0037788A" w:rsidRPr="0037788A" w:rsidRDefault="0037788A" w:rsidP="00654950">
            <w:pPr>
              <w:ind w:right="93"/>
              <w:jc w:val="center"/>
              <w:rPr>
                <w:rFonts w:ascii="Arial Narrow" w:eastAsiaTheme="minorHAnsi" w:hAnsi="Arial Narrow"/>
                <w:b/>
                <w:sz w:val="20"/>
              </w:rPr>
            </w:pPr>
            <w:r w:rsidRPr="0037788A">
              <w:rPr>
                <w:rFonts w:ascii="Arial Narrow" w:eastAsiaTheme="minorHAnsi" w:hAnsi="Arial Narrow"/>
                <w:b/>
                <w:sz w:val="20"/>
              </w:rPr>
              <w:t>Year 5</w:t>
            </w:r>
          </w:p>
        </w:tc>
      </w:tr>
      <w:tr w:rsidR="0037788A" w:rsidRPr="005833F3" w:rsidTr="0037008D">
        <w:trPr>
          <w:tblHeader/>
        </w:trPr>
        <w:tc>
          <w:tcPr>
            <w:tcW w:w="5000" w:type="pct"/>
            <w:gridSpan w:val="6"/>
            <w:shd w:val="clear" w:color="auto" w:fill="auto"/>
            <w:vAlign w:val="center"/>
          </w:tcPr>
          <w:p w:rsidR="0037788A" w:rsidRPr="0037788A" w:rsidRDefault="0044612D" w:rsidP="0044612D">
            <w:pPr>
              <w:ind w:right="93"/>
              <w:rPr>
                <w:rFonts w:ascii="Arial Narrow" w:eastAsiaTheme="minorHAnsi" w:hAnsi="Arial Narrow"/>
                <w:b/>
                <w:sz w:val="20"/>
              </w:rPr>
            </w:pPr>
            <w:r>
              <w:rPr>
                <w:rFonts w:ascii="Arial Narrow" w:eastAsiaTheme="minorHAnsi" w:hAnsi="Arial Narrow"/>
                <w:b/>
                <w:sz w:val="20"/>
              </w:rPr>
              <w:t>Estimated number</w:t>
            </w:r>
            <w:r w:rsidR="0037788A" w:rsidRPr="0037788A">
              <w:rPr>
                <w:rFonts w:ascii="Arial Narrow" w:eastAsiaTheme="minorHAnsi" w:hAnsi="Arial Narrow"/>
                <w:b/>
                <w:sz w:val="20"/>
              </w:rPr>
              <w:t xml:space="preserve"> </w:t>
            </w:r>
            <w:r>
              <w:rPr>
                <w:rFonts w:ascii="Arial Narrow" w:eastAsiaTheme="minorHAnsi" w:hAnsi="Arial Narrow"/>
                <w:b/>
                <w:sz w:val="20"/>
              </w:rPr>
              <w:t>of patients</w:t>
            </w:r>
          </w:p>
        </w:tc>
      </w:tr>
      <w:tr w:rsidR="0037008D" w:rsidRPr="005833F3" w:rsidTr="00654950">
        <w:trPr>
          <w:tblHeader/>
        </w:trPr>
        <w:tc>
          <w:tcPr>
            <w:tcW w:w="846" w:type="pct"/>
            <w:shd w:val="clear" w:color="auto" w:fill="auto"/>
            <w:vAlign w:val="center"/>
          </w:tcPr>
          <w:p w:rsidR="00700523" w:rsidRPr="00700523" w:rsidRDefault="00700523" w:rsidP="00654950">
            <w:pPr>
              <w:tabs>
                <w:tab w:val="left" w:pos="142"/>
              </w:tabs>
              <w:ind w:right="93"/>
              <w:rPr>
                <w:rFonts w:ascii="Arial Narrow" w:eastAsiaTheme="minorHAnsi" w:hAnsi="Arial Narrow"/>
                <w:sz w:val="20"/>
              </w:rPr>
            </w:pPr>
            <w:r>
              <w:rPr>
                <w:rFonts w:ascii="Arial Narrow" w:eastAsiaTheme="minorHAnsi" w:hAnsi="Arial Narrow"/>
                <w:sz w:val="20"/>
              </w:rPr>
              <w:t>Intermediate-1</w:t>
            </w:r>
          </w:p>
        </w:tc>
        <w:tc>
          <w:tcPr>
            <w:tcW w:w="848" w:type="pct"/>
            <w:shd w:val="clear" w:color="auto" w:fill="auto"/>
            <w:vAlign w:val="center"/>
          </w:tcPr>
          <w:p w:rsidR="00700523"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845" w:type="pct"/>
            <w:shd w:val="clear" w:color="auto" w:fill="auto"/>
            <w:vAlign w:val="center"/>
          </w:tcPr>
          <w:p w:rsidR="00700523"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700523"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700523"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763" w:type="pct"/>
            <w:shd w:val="clear" w:color="auto" w:fill="auto"/>
            <w:vAlign w:val="center"/>
          </w:tcPr>
          <w:p w:rsidR="00700523"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r>
      <w:tr w:rsidR="0037008D" w:rsidRPr="005833F3" w:rsidTr="00654950">
        <w:trPr>
          <w:tblHeader/>
        </w:trPr>
        <w:tc>
          <w:tcPr>
            <w:tcW w:w="846" w:type="pct"/>
            <w:shd w:val="clear" w:color="auto" w:fill="auto"/>
            <w:vAlign w:val="center"/>
          </w:tcPr>
          <w:p w:rsidR="0037788A" w:rsidRPr="0037788A" w:rsidRDefault="00700523" w:rsidP="00654950">
            <w:pPr>
              <w:tabs>
                <w:tab w:val="left" w:pos="142"/>
              </w:tabs>
              <w:ind w:right="93"/>
              <w:rPr>
                <w:rFonts w:ascii="Arial Narrow" w:eastAsiaTheme="minorHAnsi" w:hAnsi="Arial Narrow"/>
                <w:i/>
                <w:sz w:val="20"/>
              </w:rPr>
            </w:pPr>
            <w:r w:rsidRPr="00182C24">
              <w:rPr>
                <w:rFonts w:ascii="Arial Narrow" w:eastAsiaTheme="minorHAnsi" w:hAnsi="Arial Narrow"/>
                <w:sz w:val="20"/>
              </w:rPr>
              <w:t>Intermediate-2 and high risk</w:t>
            </w:r>
          </w:p>
        </w:tc>
        <w:tc>
          <w:tcPr>
            <w:tcW w:w="848" w:type="pct"/>
            <w:shd w:val="clear" w:color="auto" w:fill="auto"/>
            <w:vAlign w:val="center"/>
          </w:tcPr>
          <w:p w:rsidR="0037788A" w:rsidRPr="00023DE7" w:rsidRDefault="00023DE7" w:rsidP="00654950">
            <w:pPr>
              <w:ind w:right="93"/>
              <w:jc w:val="center"/>
              <w:rPr>
                <w:rFonts w:ascii="Arial Narrow" w:eastAsiaTheme="minorHAnsi" w:hAnsi="Arial Narrow"/>
                <w:i/>
                <w:sz w:val="20"/>
                <w:highlight w:val="black"/>
              </w:rPr>
            </w:pPr>
            <w:r>
              <w:rPr>
                <w:rFonts w:ascii="Arial Narrow" w:hAnsi="Arial Narrow"/>
                <w:noProof/>
                <w:color w:val="000000"/>
                <w:sz w:val="20"/>
                <w:highlight w:val="black"/>
              </w:rPr>
              <w:t>'''''''''</w:t>
            </w:r>
          </w:p>
        </w:tc>
        <w:tc>
          <w:tcPr>
            <w:tcW w:w="845" w:type="pct"/>
            <w:shd w:val="clear" w:color="auto" w:fill="auto"/>
            <w:vAlign w:val="center"/>
          </w:tcPr>
          <w:p w:rsidR="0037788A" w:rsidRPr="00023DE7" w:rsidRDefault="00023DE7" w:rsidP="00654950">
            <w:pPr>
              <w:ind w:right="93"/>
              <w:jc w:val="center"/>
              <w:rPr>
                <w:rFonts w:ascii="Arial Narrow" w:eastAsiaTheme="minorHAnsi" w:hAnsi="Arial Narrow"/>
                <w:i/>
                <w:sz w:val="20"/>
                <w:highlight w:val="black"/>
              </w:rPr>
            </w:pPr>
            <w:r>
              <w:rPr>
                <w:rFonts w:ascii="Arial Narrow" w:hAnsi="Arial Narrow"/>
                <w:noProof/>
                <w:color w:val="000000"/>
                <w:sz w:val="20"/>
                <w:highlight w:val="black"/>
              </w:rPr>
              <w:t>''''''''''</w:t>
            </w:r>
          </w:p>
        </w:tc>
        <w:tc>
          <w:tcPr>
            <w:tcW w:w="849" w:type="pct"/>
            <w:shd w:val="clear" w:color="auto" w:fill="auto"/>
            <w:vAlign w:val="center"/>
          </w:tcPr>
          <w:p w:rsidR="0037788A" w:rsidRPr="00023DE7" w:rsidRDefault="00023DE7" w:rsidP="00654950">
            <w:pPr>
              <w:ind w:right="93"/>
              <w:jc w:val="center"/>
              <w:rPr>
                <w:rFonts w:ascii="Arial Narrow" w:eastAsiaTheme="minorHAnsi" w:hAnsi="Arial Narrow"/>
                <w:i/>
                <w:sz w:val="20"/>
                <w:highlight w:val="black"/>
              </w:rPr>
            </w:pPr>
            <w:r>
              <w:rPr>
                <w:rFonts w:ascii="Arial Narrow" w:hAnsi="Arial Narrow"/>
                <w:noProof/>
                <w:color w:val="000000"/>
                <w:sz w:val="20"/>
                <w:highlight w:val="black"/>
              </w:rPr>
              <w:t>'''''''''</w:t>
            </w:r>
          </w:p>
        </w:tc>
        <w:tc>
          <w:tcPr>
            <w:tcW w:w="849" w:type="pct"/>
            <w:shd w:val="clear" w:color="auto" w:fill="auto"/>
            <w:vAlign w:val="center"/>
          </w:tcPr>
          <w:p w:rsidR="0037788A" w:rsidRPr="00023DE7" w:rsidRDefault="00023DE7" w:rsidP="00654950">
            <w:pPr>
              <w:ind w:right="93"/>
              <w:jc w:val="center"/>
              <w:rPr>
                <w:rFonts w:ascii="Arial Narrow" w:eastAsiaTheme="minorHAnsi" w:hAnsi="Arial Narrow"/>
                <w:i/>
                <w:sz w:val="20"/>
                <w:highlight w:val="black"/>
              </w:rPr>
            </w:pPr>
            <w:r>
              <w:rPr>
                <w:rFonts w:ascii="Arial Narrow" w:hAnsi="Arial Narrow"/>
                <w:noProof/>
                <w:color w:val="000000"/>
                <w:sz w:val="20"/>
                <w:highlight w:val="black"/>
              </w:rPr>
              <w:t>''''''''</w:t>
            </w:r>
          </w:p>
        </w:tc>
        <w:tc>
          <w:tcPr>
            <w:tcW w:w="763" w:type="pct"/>
            <w:shd w:val="clear" w:color="auto" w:fill="auto"/>
            <w:vAlign w:val="center"/>
          </w:tcPr>
          <w:p w:rsidR="0037788A" w:rsidRPr="00023DE7" w:rsidRDefault="00023DE7" w:rsidP="00654950">
            <w:pPr>
              <w:ind w:right="93"/>
              <w:jc w:val="center"/>
              <w:rPr>
                <w:rFonts w:ascii="Arial Narrow" w:eastAsiaTheme="minorHAnsi" w:hAnsi="Arial Narrow"/>
                <w:i/>
                <w:sz w:val="20"/>
                <w:highlight w:val="black"/>
              </w:rPr>
            </w:pPr>
            <w:r>
              <w:rPr>
                <w:rFonts w:ascii="Arial Narrow" w:hAnsi="Arial Narrow"/>
                <w:noProof/>
                <w:color w:val="000000"/>
                <w:sz w:val="20"/>
                <w:highlight w:val="black"/>
              </w:rPr>
              <w:t>'''''''''''''</w:t>
            </w:r>
          </w:p>
        </w:tc>
      </w:tr>
      <w:tr w:rsidR="006C7C6C" w:rsidRPr="005833F3" w:rsidTr="00654950">
        <w:trPr>
          <w:tblHeader/>
        </w:trPr>
        <w:tc>
          <w:tcPr>
            <w:tcW w:w="846" w:type="pct"/>
            <w:shd w:val="clear" w:color="auto" w:fill="auto"/>
            <w:vAlign w:val="center"/>
          </w:tcPr>
          <w:p w:rsidR="006C7C6C" w:rsidRDefault="006C7C6C" w:rsidP="00654950">
            <w:pPr>
              <w:tabs>
                <w:tab w:val="left" w:pos="142"/>
              </w:tabs>
              <w:ind w:right="93"/>
              <w:rPr>
                <w:rFonts w:ascii="Arial Narrow" w:eastAsiaTheme="minorHAnsi" w:hAnsi="Arial Narrow"/>
                <w:sz w:val="20"/>
              </w:rPr>
            </w:pPr>
            <w:r w:rsidRPr="0060053E">
              <w:rPr>
                <w:rFonts w:ascii="Arial Narrow" w:eastAsiaTheme="minorHAnsi" w:hAnsi="Arial Narrow"/>
                <w:sz w:val="20"/>
              </w:rPr>
              <w:t>Total patients</w:t>
            </w:r>
          </w:p>
        </w:tc>
        <w:tc>
          <w:tcPr>
            <w:tcW w:w="848" w:type="pct"/>
            <w:shd w:val="clear" w:color="auto" w:fill="auto"/>
            <w:vAlign w:val="center"/>
          </w:tcPr>
          <w:p w:rsidR="006C7C6C"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845" w:type="pct"/>
            <w:shd w:val="clear" w:color="auto" w:fill="auto"/>
            <w:vAlign w:val="center"/>
          </w:tcPr>
          <w:p w:rsidR="006C7C6C"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6C7C6C"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6C7C6C"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c>
          <w:tcPr>
            <w:tcW w:w="763" w:type="pct"/>
            <w:shd w:val="clear" w:color="auto" w:fill="auto"/>
            <w:vAlign w:val="center"/>
          </w:tcPr>
          <w:p w:rsidR="006C7C6C" w:rsidRPr="00023DE7" w:rsidRDefault="00023DE7" w:rsidP="00654950">
            <w:pPr>
              <w:ind w:right="93"/>
              <w:jc w:val="center"/>
              <w:rPr>
                <w:rFonts w:ascii="Arial Narrow" w:hAnsi="Arial Narrow"/>
                <w:sz w:val="20"/>
                <w:highlight w:val="black"/>
              </w:rPr>
            </w:pPr>
            <w:r>
              <w:rPr>
                <w:rFonts w:ascii="Arial Narrow" w:hAnsi="Arial Narrow"/>
                <w:noProof/>
                <w:color w:val="000000"/>
                <w:sz w:val="20"/>
                <w:highlight w:val="black"/>
              </w:rPr>
              <w:t>'''''''''''''</w:t>
            </w:r>
          </w:p>
        </w:tc>
      </w:tr>
      <w:tr w:rsidR="0037788A" w:rsidRPr="005833F3" w:rsidTr="0037008D">
        <w:tc>
          <w:tcPr>
            <w:tcW w:w="5000" w:type="pct"/>
            <w:gridSpan w:val="6"/>
            <w:shd w:val="clear" w:color="auto" w:fill="auto"/>
            <w:vAlign w:val="center"/>
          </w:tcPr>
          <w:p w:rsidR="0037788A" w:rsidRPr="00182C24" w:rsidRDefault="0037788A" w:rsidP="006C7C6C">
            <w:pPr>
              <w:ind w:right="93"/>
              <w:rPr>
                <w:rFonts w:ascii="Arial Narrow" w:eastAsiaTheme="minorHAnsi" w:hAnsi="Arial Narrow"/>
                <w:b/>
                <w:bCs/>
                <w:sz w:val="20"/>
              </w:rPr>
            </w:pPr>
            <w:r w:rsidRPr="00182C24">
              <w:rPr>
                <w:rFonts w:ascii="Arial Narrow" w:eastAsiaTheme="minorHAnsi" w:hAnsi="Arial Narrow"/>
                <w:b/>
                <w:bCs/>
                <w:sz w:val="20"/>
              </w:rPr>
              <w:t xml:space="preserve">Estimated </w:t>
            </w:r>
            <w:r w:rsidR="0044612D" w:rsidRPr="00182C24">
              <w:rPr>
                <w:rFonts w:ascii="Arial Narrow" w:eastAsiaTheme="minorHAnsi" w:hAnsi="Arial Narrow"/>
                <w:b/>
                <w:bCs/>
                <w:sz w:val="20"/>
              </w:rPr>
              <w:t>number of scripts</w:t>
            </w:r>
          </w:p>
        </w:tc>
      </w:tr>
      <w:tr w:rsidR="0037008D" w:rsidRPr="005833F3" w:rsidTr="0037008D">
        <w:tc>
          <w:tcPr>
            <w:tcW w:w="846" w:type="pct"/>
            <w:shd w:val="clear" w:color="auto" w:fill="auto"/>
            <w:vAlign w:val="center"/>
          </w:tcPr>
          <w:p w:rsidR="0037788A" w:rsidRPr="00700523" w:rsidRDefault="00700523" w:rsidP="00654950">
            <w:pPr>
              <w:tabs>
                <w:tab w:val="left" w:pos="142"/>
              </w:tabs>
              <w:ind w:right="93"/>
              <w:rPr>
                <w:rFonts w:ascii="Arial Narrow" w:eastAsiaTheme="minorHAnsi" w:hAnsi="Arial Narrow"/>
                <w:sz w:val="20"/>
              </w:rPr>
            </w:pPr>
            <w:r w:rsidRPr="00700523">
              <w:rPr>
                <w:rFonts w:ascii="Arial Narrow" w:eastAsiaTheme="minorHAnsi" w:hAnsi="Arial Narrow"/>
                <w:bCs/>
                <w:sz w:val="20"/>
              </w:rPr>
              <w:t>Intermediate-1</w:t>
            </w:r>
          </w:p>
        </w:tc>
        <w:tc>
          <w:tcPr>
            <w:tcW w:w="848" w:type="pct"/>
            <w:shd w:val="clear" w:color="auto" w:fill="auto"/>
            <w:vAlign w:val="center"/>
          </w:tcPr>
          <w:p w:rsidR="0037788A" w:rsidRPr="00023DE7" w:rsidRDefault="00023DE7" w:rsidP="00654950">
            <w:pPr>
              <w:jc w:val="center"/>
              <w:rPr>
                <w:rFonts w:ascii="Arial Narrow" w:eastAsiaTheme="minorHAnsi" w:hAnsi="Arial Narrow"/>
                <w:sz w:val="20"/>
                <w:highlight w:val="black"/>
              </w:rPr>
            </w:pPr>
            <w:r>
              <w:rPr>
                <w:rFonts w:ascii="Arial Narrow" w:hAnsi="Arial Narrow"/>
                <w:noProof/>
                <w:color w:val="000000"/>
                <w:sz w:val="20"/>
                <w:highlight w:val="black"/>
              </w:rPr>
              <w:t>''''''''''''</w:t>
            </w:r>
          </w:p>
        </w:tc>
        <w:tc>
          <w:tcPr>
            <w:tcW w:w="845" w:type="pct"/>
            <w:shd w:val="clear" w:color="auto" w:fill="auto"/>
            <w:vAlign w:val="center"/>
          </w:tcPr>
          <w:p w:rsidR="0037788A" w:rsidRPr="00023DE7" w:rsidRDefault="00023DE7" w:rsidP="00654950">
            <w:pPr>
              <w:jc w:val="center"/>
              <w:rPr>
                <w:rFonts w:ascii="Arial Narrow" w:eastAsiaTheme="minorHAnsi"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37788A" w:rsidRPr="00023DE7" w:rsidRDefault="00023DE7" w:rsidP="00654950">
            <w:pPr>
              <w:jc w:val="center"/>
              <w:rPr>
                <w:rFonts w:ascii="Arial Narrow" w:eastAsiaTheme="minorHAnsi"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37788A" w:rsidRPr="00023DE7" w:rsidRDefault="00023DE7" w:rsidP="0044612D">
            <w:pPr>
              <w:jc w:val="center"/>
              <w:rPr>
                <w:rFonts w:ascii="Arial Narrow" w:eastAsiaTheme="minorHAnsi" w:hAnsi="Arial Narrow"/>
                <w:sz w:val="20"/>
                <w:highlight w:val="black"/>
              </w:rPr>
            </w:pPr>
            <w:r>
              <w:rPr>
                <w:rFonts w:ascii="Arial Narrow" w:hAnsi="Arial Narrow"/>
                <w:noProof/>
                <w:color w:val="000000"/>
                <w:sz w:val="20"/>
                <w:highlight w:val="black"/>
              </w:rPr>
              <w:t>''''''''''''''</w:t>
            </w:r>
          </w:p>
        </w:tc>
        <w:tc>
          <w:tcPr>
            <w:tcW w:w="763" w:type="pct"/>
            <w:shd w:val="clear" w:color="auto" w:fill="auto"/>
            <w:vAlign w:val="center"/>
          </w:tcPr>
          <w:p w:rsidR="0037788A" w:rsidRPr="00023DE7" w:rsidRDefault="00023DE7" w:rsidP="00654950">
            <w:pPr>
              <w:jc w:val="center"/>
              <w:rPr>
                <w:rFonts w:ascii="Arial Narrow" w:eastAsiaTheme="minorHAnsi" w:hAnsi="Arial Narrow"/>
                <w:sz w:val="20"/>
                <w:highlight w:val="black"/>
              </w:rPr>
            </w:pPr>
            <w:r>
              <w:rPr>
                <w:rFonts w:ascii="Arial Narrow" w:hAnsi="Arial Narrow"/>
                <w:noProof/>
                <w:color w:val="000000"/>
                <w:sz w:val="20"/>
                <w:highlight w:val="black"/>
              </w:rPr>
              <w:t>'''''''''''''</w:t>
            </w:r>
          </w:p>
        </w:tc>
      </w:tr>
      <w:tr w:rsidR="00654950" w:rsidRPr="005833F3" w:rsidTr="0037008D">
        <w:tc>
          <w:tcPr>
            <w:tcW w:w="846" w:type="pct"/>
            <w:shd w:val="clear" w:color="auto" w:fill="auto"/>
            <w:vAlign w:val="center"/>
          </w:tcPr>
          <w:p w:rsidR="00654950" w:rsidRPr="00700523" w:rsidRDefault="00654950" w:rsidP="00654950">
            <w:pPr>
              <w:tabs>
                <w:tab w:val="left" w:pos="142"/>
              </w:tabs>
              <w:ind w:right="93"/>
              <w:rPr>
                <w:rFonts w:ascii="Arial Narrow" w:eastAsiaTheme="minorHAnsi" w:hAnsi="Arial Narrow"/>
                <w:bCs/>
                <w:sz w:val="20"/>
              </w:rPr>
            </w:pPr>
            <w:r>
              <w:rPr>
                <w:rFonts w:ascii="Arial Narrow" w:eastAsiaTheme="minorHAnsi" w:hAnsi="Arial Narrow"/>
                <w:bCs/>
                <w:sz w:val="20"/>
              </w:rPr>
              <w:t>Intermediate-2 and high risk</w:t>
            </w:r>
          </w:p>
        </w:tc>
        <w:tc>
          <w:tcPr>
            <w:tcW w:w="848" w:type="pct"/>
            <w:shd w:val="clear" w:color="auto" w:fill="auto"/>
            <w:vAlign w:val="center"/>
          </w:tcPr>
          <w:p w:rsidR="00654950"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c>
          <w:tcPr>
            <w:tcW w:w="845" w:type="pct"/>
            <w:shd w:val="clear" w:color="auto" w:fill="auto"/>
            <w:vAlign w:val="center"/>
          </w:tcPr>
          <w:p w:rsidR="00654950"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654950"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654950" w:rsidRPr="00023DE7" w:rsidRDefault="00023DE7" w:rsidP="0044612D">
            <w:pPr>
              <w:jc w:val="center"/>
              <w:rPr>
                <w:rFonts w:ascii="Arial Narrow" w:hAnsi="Arial Narrow"/>
                <w:sz w:val="20"/>
                <w:highlight w:val="black"/>
              </w:rPr>
            </w:pPr>
            <w:r>
              <w:rPr>
                <w:rFonts w:ascii="Arial Narrow" w:hAnsi="Arial Narrow"/>
                <w:noProof/>
                <w:color w:val="000000"/>
                <w:sz w:val="20"/>
                <w:highlight w:val="black"/>
              </w:rPr>
              <w:t>''''''''''''''''''</w:t>
            </w:r>
          </w:p>
        </w:tc>
        <w:tc>
          <w:tcPr>
            <w:tcW w:w="763" w:type="pct"/>
            <w:shd w:val="clear" w:color="auto" w:fill="auto"/>
            <w:vAlign w:val="center"/>
          </w:tcPr>
          <w:p w:rsidR="00654950"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r>
      <w:tr w:rsidR="006C7C6C" w:rsidRPr="005833F3" w:rsidTr="0037008D">
        <w:tc>
          <w:tcPr>
            <w:tcW w:w="846" w:type="pct"/>
            <w:shd w:val="clear" w:color="auto" w:fill="auto"/>
            <w:vAlign w:val="center"/>
          </w:tcPr>
          <w:p w:rsidR="006C7C6C" w:rsidRDefault="006C7C6C" w:rsidP="00654950">
            <w:pPr>
              <w:tabs>
                <w:tab w:val="left" w:pos="142"/>
              </w:tabs>
              <w:ind w:right="93"/>
              <w:rPr>
                <w:rFonts w:ascii="Arial Narrow" w:eastAsiaTheme="minorHAnsi" w:hAnsi="Arial Narrow"/>
                <w:bCs/>
                <w:sz w:val="20"/>
              </w:rPr>
            </w:pPr>
            <w:r>
              <w:rPr>
                <w:rFonts w:ascii="Arial Narrow" w:eastAsiaTheme="minorHAnsi" w:hAnsi="Arial Narrow"/>
                <w:bCs/>
                <w:sz w:val="20"/>
              </w:rPr>
              <w:t>Total scripts</w:t>
            </w:r>
          </w:p>
        </w:tc>
        <w:tc>
          <w:tcPr>
            <w:tcW w:w="848" w:type="pct"/>
            <w:shd w:val="clear" w:color="auto" w:fill="auto"/>
            <w:vAlign w:val="center"/>
          </w:tcPr>
          <w:p w:rsidR="006C7C6C"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c>
          <w:tcPr>
            <w:tcW w:w="845" w:type="pct"/>
            <w:shd w:val="clear" w:color="auto" w:fill="auto"/>
            <w:vAlign w:val="center"/>
          </w:tcPr>
          <w:p w:rsidR="006C7C6C"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6C7C6C"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c>
          <w:tcPr>
            <w:tcW w:w="849" w:type="pct"/>
            <w:shd w:val="clear" w:color="auto" w:fill="auto"/>
            <w:vAlign w:val="center"/>
          </w:tcPr>
          <w:p w:rsidR="006C7C6C" w:rsidRPr="00023DE7" w:rsidRDefault="00023DE7" w:rsidP="0044612D">
            <w:pPr>
              <w:jc w:val="center"/>
              <w:rPr>
                <w:rFonts w:ascii="Arial Narrow" w:hAnsi="Arial Narrow"/>
                <w:sz w:val="20"/>
                <w:highlight w:val="black"/>
              </w:rPr>
            </w:pPr>
            <w:r>
              <w:rPr>
                <w:rFonts w:ascii="Arial Narrow" w:hAnsi="Arial Narrow"/>
                <w:noProof/>
                <w:color w:val="000000"/>
                <w:sz w:val="20"/>
                <w:highlight w:val="black"/>
              </w:rPr>
              <w:t>''''''''''''''''''</w:t>
            </w:r>
          </w:p>
        </w:tc>
        <w:tc>
          <w:tcPr>
            <w:tcW w:w="763" w:type="pct"/>
            <w:shd w:val="clear" w:color="auto" w:fill="auto"/>
            <w:vAlign w:val="center"/>
          </w:tcPr>
          <w:p w:rsidR="006C7C6C" w:rsidRPr="00023DE7" w:rsidRDefault="00023DE7" w:rsidP="00654950">
            <w:pPr>
              <w:jc w:val="center"/>
              <w:rPr>
                <w:rFonts w:ascii="Arial Narrow" w:hAnsi="Arial Narrow"/>
                <w:sz w:val="20"/>
                <w:highlight w:val="black"/>
              </w:rPr>
            </w:pPr>
            <w:r>
              <w:rPr>
                <w:rFonts w:ascii="Arial Narrow" w:hAnsi="Arial Narrow"/>
                <w:noProof/>
                <w:color w:val="000000"/>
                <w:sz w:val="20"/>
                <w:highlight w:val="black"/>
              </w:rPr>
              <w:t>''''''''''''''''</w:t>
            </w:r>
          </w:p>
        </w:tc>
      </w:tr>
      <w:tr w:rsidR="0037788A" w:rsidRPr="005833F3" w:rsidTr="0037008D">
        <w:tc>
          <w:tcPr>
            <w:tcW w:w="5000" w:type="pct"/>
            <w:gridSpan w:val="6"/>
            <w:shd w:val="clear" w:color="auto" w:fill="auto"/>
            <w:vAlign w:val="center"/>
          </w:tcPr>
          <w:p w:rsidR="0037788A" w:rsidRPr="0037788A" w:rsidRDefault="0037788A" w:rsidP="00654950">
            <w:pPr>
              <w:ind w:right="93"/>
              <w:rPr>
                <w:rFonts w:ascii="Arial Narrow" w:eastAsiaTheme="minorHAnsi" w:hAnsi="Arial Narrow"/>
                <w:b/>
                <w:bCs/>
                <w:sz w:val="20"/>
              </w:rPr>
            </w:pPr>
            <w:r w:rsidRPr="0037788A">
              <w:rPr>
                <w:rFonts w:ascii="Arial Narrow" w:eastAsiaTheme="minorHAnsi" w:hAnsi="Arial Narrow"/>
                <w:b/>
                <w:bCs/>
                <w:sz w:val="20"/>
              </w:rPr>
              <w:t>Estimated net cost to PBS</w:t>
            </w:r>
            <w:r w:rsidR="00C065D0">
              <w:rPr>
                <w:rFonts w:ascii="Arial Narrow" w:eastAsiaTheme="minorHAnsi" w:hAnsi="Arial Narrow"/>
                <w:b/>
                <w:bCs/>
                <w:sz w:val="20"/>
              </w:rPr>
              <w:t>/RPBS</w:t>
            </w:r>
          </w:p>
        </w:tc>
      </w:tr>
      <w:tr w:rsidR="0037008D" w:rsidRPr="005833F3" w:rsidTr="0037008D">
        <w:tc>
          <w:tcPr>
            <w:tcW w:w="846" w:type="pct"/>
            <w:shd w:val="clear" w:color="auto" w:fill="auto"/>
            <w:vAlign w:val="center"/>
          </w:tcPr>
          <w:p w:rsidR="0037788A" w:rsidRPr="00700523" w:rsidRDefault="00700523" w:rsidP="00654950">
            <w:pPr>
              <w:tabs>
                <w:tab w:val="left" w:pos="142"/>
              </w:tabs>
              <w:ind w:right="93"/>
              <w:rPr>
                <w:rFonts w:ascii="Arial Narrow" w:eastAsiaTheme="minorHAnsi" w:hAnsi="Arial Narrow"/>
                <w:i/>
                <w:sz w:val="20"/>
              </w:rPr>
            </w:pPr>
            <w:r w:rsidRPr="00700523">
              <w:rPr>
                <w:rFonts w:ascii="Arial Narrow" w:eastAsiaTheme="minorHAnsi" w:hAnsi="Arial Narrow"/>
                <w:bCs/>
                <w:sz w:val="20"/>
              </w:rPr>
              <w:t>Intermediate-1, intermediate-2 and high risk</w:t>
            </w:r>
          </w:p>
        </w:tc>
        <w:tc>
          <w:tcPr>
            <w:tcW w:w="848" w:type="pct"/>
            <w:shd w:val="clear" w:color="auto" w:fill="auto"/>
            <w:vAlign w:val="center"/>
          </w:tcPr>
          <w:p w:rsidR="0037788A" w:rsidRPr="0037008D" w:rsidRDefault="0037788A" w:rsidP="00654950">
            <w:pPr>
              <w:jc w:val="center"/>
              <w:rPr>
                <w:rFonts w:ascii="Arial Narrow" w:eastAsiaTheme="minorHAnsi" w:hAnsi="Arial Narrow"/>
                <w:sz w:val="20"/>
              </w:rPr>
            </w:pPr>
            <w:r w:rsidRPr="0037008D">
              <w:rPr>
                <w:rFonts w:ascii="Arial Narrow" w:hAnsi="Arial Narrow"/>
                <w:sz w:val="20"/>
              </w:rPr>
              <w:t xml:space="preserve"> </w:t>
            </w:r>
            <w:r w:rsidR="002F4DB1" w:rsidRPr="0037008D">
              <w:rPr>
                <w:rFonts w:ascii="Arial Narrow" w:hAnsi="Arial Narrow"/>
                <w:sz w:val="20"/>
              </w:rPr>
              <w:t>$</w:t>
            </w:r>
            <w:r w:rsidR="00023DE7">
              <w:rPr>
                <w:rFonts w:ascii="Arial Narrow" w:hAnsi="Arial Narrow"/>
                <w:noProof/>
                <w:color w:val="000000"/>
                <w:sz w:val="20"/>
                <w:highlight w:val="black"/>
              </w:rPr>
              <w:t>''''''''''''''''''''''''''''</w:t>
            </w:r>
          </w:p>
        </w:tc>
        <w:tc>
          <w:tcPr>
            <w:tcW w:w="845" w:type="pct"/>
            <w:shd w:val="clear" w:color="auto" w:fill="auto"/>
            <w:vAlign w:val="center"/>
          </w:tcPr>
          <w:p w:rsidR="0037788A" w:rsidRPr="0037008D" w:rsidRDefault="0037788A" w:rsidP="00654950">
            <w:pPr>
              <w:jc w:val="center"/>
              <w:rPr>
                <w:rFonts w:ascii="Arial Narrow" w:eastAsiaTheme="minorHAnsi" w:hAnsi="Arial Narrow"/>
                <w:sz w:val="20"/>
              </w:rPr>
            </w:pPr>
            <w:r w:rsidRPr="0037008D">
              <w:rPr>
                <w:rFonts w:ascii="Arial Narrow" w:hAnsi="Arial Narrow"/>
                <w:sz w:val="20"/>
              </w:rPr>
              <w:t xml:space="preserve"> </w:t>
            </w:r>
            <w:r w:rsidR="0037008D" w:rsidRPr="0037008D">
              <w:rPr>
                <w:rFonts w:ascii="Arial Narrow" w:hAnsi="Arial Narrow"/>
                <w:sz w:val="20"/>
              </w:rPr>
              <w:t>$</w:t>
            </w:r>
            <w:r w:rsidR="00023DE7">
              <w:rPr>
                <w:rFonts w:ascii="Arial Narrow" w:hAnsi="Arial Narrow"/>
                <w:noProof/>
                <w:color w:val="000000"/>
                <w:sz w:val="20"/>
                <w:highlight w:val="black"/>
              </w:rPr>
              <w:t>'''''''''''''''''''''''''''''</w:t>
            </w:r>
          </w:p>
        </w:tc>
        <w:tc>
          <w:tcPr>
            <w:tcW w:w="849" w:type="pct"/>
            <w:shd w:val="clear" w:color="auto" w:fill="auto"/>
            <w:vAlign w:val="center"/>
          </w:tcPr>
          <w:p w:rsidR="0037788A" w:rsidRPr="0037008D" w:rsidRDefault="0037788A" w:rsidP="00654950">
            <w:pPr>
              <w:jc w:val="center"/>
              <w:rPr>
                <w:rFonts w:ascii="Arial Narrow" w:eastAsiaTheme="minorHAnsi" w:hAnsi="Arial Narrow"/>
                <w:sz w:val="20"/>
              </w:rPr>
            </w:pPr>
            <w:r w:rsidRPr="0037008D">
              <w:rPr>
                <w:rFonts w:ascii="Arial Narrow" w:hAnsi="Arial Narrow"/>
                <w:sz w:val="20"/>
              </w:rPr>
              <w:t xml:space="preserve"> </w:t>
            </w:r>
            <w:r w:rsidR="0037008D" w:rsidRPr="0037008D">
              <w:rPr>
                <w:rFonts w:ascii="Arial Narrow" w:hAnsi="Arial Narrow"/>
                <w:sz w:val="20"/>
              </w:rPr>
              <w:t>$</w:t>
            </w:r>
            <w:r w:rsidR="00023DE7">
              <w:rPr>
                <w:rFonts w:ascii="Arial Narrow" w:hAnsi="Arial Narrow"/>
                <w:noProof/>
                <w:color w:val="000000"/>
                <w:sz w:val="20"/>
                <w:highlight w:val="black"/>
              </w:rPr>
              <w:t>''''''''''''''''''''''''</w:t>
            </w:r>
          </w:p>
        </w:tc>
        <w:tc>
          <w:tcPr>
            <w:tcW w:w="849" w:type="pct"/>
            <w:shd w:val="clear" w:color="auto" w:fill="auto"/>
            <w:vAlign w:val="center"/>
          </w:tcPr>
          <w:p w:rsidR="0037788A" w:rsidRPr="0037008D" w:rsidRDefault="0037008D" w:rsidP="0037008D">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c>
          <w:tcPr>
            <w:tcW w:w="763" w:type="pct"/>
            <w:shd w:val="clear" w:color="auto" w:fill="auto"/>
            <w:vAlign w:val="center"/>
          </w:tcPr>
          <w:p w:rsidR="0037788A" w:rsidRPr="0037008D" w:rsidRDefault="0037008D" w:rsidP="0037008D">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r>
      <w:tr w:rsidR="0037008D" w:rsidRPr="005833F3" w:rsidTr="0037008D">
        <w:tc>
          <w:tcPr>
            <w:tcW w:w="5000" w:type="pct"/>
            <w:gridSpan w:val="6"/>
            <w:shd w:val="clear" w:color="auto" w:fill="auto"/>
            <w:vAlign w:val="center"/>
          </w:tcPr>
          <w:p w:rsidR="0037008D" w:rsidRPr="0037008D" w:rsidRDefault="0037008D" w:rsidP="0037008D">
            <w:pPr>
              <w:jc w:val="left"/>
              <w:rPr>
                <w:rFonts w:ascii="Arial Narrow" w:hAnsi="Arial Narrow"/>
                <w:sz w:val="20"/>
              </w:rPr>
            </w:pPr>
            <w:r w:rsidRPr="0037788A">
              <w:rPr>
                <w:rFonts w:ascii="Arial Narrow" w:eastAsiaTheme="minorHAnsi" w:hAnsi="Arial Narrow"/>
                <w:b/>
                <w:bCs/>
                <w:sz w:val="20"/>
              </w:rPr>
              <w:t xml:space="preserve">Estimated net cost to </w:t>
            </w:r>
            <w:r>
              <w:rPr>
                <w:rFonts w:ascii="Arial Narrow" w:eastAsiaTheme="minorHAnsi" w:hAnsi="Arial Narrow"/>
                <w:b/>
                <w:bCs/>
                <w:sz w:val="20"/>
              </w:rPr>
              <w:t>Government</w:t>
            </w:r>
            <w:r w:rsidR="00C065D0">
              <w:rPr>
                <w:rFonts w:ascii="Arial Narrow" w:eastAsiaTheme="minorHAnsi" w:hAnsi="Arial Narrow"/>
                <w:b/>
                <w:bCs/>
                <w:sz w:val="20"/>
              </w:rPr>
              <w:t xml:space="preserve"> (PBS/RPBS/MBS)</w:t>
            </w:r>
          </w:p>
        </w:tc>
      </w:tr>
      <w:tr w:rsidR="0037008D" w:rsidRPr="005833F3" w:rsidTr="0037008D">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37008D" w:rsidRPr="00700523" w:rsidRDefault="0037008D" w:rsidP="00654950">
            <w:pPr>
              <w:tabs>
                <w:tab w:val="left" w:pos="142"/>
              </w:tabs>
              <w:ind w:right="93"/>
              <w:rPr>
                <w:rFonts w:ascii="Arial Narrow" w:eastAsiaTheme="minorHAnsi" w:hAnsi="Arial Narrow"/>
                <w:bCs/>
                <w:sz w:val="20"/>
              </w:rPr>
            </w:pPr>
            <w:r w:rsidRPr="00700523">
              <w:rPr>
                <w:rFonts w:ascii="Arial Narrow" w:eastAsiaTheme="minorHAnsi" w:hAnsi="Arial Narrow"/>
                <w:bCs/>
                <w:sz w:val="20"/>
              </w:rPr>
              <w:t>Intermediate-1, intermediate-2 and high risk</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37008D" w:rsidRPr="0037008D" w:rsidRDefault="0037008D" w:rsidP="00654950">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37008D" w:rsidRPr="0037008D" w:rsidRDefault="0037008D" w:rsidP="00654950">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7008D" w:rsidRPr="0037008D" w:rsidRDefault="0037008D" w:rsidP="00654950">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7008D" w:rsidRPr="0037008D" w:rsidRDefault="0037008D" w:rsidP="00654950">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rsidR="0037008D" w:rsidRPr="0037008D" w:rsidRDefault="0037008D" w:rsidP="00654950">
            <w:pPr>
              <w:jc w:val="center"/>
              <w:rPr>
                <w:rFonts w:ascii="Arial Narrow" w:hAnsi="Arial Narrow"/>
                <w:sz w:val="20"/>
              </w:rPr>
            </w:pPr>
            <w:r w:rsidRPr="0037008D">
              <w:rPr>
                <w:rFonts w:ascii="Arial Narrow" w:hAnsi="Arial Narrow"/>
                <w:sz w:val="20"/>
              </w:rPr>
              <w:t>$</w:t>
            </w:r>
            <w:r w:rsidR="00023DE7">
              <w:rPr>
                <w:rFonts w:ascii="Arial Narrow" w:hAnsi="Arial Narrow"/>
                <w:noProof/>
                <w:color w:val="000000"/>
                <w:sz w:val="20"/>
                <w:highlight w:val="black"/>
              </w:rPr>
              <w:t>''''''''''''''''''''''''''</w:t>
            </w:r>
          </w:p>
        </w:tc>
      </w:tr>
    </w:tbl>
    <w:p w:rsidR="00545EB4" w:rsidRDefault="00545EB4" w:rsidP="00545EB4">
      <w:pPr>
        <w:ind w:firstLine="709"/>
        <w:rPr>
          <w:rFonts w:ascii="Arial Narrow" w:hAnsi="Arial Narrow"/>
          <w:sz w:val="20"/>
        </w:rPr>
      </w:pPr>
      <w:r w:rsidRPr="002725BF">
        <w:rPr>
          <w:rFonts w:ascii="Arial Narrow" w:hAnsi="Arial Narrow"/>
          <w:sz w:val="20"/>
        </w:rPr>
        <w:t>Costs reported are effective prices, net of patient co-payments.</w:t>
      </w:r>
      <w:r>
        <w:rPr>
          <w:rFonts w:ascii="Arial Narrow" w:hAnsi="Arial Narrow"/>
          <w:sz w:val="20"/>
        </w:rPr>
        <w:t xml:space="preserve"> Hospitalisation costs are not included.  </w:t>
      </w:r>
    </w:p>
    <w:p w:rsidR="00E35D4E" w:rsidRDefault="00E35D4E" w:rsidP="00E35D4E">
      <w:pPr>
        <w:widowControl/>
        <w:ind w:left="709"/>
        <w:rPr>
          <w:rFonts w:ascii="Arial Narrow" w:hAnsi="Arial Narrow"/>
          <w:iCs/>
          <w:sz w:val="18"/>
          <w:szCs w:val="18"/>
        </w:rPr>
      </w:pPr>
      <w:r w:rsidRPr="0037788A">
        <w:rPr>
          <w:rFonts w:ascii="Arial Narrow" w:hAnsi="Arial Narrow"/>
          <w:iCs/>
          <w:sz w:val="18"/>
          <w:szCs w:val="18"/>
        </w:rPr>
        <w:t xml:space="preserve">Source: </w:t>
      </w:r>
      <w:r>
        <w:rPr>
          <w:rFonts w:ascii="Arial Narrow" w:hAnsi="Arial Narrow"/>
          <w:iCs/>
          <w:sz w:val="18"/>
          <w:szCs w:val="18"/>
        </w:rPr>
        <w:t>Item 4.01 ruxolitinib Pre-PBAC Excel Section E.xls</w:t>
      </w:r>
    </w:p>
    <w:p w:rsidR="00E35D4E" w:rsidRPr="002725BF" w:rsidRDefault="00E35D4E" w:rsidP="00545EB4">
      <w:pPr>
        <w:ind w:firstLine="709"/>
        <w:rPr>
          <w:rFonts w:ascii="Arial Narrow" w:hAnsi="Arial Narrow"/>
          <w:sz w:val="20"/>
        </w:rPr>
      </w:pPr>
    </w:p>
    <w:p w:rsidR="001352A2" w:rsidRPr="004A7A08" w:rsidRDefault="001352A2" w:rsidP="004A7A08">
      <w:pPr>
        <w:rPr>
          <w:spacing w:val="5"/>
        </w:rPr>
      </w:pPr>
    </w:p>
    <w:p w:rsidR="002F72FC" w:rsidRDefault="002F72FC" w:rsidP="0070407C">
      <w:pPr>
        <w:pStyle w:val="PBACheading1"/>
        <w:numPr>
          <w:ilvl w:val="1"/>
          <w:numId w:val="1"/>
        </w:numPr>
        <w:rPr>
          <w:spacing w:val="5"/>
        </w:rPr>
      </w:pPr>
      <w:r>
        <w:rPr>
          <w:spacing w:val="5"/>
        </w:rPr>
        <w:t xml:space="preserve">The redacted table above shows the estimated total net cost to the PBS/MBS to be $20 - $30 million per year in year 1 and $30 - $60 million per year in years 2 to 5. </w:t>
      </w:r>
    </w:p>
    <w:p w:rsidR="002F72FC" w:rsidRPr="002F72FC" w:rsidRDefault="002F72FC" w:rsidP="002F72FC">
      <w:pPr>
        <w:pStyle w:val="PBACheading1"/>
        <w:numPr>
          <w:ilvl w:val="0"/>
          <w:numId w:val="0"/>
        </w:numPr>
        <w:ind w:left="720"/>
        <w:rPr>
          <w:spacing w:val="5"/>
        </w:rPr>
      </w:pPr>
    </w:p>
    <w:p w:rsidR="0036103A" w:rsidRPr="00F20A48" w:rsidRDefault="0036103A" w:rsidP="0070407C">
      <w:pPr>
        <w:pStyle w:val="PBACheading1"/>
        <w:numPr>
          <w:ilvl w:val="1"/>
          <w:numId w:val="1"/>
        </w:numPr>
        <w:rPr>
          <w:spacing w:val="5"/>
        </w:rPr>
      </w:pPr>
      <w:r w:rsidRPr="007B2F78">
        <w:rPr>
          <w:bCs/>
        </w:rPr>
        <w:t>According to the</w:t>
      </w:r>
      <w:r>
        <w:rPr>
          <w:bCs/>
        </w:rPr>
        <w:t xml:space="preserve"> revised estimates from the pre-PBAC response, </w:t>
      </w:r>
      <w:r w:rsidRPr="007B2F78">
        <w:rPr>
          <w:bCs/>
        </w:rPr>
        <w:t>at year 5, the estimated number of patients</w:t>
      </w:r>
      <w:r>
        <w:rPr>
          <w:bCs/>
        </w:rPr>
        <w:t xml:space="preserve"> treated</w:t>
      </w:r>
      <w:r w:rsidRPr="007B2F78">
        <w:rPr>
          <w:bCs/>
        </w:rPr>
        <w:t xml:space="preserve"> was </w:t>
      </w:r>
      <w:r w:rsidR="0070407C" w:rsidRPr="00182C24">
        <w:rPr>
          <w:bCs/>
        </w:rPr>
        <w:t>less than 10,000 per year</w:t>
      </w:r>
      <w:r w:rsidRPr="00182C24">
        <w:rPr>
          <w:bCs/>
        </w:rPr>
        <w:t xml:space="preserve"> and the net cost to the PBS would be </w:t>
      </w:r>
      <w:r w:rsidR="0070407C" w:rsidRPr="0070407C">
        <w:rPr>
          <w:rFonts w:eastAsiaTheme="minorHAnsi"/>
          <w:bCs/>
          <w:iCs/>
          <w:snapToGrid/>
        </w:rPr>
        <w:t>$30 – $60 million per year</w:t>
      </w:r>
      <w:r w:rsidR="00F30F47">
        <w:rPr>
          <w:rFonts w:eastAsiaTheme="minorHAnsi"/>
          <w:bCs/>
          <w:iCs/>
          <w:snapToGrid/>
        </w:rPr>
        <w:t>,</w:t>
      </w:r>
      <w:r>
        <w:rPr>
          <w:rFonts w:eastAsiaTheme="minorHAnsi"/>
          <w:bCs/>
          <w:iCs/>
          <w:snapToGrid/>
        </w:rPr>
        <w:t xml:space="preserve"> </w:t>
      </w:r>
      <w:r w:rsidR="0003144D">
        <w:rPr>
          <w:rFonts w:eastAsiaTheme="minorHAnsi"/>
          <w:bCs/>
          <w:iCs/>
          <w:snapToGrid/>
        </w:rPr>
        <w:t>a</w:t>
      </w:r>
      <w:r>
        <w:rPr>
          <w:rFonts w:eastAsiaTheme="minorHAnsi"/>
          <w:bCs/>
          <w:iCs/>
          <w:snapToGrid/>
        </w:rPr>
        <w:t xml:space="preserve">s shown in </w:t>
      </w:r>
      <w:r w:rsidR="004B20FC">
        <w:rPr>
          <w:rFonts w:eastAsiaTheme="minorHAnsi"/>
          <w:bCs/>
          <w:iCs/>
          <w:snapToGrid/>
        </w:rPr>
        <w:t>the table above</w:t>
      </w:r>
      <w:r w:rsidR="0037788A">
        <w:rPr>
          <w:rFonts w:eastAsiaTheme="minorHAnsi"/>
          <w:bCs/>
          <w:iCs/>
          <w:snapToGrid/>
        </w:rPr>
        <w:t xml:space="preserve">. </w:t>
      </w:r>
      <w:r>
        <w:rPr>
          <w:rFonts w:eastAsiaTheme="minorHAnsi"/>
          <w:bCs/>
          <w:iCs/>
          <w:snapToGrid/>
        </w:rPr>
        <w:t xml:space="preserve"> </w:t>
      </w:r>
    </w:p>
    <w:p w:rsidR="0036103A" w:rsidRPr="0036103A" w:rsidRDefault="0036103A" w:rsidP="0037008D">
      <w:pPr>
        <w:pStyle w:val="PBACheading1"/>
        <w:numPr>
          <w:ilvl w:val="0"/>
          <w:numId w:val="0"/>
        </w:numPr>
        <w:ind w:left="720"/>
        <w:rPr>
          <w:rStyle w:val="IntenseReference"/>
          <w:b w:val="0"/>
          <w:bCs w:val="0"/>
          <w:i w:val="0"/>
          <w:smallCaps w:val="0"/>
          <w:color w:val="auto"/>
          <w:spacing w:val="0"/>
        </w:rPr>
      </w:pPr>
    </w:p>
    <w:p w:rsidR="004A7A08" w:rsidRPr="00206C31" w:rsidRDefault="001352A2" w:rsidP="0070407C">
      <w:pPr>
        <w:pStyle w:val="PBACheading1"/>
        <w:numPr>
          <w:ilvl w:val="1"/>
          <w:numId w:val="1"/>
        </w:numPr>
        <w:rPr>
          <w:rStyle w:val="IntenseReference"/>
          <w:b w:val="0"/>
          <w:bCs w:val="0"/>
          <w:i w:val="0"/>
          <w:smallCaps w:val="0"/>
          <w:color w:val="auto"/>
          <w:spacing w:val="0"/>
        </w:rPr>
      </w:pPr>
      <w:r w:rsidRPr="00100321">
        <w:rPr>
          <w:rStyle w:val="IntenseReference"/>
          <w:b w:val="0"/>
          <w:bCs w:val="0"/>
          <w:i w:val="0"/>
          <w:smallCaps w:val="0"/>
          <w:color w:val="auto"/>
        </w:rPr>
        <w:t>The PBAC noted the</w:t>
      </w:r>
      <w:r w:rsidR="00C04373">
        <w:rPr>
          <w:rStyle w:val="IntenseReference"/>
          <w:b w:val="0"/>
          <w:bCs w:val="0"/>
          <w:i w:val="0"/>
          <w:smallCaps w:val="0"/>
          <w:color w:val="auto"/>
        </w:rPr>
        <w:t xml:space="preserve"> uncertainty in the financial estimates, as raised by ESC and outlined in the</w:t>
      </w:r>
      <w:r w:rsidRPr="00100321">
        <w:rPr>
          <w:rStyle w:val="IntenseReference"/>
          <w:b w:val="0"/>
          <w:bCs w:val="0"/>
          <w:i w:val="0"/>
          <w:smallCaps w:val="0"/>
          <w:color w:val="auto"/>
        </w:rPr>
        <w:t xml:space="preserve"> </w:t>
      </w:r>
      <w:r w:rsidR="00C04373">
        <w:rPr>
          <w:rStyle w:val="IntenseReference"/>
          <w:b w:val="0"/>
          <w:bCs w:val="0"/>
          <w:i w:val="0"/>
          <w:smallCaps w:val="0"/>
          <w:color w:val="auto"/>
        </w:rPr>
        <w:t>PEB a</w:t>
      </w:r>
      <w:r w:rsidRPr="00100321">
        <w:rPr>
          <w:rStyle w:val="IntenseReference"/>
          <w:b w:val="0"/>
          <w:bCs w:val="0"/>
          <w:i w:val="0"/>
          <w:smallCaps w:val="0"/>
          <w:color w:val="auto"/>
        </w:rPr>
        <w:t>ddendum</w:t>
      </w:r>
      <w:r w:rsidR="00C04373">
        <w:rPr>
          <w:rStyle w:val="IntenseReference"/>
          <w:b w:val="0"/>
          <w:bCs w:val="0"/>
          <w:i w:val="0"/>
          <w:smallCaps w:val="0"/>
          <w:color w:val="auto"/>
        </w:rPr>
        <w:t>, particularly in relation to the large increase in patients over five years</w:t>
      </w:r>
      <w:r w:rsidR="0036103A">
        <w:rPr>
          <w:rStyle w:val="IntenseReference"/>
          <w:b w:val="0"/>
          <w:bCs w:val="0"/>
          <w:i w:val="0"/>
          <w:smallCaps w:val="0"/>
          <w:color w:val="auto"/>
        </w:rPr>
        <w:t>.</w:t>
      </w:r>
      <w:r w:rsidR="00C04373">
        <w:rPr>
          <w:rStyle w:val="IntenseReference"/>
          <w:b w:val="0"/>
          <w:bCs w:val="0"/>
          <w:i w:val="0"/>
          <w:smallCaps w:val="0"/>
          <w:color w:val="auto"/>
        </w:rPr>
        <w:t xml:space="preserve"> </w:t>
      </w:r>
      <w:r w:rsidR="00403427">
        <w:rPr>
          <w:rStyle w:val="IntenseReference"/>
          <w:b w:val="0"/>
          <w:bCs w:val="0"/>
          <w:i w:val="0"/>
          <w:smallCaps w:val="0"/>
          <w:color w:val="auto"/>
        </w:rPr>
        <w:t>T</w:t>
      </w:r>
      <w:r w:rsidR="00C04373">
        <w:rPr>
          <w:rStyle w:val="IntenseReference"/>
          <w:b w:val="0"/>
          <w:bCs w:val="0"/>
          <w:i w:val="0"/>
          <w:smallCaps w:val="0"/>
          <w:color w:val="auto"/>
        </w:rPr>
        <w:t>he PBAC noted that to address this issue,</w:t>
      </w:r>
      <w:r w:rsidR="007B2F78" w:rsidRPr="00100321">
        <w:rPr>
          <w:rStyle w:val="IntenseReference"/>
          <w:b w:val="0"/>
          <w:bCs w:val="0"/>
          <w:i w:val="0"/>
          <w:smallCaps w:val="0"/>
          <w:color w:val="auto"/>
        </w:rPr>
        <w:t xml:space="preserve"> </w:t>
      </w:r>
      <w:r w:rsidRPr="00100321">
        <w:rPr>
          <w:rStyle w:val="IntenseReference"/>
          <w:b w:val="0"/>
          <w:bCs w:val="0"/>
          <w:i w:val="0"/>
          <w:smallCaps w:val="0"/>
          <w:color w:val="auto"/>
        </w:rPr>
        <w:t xml:space="preserve">the pre-PBAC response </w:t>
      </w:r>
      <w:r w:rsidR="00C04373">
        <w:rPr>
          <w:rStyle w:val="IntenseReference"/>
          <w:b w:val="0"/>
          <w:bCs w:val="0"/>
          <w:i w:val="0"/>
          <w:smallCaps w:val="0"/>
          <w:color w:val="auto"/>
        </w:rPr>
        <w:t>revis</w:t>
      </w:r>
      <w:r w:rsidR="0036103A">
        <w:rPr>
          <w:rStyle w:val="IntenseReference"/>
          <w:b w:val="0"/>
          <w:bCs w:val="0"/>
          <w:i w:val="0"/>
          <w:smallCaps w:val="0"/>
          <w:color w:val="auto"/>
        </w:rPr>
        <w:t>ed</w:t>
      </w:r>
      <w:r w:rsidR="00C04373">
        <w:rPr>
          <w:rStyle w:val="IntenseReference"/>
          <w:b w:val="0"/>
          <w:bCs w:val="0"/>
          <w:i w:val="0"/>
          <w:smallCaps w:val="0"/>
          <w:color w:val="auto"/>
        </w:rPr>
        <w:t xml:space="preserve"> the financial estimates </w:t>
      </w:r>
      <w:r w:rsidR="0036103A">
        <w:rPr>
          <w:rStyle w:val="IntenseReference"/>
          <w:b w:val="0"/>
          <w:bCs w:val="0"/>
          <w:i w:val="0"/>
          <w:smallCaps w:val="0"/>
          <w:color w:val="auto"/>
        </w:rPr>
        <w:t xml:space="preserve">by reducing </w:t>
      </w:r>
      <w:r w:rsidR="00C04373">
        <w:rPr>
          <w:rStyle w:val="IntenseReference"/>
          <w:b w:val="0"/>
          <w:bCs w:val="0"/>
          <w:i w:val="0"/>
          <w:smallCaps w:val="0"/>
          <w:color w:val="auto"/>
        </w:rPr>
        <w:t>the incidence rate to the lower bound of the estimate provided by Mehta et al.</w:t>
      </w:r>
      <w:r w:rsidR="0003144D">
        <w:rPr>
          <w:rStyle w:val="IntenseReference"/>
          <w:b w:val="0"/>
          <w:bCs w:val="0"/>
          <w:i w:val="0"/>
          <w:smallCaps w:val="0"/>
          <w:color w:val="auto"/>
        </w:rPr>
        <w:t xml:space="preserve"> However the PBAC noted that the number of patients still increases substantially from </w:t>
      </w:r>
      <w:r w:rsidR="0070407C" w:rsidRPr="0070407C">
        <w:rPr>
          <w:rStyle w:val="IntenseReference"/>
          <w:b w:val="0"/>
          <w:bCs w:val="0"/>
          <w:i w:val="0"/>
          <w:smallCaps w:val="0"/>
          <w:color w:val="auto"/>
        </w:rPr>
        <w:t>less than 10,000 per year</w:t>
      </w:r>
      <w:r w:rsidR="0003144D">
        <w:rPr>
          <w:rStyle w:val="IntenseReference"/>
          <w:b w:val="0"/>
          <w:bCs w:val="0"/>
          <w:i w:val="0"/>
          <w:smallCaps w:val="0"/>
          <w:color w:val="auto"/>
        </w:rPr>
        <w:t xml:space="preserve"> in Year 1 to </w:t>
      </w:r>
      <w:r w:rsidR="00553009">
        <w:rPr>
          <w:rStyle w:val="IntenseReference"/>
          <w:b w:val="0"/>
          <w:bCs w:val="0"/>
          <w:i w:val="0"/>
          <w:smallCaps w:val="0"/>
          <w:noProof/>
          <w:color w:val="000000"/>
        </w:rPr>
        <w:t>l</w:t>
      </w:r>
      <w:r w:rsidR="0070407C" w:rsidRPr="0070407C">
        <w:rPr>
          <w:rStyle w:val="IntenseReference"/>
          <w:b w:val="0"/>
          <w:bCs w:val="0"/>
          <w:i w:val="0"/>
          <w:smallCaps w:val="0"/>
          <w:color w:val="auto"/>
        </w:rPr>
        <w:t>ess than 10,000 per year</w:t>
      </w:r>
      <w:r w:rsidR="0003144D">
        <w:rPr>
          <w:rStyle w:val="IntenseReference"/>
          <w:b w:val="0"/>
          <w:bCs w:val="0"/>
          <w:i w:val="0"/>
          <w:smallCaps w:val="0"/>
          <w:color w:val="auto"/>
        </w:rPr>
        <w:t xml:space="preserve"> in Year 5. The PBA</w:t>
      </w:r>
      <w:r w:rsidR="00C63608">
        <w:rPr>
          <w:rStyle w:val="IntenseReference"/>
          <w:b w:val="0"/>
          <w:bCs w:val="0"/>
          <w:i w:val="0"/>
          <w:smallCaps w:val="0"/>
          <w:color w:val="auto"/>
        </w:rPr>
        <w:t>C</w:t>
      </w:r>
      <w:r w:rsidR="0003144D">
        <w:rPr>
          <w:rStyle w:val="IntenseReference"/>
          <w:b w:val="0"/>
          <w:bCs w:val="0"/>
          <w:i w:val="0"/>
          <w:smallCaps w:val="0"/>
          <w:color w:val="auto"/>
        </w:rPr>
        <w:t xml:space="preserve"> accepted the revised number of patients</w:t>
      </w:r>
      <w:r w:rsidR="00476BD7">
        <w:rPr>
          <w:rStyle w:val="IntenseReference"/>
          <w:b w:val="0"/>
          <w:bCs w:val="0"/>
          <w:i w:val="0"/>
          <w:smallCaps w:val="0"/>
          <w:color w:val="auto"/>
        </w:rPr>
        <w:t xml:space="preserve"> </w:t>
      </w:r>
      <w:r w:rsidR="00C62A7C" w:rsidRPr="00476BD7">
        <w:rPr>
          <w:rStyle w:val="IntenseReference"/>
          <w:b w:val="0"/>
          <w:bCs w:val="0"/>
          <w:i w:val="0"/>
          <w:smallCaps w:val="0"/>
          <w:color w:val="auto"/>
        </w:rPr>
        <w:t>as stated in the pre-PBAC response</w:t>
      </w:r>
      <w:r w:rsidR="00C62A7C">
        <w:rPr>
          <w:rStyle w:val="IntenseReference"/>
          <w:b w:val="0"/>
          <w:bCs w:val="0"/>
          <w:i w:val="0"/>
          <w:smallCaps w:val="0"/>
          <w:color w:val="auto"/>
        </w:rPr>
        <w:t xml:space="preserve"> </w:t>
      </w:r>
      <w:r w:rsidR="0003144D">
        <w:rPr>
          <w:rStyle w:val="IntenseReference"/>
          <w:b w:val="0"/>
          <w:bCs w:val="0"/>
          <w:i w:val="0"/>
          <w:smallCaps w:val="0"/>
          <w:color w:val="auto"/>
        </w:rPr>
        <w:t>as the upper limit of use.</w:t>
      </w:r>
    </w:p>
    <w:p w:rsidR="00206C31" w:rsidRPr="00206C31" w:rsidRDefault="00206C31" w:rsidP="00F30F47">
      <w:pPr>
        <w:pStyle w:val="PBACheading1"/>
        <w:numPr>
          <w:ilvl w:val="0"/>
          <w:numId w:val="0"/>
        </w:numPr>
        <w:rPr>
          <w:rStyle w:val="IntenseReference"/>
          <w:b w:val="0"/>
          <w:bCs w:val="0"/>
          <w:i w:val="0"/>
          <w:smallCaps w:val="0"/>
          <w:color w:val="auto"/>
          <w:spacing w:val="0"/>
        </w:rPr>
      </w:pPr>
    </w:p>
    <w:p w:rsidR="00206C31" w:rsidRPr="0003144D" w:rsidRDefault="00206C31" w:rsidP="004D64A8">
      <w:pPr>
        <w:pStyle w:val="PBACheading1"/>
        <w:numPr>
          <w:ilvl w:val="1"/>
          <w:numId w:val="1"/>
        </w:numPr>
        <w:rPr>
          <w:rStyle w:val="IntenseReference"/>
          <w:b w:val="0"/>
          <w:bCs w:val="0"/>
          <w:i w:val="0"/>
          <w:smallCaps w:val="0"/>
          <w:color w:val="auto"/>
          <w:spacing w:val="0"/>
        </w:rPr>
      </w:pPr>
      <w:r>
        <w:rPr>
          <w:iCs/>
        </w:rPr>
        <w:t>The PBAC considered that ruxolitinib could potentially be used outside of the eligible population in patients with myelofibrosis but with lower symptom burden or in other chronic myeloid neoplasms.</w:t>
      </w:r>
    </w:p>
    <w:p w:rsidR="002725BF" w:rsidRPr="002725BF" w:rsidRDefault="002725BF" w:rsidP="002725BF">
      <w:pPr>
        <w:pStyle w:val="PBACheading1"/>
        <w:numPr>
          <w:ilvl w:val="0"/>
          <w:numId w:val="0"/>
        </w:numPr>
        <w:rPr>
          <w:spacing w:val="5"/>
        </w:rPr>
      </w:pPr>
    </w:p>
    <w:p w:rsidR="00576972" w:rsidRPr="00497F10" w:rsidRDefault="00576972" w:rsidP="00497F10">
      <w:pPr>
        <w:pStyle w:val="Heading2"/>
        <w:rPr>
          <w:i/>
        </w:rPr>
      </w:pPr>
      <w:r w:rsidRPr="00497F10">
        <w:rPr>
          <w:i/>
        </w:rPr>
        <w:t>Quality Use of Medicines</w:t>
      </w:r>
      <w:bookmarkEnd w:id="16"/>
    </w:p>
    <w:p w:rsidR="00576972" w:rsidRPr="00576972" w:rsidRDefault="00576972" w:rsidP="00576972">
      <w:pPr>
        <w:widowControl/>
        <w:rPr>
          <w:szCs w:val="22"/>
        </w:rPr>
      </w:pPr>
    </w:p>
    <w:p w:rsidR="00E114F5" w:rsidRPr="002725BF" w:rsidRDefault="00E114F5" w:rsidP="004D64A8">
      <w:pPr>
        <w:pStyle w:val="ListParagraph"/>
        <w:widowControl/>
        <w:numPr>
          <w:ilvl w:val="1"/>
          <w:numId w:val="1"/>
        </w:numPr>
        <w:rPr>
          <w:szCs w:val="22"/>
        </w:rPr>
      </w:pPr>
      <w:r w:rsidRPr="00E114F5">
        <w:lastRenderedPageBreak/>
        <w:t>The re-submission (pp1</w:t>
      </w:r>
      <w:r w:rsidR="0056140F">
        <w:t>70-171</w:t>
      </w:r>
      <w:r w:rsidRPr="00E114F5">
        <w:t>) include</w:t>
      </w:r>
      <w:r w:rsidR="006F62A4">
        <w:t>d</w:t>
      </w:r>
      <w:r w:rsidRPr="00E114F5">
        <w:t xml:space="preserve"> further information on </w:t>
      </w:r>
      <w:r w:rsidR="0056140F">
        <w:t xml:space="preserve">a </w:t>
      </w:r>
      <w:r w:rsidR="00906EAA">
        <w:t xml:space="preserve">ruxolitinib </w:t>
      </w:r>
      <w:r w:rsidR="0056140F">
        <w:t>compassionate use program</w:t>
      </w:r>
      <w:r w:rsidR="004F48BA">
        <w:t xml:space="preserve"> which enrolled patients in accordance with the COMFORT-1 trial eligibility criteria</w:t>
      </w:r>
      <w:r w:rsidR="0056140F">
        <w:t>. The submission stated that participation</w:t>
      </w:r>
      <w:r w:rsidR="00906EAA">
        <w:t xml:space="preserve"> in the</w:t>
      </w:r>
      <w:r w:rsidR="0056140F">
        <w:t xml:space="preserve"> program expose</w:t>
      </w:r>
      <w:r w:rsidR="00906EAA">
        <w:t>d</w:t>
      </w:r>
      <w:r w:rsidR="0056140F">
        <w:t xml:space="preserve"> clinicians to appropriate methods of identifying eligible patients, and appropriate dosing practices</w:t>
      </w:r>
      <w:r>
        <w:t xml:space="preserve">.  </w:t>
      </w:r>
      <w:r w:rsidR="00906EAA">
        <w:t xml:space="preserve">The submission also outlined a series of post-listing programs which would further educate caregivers on appropriate identification of eligible patients and appropriate dosing. </w:t>
      </w:r>
      <w:r w:rsidRPr="006F62A4">
        <w:rPr>
          <w:iCs/>
        </w:rPr>
        <w:t xml:space="preserve">This was not mentioned in the July 2014 re-submission, in which the sponsor discussed the </w:t>
      </w:r>
      <w:r w:rsidRPr="00794EB4">
        <w:rPr>
          <w:iCs/>
        </w:rPr>
        <w:t xml:space="preserve">transition of 250 patients </w:t>
      </w:r>
      <w:r w:rsidR="002C0C30" w:rsidRPr="00794EB4">
        <w:rPr>
          <w:iCs/>
        </w:rPr>
        <w:t xml:space="preserve">(estimated to be over 350 patients in this re-submission) </w:t>
      </w:r>
      <w:r w:rsidRPr="00794EB4">
        <w:rPr>
          <w:iCs/>
        </w:rPr>
        <w:t xml:space="preserve">on the compassionate </w:t>
      </w:r>
      <w:r w:rsidR="00906EAA" w:rsidRPr="00794EB4">
        <w:rPr>
          <w:iCs/>
        </w:rPr>
        <w:t xml:space="preserve">use </w:t>
      </w:r>
      <w:r w:rsidRPr="00794EB4">
        <w:rPr>
          <w:iCs/>
        </w:rPr>
        <w:t>program to the PBS.</w:t>
      </w:r>
      <w:r w:rsidRPr="006F62A4">
        <w:rPr>
          <w:iCs/>
        </w:rPr>
        <w:t xml:space="preserve"> </w:t>
      </w:r>
    </w:p>
    <w:p w:rsidR="00A21853" w:rsidRDefault="00A21853">
      <w:pPr>
        <w:widowControl/>
        <w:jc w:val="left"/>
        <w:rPr>
          <w:b/>
          <w:i/>
        </w:rPr>
      </w:pPr>
      <w:bookmarkStart w:id="17" w:name="_Toc408474970"/>
    </w:p>
    <w:p w:rsidR="00576972" w:rsidRPr="00497F10" w:rsidRDefault="00576972" w:rsidP="00497F10">
      <w:pPr>
        <w:pStyle w:val="Heading2"/>
        <w:rPr>
          <w:i/>
          <w:szCs w:val="22"/>
        </w:rPr>
      </w:pPr>
      <w:r w:rsidRPr="00497F10">
        <w:rPr>
          <w:i/>
        </w:rPr>
        <w:t>Financial Management – Risk Sharing Arrangements</w:t>
      </w:r>
      <w:bookmarkEnd w:id="17"/>
    </w:p>
    <w:p w:rsidR="00C25D9C" w:rsidRPr="00576972" w:rsidRDefault="00C25D9C" w:rsidP="00576972">
      <w:pPr>
        <w:widowControl/>
        <w:rPr>
          <w:szCs w:val="22"/>
        </w:rPr>
      </w:pPr>
    </w:p>
    <w:p w:rsidR="00F30F47" w:rsidRPr="00831EA4" w:rsidRDefault="00E114F5" w:rsidP="00F30F47">
      <w:pPr>
        <w:pStyle w:val="ListParagraph"/>
        <w:widowControl/>
        <w:numPr>
          <w:ilvl w:val="1"/>
          <w:numId w:val="1"/>
        </w:numPr>
        <w:rPr>
          <w:szCs w:val="22"/>
        </w:rPr>
      </w:pPr>
      <w:r w:rsidRPr="00E114F5">
        <w:t xml:space="preserve">The sponsor is willing to enter into a risk sharing arrangement, and has presented two options: </w:t>
      </w:r>
      <w:r>
        <w:t>a single expenditure cap (</w:t>
      </w:r>
      <w:r w:rsidR="005208EC">
        <w:t>where</w:t>
      </w:r>
      <w:r>
        <w:t xml:space="preserve"> intermediate-1 and intermediate-2 or high risk patients</w:t>
      </w:r>
      <w:r w:rsidR="005208EC">
        <w:t xml:space="preserve"> are grouped</w:t>
      </w:r>
      <w:r>
        <w:t xml:space="preserve"> together) or two expenditure caps (</w:t>
      </w:r>
      <w:r w:rsidR="005208EC">
        <w:t xml:space="preserve">where </w:t>
      </w:r>
      <w:r>
        <w:t>intermediate-1 and intermediate-2 or high ri</w:t>
      </w:r>
      <w:r w:rsidR="00675DDF">
        <w:t xml:space="preserve">sk patients have separate caps). </w:t>
      </w:r>
    </w:p>
    <w:p w:rsidR="00831EA4" w:rsidRPr="00831EA4" w:rsidRDefault="00831EA4" w:rsidP="00831EA4">
      <w:pPr>
        <w:pStyle w:val="ListParagraph"/>
        <w:widowControl/>
        <w:rPr>
          <w:szCs w:val="22"/>
        </w:rPr>
      </w:pPr>
    </w:p>
    <w:p w:rsidR="00831EA4" w:rsidRPr="00831EA4" w:rsidRDefault="00831EA4" w:rsidP="00831EA4">
      <w:pPr>
        <w:pStyle w:val="PBACheading1"/>
        <w:numPr>
          <w:ilvl w:val="1"/>
          <w:numId w:val="1"/>
        </w:numPr>
      </w:pPr>
      <w:r>
        <w:rPr>
          <w:iCs/>
        </w:rPr>
        <w:t xml:space="preserve">The PBAC accepted the total number of patients to be treated and net costs to the PBS presented in the pre-PBAC response as an upper limit of use. The PBAC considered that a risk sharing arrangement is needed to manage the total budget impact of the listing of ruxolitinib. </w:t>
      </w:r>
    </w:p>
    <w:p w:rsidR="00F30F47" w:rsidRDefault="00F30F47" w:rsidP="00F30F47">
      <w:pPr>
        <w:pStyle w:val="ListParagraph"/>
        <w:widowControl/>
        <w:rPr>
          <w:szCs w:val="22"/>
        </w:rPr>
      </w:pPr>
    </w:p>
    <w:p w:rsidR="00F30F47" w:rsidRPr="00F30F47" w:rsidRDefault="00F30F47" w:rsidP="00F30F47">
      <w:pPr>
        <w:pStyle w:val="ListParagraph"/>
        <w:widowControl/>
        <w:numPr>
          <w:ilvl w:val="1"/>
          <w:numId w:val="1"/>
        </w:numPr>
        <w:rPr>
          <w:szCs w:val="22"/>
        </w:rPr>
      </w:pPr>
      <w:r w:rsidRPr="00F30F47">
        <w:rPr>
          <w:iCs/>
        </w:rPr>
        <w:t xml:space="preserve">The PBAC considered, in the context of the less certain cost-effectiveness  but likely higher persistence on treatment for the </w:t>
      </w:r>
      <w:r w:rsidR="006C7C6C">
        <w:rPr>
          <w:iCs/>
        </w:rPr>
        <w:t xml:space="preserve">eligible </w:t>
      </w:r>
      <w:r w:rsidRPr="00F30F47">
        <w:rPr>
          <w:iCs/>
        </w:rPr>
        <w:t>intermediate-1 group, and possible use in patients with less severe disease burden, that the risk share agreement should also ensure that the maximum number of intermediate-1 patients does not exceed the number of intermediate-1 patients estim</w:t>
      </w:r>
      <w:r w:rsidR="00582E83">
        <w:rPr>
          <w:iCs/>
        </w:rPr>
        <w:t>ated in the pre-PBAC response.</w:t>
      </w:r>
    </w:p>
    <w:p w:rsidR="00F30F47" w:rsidRPr="00F30F47" w:rsidRDefault="00F30F47" w:rsidP="00F30F47">
      <w:pPr>
        <w:widowControl/>
        <w:rPr>
          <w:szCs w:val="22"/>
        </w:rPr>
      </w:pPr>
    </w:p>
    <w:p w:rsidR="001352A2" w:rsidRPr="0031597E" w:rsidRDefault="00675DDF" w:rsidP="001352A2">
      <w:pPr>
        <w:pStyle w:val="PBACheading1"/>
        <w:rPr>
          <w:b/>
        </w:rPr>
      </w:pPr>
      <w:r w:rsidRPr="0031597E">
        <w:rPr>
          <w:b/>
        </w:rPr>
        <w:t xml:space="preserve">PBAC outcome </w:t>
      </w:r>
    </w:p>
    <w:p w:rsidR="00DF5D8E" w:rsidRDefault="00DF5D8E" w:rsidP="005D6C32">
      <w:pPr>
        <w:pStyle w:val="PBACheading1"/>
        <w:numPr>
          <w:ilvl w:val="0"/>
          <w:numId w:val="0"/>
        </w:numPr>
        <w:ind w:left="720"/>
      </w:pPr>
      <w:r>
        <w:t xml:space="preserve"> </w:t>
      </w:r>
    </w:p>
    <w:p w:rsidR="005D6C32" w:rsidRDefault="005D6C32" w:rsidP="004D64A8">
      <w:pPr>
        <w:pStyle w:val="PBACheading1"/>
        <w:numPr>
          <w:ilvl w:val="1"/>
          <w:numId w:val="1"/>
        </w:numPr>
      </w:pPr>
      <w:r>
        <w:t xml:space="preserve">The PBAC </w:t>
      </w:r>
      <w:r w:rsidR="002468C3">
        <w:t xml:space="preserve">recommended the </w:t>
      </w:r>
      <w:r w:rsidR="00100321">
        <w:t>listing</w:t>
      </w:r>
      <w:r>
        <w:t xml:space="preserve"> </w:t>
      </w:r>
      <w:r w:rsidR="006D6C7A">
        <w:t xml:space="preserve">of ruxolitinib </w:t>
      </w:r>
      <w:r w:rsidR="002A5E58">
        <w:t>for the treatment of myelofibrosis.</w:t>
      </w:r>
      <w:r w:rsidR="006D6C7A">
        <w:t xml:space="preserve"> </w:t>
      </w:r>
    </w:p>
    <w:p w:rsidR="005D6C32" w:rsidRDefault="005D6C32" w:rsidP="005D6C32">
      <w:pPr>
        <w:pStyle w:val="PBACheading1"/>
        <w:numPr>
          <w:ilvl w:val="0"/>
          <w:numId w:val="0"/>
        </w:numPr>
        <w:ind w:left="720"/>
      </w:pPr>
    </w:p>
    <w:p w:rsidR="00100321" w:rsidRDefault="005D6C32" w:rsidP="004D64A8">
      <w:pPr>
        <w:pStyle w:val="PBACheading1"/>
        <w:numPr>
          <w:ilvl w:val="1"/>
          <w:numId w:val="1"/>
        </w:numPr>
      </w:pPr>
      <w:r>
        <w:t>The PB</w:t>
      </w:r>
      <w:bookmarkStart w:id="18" w:name="_GoBack"/>
      <w:bookmarkEnd w:id="18"/>
      <w:r>
        <w:t xml:space="preserve">AC </w:t>
      </w:r>
      <w:r w:rsidR="002A5E58">
        <w:t>was</w:t>
      </w:r>
      <w:r w:rsidR="006D6C7A">
        <w:t xml:space="preserve"> satisfied that ruxolitinib provides</w:t>
      </w:r>
      <w:r w:rsidR="008B2B12">
        <w:t xml:space="preserve"> </w:t>
      </w:r>
      <w:r w:rsidR="008B2B12">
        <w:rPr>
          <w:lang w:val="en-US"/>
        </w:rPr>
        <w:t xml:space="preserve">a major </w:t>
      </w:r>
      <w:r w:rsidR="008B2B12" w:rsidRPr="008B2B12">
        <w:rPr>
          <w:lang w:val="en-US"/>
        </w:rPr>
        <w:t xml:space="preserve">advance in care for patients with poor prognosis </w:t>
      </w:r>
      <w:r w:rsidR="008B2B12">
        <w:rPr>
          <w:lang w:val="en-US"/>
        </w:rPr>
        <w:t>and/or</w:t>
      </w:r>
      <w:r w:rsidR="008B2B12" w:rsidRPr="008B2B12">
        <w:rPr>
          <w:lang w:val="en-US"/>
        </w:rPr>
        <w:t xml:space="preserve"> with symptoms refractory to current care</w:t>
      </w:r>
      <w:r w:rsidR="008B2B12">
        <w:rPr>
          <w:lang w:val="en-US"/>
        </w:rPr>
        <w:t>.</w:t>
      </w:r>
      <w:r w:rsidR="00100321">
        <w:t xml:space="preserve"> </w:t>
      </w:r>
      <w:r>
        <w:t xml:space="preserve"> </w:t>
      </w:r>
    </w:p>
    <w:p w:rsidR="00B65B34" w:rsidRDefault="00B65B34" w:rsidP="00B65B34">
      <w:pPr>
        <w:pStyle w:val="PBACheading1"/>
        <w:numPr>
          <w:ilvl w:val="0"/>
          <w:numId w:val="0"/>
        </w:numPr>
      </w:pPr>
    </w:p>
    <w:p w:rsidR="00100321" w:rsidRDefault="00100321" w:rsidP="004D64A8">
      <w:pPr>
        <w:pStyle w:val="PBACheading1"/>
        <w:numPr>
          <w:ilvl w:val="1"/>
          <w:numId w:val="1"/>
        </w:numPr>
      </w:pPr>
      <w:r>
        <w:t xml:space="preserve">The PBAC </w:t>
      </w:r>
      <w:r w:rsidR="00226D6E">
        <w:t xml:space="preserve">accepted the clinical place for ruxolitinib, noting advice from expert clinicians at the PBAC stakeholder meeting for ruxolitinib. The PBAC </w:t>
      </w:r>
      <w:r w:rsidR="006F5CB7">
        <w:t xml:space="preserve">agreed that </w:t>
      </w:r>
      <w:r w:rsidR="006F5CB7" w:rsidRPr="00272ED1">
        <w:t>intermediate-1 patients with a high symptom burden should be included in the requested population</w:t>
      </w:r>
      <w:r w:rsidR="006F5CB7">
        <w:t xml:space="preserve">, noting </w:t>
      </w:r>
      <w:r w:rsidR="00226D6E">
        <w:t>that no</w:t>
      </w:r>
      <w:r w:rsidR="006F5CB7">
        <w:t xml:space="preserve"> </w:t>
      </w:r>
      <w:r w:rsidR="006F5CB7" w:rsidRPr="00272ED1">
        <w:t xml:space="preserve">randomised controlled trials of ruxolitinib have </w:t>
      </w:r>
      <w:r w:rsidR="006F5CB7">
        <w:t xml:space="preserve">included intermediate-1 patients. </w:t>
      </w:r>
    </w:p>
    <w:p w:rsidR="00100321" w:rsidRDefault="00100321" w:rsidP="006F5CB7">
      <w:pPr>
        <w:pStyle w:val="PBACheading1"/>
        <w:numPr>
          <w:ilvl w:val="0"/>
          <w:numId w:val="0"/>
        </w:numPr>
        <w:ind w:left="720"/>
      </w:pPr>
      <w:r>
        <w:t xml:space="preserve"> </w:t>
      </w:r>
    </w:p>
    <w:p w:rsidR="002A5E58" w:rsidRDefault="00100321" w:rsidP="0038586B">
      <w:pPr>
        <w:pStyle w:val="PBACheading1"/>
        <w:numPr>
          <w:ilvl w:val="1"/>
          <w:numId w:val="1"/>
        </w:numPr>
      </w:pPr>
      <w:r>
        <w:t>The PBAC accepted the</w:t>
      </w:r>
      <w:r w:rsidR="00226D6E">
        <w:t xml:space="preserve"> nominated</w:t>
      </w:r>
      <w:r w:rsidR="006C3A86">
        <w:t xml:space="preserve"> comparator</w:t>
      </w:r>
      <w:r w:rsidR="004A210A">
        <w:t xml:space="preserve"> of placebo or best supportive care</w:t>
      </w:r>
      <w:r w:rsidR="006C3A86">
        <w:t>.</w:t>
      </w:r>
    </w:p>
    <w:p w:rsidR="00F20A48" w:rsidRDefault="00F20A48" w:rsidP="00F20A48"/>
    <w:p w:rsidR="001F495C" w:rsidRDefault="006B31B4" w:rsidP="004D64A8">
      <w:pPr>
        <w:pStyle w:val="PBACheading1"/>
        <w:numPr>
          <w:ilvl w:val="1"/>
          <w:numId w:val="1"/>
        </w:numPr>
      </w:pPr>
      <w:r>
        <w:t>The PBAC noted t</w:t>
      </w:r>
      <w:r w:rsidR="001F495C">
        <w:t xml:space="preserve">he pre-PBAC response sought </w:t>
      </w:r>
      <w:r w:rsidR="0003144D">
        <w:t xml:space="preserve">to validate </w:t>
      </w:r>
      <w:r>
        <w:t>the survival benefit from COMFORT-1 by validating the modelled survival gain in the placebo arm with historical cohort data from Price et al (2014). The PBAC considered t</w:t>
      </w:r>
      <w:r w:rsidR="008B2B12">
        <w:t xml:space="preserve">he </w:t>
      </w:r>
      <w:r>
        <w:t>extent of survival benefit remains uncertain but cannot be</w:t>
      </w:r>
      <w:r w:rsidR="001F495C">
        <w:t xml:space="preserve"> resolved.</w:t>
      </w:r>
    </w:p>
    <w:p w:rsidR="008B2B12" w:rsidRDefault="006B31B4" w:rsidP="001F495C">
      <w:pPr>
        <w:pStyle w:val="PBACheading1"/>
        <w:numPr>
          <w:ilvl w:val="0"/>
          <w:numId w:val="0"/>
        </w:numPr>
        <w:ind w:left="720"/>
      </w:pPr>
      <w:r>
        <w:t xml:space="preserve"> </w:t>
      </w:r>
    </w:p>
    <w:p w:rsidR="00F20A48" w:rsidRDefault="00F20A48" w:rsidP="00F20A48">
      <w:pPr>
        <w:pStyle w:val="PBACheading1"/>
        <w:numPr>
          <w:ilvl w:val="1"/>
          <w:numId w:val="1"/>
        </w:numPr>
      </w:pPr>
      <w:r>
        <w:t xml:space="preserve">The PBAC accepted that </w:t>
      </w:r>
      <w:r w:rsidRPr="00272ED1">
        <w:t>in the absence of comparative evidence</w:t>
      </w:r>
      <w:r>
        <w:t xml:space="preserve"> for the intermediate-1 population</w:t>
      </w:r>
      <w:r w:rsidRPr="00272ED1">
        <w:t>, it would be</w:t>
      </w:r>
      <w:r w:rsidR="004A210A">
        <w:t xml:space="preserve"> reasonable to assume that the effectiveness</w:t>
      </w:r>
      <w:r w:rsidRPr="00272ED1">
        <w:t xml:space="preserve"> of </w:t>
      </w:r>
      <w:r w:rsidRPr="00272ED1">
        <w:lastRenderedPageBreak/>
        <w:t>ruxolitinib for intermediate-1 patients would be the same as for intermediate-2 for the purpose of determining cost effectiveness</w:t>
      </w:r>
      <w:r w:rsidR="004A210A">
        <w:t>, noting the difference in baseline mortality risk</w:t>
      </w:r>
      <w:r w:rsidRPr="00272ED1">
        <w:t>.</w:t>
      </w:r>
    </w:p>
    <w:p w:rsidR="002468C3" w:rsidRPr="00F30F47" w:rsidRDefault="002468C3" w:rsidP="00F30F47">
      <w:pPr>
        <w:rPr>
          <w:iCs/>
        </w:rPr>
      </w:pPr>
    </w:p>
    <w:p w:rsidR="002468C3" w:rsidRPr="002468C3" w:rsidRDefault="00077342" w:rsidP="004D64A8">
      <w:pPr>
        <w:pStyle w:val="PBACheading1"/>
        <w:numPr>
          <w:ilvl w:val="1"/>
          <w:numId w:val="1"/>
        </w:numPr>
      </w:pPr>
      <w:r>
        <w:rPr>
          <w:iCs/>
        </w:rPr>
        <w:t xml:space="preserve">The PBAC considered that ruxolitinib could potentially be used outside of the eligible population </w:t>
      </w:r>
      <w:r w:rsidR="00827564">
        <w:rPr>
          <w:iCs/>
        </w:rPr>
        <w:t xml:space="preserve">in myelofibrosis with lower symptom burden or </w:t>
      </w:r>
      <w:r>
        <w:rPr>
          <w:iCs/>
        </w:rPr>
        <w:t>in other chronic myeloid neoplasms. The PBAC recommended a written</w:t>
      </w:r>
      <w:r w:rsidR="008F52D9">
        <w:rPr>
          <w:iCs/>
        </w:rPr>
        <w:t xml:space="preserve"> Authority required restriction</w:t>
      </w:r>
      <w:r>
        <w:rPr>
          <w:iCs/>
        </w:rPr>
        <w:t xml:space="preserve"> for initial use, with continuation by telephone Authority approval to mitigate this risk. </w:t>
      </w:r>
    </w:p>
    <w:p w:rsidR="006C3A86" w:rsidRDefault="006C3A86" w:rsidP="005F66C5"/>
    <w:p w:rsidR="00C34E09" w:rsidRDefault="00EA6423" w:rsidP="00C34E09">
      <w:pPr>
        <w:pStyle w:val="PBACheading1"/>
        <w:numPr>
          <w:ilvl w:val="1"/>
          <w:numId w:val="1"/>
        </w:numPr>
      </w:pPr>
      <w:r>
        <w:t xml:space="preserve">The </w:t>
      </w:r>
      <w:r w:rsidR="005F66C5">
        <w:t xml:space="preserve">PBAC </w:t>
      </w:r>
      <w:r w:rsidR="00424091">
        <w:t>requested that DUSC review the utilisation of ruxolitinib 12 – 24 months following listing.</w:t>
      </w:r>
    </w:p>
    <w:p w:rsidR="006F5CB7" w:rsidRDefault="00C34E09" w:rsidP="00C34E09">
      <w:pPr>
        <w:pStyle w:val="PBACheading1"/>
        <w:numPr>
          <w:ilvl w:val="0"/>
          <w:numId w:val="0"/>
        </w:numPr>
      </w:pPr>
      <w:r>
        <w:t xml:space="preserve"> </w:t>
      </w:r>
    </w:p>
    <w:p w:rsidR="00D472E9" w:rsidRDefault="00D472E9" w:rsidP="004D64A8">
      <w:pPr>
        <w:pStyle w:val="PBACheading1"/>
        <w:numPr>
          <w:ilvl w:val="1"/>
          <w:numId w:val="1"/>
        </w:numPr>
      </w:pPr>
      <w:r>
        <w:t xml:space="preserve">The PBAC recommended that ruxolitinib should not be treated as interchangeable with any other drugs. </w:t>
      </w:r>
    </w:p>
    <w:p w:rsidR="00D472E9" w:rsidRDefault="00D472E9" w:rsidP="00D472E9">
      <w:pPr>
        <w:pStyle w:val="ListParagraph"/>
      </w:pPr>
    </w:p>
    <w:p w:rsidR="00D472E9" w:rsidRDefault="00D472E9" w:rsidP="004D64A8">
      <w:pPr>
        <w:pStyle w:val="PBACheading1"/>
        <w:numPr>
          <w:ilvl w:val="1"/>
          <w:numId w:val="1"/>
        </w:numPr>
      </w:pPr>
      <w:r>
        <w:t xml:space="preserve">The PBAC advised that ruxolitinib is not suitable for prescribing by nurse practitioners. </w:t>
      </w:r>
    </w:p>
    <w:p w:rsidR="00D472E9" w:rsidRDefault="00D472E9" w:rsidP="00D472E9">
      <w:pPr>
        <w:pStyle w:val="ListParagraph"/>
      </w:pPr>
    </w:p>
    <w:p w:rsidR="00D472E9" w:rsidRDefault="00D472E9" w:rsidP="004D64A8">
      <w:pPr>
        <w:pStyle w:val="PBACheading1"/>
        <w:numPr>
          <w:ilvl w:val="1"/>
          <w:numId w:val="1"/>
        </w:numPr>
      </w:pPr>
      <w:r>
        <w:t xml:space="preserve">The PBAC recommended that the Safety Net 20 Day Rule </w:t>
      </w:r>
      <w:r w:rsidR="00BF2005">
        <w:t>should apply</w:t>
      </w:r>
      <w:r w:rsidR="003F3DC2">
        <w:t xml:space="preserve"> for the continuation</w:t>
      </w:r>
      <w:r w:rsidR="008F52D9">
        <w:t xml:space="preserve"> restriction</w:t>
      </w:r>
      <w:r w:rsidR="00266EBA">
        <w:t>s</w:t>
      </w:r>
      <w:r w:rsidR="00E63AAE">
        <w:t xml:space="preserve">. </w:t>
      </w:r>
    </w:p>
    <w:p w:rsidR="00E63AAE" w:rsidRDefault="00E63AAE" w:rsidP="0096042C">
      <w:pPr>
        <w:pStyle w:val="PBACheading1"/>
        <w:numPr>
          <w:ilvl w:val="0"/>
          <w:numId w:val="0"/>
        </w:numPr>
      </w:pPr>
    </w:p>
    <w:p w:rsidR="00790189" w:rsidRPr="0070407C" w:rsidRDefault="00790189" w:rsidP="0070407C">
      <w:pPr>
        <w:pStyle w:val="PBACheading1"/>
        <w:numPr>
          <w:ilvl w:val="0"/>
          <w:numId w:val="0"/>
        </w:numPr>
        <w:ind w:left="720"/>
      </w:pPr>
    </w:p>
    <w:p w:rsidR="00E63AAE" w:rsidRPr="00E63AAE" w:rsidRDefault="00E63AAE" w:rsidP="00E63AAE">
      <w:pPr>
        <w:rPr>
          <w:b/>
          <w:bCs/>
          <w:szCs w:val="22"/>
          <w:lang w:val="en-GB"/>
        </w:rPr>
      </w:pPr>
      <w:r w:rsidRPr="00E63AAE">
        <w:rPr>
          <w:b/>
          <w:bCs/>
          <w:szCs w:val="22"/>
          <w:lang w:val="en-GB"/>
        </w:rPr>
        <w:t>Outcome:</w:t>
      </w:r>
    </w:p>
    <w:p w:rsidR="00E63AAE" w:rsidRPr="00E63AAE" w:rsidRDefault="00E63AAE" w:rsidP="00E63AAE">
      <w:pPr>
        <w:rPr>
          <w:bCs/>
          <w:szCs w:val="22"/>
          <w:lang w:val="en-GB"/>
        </w:rPr>
      </w:pPr>
      <w:r w:rsidRPr="00E63AAE">
        <w:rPr>
          <w:bCs/>
          <w:szCs w:val="22"/>
          <w:lang w:val="en-GB"/>
        </w:rPr>
        <w:t xml:space="preserve">Recommended </w:t>
      </w:r>
    </w:p>
    <w:p w:rsidR="00930559" w:rsidRDefault="00930559" w:rsidP="009B2139">
      <w:pPr>
        <w:pStyle w:val="PBACheading1"/>
        <w:numPr>
          <w:ilvl w:val="0"/>
          <w:numId w:val="0"/>
        </w:numPr>
      </w:pPr>
    </w:p>
    <w:p w:rsidR="00E63AAE" w:rsidRPr="00790189" w:rsidRDefault="00E63AAE" w:rsidP="00790189">
      <w:pPr>
        <w:contextualSpacing/>
        <w:rPr>
          <w:rFonts w:ascii="Arial Bold" w:hAnsi="Arial Bold"/>
          <w:b/>
          <w:caps/>
          <w:highlight w:val="yellow"/>
        </w:rPr>
      </w:pPr>
    </w:p>
    <w:p w:rsidR="00E63AAE" w:rsidRPr="00790189" w:rsidRDefault="00E63AAE" w:rsidP="004D64A8">
      <w:pPr>
        <w:numPr>
          <w:ilvl w:val="0"/>
          <w:numId w:val="1"/>
        </w:numPr>
        <w:rPr>
          <w:b/>
          <w:bCs/>
          <w:i/>
          <w:szCs w:val="22"/>
          <w:lang w:val="en-GB"/>
        </w:rPr>
      </w:pPr>
      <w:r w:rsidRPr="00790189">
        <w:rPr>
          <w:b/>
          <w:bCs/>
          <w:szCs w:val="22"/>
          <w:lang w:val="en-GB"/>
        </w:rPr>
        <w:t>Recommended listing</w:t>
      </w:r>
    </w:p>
    <w:p w:rsidR="00034729" w:rsidRPr="00790189" w:rsidRDefault="00034729" w:rsidP="00E63AAE">
      <w:pPr>
        <w:rPr>
          <w:b/>
          <w:bCs/>
          <w:i/>
          <w:szCs w:val="22"/>
          <w:lang w:val="en-GB"/>
        </w:rPr>
      </w:pPr>
    </w:p>
    <w:p w:rsidR="00790189" w:rsidRDefault="00E63AAE" w:rsidP="004D64A8">
      <w:pPr>
        <w:numPr>
          <w:ilvl w:val="1"/>
          <w:numId w:val="1"/>
        </w:numPr>
        <w:contextualSpacing/>
        <w:rPr>
          <w:b/>
          <w:bCs/>
          <w:szCs w:val="22"/>
        </w:rPr>
      </w:pPr>
      <w:r w:rsidRPr="00790189">
        <w:rPr>
          <w:bCs/>
          <w:szCs w:val="22"/>
        </w:rPr>
        <w:t>Add new item:</w:t>
      </w:r>
    </w:p>
    <w:p w:rsidR="00930559" w:rsidRDefault="00930559">
      <w:pPr>
        <w:widowControl/>
        <w:jc w:val="left"/>
        <w:rPr>
          <w:szCs w:val="22"/>
        </w:rPr>
      </w:pPr>
    </w:p>
    <w:p w:rsidR="003D16F3" w:rsidRDefault="003D16F3" w:rsidP="00B65B34">
      <w:pPr>
        <w:rPr>
          <w:szCs w:val="22"/>
        </w:rPr>
      </w:pPr>
    </w:p>
    <w:p w:rsidR="00B65B34" w:rsidRDefault="00B65B34" w:rsidP="00B65B34">
      <w:pPr>
        <w:rPr>
          <w:szCs w:val="22"/>
        </w:rPr>
      </w:pPr>
      <w:r>
        <w:rPr>
          <w:szCs w:val="22"/>
        </w:rPr>
        <w:t>Intermediate-2 and high risk initiation</w:t>
      </w:r>
    </w:p>
    <w:p w:rsidR="00B65B34" w:rsidRDefault="00B65B34" w:rsidP="00B65B34">
      <w:pPr>
        <w:rPr>
          <w:szCs w:val="22"/>
        </w:rPr>
      </w:pPr>
    </w:p>
    <w:tbl>
      <w:tblPr>
        <w:tblW w:w="9214" w:type="dxa"/>
        <w:tblInd w:w="108" w:type="dxa"/>
        <w:tblLayout w:type="fixed"/>
        <w:tblLook w:val="0000" w:firstRow="0" w:lastRow="0" w:firstColumn="0" w:lastColumn="0" w:noHBand="0" w:noVBand="0"/>
      </w:tblPr>
      <w:tblGrid>
        <w:gridCol w:w="1701"/>
        <w:gridCol w:w="1134"/>
        <w:gridCol w:w="426"/>
        <w:gridCol w:w="992"/>
        <w:gridCol w:w="1417"/>
        <w:gridCol w:w="1418"/>
        <w:gridCol w:w="2126"/>
      </w:tblGrid>
      <w:tr w:rsidR="00B65B34" w:rsidRPr="00260CE3" w:rsidTr="00B65B34">
        <w:trPr>
          <w:cantSplit/>
          <w:trHeight w:val="471"/>
        </w:trPr>
        <w:tc>
          <w:tcPr>
            <w:tcW w:w="3261" w:type="dxa"/>
            <w:gridSpan w:val="3"/>
          </w:tcPr>
          <w:p w:rsidR="00B65B34" w:rsidRPr="00260CE3" w:rsidRDefault="00B65B34" w:rsidP="00B65B34">
            <w:pPr>
              <w:keepNext/>
              <w:ind w:left="-108"/>
              <w:rPr>
                <w:rFonts w:ascii="Arial Narrow" w:hAnsi="Arial Narrow"/>
                <w:sz w:val="20"/>
              </w:rPr>
            </w:pPr>
            <w:r w:rsidRPr="00260CE3">
              <w:rPr>
                <w:rFonts w:ascii="Arial Narrow" w:hAnsi="Arial Narrow"/>
                <w:sz w:val="20"/>
              </w:rPr>
              <w:t>Name, Restriction,</w:t>
            </w:r>
          </w:p>
          <w:p w:rsidR="00B65B34" w:rsidRPr="00260CE3" w:rsidRDefault="00B65B34" w:rsidP="00B65B34">
            <w:pPr>
              <w:keepNext/>
              <w:ind w:left="-108"/>
              <w:rPr>
                <w:rFonts w:ascii="Arial Narrow" w:hAnsi="Arial Narrow"/>
                <w:sz w:val="20"/>
              </w:rPr>
            </w:pPr>
            <w:r w:rsidRPr="00260CE3">
              <w:rPr>
                <w:rFonts w:ascii="Arial Narrow" w:hAnsi="Arial Narrow"/>
                <w:sz w:val="20"/>
              </w:rPr>
              <w:t>Manner of administration and form</w:t>
            </w:r>
          </w:p>
        </w:tc>
        <w:tc>
          <w:tcPr>
            <w:tcW w:w="992" w:type="dxa"/>
          </w:tcPr>
          <w:p w:rsidR="00B65B34" w:rsidRPr="00260CE3" w:rsidRDefault="00B65B34" w:rsidP="00B65B34">
            <w:pPr>
              <w:keepNext/>
              <w:ind w:left="-108"/>
              <w:rPr>
                <w:rFonts w:ascii="Arial Narrow" w:hAnsi="Arial Narrow"/>
                <w:sz w:val="20"/>
              </w:rPr>
            </w:pPr>
            <w:r w:rsidRPr="00260CE3">
              <w:rPr>
                <w:rFonts w:ascii="Arial Narrow" w:hAnsi="Arial Narrow"/>
                <w:sz w:val="20"/>
              </w:rPr>
              <w:t>Max.</w:t>
            </w:r>
          </w:p>
          <w:p w:rsidR="00B65B34" w:rsidRPr="00260CE3" w:rsidRDefault="00B65B34" w:rsidP="00B65B34">
            <w:pPr>
              <w:keepNext/>
              <w:ind w:left="-108"/>
              <w:rPr>
                <w:rFonts w:ascii="Arial Narrow" w:hAnsi="Arial Narrow"/>
                <w:sz w:val="20"/>
              </w:rPr>
            </w:pPr>
            <w:r w:rsidRPr="00260CE3">
              <w:rPr>
                <w:rFonts w:ascii="Arial Narrow" w:hAnsi="Arial Narrow"/>
                <w:sz w:val="20"/>
              </w:rPr>
              <w:t>Qty</w:t>
            </w:r>
          </w:p>
        </w:tc>
        <w:tc>
          <w:tcPr>
            <w:tcW w:w="1417" w:type="dxa"/>
          </w:tcPr>
          <w:p w:rsidR="00B65B34" w:rsidRPr="00260CE3" w:rsidRDefault="00B65B34" w:rsidP="00B65B34">
            <w:pPr>
              <w:keepNext/>
              <w:ind w:left="-108"/>
              <w:rPr>
                <w:rFonts w:ascii="Arial Narrow" w:hAnsi="Arial Narrow"/>
                <w:sz w:val="20"/>
              </w:rPr>
            </w:pPr>
            <w:r w:rsidRPr="00260CE3">
              <w:rPr>
                <w:rFonts w:ascii="Arial Narrow" w:hAnsi="Arial Narrow"/>
                <w:sz w:val="20"/>
              </w:rPr>
              <w:t>№.of</w:t>
            </w:r>
          </w:p>
          <w:p w:rsidR="00B65B34" w:rsidRPr="00260CE3" w:rsidRDefault="00B65B34" w:rsidP="00B65B34">
            <w:pPr>
              <w:keepNext/>
              <w:ind w:left="-108"/>
              <w:rPr>
                <w:rFonts w:ascii="Arial Narrow" w:hAnsi="Arial Narrow"/>
                <w:sz w:val="20"/>
              </w:rPr>
            </w:pPr>
            <w:r w:rsidRPr="00260CE3">
              <w:rPr>
                <w:rFonts w:ascii="Arial Narrow" w:hAnsi="Arial Narrow"/>
                <w:sz w:val="20"/>
              </w:rPr>
              <w:t>Rpts</w:t>
            </w:r>
          </w:p>
        </w:tc>
        <w:tc>
          <w:tcPr>
            <w:tcW w:w="3544" w:type="dxa"/>
            <w:gridSpan w:val="2"/>
          </w:tcPr>
          <w:p w:rsidR="00B65B34" w:rsidRPr="00260CE3" w:rsidRDefault="00B65B34" w:rsidP="00B65B34">
            <w:pPr>
              <w:keepNext/>
              <w:rPr>
                <w:rFonts w:ascii="Arial Narrow" w:hAnsi="Arial Narrow"/>
                <w:sz w:val="20"/>
                <w:lang w:val="fr-FR"/>
              </w:rPr>
            </w:pPr>
            <w:r w:rsidRPr="00260CE3">
              <w:rPr>
                <w:rFonts w:ascii="Arial Narrow" w:hAnsi="Arial Narrow"/>
                <w:sz w:val="20"/>
              </w:rPr>
              <w:t>Proprietary Name and Manufacturer</w:t>
            </w:r>
          </w:p>
        </w:tc>
      </w:tr>
      <w:tr w:rsidR="00B65B34" w:rsidRPr="00260CE3" w:rsidTr="00B65B34">
        <w:trPr>
          <w:cantSplit/>
          <w:trHeight w:val="577"/>
        </w:trPr>
        <w:tc>
          <w:tcPr>
            <w:tcW w:w="3261" w:type="dxa"/>
            <w:gridSpan w:val="3"/>
            <w:tcBorders>
              <w:bottom w:val="single" w:sz="4" w:space="0" w:color="auto"/>
            </w:tcBorders>
          </w:tcPr>
          <w:p w:rsidR="00B65B34" w:rsidRPr="00260CE3" w:rsidRDefault="00B65B34" w:rsidP="00B65B34">
            <w:pPr>
              <w:keepNext/>
              <w:ind w:left="-108"/>
              <w:rPr>
                <w:rFonts w:ascii="Arial Narrow" w:hAnsi="Arial Narrow"/>
                <w:sz w:val="20"/>
              </w:rPr>
            </w:pPr>
            <w:r>
              <w:rPr>
                <w:rFonts w:ascii="Arial Narrow" w:hAnsi="Arial Narrow"/>
                <w:smallCaps/>
                <w:sz w:val="20"/>
              </w:rPr>
              <w:t>RUXOLITINIB</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15 mg</w:t>
            </w:r>
          </w:p>
          <w:p w:rsidR="00B65B34" w:rsidRPr="00260CE3" w:rsidRDefault="00B65B34" w:rsidP="00B65B34">
            <w:pPr>
              <w:keepNext/>
              <w:ind w:left="-108"/>
              <w:rPr>
                <w:rFonts w:ascii="Arial Narrow" w:hAnsi="Arial Narrow"/>
                <w:sz w:val="20"/>
              </w:rPr>
            </w:pPr>
            <w:r>
              <w:rPr>
                <w:rFonts w:ascii="Arial Narrow" w:hAnsi="Arial Narrow"/>
                <w:sz w:val="20"/>
              </w:rPr>
              <w:t>Tablet 20 mg</w:t>
            </w:r>
          </w:p>
        </w:tc>
        <w:tc>
          <w:tcPr>
            <w:tcW w:w="992"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56</w:t>
            </w:r>
          </w:p>
          <w:p w:rsidR="00B65B34" w:rsidRDefault="00B65B34" w:rsidP="00B65B34">
            <w:pPr>
              <w:keepNext/>
              <w:ind w:left="-108"/>
              <w:rPr>
                <w:rFonts w:ascii="Arial Narrow" w:hAnsi="Arial Narrow"/>
                <w:sz w:val="20"/>
              </w:rPr>
            </w:pPr>
            <w:r>
              <w:rPr>
                <w:rFonts w:ascii="Arial Narrow" w:hAnsi="Arial Narrow"/>
                <w:sz w:val="20"/>
              </w:rPr>
              <w:t>112</w:t>
            </w:r>
          </w:p>
          <w:p w:rsidR="00B65B34" w:rsidRDefault="00B65B34" w:rsidP="00B65B34">
            <w:pPr>
              <w:keepNext/>
              <w:ind w:left="-108"/>
              <w:rPr>
                <w:rFonts w:ascii="Arial Narrow" w:hAnsi="Arial Narrow"/>
                <w:sz w:val="20"/>
              </w:rPr>
            </w:pPr>
            <w:r>
              <w:rPr>
                <w:rFonts w:ascii="Arial Narrow" w:hAnsi="Arial Narrow"/>
                <w:sz w:val="20"/>
              </w:rPr>
              <w:t>56</w:t>
            </w:r>
          </w:p>
          <w:p w:rsidR="00B65B34" w:rsidRPr="00260CE3" w:rsidRDefault="00B65B34" w:rsidP="00B65B34">
            <w:pPr>
              <w:keepNext/>
              <w:ind w:left="-108"/>
              <w:rPr>
                <w:rFonts w:ascii="Arial Narrow" w:hAnsi="Arial Narrow"/>
                <w:sz w:val="20"/>
              </w:rPr>
            </w:pPr>
            <w:r>
              <w:rPr>
                <w:rFonts w:ascii="Arial Narrow" w:hAnsi="Arial Narrow"/>
                <w:sz w:val="20"/>
              </w:rPr>
              <w:t>56</w:t>
            </w:r>
          </w:p>
        </w:tc>
        <w:tc>
          <w:tcPr>
            <w:tcW w:w="1417"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941799" w:rsidP="00B65B34">
            <w:pPr>
              <w:keepNext/>
              <w:ind w:left="-108"/>
              <w:rPr>
                <w:rFonts w:ascii="Arial Narrow" w:hAnsi="Arial Narrow"/>
                <w:sz w:val="20"/>
              </w:rPr>
            </w:pPr>
            <w:r>
              <w:rPr>
                <w:rFonts w:ascii="Arial Narrow" w:hAnsi="Arial Narrow"/>
                <w:sz w:val="20"/>
              </w:rPr>
              <w:t>0</w:t>
            </w:r>
          </w:p>
          <w:p w:rsidR="00B65B34" w:rsidRDefault="00941799" w:rsidP="00B65B34">
            <w:pPr>
              <w:keepNext/>
              <w:ind w:left="-108"/>
              <w:rPr>
                <w:rFonts w:ascii="Arial Narrow" w:hAnsi="Arial Narrow"/>
                <w:sz w:val="20"/>
              </w:rPr>
            </w:pPr>
            <w:r>
              <w:rPr>
                <w:rFonts w:ascii="Arial Narrow" w:hAnsi="Arial Narrow"/>
                <w:sz w:val="20"/>
              </w:rPr>
              <w:t>0</w:t>
            </w:r>
          </w:p>
          <w:p w:rsidR="00B65B34" w:rsidRDefault="00941799" w:rsidP="00B65B34">
            <w:pPr>
              <w:keepNext/>
              <w:ind w:left="-108"/>
              <w:rPr>
                <w:rFonts w:ascii="Arial Narrow" w:hAnsi="Arial Narrow"/>
                <w:sz w:val="20"/>
              </w:rPr>
            </w:pPr>
            <w:r>
              <w:rPr>
                <w:rFonts w:ascii="Arial Narrow" w:hAnsi="Arial Narrow"/>
                <w:sz w:val="20"/>
              </w:rPr>
              <w:t>0</w:t>
            </w:r>
          </w:p>
          <w:p w:rsidR="00B65B34" w:rsidRPr="00260CE3" w:rsidRDefault="00941799" w:rsidP="00B65B34">
            <w:pPr>
              <w:keepNext/>
              <w:ind w:left="-108"/>
              <w:rPr>
                <w:rFonts w:ascii="Arial Narrow" w:hAnsi="Arial Narrow"/>
                <w:sz w:val="20"/>
              </w:rPr>
            </w:pPr>
            <w:r>
              <w:rPr>
                <w:rFonts w:ascii="Arial Narrow" w:hAnsi="Arial Narrow"/>
                <w:sz w:val="20"/>
              </w:rPr>
              <w:t>0</w:t>
            </w:r>
          </w:p>
        </w:tc>
        <w:tc>
          <w:tcPr>
            <w:tcW w:w="1418"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Pr="00260CE3" w:rsidRDefault="00B65B34" w:rsidP="00B65B34">
            <w:pPr>
              <w:keepNext/>
              <w:rPr>
                <w:rFonts w:ascii="Arial Narrow" w:hAnsi="Arial Narrow"/>
                <w:sz w:val="20"/>
              </w:rPr>
            </w:pPr>
            <w:r>
              <w:rPr>
                <w:rFonts w:ascii="Arial Narrow" w:hAnsi="Arial Narrow"/>
                <w:sz w:val="20"/>
              </w:rPr>
              <w:t>Jakavi®</w:t>
            </w:r>
          </w:p>
        </w:tc>
        <w:tc>
          <w:tcPr>
            <w:tcW w:w="2126"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Pr="00260CE3" w:rsidRDefault="00B65B34" w:rsidP="00B65B34">
            <w:pPr>
              <w:keepNext/>
              <w:rPr>
                <w:rFonts w:ascii="Arial Narrow" w:hAnsi="Arial Narrow"/>
                <w:sz w:val="20"/>
              </w:rPr>
            </w:pPr>
            <w:r>
              <w:rPr>
                <w:rFonts w:ascii="Arial Narrow" w:hAnsi="Arial Narrow"/>
                <w:sz w:val="20"/>
              </w:rPr>
              <w:t>NM</w:t>
            </w:r>
          </w:p>
        </w:tc>
      </w:tr>
      <w:tr w:rsidR="00B65B34" w:rsidRPr="00260CE3" w:rsidTr="00B65B34">
        <w:trPr>
          <w:cantSplit/>
          <w:trHeight w:val="360"/>
        </w:trPr>
        <w:tc>
          <w:tcPr>
            <w:tcW w:w="1701" w:type="dxa"/>
            <w:tcBorders>
              <w:top w:val="single" w:sz="4" w:space="0" w:color="auto"/>
              <w:bottom w:val="single" w:sz="4" w:space="0" w:color="auto"/>
            </w:tcBorders>
          </w:tcPr>
          <w:p w:rsidR="00B65B34" w:rsidRPr="00260CE3" w:rsidRDefault="00B65B34" w:rsidP="00B65B34">
            <w:pPr>
              <w:rPr>
                <w:rFonts w:ascii="Arial Narrow" w:hAnsi="Arial Narrow"/>
                <w:sz w:val="20"/>
              </w:rPr>
            </w:pPr>
          </w:p>
        </w:tc>
        <w:tc>
          <w:tcPr>
            <w:tcW w:w="7513" w:type="dxa"/>
            <w:gridSpan w:val="6"/>
            <w:tcBorders>
              <w:top w:val="single" w:sz="4" w:space="0" w:color="auto"/>
              <w:bottom w:val="single" w:sz="4" w:space="0" w:color="auto"/>
            </w:tcBorders>
          </w:tcPr>
          <w:p w:rsidR="00B65B34" w:rsidRPr="00260CE3" w:rsidRDefault="00B65B34" w:rsidP="00B65B34">
            <w:pPr>
              <w:rPr>
                <w:rFonts w:ascii="Arial Narrow" w:hAnsi="Arial Narrow"/>
                <w:sz w:val="20"/>
              </w:rPr>
            </w:pP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 xml:space="preserve">Category / </w:t>
            </w:r>
          </w:p>
          <w:p w:rsidR="00B65B34" w:rsidRPr="00260CE3" w:rsidRDefault="00B65B34" w:rsidP="00B65B34">
            <w:pPr>
              <w:rPr>
                <w:rFonts w:ascii="Arial Narrow" w:hAnsi="Arial Narrow"/>
                <w:b/>
                <w:sz w:val="20"/>
              </w:rPr>
            </w:pPr>
            <w:r w:rsidRPr="00260CE3">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t>GENERAL – General Schedule (Code GE)</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Prescriber type</w:t>
            </w:r>
            <w:r>
              <w:rPr>
                <w:rFonts w:ascii="Arial Narrow" w:hAnsi="Arial Narrow"/>
                <w:b/>
                <w:sz w:val="20"/>
              </w:rPr>
              <w:t>:</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Chronic</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 xml:space="preserve">High risk and Intermediate-2 risk </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lastRenderedPageBreak/>
              <w:t>Treatment phase:</w:t>
            </w:r>
          </w:p>
          <w:p w:rsidR="00B65B34" w:rsidRPr="00260CE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Initiation</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65B34" w:rsidRDefault="00B65B34" w:rsidP="00B65B34">
            <w:pPr>
              <w:rPr>
                <w:rFonts w:ascii="Arial Narrow" w:hAnsi="Arial Narrow"/>
                <w:i/>
                <w:sz w:val="20"/>
                <w:highlight w:val="yellow"/>
              </w:rPr>
            </w:pPr>
          </w:p>
          <w:p w:rsidR="00B65B34" w:rsidRPr="00CD28F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106BCF" w:rsidRDefault="00B65B34" w:rsidP="00B65B34">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B65B34" w:rsidRPr="00106BCF" w:rsidRDefault="00B65B34" w:rsidP="00B65B34">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5B34" w:rsidRPr="00260CE3"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083B2F" w:rsidRDefault="00B65B34" w:rsidP="00B65B34">
            <w:pPr>
              <w:rPr>
                <w:rFonts w:ascii="Arial Narrow" w:hAnsi="Arial Narrow"/>
                <w:b/>
                <w:sz w:val="20"/>
              </w:rPr>
            </w:pPr>
            <w:r w:rsidRPr="00260CE3">
              <w:rPr>
                <w:rFonts w:ascii="Arial Narrow" w:hAnsi="Arial Narrow"/>
                <w:b/>
                <w:sz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The condition must be primary myelofibrosis or post-polycythemia vera myelofib</w:t>
            </w:r>
            <w:r w:rsidR="00716BC4">
              <w:rPr>
                <w:rFonts w:ascii="Arial Narrow" w:hAnsi="Arial Narrow"/>
                <w:sz w:val="20"/>
              </w:rPr>
              <w:t>rosis or post-essential thrombo</w:t>
            </w:r>
            <w:r>
              <w:rPr>
                <w:rFonts w:ascii="Arial Narrow" w:hAnsi="Arial Narrow"/>
                <w:sz w:val="20"/>
              </w:rPr>
              <w:t>cythemia myelofibrosis.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Administrative Advice</w:t>
            </w:r>
          </w:p>
          <w:p w:rsidR="00B65B34" w:rsidRPr="00260CE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 xml:space="preserve">Risk of myelofibrosis is defined in accordance with the Myelofibrosis </w:t>
            </w:r>
            <w:r w:rsidR="00716BC4">
              <w:rPr>
                <w:rFonts w:ascii="Arial Narrow" w:hAnsi="Arial Narrow"/>
                <w:sz w:val="20"/>
              </w:rPr>
              <w:t>International</w:t>
            </w:r>
            <w:r>
              <w:rPr>
                <w:rFonts w:ascii="Arial Narrow" w:hAnsi="Arial Narrow"/>
                <w:sz w:val="20"/>
              </w:rPr>
              <w:t xml:space="preserve"> Prognostic Scoring System (IPSS) OR the Dynamic International Prognostic Scoring System (DIPSS) (or the Age Adjusted DIPSS). </w:t>
            </w:r>
          </w:p>
        </w:tc>
      </w:tr>
    </w:tbl>
    <w:p w:rsidR="00B65B34" w:rsidRDefault="00B65B34" w:rsidP="00B65B34">
      <w:pPr>
        <w:rPr>
          <w:szCs w:val="22"/>
        </w:rPr>
      </w:pPr>
    </w:p>
    <w:p w:rsidR="00B65B34" w:rsidRDefault="00B65B34" w:rsidP="00B65B34">
      <w:pPr>
        <w:rPr>
          <w:szCs w:val="22"/>
        </w:rPr>
      </w:pPr>
      <w:r>
        <w:rPr>
          <w:szCs w:val="22"/>
        </w:rPr>
        <w:t>Intermediate-2 and high risk continuation</w:t>
      </w:r>
    </w:p>
    <w:p w:rsidR="00B65B34" w:rsidRDefault="00B65B34" w:rsidP="00B65B34">
      <w:pPr>
        <w:rPr>
          <w:szCs w:val="22"/>
        </w:rPr>
      </w:pPr>
    </w:p>
    <w:tbl>
      <w:tblPr>
        <w:tblW w:w="9214" w:type="dxa"/>
        <w:tblInd w:w="108" w:type="dxa"/>
        <w:tblLayout w:type="fixed"/>
        <w:tblLook w:val="0000" w:firstRow="0" w:lastRow="0" w:firstColumn="0" w:lastColumn="0" w:noHBand="0" w:noVBand="0"/>
      </w:tblPr>
      <w:tblGrid>
        <w:gridCol w:w="1701"/>
        <w:gridCol w:w="1134"/>
        <w:gridCol w:w="426"/>
        <w:gridCol w:w="992"/>
        <w:gridCol w:w="1417"/>
        <w:gridCol w:w="1418"/>
        <w:gridCol w:w="2126"/>
      </w:tblGrid>
      <w:tr w:rsidR="00B65B34" w:rsidRPr="00260CE3" w:rsidTr="00B65B34">
        <w:trPr>
          <w:cantSplit/>
          <w:trHeight w:val="471"/>
        </w:trPr>
        <w:tc>
          <w:tcPr>
            <w:tcW w:w="3261" w:type="dxa"/>
            <w:gridSpan w:val="3"/>
          </w:tcPr>
          <w:p w:rsidR="00B65B34" w:rsidRPr="00260CE3" w:rsidRDefault="00B65B34" w:rsidP="00B65B34">
            <w:pPr>
              <w:keepNext/>
              <w:ind w:left="-108"/>
              <w:rPr>
                <w:rFonts w:ascii="Arial Narrow" w:hAnsi="Arial Narrow"/>
                <w:sz w:val="20"/>
              </w:rPr>
            </w:pPr>
            <w:r w:rsidRPr="00260CE3">
              <w:rPr>
                <w:rFonts w:ascii="Arial Narrow" w:hAnsi="Arial Narrow"/>
                <w:sz w:val="20"/>
              </w:rPr>
              <w:t>Name, Restriction,</w:t>
            </w:r>
          </w:p>
          <w:p w:rsidR="00B65B34" w:rsidRPr="00260CE3" w:rsidRDefault="00B65B34" w:rsidP="00B65B34">
            <w:pPr>
              <w:keepNext/>
              <w:ind w:left="-108"/>
              <w:rPr>
                <w:rFonts w:ascii="Arial Narrow" w:hAnsi="Arial Narrow"/>
                <w:sz w:val="20"/>
              </w:rPr>
            </w:pPr>
            <w:r w:rsidRPr="00260CE3">
              <w:rPr>
                <w:rFonts w:ascii="Arial Narrow" w:hAnsi="Arial Narrow"/>
                <w:sz w:val="20"/>
              </w:rPr>
              <w:t>Manner of administration and form</w:t>
            </w:r>
          </w:p>
        </w:tc>
        <w:tc>
          <w:tcPr>
            <w:tcW w:w="992" w:type="dxa"/>
          </w:tcPr>
          <w:p w:rsidR="00B65B34" w:rsidRPr="00260CE3" w:rsidRDefault="00B65B34" w:rsidP="00B65B34">
            <w:pPr>
              <w:keepNext/>
              <w:ind w:left="-108"/>
              <w:rPr>
                <w:rFonts w:ascii="Arial Narrow" w:hAnsi="Arial Narrow"/>
                <w:sz w:val="20"/>
              </w:rPr>
            </w:pPr>
            <w:r w:rsidRPr="00260CE3">
              <w:rPr>
                <w:rFonts w:ascii="Arial Narrow" w:hAnsi="Arial Narrow"/>
                <w:sz w:val="20"/>
              </w:rPr>
              <w:t>Max.</w:t>
            </w:r>
          </w:p>
          <w:p w:rsidR="00B65B34" w:rsidRPr="00260CE3" w:rsidRDefault="00B65B34" w:rsidP="00B65B34">
            <w:pPr>
              <w:keepNext/>
              <w:ind w:left="-108"/>
              <w:rPr>
                <w:rFonts w:ascii="Arial Narrow" w:hAnsi="Arial Narrow"/>
                <w:sz w:val="20"/>
              </w:rPr>
            </w:pPr>
            <w:r w:rsidRPr="00260CE3">
              <w:rPr>
                <w:rFonts w:ascii="Arial Narrow" w:hAnsi="Arial Narrow"/>
                <w:sz w:val="20"/>
              </w:rPr>
              <w:t>Qty</w:t>
            </w:r>
          </w:p>
        </w:tc>
        <w:tc>
          <w:tcPr>
            <w:tcW w:w="1417" w:type="dxa"/>
          </w:tcPr>
          <w:p w:rsidR="00B65B34" w:rsidRPr="00260CE3" w:rsidRDefault="00B65B34" w:rsidP="00B65B34">
            <w:pPr>
              <w:keepNext/>
              <w:ind w:left="-108"/>
              <w:rPr>
                <w:rFonts w:ascii="Arial Narrow" w:hAnsi="Arial Narrow"/>
                <w:sz w:val="20"/>
              </w:rPr>
            </w:pPr>
            <w:r w:rsidRPr="00260CE3">
              <w:rPr>
                <w:rFonts w:ascii="Arial Narrow" w:hAnsi="Arial Narrow"/>
                <w:sz w:val="20"/>
              </w:rPr>
              <w:t>№.of</w:t>
            </w:r>
          </w:p>
          <w:p w:rsidR="00B65B34" w:rsidRPr="00260CE3" w:rsidRDefault="00B65B34" w:rsidP="00B65B34">
            <w:pPr>
              <w:keepNext/>
              <w:ind w:left="-108"/>
              <w:rPr>
                <w:rFonts w:ascii="Arial Narrow" w:hAnsi="Arial Narrow"/>
                <w:sz w:val="20"/>
              </w:rPr>
            </w:pPr>
            <w:r w:rsidRPr="00260CE3">
              <w:rPr>
                <w:rFonts w:ascii="Arial Narrow" w:hAnsi="Arial Narrow"/>
                <w:sz w:val="20"/>
              </w:rPr>
              <w:t>Rpts</w:t>
            </w:r>
          </w:p>
        </w:tc>
        <w:tc>
          <w:tcPr>
            <w:tcW w:w="3544" w:type="dxa"/>
            <w:gridSpan w:val="2"/>
          </w:tcPr>
          <w:p w:rsidR="00B65B34" w:rsidRPr="00260CE3" w:rsidRDefault="00B65B34" w:rsidP="00B65B34">
            <w:pPr>
              <w:keepNext/>
              <w:rPr>
                <w:rFonts w:ascii="Arial Narrow" w:hAnsi="Arial Narrow"/>
                <w:sz w:val="20"/>
                <w:lang w:val="fr-FR"/>
              </w:rPr>
            </w:pPr>
            <w:r w:rsidRPr="00260CE3">
              <w:rPr>
                <w:rFonts w:ascii="Arial Narrow" w:hAnsi="Arial Narrow"/>
                <w:sz w:val="20"/>
              </w:rPr>
              <w:t>Proprietary Name and Manufacturer</w:t>
            </w:r>
          </w:p>
        </w:tc>
      </w:tr>
      <w:tr w:rsidR="00B65B34" w:rsidRPr="00260CE3" w:rsidTr="00B65B34">
        <w:trPr>
          <w:cantSplit/>
          <w:trHeight w:val="577"/>
        </w:trPr>
        <w:tc>
          <w:tcPr>
            <w:tcW w:w="3261" w:type="dxa"/>
            <w:gridSpan w:val="3"/>
            <w:tcBorders>
              <w:bottom w:val="single" w:sz="4" w:space="0" w:color="auto"/>
            </w:tcBorders>
          </w:tcPr>
          <w:p w:rsidR="00B65B34" w:rsidRPr="00260CE3" w:rsidRDefault="00B65B34" w:rsidP="00B65B34">
            <w:pPr>
              <w:keepNext/>
              <w:ind w:left="-108"/>
              <w:rPr>
                <w:rFonts w:ascii="Arial Narrow" w:hAnsi="Arial Narrow"/>
                <w:sz w:val="20"/>
              </w:rPr>
            </w:pPr>
            <w:r>
              <w:rPr>
                <w:rFonts w:ascii="Arial Narrow" w:hAnsi="Arial Narrow"/>
                <w:smallCaps/>
                <w:sz w:val="20"/>
              </w:rPr>
              <w:t>RUXOLITINIB</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15 mg</w:t>
            </w:r>
          </w:p>
          <w:p w:rsidR="00B65B34" w:rsidRPr="00260CE3" w:rsidRDefault="00B65B34" w:rsidP="00B65B34">
            <w:pPr>
              <w:keepNext/>
              <w:ind w:left="-108"/>
              <w:rPr>
                <w:rFonts w:ascii="Arial Narrow" w:hAnsi="Arial Narrow"/>
                <w:sz w:val="20"/>
              </w:rPr>
            </w:pPr>
            <w:r>
              <w:rPr>
                <w:rFonts w:ascii="Arial Narrow" w:hAnsi="Arial Narrow"/>
                <w:sz w:val="20"/>
              </w:rPr>
              <w:t>Tablet 20 mg</w:t>
            </w:r>
          </w:p>
        </w:tc>
        <w:tc>
          <w:tcPr>
            <w:tcW w:w="992"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56</w:t>
            </w:r>
          </w:p>
          <w:p w:rsidR="00B65B34" w:rsidRDefault="00B65B34" w:rsidP="00B65B34">
            <w:pPr>
              <w:keepNext/>
              <w:ind w:left="-108"/>
              <w:rPr>
                <w:rFonts w:ascii="Arial Narrow" w:hAnsi="Arial Narrow"/>
                <w:sz w:val="20"/>
              </w:rPr>
            </w:pPr>
            <w:r>
              <w:rPr>
                <w:rFonts w:ascii="Arial Narrow" w:hAnsi="Arial Narrow"/>
                <w:sz w:val="20"/>
              </w:rPr>
              <w:t>112</w:t>
            </w:r>
          </w:p>
          <w:p w:rsidR="00B65B34" w:rsidRDefault="00B65B34" w:rsidP="00B65B34">
            <w:pPr>
              <w:keepNext/>
              <w:ind w:left="-108"/>
              <w:rPr>
                <w:rFonts w:ascii="Arial Narrow" w:hAnsi="Arial Narrow"/>
                <w:sz w:val="20"/>
              </w:rPr>
            </w:pPr>
            <w:r>
              <w:rPr>
                <w:rFonts w:ascii="Arial Narrow" w:hAnsi="Arial Narrow"/>
                <w:sz w:val="20"/>
              </w:rPr>
              <w:t>56</w:t>
            </w:r>
          </w:p>
          <w:p w:rsidR="00B65B34" w:rsidRPr="00260CE3" w:rsidRDefault="00B65B34" w:rsidP="00B65B34">
            <w:pPr>
              <w:keepNext/>
              <w:ind w:left="-108"/>
              <w:rPr>
                <w:rFonts w:ascii="Arial Narrow" w:hAnsi="Arial Narrow"/>
                <w:sz w:val="20"/>
              </w:rPr>
            </w:pPr>
            <w:r>
              <w:rPr>
                <w:rFonts w:ascii="Arial Narrow" w:hAnsi="Arial Narrow"/>
                <w:sz w:val="20"/>
              </w:rPr>
              <w:t>56</w:t>
            </w:r>
          </w:p>
        </w:tc>
        <w:tc>
          <w:tcPr>
            <w:tcW w:w="1417" w:type="dxa"/>
            <w:tcBorders>
              <w:bottom w:val="single" w:sz="4" w:space="0" w:color="auto"/>
            </w:tcBorders>
          </w:tcPr>
          <w:p w:rsidR="00B65B34"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w:t>
            </w:r>
          </w:p>
          <w:p w:rsidR="00B65B34" w:rsidRDefault="00B65B34" w:rsidP="00B65B34">
            <w:pPr>
              <w:keepNext/>
              <w:ind w:left="-108"/>
              <w:rPr>
                <w:rFonts w:ascii="Arial Narrow" w:hAnsi="Arial Narrow"/>
                <w:sz w:val="20"/>
              </w:rPr>
            </w:pPr>
            <w:r>
              <w:rPr>
                <w:rFonts w:ascii="Arial Narrow" w:hAnsi="Arial Narrow"/>
                <w:sz w:val="20"/>
              </w:rPr>
              <w:t>5</w:t>
            </w:r>
          </w:p>
          <w:p w:rsidR="00B65B34" w:rsidRDefault="00B65B34" w:rsidP="00B65B34">
            <w:pPr>
              <w:keepNext/>
              <w:ind w:left="-108"/>
              <w:rPr>
                <w:rFonts w:ascii="Arial Narrow" w:hAnsi="Arial Narrow"/>
                <w:sz w:val="20"/>
              </w:rPr>
            </w:pPr>
            <w:r>
              <w:rPr>
                <w:rFonts w:ascii="Arial Narrow" w:hAnsi="Arial Narrow"/>
                <w:sz w:val="20"/>
              </w:rPr>
              <w:t>5</w:t>
            </w:r>
          </w:p>
          <w:p w:rsidR="00B65B34" w:rsidRPr="00260CE3" w:rsidRDefault="00B65B34" w:rsidP="00B65B34">
            <w:pPr>
              <w:keepNext/>
              <w:ind w:left="-108"/>
              <w:rPr>
                <w:rFonts w:ascii="Arial Narrow" w:hAnsi="Arial Narrow"/>
                <w:sz w:val="20"/>
              </w:rPr>
            </w:pPr>
            <w:r>
              <w:rPr>
                <w:rFonts w:ascii="Arial Narrow" w:hAnsi="Arial Narrow"/>
                <w:sz w:val="20"/>
              </w:rPr>
              <w:t>5</w:t>
            </w:r>
          </w:p>
        </w:tc>
        <w:tc>
          <w:tcPr>
            <w:tcW w:w="1418"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Pr="00260CE3" w:rsidRDefault="00B65B34" w:rsidP="00B65B34">
            <w:pPr>
              <w:keepNext/>
              <w:rPr>
                <w:rFonts w:ascii="Arial Narrow" w:hAnsi="Arial Narrow"/>
                <w:sz w:val="20"/>
              </w:rPr>
            </w:pPr>
            <w:r>
              <w:rPr>
                <w:rFonts w:ascii="Arial Narrow" w:hAnsi="Arial Narrow"/>
                <w:sz w:val="20"/>
              </w:rPr>
              <w:t>Jakavi®</w:t>
            </w:r>
          </w:p>
        </w:tc>
        <w:tc>
          <w:tcPr>
            <w:tcW w:w="2126"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Pr="00260CE3" w:rsidRDefault="00B65B34" w:rsidP="00B65B34">
            <w:pPr>
              <w:keepNext/>
              <w:rPr>
                <w:rFonts w:ascii="Arial Narrow" w:hAnsi="Arial Narrow"/>
                <w:sz w:val="20"/>
              </w:rPr>
            </w:pPr>
            <w:r>
              <w:rPr>
                <w:rFonts w:ascii="Arial Narrow" w:hAnsi="Arial Narrow"/>
                <w:sz w:val="20"/>
              </w:rPr>
              <w:t>NM</w:t>
            </w:r>
          </w:p>
        </w:tc>
      </w:tr>
      <w:tr w:rsidR="00B65B34" w:rsidRPr="00260CE3" w:rsidTr="00B65B34">
        <w:trPr>
          <w:cantSplit/>
          <w:trHeight w:val="360"/>
        </w:trPr>
        <w:tc>
          <w:tcPr>
            <w:tcW w:w="1701" w:type="dxa"/>
            <w:tcBorders>
              <w:top w:val="single" w:sz="4" w:space="0" w:color="auto"/>
              <w:bottom w:val="single" w:sz="4" w:space="0" w:color="auto"/>
            </w:tcBorders>
          </w:tcPr>
          <w:p w:rsidR="00B65B34" w:rsidRPr="00260CE3" w:rsidRDefault="00B65B34" w:rsidP="00B65B34">
            <w:pPr>
              <w:rPr>
                <w:rFonts w:ascii="Arial Narrow" w:hAnsi="Arial Narrow"/>
                <w:sz w:val="20"/>
              </w:rPr>
            </w:pPr>
          </w:p>
        </w:tc>
        <w:tc>
          <w:tcPr>
            <w:tcW w:w="7513" w:type="dxa"/>
            <w:gridSpan w:val="6"/>
            <w:tcBorders>
              <w:top w:val="single" w:sz="4" w:space="0" w:color="auto"/>
              <w:bottom w:val="single" w:sz="4" w:space="0" w:color="auto"/>
            </w:tcBorders>
          </w:tcPr>
          <w:p w:rsidR="00B65B34" w:rsidRPr="00260CE3" w:rsidRDefault="00B65B34" w:rsidP="00B65B34">
            <w:pPr>
              <w:rPr>
                <w:rFonts w:ascii="Arial Narrow" w:hAnsi="Arial Narrow"/>
                <w:sz w:val="20"/>
              </w:rPr>
            </w:pP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 xml:space="preserve">Category / </w:t>
            </w:r>
          </w:p>
          <w:p w:rsidR="00B65B34" w:rsidRPr="00260CE3" w:rsidRDefault="00B65B34" w:rsidP="00B65B34">
            <w:pPr>
              <w:rPr>
                <w:rFonts w:ascii="Arial Narrow" w:hAnsi="Arial Narrow"/>
                <w:b/>
                <w:sz w:val="20"/>
              </w:rPr>
            </w:pPr>
            <w:r w:rsidRPr="00260CE3">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t>GENERAL – General Schedule (Code GE)</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b/>
                <w:sz w:val="20"/>
              </w:rPr>
            </w:pPr>
            <w:r w:rsidRPr="00260CE3">
              <w:rPr>
                <w:rFonts w:ascii="Arial Narrow" w:hAnsi="Arial Narrow"/>
                <w:b/>
                <w:sz w:val="20"/>
              </w:rPr>
              <w:t>Prescriber type:</w:t>
            </w:r>
          </w:p>
          <w:p w:rsidR="00B65B34" w:rsidRPr="00260CE3" w:rsidRDefault="00B65B34" w:rsidP="00B65B34">
            <w:pPr>
              <w:rPr>
                <w:rFonts w:ascii="Arial Narrow" w:hAnsi="Arial Narrow"/>
                <w:b/>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Chronic</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 xml:space="preserve">High risk and Intermediate-2 risk </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Treatment phase:</w:t>
            </w:r>
          </w:p>
          <w:p w:rsidR="00B65B34" w:rsidRPr="00260CE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Continuation</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65B34" w:rsidRDefault="00B65B34" w:rsidP="00B65B34">
            <w:pPr>
              <w:rPr>
                <w:rFonts w:ascii="Arial Narrow" w:hAnsi="Arial Narrow"/>
                <w:i/>
                <w:sz w:val="20"/>
                <w:highlight w:val="yellow"/>
              </w:rPr>
            </w:pPr>
          </w:p>
          <w:p w:rsidR="00B65B34" w:rsidRPr="00CD28F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106BCF" w:rsidRDefault="00B65B34" w:rsidP="00B65B34">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B65B34" w:rsidRPr="00106BCF" w:rsidRDefault="00B65B34" w:rsidP="00B65B34">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5B34" w:rsidRPr="00260CE3"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Clinical criteria:</w:t>
            </w:r>
          </w:p>
          <w:p w:rsidR="00B65B34" w:rsidRPr="00260CE3" w:rsidRDefault="00B65B34" w:rsidP="00B65B34">
            <w:pPr>
              <w:rPr>
                <w:rFonts w:ascii="Arial Narrow" w:hAnsi="Arial Narrow"/>
                <w:i/>
                <w:sz w:val="20"/>
              </w:rPr>
            </w:pPr>
          </w:p>
          <w:p w:rsidR="00B65B34" w:rsidRPr="00260CE3" w:rsidRDefault="00B65B34" w:rsidP="00B65B3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sz w:val="20"/>
              </w:rPr>
            </w:pPr>
            <w:r>
              <w:rPr>
                <w:rFonts w:ascii="Arial Narrow" w:hAnsi="Arial Narrow"/>
                <w:sz w:val="20"/>
              </w:rPr>
              <w:t>The condition must be primary myelofibrosis or post-polycythemia vera myelofib</w:t>
            </w:r>
            <w:r w:rsidR="00716BC4">
              <w:rPr>
                <w:rFonts w:ascii="Arial Narrow" w:hAnsi="Arial Narrow"/>
                <w:sz w:val="20"/>
              </w:rPr>
              <w:t>rosis or post-essential thrombo</w:t>
            </w:r>
            <w:r>
              <w:rPr>
                <w:rFonts w:ascii="Arial Narrow" w:hAnsi="Arial Narrow"/>
                <w:sz w:val="20"/>
              </w:rPr>
              <w:t xml:space="preserve">cythemia myelofibrosis.  </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AND</w:t>
            </w:r>
          </w:p>
          <w:p w:rsidR="00B65B34" w:rsidRDefault="00B65B34" w:rsidP="00B65B34">
            <w:pPr>
              <w:rPr>
                <w:rFonts w:ascii="Arial Narrow" w:hAnsi="Arial Narrow"/>
                <w:sz w:val="20"/>
              </w:rPr>
            </w:pPr>
          </w:p>
          <w:p w:rsidR="00B65B34" w:rsidRPr="00260CE3" w:rsidRDefault="00B65B34" w:rsidP="00B65B34">
            <w:pPr>
              <w:rPr>
                <w:rFonts w:ascii="Arial Narrow" w:hAnsi="Arial Narrow"/>
                <w:sz w:val="20"/>
              </w:rPr>
            </w:pPr>
            <w:r>
              <w:rPr>
                <w:rFonts w:ascii="Arial Narrow" w:hAnsi="Arial Narrow"/>
                <w:sz w:val="20"/>
              </w:rPr>
              <w:t>Patient must have previously been treated with PBS-subsidised ruxolitinib for this condition.</w:t>
            </w:r>
          </w:p>
        </w:tc>
      </w:tr>
      <w:tr w:rsidR="00B65B34" w:rsidRPr="00260CE3" w:rsidTr="00B65B34">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B65B34" w:rsidRPr="00083B2F" w:rsidRDefault="00B65B34" w:rsidP="00B65B34">
            <w:pPr>
              <w:rPr>
                <w:rFonts w:ascii="Arial Narrow" w:hAnsi="Arial Narrow"/>
                <w:b/>
                <w:sz w:val="20"/>
              </w:rPr>
            </w:pPr>
            <w:r w:rsidRPr="00260CE3">
              <w:rPr>
                <w:rFonts w:ascii="Arial Narrow" w:hAnsi="Arial Narrow"/>
                <w:b/>
                <w:sz w:val="20"/>
              </w:rPr>
              <w:lastRenderedPageBreak/>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sz w:val="20"/>
              </w:rPr>
            </w:pPr>
            <w:r>
              <w:rPr>
                <w:rFonts w:ascii="Arial Narrow" w:hAnsi="Arial Narrow"/>
                <w:sz w:val="20"/>
              </w:rPr>
              <w:t xml:space="preserve">Risk of myelofibrosis is defined in accordance with the Myelofibrosis </w:t>
            </w:r>
            <w:r w:rsidR="00716BC4">
              <w:rPr>
                <w:rFonts w:ascii="Arial Narrow" w:hAnsi="Arial Narrow"/>
                <w:sz w:val="20"/>
              </w:rPr>
              <w:t>International</w:t>
            </w:r>
            <w:r>
              <w:rPr>
                <w:rFonts w:ascii="Arial Narrow" w:hAnsi="Arial Narrow"/>
                <w:sz w:val="20"/>
              </w:rPr>
              <w:t xml:space="preserve"> Prognostic Scoring System (IPSS) OR the Dynamic International Prognostic Scoring System (DIPSS) (or the Age Adjusted DIPSS).</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 xml:space="preserve">Note: </w:t>
            </w:r>
          </w:p>
          <w:p w:rsidR="00B65B34" w:rsidRPr="00260CE3" w:rsidRDefault="00B65B34" w:rsidP="00B65B34">
            <w:pPr>
              <w:rPr>
                <w:rFonts w:ascii="Arial Narrow" w:hAnsi="Arial Narrow"/>
                <w:sz w:val="20"/>
              </w:rPr>
            </w:pPr>
            <w:r>
              <w:rPr>
                <w:rFonts w:ascii="Arial Narrow" w:hAnsi="Arial Narrow"/>
                <w:sz w:val="20"/>
              </w:rPr>
              <w:t xml:space="preserve">No increase in the maximum quantity may be authorised. </w:t>
            </w:r>
          </w:p>
        </w:tc>
      </w:tr>
    </w:tbl>
    <w:p w:rsidR="00B65B34" w:rsidRDefault="00B65B34" w:rsidP="00B65B34">
      <w:pPr>
        <w:rPr>
          <w:szCs w:val="22"/>
        </w:rPr>
      </w:pPr>
    </w:p>
    <w:p w:rsidR="00B65B34" w:rsidRDefault="00B65B34" w:rsidP="00B65B34">
      <w:pPr>
        <w:rPr>
          <w:szCs w:val="22"/>
        </w:rPr>
      </w:pPr>
      <w:r>
        <w:rPr>
          <w:szCs w:val="22"/>
        </w:rPr>
        <w:t>Intermediate-1 risk initiation</w:t>
      </w:r>
    </w:p>
    <w:p w:rsidR="00B65B34" w:rsidRDefault="00B65B34" w:rsidP="00B65B34">
      <w:pPr>
        <w:rPr>
          <w:szCs w:val="22"/>
        </w:rPr>
      </w:pPr>
    </w:p>
    <w:p w:rsidR="00B65B34" w:rsidRPr="00552722" w:rsidRDefault="00B65B34" w:rsidP="00B65B34">
      <w:pPr>
        <w:rPr>
          <w:szCs w:val="22"/>
        </w:rPr>
      </w:pPr>
    </w:p>
    <w:tbl>
      <w:tblPr>
        <w:tblW w:w="9214" w:type="dxa"/>
        <w:tblInd w:w="108" w:type="dxa"/>
        <w:tblLayout w:type="fixed"/>
        <w:tblLook w:val="0000" w:firstRow="0" w:lastRow="0" w:firstColumn="0" w:lastColumn="0" w:noHBand="0" w:noVBand="0"/>
      </w:tblPr>
      <w:tblGrid>
        <w:gridCol w:w="2835"/>
        <w:gridCol w:w="426"/>
        <w:gridCol w:w="1134"/>
        <w:gridCol w:w="1134"/>
        <w:gridCol w:w="1559"/>
        <w:gridCol w:w="425"/>
        <w:gridCol w:w="1701"/>
      </w:tblGrid>
      <w:tr w:rsidR="00B65B34" w:rsidRPr="00260CE3" w:rsidTr="00B65B34">
        <w:trPr>
          <w:gridAfter w:val="1"/>
          <w:wAfter w:w="1701" w:type="dxa"/>
          <w:cantSplit/>
          <w:trHeight w:val="583"/>
        </w:trPr>
        <w:tc>
          <w:tcPr>
            <w:tcW w:w="3261" w:type="dxa"/>
            <w:gridSpan w:val="2"/>
          </w:tcPr>
          <w:p w:rsidR="00B65B34" w:rsidRPr="00260CE3" w:rsidRDefault="00B65B34" w:rsidP="00B65B34">
            <w:pPr>
              <w:keepNext/>
              <w:ind w:left="-108"/>
              <w:rPr>
                <w:rFonts w:ascii="Arial Narrow" w:hAnsi="Arial Narrow"/>
                <w:sz w:val="20"/>
              </w:rPr>
            </w:pPr>
            <w:r w:rsidRPr="00260CE3">
              <w:rPr>
                <w:rFonts w:ascii="Arial Narrow" w:hAnsi="Arial Narrow"/>
                <w:sz w:val="20"/>
              </w:rPr>
              <w:t>Name, Restriction,</w:t>
            </w:r>
          </w:p>
          <w:p w:rsidR="00B65B34" w:rsidRPr="00260CE3" w:rsidRDefault="00B65B34" w:rsidP="00B65B34">
            <w:pPr>
              <w:keepNext/>
              <w:ind w:left="-108"/>
              <w:rPr>
                <w:rFonts w:ascii="Arial Narrow" w:hAnsi="Arial Narrow"/>
                <w:sz w:val="20"/>
              </w:rPr>
            </w:pPr>
            <w:r w:rsidRPr="00260CE3">
              <w:rPr>
                <w:rFonts w:ascii="Arial Narrow" w:hAnsi="Arial Narrow"/>
                <w:sz w:val="20"/>
              </w:rPr>
              <w:t>Manner of administration and form</w:t>
            </w:r>
          </w:p>
        </w:tc>
        <w:tc>
          <w:tcPr>
            <w:tcW w:w="1134" w:type="dxa"/>
          </w:tcPr>
          <w:p w:rsidR="00B65B34" w:rsidRPr="00260CE3" w:rsidRDefault="00B65B34" w:rsidP="00B65B34">
            <w:pPr>
              <w:keepNext/>
              <w:ind w:left="-108"/>
              <w:rPr>
                <w:rFonts w:ascii="Arial Narrow" w:hAnsi="Arial Narrow"/>
                <w:sz w:val="20"/>
              </w:rPr>
            </w:pPr>
            <w:r w:rsidRPr="00260CE3">
              <w:rPr>
                <w:rFonts w:ascii="Arial Narrow" w:hAnsi="Arial Narrow"/>
                <w:sz w:val="20"/>
              </w:rPr>
              <w:t>Max.</w:t>
            </w:r>
          </w:p>
          <w:p w:rsidR="00B65B34" w:rsidRPr="00260CE3" w:rsidRDefault="00B65B34" w:rsidP="00B65B34">
            <w:pPr>
              <w:keepNext/>
              <w:ind w:left="-108"/>
              <w:rPr>
                <w:rFonts w:ascii="Arial Narrow" w:hAnsi="Arial Narrow"/>
                <w:sz w:val="20"/>
              </w:rPr>
            </w:pPr>
            <w:r w:rsidRPr="00260CE3">
              <w:rPr>
                <w:rFonts w:ascii="Arial Narrow" w:hAnsi="Arial Narrow"/>
                <w:sz w:val="20"/>
              </w:rPr>
              <w:t>Qty</w:t>
            </w:r>
          </w:p>
        </w:tc>
        <w:tc>
          <w:tcPr>
            <w:tcW w:w="1134" w:type="dxa"/>
          </w:tcPr>
          <w:p w:rsidR="00B65B34" w:rsidRPr="00260CE3" w:rsidRDefault="00B65B34" w:rsidP="00B65B34">
            <w:pPr>
              <w:keepNext/>
              <w:ind w:left="-108"/>
              <w:rPr>
                <w:rFonts w:ascii="Arial Narrow" w:hAnsi="Arial Narrow"/>
                <w:sz w:val="20"/>
              </w:rPr>
            </w:pPr>
            <w:r w:rsidRPr="00260CE3">
              <w:rPr>
                <w:rFonts w:ascii="Arial Narrow" w:hAnsi="Arial Narrow"/>
                <w:sz w:val="20"/>
              </w:rPr>
              <w:t>№.of</w:t>
            </w:r>
          </w:p>
          <w:p w:rsidR="00B65B34" w:rsidRPr="00260CE3" w:rsidRDefault="00B65B34" w:rsidP="00B65B34">
            <w:pPr>
              <w:keepNext/>
              <w:ind w:left="-108"/>
              <w:rPr>
                <w:rFonts w:ascii="Arial Narrow" w:hAnsi="Arial Narrow"/>
                <w:sz w:val="20"/>
              </w:rPr>
            </w:pPr>
            <w:r w:rsidRPr="00260CE3">
              <w:rPr>
                <w:rFonts w:ascii="Arial Narrow" w:hAnsi="Arial Narrow"/>
                <w:sz w:val="20"/>
              </w:rPr>
              <w:t>Rpts</w:t>
            </w:r>
            <w:r>
              <w:rPr>
                <w:rFonts w:ascii="Arial Narrow" w:hAnsi="Arial Narrow"/>
                <w:sz w:val="20"/>
              </w:rPr>
              <w:t xml:space="preserve"> </w:t>
            </w:r>
          </w:p>
        </w:tc>
        <w:tc>
          <w:tcPr>
            <w:tcW w:w="1984" w:type="dxa"/>
            <w:gridSpan w:val="2"/>
          </w:tcPr>
          <w:p w:rsidR="00B65B34" w:rsidRPr="00260CE3" w:rsidRDefault="00B65B34" w:rsidP="00B65B34">
            <w:pPr>
              <w:keepNext/>
              <w:rPr>
                <w:rFonts w:ascii="Arial Narrow" w:hAnsi="Arial Narrow"/>
                <w:sz w:val="20"/>
                <w:lang w:val="fr-FR"/>
              </w:rPr>
            </w:pPr>
            <w:r w:rsidRPr="00260CE3">
              <w:rPr>
                <w:rFonts w:ascii="Arial Narrow" w:hAnsi="Arial Narrow"/>
                <w:sz w:val="20"/>
              </w:rPr>
              <w:t>Proprietary Name and Manufacturer</w:t>
            </w:r>
          </w:p>
        </w:tc>
      </w:tr>
      <w:tr w:rsidR="00B65B34" w:rsidRPr="00260CE3" w:rsidTr="00B65B34">
        <w:trPr>
          <w:cantSplit/>
          <w:trHeight w:val="577"/>
        </w:trPr>
        <w:tc>
          <w:tcPr>
            <w:tcW w:w="3261" w:type="dxa"/>
            <w:gridSpan w:val="2"/>
            <w:tcBorders>
              <w:bottom w:val="single" w:sz="4" w:space="0" w:color="auto"/>
            </w:tcBorders>
          </w:tcPr>
          <w:p w:rsidR="00B65B34" w:rsidRPr="00260CE3" w:rsidRDefault="00B65B34" w:rsidP="00B65B34">
            <w:pPr>
              <w:keepNext/>
              <w:ind w:left="-108"/>
              <w:rPr>
                <w:rFonts w:ascii="Arial Narrow" w:hAnsi="Arial Narrow"/>
                <w:sz w:val="20"/>
              </w:rPr>
            </w:pPr>
            <w:r>
              <w:rPr>
                <w:rFonts w:ascii="Arial Narrow" w:hAnsi="Arial Narrow"/>
                <w:smallCaps/>
                <w:sz w:val="20"/>
              </w:rPr>
              <w:t>RUXOLITINIB</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15 mg</w:t>
            </w:r>
          </w:p>
          <w:p w:rsidR="00B65B34" w:rsidRPr="00260CE3" w:rsidRDefault="00B65B34" w:rsidP="00B65B34">
            <w:pPr>
              <w:keepNext/>
              <w:ind w:left="-108"/>
              <w:rPr>
                <w:rFonts w:ascii="Arial Narrow" w:hAnsi="Arial Narrow"/>
                <w:sz w:val="20"/>
              </w:rPr>
            </w:pPr>
            <w:r>
              <w:rPr>
                <w:rFonts w:ascii="Arial Narrow" w:hAnsi="Arial Narrow"/>
                <w:sz w:val="20"/>
              </w:rPr>
              <w:t>Tablet 20 mg</w:t>
            </w:r>
          </w:p>
        </w:tc>
        <w:tc>
          <w:tcPr>
            <w:tcW w:w="1134"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56</w:t>
            </w:r>
          </w:p>
          <w:p w:rsidR="00B65B34" w:rsidRDefault="00B65B34" w:rsidP="00B65B34">
            <w:pPr>
              <w:keepNext/>
              <w:ind w:left="-108"/>
              <w:rPr>
                <w:rFonts w:ascii="Arial Narrow" w:hAnsi="Arial Narrow"/>
                <w:sz w:val="20"/>
              </w:rPr>
            </w:pPr>
            <w:r>
              <w:rPr>
                <w:rFonts w:ascii="Arial Narrow" w:hAnsi="Arial Narrow"/>
                <w:sz w:val="20"/>
              </w:rPr>
              <w:t>112</w:t>
            </w:r>
          </w:p>
          <w:p w:rsidR="00B65B34" w:rsidRDefault="00B65B34" w:rsidP="00B65B34">
            <w:pPr>
              <w:keepNext/>
              <w:ind w:left="-108"/>
              <w:rPr>
                <w:rFonts w:ascii="Arial Narrow" w:hAnsi="Arial Narrow"/>
                <w:sz w:val="20"/>
              </w:rPr>
            </w:pPr>
            <w:r>
              <w:rPr>
                <w:rFonts w:ascii="Arial Narrow" w:hAnsi="Arial Narrow"/>
                <w:sz w:val="20"/>
              </w:rPr>
              <w:t>56</w:t>
            </w:r>
          </w:p>
          <w:p w:rsidR="00B65B34" w:rsidRPr="00260CE3" w:rsidRDefault="00B65B34" w:rsidP="00B65B34">
            <w:pPr>
              <w:keepNext/>
              <w:ind w:left="-108"/>
              <w:rPr>
                <w:rFonts w:ascii="Arial Narrow" w:hAnsi="Arial Narrow"/>
                <w:sz w:val="20"/>
              </w:rPr>
            </w:pPr>
            <w:r>
              <w:rPr>
                <w:rFonts w:ascii="Arial Narrow" w:hAnsi="Arial Narrow"/>
                <w:sz w:val="20"/>
              </w:rPr>
              <w:t>56</w:t>
            </w:r>
          </w:p>
        </w:tc>
        <w:tc>
          <w:tcPr>
            <w:tcW w:w="1134"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941799" w:rsidP="00B65B34">
            <w:pPr>
              <w:keepNext/>
              <w:ind w:left="-108"/>
              <w:rPr>
                <w:rFonts w:ascii="Arial Narrow" w:hAnsi="Arial Narrow"/>
                <w:sz w:val="20"/>
              </w:rPr>
            </w:pPr>
            <w:r>
              <w:rPr>
                <w:rFonts w:ascii="Arial Narrow" w:hAnsi="Arial Narrow"/>
                <w:sz w:val="20"/>
              </w:rPr>
              <w:t>0</w:t>
            </w:r>
          </w:p>
          <w:p w:rsidR="00B65B34" w:rsidRDefault="00941799" w:rsidP="00B65B34">
            <w:pPr>
              <w:keepNext/>
              <w:ind w:left="-108"/>
              <w:rPr>
                <w:rFonts w:ascii="Arial Narrow" w:hAnsi="Arial Narrow"/>
                <w:sz w:val="20"/>
              </w:rPr>
            </w:pPr>
            <w:r>
              <w:rPr>
                <w:rFonts w:ascii="Arial Narrow" w:hAnsi="Arial Narrow"/>
                <w:sz w:val="20"/>
              </w:rPr>
              <w:t>0</w:t>
            </w:r>
          </w:p>
          <w:p w:rsidR="00B65B34" w:rsidRDefault="00941799" w:rsidP="00B65B34">
            <w:pPr>
              <w:keepNext/>
              <w:ind w:left="-108"/>
              <w:rPr>
                <w:rFonts w:ascii="Arial Narrow" w:hAnsi="Arial Narrow"/>
                <w:sz w:val="20"/>
              </w:rPr>
            </w:pPr>
            <w:r>
              <w:rPr>
                <w:rFonts w:ascii="Arial Narrow" w:hAnsi="Arial Narrow"/>
                <w:sz w:val="20"/>
              </w:rPr>
              <w:t>0</w:t>
            </w:r>
          </w:p>
          <w:p w:rsidR="00B65B34" w:rsidRPr="00260CE3" w:rsidRDefault="00941799" w:rsidP="00B65B34">
            <w:pPr>
              <w:keepNext/>
              <w:ind w:left="-108"/>
              <w:rPr>
                <w:rFonts w:ascii="Arial Narrow" w:hAnsi="Arial Narrow"/>
                <w:sz w:val="20"/>
              </w:rPr>
            </w:pPr>
            <w:r>
              <w:rPr>
                <w:rFonts w:ascii="Arial Narrow" w:hAnsi="Arial Narrow"/>
                <w:sz w:val="20"/>
              </w:rPr>
              <w:t>0</w:t>
            </w:r>
          </w:p>
        </w:tc>
        <w:tc>
          <w:tcPr>
            <w:tcW w:w="1559"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Pr="00260CE3" w:rsidRDefault="00B65B34" w:rsidP="00B65B34">
            <w:pPr>
              <w:keepNext/>
              <w:rPr>
                <w:rFonts w:ascii="Arial Narrow" w:hAnsi="Arial Narrow"/>
                <w:sz w:val="20"/>
              </w:rPr>
            </w:pPr>
            <w:r>
              <w:rPr>
                <w:rFonts w:ascii="Arial Narrow" w:hAnsi="Arial Narrow"/>
                <w:sz w:val="20"/>
              </w:rPr>
              <w:t>Jakavi®</w:t>
            </w:r>
          </w:p>
        </w:tc>
        <w:tc>
          <w:tcPr>
            <w:tcW w:w="2126" w:type="dxa"/>
            <w:gridSpan w:val="2"/>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Pr="00260CE3" w:rsidRDefault="00B65B34" w:rsidP="00B65B34">
            <w:pPr>
              <w:keepNext/>
              <w:rPr>
                <w:rFonts w:ascii="Arial Narrow" w:hAnsi="Arial Narrow"/>
                <w:sz w:val="20"/>
              </w:rPr>
            </w:pPr>
            <w:r>
              <w:rPr>
                <w:rFonts w:ascii="Arial Narrow" w:hAnsi="Arial Narrow"/>
                <w:sz w:val="20"/>
              </w:rPr>
              <w:t>NM</w:t>
            </w:r>
          </w:p>
        </w:tc>
      </w:tr>
      <w:tr w:rsidR="00B65B34" w:rsidRPr="00260CE3" w:rsidTr="00B65B34">
        <w:trPr>
          <w:cantSplit/>
          <w:trHeight w:val="360"/>
        </w:trPr>
        <w:tc>
          <w:tcPr>
            <w:tcW w:w="9214" w:type="dxa"/>
            <w:gridSpan w:val="7"/>
            <w:tcBorders>
              <w:bottom w:val="single" w:sz="4" w:space="0" w:color="auto"/>
            </w:tcBorders>
          </w:tcPr>
          <w:p w:rsidR="00B65B34" w:rsidRPr="00260CE3" w:rsidRDefault="00B65B34" w:rsidP="00B65B34">
            <w:pPr>
              <w:rPr>
                <w:rFonts w:ascii="Arial Narrow" w:hAnsi="Arial Narrow"/>
                <w:sz w:val="20"/>
              </w:rPr>
            </w:pP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 xml:space="preserve">Category / </w:t>
            </w:r>
          </w:p>
          <w:p w:rsidR="00B65B34" w:rsidRPr="00260CE3" w:rsidRDefault="00B65B34" w:rsidP="00B65B34">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t>GENERAL – General Schedule (Code GE)</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Chronic</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Intermediate-1 risk</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E35D4E" w:rsidP="00B65B34">
            <w:pPr>
              <w:rPr>
                <w:rFonts w:ascii="Arial Narrow" w:hAnsi="Arial Narrow"/>
                <w:sz w:val="20"/>
              </w:rPr>
            </w:pPr>
            <w:r>
              <w:rPr>
                <w:rFonts w:ascii="Arial Narrow" w:hAnsi="Arial Narrow"/>
                <w:sz w:val="20"/>
              </w:rPr>
              <w:t>M</w:t>
            </w:r>
            <w:r w:rsidR="00B65B34">
              <w:rPr>
                <w:rFonts w:ascii="Arial Narrow" w:hAnsi="Arial Narrow"/>
                <w:sz w:val="20"/>
              </w:rPr>
              <w:t>yelofibrosis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Treatment phase:</w:t>
            </w:r>
          </w:p>
          <w:p w:rsidR="00B65B34" w:rsidRPr="00260CE3" w:rsidRDefault="00B65B34" w:rsidP="00B65B3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Initiation</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65B34" w:rsidRPr="00CD28F3" w:rsidRDefault="00B65B34" w:rsidP="00B65B3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B65B34" w:rsidRPr="00106BCF" w:rsidRDefault="00B65B34" w:rsidP="00B65B34">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5B34" w:rsidRPr="00260CE3"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083B2F" w:rsidRDefault="00B65B34" w:rsidP="00B65B34">
            <w:pPr>
              <w:rPr>
                <w:rFonts w:ascii="Arial Narrow" w:hAnsi="Arial Narrow"/>
                <w:b/>
                <w:sz w:val="20"/>
              </w:rPr>
            </w:pPr>
            <w:r w:rsidRPr="00260CE3">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sz w:val="20"/>
              </w:rPr>
            </w:pPr>
            <w:r>
              <w:rPr>
                <w:rFonts w:ascii="Arial Narrow" w:hAnsi="Arial Narrow"/>
                <w:sz w:val="20"/>
              </w:rPr>
              <w:t xml:space="preserve">The condition must be primary myelofibrosis or post-polycythemia vera myelofibrosis or post-essential </w:t>
            </w:r>
            <w:r w:rsidR="00511E84">
              <w:rPr>
                <w:rFonts w:ascii="Arial Narrow" w:hAnsi="Arial Narrow"/>
                <w:sz w:val="20"/>
              </w:rPr>
              <w:t xml:space="preserve">thrombocythemia </w:t>
            </w:r>
            <w:r>
              <w:rPr>
                <w:rFonts w:ascii="Arial Narrow" w:hAnsi="Arial Narrow"/>
                <w:sz w:val="20"/>
              </w:rPr>
              <w:t xml:space="preserve">myelofibrosis.  </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 xml:space="preserve">AND </w:t>
            </w:r>
          </w:p>
          <w:p w:rsidR="00B65B34" w:rsidRDefault="00B65B34" w:rsidP="00B65B34">
            <w:pPr>
              <w:rPr>
                <w:rFonts w:ascii="Arial Narrow" w:hAnsi="Arial Narrow"/>
                <w:sz w:val="20"/>
              </w:rPr>
            </w:pPr>
          </w:p>
          <w:p w:rsidR="00B65B34" w:rsidRPr="00260CE3" w:rsidRDefault="00B65B34" w:rsidP="00B65B34">
            <w:pPr>
              <w:rPr>
                <w:rFonts w:ascii="Arial Narrow" w:hAnsi="Arial Narrow"/>
                <w:sz w:val="20"/>
              </w:rPr>
            </w:pPr>
            <w:r>
              <w:rPr>
                <w:rFonts w:ascii="Arial Narrow" w:hAnsi="Arial Narrow"/>
                <w:sz w:val="20"/>
              </w:rPr>
              <w:t>Patient must have severe disease-related symptoms that are resistant, refractory or intolerant to available therapy.</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Administrative Advice</w:t>
            </w:r>
          </w:p>
          <w:p w:rsidR="00B65B34" w:rsidRPr="00260CE3" w:rsidRDefault="00B65B34" w:rsidP="00B65B3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Risk of myelofibrosis is defined in accordance with the Myelofibrosis Internation</w:t>
            </w:r>
            <w:r w:rsidR="00716BC4">
              <w:rPr>
                <w:rFonts w:ascii="Arial Narrow" w:hAnsi="Arial Narrow"/>
                <w:sz w:val="20"/>
              </w:rPr>
              <w:t>al</w:t>
            </w:r>
            <w:r>
              <w:rPr>
                <w:rFonts w:ascii="Arial Narrow" w:hAnsi="Arial Narrow"/>
                <w:sz w:val="20"/>
              </w:rPr>
              <w:t xml:space="preserve"> Prognostic Scoring System (IPSS) OR the Dynamic International Prognostic Scoring System (DIPSS) (or the Age Adjusted DIPSS).</w:t>
            </w:r>
          </w:p>
        </w:tc>
      </w:tr>
    </w:tbl>
    <w:p w:rsidR="00B65B34" w:rsidRDefault="00B65B34" w:rsidP="00B65B34">
      <w:pPr>
        <w:rPr>
          <w:szCs w:val="22"/>
        </w:rPr>
      </w:pPr>
    </w:p>
    <w:p w:rsidR="0095470D" w:rsidRDefault="0095470D" w:rsidP="00B65B34">
      <w:pPr>
        <w:rPr>
          <w:szCs w:val="22"/>
        </w:rPr>
      </w:pPr>
    </w:p>
    <w:p w:rsidR="0095470D" w:rsidRDefault="0095470D" w:rsidP="00B65B34">
      <w:pPr>
        <w:rPr>
          <w:szCs w:val="22"/>
        </w:rPr>
      </w:pPr>
    </w:p>
    <w:p w:rsidR="0095470D" w:rsidRDefault="0095470D" w:rsidP="00B65B34">
      <w:pPr>
        <w:rPr>
          <w:szCs w:val="22"/>
        </w:rPr>
      </w:pPr>
    </w:p>
    <w:p w:rsidR="0095470D" w:rsidRDefault="0095470D" w:rsidP="00B65B34">
      <w:pPr>
        <w:rPr>
          <w:szCs w:val="22"/>
        </w:rPr>
      </w:pPr>
    </w:p>
    <w:p w:rsidR="0095470D" w:rsidRDefault="0095470D" w:rsidP="00B65B34">
      <w:pPr>
        <w:rPr>
          <w:szCs w:val="22"/>
        </w:rPr>
      </w:pPr>
    </w:p>
    <w:p w:rsidR="0095470D" w:rsidRDefault="0095470D" w:rsidP="00B65B34">
      <w:pPr>
        <w:rPr>
          <w:szCs w:val="22"/>
        </w:rPr>
      </w:pPr>
    </w:p>
    <w:p w:rsidR="00B65B34" w:rsidRDefault="00B65B34" w:rsidP="00B65B34">
      <w:pPr>
        <w:rPr>
          <w:szCs w:val="22"/>
        </w:rPr>
      </w:pPr>
      <w:r>
        <w:rPr>
          <w:szCs w:val="22"/>
        </w:rPr>
        <w:lastRenderedPageBreak/>
        <w:t>Intermediate-1 risk continuation</w:t>
      </w:r>
    </w:p>
    <w:p w:rsidR="00B65B34" w:rsidRDefault="00B65B34" w:rsidP="00B65B34">
      <w:pPr>
        <w:rPr>
          <w:szCs w:val="22"/>
        </w:rPr>
      </w:pPr>
    </w:p>
    <w:tbl>
      <w:tblPr>
        <w:tblW w:w="9214" w:type="dxa"/>
        <w:tblInd w:w="108" w:type="dxa"/>
        <w:tblLayout w:type="fixed"/>
        <w:tblLook w:val="0000" w:firstRow="0" w:lastRow="0" w:firstColumn="0" w:lastColumn="0" w:noHBand="0" w:noVBand="0"/>
      </w:tblPr>
      <w:tblGrid>
        <w:gridCol w:w="2835"/>
        <w:gridCol w:w="426"/>
        <w:gridCol w:w="992"/>
        <w:gridCol w:w="1417"/>
        <w:gridCol w:w="1418"/>
        <w:gridCol w:w="2126"/>
      </w:tblGrid>
      <w:tr w:rsidR="00B65B34" w:rsidRPr="00260CE3" w:rsidTr="00B65B34">
        <w:trPr>
          <w:cantSplit/>
          <w:trHeight w:val="471"/>
        </w:trPr>
        <w:tc>
          <w:tcPr>
            <w:tcW w:w="3261" w:type="dxa"/>
            <w:gridSpan w:val="2"/>
          </w:tcPr>
          <w:p w:rsidR="00B65B34" w:rsidRPr="00260CE3" w:rsidRDefault="00B65B34" w:rsidP="00B65B34">
            <w:pPr>
              <w:keepNext/>
              <w:ind w:left="-108"/>
              <w:rPr>
                <w:rFonts w:ascii="Arial Narrow" w:hAnsi="Arial Narrow"/>
                <w:sz w:val="20"/>
              </w:rPr>
            </w:pPr>
            <w:r w:rsidRPr="00260CE3">
              <w:rPr>
                <w:rFonts w:ascii="Arial Narrow" w:hAnsi="Arial Narrow"/>
                <w:sz w:val="20"/>
              </w:rPr>
              <w:t>Name, Restriction,</w:t>
            </w:r>
          </w:p>
          <w:p w:rsidR="00B65B34" w:rsidRPr="00260CE3" w:rsidRDefault="00B65B34" w:rsidP="00B65B34">
            <w:pPr>
              <w:keepNext/>
              <w:ind w:left="-108"/>
              <w:rPr>
                <w:rFonts w:ascii="Arial Narrow" w:hAnsi="Arial Narrow"/>
                <w:sz w:val="20"/>
              </w:rPr>
            </w:pPr>
            <w:r w:rsidRPr="00260CE3">
              <w:rPr>
                <w:rFonts w:ascii="Arial Narrow" w:hAnsi="Arial Narrow"/>
                <w:sz w:val="20"/>
              </w:rPr>
              <w:t>Manner of administration and form</w:t>
            </w:r>
          </w:p>
        </w:tc>
        <w:tc>
          <w:tcPr>
            <w:tcW w:w="992" w:type="dxa"/>
          </w:tcPr>
          <w:p w:rsidR="00B65B34" w:rsidRPr="00260CE3" w:rsidRDefault="00B65B34" w:rsidP="00B65B34">
            <w:pPr>
              <w:keepNext/>
              <w:ind w:left="-108"/>
              <w:rPr>
                <w:rFonts w:ascii="Arial Narrow" w:hAnsi="Arial Narrow"/>
                <w:sz w:val="20"/>
              </w:rPr>
            </w:pPr>
            <w:r w:rsidRPr="00260CE3">
              <w:rPr>
                <w:rFonts w:ascii="Arial Narrow" w:hAnsi="Arial Narrow"/>
                <w:sz w:val="20"/>
              </w:rPr>
              <w:t>Max.</w:t>
            </w:r>
          </w:p>
          <w:p w:rsidR="00B65B34" w:rsidRPr="00260CE3" w:rsidRDefault="00B65B34" w:rsidP="00B65B34">
            <w:pPr>
              <w:keepNext/>
              <w:ind w:left="-108"/>
              <w:rPr>
                <w:rFonts w:ascii="Arial Narrow" w:hAnsi="Arial Narrow"/>
                <w:sz w:val="20"/>
              </w:rPr>
            </w:pPr>
            <w:r w:rsidRPr="00260CE3">
              <w:rPr>
                <w:rFonts w:ascii="Arial Narrow" w:hAnsi="Arial Narrow"/>
                <w:sz w:val="20"/>
              </w:rPr>
              <w:t>Qty</w:t>
            </w:r>
          </w:p>
        </w:tc>
        <w:tc>
          <w:tcPr>
            <w:tcW w:w="1417" w:type="dxa"/>
          </w:tcPr>
          <w:p w:rsidR="00B65B34" w:rsidRPr="00260CE3" w:rsidRDefault="00B65B34" w:rsidP="00B65B34">
            <w:pPr>
              <w:keepNext/>
              <w:ind w:left="-108"/>
              <w:rPr>
                <w:rFonts w:ascii="Arial Narrow" w:hAnsi="Arial Narrow"/>
                <w:sz w:val="20"/>
              </w:rPr>
            </w:pPr>
            <w:r w:rsidRPr="00260CE3">
              <w:rPr>
                <w:rFonts w:ascii="Arial Narrow" w:hAnsi="Arial Narrow"/>
                <w:sz w:val="20"/>
              </w:rPr>
              <w:t>№.of</w:t>
            </w:r>
          </w:p>
          <w:p w:rsidR="00B65B34" w:rsidRPr="00260CE3" w:rsidRDefault="00B65B34" w:rsidP="00B65B34">
            <w:pPr>
              <w:keepNext/>
              <w:ind w:left="-108"/>
              <w:rPr>
                <w:rFonts w:ascii="Arial Narrow" w:hAnsi="Arial Narrow"/>
                <w:sz w:val="20"/>
              </w:rPr>
            </w:pPr>
            <w:r w:rsidRPr="00260CE3">
              <w:rPr>
                <w:rFonts w:ascii="Arial Narrow" w:hAnsi="Arial Narrow"/>
                <w:sz w:val="20"/>
              </w:rPr>
              <w:t>Rpts</w:t>
            </w:r>
          </w:p>
        </w:tc>
        <w:tc>
          <w:tcPr>
            <w:tcW w:w="3544" w:type="dxa"/>
            <w:gridSpan w:val="2"/>
          </w:tcPr>
          <w:p w:rsidR="00B65B34" w:rsidRPr="00260CE3" w:rsidRDefault="00B65B34" w:rsidP="00B65B34">
            <w:pPr>
              <w:keepNext/>
              <w:rPr>
                <w:rFonts w:ascii="Arial Narrow" w:hAnsi="Arial Narrow"/>
                <w:sz w:val="20"/>
                <w:lang w:val="fr-FR"/>
              </w:rPr>
            </w:pPr>
            <w:r w:rsidRPr="00260CE3">
              <w:rPr>
                <w:rFonts w:ascii="Arial Narrow" w:hAnsi="Arial Narrow"/>
                <w:sz w:val="20"/>
              </w:rPr>
              <w:t>Proprietary Name and Manufacturer</w:t>
            </w:r>
          </w:p>
        </w:tc>
      </w:tr>
      <w:tr w:rsidR="00B65B34" w:rsidRPr="00260CE3" w:rsidTr="00B65B34">
        <w:trPr>
          <w:cantSplit/>
          <w:trHeight w:val="577"/>
        </w:trPr>
        <w:tc>
          <w:tcPr>
            <w:tcW w:w="3261" w:type="dxa"/>
            <w:gridSpan w:val="2"/>
            <w:tcBorders>
              <w:bottom w:val="single" w:sz="4" w:space="0" w:color="auto"/>
            </w:tcBorders>
          </w:tcPr>
          <w:p w:rsidR="00B65B34" w:rsidRPr="00260CE3" w:rsidRDefault="00B65B34" w:rsidP="00B65B34">
            <w:pPr>
              <w:keepNext/>
              <w:ind w:left="-108"/>
              <w:rPr>
                <w:rFonts w:ascii="Arial Narrow" w:hAnsi="Arial Narrow"/>
                <w:sz w:val="20"/>
              </w:rPr>
            </w:pPr>
            <w:r>
              <w:rPr>
                <w:rFonts w:ascii="Arial Narrow" w:hAnsi="Arial Narrow"/>
                <w:smallCaps/>
                <w:sz w:val="20"/>
              </w:rPr>
              <w:t>RUXOLITINIB</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15 mg</w:t>
            </w:r>
          </w:p>
          <w:p w:rsidR="00B65B34" w:rsidRPr="00260CE3" w:rsidRDefault="00B65B34" w:rsidP="00B65B34">
            <w:pPr>
              <w:keepNext/>
              <w:ind w:left="-108"/>
              <w:rPr>
                <w:rFonts w:ascii="Arial Narrow" w:hAnsi="Arial Narrow"/>
                <w:sz w:val="20"/>
              </w:rPr>
            </w:pPr>
            <w:r>
              <w:rPr>
                <w:rFonts w:ascii="Arial Narrow" w:hAnsi="Arial Narrow"/>
                <w:sz w:val="20"/>
              </w:rPr>
              <w:t>Tablet 20 mg</w:t>
            </w:r>
          </w:p>
        </w:tc>
        <w:tc>
          <w:tcPr>
            <w:tcW w:w="992"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56</w:t>
            </w:r>
          </w:p>
          <w:p w:rsidR="00B65B34" w:rsidRDefault="00B65B34" w:rsidP="00B65B34">
            <w:pPr>
              <w:keepNext/>
              <w:ind w:left="-108"/>
              <w:rPr>
                <w:rFonts w:ascii="Arial Narrow" w:hAnsi="Arial Narrow"/>
                <w:sz w:val="20"/>
              </w:rPr>
            </w:pPr>
            <w:r>
              <w:rPr>
                <w:rFonts w:ascii="Arial Narrow" w:hAnsi="Arial Narrow"/>
                <w:sz w:val="20"/>
              </w:rPr>
              <w:t>112</w:t>
            </w:r>
          </w:p>
          <w:p w:rsidR="00B65B34" w:rsidRDefault="00B65B34" w:rsidP="00B65B34">
            <w:pPr>
              <w:keepNext/>
              <w:ind w:left="-108"/>
              <w:rPr>
                <w:rFonts w:ascii="Arial Narrow" w:hAnsi="Arial Narrow"/>
                <w:sz w:val="20"/>
              </w:rPr>
            </w:pPr>
            <w:r>
              <w:rPr>
                <w:rFonts w:ascii="Arial Narrow" w:hAnsi="Arial Narrow"/>
                <w:sz w:val="20"/>
              </w:rPr>
              <w:t>56</w:t>
            </w:r>
          </w:p>
          <w:p w:rsidR="00B65B34" w:rsidRPr="00260CE3" w:rsidRDefault="00B65B34" w:rsidP="00B65B34">
            <w:pPr>
              <w:keepNext/>
              <w:ind w:left="-108"/>
              <w:rPr>
                <w:rFonts w:ascii="Arial Narrow" w:hAnsi="Arial Narrow"/>
                <w:sz w:val="20"/>
              </w:rPr>
            </w:pPr>
            <w:r>
              <w:rPr>
                <w:rFonts w:ascii="Arial Narrow" w:hAnsi="Arial Narrow"/>
                <w:sz w:val="20"/>
              </w:rPr>
              <w:t>56</w:t>
            </w:r>
          </w:p>
        </w:tc>
        <w:tc>
          <w:tcPr>
            <w:tcW w:w="1417" w:type="dxa"/>
            <w:tcBorders>
              <w:bottom w:val="single" w:sz="4" w:space="0" w:color="auto"/>
            </w:tcBorders>
          </w:tcPr>
          <w:p w:rsidR="00B65B34"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w:t>
            </w:r>
          </w:p>
          <w:p w:rsidR="00B65B34" w:rsidRDefault="00B65B34" w:rsidP="00B65B34">
            <w:pPr>
              <w:keepNext/>
              <w:ind w:left="-108"/>
              <w:rPr>
                <w:rFonts w:ascii="Arial Narrow" w:hAnsi="Arial Narrow"/>
                <w:sz w:val="20"/>
              </w:rPr>
            </w:pPr>
            <w:r>
              <w:rPr>
                <w:rFonts w:ascii="Arial Narrow" w:hAnsi="Arial Narrow"/>
                <w:sz w:val="20"/>
              </w:rPr>
              <w:t>5</w:t>
            </w:r>
          </w:p>
          <w:p w:rsidR="00B65B34" w:rsidRDefault="00B65B34" w:rsidP="00B65B34">
            <w:pPr>
              <w:keepNext/>
              <w:ind w:left="-108"/>
              <w:rPr>
                <w:rFonts w:ascii="Arial Narrow" w:hAnsi="Arial Narrow"/>
                <w:sz w:val="20"/>
              </w:rPr>
            </w:pPr>
            <w:r>
              <w:rPr>
                <w:rFonts w:ascii="Arial Narrow" w:hAnsi="Arial Narrow"/>
                <w:sz w:val="20"/>
              </w:rPr>
              <w:t>5</w:t>
            </w:r>
          </w:p>
          <w:p w:rsidR="00B65B34" w:rsidRPr="00260CE3" w:rsidRDefault="00B65B34" w:rsidP="00B65B34">
            <w:pPr>
              <w:keepNext/>
              <w:ind w:left="-108"/>
              <w:rPr>
                <w:rFonts w:ascii="Arial Narrow" w:hAnsi="Arial Narrow"/>
                <w:sz w:val="20"/>
              </w:rPr>
            </w:pPr>
            <w:r>
              <w:rPr>
                <w:rFonts w:ascii="Arial Narrow" w:hAnsi="Arial Narrow"/>
                <w:sz w:val="20"/>
              </w:rPr>
              <w:t>5</w:t>
            </w:r>
          </w:p>
        </w:tc>
        <w:tc>
          <w:tcPr>
            <w:tcW w:w="1418"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Pr="00260CE3" w:rsidRDefault="00B65B34" w:rsidP="00B65B34">
            <w:pPr>
              <w:keepNext/>
              <w:rPr>
                <w:rFonts w:ascii="Arial Narrow" w:hAnsi="Arial Narrow"/>
                <w:sz w:val="20"/>
              </w:rPr>
            </w:pPr>
            <w:r>
              <w:rPr>
                <w:rFonts w:ascii="Arial Narrow" w:hAnsi="Arial Narrow"/>
                <w:sz w:val="20"/>
              </w:rPr>
              <w:t>Jakavi®</w:t>
            </w:r>
          </w:p>
        </w:tc>
        <w:tc>
          <w:tcPr>
            <w:tcW w:w="2126"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Pr="00260CE3" w:rsidRDefault="00B65B34" w:rsidP="00B65B34">
            <w:pPr>
              <w:keepNext/>
              <w:rPr>
                <w:rFonts w:ascii="Arial Narrow" w:hAnsi="Arial Narrow"/>
                <w:sz w:val="20"/>
              </w:rPr>
            </w:pPr>
            <w:r>
              <w:rPr>
                <w:rFonts w:ascii="Arial Narrow" w:hAnsi="Arial Narrow"/>
                <w:sz w:val="20"/>
              </w:rPr>
              <w:t>NM</w:t>
            </w:r>
          </w:p>
        </w:tc>
      </w:tr>
      <w:tr w:rsidR="00B65B34" w:rsidRPr="00260CE3" w:rsidTr="00B65B34">
        <w:trPr>
          <w:cantSplit/>
          <w:trHeight w:val="360"/>
        </w:trPr>
        <w:tc>
          <w:tcPr>
            <w:tcW w:w="9214" w:type="dxa"/>
            <w:gridSpan w:val="6"/>
            <w:tcBorders>
              <w:bottom w:val="single" w:sz="4" w:space="0" w:color="auto"/>
            </w:tcBorders>
          </w:tcPr>
          <w:p w:rsidR="00B65B34" w:rsidRPr="00260CE3" w:rsidRDefault="00B65B34" w:rsidP="00B65B34">
            <w:pPr>
              <w:rPr>
                <w:rFonts w:ascii="Arial Narrow" w:hAnsi="Arial Narrow"/>
                <w:sz w:val="20"/>
              </w:rPr>
            </w:pP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 xml:space="preserve">Category / </w:t>
            </w:r>
          </w:p>
          <w:p w:rsidR="00B65B34" w:rsidRPr="00260CE3" w:rsidRDefault="00B65B34" w:rsidP="00B65B34">
            <w:pPr>
              <w:rPr>
                <w:rFonts w:ascii="Arial Narrow" w:hAnsi="Arial Narrow"/>
                <w:b/>
                <w:sz w:val="20"/>
              </w:rPr>
            </w:pPr>
            <w:r w:rsidRPr="00260CE3">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t>GENERAL – General Schedule (Code GE)</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Chronic</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Intermediate-1 risk</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E35D4E" w:rsidP="00B65B34">
            <w:pPr>
              <w:rPr>
                <w:rFonts w:ascii="Arial Narrow" w:hAnsi="Arial Narrow"/>
                <w:sz w:val="20"/>
              </w:rPr>
            </w:pPr>
            <w:r>
              <w:rPr>
                <w:rFonts w:ascii="Arial Narrow" w:hAnsi="Arial Narrow"/>
                <w:sz w:val="20"/>
              </w:rPr>
              <w:t>M</w:t>
            </w:r>
            <w:r w:rsidR="00B65B34">
              <w:rPr>
                <w:rFonts w:ascii="Arial Narrow" w:hAnsi="Arial Narrow"/>
                <w:sz w:val="20"/>
              </w:rPr>
              <w:t xml:space="preserve">yelofibrosis </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6C3A0F" w:rsidRDefault="00B65B34" w:rsidP="00B65B34">
            <w:pPr>
              <w:rPr>
                <w:rFonts w:ascii="Arial Narrow" w:hAnsi="Arial Narrow"/>
                <w:b/>
                <w:sz w:val="20"/>
              </w:rPr>
            </w:pPr>
            <w:r w:rsidRPr="00260CE3">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Continuation</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65B34" w:rsidRDefault="00B65B34" w:rsidP="00B65B34">
            <w:pPr>
              <w:rPr>
                <w:rFonts w:ascii="Arial Narrow" w:hAnsi="Arial Narrow"/>
                <w:i/>
                <w:sz w:val="20"/>
                <w:highlight w:val="yellow"/>
              </w:rPr>
            </w:pPr>
          </w:p>
          <w:p w:rsidR="00B65B34" w:rsidRPr="00CD28F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106BCF" w:rsidRDefault="00B65B34" w:rsidP="00B65B34">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B65B34" w:rsidRPr="00106BCF" w:rsidRDefault="00B65B34" w:rsidP="00B65B34">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19" w:name="Check3"/>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bookmarkEnd w:id="19"/>
            <w:r w:rsidRPr="00106BCF">
              <w:rPr>
                <w:rFonts w:ascii="Arial Narrow" w:hAnsi="Arial Narrow"/>
                <w:sz w:val="20"/>
              </w:rPr>
              <w:t>Authority Required - Telephone</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5B34" w:rsidRPr="00260CE3"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Clinical criteria:</w:t>
            </w:r>
          </w:p>
          <w:p w:rsidR="00B65B34" w:rsidRPr="00260CE3" w:rsidRDefault="00B65B34" w:rsidP="00B65B34">
            <w:pPr>
              <w:rPr>
                <w:rFonts w:ascii="Arial Narrow" w:hAnsi="Arial Narrow"/>
                <w:i/>
                <w:sz w:val="20"/>
              </w:rPr>
            </w:pPr>
          </w:p>
          <w:p w:rsidR="00B65B34" w:rsidRPr="00260CE3" w:rsidRDefault="00B65B34" w:rsidP="00B65B3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sz w:val="20"/>
              </w:rPr>
            </w:pPr>
            <w:r>
              <w:rPr>
                <w:rFonts w:ascii="Arial Narrow" w:hAnsi="Arial Narrow"/>
                <w:sz w:val="20"/>
              </w:rPr>
              <w:t>The condition must be primary myelofibrosis or post-polycythemia vera myelofib</w:t>
            </w:r>
            <w:r w:rsidR="00596537">
              <w:rPr>
                <w:rFonts w:ascii="Arial Narrow" w:hAnsi="Arial Narrow"/>
                <w:sz w:val="20"/>
              </w:rPr>
              <w:t>rosis or post-essential thrombo</w:t>
            </w:r>
            <w:r>
              <w:rPr>
                <w:rFonts w:ascii="Arial Narrow" w:hAnsi="Arial Narrow"/>
                <w:sz w:val="20"/>
              </w:rPr>
              <w:t xml:space="preserve">cythemia myelofibrosis.  </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AND</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Patient must have previously been treated with PBS-subsidised ruxolitinib for this condition.</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 xml:space="preserve">AND </w:t>
            </w:r>
          </w:p>
          <w:p w:rsidR="00B65B34" w:rsidRDefault="00B65B34" w:rsidP="00B65B34">
            <w:pPr>
              <w:rPr>
                <w:rFonts w:ascii="Arial Narrow" w:hAnsi="Arial Narrow"/>
                <w:sz w:val="20"/>
              </w:rPr>
            </w:pPr>
          </w:p>
          <w:p w:rsidR="00B65B34" w:rsidRPr="00260CE3" w:rsidRDefault="00B65B34" w:rsidP="00B65B34">
            <w:pPr>
              <w:rPr>
                <w:rFonts w:ascii="Arial Narrow" w:hAnsi="Arial Narrow"/>
                <w:sz w:val="20"/>
              </w:rPr>
            </w:pPr>
            <w:r>
              <w:rPr>
                <w:rFonts w:ascii="Arial Narrow" w:hAnsi="Arial Narrow"/>
                <w:sz w:val="20"/>
              </w:rPr>
              <w:t xml:space="preserve">Patient must have severe disease-related symptoms that are resistant, refractory or intolerant to available therapy. </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Administrative Advice</w:t>
            </w:r>
          </w:p>
          <w:p w:rsidR="00B65B34" w:rsidRPr="00260CE3" w:rsidRDefault="00B65B34" w:rsidP="00B65B34">
            <w:pPr>
              <w:rPr>
                <w:rFonts w:ascii="Arial Narrow" w:hAnsi="Arial Narrow"/>
                <w:i/>
                <w:sz w:val="20"/>
              </w:rPr>
            </w:pPr>
          </w:p>
          <w:p w:rsidR="00B65B34" w:rsidRPr="00260CE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sz w:val="20"/>
              </w:rPr>
            </w:pPr>
            <w:r>
              <w:rPr>
                <w:rFonts w:ascii="Arial Narrow" w:hAnsi="Arial Narrow"/>
                <w:sz w:val="20"/>
              </w:rPr>
              <w:t xml:space="preserve">Risk of myelofibrosis is defined in accordance with the Myelofibrosis </w:t>
            </w:r>
            <w:r w:rsidR="00716BC4">
              <w:rPr>
                <w:rFonts w:ascii="Arial Narrow" w:hAnsi="Arial Narrow"/>
                <w:sz w:val="20"/>
              </w:rPr>
              <w:t>International</w:t>
            </w:r>
            <w:r>
              <w:rPr>
                <w:rFonts w:ascii="Arial Narrow" w:hAnsi="Arial Narrow"/>
                <w:sz w:val="20"/>
              </w:rPr>
              <w:t xml:space="preserve"> Prognostic Scoring System (IPSS) OR the Dynamic International Prognostic Scoring System (DIPSS) (or the Age Adjusted DIPSS).</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 xml:space="preserve">Note: </w:t>
            </w:r>
          </w:p>
          <w:p w:rsidR="00B65B34" w:rsidRPr="00260CE3" w:rsidRDefault="00B65B34" w:rsidP="00B65B34">
            <w:pPr>
              <w:rPr>
                <w:rFonts w:ascii="Arial Narrow" w:hAnsi="Arial Narrow"/>
                <w:sz w:val="20"/>
              </w:rPr>
            </w:pPr>
            <w:r>
              <w:rPr>
                <w:rFonts w:ascii="Arial Narrow" w:hAnsi="Arial Narrow"/>
                <w:sz w:val="20"/>
              </w:rPr>
              <w:t>No increase in the maximum quantity may be authorised.</w:t>
            </w:r>
          </w:p>
        </w:tc>
      </w:tr>
    </w:tbl>
    <w:p w:rsidR="00B65B34" w:rsidRPr="00552722" w:rsidRDefault="00B65B34" w:rsidP="00B65B34">
      <w:pPr>
        <w:rPr>
          <w:szCs w:val="22"/>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95470D" w:rsidRDefault="0095470D" w:rsidP="00B65B34">
      <w:pPr>
        <w:rPr>
          <w:rStyle w:val="IntenseReference"/>
          <w:b w:val="0"/>
          <w:bCs w:val="0"/>
          <w:i w:val="0"/>
          <w:smallCaps w:val="0"/>
          <w:color w:val="auto"/>
        </w:rPr>
      </w:pPr>
    </w:p>
    <w:p w:rsidR="00B65B34" w:rsidRPr="0053473F" w:rsidRDefault="00B65B34" w:rsidP="00B65B34">
      <w:pPr>
        <w:rPr>
          <w:rStyle w:val="IntenseReference"/>
          <w:b w:val="0"/>
          <w:bCs w:val="0"/>
          <w:i w:val="0"/>
          <w:smallCaps w:val="0"/>
        </w:rPr>
      </w:pPr>
      <w:r w:rsidRPr="00B65B34">
        <w:rPr>
          <w:rStyle w:val="IntenseReference"/>
          <w:b w:val="0"/>
          <w:bCs w:val="0"/>
          <w:i w:val="0"/>
          <w:smallCaps w:val="0"/>
          <w:color w:val="auto"/>
        </w:rPr>
        <w:t xml:space="preserve">Grandfathered </w:t>
      </w:r>
    </w:p>
    <w:p w:rsidR="00B65B34" w:rsidRDefault="00B65B34" w:rsidP="00B65B34">
      <w:pPr>
        <w:rPr>
          <w:rStyle w:val="IntenseReference"/>
          <w:b w:val="0"/>
          <w:bCs w:val="0"/>
          <w:i w:val="0"/>
          <w:smallCaps w:val="0"/>
        </w:rPr>
      </w:pPr>
    </w:p>
    <w:tbl>
      <w:tblPr>
        <w:tblW w:w="9214" w:type="dxa"/>
        <w:tblInd w:w="108" w:type="dxa"/>
        <w:tblLayout w:type="fixed"/>
        <w:tblLook w:val="0000" w:firstRow="0" w:lastRow="0" w:firstColumn="0" w:lastColumn="0" w:noHBand="0" w:noVBand="0"/>
      </w:tblPr>
      <w:tblGrid>
        <w:gridCol w:w="2835"/>
        <w:gridCol w:w="426"/>
        <w:gridCol w:w="992"/>
        <w:gridCol w:w="1417"/>
        <w:gridCol w:w="1418"/>
        <w:gridCol w:w="2126"/>
      </w:tblGrid>
      <w:tr w:rsidR="00B65B34" w:rsidRPr="00260CE3" w:rsidTr="00B65B34">
        <w:trPr>
          <w:cantSplit/>
          <w:trHeight w:val="471"/>
        </w:trPr>
        <w:tc>
          <w:tcPr>
            <w:tcW w:w="3261" w:type="dxa"/>
            <w:gridSpan w:val="2"/>
          </w:tcPr>
          <w:p w:rsidR="00B65B34" w:rsidRPr="00260CE3" w:rsidRDefault="00B65B34" w:rsidP="00B65B34">
            <w:pPr>
              <w:keepNext/>
              <w:ind w:left="-108"/>
              <w:rPr>
                <w:rFonts w:ascii="Arial Narrow" w:hAnsi="Arial Narrow"/>
                <w:sz w:val="20"/>
              </w:rPr>
            </w:pPr>
            <w:r w:rsidRPr="00260CE3">
              <w:rPr>
                <w:rFonts w:ascii="Arial Narrow" w:hAnsi="Arial Narrow"/>
                <w:sz w:val="20"/>
              </w:rPr>
              <w:t>Name, Restriction,</w:t>
            </w:r>
          </w:p>
          <w:p w:rsidR="00B65B34" w:rsidRPr="00260CE3" w:rsidRDefault="00B65B34" w:rsidP="00B65B34">
            <w:pPr>
              <w:keepNext/>
              <w:ind w:left="-108"/>
              <w:rPr>
                <w:rFonts w:ascii="Arial Narrow" w:hAnsi="Arial Narrow"/>
                <w:sz w:val="20"/>
              </w:rPr>
            </w:pPr>
            <w:r w:rsidRPr="00260CE3">
              <w:rPr>
                <w:rFonts w:ascii="Arial Narrow" w:hAnsi="Arial Narrow"/>
                <w:sz w:val="20"/>
              </w:rPr>
              <w:t>Manner of administration and form</w:t>
            </w:r>
          </w:p>
        </w:tc>
        <w:tc>
          <w:tcPr>
            <w:tcW w:w="992" w:type="dxa"/>
          </w:tcPr>
          <w:p w:rsidR="00B65B34" w:rsidRPr="00260CE3" w:rsidRDefault="00B65B34" w:rsidP="00B65B34">
            <w:pPr>
              <w:keepNext/>
              <w:ind w:left="-108"/>
              <w:rPr>
                <w:rFonts w:ascii="Arial Narrow" w:hAnsi="Arial Narrow"/>
                <w:sz w:val="20"/>
              </w:rPr>
            </w:pPr>
            <w:r w:rsidRPr="00260CE3">
              <w:rPr>
                <w:rFonts w:ascii="Arial Narrow" w:hAnsi="Arial Narrow"/>
                <w:sz w:val="20"/>
              </w:rPr>
              <w:t>Max.</w:t>
            </w:r>
          </w:p>
          <w:p w:rsidR="00B65B34" w:rsidRPr="00260CE3" w:rsidRDefault="00B65B34" w:rsidP="00B65B34">
            <w:pPr>
              <w:keepNext/>
              <w:ind w:left="-108"/>
              <w:rPr>
                <w:rFonts w:ascii="Arial Narrow" w:hAnsi="Arial Narrow"/>
                <w:sz w:val="20"/>
              </w:rPr>
            </w:pPr>
            <w:r w:rsidRPr="00260CE3">
              <w:rPr>
                <w:rFonts w:ascii="Arial Narrow" w:hAnsi="Arial Narrow"/>
                <w:sz w:val="20"/>
              </w:rPr>
              <w:t>Qty</w:t>
            </w:r>
          </w:p>
        </w:tc>
        <w:tc>
          <w:tcPr>
            <w:tcW w:w="1417" w:type="dxa"/>
          </w:tcPr>
          <w:p w:rsidR="00B65B34" w:rsidRPr="00260CE3" w:rsidRDefault="00B65B34" w:rsidP="00B65B34">
            <w:pPr>
              <w:keepNext/>
              <w:ind w:left="-108"/>
              <w:rPr>
                <w:rFonts w:ascii="Arial Narrow" w:hAnsi="Arial Narrow"/>
                <w:sz w:val="20"/>
              </w:rPr>
            </w:pPr>
            <w:r w:rsidRPr="00260CE3">
              <w:rPr>
                <w:rFonts w:ascii="Arial Narrow" w:hAnsi="Arial Narrow"/>
                <w:sz w:val="20"/>
              </w:rPr>
              <w:t>№.of</w:t>
            </w:r>
          </w:p>
          <w:p w:rsidR="00B65B34" w:rsidRPr="00260CE3" w:rsidRDefault="00B65B34" w:rsidP="00B65B34">
            <w:pPr>
              <w:keepNext/>
              <w:ind w:left="-108"/>
              <w:rPr>
                <w:rFonts w:ascii="Arial Narrow" w:hAnsi="Arial Narrow"/>
                <w:sz w:val="20"/>
              </w:rPr>
            </w:pPr>
            <w:r w:rsidRPr="00260CE3">
              <w:rPr>
                <w:rFonts w:ascii="Arial Narrow" w:hAnsi="Arial Narrow"/>
                <w:sz w:val="20"/>
              </w:rPr>
              <w:t>Rpts</w:t>
            </w:r>
          </w:p>
        </w:tc>
        <w:tc>
          <w:tcPr>
            <w:tcW w:w="3544" w:type="dxa"/>
            <w:gridSpan w:val="2"/>
          </w:tcPr>
          <w:p w:rsidR="00B65B34" w:rsidRPr="00260CE3" w:rsidRDefault="00B65B34" w:rsidP="00B65B34">
            <w:pPr>
              <w:keepNext/>
              <w:rPr>
                <w:rFonts w:ascii="Arial Narrow" w:hAnsi="Arial Narrow"/>
                <w:sz w:val="20"/>
                <w:lang w:val="fr-FR"/>
              </w:rPr>
            </w:pPr>
            <w:r w:rsidRPr="00260CE3">
              <w:rPr>
                <w:rFonts w:ascii="Arial Narrow" w:hAnsi="Arial Narrow"/>
                <w:sz w:val="20"/>
              </w:rPr>
              <w:t>Proprietary Name and Manufacturer</w:t>
            </w:r>
          </w:p>
        </w:tc>
      </w:tr>
      <w:tr w:rsidR="00B65B34" w:rsidRPr="00260CE3" w:rsidTr="00B65B34">
        <w:trPr>
          <w:cantSplit/>
          <w:trHeight w:val="577"/>
        </w:trPr>
        <w:tc>
          <w:tcPr>
            <w:tcW w:w="3261" w:type="dxa"/>
            <w:gridSpan w:val="2"/>
            <w:tcBorders>
              <w:bottom w:val="single" w:sz="4" w:space="0" w:color="auto"/>
            </w:tcBorders>
          </w:tcPr>
          <w:p w:rsidR="00B65B34" w:rsidRPr="00260CE3" w:rsidRDefault="00B65B34" w:rsidP="00B65B34">
            <w:pPr>
              <w:keepNext/>
              <w:ind w:left="-108"/>
              <w:rPr>
                <w:rFonts w:ascii="Arial Narrow" w:hAnsi="Arial Narrow"/>
                <w:sz w:val="20"/>
              </w:rPr>
            </w:pPr>
            <w:r>
              <w:rPr>
                <w:rFonts w:ascii="Arial Narrow" w:hAnsi="Arial Narrow"/>
                <w:smallCaps/>
                <w:sz w:val="20"/>
              </w:rPr>
              <w:t>RUXOLITINIB</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5 mg</w:t>
            </w:r>
          </w:p>
          <w:p w:rsidR="00B65B34" w:rsidRDefault="00B65B34" w:rsidP="00B65B34">
            <w:pPr>
              <w:keepNext/>
              <w:ind w:left="-108"/>
              <w:rPr>
                <w:rFonts w:ascii="Arial Narrow" w:hAnsi="Arial Narrow"/>
                <w:sz w:val="20"/>
              </w:rPr>
            </w:pPr>
            <w:r>
              <w:rPr>
                <w:rFonts w:ascii="Arial Narrow" w:hAnsi="Arial Narrow"/>
                <w:sz w:val="20"/>
              </w:rPr>
              <w:t>Tablet 15 mg</w:t>
            </w:r>
          </w:p>
          <w:p w:rsidR="00B65B34" w:rsidRPr="00260CE3" w:rsidRDefault="00B65B34" w:rsidP="00B65B34">
            <w:pPr>
              <w:keepNext/>
              <w:ind w:left="-108"/>
              <w:rPr>
                <w:rFonts w:ascii="Arial Narrow" w:hAnsi="Arial Narrow"/>
                <w:sz w:val="20"/>
              </w:rPr>
            </w:pPr>
            <w:r>
              <w:rPr>
                <w:rFonts w:ascii="Arial Narrow" w:hAnsi="Arial Narrow"/>
                <w:sz w:val="20"/>
              </w:rPr>
              <w:t>Tablet 20 mg</w:t>
            </w:r>
          </w:p>
        </w:tc>
        <w:tc>
          <w:tcPr>
            <w:tcW w:w="992" w:type="dxa"/>
            <w:tcBorders>
              <w:bottom w:val="single" w:sz="4" w:space="0" w:color="auto"/>
            </w:tcBorders>
          </w:tcPr>
          <w:p w:rsidR="00B65B34" w:rsidRPr="00260CE3"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56</w:t>
            </w:r>
          </w:p>
          <w:p w:rsidR="00B65B34" w:rsidRDefault="00B65B34" w:rsidP="00B65B34">
            <w:pPr>
              <w:keepNext/>
              <w:ind w:left="-108"/>
              <w:rPr>
                <w:rFonts w:ascii="Arial Narrow" w:hAnsi="Arial Narrow"/>
                <w:sz w:val="20"/>
              </w:rPr>
            </w:pPr>
            <w:r>
              <w:rPr>
                <w:rFonts w:ascii="Arial Narrow" w:hAnsi="Arial Narrow"/>
                <w:sz w:val="20"/>
              </w:rPr>
              <w:t>112</w:t>
            </w:r>
          </w:p>
          <w:p w:rsidR="00B65B34" w:rsidRDefault="00B65B34" w:rsidP="00B65B34">
            <w:pPr>
              <w:keepNext/>
              <w:ind w:left="-108"/>
              <w:rPr>
                <w:rFonts w:ascii="Arial Narrow" w:hAnsi="Arial Narrow"/>
                <w:sz w:val="20"/>
              </w:rPr>
            </w:pPr>
            <w:r>
              <w:rPr>
                <w:rFonts w:ascii="Arial Narrow" w:hAnsi="Arial Narrow"/>
                <w:sz w:val="20"/>
              </w:rPr>
              <w:t>56</w:t>
            </w:r>
          </w:p>
          <w:p w:rsidR="00B65B34" w:rsidRPr="00260CE3" w:rsidRDefault="00B65B34" w:rsidP="00B65B34">
            <w:pPr>
              <w:keepNext/>
              <w:ind w:left="-108"/>
              <w:rPr>
                <w:rFonts w:ascii="Arial Narrow" w:hAnsi="Arial Narrow"/>
                <w:sz w:val="20"/>
              </w:rPr>
            </w:pPr>
            <w:r>
              <w:rPr>
                <w:rFonts w:ascii="Arial Narrow" w:hAnsi="Arial Narrow"/>
                <w:sz w:val="20"/>
              </w:rPr>
              <w:t>56</w:t>
            </w:r>
          </w:p>
        </w:tc>
        <w:tc>
          <w:tcPr>
            <w:tcW w:w="1417" w:type="dxa"/>
            <w:tcBorders>
              <w:bottom w:val="single" w:sz="4" w:space="0" w:color="auto"/>
            </w:tcBorders>
          </w:tcPr>
          <w:p w:rsidR="00B65B34" w:rsidRDefault="00B65B34" w:rsidP="00B65B34">
            <w:pPr>
              <w:keepNext/>
              <w:ind w:left="-108"/>
              <w:rPr>
                <w:rFonts w:ascii="Arial Narrow" w:hAnsi="Arial Narrow"/>
                <w:sz w:val="20"/>
              </w:rPr>
            </w:pPr>
          </w:p>
          <w:p w:rsidR="00B65B34" w:rsidRDefault="00B65B34" w:rsidP="00B65B34">
            <w:pPr>
              <w:keepNext/>
              <w:ind w:left="-108"/>
              <w:rPr>
                <w:rFonts w:ascii="Arial Narrow" w:hAnsi="Arial Narrow"/>
                <w:sz w:val="20"/>
              </w:rPr>
            </w:pPr>
            <w:r>
              <w:rPr>
                <w:rFonts w:ascii="Arial Narrow" w:hAnsi="Arial Narrow"/>
                <w:sz w:val="20"/>
              </w:rPr>
              <w:t>5</w:t>
            </w:r>
          </w:p>
          <w:p w:rsidR="00B65B34" w:rsidRDefault="00B65B34" w:rsidP="00B65B34">
            <w:pPr>
              <w:keepNext/>
              <w:ind w:left="-108"/>
              <w:rPr>
                <w:rFonts w:ascii="Arial Narrow" w:hAnsi="Arial Narrow"/>
                <w:sz w:val="20"/>
              </w:rPr>
            </w:pPr>
            <w:r>
              <w:rPr>
                <w:rFonts w:ascii="Arial Narrow" w:hAnsi="Arial Narrow"/>
                <w:sz w:val="20"/>
              </w:rPr>
              <w:t>5</w:t>
            </w:r>
          </w:p>
          <w:p w:rsidR="00B65B34" w:rsidRDefault="00B65B34" w:rsidP="00B65B34">
            <w:pPr>
              <w:keepNext/>
              <w:ind w:left="-108"/>
              <w:rPr>
                <w:rFonts w:ascii="Arial Narrow" w:hAnsi="Arial Narrow"/>
                <w:sz w:val="20"/>
              </w:rPr>
            </w:pPr>
            <w:r>
              <w:rPr>
                <w:rFonts w:ascii="Arial Narrow" w:hAnsi="Arial Narrow"/>
                <w:sz w:val="20"/>
              </w:rPr>
              <w:t>5</w:t>
            </w:r>
          </w:p>
          <w:p w:rsidR="00B65B34" w:rsidRPr="00260CE3" w:rsidRDefault="00B65B34" w:rsidP="00B65B34">
            <w:pPr>
              <w:keepNext/>
              <w:ind w:left="-108"/>
              <w:rPr>
                <w:rFonts w:ascii="Arial Narrow" w:hAnsi="Arial Narrow"/>
                <w:sz w:val="20"/>
              </w:rPr>
            </w:pPr>
            <w:r>
              <w:rPr>
                <w:rFonts w:ascii="Arial Narrow" w:hAnsi="Arial Narrow"/>
                <w:sz w:val="20"/>
              </w:rPr>
              <w:t>5</w:t>
            </w:r>
          </w:p>
        </w:tc>
        <w:tc>
          <w:tcPr>
            <w:tcW w:w="1418"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Default="00B65B34" w:rsidP="00B65B34">
            <w:pPr>
              <w:keepNext/>
              <w:rPr>
                <w:rFonts w:ascii="Arial Narrow" w:hAnsi="Arial Narrow"/>
                <w:sz w:val="20"/>
              </w:rPr>
            </w:pPr>
            <w:r>
              <w:rPr>
                <w:rFonts w:ascii="Arial Narrow" w:hAnsi="Arial Narrow"/>
                <w:sz w:val="20"/>
              </w:rPr>
              <w:t>Jakavi®</w:t>
            </w:r>
          </w:p>
          <w:p w:rsidR="00B65B34" w:rsidRPr="00260CE3" w:rsidRDefault="00B65B34" w:rsidP="00B65B34">
            <w:pPr>
              <w:keepNext/>
              <w:rPr>
                <w:rFonts w:ascii="Arial Narrow" w:hAnsi="Arial Narrow"/>
                <w:sz w:val="20"/>
              </w:rPr>
            </w:pPr>
            <w:r>
              <w:rPr>
                <w:rFonts w:ascii="Arial Narrow" w:hAnsi="Arial Narrow"/>
                <w:sz w:val="20"/>
              </w:rPr>
              <w:t>Jakavi®</w:t>
            </w:r>
          </w:p>
        </w:tc>
        <w:tc>
          <w:tcPr>
            <w:tcW w:w="2126" w:type="dxa"/>
            <w:tcBorders>
              <w:bottom w:val="single" w:sz="4" w:space="0" w:color="auto"/>
            </w:tcBorders>
          </w:tcPr>
          <w:p w:rsidR="00B65B34" w:rsidRDefault="00B65B34" w:rsidP="00B65B34">
            <w:pPr>
              <w:keepNext/>
              <w:rPr>
                <w:rFonts w:ascii="Arial Narrow" w:hAnsi="Arial Narrow"/>
                <w:sz w:val="20"/>
              </w:rPr>
            </w:pP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Default="00B65B34" w:rsidP="00B65B34">
            <w:pPr>
              <w:keepNext/>
              <w:rPr>
                <w:rFonts w:ascii="Arial Narrow" w:hAnsi="Arial Narrow"/>
                <w:sz w:val="20"/>
              </w:rPr>
            </w:pPr>
            <w:r>
              <w:rPr>
                <w:rFonts w:ascii="Arial Narrow" w:hAnsi="Arial Narrow"/>
                <w:sz w:val="20"/>
              </w:rPr>
              <w:t>NM</w:t>
            </w:r>
          </w:p>
          <w:p w:rsidR="00B65B34" w:rsidRPr="00260CE3" w:rsidRDefault="00B65B34" w:rsidP="00B65B34">
            <w:pPr>
              <w:keepNext/>
              <w:rPr>
                <w:rFonts w:ascii="Arial Narrow" w:hAnsi="Arial Narrow"/>
                <w:sz w:val="20"/>
              </w:rPr>
            </w:pPr>
            <w:r>
              <w:rPr>
                <w:rFonts w:ascii="Arial Narrow" w:hAnsi="Arial Narrow"/>
                <w:sz w:val="20"/>
              </w:rPr>
              <w:t>NM</w:t>
            </w:r>
          </w:p>
        </w:tc>
      </w:tr>
      <w:tr w:rsidR="00B65B34" w:rsidRPr="00260CE3" w:rsidTr="00B65B34">
        <w:trPr>
          <w:cantSplit/>
          <w:trHeight w:val="360"/>
        </w:trPr>
        <w:tc>
          <w:tcPr>
            <w:tcW w:w="9214" w:type="dxa"/>
            <w:gridSpan w:val="6"/>
            <w:tcBorders>
              <w:bottom w:val="single" w:sz="4" w:space="0" w:color="auto"/>
            </w:tcBorders>
          </w:tcPr>
          <w:p w:rsidR="00B65B34" w:rsidRPr="00260CE3" w:rsidRDefault="00B65B34" w:rsidP="00B65B34">
            <w:pPr>
              <w:rPr>
                <w:rFonts w:ascii="Arial Narrow" w:hAnsi="Arial Narrow"/>
                <w:sz w:val="20"/>
              </w:rPr>
            </w:pP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 xml:space="preserve">Category / </w:t>
            </w:r>
          </w:p>
          <w:p w:rsidR="00B65B34" w:rsidRPr="00260CE3" w:rsidRDefault="00B65B34" w:rsidP="00B65B34">
            <w:pPr>
              <w:rPr>
                <w:rFonts w:ascii="Arial Narrow" w:hAnsi="Arial Narrow"/>
                <w:b/>
                <w:sz w:val="20"/>
              </w:rPr>
            </w:pPr>
            <w:r w:rsidRPr="00260CE3">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t>GENERAL – General Schedule (Code GE)</w:t>
            </w:r>
          </w:p>
          <w:p w:rsidR="00B65B34" w:rsidRPr="00260CE3" w:rsidRDefault="00B65B34" w:rsidP="00B65B34">
            <w:pPr>
              <w:rPr>
                <w:rFonts w:ascii="Arial Narrow" w:hAnsi="Arial Narrow"/>
                <w:sz w:val="20"/>
              </w:rPr>
            </w:pP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B65B34" w:rsidRPr="00260CE3" w:rsidRDefault="00B65B34" w:rsidP="00B65B34">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Episodicity: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Chronic</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High risk, Intermediate-2 risk and Intermediate-1 risk</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Myelofibrosis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E35D4E" w:rsidP="00B65B34">
            <w:pPr>
              <w:rPr>
                <w:rFonts w:ascii="Arial Narrow" w:hAnsi="Arial Narrow"/>
                <w:sz w:val="20"/>
              </w:rPr>
            </w:pPr>
            <w:r>
              <w:rPr>
                <w:rFonts w:ascii="Arial Narrow" w:hAnsi="Arial Narrow"/>
                <w:sz w:val="20"/>
              </w:rPr>
              <w:t>M</w:t>
            </w:r>
            <w:r w:rsidR="00B65B34">
              <w:rPr>
                <w:rFonts w:ascii="Arial Narrow" w:hAnsi="Arial Narrow"/>
                <w:sz w:val="20"/>
              </w:rPr>
              <w:t xml:space="preserve">yelofibrosis </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6C3A0F" w:rsidRDefault="00B65B34" w:rsidP="00B65B34">
            <w:pPr>
              <w:rPr>
                <w:rFonts w:ascii="Arial Narrow" w:hAnsi="Arial Narrow"/>
                <w:b/>
                <w:sz w:val="20"/>
              </w:rPr>
            </w:pPr>
            <w:r w:rsidRPr="00260CE3">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sz w:val="20"/>
              </w:rPr>
            </w:pPr>
            <w:r>
              <w:rPr>
                <w:rFonts w:ascii="Arial Narrow" w:hAnsi="Arial Narrow"/>
                <w:sz w:val="20"/>
              </w:rPr>
              <w:t>Grandfathered patients</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B65B34" w:rsidRDefault="00B65B34" w:rsidP="00B65B34">
            <w:pPr>
              <w:rPr>
                <w:rFonts w:ascii="Arial Narrow" w:hAnsi="Arial Narrow"/>
                <w:i/>
                <w:sz w:val="20"/>
                <w:highlight w:val="yellow"/>
              </w:rPr>
            </w:pPr>
          </w:p>
          <w:p w:rsidR="00B65B34" w:rsidRPr="00CD28F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106BCF" w:rsidRDefault="00B65B34" w:rsidP="00B65B34">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Restricted benefit</w:t>
            </w:r>
          </w:p>
          <w:p w:rsidR="00B65B34" w:rsidRPr="00106BCF" w:rsidRDefault="00660CAB" w:rsidP="00B65B34">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00B65B34" w:rsidRPr="00106BCF">
              <w:rPr>
                <w:rFonts w:ascii="Arial Narrow" w:hAnsi="Arial Narrow"/>
                <w:sz w:val="20"/>
              </w:rPr>
              <w:t>Authority Required - In Writing</w:t>
            </w:r>
          </w:p>
          <w:p w:rsidR="00B65B34" w:rsidRPr="00106BCF" w:rsidRDefault="00660CAB" w:rsidP="00B65B34">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Pr>
                <w:rFonts w:ascii="Arial Narrow" w:hAnsi="Arial Narrow"/>
                <w:sz w:val="20"/>
              </w:rPr>
              <w:fldChar w:fldCharType="end"/>
            </w:r>
            <w:r w:rsidR="00B65B34" w:rsidRPr="00106BCF">
              <w:rPr>
                <w:rFonts w:ascii="Arial Narrow" w:hAnsi="Arial Narrow"/>
                <w:sz w:val="20"/>
              </w:rPr>
              <w:t>Authority Required - Telephone</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B65B34" w:rsidRPr="00106BCF"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B65B34" w:rsidRPr="00260CE3" w:rsidRDefault="00B65B34" w:rsidP="00B65B34">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553009">
              <w:rPr>
                <w:rFonts w:ascii="Arial Narrow" w:hAnsi="Arial Narrow"/>
                <w:sz w:val="20"/>
              </w:rPr>
            </w:r>
            <w:r w:rsidR="00553009">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Clinical criteria:</w:t>
            </w:r>
          </w:p>
          <w:p w:rsidR="00B65B34" w:rsidRPr="00260CE3" w:rsidRDefault="00B65B34" w:rsidP="00B65B34">
            <w:pPr>
              <w:rPr>
                <w:rFonts w:ascii="Arial Narrow" w:hAnsi="Arial Narrow"/>
                <w:i/>
                <w:sz w:val="20"/>
              </w:rPr>
            </w:pPr>
          </w:p>
          <w:p w:rsidR="00B65B34" w:rsidRPr="00260CE3" w:rsidRDefault="00B65B34" w:rsidP="00B65B3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Pr="00CA7185" w:rsidRDefault="00B65B34" w:rsidP="00B65B34">
            <w:pPr>
              <w:rPr>
                <w:rFonts w:ascii="Arial Narrow" w:hAnsi="Arial Narrow"/>
                <w:sz w:val="20"/>
              </w:rPr>
            </w:pPr>
            <w:r w:rsidRPr="00CA7185">
              <w:rPr>
                <w:rFonts w:ascii="Arial Narrow" w:hAnsi="Arial Narrow"/>
                <w:sz w:val="20"/>
              </w:rPr>
              <w:t>The condition must be primary myelofibrosis or post-polycythemia vera myelofibros</w:t>
            </w:r>
            <w:r w:rsidR="00596537" w:rsidRPr="00CA7185">
              <w:rPr>
                <w:rFonts w:ascii="Arial Narrow" w:hAnsi="Arial Narrow"/>
                <w:sz w:val="20"/>
              </w:rPr>
              <w:t>is or post-essential thrombo</w:t>
            </w:r>
            <w:r w:rsidRPr="00CA7185">
              <w:rPr>
                <w:rFonts w:ascii="Arial Narrow" w:hAnsi="Arial Narrow"/>
                <w:sz w:val="20"/>
              </w:rPr>
              <w:t xml:space="preserve">cythemia myelofibrosis.  </w:t>
            </w:r>
          </w:p>
          <w:p w:rsidR="00B65B34" w:rsidRPr="00CA7185" w:rsidRDefault="00B65B34" w:rsidP="00B65B34">
            <w:pPr>
              <w:rPr>
                <w:rFonts w:ascii="Arial Narrow" w:hAnsi="Arial Narrow"/>
                <w:sz w:val="20"/>
              </w:rPr>
            </w:pPr>
          </w:p>
          <w:p w:rsidR="00B65B34" w:rsidRPr="00CA7185" w:rsidRDefault="00B65B34" w:rsidP="00B65B34">
            <w:pPr>
              <w:rPr>
                <w:rFonts w:ascii="Arial Narrow" w:hAnsi="Arial Narrow"/>
                <w:sz w:val="20"/>
              </w:rPr>
            </w:pPr>
            <w:r w:rsidRPr="00CA7185">
              <w:rPr>
                <w:rFonts w:ascii="Arial Narrow" w:hAnsi="Arial Narrow"/>
                <w:sz w:val="20"/>
              </w:rPr>
              <w:t>AND</w:t>
            </w:r>
          </w:p>
          <w:p w:rsidR="00B65B34" w:rsidRPr="00CA7185" w:rsidRDefault="00B65B34" w:rsidP="00B65B34">
            <w:pPr>
              <w:rPr>
                <w:rFonts w:ascii="Arial Narrow" w:hAnsi="Arial Narrow"/>
                <w:sz w:val="20"/>
              </w:rPr>
            </w:pPr>
          </w:p>
          <w:p w:rsidR="00B65B34" w:rsidRPr="00CA7185" w:rsidRDefault="00B65B34" w:rsidP="003C5940">
            <w:pPr>
              <w:rPr>
                <w:rFonts w:ascii="Arial Narrow" w:hAnsi="Arial Narrow"/>
                <w:sz w:val="20"/>
              </w:rPr>
            </w:pPr>
            <w:r w:rsidRPr="00CA7185">
              <w:rPr>
                <w:rFonts w:ascii="Arial Narrow" w:hAnsi="Arial Narrow"/>
                <w:sz w:val="20"/>
              </w:rPr>
              <w:t xml:space="preserve">Patient must have previously received non-PBS subsidised ruxolitinib for this condition prior to </w:t>
            </w:r>
            <w:r w:rsidR="00E35D4E" w:rsidRPr="00CA7185">
              <w:rPr>
                <w:rFonts w:ascii="Arial Narrow" w:hAnsi="Arial Narrow"/>
                <w:sz w:val="20"/>
              </w:rPr>
              <w:t>[</w:t>
            </w:r>
            <w:r w:rsidRPr="00CA7185">
              <w:rPr>
                <w:rFonts w:ascii="Arial Narrow" w:hAnsi="Arial Narrow"/>
                <w:sz w:val="20"/>
              </w:rPr>
              <w:t xml:space="preserve">listing date]. </w:t>
            </w:r>
          </w:p>
        </w:tc>
      </w:tr>
      <w:tr w:rsidR="00B65B34" w:rsidRPr="00260CE3" w:rsidTr="00B65B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B65B34" w:rsidRPr="00260CE3" w:rsidRDefault="00B65B34" w:rsidP="00B65B34">
            <w:pPr>
              <w:rPr>
                <w:rFonts w:ascii="Arial Narrow" w:hAnsi="Arial Narrow"/>
                <w:b/>
                <w:sz w:val="20"/>
              </w:rPr>
            </w:pPr>
            <w:r w:rsidRPr="00260CE3">
              <w:rPr>
                <w:rFonts w:ascii="Arial Narrow" w:hAnsi="Arial Narrow"/>
                <w:b/>
                <w:sz w:val="20"/>
              </w:rPr>
              <w:t>Administrative Advice</w:t>
            </w:r>
          </w:p>
          <w:p w:rsidR="00B65B34" w:rsidRPr="00260CE3" w:rsidRDefault="00B65B34" w:rsidP="00B65B34">
            <w:pPr>
              <w:rPr>
                <w:rFonts w:ascii="Arial Narrow" w:hAnsi="Arial Narrow"/>
                <w:i/>
                <w:sz w:val="20"/>
              </w:rPr>
            </w:pPr>
          </w:p>
          <w:p w:rsidR="00B65B34" w:rsidRPr="00260CE3" w:rsidRDefault="00B65B34" w:rsidP="00B65B3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B65B34" w:rsidRDefault="00B65B34" w:rsidP="00B65B34">
            <w:pPr>
              <w:rPr>
                <w:rFonts w:ascii="Arial Narrow" w:hAnsi="Arial Narrow"/>
                <w:sz w:val="20"/>
              </w:rPr>
            </w:pPr>
            <w:r>
              <w:rPr>
                <w:rFonts w:ascii="Arial Narrow" w:hAnsi="Arial Narrow"/>
                <w:sz w:val="20"/>
              </w:rPr>
              <w:t>Risk of myelofibrosis is defined in accordance with the Myelofibrosis Internation</w:t>
            </w:r>
            <w:r w:rsidR="00660CAB">
              <w:rPr>
                <w:rFonts w:ascii="Arial Narrow" w:hAnsi="Arial Narrow"/>
                <w:sz w:val="20"/>
              </w:rPr>
              <w:t>al</w:t>
            </w:r>
            <w:r>
              <w:rPr>
                <w:rFonts w:ascii="Arial Narrow" w:hAnsi="Arial Narrow"/>
                <w:sz w:val="20"/>
              </w:rPr>
              <w:t xml:space="preserve"> Prognostic Scoring System (IPSS) OR the Dynamic International Prognostic Scoring System (DIPSS) (or the Age Adjusted DIPSS).</w:t>
            </w:r>
          </w:p>
          <w:p w:rsidR="00B65B34" w:rsidRDefault="00B65B34" w:rsidP="00B65B34">
            <w:pPr>
              <w:rPr>
                <w:rFonts w:ascii="Arial Narrow" w:hAnsi="Arial Narrow"/>
                <w:sz w:val="20"/>
              </w:rPr>
            </w:pPr>
          </w:p>
          <w:p w:rsidR="00B65B34" w:rsidRDefault="00B65B34" w:rsidP="00B65B34">
            <w:pPr>
              <w:rPr>
                <w:rFonts w:ascii="Arial Narrow" w:hAnsi="Arial Narrow"/>
                <w:sz w:val="20"/>
              </w:rPr>
            </w:pPr>
            <w:r>
              <w:rPr>
                <w:rFonts w:ascii="Arial Narrow" w:hAnsi="Arial Narrow"/>
                <w:sz w:val="20"/>
              </w:rPr>
              <w:t xml:space="preserve">Note: </w:t>
            </w:r>
          </w:p>
          <w:p w:rsidR="00B65B34" w:rsidRPr="00260CE3" w:rsidRDefault="00B65B34" w:rsidP="00B65B34">
            <w:pPr>
              <w:rPr>
                <w:rFonts w:ascii="Arial Narrow" w:hAnsi="Arial Narrow"/>
                <w:sz w:val="20"/>
              </w:rPr>
            </w:pPr>
            <w:r>
              <w:rPr>
                <w:rFonts w:ascii="Arial Narrow" w:hAnsi="Arial Narrow"/>
                <w:sz w:val="20"/>
              </w:rPr>
              <w:t>No increase in the maximum quantity may be authorised.</w:t>
            </w:r>
          </w:p>
        </w:tc>
      </w:tr>
    </w:tbl>
    <w:p w:rsidR="00B65B34" w:rsidRPr="00003743" w:rsidRDefault="00B65B34" w:rsidP="00B65B34">
      <w:pPr>
        <w:rPr>
          <w:rStyle w:val="IntenseReference"/>
          <w:b w:val="0"/>
          <w:bCs w:val="0"/>
          <w:i w:val="0"/>
          <w:smallCaps w:val="0"/>
        </w:rPr>
      </w:pPr>
    </w:p>
    <w:p w:rsidR="0070407C" w:rsidRDefault="0070407C" w:rsidP="0070407C">
      <w:pPr>
        <w:widowControl/>
        <w:rPr>
          <w:szCs w:val="22"/>
        </w:rPr>
      </w:pPr>
    </w:p>
    <w:p w:rsidR="0070407C" w:rsidRPr="002D5F99" w:rsidRDefault="0070407C" w:rsidP="002D5F99">
      <w:pPr>
        <w:pStyle w:val="PBACheading1"/>
        <w:rPr>
          <w:rFonts w:eastAsia="SimSun"/>
          <w:b/>
        </w:rPr>
      </w:pPr>
      <w:r w:rsidRPr="002D5F99">
        <w:rPr>
          <w:rFonts w:eastAsia="SimSun"/>
          <w:b/>
        </w:rPr>
        <w:t>Context for Decision</w:t>
      </w:r>
    </w:p>
    <w:p w:rsidR="0070407C" w:rsidRPr="00AB7CDE" w:rsidRDefault="0070407C" w:rsidP="0070407C">
      <w:pPr>
        <w:ind w:left="720"/>
        <w:contextualSpacing/>
        <w:rPr>
          <w:rFonts w:eastAsia="SimSun"/>
          <w:b/>
        </w:rPr>
      </w:pPr>
    </w:p>
    <w:p w:rsidR="0070407C" w:rsidRPr="00AB7CDE" w:rsidRDefault="0070407C" w:rsidP="0070407C">
      <w:pPr>
        <w:ind w:left="720"/>
        <w:rPr>
          <w:rFonts w:eastAsia="SimSun"/>
          <w:bCs/>
          <w:szCs w:val="22"/>
        </w:rPr>
      </w:pPr>
      <w:r w:rsidRPr="00AB7CDE">
        <w:rPr>
          <w:rFonts w:eastAsia="SimSun"/>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0407C" w:rsidRDefault="0070407C" w:rsidP="0070407C">
      <w:pPr>
        <w:rPr>
          <w:rFonts w:eastAsia="SimSun"/>
        </w:rPr>
      </w:pPr>
    </w:p>
    <w:p w:rsidR="0070407C" w:rsidRPr="00AB7CDE" w:rsidRDefault="0070407C" w:rsidP="0070407C">
      <w:pPr>
        <w:numPr>
          <w:ilvl w:val="0"/>
          <w:numId w:val="1"/>
        </w:numPr>
        <w:rPr>
          <w:rFonts w:eastAsia="SimSun"/>
          <w:b/>
          <w:szCs w:val="22"/>
        </w:rPr>
      </w:pPr>
      <w:r w:rsidRPr="00AB7CDE">
        <w:rPr>
          <w:rFonts w:eastAsia="SimSun"/>
          <w:b/>
          <w:szCs w:val="22"/>
        </w:rPr>
        <w:lastRenderedPageBreak/>
        <w:t>Sponsor’s Comment</w:t>
      </w:r>
    </w:p>
    <w:p w:rsidR="0070407C" w:rsidRDefault="0070407C" w:rsidP="0070407C">
      <w:pPr>
        <w:rPr>
          <w:b/>
          <w:bCs/>
          <w:szCs w:val="22"/>
          <w:highlight w:val="yellow"/>
        </w:rPr>
      </w:pPr>
    </w:p>
    <w:p w:rsidR="00E63AAE" w:rsidRPr="002F72FC" w:rsidRDefault="002E18CD" w:rsidP="002F72FC">
      <w:pPr>
        <w:ind w:left="720"/>
        <w:jc w:val="left"/>
        <w:rPr>
          <w:b/>
          <w:bCs/>
          <w:szCs w:val="22"/>
          <w:highlight w:val="yellow"/>
        </w:rPr>
      </w:pPr>
      <w:r w:rsidRPr="0053473F">
        <w:rPr>
          <w:bCs/>
          <w:szCs w:val="22"/>
        </w:rPr>
        <w:t>The sponsor had no comment</w:t>
      </w:r>
      <w:r w:rsidR="0053473F">
        <w:rPr>
          <w:bCs/>
          <w:szCs w:val="22"/>
        </w:rPr>
        <w:t>.</w:t>
      </w:r>
      <w:r w:rsidRPr="0053473F">
        <w:t xml:space="preserve"> </w:t>
      </w:r>
    </w:p>
    <w:sectPr w:rsidR="00E63AAE" w:rsidRPr="002F72FC" w:rsidSect="009C6BA2">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E7" w:rsidRDefault="00023DE7" w:rsidP="00124A51">
      <w:r>
        <w:separator/>
      </w:r>
    </w:p>
  </w:endnote>
  <w:endnote w:type="continuationSeparator" w:id="0">
    <w:p w:rsidR="00023DE7" w:rsidRDefault="00023DE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42" w:rsidRDefault="008A1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42" w:rsidRPr="00651169" w:rsidRDefault="008A1442" w:rsidP="00272ED1">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553009">
      <w:rPr>
        <w:noProof/>
        <w:sz w:val="20"/>
      </w:rPr>
      <w:t>18</w:t>
    </w:r>
    <w:r w:rsidRPr="00651169">
      <w:rPr>
        <w:noProof/>
        <w:sz w:val="20"/>
      </w:rPr>
      <w:fldChar w:fldCharType="end"/>
    </w:r>
  </w:p>
  <w:p w:rsidR="008A1442" w:rsidRPr="005D26E7" w:rsidRDefault="008A1442" w:rsidP="005D2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42" w:rsidRDefault="008A1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E7" w:rsidRDefault="00023DE7" w:rsidP="00124A51">
      <w:r>
        <w:separator/>
      </w:r>
    </w:p>
  </w:footnote>
  <w:footnote w:type="continuationSeparator" w:id="0">
    <w:p w:rsidR="00023DE7" w:rsidRDefault="00023DE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42" w:rsidRDefault="008A1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42" w:rsidRPr="00DF217D" w:rsidRDefault="008A1442" w:rsidP="00272ED1">
    <w:pPr>
      <w:pStyle w:val="Header"/>
      <w:ind w:left="360"/>
      <w:jc w:val="center"/>
      <w:rPr>
        <w:i/>
        <w:color w:val="808080"/>
      </w:rPr>
    </w:pPr>
    <w:r w:rsidRPr="00E227F1">
      <w:rPr>
        <w:i/>
        <w:color w:val="808080"/>
      </w:rPr>
      <w:t>Public Summary Document</w:t>
    </w:r>
    <w:r>
      <w:rPr>
        <w:i/>
        <w:color w:val="808080"/>
      </w:rPr>
      <w:t xml:space="preserve">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8A1442" w:rsidRDefault="008A1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42" w:rsidRDefault="008A1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6BEA"/>
    <w:multiLevelType w:val="hybridMultilevel"/>
    <w:tmpl w:val="1FA6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F3187F"/>
    <w:multiLevelType w:val="hybridMultilevel"/>
    <w:tmpl w:val="CE9AA524"/>
    <w:lvl w:ilvl="0" w:tplc="23DC2E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A9118EF"/>
    <w:multiLevelType w:val="multilevel"/>
    <w:tmpl w:val="7D7C76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84D033C"/>
    <w:multiLevelType w:val="multilevel"/>
    <w:tmpl w:val="E1C605B4"/>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A1133A8"/>
    <w:multiLevelType w:val="hybridMultilevel"/>
    <w:tmpl w:val="04DE3AA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E20"/>
    <w:rsid w:val="0000110B"/>
    <w:rsid w:val="0000373E"/>
    <w:rsid w:val="00010DFC"/>
    <w:rsid w:val="00013247"/>
    <w:rsid w:val="00015886"/>
    <w:rsid w:val="000162EF"/>
    <w:rsid w:val="0002225F"/>
    <w:rsid w:val="00023283"/>
    <w:rsid w:val="00023763"/>
    <w:rsid w:val="00023DE7"/>
    <w:rsid w:val="00024492"/>
    <w:rsid w:val="00024EDC"/>
    <w:rsid w:val="000268B1"/>
    <w:rsid w:val="0003144D"/>
    <w:rsid w:val="00031852"/>
    <w:rsid w:val="0003370C"/>
    <w:rsid w:val="00034729"/>
    <w:rsid w:val="0003725E"/>
    <w:rsid w:val="00040895"/>
    <w:rsid w:val="00040F3E"/>
    <w:rsid w:val="0004231D"/>
    <w:rsid w:val="00042D66"/>
    <w:rsid w:val="00043C37"/>
    <w:rsid w:val="00043E2C"/>
    <w:rsid w:val="00051840"/>
    <w:rsid w:val="000538FA"/>
    <w:rsid w:val="000546D7"/>
    <w:rsid w:val="000578F8"/>
    <w:rsid w:val="00062F4E"/>
    <w:rsid w:val="000639E3"/>
    <w:rsid w:val="000643A0"/>
    <w:rsid w:val="00064CEA"/>
    <w:rsid w:val="00066B5E"/>
    <w:rsid w:val="00071248"/>
    <w:rsid w:val="000720B9"/>
    <w:rsid w:val="000742E5"/>
    <w:rsid w:val="00077342"/>
    <w:rsid w:val="000804C8"/>
    <w:rsid w:val="0008102E"/>
    <w:rsid w:val="000812CA"/>
    <w:rsid w:val="00090C7E"/>
    <w:rsid w:val="00091E08"/>
    <w:rsid w:val="00092156"/>
    <w:rsid w:val="0009430B"/>
    <w:rsid w:val="00094D38"/>
    <w:rsid w:val="00095F02"/>
    <w:rsid w:val="000A2291"/>
    <w:rsid w:val="000A31DD"/>
    <w:rsid w:val="000A587C"/>
    <w:rsid w:val="000A7F87"/>
    <w:rsid w:val="000B45F6"/>
    <w:rsid w:val="000C3A58"/>
    <w:rsid w:val="000C671F"/>
    <w:rsid w:val="000D1971"/>
    <w:rsid w:val="000D1BFC"/>
    <w:rsid w:val="000D2C24"/>
    <w:rsid w:val="000D374B"/>
    <w:rsid w:val="000E4D7C"/>
    <w:rsid w:val="000E5584"/>
    <w:rsid w:val="000E7887"/>
    <w:rsid w:val="000F211F"/>
    <w:rsid w:val="000F3A50"/>
    <w:rsid w:val="00100321"/>
    <w:rsid w:val="00100F8A"/>
    <w:rsid w:val="001035F2"/>
    <w:rsid w:val="0011032E"/>
    <w:rsid w:val="00113A6E"/>
    <w:rsid w:val="001161C7"/>
    <w:rsid w:val="00121799"/>
    <w:rsid w:val="001222FC"/>
    <w:rsid w:val="001226DB"/>
    <w:rsid w:val="001240C2"/>
    <w:rsid w:val="00124A51"/>
    <w:rsid w:val="001258AA"/>
    <w:rsid w:val="00126621"/>
    <w:rsid w:val="001301E9"/>
    <w:rsid w:val="00130EC9"/>
    <w:rsid w:val="001352A2"/>
    <w:rsid w:val="001352F5"/>
    <w:rsid w:val="00137555"/>
    <w:rsid w:val="00137645"/>
    <w:rsid w:val="0014015A"/>
    <w:rsid w:val="00140E08"/>
    <w:rsid w:val="00140E64"/>
    <w:rsid w:val="00140E99"/>
    <w:rsid w:val="001456B0"/>
    <w:rsid w:val="00145DCF"/>
    <w:rsid w:val="00150FA5"/>
    <w:rsid w:val="00152367"/>
    <w:rsid w:val="00152F61"/>
    <w:rsid w:val="00157130"/>
    <w:rsid w:val="00157755"/>
    <w:rsid w:val="00162913"/>
    <w:rsid w:val="00163EFF"/>
    <w:rsid w:val="001661FB"/>
    <w:rsid w:val="00167158"/>
    <w:rsid w:val="00181030"/>
    <w:rsid w:val="00182C24"/>
    <w:rsid w:val="001837EE"/>
    <w:rsid w:val="00184BD8"/>
    <w:rsid w:val="001867EA"/>
    <w:rsid w:val="00190715"/>
    <w:rsid w:val="00195222"/>
    <w:rsid w:val="001971A6"/>
    <w:rsid w:val="001975D8"/>
    <w:rsid w:val="001A176B"/>
    <w:rsid w:val="001A3245"/>
    <w:rsid w:val="001A5068"/>
    <w:rsid w:val="001A524C"/>
    <w:rsid w:val="001A5C10"/>
    <w:rsid w:val="001B1C5C"/>
    <w:rsid w:val="001B2D68"/>
    <w:rsid w:val="001B2F2A"/>
    <w:rsid w:val="001B3443"/>
    <w:rsid w:val="001B3AAC"/>
    <w:rsid w:val="001B3FA8"/>
    <w:rsid w:val="001B6188"/>
    <w:rsid w:val="001C1030"/>
    <w:rsid w:val="001C2E58"/>
    <w:rsid w:val="001C4A72"/>
    <w:rsid w:val="001C6E66"/>
    <w:rsid w:val="001D112E"/>
    <w:rsid w:val="001D19B9"/>
    <w:rsid w:val="001E238E"/>
    <w:rsid w:val="001E2B89"/>
    <w:rsid w:val="001E4208"/>
    <w:rsid w:val="001E52EB"/>
    <w:rsid w:val="001E63E4"/>
    <w:rsid w:val="001E740C"/>
    <w:rsid w:val="001F0CDF"/>
    <w:rsid w:val="001F1235"/>
    <w:rsid w:val="001F1CB3"/>
    <w:rsid w:val="001F495C"/>
    <w:rsid w:val="001F6D92"/>
    <w:rsid w:val="001F7361"/>
    <w:rsid w:val="002025FE"/>
    <w:rsid w:val="00206C31"/>
    <w:rsid w:val="002105C1"/>
    <w:rsid w:val="002124F7"/>
    <w:rsid w:val="00213896"/>
    <w:rsid w:val="002205F2"/>
    <w:rsid w:val="00220853"/>
    <w:rsid w:val="002215A7"/>
    <w:rsid w:val="00223AB9"/>
    <w:rsid w:val="00223B49"/>
    <w:rsid w:val="00224C94"/>
    <w:rsid w:val="00224D2C"/>
    <w:rsid w:val="00224DD4"/>
    <w:rsid w:val="0022513E"/>
    <w:rsid w:val="00226D6E"/>
    <w:rsid w:val="00227B04"/>
    <w:rsid w:val="002309CC"/>
    <w:rsid w:val="00233494"/>
    <w:rsid w:val="00233B83"/>
    <w:rsid w:val="00234A30"/>
    <w:rsid w:val="002367CA"/>
    <w:rsid w:val="00242C56"/>
    <w:rsid w:val="002468C3"/>
    <w:rsid w:val="00253758"/>
    <w:rsid w:val="0025534B"/>
    <w:rsid w:val="00255BB7"/>
    <w:rsid w:val="0025603B"/>
    <w:rsid w:val="002570C5"/>
    <w:rsid w:val="00261D83"/>
    <w:rsid w:val="00261F5E"/>
    <w:rsid w:val="00262A87"/>
    <w:rsid w:val="00266EBA"/>
    <w:rsid w:val="002725BF"/>
    <w:rsid w:val="00272ED1"/>
    <w:rsid w:val="00273295"/>
    <w:rsid w:val="00275A63"/>
    <w:rsid w:val="00275C5A"/>
    <w:rsid w:val="002776F4"/>
    <w:rsid w:val="00282968"/>
    <w:rsid w:val="00285B6F"/>
    <w:rsid w:val="00286D78"/>
    <w:rsid w:val="0029070F"/>
    <w:rsid w:val="00291D0E"/>
    <w:rsid w:val="00294366"/>
    <w:rsid w:val="00294F64"/>
    <w:rsid w:val="002A0C6E"/>
    <w:rsid w:val="002A14AB"/>
    <w:rsid w:val="002A4960"/>
    <w:rsid w:val="002A5E58"/>
    <w:rsid w:val="002A693C"/>
    <w:rsid w:val="002B1C1F"/>
    <w:rsid w:val="002B274B"/>
    <w:rsid w:val="002B3DF9"/>
    <w:rsid w:val="002B432F"/>
    <w:rsid w:val="002B47E3"/>
    <w:rsid w:val="002B6CCE"/>
    <w:rsid w:val="002C01F7"/>
    <w:rsid w:val="002C0C30"/>
    <w:rsid w:val="002C2339"/>
    <w:rsid w:val="002C27C1"/>
    <w:rsid w:val="002C6144"/>
    <w:rsid w:val="002C6B5A"/>
    <w:rsid w:val="002C782D"/>
    <w:rsid w:val="002D026C"/>
    <w:rsid w:val="002D480E"/>
    <w:rsid w:val="002D5F99"/>
    <w:rsid w:val="002E18C6"/>
    <w:rsid w:val="002E18CD"/>
    <w:rsid w:val="002E1F0E"/>
    <w:rsid w:val="002E2FF6"/>
    <w:rsid w:val="002F0796"/>
    <w:rsid w:val="002F27AF"/>
    <w:rsid w:val="002F4DB1"/>
    <w:rsid w:val="002F710A"/>
    <w:rsid w:val="002F72FC"/>
    <w:rsid w:val="002F7BE4"/>
    <w:rsid w:val="00301017"/>
    <w:rsid w:val="003039CB"/>
    <w:rsid w:val="00304754"/>
    <w:rsid w:val="0030647B"/>
    <w:rsid w:val="0030786C"/>
    <w:rsid w:val="0031031A"/>
    <w:rsid w:val="00310B24"/>
    <w:rsid w:val="00314C4C"/>
    <w:rsid w:val="00314E33"/>
    <w:rsid w:val="00315498"/>
    <w:rsid w:val="0031597E"/>
    <w:rsid w:val="003165E3"/>
    <w:rsid w:val="00316E06"/>
    <w:rsid w:val="003240FF"/>
    <w:rsid w:val="003247A8"/>
    <w:rsid w:val="00325FE2"/>
    <w:rsid w:val="0032723C"/>
    <w:rsid w:val="00327297"/>
    <w:rsid w:val="00327412"/>
    <w:rsid w:val="00327B47"/>
    <w:rsid w:val="0033287A"/>
    <w:rsid w:val="003344F4"/>
    <w:rsid w:val="003366C9"/>
    <w:rsid w:val="00336CC9"/>
    <w:rsid w:val="00336D47"/>
    <w:rsid w:val="0033724F"/>
    <w:rsid w:val="00341035"/>
    <w:rsid w:val="003415FB"/>
    <w:rsid w:val="0035055E"/>
    <w:rsid w:val="00354297"/>
    <w:rsid w:val="003544C1"/>
    <w:rsid w:val="00355331"/>
    <w:rsid w:val="0035620E"/>
    <w:rsid w:val="003567B5"/>
    <w:rsid w:val="003567BE"/>
    <w:rsid w:val="00357339"/>
    <w:rsid w:val="0036103A"/>
    <w:rsid w:val="00361EC0"/>
    <w:rsid w:val="00362B18"/>
    <w:rsid w:val="0036355F"/>
    <w:rsid w:val="00363848"/>
    <w:rsid w:val="00365CD5"/>
    <w:rsid w:val="00367C84"/>
    <w:rsid w:val="0037008D"/>
    <w:rsid w:val="0037345A"/>
    <w:rsid w:val="0037788A"/>
    <w:rsid w:val="00380C3E"/>
    <w:rsid w:val="00381A20"/>
    <w:rsid w:val="0038365C"/>
    <w:rsid w:val="0038586B"/>
    <w:rsid w:val="003877CE"/>
    <w:rsid w:val="003910BD"/>
    <w:rsid w:val="0039379D"/>
    <w:rsid w:val="00393F75"/>
    <w:rsid w:val="00394271"/>
    <w:rsid w:val="00396FD0"/>
    <w:rsid w:val="003A1A7A"/>
    <w:rsid w:val="003A2C74"/>
    <w:rsid w:val="003B2908"/>
    <w:rsid w:val="003B2D9C"/>
    <w:rsid w:val="003B3904"/>
    <w:rsid w:val="003B57A8"/>
    <w:rsid w:val="003B6F46"/>
    <w:rsid w:val="003B7CB8"/>
    <w:rsid w:val="003C18AB"/>
    <w:rsid w:val="003C5940"/>
    <w:rsid w:val="003C6C56"/>
    <w:rsid w:val="003C77D5"/>
    <w:rsid w:val="003D16F3"/>
    <w:rsid w:val="003D1828"/>
    <w:rsid w:val="003D2422"/>
    <w:rsid w:val="003D2CD7"/>
    <w:rsid w:val="003D34D8"/>
    <w:rsid w:val="003D64BB"/>
    <w:rsid w:val="003D7D01"/>
    <w:rsid w:val="003E2A0F"/>
    <w:rsid w:val="003E732D"/>
    <w:rsid w:val="003F0912"/>
    <w:rsid w:val="003F2AE1"/>
    <w:rsid w:val="003F2FE6"/>
    <w:rsid w:val="003F31C5"/>
    <w:rsid w:val="003F3DC2"/>
    <w:rsid w:val="003F4156"/>
    <w:rsid w:val="003F440E"/>
    <w:rsid w:val="003F4F94"/>
    <w:rsid w:val="003F6965"/>
    <w:rsid w:val="0040129A"/>
    <w:rsid w:val="00403427"/>
    <w:rsid w:val="00403F3D"/>
    <w:rsid w:val="00404B47"/>
    <w:rsid w:val="00405018"/>
    <w:rsid w:val="004102AF"/>
    <w:rsid w:val="00410EC7"/>
    <w:rsid w:val="0041173A"/>
    <w:rsid w:val="004117AD"/>
    <w:rsid w:val="00414476"/>
    <w:rsid w:val="004165AF"/>
    <w:rsid w:val="00420B9F"/>
    <w:rsid w:val="00420F9A"/>
    <w:rsid w:val="00421E50"/>
    <w:rsid w:val="00424091"/>
    <w:rsid w:val="00425CB2"/>
    <w:rsid w:val="00427E57"/>
    <w:rsid w:val="004319F8"/>
    <w:rsid w:val="00432EFB"/>
    <w:rsid w:val="00434A68"/>
    <w:rsid w:val="0043545F"/>
    <w:rsid w:val="00437E95"/>
    <w:rsid w:val="00443315"/>
    <w:rsid w:val="00443363"/>
    <w:rsid w:val="004443A7"/>
    <w:rsid w:val="00445011"/>
    <w:rsid w:val="0044612D"/>
    <w:rsid w:val="00446244"/>
    <w:rsid w:val="004464EB"/>
    <w:rsid w:val="004476C4"/>
    <w:rsid w:val="0045176B"/>
    <w:rsid w:val="00454400"/>
    <w:rsid w:val="0045463B"/>
    <w:rsid w:val="004558A7"/>
    <w:rsid w:val="00455D45"/>
    <w:rsid w:val="0046046B"/>
    <w:rsid w:val="0046117E"/>
    <w:rsid w:val="0046340F"/>
    <w:rsid w:val="004640FB"/>
    <w:rsid w:val="00464595"/>
    <w:rsid w:val="004652A4"/>
    <w:rsid w:val="004677FD"/>
    <w:rsid w:val="00470545"/>
    <w:rsid w:val="00472359"/>
    <w:rsid w:val="0047456A"/>
    <w:rsid w:val="00476BD7"/>
    <w:rsid w:val="00480E94"/>
    <w:rsid w:val="00480F23"/>
    <w:rsid w:val="00481D9C"/>
    <w:rsid w:val="004845F8"/>
    <w:rsid w:val="0048602D"/>
    <w:rsid w:val="00486713"/>
    <w:rsid w:val="004867E2"/>
    <w:rsid w:val="004910A2"/>
    <w:rsid w:val="0049192F"/>
    <w:rsid w:val="00491B3A"/>
    <w:rsid w:val="00492EA7"/>
    <w:rsid w:val="00497F10"/>
    <w:rsid w:val="004A0764"/>
    <w:rsid w:val="004A0DA1"/>
    <w:rsid w:val="004A210A"/>
    <w:rsid w:val="004A2530"/>
    <w:rsid w:val="004A4A54"/>
    <w:rsid w:val="004A6597"/>
    <w:rsid w:val="004A7338"/>
    <w:rsid w:val="004A7851"/>
    <w:rsid w:val="004A7A08"/>
    <w:rsid w:val="004B0CAD"/>
    <w:rsid w:val="004B20FC"/>
    <w:rsid w:val="004B2F18"/>
    <w:rsid w:val="004B2F68"/>
    <w:rsid w:val="004B3DDB"/>
    <w:rsid w:val="004B3EE9"/>
    <w:rsid w:val="004B44FD"/>
    <w:rsid w:val="004B5CFC"/>
    <w:rsid w:val="004C0B0D"/>
    <w:rsid w:val="004C4AED"/>
    <w:rsid w:val="004C7147"/>
    <w:rsid w:val="004C72F6"/>
    <w:rsid w:val="004D0853"/>
    <w:rsid w:val="004D64A8"/>
    <w:rsid w:val="004D6DDD"/>
    <w:rsid w:val="004E0EB8"/>
    <w:rsid w:val="004E2ADC"/>
    <w:rsid w:val="004E2E12"/>
    <w:rsid w:val="004F08FD"/>
    <w:rsid w:val="004F1D02"/>
    <w:rsid w:val="004F2679"/>
    <w:rsid w:val="004F48BA"/>
    <w:rsid w:val="004F696D"/>
    <w:rsid w:val="004F6A50"/>
    <w:rsid w:val="005045E0"/>
    <w:rsid w:val="00506E16"/>
    <w:rsid w:val="00507FEF"/>
    <w:rsid w:val="00511E84"/>
    <w:rsid w:val="00512CC1"/>
    <w:rsid w:val="005152B5"/>
    <w:rsid w:val="0051689C"/>
    <w:rsid w:val="005208EC"/>
    <w:rsid w:val="00520BF0"/>
    <w:rsid w:val="00520DB1"/>
    <w:rsid w:val="00521319"/>
    <w:rsid w:val="00521D86"/>
    <w:rsid w:val="00523C28"/>
    <w:rsid w:val="0052763D"/>
    <w:rsid w:val="005313CB"/>
    <w:rsid w:val="00533004"/>
    <w:rsid w:val="0053473F"/>
    <w:rsid w:val="0053572D"/>
    <w:rsid w:val="0053642C"/>
    <w:rsid w:val="00537E39"/>
    <w:rsid w:val="00540266"/>
    <w:rsid w:val="0054056D"/>
    <w:rsid w:val="005428BF"/>
    <w:rsid w:val="00543E15"/>
    <w:rsid w:val="0054492A"/>
    <w:rsid w:val="00545EB4"/>
    <w:rsid w:val="00550AD8"/>
    <w:rsid w:val="005528EE"/>
    <w:rsid w:val="00553009"/>
    <w:rsid w:val="00555109"/>
    <w:rsid w:val="00556C99"/>
    <w:rsid w:val="005604C1"/>
    <w:rsid w:val="0056115D"/>
    <w:rsid w:val="0056140F"/>
    <w:rsid w:val="0056276A"/>
    <w:rsid w:val="005638BC"/>
    <w:rsid w:val="00563E6B"/>
    <w:rsid w:val="0056696F"/>
    <w:rsid w:val="00567DA9"/>
    <w:rsid w:val="00574B14"/>
    <w:rsid w:val="005754A0"/>
    <w:rsid w:val="00576972"/>
    <w:rsid w:val="005776B8"/>
    <w:rsid w:val="00577717"/>
    <w:rsid w:val="005801E9"/>
    <w:rsid w:val="00580971"/>
    <w:rsid w:val="00582E83"/>
    <w:rsid w:val="00583699"/>
    <w:rsid w:val="00585880"/>
    <w:rsid w:val="00594CFF"/>
    <w:rsid w:val="00595614"/>
    <w:rsid w:val="00595DBE"/>
    <w:rsid w:val="00596537"/>
    <w:rsid w:val="005977BA"/>
    <w:rsid w:val="005A07A1"/>
    <w:rsid w:val="005A08E1"/>
    <w:rsid w:val="005A341B"/>
    <w:rsid w:val="005A58A8"/>
    <w:rsid w:val="005A5DC3"/>
    <w:rsid w:val="005B5857"/>
    <w:rsid w:val="005B66F4"/>
    <w:rsid w:val="005B6E2C"/>
    <w:rsid w:val="005C1B83"/>
    <w:rsid w:val="005C227F"/>
    <w:rsid w:val="005C2F8F"/>
    <w:rsid w:val="005C3022"/>
    <w:rsid w:val="005C346B"/>
    <w:rsid w:val="005C51F6"/>
    <w:rsid w:val="005C552E"/>
    <w:rsid w:val="005C6F59"/>
    <w:rsid w:val="005C75DB"/>
    <w:rsid w:val="005C78FB"/>
    <w:rsid w:val="005D18AD"/>
    <w:rsid w:val="005D26E7"/>
    <w:rsid w:val="005D2ADF"/>
    <w:rsid w:val="005D6C32"/>
    <w:rsid w:val="005D7E3E"/>
    <w:rsid w:val="005E649C"/>
    <w:rsid w:val="005F0B65"/>
    <w:rsid w:val="005F26F0"/>
    <w:rsid w:val="005F2706"/>
    <w:rsid w:val="005F3785"/>
    <w:rsid w:val="005F3BBD"/>
    <w:rsid w:val="005F48E8"/>
    <w:rsid w:val="005F66C5"/>
    <w:rsid w:val="005F6A8F"/>
    <w:rsid w:val="005F737B"/>
    <w:rsid w:val="0060053E"/>
    <w:rsid w:val="00601BE7"/>
    <w:rsid w:val="00605EAB"/>
    <w:rsid w:val="00607669"/>
    <w:rsid w:val="00610230"/>
    <w:rsid w:val="00612EEE"/>
    <w:rsid w:val="00612F97"/>
    <w:rsid w:val="00616802"/>
    <w:rsid w:val="00617E12"/>
    <w:rsid w:val="00621477"/>
    <w:rsid w:val="006233C2"/>
    <w:rsid w:val="006235B4"/>
    <w:rsid w:val="00623B56"/>
    <w:rsid w:val="0062541D"/>
    <w:rsid w:val="00626583"/>
    <w:rsid w:val="00631567"/>
    <w:rsid w:val="006315EE"/>
    <w:rsid w:val="00631635"/>
    <w:rsid w:val="00631D6B"/>
    <w:rsid w:val="006329A1"/>
    <w:rsid w:val="006346AB"/>
    <w:rsid w:val="0063479F"/>
    <w:rsid w:val="006364A1"/>
    <w:rsid w:val="00637BBF"/>
    <w:rsid w:val="00637BFD"/>
    <w:rsid w:val="00645496"/>
    <w:rsid w:val="006462C5"/>
    <w:rsid w:val="006465AE"/>
    <w:rsid w:val="006471CC"/>
    <w:rsid w:val="0065079F"/>
    <w:rsid w:val="00654950"/>
    <w:rsid w:val="00656BC1"/>
    <w:rsid w:val="00660CAB"/>
    <w:rsid w:val="0066299F"/>
    <w:rsid w:val="00663099"/>
    <w:rsid w:val="00664B1C"/>
    <w:rsid w:val="00674E42"/>
    <w:rsid w:val="00675DDF"/>
    <w:rsid w:val="00682112"/>
    <w:rsid w:val="00683223"/>
    <w:rsid w:val="00685877"/>
    <w:rsid w:val="006901B2"/>
    <w:rsid w:val="00692784"/>
    <w:rsid w:val="00694F44"/>
    <w:rsid w:val="00694F86"/>
    <w:rsid w:val="006A1CB9"/>
    <w:rsid w:val="006A3A7A"/>
    <w:rsid w:val="006A5EB3"/>
    <w:rsid w:val="006B19C0"/>
    <w:rsid w:val="006B2900"/>
    <w:rsid w:val="006B31B4"/>
    <w:rsid w:val="006B5F70"/>
    <w:rsid w:val="006B6C6F"/>
    <w:rsid w:val="006B7429"/>
    <w:rsid w:val="006C00EE"/>
    <w:rsid w:val="006C0D53"/>
    <w:rsid w:val="006C2A8E"/>
    <w:rsid w:val="006C3A86"/>
    <w:rsid w:val="006C589A"/>
    <w:rsid w:val="006C6B77"/>
    <w:rsid w:val="006C7C6C"/>
    <w:rsid w:val="006D3C7D"/>
    <w:rsid w:val="006D67AD"/>
    <w:rsid w:val="006D6C7A"/>
    <w:rsid w:val="006E3656"/>
    <w:rsid w:val="006E4A5D"/>
    <w:rsid w:val="006E584F"/>
    <w:rsid w:val="006E6A97"/>
    <w:rsid w:val="006F57ED"/>
    <w:rsid w:val="006F5CB7"/>
    <w:rsid w:val="006F62A4"/>
    <w:rsid w:val="006F63A5"/>
    <w:rsid w:val="006F7714"/>
    <w:rsid w:val="00700523"/>
    <w:rsid w:val="007008CF"/>
    <w:rsid w:val="0070276E"/>
    <w:rsid w:val="0070407C"/>
    <w:rsid w:val="00711A36"/>
    <w:rsid w:val="007121A4"/>
    <w:rsid w:val="00716BC4"/>
    <w:rsid w:val="00716C84"/>
    <w:rsid w:val="007172AD"/>
    <w:rsid w:val="007207B6"/>
    <w:rsid w:val="00721192"/>
    <w:rsid w:val="00721CE3"/>
    <w:rsid w:val="007265FB"/>
    <w:rsid w:val="00726ACD"/>
    <w:rsid w:val="00727223"/>
    <w:rsid w:val="00727E66"/>
    <w:rsid w:val="00733E35"/>
    <w:rsid w:val="00735328"/>
    <w:rsid w:val="0073685B"/>
    <w:rsid w:val="00737977"/>
    <w:rsid w:val="0074313C"/>
    <w:rsid w:val="007451A0"/>
    <w:rsid w:val="0074551B"/>
    <w:rsid w:val="007474AD"/>
    <w:rsid w:val="00747D66"/>
    <w:rsid w:val="0075777D"/>
    <w:rsid w:val="00760FFB"/>
    <w:rsid w:val="00763165"/>
    <w:rsid w:val="0076665D"/>
    <w:rsid w:val="007670EF"/>
    <w:rsid w:val="00771779"/>
    <w:rsid w:val="007756FA"/>
    <w:rsid w:val="00775ED2"/>
    <w:rsid w:val="00780021"/>
    <w:rsid w:val="0078226D"/>
    <w:rsid w:val="007827B9"/>
    <w:rsid w:val="00784AC3"/>
    <w:rsid w:val="00785D4A"/>
    <w:rsid w:val="00786BCB"/>
    <w:rsid w:val="007872DD"/>
    <w:rsid w:val="00787FE4"/>
    <w:rsid w:val="00790189"/>
    <w:rsid w:val="0079079F"/>
    <w:rsid w:val="00790FFC"/>
    <w:rsid w:val="00791953"/>
    <w:rsid w:val="00794557"/>
    <w:rsid w:val="00794EB4"/>
    <w:rsid w:val="0079532E"/>
    <w:rsid w:val="007A2F71"/>
    <w:rsid w:val="007A30D5"/>
    <w:rsid w:val="007A49A9"/>
    <w:rsid w:val="007A4D15"/>
    <w:rsid w:val="007B251D"/>
    <w:rsid w:val="007B2F78"/>
    <w:rsid w:val="007B3C8F"/>
    <w:rsid w:val="007B3F26"/>
    <w:rsid w:val="007B6439"/>
    <w:rsid w:val="007B77D1"/>
    <w:rsid w:val="007C57D1"/>
    <w:rsid w:val="007C6240"/>
    <w:rsid w:val="007D0B30"/>
    <w:rsid w:val="007D0B38"/>
    <w:rsid w:val="007D5F20"/>
    <w:rsid w:val="007D76CB"/>
    <w:rsid w:val="007E4639"/>
    <w:rsid w:val="007E578B"/>
    <w:rsid w:val="007E5C02"/>
    <w:rsid w:val="007F0F6C"/>
    <w:rsid w:val="007F1017"/>
    <w:rsid w:val="007F26CE"/>
    <w:rsid w:val="007F3A6B"/>
    <w:rsid w:val="007F3F4F"/>
    <w:rsid w:val="007F4A3F"/>
    <w:rsid w:val="007F5B33"/>
    <w:rsid w:val="00803861"/>
    <w:rsid w:val="00803E7A"/>
    <w:rsid w:val="00805142"/>
    <w:rsid w:val="00807A8B"/>
    <w:rsid w:val="00807C49"/>
    <w:rsid w:val="00812149"/>
    <w:rsid w:val="00814B17"/>
    <w:rsid w:val="00814B86"/>
    <w:rsid w:val="008161E6"/>
    <w:rsid w:val="008166EF"/>
    <w:rsid w:val="0082167F"/>
    <w:rsid w:val="008217BA"/>
    <w:rsid w:val="00822E83"/>
    <w:rsid w:val="00825331"/>
    <w:rsid w:val="00825950"/>
    <w:rsid w:val="008264EB"/>
    <w:rsid w:val="00827564"/>
    <w:rsid w:val="00831BB6"/>
    <w:rsid w:val="00831EA4"/>
    <w:rsid w:val="0083409E"/>
    <w:rsid w:val="00835BB4"/>
    <w:rsid w:val="00840CA2"/>
    <w:rsid w:val="00842DB8"/>
    <w:rsid w:val="0084475A"/>
    <w:rsid w:val="008448FB"/>
    <w:rsid w:val="008479A3"/>
    <w:rsid w:val="0085130E"/>
    <w:rsid w:val="00852536"/>
    <w:rsid w:val="00852889"/>
    <w:rsid w:val="00854517"/>
    <w:rsid w:val="00856581"/>
    <w:rsid w:val="00856E9A"/>
    <w:rsid w:val="0085708C"/>
    <w:rsid w:val="00862ECD"/>
    <w:rsid w:val="00864D2F"/>
    <w:rsid w:val="0087758E"/>
    <w:rsid w:val="00882874"/>
    <w:rsid w:val="00883787"/>
    <w:rsid w:val="00892B75"/>
    <w:rsid w:val="00894968"/>
    <w:rsid w:val="00894B66"/>
    <w:rsid w:val="00894C68"/>
    <w:rsid w:val="008963A5"/>
    <w:rsid w:val="008A1442"/>
    <w:rsid w:val="008A3C3E"/>
    <w:rsid w:val="008A5A6A"/>
    <w:rsid w:val="008A79DE"/>
    <w:rsid w:val="008B1F8C"/>
    <w:rsid w:val="008B2B12"/>
    <w:rsid w:val="008B3148"/>
    <w:rsid w:val="008B3B64"/>
    <w:rsid w:val="008B7D7E"/>
    <w:rsid w:val="008C3FFC"/>
    <w:rsid w:val="008C443C"/>
    <w:rsid w:val="008C5730"/>
    <w:rsid w:val="008C7966"/>
    <w:rsid w:val="008C7ECB"/>
    <w:rsid w:val="008D094B"/>
    <w:rsid w:val="008D1254"/>
    <w:rsid w:val="008D23EF"/>
    <w:rsid w:val="008D3AA5"/>
    <w:rsid w:val="008E1B9E"/>
    <w:rsid w:val="008E24BF"/>
    <w:rsid w:val="008E28D4"/>
    <w:rsid w:val="008E4A31"/>
    <w:rsid w:val="008E759B"/>
    <w:rsid w:val="008F1951"/>
    <w:rsid w:val="008F48EB"/>
    <w:rsid w:val="008F4F0B"/>
    <w:rsid w:val="008F52D9"/>
    <w:rsid w:val="009031E5"/>
    <w:rsid w:val="0090380D"/>
    <w:rsid w:val="009062A5"/>
    <w:rsid w:val="00906EAA"/>
    <w:rsid w:val="00911035"/>
    <w:rsid w:val="00911272"/>
    <w:rsid w:val="009137CA"/>
    <w:rsid w:val="0091734A"/>
    <w:rsid w:val="00922BBC"/>
    <w:rsid w:val="00925F95"/>
    <w:rsid w:val="00930559"/>
    <w:rsid w:val="0093180E"/>
    <w:rsid w:val="00931FE4"/>
    <w:rsid w:val="0093232E"/>
    <w:rsid w:val="00941799"/>
    <w:rsid w:val="00945AAA"/>
    <w:rsid w:val="0095042A"/>
    <w:rsid w:val="009510F9"/>
    <w:rsid w:val="00951FAD"/>
    <w:rsid w:val="009528C8"/>
    <w:rsid w:val="00953D16"/>
    <w:rsid w:val="0095470D"/>
    <w:rsid w:val="00957415"/>
    <w:rsid w:val="00957855"/>
    <w:rsid w:val="0096009F"/>
    <w:rsid w:val="0096042C"/>
    <w:rsid w:val="00961AF9"/>
    <w:rsid w:val="00962CB9"/>
    <w:rsid w:val="00964312"/>
    <w:rsid w:val="00965C8A"/>
    <w:rsid w:val="009679C3"/>
    <w:rsid w:val="0097114D"/>
    <w:rsid w:val="00974094"/>
    <w:rsid w:val="00975BC1"/>
    <w:rsid w:val="00975DC1"/>
    <w:rsid w:val="0098002F"/>
    <w:rsid w:val="0098317C"/>
    <w:rsid w:val="00983E57"/>
    <w:rsid w:val="00984A30"/>
    <w:rsid w:val="00984B94"/>
    <w:rsid w:val="00984F08"/>
    <w:rsid w:val="00985621"/>
    <w:rsid w:val="00990723"/>
    <w:rsid w:val="00992C70"/>
    <w:rsid w:val="00996B1A"/>
    <w:rsid w:val="009A08FD"/>
    <w:rsid w:val="009A0F28"/>
    <w:rsid w:val="009A3D87"/>
    <w:rsid w:val="009B2139"/>
    <w:rsid w:val="009B3E26"/>
    <w:rsid w:val="009B419A"/>
    <w:rsid w:val="009B4A70"/>
    <w:rsid w:val="009B5950"/>
    <w:rsid w:val="009B6E01"/>
    <w:rsid w:val="009C1656"/>
    <w:rsid w:val="009C2AC7"/>
    <w:rsid w:val="009C3B5C"/>
    <w:rsid w:val="009C6BA2"/>
    <w:rsid w:val="009D5B91"/>
    <w:rsid w:val="009D62B2"/>
    <w:rsid w:val="009E1E53"/>
    <w:rsid w:val="009E4C07"/>
    <w:rsid w:val="009E639C"/>
    <w:rsid w:val="009E7CEB"/>
    <w:rsid w:val="009F1EB2"/>
    <w:rsid w:val="009F3BC0"/>
    <w:rsid w:val="009F5C74"/>
    <w:rsid w:val="00A01457"/>
    <w:rsid w:val="00A0192E"/>
    <w:rsid w:val="00A03D43"/>
    <w:rsid w:val="00A04380"/>
    <w:rsid w:val="00A061CC"/>
    <w:rsid w:val="00A106CE"/>
    <w:rsid w:val="00A11A6E"/>
    <w:rsid w:val="00A13948"/>
    <w:rsid w:val="00A14136"/>
    <w:rsid w:val="00A21853"/>
    <w:rsid w:val="00A24991"/>
    <w:rsid w:val="00A25A11"/>
    <w:rsid w:val="00A27AEC"/>
    <w:rsid w:val="00A3024C"/>
    <w:rsid w:val="00A35D16"/>
    <w:rsid w:val="00A4329A"/>
    <w:rsid w:val="00A43C59"/>
    <w:rsid w:val="00A44442"/>
    <w:rsid w:val="00A50ECD"/>
    <w:rsid w:val="00A52729"/>
    <w:rsid w:val="00A53482"/>
    <w:rsid w:val="00A53675"/>
    <w:rsid w:val="00A56B6A"/>
    <w:rsid w:val="00A578DC"/>
    <w:rsid w:val="00A602DD"/>
    <w:rsid w:val="00A62CCD"/>
    <w:rsid w:val="00A6321A"/>
    <w:rsid w:val="00A638B9"/>
    <w:rsid w:val="00A63EFC"/>
    <w:rsid w:val="00A64629"/>
    <w:rsid w:val="00A64BF9"/>
    <w:rsid w:val="00A6725B"/>
    <w:rsid w:val="00A75047"/>
    <w:rsid w:val="00A81BA6"/>
    <w:rsid w:val="00A8211D"/>
    <w:rsid w:val="00A83EE7"/>
    <w:rsid w:val="00A840EF"/>
    <w:rsid w:val="00A86E8B"/>
    <w:rsid w:val="00A91B50"/>
    <w:rsid w:val="00A922BC"/>
    <w:rsid w:val="00A93072"/>
    <w:rsid w:val="00AA0A07"/>
    <w:rsid w:val="00AA2FD3"/>
    <w:rsid w:val="00AA45CA"/>
    <w:rsid w:val="00AA5B82"/>
    <w:rsid w:val="00AA77F4"/>
    <w:rsid w:val="00AB042A"/>
    <w:rsid w:val="00AB3260"/>
    <w:rsid w:val="00AB3430"/>
    <w:rsid w:val="00AB4B8F"/>
    <w:rsid w:val="00AB51B6"/>
    <w:rsid w:val="00AB6595"/>
    <w:rsid w:val="00AB7CFA"/>
    <w:rsid w:val="00AC2D0D"/>
    <w:rsid w:val="00AC40EE"/>
    <w:rsid w:val="00AC50A5"/>
    <w:rsid w:val="00AC72AC"/>
    <w:rsid w:val="00AE0F68"/>
    <w:rsid w:val="00AE13F9"/>
    <w:rsid w:val="00AE3AAB"/>
    <w:rsid w:val="00AE56A5"/>
    <w:rsid w:val="00AE793B"/>
    <w:rsid w:val="00AF1B23"/>
    <w:rsid w:val="00AF214D"/>
    <w:rsid w:val="00B01353"/>
    <w:rsid w:val="00B02D6A"/>
    <w:rsid w:val="00B050F5"/>
    <w:rsid w:val="00B069EF"/>
    <w:rsid w:val="00B0799C"/>
    <w:rsid w:val="00B10140"/>
    <w:rsid w:val="00B12930"/>
    <w:rsid w:val="00B216E4"/>
    <w:rsid w:val="00B21DBE"/>
    <w:rsid w:val="00B23302"/>
    <w:rsid w:val="00B247D2"/>
    <w:rsid w:val="00B3145B"/>
    <w:rsid w:val="00B34C73"/>
    <w:rsid w:val="00B40925"/>
    <w:rsid w:val="00B42851"/>
    <w:rsid w:val="00B4737C"/>
    <w:rsid w:val="00B511C3"/>
    <w:rsid w:val="00B52616"/>
    <w:rsid w:val="00B54B5B"/>
    <w:rsid w:val="00B553BF"/>
    <w:rsid w:val="00B5562E"/>
    <w:rsid w:val="00B56053"/>
    <w:rsid w:val="00B57000"/>
    <w:rsid w:val="00B608CF"/>
    <w:rsid w:val="00B60939"/>
    <w:rsid w:val="00B60AFD"/>
    <w:rsid w:val="00B62715"/>
    <w:rsid w:val="00B63551"/>
    <w:rsid w:val="00B63B95"/>
    <w:rsid w:val="00B652F8"/>
    <w:rsid w:val="00B656DD"/>
    <w:rsid w:val="00B65B34"/>
    <w:rsid w:val="00B676E2"/>
    <w:rsid w:val="00B77A3A"/>
    <w:rsid w:val="00B77FA4"/>
    <w:rsid w:val="00B818A4"/>
    <w:rsid w:val="00B83E57"/>
    <w:rsid w:val="00B85B9A"/>
    <w:rsid w:val="00B8649C"/>
    <w:rsid w:val="00B9254D"/>
    <w:rsid w:val="00B92D0B"/>
    <w:rsid w:val="00B94945"/>
    <w:rsid w:val="00BA1434"/>
    <w:rsid w:val="00BA3B13"/>
    <w:rsid w:val="00BA5664"/>
    <w:rsid w:val="00BB5F0D"/>
    <w:rsid w:val="00BB6F60"/>
    <w:rsid w:val="00BC0026"/>
    <w:rsid w:val="00BC066D"/>
    <w:rsid w:val="00BC4FAC"/>
    <w:rsid w:val="00BC76DF"/>
    <w:rsid w:val="00BD02F3"/>
    <w:rsid w:val="00BD3314"/>
    <w:rsid w:val="00BD4421"/>
    <w:rsid w:val="00BD6CD6"/>
    <w:rsid w:val="00BE16BE"/>
    <w:rsid w:val="00BE2180"/>
    <w:rsid w:val="00BE4275"/>
    <w:rsid w:val="00BE5EA1"/>
    <w:rsid w:val="00BF2005"/>
    <w:rsid w:val="00BF23ED"/>
    <w:rsid w:val="00BF2433"/>
    <w:rsid w:val="00BF2EB6"/>
    <w:rsid w:val="00BF348A"/>
    <w:rsid w:val="00BF61C9"/>
    <w:rsid w:val="00BF7473"/>
    <w:rsid w:val="00BF7823"/>
    <w:rsid w:val="00C042F2"/>
    <w:rsid w:val="00C04373"/>
    <w:rsid w:val="00C065D0"/>
    <w:rsid w:val="00C10553"/>
    <w:rsid w:val="00C12911"/>
    <w:rsid w:val="00C20607"/>
    <w:rsid w:val="00C217C7"/>
    <w:rsid w:val="00C25418"/>
    <w:rsid w:val="00C25D9C"/>
    <w:rsid w:val="00C31649"/>
    <w:rsid w:val="00C33E1F"/>
    <w:rsid w:val="00C346AA"/>
    <w:rsid w:val="00C34E09"/>
    <w:rsid w:val="00C40385"/>
    <w:rsid w:val="00C403EE"/>
    <w:rsid w:val="00C4582D"/>
    <w:rsid w:val="00C46957"/>
    <w:rsid w:val="00C53E17"/>
    <w:rsid w:val="00C54D50"/>
    <w:rsid w:val="00C5542A"/>
    <w:rsid w:val="00C569E4"/>
    <w:rsid w:val="00C609B3"/>
    <w:rsid w:val="00C612B4"/>
    <w:rsid w:val="00C61FD5"/>
    <w:rsid w:val="00C62A7C"/>
    <w:rsid w:val="00C63608"/>
    <w:rsid w:val="00C65576"/>
    <w:rsid w:val="00C66165"/>
    <w:rsid w:val="00C705A4"/>
    <w:rsid w:val="00C7463C"/>
    <w:rsid w:val="00C8213F"/>
    <w:rsid w:val="00C85D0B"/>
    <w:rsid w:val="00C8797A"/>
    <w:rsid w:val="00C90768"/>
    <w:rsid w:val="00C91094"/>
    <w:rsid w:val="00C92E90"/>
    <w:rsid w:val="00C93553"/>
    <w:rsid w:val="00C938CF"/>
    <w:rsid w:val="00C96EF5"/>
    <w:rsid w:val="00C97047"/>
    <w:rsid w:val="00CA1714"/>
    <w:rsid w:val="00CA2D0B"/>
    <w:rsid w:val="00CA4147"/>
    <w:rsid w:val="00CA5213"/>
    <w:rsid w:val="00CA5245"/>
    <w:rsid w:val="00CA5ABE"/>
    <w:rsid w:val="00CA61B8"/>
    <w:rsid w:val="00CA7185"/>
    <w:rsid w:val="00CA7A1C"/>
    <w:rsid w:val="00CA7B09"/>
    <w:rsid w:val="00CB2E93"/>
    <w:rsid w:val="00CB3FF6"/>
    <w:rsid w:val="00CB5B1A"/>
    <w:rsid w:val="00CC0AE5"/>
    <w:rsid w:val="00CC2048"/>
    <w:rsid w:val="00CC238E"/>
    <w:rsid w:val="00CC2802"/>
    <w:rsid w:val="00CC28B2"/>
    <w:rsid w:val="00CC2E70"/>
    <w:rsid w:val="00CC7E85"/>
    <w:rsid w:val="00CD5C10"/>
    <w:rsid w:val="00CD5CDC"/>
    <w:rsid w:val="00CD6ADC"/>
    <w:rsid w:val="00CE30A4"/>
    <w:rsid w:val="00CE51EA"/>
    <w:rsid w:val="00CE6274"/>
    <w:rsid w:val="00CF14FC"/>
    <w:rsid w:val="00CF2C2D"/>
    <w:rsid w:val="00CF31E5"/>
    <w:rsid w:val="00CF3AF4"/>
    <w:rsid w:val="00CF456B"/>
    <w:rsid w:val="00CF4BED"/>
    <w:rsid w:val="00CF50A4"/>
    <w:rsid w:val="00CF5A22"/>
    <w:rsid w:val="00CF75E9"/>
    <w:rsid w:val="00D0262E"/>
    <w:rsid w:val="00D0423D"/>
    <w:rsid w:val="00D046BA"/>
    <w:rsid w:val="00D04C42"/>
    <w:rsid w:val="00D05FA2"/>
    <w:rsid w:val="00D06FD4"/>
    <w:rsid w:val="00D110BD"/>
    <w:rsid w:val="00D113D8"/>
    <w:rsid w:val="00D12AF5"/>
    <w:rsid w:val="00D12F27"/>
    <w:rsid w:val="00D12F8F"/>
    <w:rsid w:val="00D14B2D"/>
    <w:rsid w:val="00D17D6C"/>
    <w:rsid w:val="00D2215F"/>
    <w:rsid w:val="00D24590"/>
    <w:rsid w:val="00D24ECD"/>
    <w:rsid w:val="00D25744"/>
    <w:rsid w:val="00D26909"/>
    <w:rsid w:val="00D31079"/>
    <w:rsid w:val="00D31794"/>
    <w:rsid w:val="00D341EE"/>
    <w:rsid w:val="00D35B15"/>
    <w:rsid w:val="00D37240"/>
    <w:rsid w:val="00D448D9"/>
    <w:rsid w:val="00D45B4B"/>
    <w:rsid w:val="00D472E9"/>
    <w:rsid w:val="00D50C65"/>
    <w:rsid w:val="00D51893"/>
    <w:rsid w:val="00D54865"/>
    <w:rsid w:val="00D54BEC"/>
    <w:rsid w:val="00D55BFB"/>
    <w:rsid w:val="00D56056"/>
    <w:rsid w:val="00D5702F"/>
    <w:rsid w:val="00D5797A"/>
    <w:rsid w:val="00D6407B"/>
    <w:rsid w:val="00D76568"/>
    <w:rsid w:val="00D76A44"/>
    <w:rsid w:val="00D810FD"/>
    <w:rsid w:val="00D813E2"/>
    <w:rsid w:val="00D81BCA"/>
    <w:rsid w:val="00D842D1"/>
    <w:rsid w:val="00D84944"/>
    <w:rsid w:val="00D909BE"/>
    <w:rsid w:val="00D92F52"/>
    <w:rsid w:val="00D93444"/>
    <w:rsid w:val="00D93753"/>
    <w:rsid w:val="00D942F9"/>
    <w:rsid w:val="00D965F8"/>
    <w:rsid w:val="00DA76DE"/>
    <w:rsid w:val="00DA77A5"/>
    <w:rsid w:val="00DA77FC"/>
    <w:rsid w:val="00DB0342"/>
    <w:rsid w:val="00DB2C64"/>
    <w:rsid w:val="00DB2CD3"/>
    <w:rsid w:val="00DB4467"/>
    <w:rsid w:val="00DB485E"/>
    <w:rsid w:val="00DB4CD0"/>
    <w:rsid w:val="00DB5B9C"/>
    <w:rsid w:val="00DC1EEA"/>
    <w:rsid w:val="00DC23CB"/>
    <w:rsid w:val="00DC5501"/>
    <w:rsid w:val="00DC6344"/>
    <w:rsid w:val="00DD0376"/>
    <w:rsid w:val="00DD2072"/>
    <w:rsid w:val="00DD3F28"/>
    <w:rsid w:val="00DD4537"/>
    <w:rsid w:val="00DD4E15"/>
    <w:rsid w:val="00DD555D"/>
    <w:rsid w:val="00DE3753"/>
    <w:rsid w:val="00DE4FCB"/>
    <w:rsid w:val="00DF5D8E"/>
    <w:rsid w:val="00DF6CDF"/>
    <w:rsid w:val="00E00940"/>
    <w:rsid w:val="00E063E1"/>
    <w:rsid w:val="00E069C8"/>
    <w:rsid w:val="00E076C5"/>
    <w:rsid w:val="00E10149"/>
    <w:rsid w:val="00E114F5"/>
    <w:rsid w:val="00E12EEF"/>
    <w:rsid w:val="00E16372"/>
    <w:rsid w:val="00E16EEE"/>
    <w:rsid w:val="00E172B0"/>
    <w:rsid w:val="00E20ED6"/>
    <w:rsid w:val="00E21358"/>
    <w:rsid w:val="00E2249B"/>
    <w:rsid w:val="00E225BD"/>
    <w:rsid w:val="00E2771E"/>
    <w:rsid w:val="00E32141"/>
    <w:rsid w:val="00E32D86"/>
    <w:rsid w:val="00E32F6C"/>
    <w:rsid w:val="00E35D4E"/>
    <w:rsid w:val="00E36344"/>
    <w:rsid w:val="00E37569"/>
    <w:rsid w:val="00E37DFB"/>
    <w:rsid w:val="00E41D8D"/>
    <w:rsid w:val="00E41E30"/>
    <w:rsid w:val="00E4230F"/>
    <w:rsid w:val="00E45614"/>
    <w:rsid w:val="00E45A50"/>
    <w:rsid w:val="00E461A3"/>
    <w:rsid w:val="00E4696F"/>
    <w:rsid w:val="00E469F4"/>
    <w:rsid w:val="00E47B2C"/>
    <w:rsid w:val="00E47E52"/>
    <w:rsid w:val="00E47E93"/>
    <w:rsid w:val="00E50D58"/>
    <w:rsid w:val="00E52B65"/>
    <w:rsid w:val="00E533F6"/>
    <w:rsid w:val="00E53BE1"/>
    <w:rsid w:val="00E55424"/>
    <w:rsid w:val="00E556E3"/>
    <w:rsid w:val="00E57B4E"/>
    <w:rsid w:val="00E63AAE"/>
    <w:rsid w:val="00E64058"/>
    <w:rsid w:val="00E64FFA"/>
    <w:rsid w:val="00E65E79"/>
    <w:rsid w:val="00E67416"/>
    <w:rsid w:val="00E70CAB"/>
    <w:rsid w:val="00E718B6"/>
    <w:rsid w:val="00E73581"/>
    <w:rsid w:val="00E7548C"/>
    <w:rsid w:val="00E83A8F"/>
    <w:rsid w:val="00E83BDF"/>
    <w:rsid w:val="00E8411D"/>
    <w:rsid w:val="00E860BB"/>
    <w:rsid w:val="00E872D3"/>
    <w:rsid w:val="00E91DEF"/>
    <w:rsid w:val="00EA146D"/>
    <w:rsid w:val="00EA3864"/>
    <w:rsid w:val="00EA3ABE"/>
    <w:rsid w:val="00EA46F2"/>
    <w:rsid w:val="00EA4F0E"/>
    <w:rsid w:val="00EA6423"/>
    <w:rsid w:val="00EB08F9"/>
    <w:rsid w:val="00EB4CB9"/>
    <w:rsid w:val="00EC00C9"/>
    <w:rsid w:val="00EC3932"/>
    <w:rsid w:val="00EE07D3"/>
    <w:rsid w:val="00EE2DFF"/>
    <w:rsid w:val="00EE5443"/>
    <w:rsid w:val="00EE5C3C"/>
    <w:rsid w:val="00EE7F50"/>
    <w:rsid w:val="00EF01B3"/>
    <w:rsid w:val="00EF155C"/>
    <w:rsid w:val="00EF4215"/>
    <w:rsid w:val="00EF599E"/>
    <w:rsid w:val="00F042C3"/>
    <w:rsid w:val="00F058C9"/>
    <w:rsid w:val="00F062DF"/>
    <w:rsid w:val="00F067A2"/>
    <w:rsid w:val="00F0772A"/>
    <w:rsid w:val="00F159BF"/>
    <w:rsid w:val="00F159E6"/>
    <w:rsid w:val="00F16622"/>
    <w:rsid w:val="00F20A48"/>
    <w:rsid w:val="00F22EDF"/>
    <w:rsid w:val="00F24837"/>
    <w:rsid w:val="00F24A36"/>
    <w:rsid w:val="00F24AF5"/>
    <w:rsid w:val="00F24BBE"/>
    <w:rsid w:val="00F251B8"/>
    <w:rsid w:val="00F2575F"/>
    <w:rsid w:val="00F27321"/>
    <w:rsid w:val="00F30F47"/>
    <w:rsid w:val="00F33753"/>
    <w:rsid w:val="00F338FF"/>
    <w:rsid w:val="00F33DE9"/>
    <w:rsid w:val="00F3619A"/>
    <w:rsid w:val="00F41A27"/>
    <w:rsid w:val="00F42C00"/>
    <w:rsid w:val="00F4395B"/>
    <w:rsid w:val="00F44D7D"/>
    <w:rsid w:val="00F4692C"/>
    <w:rsid w:val="00F469F2"/>
    <w:rsid w:val="00F46CB6"/>
    <w:rsid w:val="00F5128D"/>
    <w:rsid w:val="00F51D4D"/>
    <w:rsid w:val="00F52BBD"/>
    <w:rsid w:val="00F558B2"/>
    <w:rsid w:val="00F55E73"/>
    <w:rsid w:val="00F5674A"/>
    <w:rsid w:val="00F5787D"/>
    <w:rsid w:val="00F6008B"/>
    <w:rsid w:val="00F62774"/>
    <w:rsid w:val="00F62CC1"/>
    <w:rsid w:val="00F80E3E"/>
    <w:rsid w:val="00F80E5D"/>
    <w:rsid w:val="00F81D18"/>
    <w:rsid w:val="00F851CE"/>
    <w:rsid w:val="00F93B03"/>
    <w:rsid w:val="00F97A78"/>
    <w:rsid w:val="00FA02DA"/>
    <w:rsid w:val="00FA4E73"/>
    <w:rsid w:val="00FA7A3E"/>
    <w:rsid w:val="00FB2FCB"/>
    <w:rsid w:val="00FB33B4"/>
    <w:rsid w:val="00FB47ED"/>
    <w:rsid w:val="00FB6927"/>
    <w:rsid w:val="00FC1074"/>
    <w:rsid w:val="00FC1884"/>
    <w:rsid w:val="00FC2B96"/>
    <w:rsid w:val="00FC3E1F"/>
    <w:rsid w:val="00FC451E"/>
    <w:rsid w:val="00FC5EC3"/>
    <w:rsid w:val="00FC6CFD"/>
    <w:rsid w:val="00FC74AA"/>
    <w:rsid w:val="00FC7ED7"/>
    <w:rsid w:val="00FD0A0A"/>
    <w:rsid w:val="00FD2100"/>
    <w:rsid w:val="00FD2933"/>
    <w:rsid w:val="00FD446D"/>
    <w:rsid w:val="00FD5759"/>
    <w:rsid w:val="00FE0A91"/>
    <w:rsid w:val="00FE49EB"/>
    <w:rsid w:val="00FE4ECB"/>
    <w:rsid w:val="00FE70B2"/>
    <w:rsid w:val="00FF3DCF"/>
    <w:rsid w:val="00FF496B"/>
    <w:rsid w:val="00FF49FC"/>
    <w:rsid w:val="00FF5AA3"/>
    <w:rsid w:val="00FF7F9F"/>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IB Caption Char,Medical Caption Char1,Medical Caption Char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character" w:customStyle="1" w:styleId="ListParagraphChar">
    <w:name w:val="List Paragraph Char"/>
    <w:link w:val="ListParagraph"/>
    <w:uiPriority w:val="34"/>
    <w:rsid w:val="00DB4467"/>
    <w:rPr>
      <w:rFonts w:ascii="Arial" w:hAnsi="Arial" w:cs="Arial"/>
      <w:snapToGrid w:val="0"/>
      <w:sz w:val="22"/>
      <w:lang w:eastAsia="en-US"/>
    </w:rPr>
  </w:style>
  <w:style w:type="character" w:customStyle="1" w:styleId="TableText1">
    <w:name w:val="Table Text"/>
    <w:basedOn w:val="DefaultParagraphFont"/>
    <w:uiPriority w:val="4"/>
    <w:qFormat/>
    <w:rsid w:val="00780021"/>
    <w:rPr>
      <w:rFonts w:ascii="Arial Narrow" w:hAnsi="Arial Narrow"/>
      <w:sz w:val="20"/>
    </w:rPr>
  </w:style>
  <w:style w:type="paragraph" w:customStyle="1" w:styleId="TableLeft">
    <w:name w:val="Table Left"/>
    <w:basedOn w:val="Normal"/>
    <w:link w:val="TableLeftChar"/>
    <w:uiPriority w:val="5"/>
    <w:qFormat/>
    <w:rsid w:val="00780021"/>
    <w:pPr>
      <w:widowControl/>
      <w:spacing w:before="40" w:after="40"/>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locked/>
    <w:rsid w:val="00780021"/>
    <w:rPr>
      <w:rFonts w:ascii="Arial Narrow" w:eastAsiaTheme="majorEastAsia" w:hAnsi="Arial Narrow" w:cstheme="majorBidi"/>
      <w:szCs w:val="22"/>
      <w:lang w:eastAsia="en-US" w:bidi="en-US"/>
    </w:rPr>
  </w:style>
  <w:style w:type="paragraph" w:styleId="FootnoteText">
    <w:name w:val="footnote text"/>
    <w:basedOn w:val="Normal"/>
    <w:link w:val="FootnoteTextChar"/>
    <w:semiHidden/>
    <w:unhideWhenUsed/>
    <w:rsid w:val="00D12F27"/>
    <w:rPr>
      <w:sz w:val="20"/>
    </w:rPr>
  </w:style>
  <w:style w:type="character" w:customStyle="1" w:styleId="FootnoteTextChar">
    <w:name w:val="Footnote Text Char"/>
    <w:basedOn w:val="DefaultParagraphFont"/>
    <w:link w:val="FootnoteText"/>
    <w:semiHidden/>
    <w:rsid w:val="00D12F27"/>
    <w:rPr>
      <w:rFonts w:ascii="Arial" w:hAnsi="Arial" w:cs="Arial"/>
      <w:snapToGrid w:val="0"/>
      <w:lang w:eastAsia="en-US"/>
    </w:rPr>
  </w:style>
  <w:style w:type="character" w:styleId="FootnoteReference">
    <w:name w:val="footnote reference"/>
    <w:basedOn w:val="DefaultParagraphFont"/>
    <w:semiHidden/>
    <w:unhideWhenUsed/>
    <w:rsid w:val="00D12F27"/>
    <w:rPr>
      <w:vertAlign w:val="superscript"/>
    </w:rPr>
  </w:style>
  <w:style w:type="character" w:customStyle="1" w:styleId="url">
    <w:name w:val="url"/>
    <w:basedOn w:val="DefaultParagraphFont"/>
    <w:rsid w:val="00D12F27"/>
  </w:style>
  <w:style w:type="character" w:styleId="FollowedHyperlink">
    <w:name w:val="FollowedHyperlink"/>
    <w:basedOn w:val="DefaultParagraphFont"/>
    <w:semiHidden/>
    <w:unhideWhenUsed/>
    <w:rsid w:val="00D113D8"/>
    <w:rPr>
      <w:color w:val="800080" w:themeColor="followedHyperlink"/>
      <w:u w:val="single"/>
    </w:rPr>
  </w:style>
  <w:style w:type="paragraph" w:customStyle="1" w:styleId="TableNotes">
    <w:name w:val="Table Notes"/>
    <w:basedOn w:val="Normal"/>
    <w:link w:val="TableNotesChar"/>
    <w:uiPriority w:val="6"/>
    <w:qFormat/>
    <w:rsid w:val="0003370C"/>
    <w:pPr>
      <w:widowControl/>
      <w:spacing w:after="40" w:line="360" w:lineRule="auto"/>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03370C"/>
    <w:rPr>
      <w:rFonts w:ascii="Arial Narrow" w:eastAsiaTheme="majorEastAsia" w:hAnsi="Arial Narrow" w:cstheme="majorBidi"/>
      <w:sz w:val="16"/>
      <w:szCs w:val="22"/>
      <w:lang w:eastAsia="en-US" w:bidi="en-US"/>
    </w:rPr>
  </w:style>
  <w:style w:type="paragraph" w:customStyle="1" w:styleId="TableCentred">
    <w:name w:val="Table Centred"/>
    <w:basedOn w:val="Normal"/>
    <w:uiPriority w:val="5"/>
    <w:qFormat/>
    <w:rsid w:val="003F2AE1"/>
    <w:pPr>
      <w:widowControl/>
      <w:spacing w:line="360" w:lineRule="auto"/>
      <w:jc w:val="center"/>
    </w:pPr>
    <w:rPr>
      <w:rFonts w:ascii="Arial Narrow" w:eastAsiaTheme="majorEastAsia" w:hAnsi="Arial Narrow" w:cstheme="majorBidi"/>
      <w:snapToGrid/>
      <w:sz w:val="20"/>
      <w:szCs w:val="22"/>
      <w:lang w:bidi="en-US"/>
    </w:rPr>
  </w:style>
  <w:style w:type="character" w:customStyle="1" w:styleId="TableBold">
    <w:name w:val="Table Bold"/>
    <w:basedOn w:val="TableText1"/>
    <w:uiPriority w:val="4"/>
    <w:qFormat/>
    <w:rsid w:val="003F2AE1"/>
    <w:rPr>
      <w:rFonts w:ascii="Arial Narrow" w:hAnsi="Arial Narrow"/>
      <w:b/>
      <w:sz w:val="20"/>
      <w:lang w:val="en-AU"/>
    </w:rPr>
  </w:style>
  <w:style w:type="character" w:styleId="IntenseReference">
    <w:name w:val="Intense Reference"/>
    <w:basedOn w:val="DefaultParagraphFont"/>
    <w:uiPriority w:val="32"/>
    <w:qFormat/>
    <w:rsid w:val="00E52B65"/>
    <w:rPr>
      <w:b/>
      <w:bCs/>
      <w:i/>
      <w:smallCaps/>
      <w:color w:val="C0504D" w:themeColor="accent2"/>
      <w:spacing w:val="5"/>
      <w:u w:val="none"/>
    </w:rPr>
  </w:style>
  <w:style w:type="paragraph" w:customStyle="1" w:styleId="PBACHeading10">
    <w:name w:val="PBAC Heading 1"/>
    <w:qFormat/>
    <w:rsid w:val="0095042A"/>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IB Caption Char,Medical Caption Char1,Medical Caption Char Char,Caption Char1 Char Char Char,Caption Char Char Char Char Char1,Caption Char1 Char Char1,Caption Char Char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1"/>
      </w:numPr>
    </w:pPr>
    <w:rPr>
      <w:rFonts w:ascii="Arial" w:hAnsi="Arial" w:cs="Arial"/>
      <w:snapToGrid w:val="0"/>
      <w:sz w:val="22"/>
      <w:szCs w:val="22"/>
      <w:lang w:eastAsia="en-US"/>
    </w:rPr>
  </w:style>
  <w:style w:type="character" w:customStyle="1" w:styleId="ListParagraphChar">
    <w:name w:val="List Paragraph Char"/>
    <w:link w:val="ListParagraph"/>
    <w:uiPriority w:val="34"/>
    <w:rsid w:val="00DB4467"/>
    <w:rPr>
      <w:rFonts w:ascii="Arial" w:hAnsi="Arial" w:cs="Arial"/>
      <w:snapToGrid w:val="0"/>
      <w:sz w:val="22"/>
      <w:lang w:eastAsia="en-US"/>
    </w:rPr>
  </w:style>
  <w:style w:type="character" w:customStyle="1" w:styleId="TableText1">
    <w:name w:val="Table Text"/>
    <w:basedOn w:val="DefaultParagraphFont"/>
    <w:uiPriority w:val="4"/>
    <w:qFormat/>
    <w:rsid w:val="00780021"/>
    <w:rPr>
      <w:rFonts w:ascii="Arial Narrow" w:hAnsi="Arial Narrow"/>
      <w:sz w:val="20"/>
    </w:rPr>
  </w:style>
  <w:style w:type="paragraph" w:customStyle="1" w:styleId="TableLeft">
    <w:name w:val="Table Left"/>
    <w:basedOn w:val="Normal"/>
    <w:link w:val="TableLeftChar"/>
    <w:uiPriority w:val="5"/>
    <w:qFormat/>
    <w:rsid w:val="00780021"/>
    <w:pPr>
      <w:widowControl/>
      <w:spacing w:before="40" w:after="40"/>
      <w:jc w:val="left"/>
    </w:pPr>
    <w:rPr>
      <w:rFonts w:ascii="Arial Narrow" w:eastAsiaTheme="majorEastAsia" w:hAnsi="Arial Narrow" w:cstheme="majorBidi"/>
      <w:snapToGrid/>
      <w:sz w:val="20"/>
      <w:szCs w:val="22"/>
      <w:lang w:bidi="en-US"/>
    </w:rPr>
  </w:style>
  <w:style w:type="character" w:customStyle="1" w:styleId="TableLeftChar">
    <w:name w:val="Table Left Char"/>
    <w:basedOn w:val="DefaultParagraphFont"/>
    <w:link w:val="TableLeft"/>
    <w:uiPriority w:val="5"/>
    <w:locked/>
    <w:rsid w:val="00780021"/>
    <w:rPr>
      <w:rFonts w:ascii="Arial Narrow" w:eastAsiaTheme="majorEastAsia" w:hAnsi="Arial Narrow" w:cstheme="majorBidi"/>
      <w:szCs w:val="22"/>
      <w:lang w:eastAsia="en-US" w:bidi="en-US"/>
    </w:rPr>
  </w:style>
  <w:style w:type="paragraph" w:styleId="FootnoteText">
    <w:name w:val="footnote text"/>
    <w:basedOn w:val="Normal"/>
    <w:link w:val="FootnoteTextChar"/>
    <w:semiHidden/>
    <w:unhideWhenUsed/>
    <w:rsid w:val="00D12F27"/>
    <w:rPr>
      <w:sz w:val="20"/>
    </w:rPr>
  </w:style>
  <w:style w:type="character" w:customStyle="1" w:styleId="FootnoteTextChar">
    <w:name w:val="Footnote Text Char"/>
    <w:basedOn w:val="DefaultParagraphFont"/>
    <w:link w:val="FootnoteText"/>
    <w:semiHidden/>
    <w:rsid w:val="00D12F27"/>
    <w:rPr>
      <w:rFonts w:ascii="Arial" w:hAnsi="Arial" w:cs="Arial"/>
      <w:snapToGrid w:val="0"/>
      <w:lang w:eastAsia="en-US"/>
    </w:rPr>
  </w:style>
  <w:style w:type="character" w:styleId="FootnoteReference">
    <w:name w:val="footnote reference"/>
    <w:basedOn w:val="DefaultParagraphFont"/>
    <w:semiHidden/>
    <w:unhideWhenUsed/>
    <w:rsid w:val="00D12F27"/>
    <w:rPr>
      <w:vertAlign w:val="superscript"/>
    </w:rPr>
  </w:style>
  <w:style w:type="character" w:customStyle="1" w:styleId="url">
    <w:name w:val="url"/>
    <w:basedOn w:val="DefaultParagraphFont"/>
    <w:rsid w:val="00D12F27"/>
  </w:style>
  <w:style w:type="character" w:styleId="FollowedHyperlink">
    <w:name w:val="FollowedHyperlink"/>
    <w:basedOn w:val="DefaultParagraphFont"/>
    <w:semiHidden/>
    <w:unhideWhenUsed/>
    <w:rsid w:val="00D113D8"/>
    <w:rPr>
      <w:color w:val="800080" w:themeColor="followedHyperlink"/>
      <w:u w:val="single"/>
    </w:rPr>
  </w:style>
  <w:style w:type="paragraph" w:customStyle="1" w:styleId="TableNotes">
    <w:name w:val="Table Notes"/>
    <w:basedOn w:val="Normal"/>
    <w:link w:val="TableNotesChar"/>
    <w:uiPriority w:val="6"/>
    <w:qFormat/>
    <w:rsid w:val="0003370C"/>
    <w:pPr>
      <w:widowControl/>
      <w:spacing w:after="40" w:line="360" w:lineRule="auto"/>
    </w:pPr>
    <w:rPr>
      <w:rFonts w:ascii="Arial Narrow" w:eastAsiaTheme="majorEastAsia" w:hAnsi="Arial Narrow" w:cstheme="majorBidi"/>
      <w:snapToGrid/>
      <w:sz w:val="16"/>
      <w:szCs w:val="22"/>
      <w:lang w:bidi="en-US"/>
    </w:rPr>
  </w:style>
  <w:style w:type="character" w:customStyle="1" w:styleId="TableNotesChar">
    <w:name w:val="Table Notes Char"/>
    <w:basedOn w:val="DefaultParagraphFont"/>
    <w:link w:val="TableNotes"/>
    <w:uiPriority w:val="6"/>
    <w:rsid w:val="0003370C"/>
    <w:rPr>
      <w:rFonts w:ascii="Arial Narrow" w:eastAsiaTheme="majorEastAsia" w:hAnsi="Arial Narrow" w:cstheme="majorBidi"/>
      <w:sz w:val="16"/>
      <w:szCs w:val="22"/>
      <w:lang w:eastAsia="en-US" w:bidi="en-US"/>
    </w:rPr>
  </w:style>
  <w:style w:type="paragraph" w:customStyle="1" w:styleId="TableCentred">
    <w:name w:val="Table Centred"/>
    <w:basedOn w:val="Normal"/>
    <w:uiPriority w:val="5"/>
    <w:qFormat/>
    <w:rsid w:val="003F2AE1"/>
    <w:pPr>
      <w:widowControl/>
      <w:spacing w:line="360" w:lineRule="auto"/>
      <w:jc w:val="center"/>
    </w:pPr>
    <w:rPr>
      <w:rFonts w:ascii="Arial Narrow" w:eastAsiaTheme="majorEastAsia" w:hAnsi="Arial Narrow" w:cstheme="majorBidi"/>
      <w:snapToGrid/>
      <w:sz w:val="20"/>
      <w:szCs w:val="22"/>
      <w:lang w:bidi="en-US"/>
    </w:rPr>
  </w:style>
  <w:style w:type="character" w:customStyle="1" w:styleId="TableBold">
    <w:name w:val="Table Bold"/>
    <w:basedOn w:val="TableText1"/>
    <w:uiPriority w:val="4"/>
    <w:qFormat/>
    <w:rsid w:val="003F2AE1"/>
    <w:rPr>
      <w:rFonts w:ascii="Arial Narrow" w:hAnsi="Arial Narrow"/>
      <w:b/>
      <w:sz w:val="20"/>
      <w:lang w:val="en-AU"/>
    </w:rPr>
  </w:style>
  <w:style w:type="character" w:styleId="IntenseReference">
    <w:name w:val="Intense Reference"/>
    <w:basedOn w:val="DefaultParagraphFont"/>
    <w:uiPriority w:val="32"/>
    <w:qFormat/>
    <w:rsid w:val="00E52B65"/>
    <w:rPr>
      <w:b/>
      <w:bCs/>
      <w:i/>
      <w:smallCaps/>
      <w:color w:val="C0504D" w:themeColor="accent2"/>
      <w:spacing w:val="5"/>
      <w:u w:val="none"/>
    </w:rPr>
  </w:style>
  <w:style w:type="paragraph" w:customStyle="1" w:styleId="PBACHeading10">
    <w:name w:val="PBAC Heading 1"/>
    <w:qFormat/>
    <w:rsid w:val="0095042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7191">
      <w:bodyDiv w:val="1"/>
      <w:marLeft w:val="0"/>
      <w:marRight w:val="0"/>
      <w:marTop w:val="0"/>
      <w:marBottom w:val="0"/>
      <w:divBdr>
        <w:top w:val="none" w:sz="0" w:space="0" w:color="auto"/>
        <w:left w:val="none" w:sz="0" w:space="0" w:color="auto"/>
        <w:bottom w:val="none" w:sz="0" w:space="0" w:color="auto"/>
        <w:right w:val="none" w:sz="0" w:space="0" w:color="auto"/>
      </w:divBdr>
    </w:div>
    <w:div w:id="352808978">
      <w:bodyDiv w:val="1"/>
      <w:marLeft w:val="0"/>
      <w:marRight w:val="0"/>
      <w:marTop w:val="0"/>
      <w:marBottom w:val="0"/>
      <w:divBdr>
        <w:top w:val="none" w:sz="0" w:space="0" w:color="auto"/>
        <w:left w:val="none" w:sz="0" w:space="0" w:color="auto"/>
        <w:bottom w:val="none" w:sz="0" w:space="0" w:color="auto"/>
        <w:right w:val="none" w:sz="0" w:space="0" w:color="auto"/>
      </w:divBdr>
    </w:div>
    <w:div w:id="355544897">
      <w:bodyDiv w:val="1"/>
      <w:marLeft w:val="0"/>
      <w:marRight w:val="0"/>
      <w:marTop w:val="0"/>
      <w:marBottom w:val="0"/>
      <w:divBdr>
        <w:top w:val="none" w:sz="0" w:space="0" w:color="auto"/>
        <w:left w:val="none" w:sz="0" w:space="0" w:color="auto"/>
        <w:bottom w:val="none" w:sz="0" w:space="0" w:color="auto"/>
        <w:right w:val="none" w:sz="0" w:space="0" w:color="auto"/>
      </w:divBdr>
    </w:div>
    <w:div w:id="392705769">
      <w:bodyDiv w:val="1"/>
      <w:marLeft w:val="0"/>
      <w:marRight w:val="0"/>
      <w:marTop w:val="0"/>
      <w:marBottom w:val="0"/>
      <w:divBdr>
        <w:top w:val="none" w:sz="0" w:space="0" w:color="auto"/>
        <w:left w:val="none" w:sz="0" w:space="0" w:color="auto"/>
        <w:bottom w:val="none" w:sz="0" w:space="0" w:color="auto"/>
        <w:right w:val="none" w:sz="0" w:space="0" w:color="auto"/>
      </w:divBdr>
    </w:div>
    <w:div w:id="476268239">
      <w:bodyDiv w:val="1"/>
      <w:marLeft w:val="0"/>
      <w:marRight w:val="0"/>
      <w:marTop w:val="0"/>
      <w:marBottom w:val="0"/>
      <w:divBdr>
        <w:top w:val="none" w:sz="0" w:space="0" w:color="auto"/>
        <w:left w:val="none" w:sz="0" w:space="0" w:color="auto"/>
        <w:bottom w:val="none" w:sz="0" w:space="0" w:color="auto"/>
        <w:right w:val="none" w:sz="0" w:space="0" w:color="auto"/>
      </w:divBdr>
    </w:div>
    <w:div w:id="532041024">
      <w:bodyDiv w:val="1"/>
      <w:marLeft w:val="0"/>
      <w:marRight w:val="0"/>
      <w:marTop w:val="0"/>
      <w:marBottom w:val="0"/>
      <w:divBdr>
        <w:top w:val="none" w:sz="0" w:space="0" w:color="auto"/>
        <w:left w:val="none" w:sz="0" w:space="0" w:color="auto"/>
        <w:bottom w:val="none" w:sz="0" w:space="0" w:color="auto"/>
        <w:right w:val="none" w:sz="0" w:space="0" w:color="auto"/>
      </w:divBdr>
    </w:div>
    <w:div w:id="779494155">
      <w:bodyDiv w:val="1"/>
      <w:marLeft w:val="0"/>
      <w:marRight w:val="0"/>
      <w:marTop w:val="0"/>
      <w:marBottom w:val="0"/>
      <w:divBdr>
        <w:top w:val="none" w:sz="0" w:space="0" w:color="auto"/>
        <w:left w:val="none" w:sz="0" w:space="0" w:color="auto"/>
        <w:bottom w:val="none" w:sz="0" w:space="0" w:color="auto"/>
        <w:right w:val="none" w:sz="0" w:space="0" w:color="auto"/>
      </w:divBdr>
    </w:div>
    <w:div w:id="865943568">
      <w:bodyDiv w:val="1"/>
      <w:marLeft w:val="0"/>
      <w:marRight w:val="0"/>
      <w:marTop w:val="0"/>
      <w:marBottom w:val="0"/>
      <w:divBdr>
        <w:top w:val="none" w:sz="0" w:space="0" w:color="auto"/>
        <w:left w:val="none" w:sz="0" w:space="0" w:color="auto"/>
        <w:bottom w:val="none" w:sz="0" w:space="0" w:color="auto"/>
        <w:right w:val="none" w:sz="0" w:space="0" w:color="auto"/>
      </w:divBdr>
    </w:div>
    <w:div w:id="956839296">
      <w:bodyDiv w:val="1"/>
      <w:marLeft w:val="0"/>
      <w:marRight w:val="0"/>
      <w:marTop w:val="0"/>
      <w:marBottom w:val="0"/>
      <w:divBdr>
        <w:top w:val="none" w:sz="0" w:space="0" w:color="auto"/>
        <w:left w:val="none" w:sz="0" w:space="0" w:color="auto"/>
        <w:bottom w:val="none" w:sz="0" w:space="0" w:color="auto"/>
        <w:right w:val="none" w:sz="0" w:space="0" w:color="auto"/>
      </w:divBdr>
    </w:div>
    <w:div w:id="1148279198">
      <w:bodyDiv w:val="1"/>
      <w:marLeft w:val="0"/>
      <w:marRight w:val="0"/>
      <w:marTop w:val="0"/>
      <w:marBottom w:val="0"/>
      <w:divBdr>
        <w:top w:val="none" w:sz="0" w:space="0" w:color="auto"/>
        <w:left w:val="none" w:sz="0" w:space="0" w:color="auto"/>
        <w:bottom w:val="none" w:sz="0" w:space="0" w:color="auto"/>
        <w:right w:val="none" w:sz="0" w:space="0" w:color="auto"/>
      </w:divBdr>
    </w:div>
    <w:div w:id="1382055768">
      <w:bodyDiv w:val="1"/>
      <w:marLeft w:val="0"/>
      <w:marRight w:val="0"/>
      <w:marTop w:val="0"/>
      <w:marBottom w:val="0"/>
      <w:divBdr>
        <w:top w:val="none" w:sz="0" w:space="0" w:color="auto"/>
        <w:left w:val="none" w:sz="0" w:space="0" w:color="auto"/>
        <w:bottom w:val="none" w:sz="0" w:space="0" w:color="auto"/>
        <w:right w:val="none" w:sz="0" w:space="0" w:color="auto"/>
      </w:divBdr>
    </w:div>
    <w:div w:id="1558466630">
      <w:bodyDiv w:val="1"/>
      <w:marLeft w:val="0"/>
      <w:marRight w:val="0"/>
      <w:marTop w:val="0"/>
      <w:marBottom w:val="0"/>
      <w:divBdr>
        <w:top w:val="none" w:sz="0" w:space="0" w:color="auto"/>
        <w:left w:val="none" w:sz="0" w:space="0" w:color="auto"/>
        <w:bottom w:val="none" w:sz="0" w:space="0" w:color="auto"/>
        <w:right w:val="none" w:sz="0" w:space="0" w:color="auto"/>
      </w:divBdr>
    </w:div>
    <w:div w:id="1598976471">
      <w:bodyDiv w:val="1"/>
      <w:marLeft w:val="0"/>
      <w:marRight w:val="0"/>
      <w:marTop w:val="0"/>
      <w:marBottom w:val="0"/>
      <w:divBdr>
        <w:top w:val="none" w:sz="0" w:space="0" w:color="auto"/>
        <w:left w:val="none" w:sz="0" w:space="0" w:color="auto"/>
        <w:bottom w:val="none" w:sz="0" w:space="0" w:color="auto"/>
        <w:right w:val="none" w:sz="0" w:space="0" w:color="auto"/>
      </w:divBdr>
      <w:divsChild>
        <w:div w:id="2092578445">
          <w:marLeft w:val="806"/>
          <w:marRight w:val="0"/>
          <w:marTop w:val="115"/>
          <w:marBottom w:val="0"/>
          <w:divBdr>
            <w:top w:val="none" w:sz="0" w:space="0" w:color="auto"/>
            <w:left w:val="none" w:sz="0" w:space="0" w:color="auto"/>
            <w:bottom w:val="none" w:sz="0" w:space="0" w:color="auto"/>
            <w:right w:val="none" w:sz="0" w:space="0" w:color="auto"/>
          </w:divBdr>
        </w:div>
      </w:divsChild>
    </w:div>
    <w:div w:id="1663240587">
      <w:bodyDiv w:val="1"/>
      <w:marLeft w:val="0"/>
      <w:marRight w:val="0"/>
      <w:marTop w:val="0"/>
      <w:marBottom w:val="0"/>
      <w:divBdr>
        <w:top w:val="none" w:sz="0" w:space="0" w:color="auto"/>
        <w:left w:val="none" w:sz="0" w:space="0" w:color="auto"/>
        <w:bottom w:val="none" w:sz="0" w:space="0" w:color="auto"/>
        <w:right w:val="none" w:sz="0" w:space="0" w:color="auto"/>
      </w:divBdr>
    </w:div>
    <w:div w:id="1692099686">
      <w:bodyDiv w:val="1"/>
      <w:marLeft w:val="0"/>
      <w:marRight w:val="0"/>
      <w:marTop w:val="0"/>
      <w:marBottom w:val="0"/>
      <w:divBdr>
        <w:top w:val="none" w:sz="0" w:space="0" w:color="auto"/>
        <w:left w:val="none" w:sz="0" w:space="0" w:color="auto"/>
        <w:bottom w:val="none" w:sz="0" w:space="0" w:color="auto"/>
        <w:right w:val="none" w:sz="0" w:space="0" w:color="auto"/>
      </w:divBdr>
    </w:div>
    <w:div w:id="1717509880">
      <w:bodyDiv w:val="1"/>
      <w:marLeft w:val="0"/>
      <w:marRight w:val="0"/>
      <w:marTop w:val="0"/>
      <w:marBottom w:val="0"/>
      <w:divBdr>
        <w:top w:val="none" w:sz="0" w:space="0" w:color="auto"/>
        <w:left w:val="none" w:sz="0" w:space="0" w:color="auto"/>
        <w:bottom w:val="none" w:sz="0" w:space="0" w:color="auto"/>
        <w:right w:val="none" w:sz="0" w:space="0" w:color="auto"/>
      </w:divBdr>
    </w:div>
    <w:div w:id="1876581715">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02855416">
      <w:bodyDiv w:val="1"/>
      <w:marLeft w:val="0"/>
      <w:marRight w:val="0"/>
      <w:marTop w:val="0"/>
      <w:marBottom w:val="0"/>
      <w:divBdr>
        <w:top w:val="none" w:sz="0" w:space="0" w:color="auto"/>
        <w:left w:val="none" w:sz="0" w:space="0" w:color="auto"/>
        <w:bottom w:val="none" w:sz="0" w:space="0" w:color="auto"/>
        <w:right w:val="none" w:sz="0" w:space="0" w:color="auto"/>
      </w:divBdr>
    </w:div>
    <w:div w:id="2016224996">
      <w:bodyDiv w:val="1"/>
      <w:marLeft w:val="0"/>
      <w:marRight w:val="0"/>
      <w:marTop w:val="0"/>
      <w:marBottom w:val="0"/>
      <w:divBdr>
        <w:top w:val="none" w:sz="0" w:space="0" w:color="auto"/>
        <w:left w:val="none" w:sz="0" w:space="0" w:color="auto"/>
        <w:bottom w:val="none" w:sz="0" w:space="0" w:color="auto"/>
        <w:right w:val="none" w:sz="0" w:space="0" w:color="auto"/>
      </w:divBdr>
    </w:div>
    <w:div w:id="20379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Kar07</b:Tag>
    <b:SourceType>JournalArticle</b:SourceType>
    <b:Guid>{05954821-4F7C-4910-9CB6-A6FC44F55B93}</b:Guid>
    <b:Author>
      <b:Author>
        <b:NameList>
          <b:Person>
            <b:Last>Kardaminidis K</b:Last>
            <b:First>Lim</b:First>
            <b:Middle>K, Da Cunha C, Taylor LK &amp; Jorm LR</b:Middle>
          </b:Person>
        </b:NameList>
      </b:Author>
    </b:Author>
    <b:Title>Hospital costs of older people in New South Wales in the last year of life</b:Title>
    <b:Year>2007</b:Year>
    <b:JournalName>Medical Journal of Australia</b:JournalName>
    <b:Pages>187:383–386</b:Pages>
    <b:RefOrder>1</b:RefOrder>
  </b:Source>
</b:Sources>
</file>

<file path=customXml/itemProps1.xml><?xml version="1.0" encoding="utf-8"?>
<ds:datastoreItem xmlns:ds="http://schemas.openxmlformats.org/officeDocument/2006/customXml" ds:itemID="{2AE9383F-15FD-4EBD-A0E2-38349837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8410</Words>
  <Characters>47939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Public Summary Document – March 2015 PBAC Meeting - Item 4.1 ruxolitinib</vt:lpstr>
    </vt:vector>
  </TitlesOfParts>
  <LinksUpToDate>false</LinksUpToDate>
  <CharactersWithSpaces>56237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March 2015 PBAC Meeting - Item 4.1 ruxolitinib</dc:title>
  <dc:creator/>
  <cp:lastModifiedBy/>
  <cp:revision>1</cp:revision>
  <dcterms:created xsi:type="dcterms:W3CDTF">2015-06-29T06:28:00Z</dcterms:created>
  <dcterms:modified xsi:type="dcterms:W3CDTF">2015-06-30T01:50:00Z</dcterms:modified>
</cp:coreProperties>
</file>