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1F" w:rsidRPr="00E007C5" w:rsidRDefault="00D13C3A" w:rsidP="00E007C5">
      <w:pPr>
        <w:pStyle w:val="Title"/>
      </w:pPr>
      <w:bookmarkStart w:id="0" w:name="_Toc409605599"/>
      <w:r w:rsidRPr="00E007C5">
        <w:t>5.22</w:t>
      </w:r>
      <w:r w:rsidR="00B60939" w:rsidRPr="00E007C5">
        <w:tab/>
      </w:r>
      <w:r w:rsidR="00EB6865" w:rsidRPr="00E007C5">
        <w:t>SECUKINUMAB</w:t>
      </w:r>
      <w:r w:rsidR="00B60939" w:rsidRPr="00E007C5">
        <w:t xml:space="preserve"> </w:t>
      </w:r>
    </w:p>
    <w:p w:rsidR="002D5E2C" w:rsidRDefault="00EB6865" w:rsidP="00792E1F">
      <w:pPr>
        <w:pStyle w:val="Heading1"/>
        <w:ind w:firstLine="0"/>
        <w:rPr>
          <w:caps w:val="0"/>
          <w:sz w:val="28"/>
        </w:rPr>
      </w:pPr>
      <w:r>
        <w:rPr>
          <w:caps w:val="0"/>
          <w:sz w:val="28"/>
        </w:rPr>
        <w:t>powder for injection, 150</w:t>
      </w:r>
      <w:r w:rsidR="002D5E2C">
        <w:rPr>
          <w:caps w:val="0"/>
          <w:sz w:val="28"/>
        </w:rPr>
        <w:t xml:space="preserve"> </w:t>
      </w:r>
      <w:r>
        <w:rPr>
          <w:caps w:val="0"/>
          <w:sz w:val="28"/>
        </w:rPr>
        <w:t>mg</w:t>
      </w:r>
      <w:r w:rsidR="002D5E2C">
        <w:rPr>
          <w:caps w:val="0"/>
          <w:sz w:val="28"/>
        </w:rPr>
        <w:t>,</w:t>
      </w:r>
      <w:r>
        <w:rPr>
          <w:caps w:val="0"/>
          <w:sz w:val="28"/>
        </w:rPr>
        <w:t xml:space="preserve"> </w:t>
      </w:r>
    </w:p>
    <w:p w:rsidR="00792E1F" w:rsidRDefault="002D5E2C" w:rsidP="00792E1F">
      <w:pPr>
        <w:pStyle w:val="Heading1"/>
        <w:ind w:firstLine="0"/>
        <w:rPr>
          <w:sz w:val="28"/>
        </w:rPr>
      </w:pPr>
      <w:r w:rsidRPr="002D5E2C">
        <w:rPr>
          <w:caps w:val="0"/>
          <w:sz w:val="28"/>
        </w:rPr>
        <w:t xml:space="preserve">pre-filled syringe, </w:t>
      </w:r>
      <w:r w:rsidR="00EB6865">
        <w:rPr>
          <w:caps w:val="0"/>
          <w:sz w:val="28"/>
        </w:rPr>
        <w:t>150</w:t>
      </w:r>
      <w:r w:rsidR="00792E1F">
        <w:rPr>
          <w:caps w:val="0"/>
          <w:sz w:val="28"/>
        </w:rPr>
        <w:t xml:space="preserve"> </w:t>
      </w:r>
      <w:r w:rsidR="00EB6865">
        <w:rPr>
          <w:caps w:val="0"/>
          <w:sz w:val="28"/>
        </w:rPr>
        <w:t>mg/mL</w:t>
      </w:r>
      <w:r w:rsidR="00B60939" w:rsidRPr="00207D00">
        <w:rPr>
          <w:sz w:val="28"/>
        </w:rPr>
        <w:t xml:space="preserve">, </w:t>
      </w:r>
      <w:r>
        <w:rPr>
          <w:caps w:val="0"/>
          <w:sz w:val="28"/>
        </w:rPr>
        <w:t>and</w:t>
      </w:r>
    </w:p>
    <w:p w:rsidR="002D5E2C" w:rsidRPr="002D5E2C" w:rsidRDefault="002D5E2C" w:rsidP="002D5E2C">
      <w:pPr>
        <w:rPr>
          <w:b/>
          <w:sz w:val="28"/>
          <w:szCs w:val="28"/>
        </w:rPr>
      </w:pPr>
      <w:r>
        <w:tab/>
      </w:r>
      <w:r w:rsidRPr="002D5E2C">
        <w:rPr>
          <w:b/>
          <w:sz w:val="28"/>
          <w:szCs w:val="28"/>
        </w:rPr>
        <w:t>pre-filled pen</w:t>
      </w:r>
      <w:r>
        <w:rPr>
          <w:b/>
          <w:sz w:val="28"/>
          <w:szCs w:val="28"/>
        </w:rPr>
        <w:t>,</w:t>
      </w:r>
      <w:r w:rsidRPr="002D5E2C">
        <w:rPr>
          <w:b/>
          <w:sz w:val="28"/>
          <w:szCs w:val="28"/>
        </w:rPr>
        <w:t xml:space="preserve"> 150 mg/mL</w:t>
      </w:r>
      <w:r w:rsidR="00E007C5">
        <w:rPr>
          <w:b/>
          <w:sz w:val="28"/>
          <w:szCs w:val="28"/>
        </w:rPr>
        <w:t>;</w:t>
      </w:r>
    </w:p>
    <w:p w:rsidR="00B60939" w:rsidRPr="00207D00" w:rsidRDefault="00EB6865" w:rsidP="00076903">
      <w:pPr>
        <w:pStyle w:val="Heading1"/>
        <w:ind w:firstLine="0"/>
        <w:rPr>
          <w:sz w:val="28"/>
        </w:rPr>
      </w:pPr>
      <w:r>
        <w:rPr>
          <w:caps w:val="0"/>
          <w:sz w:val="28"/>
        </w:rPr>
        <w:t>Cosentyx</w:t>
      </w:r>
      <w:r w:rsidR="00B60939" w:rsidRPr="00207D00">
        <w:rPr>
          <w:sz w:val="28"/>
          <w:vertAlign w:val="superscript"/>
        </w:rPr>
        <w:t>®</w:t>
      </w:r>
      <w:r w:rsidR="00E007C5">
        <w:rPr>
          <w:sz w:val="28"/>
        </w:rPr>
        <w:t>;</w:t>
      </w:r>
      <w:r w:rsidR="00B60939" w:rsidRPr="00207D00">
        <w:rPr>
          <w:sz w:val="28"/>
        </w:rPr>
        <w:t xml:space="preserve"> </w:t>
      </w:r>
      <w:r>
        <w:rPr>
          <w:caps w:val="0"/>
          <w:sz w:val="28"/>
        </w:rPr>
        <w:t>Novartis</w:t>
      </w:r>
      <w:bookmarkEnd w:id="0"/>
      <w:r w:rsidR="00792E1F">
        <w:rPr>
          <w:sz w:val="28"/>
        </w:rPr>
        <w:t xml:space="preserve"> </w:t>
      </w:r>
      <w:r w:rsidR="00792E1F">
        <w:rPr>
          <w:caps w:val="0"/>
          <w:sz w:val="28"/>
        </w:rPr>
        <w:t>Pharmaceuticals Australia Pty Ltd</w:t>
      </w:r>
    </w:p>
    <w:p w:rsidR="00433044" w:rsidRDefault="00433044" w:rsidP="00433044"/>
    <w:p w:rsidR="00B60939" w:rsidRDefault="00B60939" w:rsidP="00207D00"/>
    <w:p w:rsidR="00B50DB8" w:rsidRPr="00407F2D" w:rsidRDefault="00B50DB8" w:rsidP="00BD6CF3">
      <w:pPr>
        <w:pStyle w:val="PBACHeading1"/>
      </w:pPr>
      <w:bookmarkStart w:id="1" w:name="_Toc409605601"/>
      <w:r w:rsidRPr="00407F2D">
        <w:t>Purpose of Application</w:t>
      </w:r>
      <w:bookmarkEnd w:id="1"/>
    </w:p>
    <w:p w:rsidR="00B60939" w:rsidRPr="00882085" w:rsidRDefault="00B60939" w:rsidP="00B60939">
      <w:pPr>
        <w:rPr>
          <w:szCs w:val="22"/>
        </w:rPr>
      </w:pPr>
    </w:p>
    <w:p w:rsidR="002C2775" w:rsidRPr="00B50DB8" w:rsidRDefault="00283BCD" w:rsidP="000F360B">
      <w:pPr>
        <w:pStyle w:val="ListParagraph"/>
        <w:widowControl/>
        <w:numPr>
          <w:ilvl w:val="1"/>
          <w:numId w:val="7"/>
        </w:numPr>
        <w:rPr>
          <w:szCs w:val="22"/>
        </w:rPr>
      </w:pPr>
      <w:r>
        <w:t>The major submission s</w:t>
      </w:r>
      <w:r w:rsidR="002E2D29">
        <w:t>ought</w:t>
      </w:r>
      <w:r>
        <w:t xml:space="preserve"> a General Schedule </w:t>
      </w:r>
      <w:r w:rsidR="00B14542">
        <w:t>Authority Required</w:t>
      </w:r>
      <w:r w:rsidR="001E238E" w:rsidRPr="004B3DDB">
        <w:t xml:space="preserve"> listing for </w:t>
      </w:r>
      <w:r>
        <w:t>the</w:t>
      </w:r>
      <w:r w:rsidR="001E238E" w:rsidRPr="004B3DDB">
        <w:t xml:space="preserve"> treatment of </w:t>
      </w:r>
      <w:r w:rsidR="00C45A4E">
        <w:t xml:space="preserve">severe </w:t>
      </w:r>
      <w:r w:rsidR="00B14542">
        <w:t xml:space="preserve">chronic plaque psoriasis which is </w:t>
      </w:r>
      <w:r w:rsidR="00C45A4E">
        <w:t>refractory to treatment with non</w:t>
      </w:r>
      <w:r w:rsidR="000F360B">
        <w:t>-</w:t>
      </w:r>
      <w:r w:rsidR="00C45A4E">
        <w:t>biological disease modifying anti rheumatic drugs (DMARDs)</w:t>
      </w:r>
      <w:r>
        <w:t xml:space="preserve"> in patients meeting certain criteria</w:t>
      </w:r>
      <w:r w:rsidR="001E238E" w:rsidRPr="004B3DDB">
        <w:t>.</w:t>
      </w:r>
    </w:p>
    <w:p w:rsidR="004E43B2" w:rsidRDefault="004E43B2" w:rsidP="004B1CB4"/>
    <w:p w:rsidR="0075393D" w:rsidRPr="00882085" w:rsidRDefault="0075393D" w:rsidP="004B1CB4"/>
    <w:p w:rsidR="00B50DB8" w:rsidRPr="00407F2D" w:rsidRDefault="00B50DB8" w:rsidP="00BD6CF3">
      <w:pPr>
        <w:pStyle w:val="PBACHeading1"/>
      </w:pPr>
      <w:bookmarkStart w:id="2" w:name="_Toc409605602"/>
      <w:r w:rsidRPr="00407F2D">
        <w:t>Requested listing</w:t>
      </w:r>
      <w:bookmarkEnd w:id="2"/>
    </w:p>
    <w:p w:rsidR="00B60939" w:rsidRPr="00882085" w:rsidRDefault="00B60939" w:rsidP="004B1CB4"/>
    <w:p w:rsidR="00617E12" w:rsidRPr="00F464A0" w:rsidRDefault="0004262B" w:rsidP="00617E12">
      <w:pPr>
        <w:pStyle w:val="ListParagraph"/>
        <w:widowControl/>
        <w:numPr>
          <w:ilvl w:val="1"/>
          <w:numId w:val="7"/>
        </w:numPr>
      </w:pPr>
      <w:r w:rsidRPr="00F464A0">
        <w:rPr>
          <w:szCs w:val="22"/>
        </w:rPr>
        <w:t>The request</w:t>
      </w:r>
      <w:r w:rsidR="00EB6865" w:rsidRPr="00F464A0">
        <w:rPr>
          <w:szCs w:val="22"/>
        </w:rPr>
        <w:t>ed</w:t>
      </w:r>
      <w:r w:rsidR="002E2D29">
        <w:rPr>
          <w:szCs w:val="22"/>
        </w:rPr>
        <w:t xml:space="preserve"> listing wa</w:t>
      </w:r>
      <w:r w:rsidRPr="00F464A0">
        <w:rPr>
          <w:szCs w:val="22"/>
        </w:rPr>
        <w:t xml:space="preserve">s similar to that of ustekinumab (and other bDMARDs including </w:t>
      </w:r>
      <w:r w:rsidR="00CA7EBA" w:rsidRPr="00F464A0">
        <w:rPr>
          <w:szCs w:val="22"/>
        </w:rPr>
        <w:t>adalimumab</w:t>
      </w:r>
      <w:r w:rsidRPr="00F464A0">
        <w:rPr>
          <w:szCs w:val="22"/>
        </w:rPr>
        <w:t xml:space="preserve">, etanercept and infliximab) currently </w:t>
      </w:r>
      <w:r w:rsidR="002E2D29">
        <w:rPr>
          <w:szCs w:val="22"/>
        </w:rPr>
        <w:t xml:space="preserve">PBS </w:t>
      </w:r>
      <w:r w:rsidRPr="00F464A0">
        <w:rPr>
          <w:szCs w:val="22"/>
        </w:rPr>
        <w:t xml:space="preserve">listed for </w:t>
      </w:r>
      <w:r w:rsidR="002E2D29">
        <w:rPr>
          <w:szCs w:val="22"/>
        </w:rPr>
        <w:t xml:space="preserve">the </w:t>
      </w:r>
      <w:r w:rsidRPr="00F464A0">
        <w:rPr>
          <w:szCs w:val="22"/>
        </w:rPr>
        <w:t>treatment of severe chronic plaque psoriasis</w:t>
      </w:r>
      <w:r w:rsidR="00596D6B" w:rsidRPr="00F464A0">
        <w:rPr>
          <w:szCs w:val="22"/>
        </w:rPr>
        <w:t xml:space="preserve">. </w:t>
      </w:r>
      <w:r w:rsidR="00283BCD" w:rsidRPr="00F464A0">
        <w:rPr>
          <w:szCs w:val="22"/>
        </w:rPr>
        <w:t>An abbreviated version is shown below</w:t>
      </w:r>
      <w:r w:rsidR="00F464A0" w:rsidRPr="00F464A0">
        <w:rPr>
          <w:szCs w:val="22"/>
        </w:rPr>
        <w:t>:</w:t>
      </w:r>
      <w:r w:rsidR="00283BCD" w:rsidRPr="00F464A0">
        <w:rPr>
          <w:szCs w:val="22"/>
        </w:rPr>
        <w:t xml:space="preserve"> </w:t>
      </w:r>
    </w:p>
    <w:p w:rsidR="00F464A0" w:rsidRPr="007C609A" w:rsidRDefault="00F464A0" w:rsidP="00F464A0">
      <w:pPr>
        <w:pStyle w:val="ListParagraph"/>
        <w:widowControl/>
      </w:pPr>
    </w:p>
    <w:tbl>
      <w:tblPr>
        <w:tblW w:w="4575" w:type="pct"/>
        <w:tblInd w:w="737" w:type="dxa"/>
        <w:tblLayout w:type="fixed"/>
        <w:tblCellMar>
          <w:left w:w="28" w:type="dxa"/>
          <w:right w:w="28" w:type="dxa"/>
        </w:tblCellMar>
        <w:tblLook w:val="0000" w:firstRow="0" w:lastRow="0" w:firstColumn="0" w:lastColumn="0" w:noHBand="0" w:noVBand="0"/>
      </w:tblPr>
      <w:tblGrid>
        <w:gridCol w:w="1632"/>
        <w:gridCol w:w="1331"/>
        <w:gridCol w:w="846"/>
        <w:gridCol w:w="936"/>
        <w:gridCol w:w="595"/>
        <w:gridCol w:w="1039"/>
        <w:gridCol w:w="989"/>
        <w:gridCol w:w="942"/>
      </w:tblGrid>
      <w:tr w:rsidR="00093081" w:rsidRPr="00A939CD" w:rsidTr="00093081">
        <w:trPr>
          <w:cantSplit/>
          <w:trHeight w:val="471"/>
        </w:trPr>
        <w:tc>
          <w:tcPr>
            <w:tcW w:w="1783" w:type="pct"/>
            <w:gridSpan w:val="2"/>
            <w:tcBorders>
              <w:bottom w:val="single" w:sz="4" w:space="0" w:color="auto"/>
            </w:tcBorders>
            <w:vAlign w:val="center"/>
          </w:tcPr>
          <w:p w:rsidR="00C45A4E" w:rsidRPr="008B14B3" w:rsidRDefault="00C45A4E" w:rsidP="006307C1">
            <w:pPr>
              <w:keepNext/>
              <w:jc w:val="left"/>
              <w:rPr>
                <w:rFonts w:ascii="Arial Narrow" w:hAnsi="Arial Narrow"/>
                <w:sz w:val="20"/>
              </w:rPr>
            </w:pPr>
            <w:r w:rsidRPr="008B14B3">
              <w:rPr>
                <w:rFonts w:ascii="Arial Narrow" w:hAnsi="Arial Narrow"/>
                <w:sz w:val="20"/>
              </w:rPr>
              <w:t>Name, Restriction,</w:t>
            </w:r>
          </w:p>
          <w:p w:rsidR="00C45A4E" w:rsidRPr="008B14B3" w:rsidRDefault="00C45A4E" w:rsidP="006307C1">
            <w:pPr>
              <w:keepNext/>
              <w:jc w:val="left"/>
              <w:rPr>
                <w:rFonts w:ascii="Arial Narrow" w:hAnsi="Arial Narrow"/>
                <w:sz w:val="20"/>
              </w:rPr>
            </w:pPr>
            <w:r w:rsidRPr="008B14B3">
              <w:rPr>
                <w:rFonts w:ascii="Arial Narrow" w:hAnsi="Arial Narrow"/>
                <w:sz w:val="20"/>
              </w:rPr>
              <w:t>Manner of administration and form</w:t>
            </w:r>
          </w:p>
        </w:tc>
        <w:tc>
          <w:tcPr>
            <w:tcW w:w="509" w:type="pct"/>
            <w:tcBorders>
              <w:bottom w:val="single" w:sz="4" w:space="0" w:color="auto"/>
            </w:tcBorders>
            <w:vAlign w:val="center"/>
          </w:tcPr>
          <w:p w:rsidR="00C45A4E" w:rsidRPr="008B14B3" w:rsidRDefault="00C45A4E" w:rsidP="006307C1">
            <w:pPr>
              <w:keepNext/>
              <w:jc w:val="center"/>
              <w:rPr>
                <w:rFonts w:ascii="Arial Narrow" w:hAnsi="Arial Narrow"/>
                <w:sz w:val="20"/>
              </w:rPr>
            </w:pPr>
            <w:r w:rsidRPr="008B14B3">
              <w:rPr>
                <w:rFonts w:ascii="Arial Narrow" w:hAnsi="Arial Narrow"/>
                <w:sz w:val="20"/>
              </w:rPr>
              <w:t>Max Qty packs</w:t>
            </w:r>
          </w:p>
        </w:tc>
        <w:tc>
          <w:tcPr>
            <w:tcW w:w="563" w:type="pct"/>
            <w:tcBorders>
              <w:bottom w:val="single" w:sz="4" w:space="0" w:color="auto"/>
            </w:tcBorders>
            <w:vAlign w:val="center"/>
          </w:tcPr>
          <w:p w:rsidR="00C45A4E" w:rsidRPr="008B14B3" w:rsidRDefault="00C45A4E" w:rsidP="006307C1">
            <w:pPr>
              <w:keepNext/>
              <w:jc w:val="center"/>
              <w:rPr>
                <w:rFonts w:ascii="Arial Narrow" w:hAnsi="Arial Narrow"/>
                <w:sz w:val="20"/>
              </w:rPr>
            </w:pPr>
            <w:r w:rsidRPr="008B14B3">
              <w:rPr>
                <w:rFonts w:ascii="Arial Narrow" w:hAnsi="Arial Narrow"/>
                <w:sz w:val="20"/>
              </w:rPr>
              <w:t>Max Qty units</w:t>
            </w:r>
          </w:p>
        </w:tc>
        <w:tc>
          <w:tcPr>
            <w:tcW w:w="358" w:type="pct"/>
            <w:tcBorders>
              <w:bottom w:val="single" w:sz="4" w:space="0" w:color="auto"/>
            </w:tcBorders>
            <w:vAlign w:val="center"/>
          </w:tcPr>
          <w:p w:rsidR="00C45A4E" w:rsidRPr="008B14B3" w:rsidRDefault="00C45A4E" w:rsidP="006307C1">
            <w:pPr>
              <w:keepNext/>
              <w:jc w:val="center"/>
              <w:rPr>
                <w:rFonts w:ascii="Arial Narrow" w:hAnsi="Arial Narrow"/>
                <w:sz w:val="20"/>
              </w:rPr>
            </w:pPr>
            <w:r w:rsidRPr="008B14B3">
              <w:rPr>
                <w:rFonts w:ascii="Arial Narrow" w:hAnsi="Arial Narrow"/>
                <w:sz w:val="20"/>
              </w:rPr>
              <w:t>№.of</w:t>
            </w:r>
          </w:p>
          <w:p w:rsidR="00C45A4E" w:rsidRPr="008B14B3" w:rsidRDefault="00C45A4E" w:rsidP="006307C1">
            <w:pPr>
              <w:keepNext/>
              <w:jc w:val="center"/>
              <w:rPr>
                <w:rFonts w:ascii="Arial Narrow" w:hAnsi="Arial Narrow"/>
                <w:sz w:val="20"/>
              </w:rPr>
            </w:pPr>
            <w:r w:rsidRPr="008B14B3">
              <w:rPr>
                <w:rFonts w:ascii="Arial Narrow" w:hAnsi="Arial Narrow"/>
                <w:sz w:val="20"/>
              </w:rPr>
              <w:t>Rpts</w:t>
            </w:r>
          </w:p>
        </w:tc>
        <w:tc>
          <w:tcPr>
            <w:tcW w:w="625" w:type="pct"/>
            <w:tcBorders>
              <w:bottom w:val="single" w:sz="4" w:space="0" w:color="auto"/>
            </w:tcBorders>
          </w:tcPr>
          <w:p w:rsidR="00C45A4E" w:rsidRPr="008B14B3" w:rsidRDefault="00C45A4E" w:rsidP="006307C1">
            <w:pPr>
              <w:keepNext/>
              <w:jc w:val="center"/>
              <w:rPr>
                <w:rFonts w:ascii="Arial Narrow" w:hAnsi="Arial Narrow"/>
                <w:sz w:val="20"/>
              </w:rPr>
            </w:pPr>
            <w:r w:rsidRPr="008B14B3">
              <w:rPr>
                <w:rFonts w:ascii="Arial Narrow" w:hAnsi="Arial Narrow"/>
                <w:sz w:val="20"/>
              </w:rPr>
              <w:t>Dispensed Price for Max. Qty</w:t>
            </w:r>
          </w:p>
        </w:tc>
        <w:tc>
          <w:tcPr>
            <w:tcW w:w="1162" w:type="pct"/>
            <w:gridSpan w:val="2"/>
            <w:tcBorders>
              <w:bottom w:val="single" w:sz="4" w:space="0" w:color="auto"/>
            </w:tcBorders>
            <w:vAlign w:val="center"/>
          </w:tcPr>
          <w:p w:rsidR="00C45A4E" w:rsidRPr="008B14B3" w:rsidRDefault="00C45A4E" w:rsidP="006307C1">
            <w:pPr>
              <w:keepNext/>
              <w:jc w:val="center"/>
              <w:rPr>
                <w:rFonts w:ascii="Arial Narrow" w:hAnsi="Arial Narrow"/>
                <w:sz w:val="20"/>
                <w:lang w:val="fr-FR"/>
              </w:rPr>
            </w:pPr>
            <w:r w:rsidRPr="008B14B3">
              <w:rPr>
                <w:rFonts w:ascii="Arial Narrow" w:hAnsi="Arial Narrow"/>
                <w:sz w:val="20"/>
              </w:rPr>
              <w:t>Proprietary Name and Manufacturer</w:t>
            </w:r>
          </w:p>
        </w:tc>
      </w:tr>
      <w:tr w:rsidR="006702CD" w:rsidRPr="00A939CD" w:rsidTr="00093081">
        <w:trPr>
          <w:cantSplit/>
          <w:trHeight w:val="577"/>
        </w:trPr>
        <w:tc>
          <w:tcPr>
            <w:tcW w:w="1783" w:type="pct"/>
            <w:gridSpan w:val="2"/>
            <w:tcBorders>
              <w:top w:val="single" w:sz="4" w:space="0" w:color="auto"/>
            </w:tcBorders>
          </w:tcPr>
          <w:p w:rsidR="00C45A4E" w:rsidRPr="008B14B3" w:rsidRDefault="00C45A4E" w:rsidP="006307C1">
            <w:pPr>
              <w:keepNext/>
              <w:rPr>
                <w:rFonts w:ascii="Arial Narrow" w:hAnsi="Arial Narrow"/>
                <w:sz w:val="20"/>
              </w:rPr>
            </w:pPr>
            <w:r w:rsidRPr="008B14B3">
              <w:rPr>
                <w:rFonts w:ascii="Arial Narrow" w:hAnsi="Arial Narrow"/>
                <w:smallCaps/>
                <w:sz w:val="20"/>
              </w:rPr>
              <w:t>Secukinumab</w:t>
            </w:r>
          </w:p>
          <w:p w:rsidR="000C4B58" w:rsidRDefault="000C4B58" w:rsidP="006307C1">
            <w:pPr>
              <w:keepNext/>
              <w:rPr>
                <w:rFonts w:ascii="Arial Narrow" w:hAnsi="Arial Narrow"/>
                <w:sz w:val="20"/>
                <w:u w:val="single"/>
              </w:rPr>
            </w:pPr>
          </w:p>
          <w:p w:rsidR="00C45A4E" w:rsidRPr="008B14B3" w:rsidRDefault="00C45A4E" w:rsidP="006307C1">
            <w:pPr>
              <w:keepNext/>
              <w:rPr>
                <w:rFonts w:ascii="Arial Narrow" w:hAnsi="Arial Narrow"/>
                <w:sz w:val="20"/>
                <w:u w:val="single"/>
              </w:rPr>
            </w:pPr>
            <w:r w:rsidRPr="008B14B3">
              <w:rPr>
                <w:rFonts w:ascii="Arial Narrow" w:hAnsi="Arial Narrow"/>
                <w:sz w:val="20"/>
                <w:u w:val="single"/>
              </w:rPr>
              <w:t>Initial treatment</w:t>
            </w:r>
          </w:p>
          <w:p w:rsidR="00C45A4E" w:rsidRPr="008B14B3" w:rsidRDefault="00C45A4E" w:rsidP="006307C1">
            <w:pPr>
              <w:keepNext/>
              <w:rPr>
                <w:rFonts w:ascii="Arial Narrow" w:hAnsi="Arial Narrow"/>
                <w:sz w:val="20"/>
              </w:rPr>
            </w:pPr>
            <w:r w:rsidRPr="008B14B3">
              <w:rPr>
                <w:rFonts w:ascii="Arial Narrow" w:hAnsi="Arial Narrow"/>
                <w:sz w:val="20"/>
              </w:rPr>
              <w:t>Powder for injection 150mg × 2</w:t>
            </w:r>
          </w:p>
          <w:p w:rsidR="00C45A4E" w:rsidRPr="008B14B3" w:rsidRDefault="00C45A4E" w:rsidP="006307C1">
            <w:pPr>
              <w:keepNext/>
              <w:rPr>
                <w:rFonts w:ascii="Arial Narrow" w:hAnsi="Arial Narrow"/>
                <w:sz w:val="20"/>
              </w:rPr>
            </w:pPr>
            <w:r w:rsidRPr="008B14B3">
              <w:rPr>
                <w:rFonts w:ascii="Arial Narrow" w:hAnsi="Arial Narrow"/>
                <w:sz w:val="20"/>
              </w:rPr>
              <w:t>Pre-filled syringe 150mg/mL × 2</w:t>
            </w:r>
          </w:p>
          <w:p w:rsidR="00C45A4E" w:rsidRPr="008B14B3" w:rsidRDefault="00C45A4E" w:rsidP="006307C1">
            <w:pPr>
              <w:keepNext/>
              <w:rPr>
                <w:rFonts w:ascii="Arial Narrow" w:hAnsi="Arial Narrow"/>
                <w:sz w:val="20"/>
              </w:rPr>
            </w:pPr>
            <w:r w:rsidRPr="008B14B3">
              <w:rPr>
                <w:rFonts w:ascii="Arial Narrow" w:hAnsi="Arial Narrow"/>
                <w:sz w:val="20"/>
              </w:rPr>
              <w:t>Pre-filled pen 150mg/mL × 2</w:t>
            </w:r>
          </w:p>
          <w:p w:rsidR="000C4B58" w:rsidRDefault="000C4B58" w:rsidP="006307C1">
            <w:pPr>
              <w:keepNext/>
              <w:rPr>
                <w:rFonts w:ascii="Arial Narrow" w:hAnsi="Arial Narrow"/>
                <w:sz w:val="20"/>
                <w:u w:val="single"/>
              </w:rPr>
            </w:pPr>
          </w:p>
          <w:p w:rsidR="00C45A4E" w:rsidRPr="008B14B3" w:rsidRDefault="00C45A4E" w:rsidP="006307C1">
            <w:pPr>
              <w:keepNext/>
              <w:rPr>
                <w:rFonts w:ascii="Arial Narrow" w:hAnsi="Arial Narrow"/>
                <w:sz w:val="20"/>
                <w:u w:val="single"/>
              </w:rPr>
            </w:pPr>
            <w:r w:rsidRPr="008B14B3">
              <w:rPr>
                <w:rFonts w:ascii="Arial Narrow" w:hAnsi="Arial Narrow"/>
                <w:sz w:val="20"/>
                <w:u w:val="single"/>
              </w:rPr>
              <w:t>Continuing Treatment</w:t>
            </w:r>
          </w:p>
          <w:p w:rsidR="00C45A4E" w:rsidRPr="008B14B3" w:rsidRDefault="00C45A4E" w:rsidP="006307C1">
            <w:pPr>
              <w:keepNext/>
              <w:rPr>
                <w:rFonts w:ascii="Arial Narrow" w:hAnsi="Arial Narrow"/>
                <w:sz w:val="20"/>
              </w:rPr>
            </w:pPr>
            <w:r w:rsidRPr="008B14B3">
              <w:rPr>
                <w:rFonts w:ascii="Arial Narrow" w:hAnsi="Arial Narrow"/>
                <w:sz w:val="20"/>
              </w:rPr>
              <w:t>Powder for injection 150mg × 2</w:t>
            </w:r>
          </w:p>
          <w:p w:rsidR="00C45A4E" w:rsidRPr="008B14B3" w:rsidRDefault="00C45A4E" w:rsidP="006307C1">
            <w:pPr>
              <w:keepNext/>
              <w:rPr>
                <w:rFonts w:ascii="Arial Narrow" w:hAnsi="Arial Narrow"/>
                <w:sz w:val="20"/>
              </w:rPr>
            </w:pPr>
            <w:r w:rsidRPr="008B14B3">
              <w:rPr>
                <w:rFonts w:ascii="Arial Narrow" w:hAnsi="Arial Narrow"/>
                <w:sz w:val="20"/>
              </w:rPr>
              <w:t>Pre-filled syringe 150mg/mL × 2</w:t>
            </w:r>
          </w:p>
          <w:p w:rsidR="00C45A4E" w:rsidRPr="008B14B3" w:rsidRDefault="00C45A4E" w:rsidP="006307C1">
            <w:pPr>
              <w:keepNext/>
              <w:rPr>
                <w:rFonts w:ascii="Arial Narrow" w:hAnsi="Arial Narrow"/>
                <w:sz w:val="20"/>
              </w:rPr>
            </w:pPr>
            <w:r w:rsidRPr="008B14B3">
              <w:rPr>
                <w:rFonts w:ascii="Arial Narrow" w:hAnsi="Arial Narrow"/>
                <w:sz w:val="20"/>
              </w:rPr>
              <w:t>Pre-filled pen 150mg/mL× 2</w:t>
            </w:r>
          </w:p>
          <w:p w:rsidR="006702CD" w:rsidRPr="008B14B3" w:rsidRDefault="006702CD" w:rsidP="006307C1">
            <w:pPr>
              <w:keepNext/>
              <w:rPr>
                <w:rFonts w:ascii="Arial Narrow" w:hAnsi="Arial Narrow"/>
                <w:sz w:val="20"/>
              </w:rPr>
            </w:pPr>
          </w:p>
        </w:tc>
        <w:tc>
          <w:tcPr>
            <w:tcW w:w="509" w:type="pct"/>
            <w:tcBorders>
              <w:top w:val="single" w:sz="4" w:space="0" w:color="auto"/>
            </w:tcBorders>
          </w:tcPr>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p>
          <w:p w:rsidR="000C4B58" w:rsidRDefault="000C4B58"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r w:rsidRPr="008B14B3">
              <w:rPr>
                <w:rFonts w:ascii="Arial Narrow" w:hAnsi="Arial Narrow"/>
                <w:sz w:val="20"/>
              </w:rPr>
              <w:t>2</w:t>
            </w:r>
          </w:p>
          <w:p w:rsidR="00C45A4E" w:rsidRPr="008B14B3" w:rsidRDefault="00C45A4E" w:rsidP="006307C1">
            <w:pPr>
              <w:keepNext/>
              <w:jc w:val="center"/>
              <w:rPr>
                <w:rFonts w:ascii="Arial Narrow" w:hAnsi="Arial Narrow"/>
                <w:sz w:val="20"/>
              </w:rPr>
            </w:pPr>
            <w:r w:rsidRPr="008B14B3">
              <w:rPr>
                <w:rFonts w:ascii="Arial Narrow" w:hAnsi="Arial Narrow"/>
                <w:sz w:val="20"/>
              </w:rPr>
              <w:t>2</w:t>
            </w:r>
          </w:p>
          <w:p w:rsidR="00C45A4E" w:rsidRPr="008B14B3" w:rsidRDefault="00C45A4E" w:rsidP="006307C1">
            <w:pPr>
              <w:keepNext/>
              <w:jc w:val="center"/>
              <w:rPr>
                <w:rFonts w:ascii="Arial Narrow" w:hAnsi="Arial Narrow"/>
                <w:sz w:val="20"/>
              </w:rPr>
            </w:pPr>
            <w:r w:rsidRPr="008B14B3">
              <w:rPr>
                <w:rFonts w:ascii="Arial Narrow" w:hAnsi="Arial Narrow"/>
                <w:sz w:val="20"/>
              </w:rPr>
              <w:t>2</w:t>
            </w:r>
          </w:p>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r w:rsidRPr="008B14B3">
              <w:rPr>
                <w:rFonts w:ascii="Arial Narrow" w:hAnsi="Arial Narrow"/>
                <w:sz w:val="20"/>
              </w:rPr>
              <w:t>1</w:t>
            </w:r>
          </w:p>
          <w:p w:rsidR="00C45A4E" w:rsidRPr="008B14B3" w:rsidRDefault="00C45A4E" w:rsidP="006307C1">
            <w:pPr>
              <w:keepNext/>
              <w:jc w:val="center"/>
              <w:rPr>
                <w:rFonts w:ascii="Arial Narrow" w:hAnsi="Arial Narrow"/>
                <w:sz w:val="20"/>
              </w:rPr>
            </w:pPr>
            <w:r w:rsidRPr="008B14B3">
              <w:rPr>
                <w:rFonts w:ascii="Arial Narrow" w:hAnsi="Arial Narrow"/>
                <w:sz w:val="20"/>
              </w:rPr>
              <w:t>1</w:t>
            </w:r>
          </w:p>
          <w:p w:rsidR="00C45A4E" w:rsidRPr="008B14B3" w:rsidRDefault="00C45A4E" w:rsidP="006307C1">
            <w:pPr>
              <w:keepNext/>
              <w:jc w:val="center"/>
              <w:rPr>
                <w:rFonts w:ascii="Arial Narrow" w:hAnsi="Arial Narrow"/>
                <w:sz w:val="20"/>
              </w:rPr>
            </w:pPr>
            <w:r w:rsidRPr="008B14B3">
              <w:rPr>
                <w:rFonts w:ascii="Arial Narrow" w:hAnsi="Arial Narrow"/>
                <w:sz w:val="20"/>
              </w:rPr>
              <w:t>1</w:t>
            </w:r>
          </w:p>
        </w:tc>
        <w:tc>
          <w:tcPr>
            <w:tcW w:w="563" w:type="pct"/>
            <w:tcBorders>
              <w:top w:val="single" w:sz="4" w:space="0" w:color="auto"/>
            </w:tcBorders>
          </w:tcPr>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p>
          <w:p w:rsidR="000C4B58" w:rsidRDefault="000C4B58" w:rsidP="006307C1">
            <w:pPr>
              <w:keepNext/>
              <w:jc w:val="center"/>
              <w:rPr>
                <w:rFonts w:ascii="Arial Narrow" w:hAnsi="Arial Narrow"/>
                <w:sz w:val="20"/>
              </w:rPr>
            </w:pPr>
          </w:p>
          <w:p w:rsidR="00C45A4E" w:rsidRPr="008B14B3" w:rsidRDefault="00C45A4E" w:rsidP="006307C1">
            <w:pPr>
              <w:keepNext/>
              <w:jc w:val="center"/>
              <w:rPr>
                <w:rFonts w:ascii="Arial Narrow" w:hAnsi="Arial Narrow"/>
                <w:i/>
                <w:sz w:val="20"/>
              </w:rPr>
            </w:pPr>
            <w:r w:rsidRPr="008B14B3">
              <w:rPr>
                <w:rFonts w:ascii="Arial Narrow" w:hAnsi="Arial Narrow"/>
                <w:sz w:val="20"/>
              </w:rPr>
              <w:t xml:space="preserve">2 </w:t>
            </w:r>
            <w:r w:rsidRPr="008B14B3">
              <w:rPr>
                <w:rFonts w:ascii="Arial Narrow" w:hAnsi="Arial Narrow"/>
                <w:i/>
                <w:sz w:val="20"/>
              </w:rPr>
              <w:t>(4)</w:t>
            </w:r>
          </w:p>
          <w:p w:rsidR="00C45A4E" w:rsidRPr="008B14B3" w:rsidRDefault="00C45A4E" w:rsidP="006307C1">
            <w:pPr>
              <w:keepNext/>
              <w:jc w:val="center"/>
              <w:rPr>
                <w:rFonts w:ascii="Arial Narrow" w:hAnsi="Arial Narrow"/>
                <w:sz w:val="20"/>
              </w:rPr>
            </w:pPr>
            <w:r w:rsidRPr="008B14B3">
              <w:rPr>
                <w:rFonts w:ascii="Arial Narrow" w:hAnsi="Arial Narrow"/>
                <w:sz w:val="20"/>
              </w:rPr>
              <w:t xml:space="preserve">2 </w:t>
            </w:r>
            <w:r w:rsidRPr="008B14B3">
              <w:rPr>
                <w:rFonts w:ascii="Arial Narrow" w:hAnsi="Arial Narrow"/>
                <w:i/>
                <w:sz w:val="20"/>
              </w:rPr>
              <w:t>(4)</w:t>
            </w:r>
          </w:p>
          <w:p w:rsidR="00C45A4E" w:rsidRPr="008B14B3" w:rsidRDefault="00C45A4E" w:rsidP="006307C1">
            <w:pPr>
              <w:keepNext/>
              <w:jc w:val="center"/>
              <w:rPr>
                <w:rFonts w:ascii="Arial Narrow" w:hAnsi="Arial Narrow"/>
                <w:sz w:val="20"/>
              </w:rPr>
            </w:pPr>
            <w:r w:rsidRPr="008B14B3">
              <w:rPr>
                <w:rFonts w:ascii="Arial Narrow" w:hAnsi="Arial Narrow"/>
                <w:sz w:val="20"/>
              </w:rPr>
              <w:t xml:space="preserve">2 </w:t>
            </w:r>
            <w:r w:rsidRPr="008B14B3">
              <w:rPr>
                <w:rFonts w:ascii="Arial Narrow" w:hAnsi="Arial Narrow"/>
                <w:i/>
                <w:sz w:val="20"/>
              </w:rPr>
              <w:t>(4)</w:t>
            </w:r>
          </w:p>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r w:rsidRPr="008B14B3">
              <w:rPr>
                <w:rFonts w:ascii="Arial Narrow" w:hAnsi="Arial Narrow"/>
                <w:sz w:val="20"/>
              </w:rPr>
              <w:t xml:space="preserve">1 </w:t>
            </w:r>
            <w:r w:rsidRPr="008B14B3">
              <w:rPr>
                <w:rFonts w:ascii="Arial Narrow" w:hAnsi="Arial Narrow"/>
                <w:i/>
                <w:sz w:val="20"/>
              </w:rPr>
              <w:t>(2)</w:t>
            </w:r>
          </w:p>
          <w:p w:rsidR="00C45A4E" w:rsidRPr="008B14B3" w:rsidRDefault="00C45A4E" w:rsidP="006307C1">
            <w:pPr>
              <w:keepNext/>
              <w:jc w:val="center"/>
              <w:rPr>
                <w:rFonts w:ascii="Arial Narrow" w:hAnsi="Arial Narrow"/>
                <w:sz w:val="20"/>
              </w:rPr>
            </w:pPr>
            <w:r w:rsidRPr="008B14B3">
              <w:rPr>
                <w:rFonts w:ascii="Arial Narrow" w:hAnsi="Arial Narrow"/>
                <w:sz w:val="20"/>
              </w:rPr>
              <w:t xml:space="preserve">1 </w:t>
            </w:r>
            <w:r w:rsidRPr="008B14B3">
              <w:rPr>
                <w:rFonts w:ascii="Arial Narrow" w:hAnsi="Arial Narrow"/>
                <w:i/>
                <w:sz w:val="20"/>
              </w:rPr>
              <w:t>(2)</w:t>
            </w:r>
          </w:p>
          <w:p w:rsidR="00C45A4E" w:rsidRPr="008B14B3" w:rsidRDefault="00C45A4E" w:rsidP="006307C1">
            <w:pPr>
              <w:keepNext/>
              <w:jc w:val="center"/>
              <w:rPr>
                <w:rFonts w:ascii="Arial Narrow" w:hAnsi="Arial Narrow"/>
                <w:sz w:val="20"/>
              </w:rPr>
            </w:pPr>
            <w:r w:rsidRPr="008B14B3">
              <w:rPr>
                <w:rFonts w:ascii="Arial Narrow" w:hAnsi="Arial Narrow"/>
                <w:sz w:val="20"/>
              </w:rPr>
              <w:t xml:space="preserve">1 </w:t>
            </w:r>
            <w:r w:rsidRPr="008B14B3">
              <w:rPr>
                <w:rFonts w:ascii="Arial Narrow" w:hAnsi="Arial Narrow"/>
                <w:i/>
                <w:sz w:val="20"/>
              </w:rPr>
              <w:t>(2)</w:t>
            </w:r>
          </w:p>
        </w:tc>
        <w:tc>
          <w:tcPr>
            <w:tcW w:w="358" w:type="pct"/>
            <w:tcBorders>
              <w:top w:val="single" w:sz="4" w:space="0" w:color="auto"/>
            </w:tcBorders>
          </w:tcPr>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p>
          <w:p w:rsidR="000C4B58" w:rsidRDefault="000C4B58"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r w:rsidRPr="008B14B3">
              <w:rPr>
                <w:rFonts w:ascii="Arial Narrow" w:hAnsi="Arial Narrow"/>
                <w:sz w:val="20"/>
              </w:rPr>
              <w:t>3</w:t>
            </w:r>
          </w:p>
          <w:p w:rsidR="00C45A4E" w:rsidRPr="008B14B3" w:rsidRDefault="00C45A4E" w:rsidP="006307C1">
            <w:pPr>
              <w:keepNext/>
              <w:jc w:val="center"/>
              <w:rPr>
                <w:rFonts w:ascii="Arial Narrow" w:hAnsi="Arial Narrow"/>
                <w:sz w:val="20"/>
              </w:rPr>
            </w:pPr>
            <w:r w:rsidRPr="008B14B3">
              <w:rPr>
                <w:rFonts w:ascii="Arial Narrow" w:hAnsi="Arial Narrow"/>
                <w:sz w:val="20"/>
              </w:rPr>
              <w:t>3</w:t>
            </w:r>
          </w:p>
          <w:p w:rsidR="00C45A4E" w:rsidRPr="008B14B3" w:rsidRDefault="00C45A4E" w:rsidP="006307C1">
            <w:pPr>
              <w:keepNext/>
              <w:jc w:val="center"/>
              <w:rPr>
                <w:rFonts w:ascii="Arial Narrow" w:hAnsi="Arial Narrow"/>
                <w:sz w:val="20"/>
              </w:rPr>
            </w:pPr>
            <w:r w:rsidRPr="008B14B3">
              <w:rPr>
                <w:rFonts w:ascii="Arial Narrow" w:hAnsi="Arial Narrow"/>
                <w:sz w:val="20"/>
              </w:rPr>
              <w:t>3</w:t>
            </w:r>
          </w:p>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r w:rsidRPr="008B14B3">
              <w:rPr>
                <w:rFonts w:ascii="Arial Narrow" w:hAnsi="Arial Narrow"/>
                <w:sz w:val="20"/>
              </w:rPr>
              <w:t>5</w:t>
            </w:r>
          </w:p>
          <w:p w:rsidR="00C45A4E" w:rsidRPr="008B14B3" w:rsidRDefault="00C45A4E" w:rsidP="006307C1">
            <w:pPr>
              <w:keepNext/>
              <w:jc w:val="center"/>
              <w:rPr>
                <w:rFonts w:ascii="Arial Narrow" w:hAnsi="Arial Narrow"/>
                <w:sz w:val="20"/>
              </w:rPr>
            </w:pPr>
            <w:r w:rsidRPr="008B14B3">
              <w:rPr>
                <w:rFonts w:ascii="Arial Narrow" w:hAnsi="Arial Narrow"/>
                <w:sz w:val="20"/>
              </w:rPr>
              <w:t>5</w:t>
            </w:r>
          </w:p>
          <w:p w:rsidR="00C45A4E" w:rsidRPr="008B14B3" w:rsidRDefault="00C45A4E" w:rsidP="006307C1">
            <w:pPr>
              <w:keepNext/>
              <w:jc w:val="center"/>
              <w:rPr>
                <w:rFonts w:ascii="Arial Narrow" w:hAnsi="Arial Narrow"/>
                <w:sz w:val="20"/>
              </w:rPr>
            </w:pPr>
            <w:r w:rsidRPr="008B14B3">
              <w:rPr>
                <w:rFonts w:ascii="Arial Narrow" w:hAnsi="Arial Narrow"/>
                <w:sz w:val="20"/>
              </w:rPr>
              <w:t>5</w:t>
            </w:r>
          </w:p>
        </w:tc>
        <w:tc>
          <w:tcPr>
            <w:tcW w:w="625" w:type="pct"/>
            <w:tcBorders>
              <w:top w:val="single" w:sz="4" w:space="0" w:color="auto"/>
            </w:tcBorders>
          </w:tcPr>
          <w:p w:rsidR="00C45A4E" w:rsidRPr="008B14B3" w:rsidRDefault="00C45A4E" w:rsidP="006307C1">
            <w:pPr>
              <w:keepNext/>
              <w:jc w:val="center"/>
              <w:rPr>
                <w:rFonts w:ascii="Arial Narrow" w:hAnsi="Arial Narrow"/>
                <w:sz w:val="20"/>
              </w:rPr>
            </w:pPr>
          </w:p>
          <w:p w:rsidR="00C45A4E" w:rsidRPr="008B14B3" w:rsidRDefault="00C45A4E" w:rsidP="006307C1">
            <w:pPr>
              <w:keepNext/>
              <w:jc w:val="center"/>
              <w:rPr>
                <w:rFonts w:ascii="Arial Narrow" w:hAnsi="Arial Narrow"/>
                <w:sz w:val="20"/>
              </w:rPr>
            </w:pPr>
          </w:p>
          <w:p w:rsidR="000C4B58" w:rsidRDefault="000C4B58" w:rsidP="006307C1">
            <w:pPr>
              <w:keepNext/>
              <w:jc w:val="center"/>
              <w:rPr>
                <w:rFonts w:ascii="Arial Narrow" w:hAnsi="Arial Narrow"/>
                <w:sz w:val="20"/>
              </w:rPr>
            </w:pPr>
          </w:p>
          <w:p w:rsidR="00C45A4E" w:rsidRPr="00C9461B" w:rsidRDefault="00C45A4E" w:rsidP="006307C1">
            <w:pPr>
              <w:keepNext/>
              <w:jc w:val="center"/>
              <w:rPr>
                <w:rFonts w:ascii="Arial Narrow" w:hAnsi="Arial Narrow"/>
                <w:sz w:val="20"/>
              </w:rPr>
            </w:pPr>
            <w:r w:rsidRPr="00C9461B">
              <w:rPr>
                <w:rFonts w:ascii="Arial Narrow" w:hAnsi="Arial Narrow"/>
                <w:sz w:val="20"/>
              </w:rPr>
              <w:t>$</w:t>
            </w:r>
            <w:r w:rsidR="00E405FE">
              <w:rPr>
                <w:rFonts w:ascii="Arial Narrow" w:hAnsi="Arial Narrow"/>
                <w:noProof/>
                <w:color w:val="000000"/>
                <w:sz w:val="20"/>
                <w:highlight w:val="black"/>
              </w:rPr>
              <w:t>'''''''''''''''''''''</w:t>
            </w:r>
          </w:p>
          <w:p w:rsidR="00C45A4E" w:rsidRPr="00C9461B" w:rsidRDefault="00C45A4E" w:rsidP="006307C1">
            <w:pPr>
              <w:keepNext/>
              <w:jc w:val="center"/>
              <w:rPr>
                <w:rFonts w:ascii="Arial Narrow" w:hAnsi="Arial Narrow"/>
                <w:sz w:val="20"/>
              </w:rPr>
            </w:pPr>
            <w:r w:rsidRPr="00C9461B">
              <w:rPr>
                <w:rFonts w:ascii="Arial Narrow" w:hAnsi="Arial Narrow"/>
                <w:sz w:val="20"/>
              </w:rPr>
              <w:t>$</w:t>
            </w:r>
            <w:r w:rsidR="00E405FE">
              <w:rPr>
                <w:rFonts w:ascii="Arial Narrow" w:hAnsi="Arial Narrow"/>
                <w:noProof/>
                <w:color w:val="000000"/>
                <w:sz w:val="20"/>
                <w:highlight w:val="black"/>
              </w:rPr>
              <w:t>'''''''''''''''''''</w:t>
            </w:r>
          </w:p>
          <w:p w:rsidR="00C45A4E" w:rsidRPr="00C9461B" w:rsidRDefault="00C45A4E" w:rsidP="006307C1">
            <w:pPr>
              <w:keepNext/>
              <w:jc w:val="center"/>
              <w:rPr>
                <w:rFonts w:ascii="Arial Narrow" w:hAnsi="Arial Narrow"/>
                <w:sz w:val="20"/>
              </w:rPr>
            </w:pPr>
            <w:r w:rsidRPr="00C9461B">
              <w:rPr>
                <w:rFonts w:ascii="Arial Narrow" w:hAnsi="Arial Narrow"/>
                <w:sz w:val="20"/>
              </w:rPr>
              <w:t>$</w:t>
            </w:r>
            <w:r w:rsidR="00E405FE">
              <w:rPr>
                <w:rFonts w:ascii="Arial Narrow" w:hAnsi="Arial Narrow"/>
                <w:noProof/>
                <w:color w:val="000000"/>
                <w:sz w:val="20"/>
                <w:highlight w:val="black"/>
              </w:rPr>
              <w:t>'''''''''''''''''''''</w:t>
            </w:r>
          </w:p>
          <w:p w:rsidR="00C45A4E" w:rsidRPr="00C9461B" w:rsidRDefault="00C45A4E" w:rsidP="006307C1">
            <w:pPr>
              <w:keepNext/>
              <w:jc w:val="center"/>
              <w:rPr>
                <w:rFonts w:ascii="Arial Narrow" w:hAnsi="Arial Narrow"/>
                <w:sz w:val="20"/>
              </w:rPr>
            </w:pPr>
          </w:p>
          <w:p w:rsidR="00C45A4E" w:rsidRPr="00E405FE" w:rsidRDefault="00C45A4E" w:rsidP="006307C1">
            <w:pPr>
              <w:keepNext/>
              <w:jc w:val="center"/>
              <w:rPr>
                <w:rFonts w:ascii="Arial Narrow" w:hAnsi="Arial Narrow"/>
                <w:sz w:val="20"/>
              </w:rPr>
            </w:pPr>
            <w:r w:rsidRPr="00C9461B">
              <w:rPr>
                <w:rFonts w:ascii="Arial Narrow" w:hAnsi="Arial Narrow"/>
                <w:sz w:val="20"/>
              </w:rPr>
              <w:t>$</w:t>
            </w:r>
            <w:r w:rsidR="00E405FE">
              <w:rPr>
                <w:rFonts w:ascii="Arial Narrow" w:hAnsi="Arial Narrow"/>
                <w:noProof/>
                <w:color w:val="000000"/>
                <w:sz w:val="20"/>
                <w:highlight w:val="black"/>
              </w:rPr>
              <w:t>'''''''''''''''''''''</w:t>
            </w:r>
          </w:p>
          <w:p w:rsidR="00C45A4E" w:rsidRPr="00C9461B" w:rsidRDefault="00C45A4E" w:rsidP="006307C1">
            <w:pPr>
              <w:keepNext/>
              <w:jc w:val="center"/>
              <w:rPr>
                <w:rFonts w:ascii="Arial Narrow" w:hAnsi="Arial Narrow"/>
                <w:sz w:val="20"/>
              </w:rPr>
            </w:pPr>
            <w:r w:rsidRPr="00C9461B">
              <w:rPr>
                <w:rFonts w:ascii="Arial Narrow" w:hAnsi="Arial Narrow"/>
                <w:sz w:val="20"/>
              </w:rPr>
              <w:t>$</w:t>
            </w:r>
            <w:r w:rsidR="00E405FE">
              <w:rPr>
                <w:rFonts w:ascii="Arial Narrow" w:hAnsi="Arial Narrow"/>
                <w:noProof/>
                <w:color w:val="000000"/>
                <w:sz w:val="20"/>
                <w:highlight w:val="black"/>
              </w:rPr>
              <w:t>'''''''''''''''''''''</w:t>
            </w:r>
          </w:p>
          <w:p w:rsidR="00C45A4E" w:rsidRPr="008B14B3" w:rsidRDefault="00C45A4E" w:rsidP="006307C1">
            <w:pPr>
              <w:keepNext/>
              <w:jc w:val="center"/>
              <w:rPr>
                <w:rFonts w:ascii="Arial Narrow" w:hAnsi="Arial Narrow"/>
                <w:sz w:val="20"/>
              </w:rPr>
            </w:pPr>
            <w:r w:rsidRPr="00C9461B">
              <w:rPr>
                <w:rFonts w:ascii="Arial Narrow" w:hAnsi="Arial Narrow"/>
                <w:sz w:val="20"/>
              </w:rPr>
              <w:t>$</w:t>
            </w:r>
            <w:r w:rsidR="00E405FE">
              <w:rPr>
                <w:rFonts w:ascii="Arial Narrow" w:hAnsi="Arial Narrow"/>
                <w:noProof/>
                <w:color w:val="000000"/>
                <w:sz w:val="20"/>
                <w:highlight w:val="black"/>
              </w:rPr>
              <w:t>''''''''''''''''''''</w:t>
            </w:r>
          </w:p>
        </w:tc>
        <w:tc>
          <w:tcPr>
            <w:tcW w:w="595" w:type="pct"/>
            <w:tcBorders>
              <w:top w:val="single" w:sz="4" w:space="0" w:color="auto"/>
            </w:tcBorders>
          </w:tcPr>
          <w:p w:rsidR="008B14B3" w:rsidRDefault="008B14B3" w:rsidP="006307C1">
            <w:pPr>
              <w:keepNext/>
              <w:jc w:val="center"/>
              <w:rPr>
                <w:rFonts w:ascii="Arial Narrow" w:hAnsi="Arial Narrow"/>
                <w:sz w:val="20"/>
              </w:rPr>
            </w:pPr>
          </w:p>
          <w:p w:rsidR="008B14B3" w:rsidRDefault="008B14B3" w:rsidP="006307C1">
            <w:pPr>
              <w:keepNext/>
              <w:jc w:val="center"/>
              <w:rPr>
                <w:rFonts w:ascii="Arial Narrow" w:hAnsi="Arial Narrow"/>
                <w:sz w:val="20"/>
              </w:rPr>
            </w:pPr>
          </w:p>
          <w:p w:rsidR="000C4B58" w:rsidRDefault="000C4B58" w:rsidP="006307C1">
            <w:pPr>
              <w:keepNext/>
              <w:jc w:val="center"/>
              <w:rPr>
                <w:rFonts w:ascii="Arial Narrow" w:hAnsi="Arial Narrow"/>
                <w:sz w:val="20"/>
              </w:rPr>
            </w:pPr>
          </w:p>
          <w:p w:rsidR="00C45A4E" w:rsidRDefault="00C45A4E" w:rsidP="006307C1">
            <w:pPr>
              <w:keepNext/>
              <w:jc w:val="center"/>
              <w:rPr>
                <w:rFonts w:ascii="Arial Narrow" w:hAnsi="Arial Narrow"/>
                <w:sz w:val="20"/>
              </w:rPr>
            </w:pPr>
            <w:r w:rsidRPr="008B14B3">
              <w:rPr>
                <w:rFonts w:ascii="Arial Narrow" w:hAnsi="Arial Narrow"/>
                <w:sz w:val="20"/>
              </w:rPr>
              <w:t>Cosentyx</w:t>
            </w:r>
          </w:p>
          <w:p w:rsidR="008B14B3" w:rsidRDefault="008B14B3" w:rsidP="006307C1">
            <w:pPr>
              <w:keepNext/>
              <w:jc w:val="center"/>
              <w:rPr>
                <w:rFonts w:ascii="Arial Narrow" w:hAnsi="Arial Narrow"/>
                <w:sz w:val="20"/>
              </w:rPr>
            </w:pPr>
            <w:r>
              <w:rPr>
                <w:rFonts w:ascii="Arial Narrow" w:hAnsi="Arial Narrow"/>
                <w:sz w:val="20"/>
              </w:rPr>
              <w:t>Cosentyx</w:t>
            </w:r>
          </w:p>
          <w:p w:rsidR="008B14B3" w:rsidRDefault="008B14B3" w:rsidP="006307C1">
            <w:pPr>
              <w:keepNext/>
              <w:jc w:val="center"/>
              <w:rPr>
                <w:rFonts w:ascii="Arial Narrow" w:hAnsi="Arial Narrow"/>
                <w:sz w:val="20"/>
              </w:rPr>
            </w:pPr>
            <w:r>
              <w:rPr>
                <w:rFonts w:ascii="Arial Narrow" w:hAnsi="Arial Narrow"/>
                <w:sz w:val="20"/>
              </w:rPr>
              <w:t>Cosentyx</w:t>
            </w:r>
          </w:p>
          <w:p w:rsidR="008B14B3" w:rsidRDefault="008B14B3" w:rsidP="006307C1">
            <w:pPr>
              <w:keepNext/>
              <w:jc w:val="center"/>
              <w:rPr>
                <w:rFonts w:ascii="Arial Narrow" w:hAnsi="Arial Narrow"/>
                <w:sz w:val="20"/>
              </w:rPr>
            </w:pPr>
          </w:p>
          <w:p w:rsidR="008B14B3" w:rsidRDefault="008B14B3" w:rsidP="006307C1">
            <w:pPr>
              <w:keepNext/>
              <w:jc w:val="center"/>
              <w:rPr>
                <w:rFonts w:ascii="Arial Narrow" w:hAnsi="Arial Narrow"/>
                <w:sz w:val="20"/>
              </w:rPr>
            </w:pPr>
            <w:r>
              <w:rPr>
                <w:rFonts w:ascii="Arial Narrow" w:hAnsi="Arial Narrow"/>
                <w:sz w:val="20"/>
              </w:rPr>
              <w:t>Cosentyx</w:t>
            </w:r>
          </w:p>
          <w:p w:rsidR="008B14B3" w:rsidRDefault="008B14B3" w:rsidP="006307C1">
            <w:pPr>
              <w:keepNext/>
              <w:jc w:val="center"/>
              <w:rPr>
                <w:rFonts w:ascii="Arial Narrow" w:hAnsi="Arial Narrow"/>
                <w:sz w:val="20"/>
              </w:rPr>
            </w:pPr>
            <w:r>
              <w:rPr>
                <w:rFonts w:ascii="Arial Narrow" w:hAnsi="Arial Narrow"/>
                <w:sz w:val="20"/>
              </w:rPr>
              <w:t>Cosentyx</w:t>
            </w:r>
          </w:p>
          <w:p w:rsidR="008B14B3" w:rsidRPr="008B14B3" w:rsidRDefault="008B14B3" w:rsidP="006307C1">
            <w:pPr>
              <w:keepNext/>
              <w:jc w:val="center"/>
              <w:rPr>
                <w:rFonts w:ascii="Arial Narrow" w:hAnsi="Arial Narrow"/>
                <w:sz w:val="20"/>
              </w:rPr>
            </w:pPr>
            <w:r>
              <w:rPr>
                <w:rFonts w:ascii="Arial Narrow" w:hAnsi="Arial Narrow"/>
                <w:sz w:val="20"/>
              </w:rPr>
              <w:t>Cosentyx</w:t>
            </w:r>
          </w:p>
        </w:tc>
        <w:tc>
          <w:tcPr>
            <w:tcW w:w="567" w:type="pct"/>
            <w:tcBorders>
              <w:top w:val="single" w:sz="4" w:space="0" w:color="auto"/>
            </w:tcBorders>
          </w:tcPr>
          <w:p w:rsidR="008B14B3" w:rsidRDefault="008B14B3" w:rsidP="006307C1">
            <w:pPr>
              <w:keepNext/>
              <w:jc w:val="center"/>
              <w:rPr>
                <w:sz w:val="20"/>
              </w:rPr>
            </w:pPr>
          </w:p>
          <w:p w:rsidR="008B14B3" w:rsidRDefault="008B14B3" w:rsidP="006307C1">
            <w:pPr>
              <w:keepNext/>
              <w:jc w:val="center"/>
              <w:rPr>
                <w:sz w:val="20"/>
              </w:rPr>
            </w:pPr>
          </w:p>
          <w:p w:rsidR="000C4B58" w:rsidRDefault="000C4B58" w:rsidP="006307C1">
            <w:pPr>
              <w:keepNext/>
              <w:jc w:val="center"/>
              <w:rPr>
                <w:sz w:val="20"/>
              </w:rPr>
            </w:pPr>
          </w:p>
          <w:p w:rsidR="008B14B3" w:rsidRDefault="008B14B3" w:rsidP="006307C1">
            <w:pPr>
              <w:keepNext/>
              <w:jc w:val="center"/>
              <w:rPr>
                <w:sz w:val="20"/>
              </w:rPr>
            </w:pPr>
            <w:r>
              <w:rPr>
                <w:sz w:val="20"/>
              </w:rPr>
              <w:t>NV</w:t>
            </w:r>
          </w:p>
          <w:p w:rsidR="008B14B3" w:rsidRDefault="008B14B3" w:rsidP="006307C1">
            <w:pPr>
              <w:keepNext/>
              <w:jc w:val="center"/>
              <w:rPr>
                <w:sz w:val="20"/>
              </w:rPr>
            </w:pPr>
            <w:r>
              <w:rPr>
                <w:sz w:val="20"/>
              </w:rPr>
              <w:t>NV</w:t>
            </w:r>
          </w:p>
          <w:p w:rsidR="008B14B3" w:rsidRDefault="008B14B3" w:rsidP="006307C1">
            <w:pPr>
              <w:keepNext/>
              <w:jc w:val="center"/>
              <w:rPr>
                <w:sz w:val="20"/>
              </w:rPr>
            </w:pPr>
            <w:r>
              <w:rPr>
                <w:sz w:val="20"/>
              </w:rPr>
              <w:t>NV</w:t>
            </w:r>
          </w:p>
          <w:p w:rsidR="008B14B3" w:rsidRDefault="008B14B3" w:rsidP="006307C1">
            <w:pPr>
              <w:keepNext/>
              <w:jc w:val="center"/>
              <w:rPr>
                <w:sz w:val="20"/>
              </w:rPr>
            </w:pPr>
          </w:p>
          <w:p w:rsidR="008B14B3" w:rsidRDefault="008B14B3" w:rsidP="006307C1">
            <w:pPr>
              <w:keepNext/>
              <w:jc w:val="center"/>
              <w:rPr>
                <w:sz w:val="20"/>
              </w:rPr>
            </w:pPr>
            <w:r>
              <w:rPr>
                <w:sz w:val="20"/>
              </w:rPr>
              <w:t>NV</w:t>
            </w:r>
          </w:p>
          <w:p w:rsidR="008B14B3" w:rsidRDefault="008B14B3" w:rsidP="006307C1">
            <w:pPr>
              <w:keepNext/>
              <w:jc w:val="center"/>
              <w:rPr>
                <w:sz w:val="20"/>
              </w:rPr>
            </w:pPr>
            <w:r>
              <w:rPr>
                <w:sz w:val="20"/>
              </w:rPr>
              <w:t>NV</w:t>
            </w:r>
          </w:p>
          <w:p w:rsidR="00C45A4E" w:rsidRDefault="008B14B3" w:rsidP="006307C1">
            <w:pPr>
              <w:keepNext/>
              <w:jc w:val="center"/>
              <w:rPr>
                <w:sz w:val="20"/>
              </w:rPr>
            </w:pPr>
            <w:r>
              <w:rPr>
                <w:sz w:val="20"/>
              </w:rPr>
              <w:t>NV</w:t>
            </w:r>
            <w:r w:rsidR="00C45A4E">
              <w:rPr>
                <w:sz w:val="20"/>
              </w:rPr>
              <w:t xml:space="preserve"> </w:t>
            </w:r>
          </w:p>
        </w:tc>
      </w:tr>
      <w:tr w:rsidR="00093081" w:rsidRPr="001F4A0C" w:rsidTr="00093081">
        <w:trPr>
          <w:cantSplit/>
          <w:trHeight w:val="243"/>
        </w:trPr>
        <w:tc>
          <w:tcPr>
            <w:tcW w:w="982" w:type="pct"/>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Severity:</w:t>
            </w:r>
          </w:p>
        </w:tc>
        <w:tc>
          <w:tcPr>
            <w:tcW w:w="4018" w:type="pct"/>
            <w:gridSpan w:val="7"/>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Pr>
                <w:rFonts w:ascii="Arial Narrow" w:hAnsi="Arial Narrow"/>
                <w:sz w:val="20"/>
              </w:rPr>
              <w:t>S</w:t>
            </w:r>
            <w:r w:rsidRPr="001F4A0C">
              <w:rPr>
                <w:rFonts w:ascii="Arial Narrow" w:hAnsi="Arial Narrow"/>
                <w:sz w:val="20"/>
              </w:rPr>
              <w:t>evere</w:t>
            </w:r>
            <w:r>
              <w:rPr>
                <w:rFonts w:ascii="Arial Narrow" w:hAnsi="Arial Narrow"/>
                <w:sz w:val="20"/>
              </w:rPr>
              <w:t xml:space="preserve"> - </w:t>
            </w:r>
            <w:r w:rsidRPr="001F4A0C">
              <w:rPr>
                <w:rFonts w:ascii="Arial Narrow" w:hAnsi="Arial Narrow"/>
                <w:sz w:val="20"/>
              </w:rPr>
              <w:t>The whole body (baseline PASI &gt;15) OR the face, a palm of a hand or the sole of a foot (2 of 3 PASI symptom sub-scores rated as ‘severe’ or ‘very severe’ or 30% or more of the area is affected)</w:t>
            </w:r>
            <w:r>
              <w:rPr>
                <w:rFonts w:ascii="Arial Narrow" w:hAnsi="Arial Narrow"/>
                <w:sz w:val="20"/>
              </w:rPr>
              <w:t xml:space="preserve">.  </w:t>
            </w:r>
          </w:p>
        </w:tc>
      </w:tr>
      <w:tr w:rsidR="00093081" w:rsidRPr="001F4A0C" w:rsidTr="00093081">
        <w:trPr>
          <w:cantSplit/>
          <w:trHeight w:val="243"/>
        </w:trPr>
        <w:tc>
          <w:tcPr>
            <w:tcW w:w="982" w:type="pct"/>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Condition:</w:t>
            </w:r>
          </w:p>
        </w:tc>
        <w:tc>
          <w:tcPr>
            <w:tcW w:w="4018" w:type="pct"/>
            <w:gridSpan w:val="7"/>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Plaque psoriasis</w:t>
            </w:r>
          </w:p>
        </w:tc>
      </w:tr>
      <w:tr w:rsidR="00093081" w:rsidRPr="001F4A0C" w:rsidTr="00093081">
        <w:trPr>
          <w:cantSplit/>
          <w:trHeight w:val="243"/>
        </w:trPr>
        <w:tc>
          <w:tcPr>
            <w:tcW w:w="982" w:type="pct"/>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Restriction:</w:t>
            </w:r>
          </w:p>
        </w:tc>
        <w:tc>
          <w:tcPr>
            <w:tcW w:w="4018" w:type="pct"/>
            <w:gridSpan w:val="7"/>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i/>
                <w:sz w:val="20"/>
              </w:rPr>
            </w:pPr>
            <w:r>
              <w:rPr>
                <w:rFonts w:ascii="Arial Narrow" w:hAnsi="Arial Narrow"/>
                <w:sz w:val="20"/>
              </w:rPr>
              <w:t xml:space="preserve">Section 85 </w:t>
            </w:r>
            <w:r w:rsidR="00283BCD">
              <w:rPr>
                <w:rFonts w:ascii="Arial Narrow" w:hAnsi="Arial Narrow"/>
                <w:sz w:val="20"/>
              </w:rPr>
              <w:t xml:space="preserve">(General Schedule) </w:t>
            </w:r>
            <w:r w:rsidRPr="00283BCD">
              <w:rPr>
                <w:rFonts w:ascii="Arial Narrow" w:hAnsi="Arial Narrow"/>
                <w:sz w:val="20"/>
              </w:rPr>
              <w:t>Authority Required</w:t>
            </w:r>
          </w:p>
        </w:tc>
      </w:tr>
      <w:tr w:rsidR="00093081" w:rsidRPr="001F4A0C" w:rsidTr="00093081">
        <w:trPr>
          <w:cantSplit/>
          <w:trHeight w:val="243"/>
        </w:trPr>
        <w:tc>
          <w:tcPr>
            <w:tcW w:w="982" w:type="pct"/>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Treatment phase:</w:t>
            </w:r>
          </w:p>
        </w:tc>
        <w:tc>
          <w:tcPr>
            <w:tcW w:w="4018" w:type="pct"/>
            <w:gridSpan w:val="7"/>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Initial and continuing</w:t>
            </w:r>
          </w:p>
        </w:tc>
      </w:tr>
      <w:tr w:rsidR="00093081" w:rsidRPr="001F4A0C" w:rsidTr="00093081">
        <w:trPr>
          <w:cantSplit/>
          <w:trHeight w:val="243"/>
        </w:trPr>
        <w:tc>
          <w:tcPr>
            <w:tcW w:w="982" w:type="pct"/>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Treatment criteria:</w:t>
            </w:r>
          </w:p>
        </w:tc>
        <w:tc>
          <w:tcPr>
            <w:tcW w:w="4018" w:type="pct"/>
            <w:gridSpan w:val="7"/>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t>Must be initiated by a dermatologist</w:t>
            </w:r>
            <w:r>
              <w:rPr>
                <w:rFonts w:ascii="Arial Narrow" w:hAnsi="Arial Narrow"/>
                <w:sz w:val="20"/>
              </w:rPr>
              <w:t xml:space="preserve">.  </w:t>
            </w:r>
            <w:r w:rsidRPr="004E2F48">
              <w:rPr>
                <w:rFonts w:ascii="Arial Narrow" w:hAnsi="Arial Narrow"/>
                <w:sz w:val="20"/>
              </w:rPr>
              <w:t>Treatment must be used as systemic monotherapy (other than methotrexate).</w:t>
            </w:r>
          </w:p>
        </w:tc>
      </w:tr>
      <w:tr w:rsidR="00093081" w:rsidRPr="001F4A0C" w:rsidTr="00093081">
        <w:trPr>
          <w:cantSplit/>
          <w:trHeight w:val="243"/>
        </w:trPr>
        <w:tc>
          <w:tcPr>
            <w:tcW w:w="982" w:type="pct"/>
            <w:tcBorders>
              <w:top w:val="single" w:sz="4" w:space="0" w:color="auto"/>
              <w:left w:val="single" w:sz="4" w:space="0" w:color="auto"/>
              <w:bottom w:val="single" w:sz="4" w:space="0" w:color="auto"/>
              <w:right w:val="single" w:sz="4" w:space="0" w:color="auto"/>
            </w:tcBorders>
          </w:tcPr>
          <w:p w:rsidR="00C45A4E" w:rsidRPr="001F4A0C" w:rsidRDefault="00C45A4E" w:rsidP="006307C1">
            <w:pPr>
              <w:rPr>
                <w:rFonts w:ascii="Arial Narrow" w:hAnsi="Arial Narrow"/>
                <w:sz w:val="20"/>
              </w:rPr>
            </w:pPr>
            <w:r w:rsidRPr="001F4A0C">
              <w:rPr>
                <w:rFonts w:ascii="Arial Narrow" w:hAnsi="Arial Narrow"/>
                <w:sz w:val="20"/>
              </w:rPr>
              <w:lastRenderedPageBreak/>
              <w:t>Clinical criteria:</w:t>
            </w:r>
          </w:p>
        </w:tc>
        <w:tc>
          <w:tcPr>
            <w:tcW w:w="4018" w:type="pct"/>
            <w:gridSpan w:val="7"/>
            <w:tcBorders>
              <w:top w:val="single" w:sz="4" w:space="0" w:color="auto"/>
              <w:left w:val="single" w:sz="4" w:space="0" w:color="auto"/>
              <w:bottom w:val="single" w:sz="4" w:space="0" w:color="auto"/>
              <w:right w:val="single" w:sz="4" w:space="0" w:color="auto"/>
            </w:tcBorders>
          </w:tcPr>
          <w:p w:rsidR="00C45A4E" w:rsidRPr="004E2F48" w:rsidRDefault="00C45A4E" w:rsidP="006307C1">
            <w:pPr>
              <w:pStyle w:val="ListParagraph"/>
              <w:numPr>
                <w:ilvl w:val="0"/>
                <w:numId w:val="29"/>
              </w:numPr>
              <w:ind w:left="257" w:hanging="257"/>
              <w:rPr>
                <w:rFonts w:ascii="Arial Narrow" w:hAnsi="Arial Narrow"/>
                <w:sz w:val="20"/>
              </w:rPr>
            </w:pPr>
            <w:r w:rsidRPr="004E2F48">
              <w:rPr>
                <w:rFonts w:ascii="Arial Narrow" w:hAnsi="Arial Narrow"/>
                <w:sz w:val="20"/>
              </w:rPr>
              <w:t>Failed to achieve an adequate response based on PASI assessment, contra-indicated or intolerant to at least 3 of the 4 following treatments:</w:t>
            </w:r>
          </w:p>
          <w:p w:rsidR="00C45A4E" w:rsidRPr="004E2F48" w:rsidRDefault="00C45A4E" w:rsidP="006307C1">
            <w:pPr>
              <w:tabs>
                <w:tab w:val="left" w:pos="540"/>
              </w:tabs>
              <w:ind w:firstLine="257"/>
              <w:rPr>
                <w:rFonts w:ascii="Arial Narrow" w:hAnsi="Arial Narrow"/>
                <w:sz w:val="20"/>
              </w:rPr>
            </w:pPr>
            <w:r w:rsidRPr="004E2F48">
              <w:rPr>
                <w:rFonts w:ascii="Arial Narrow" w:hAnsi="Arial Narrow"/>
                <w:sz w:val="20"/>
              </w:rPr>
              <w:t>-</w:t>
            </w:r>
            <w:r w:rsidRPr="004E2F48">
              <w:rPr>
                <w:rFonts w:ascii="Arial Narrow" w:hAnsi="Arial Narrow"/>
                <w:sz w:val="20"/>
              </w:rPr>
              <w:tab/>
              <w:t>phototherapy (UVB or PUVA) for 3 treatments per week for at least 6 weeks;</w:t>
            </w:r>
          </w:p>
          <w:p w:rsidR="00C45A4E" w:rsidRPr="004E2F48" w:rsidRDefault="00C45A4E" w:rsidP="006307C1">
            <w:pPr>
              <w:tabs>
                <w:tab w:val="left" w:pos="540"/>
              </w:tabs>
              <w:ind w:firstLine="257"/>
              <w:rPr>
                <w:rFonts w:ascii="Arial Narrow" w:hAnsi="Arial Narrow"/>
                <w:sz w:val="20"/>
              </w:rPr>
            </w:pPr>
            <w:r w:rsidRPr="004E2F48">
              <w:rPr>
                <w:rFonts w:ascii="Arial Narrow" w:hAnsi="Arial Narrow"/>
                <w:sz w:val="20"/>
              </w:rPr>
              <w:t>-</w:t>
            </w:r>
            <w:r w:rsidRPr="004E2F48">
              <w:rPr>
                <w:rFonts w:ascii="Arial Narrow" w:hAnsi="Arial Narrow"/>
                <w:sz w:val="20"/>
              </w:rPr>
              <w:tab/>
              <w:t>methotrexate at a dose of at least 10mg weekly for at least 6 weeks;</w:t>
            </w:r>
          </w:p>
          <w:p w:rsidR="00C45A4E" w:rsidRPr="004E2F48" w:rsidRDefault="00C45A4E" w:rsidP="006307C1">
            <w:pPr>
              <w:tabs>
                <w:tab w:val="left" w:pos="540"/>
              </w:tabs>
              <w:ind w:firstLine="257"/>
              <w:rPr>
                <w:rFonts w:ascii="Arial Narrow" w:hAnsi="Arial Narrow"/>
                <w:sz w:val="20"/>
              </w:rPr>
            </w:pPr>
            <w:r w:rsidRPr="004E2F48">
              <w:rPr>
                <w:rFonts w:ascii="Arial Narrow" w:hAnsi="Arial Narrow"/>
                <w:sz w:val="20"/>
              </w:rPr>
              <w:t>-</w:t>
            </w:r>
            <w:r w:rsidRPr="004E2F48">
              <w:rPr>
                <w:rFonts w:ascii="Arial Narrow" w:hAnsi="Arial Narrow"/>
                <w:sz w:val="20"/>
              </w:rPr>
              <w:tab/>
              <w:t>cyclosporin at a dose of at least 2 mg per kg per day for at least 6 weeks;</w:t>
            </w:r>
          </w:p>
          <w:p w:rsidR="00C45A4E" w:rsidRPr="004E2F48" w:rsidRDefault="00C45A4E" w:rsidP="006307C1">
            <w:pPr>
              <w:tabs>
                <w:tab w:val="left" w:pos="540"/>
              </w:tabs>
              <w:ind w:firstLine="257"/>
              <w:rPr>
                <w:rFonts w:ascii="Arial Narrow" w:hAnsi="Arial Narrow"/>
                <w:sz w:val="20"/>
              </w:rPr>
            </w:pPr>
            <w:r w:rsidRPr="004E2F48">
              <w:rPr>
                <w:rFonts w:ascii="Arial Narrow" w:hAnsi="Arial Narrow"/>
                <w:sz w:val="20"/>
              </w:rPr>
              <w:t>-</w:t>
            </w:r>
            <w:r w:rsidRPr="004E2F48">
              <w:rPr>
                <w:rFonts w:ascii="Arial Narrow" w:hAnsi="Arial Narrow"/>
                <w:sz w:val="20"/>
              </w:rPr>
              <w:tab/>
              <w:t>acitretin at a dose of at least 0.4 mg per kg per day for at least 6 weeks.</w:t>
            </w:r>
          </w:p>
          <w:p w:rsidR="00C45A4E" w:rsidRPr="004E2F48" w:rsidRDefault="00C45A4E" w:rsidP="006307C1">
            <w:pPr>
              <w:pStyle w:val="ListParagraph"/>
              <w:numPr>
                <w:ilvl w:val="0"/>
                <w:numId w:val="29"/>
              </w:numPr>
              <w:ind w:left="257" w:hanging="257"/>
              <w:rPr>
                <w:rFonts w:ascii="Arial Narrow" w:hAnsi="Arial Narrow"/>
                <w:sz w:val="20"/>
              </w:rPr>
            </w:pPr>
            <w:r w:rsidRPr="004E2F48">
              <w:rPr>
                <w:rFonts w:ascii="Arial Narrow" w:hAnsi="Arial Narrow"/>
                <w:sz w:val="20"/>
              </w:rPr>
              <w:t>Initial Authority approval is limited to 16 weeks and patients must be assessed for response to an initial treatment course after at least 12 weeks of treatment.</w:t>
            </w:r>
          </w:p>
          <w:p w:rsidR="00C45A4E" w:rsidRDefault="00C45A4E" w:rsidP="006307C1">
            <w:pPr>
              <w:pStyle w:val="ListParagraph"/>
              <w:numPr>
                <w:ilvl w:val="0"/>
                <w:numId w:val="29"/>
              </w:numPr>
              <w:ind w:left="257" w:hanging="257"/>
              <w:rPr>
                <w:rFonts w:ascii="Arial Narrow" w:hAnsi="Arial Narrow"/>
                <w:sz w:val="20"/>
              </w:rPr>
            </w:pPr>
            <w:r w:rsidRPr="004E2F48">
              <w:rPr>
                <w:rFonts w:ascii="Arial Narrow" w:hAnsi="Arial Narrow"/>
                <w:sz w:val="20"/>
              </w:rPr>
              <w:t>Patients are required to demonstrate an adequate response or maintenance of an adequate response for continuing treatment.  For patients with whole body psoriasis this is defined as a 75% reduction in PASI score from baseline (PASI 75 response).  For patients with face, palm or sole psoriasis, response is defined as a reduction in all three PASI sub-scores to ‘slight’ or ‘none’ or 75% reduction in the area affected.</w:t>
            </w:r>
          </w:p>
          <w:p w:rsidR="00C45A4E" w:rsidRPr="004E2F48" w:rsidRDefault="00C45A4E" w:rsidP="006307C1">
            <w:pPr>
              <w:pStyle w:val="ListParagraph"/>
              <w:numPr>
                <w:ilvl w:val="0"/>
                <w:numId w:val="29"/>
              </w:numPr>
              <w:ind w:left="257" w:hanging="257"/>
              <w:rPr>
                <w:rFonts w:ascii="Arial Narrow" w:hAnsi="Arial Narrow"/>
                <w:sz w:val="20"/>
              </w:rPr>
            </w:pPr>
            <w:r w:rsidRPr="004E2F48">
              <w:rPr>
                <w:rFonts w:ascii="Arial Narrow" w:hAnsi="Arial Narrow"/>
                <w:sz w:val="20"/>
              </w:rPr>
              <w:t>Continuing Authority approval is for 26 weeks (6 months equivalent).</w:t>
            </w:r>
          </w:p>
        </w:tc>
      </w:tr>
    </w:tbl>
    <w:p w:rsidR="00B60939" w:rsidRPr="00882085" w:rsidRDefault="00B60939" w:rsidP="004B1CB4"/>
    <w:p w:rsidR="00CD1C8D" w:rsidRDefault="00283BCD" w:rsidP="002E2D29">
      <w:pPr>
        <w:pStyle w:val="ListParagraph"/>
        <w:numPr>
          <w:ilvl w:val="1"/>
          <w:numId w:val="7"/>
        </w:numPr>
        <w:rPr>
          <w:szCs w:val="22"/>
        </w:rPr>
      </w:pPr>
      <w:r w:rsidRPr="00A163CA">
        <w:rPr>
          <w:szCs w:val="22"/>
        </w:rPr>
        <w:t xml:space="preserve">The submission also </w:t>
      </w:r>
      <w:r w:rsidR="002E2D29">
        <w:rPr>
          <w:szCs w:val="22"/>
        </w:rPr>
        <w:t>sought</w:t>
      </w:r>
      <w:r w:rsidRPr="00A163CA">
        <w:rPr>
          <w:szCs w:val="22"/>
        </w:rPr>
        <w:t xml:space="preserve"> an increase in the number of treatments a patient can use in a treatment cycle from </w:t>
      </w:r>
      <w:r w:rsidR="00633071">
        <w:rPr>
          <w:szCs w:val="22"/>
        </w:rPr>
        <w:t xml:space="preserve">the </w:t>
      </w:r>
      <w:r w:rsidR="002E2D29">
        <w:rPr>
          <w:szCs w:val="22"/>
        </w:rPr>
        <w:t>current three</w:t>
      </w:r>
      <w:r w:rsidRPr="00A163CA">
        <w:rPr>
          <w:szCs w:val="22"/>
        </w:rPr>
        <w:t xml:space="preserve"> biological agents </w:t>
      </w:r>
      <w:r w:rsidR="002E2D29">
        <w:rPr>
          <w:szCs w:val="22"/>
        </w:rPr>
        <w:t>to a proposed four agents</w:t>
      </w:r>
      <w:r w:rsidR="00633071">
        <w:rPr>
          <w:szCs w:val="22"/>
        </w:rPr>
        <w:t>,</w:t>
      </w:r>
      <w:r w:rsidR="002E2D29">
        <w:rPr>
          <w:szCs w:val="22"/>
        </w:rPr>
        <w:t xml:space="preserve"> and to extend this to </w:t>
      </w:r>
      <w:r w:rsidRPr="00A163CA">
        <w:rPr>
          <w:szCs w:val="22"/>
        </w:rPr>
        <w:t>the restrictions of all PBS listed bDMARDs.</w:t>
      </w:r>
      <w:r w:rsidR="00A04D5E" w:rsidRPr="00A163CA">
        <w:rPr>
          <w:szCs w:val="22"/>
        </w:rPr>
        <w:t xml:space="preserve">  </w:t>
      </w:r>
      <w:r w:rsidR="00A163CA" w:rsidRPr="00A163CA">
        <w:rPr>
          <w:szCs w:val="22"/>
        </w:rPr>
        <w:t>No data</w:t>
      </w:r>
      <w:r w:rsidR="002E2D29">
        <w:rPr>
          <w:szCs w:val="22"/>
        </w:rPr>
        <w:t xml:space="preserve"> directly supportive of </w:t>
      </w:r>
      <w:r w:rsidR="00633071">
        <w:rPr>
          <w:szCs w:val="22"/>
        </w:rPr>
        <w:t xml:space="preserve">this </w:t>
      </w:r>
      <w:r w:rsidR="002E2D29">
        <w:rPr>
          <w:szCs w:val="22"/>
        </w:rPr>
        <w:t>change wa</w:t>
      </w:r>
      <w:r w:rsidR="00A163CA" w:rsidRPr="00A163CA">
        <w:rPr>
          <w:szCs w:val="22"/>
        </w:rPr>
        <w:t>s presented in the submission</w:t>
      </w:r>
      <w:r w:rsidR="002E2D29">
        <w:rPr>
          <w:szCs w:val="22"/>
        </w:rPr>
        <w:t>.</w:t>
      </w:r>
      <w:r w:rsidR="00A163CA">
        <w:rPr>
          <w:szCs w:val="22"/>
        </w:rPr>
        <w:t xml:space="preserve"> </w:t>
      </w:r>
      <w:r w:rsidR="00A163CA" w:rsidRPr="006E0C1A">
        <w:rPr>
          <w:szCs w:val="22"/>
        </w:rPr>
        <w:t>Adalimumab, etanercept and infliximab are all anti-tumour necrosis factor (anti-TNF) agents, ustekinumab is an antibody against interleukin 12 and 23, whilst secukinumab is an antibody against interleukin 17.</w:t>
      </w:r>
      <w:r w:rsidR="00651017">
        <w:rPr>
          <w:szCs w:val="22"/>
        </w:rPr>
        <w:t xml:space="preserve"> </w:t>
      </w:r>
      <w:r w:rsidR="00A163CA" w:rsidRPr="006E0C1A">
        <w:rPr>
          <w:szCs w:val="22"/>
        </w:rPr>
        <w:t>Therefore, even if the maximum number of treatments remain at three, it is possible for a patient to have tried and failed one biological agent in each class, including secukinumab, before the treatment cycle is over</w:t>
      </w:r>
      <w:r w:rsidR="00A163CA" w:rsidRPr="00A163CA">
        <w:rPr>
          <w:i/>
          <w:szCs w:val="22"/>
        </w:rPr>
        <w:t>.</w:t>
      </w:r>
      <w:r w:rsidR="00A163CA">
        <w:rPr>
          <w:i/>
          <w:szCs w:val="22"/>
        </w:rPr>
        <w:t xml:space="preserve">  </w:t>
      </w:r>
      <w:r w:rsidR="002E2D29">
        <w:rPr>
          <w:szCs w:val="22"/>
        </w:rPr>
        <w:t>The ESC</w:t>
      </w:r>
      <w:r w:rsidR="00A163CA" w:rsidRPr="002E2D29">
        <w:rPr>
          <w:szCs w:val="22"/>
        </w:rPr>
        <w:t xml:space="preserve"> noted that </w:t>
      </w:r>
      <w:r w:rsidR="00633071">
        <w:rPr>
          <w:szCs w:val="22"/>
        </w:rPr>
        <w:t>keeping</w:t>
      </w:r>
      <w:r w:rsidR="00A163CA" w:rsidRPr="002E2D29">
        <w:rPr>
          <w:szCs w:val="22"/>
        </w:rPr>
        <w:t xml:space="preserve"> the number of biologics </w:t>
      </w:r>
      <w:r w:rsidR="00642417" w:rsidRPr="002E2D29">
        <w:rPr>
          <w:szCs w:val="22"/>
        </w:rPr>
        <w:t xml:space="preserve">per treatment cycle </w:t>
      </w:r>
      <w:r w:rsidR="002E2D29">
        <w:rPr>
          <w:szCs w:val="22"/>
        </w:rPr>
        <w:t>as three</w:t>
      </w:r>
      <w:r w:rsidR="00A163CA" w:rsidRPr="002E2D29">
        <w:rPr>
          <w:szCs w:val="22"/>
        </w:rPr>
        <w:t xml:space="preserve"> </w:t>
      </w:r>
      <w:r w:rsidR="002E2D29">
        <w:rPr>
          <w:szCs w:val="22"/>
        </w:rPr>
        <w:t>would mean that</w:t>
      </w:r>
      <w:r w:rsidR="00A163CA" w:rsidRPr="002E2D29">
        <w:rPr>
          <w:szCs w:val="22"/>
        </w:rPr>
        <w:t xml:space="preserve"> secukinumab is replacing one of three other agents</w:t>
      </w:r>
      <w:r w:rsidR="00633071">
        <w:rPr>
          <w:szCs w:val="22"/>
        </w:rPr>
        <w:t>. I</w:t>
      </w:r>
      <w:r w:rsidR="002E2D29">
        <w:rPr>
          <w:szCs w:val="22"/>
        </w:rPr>
        <w:t>ncreasing it to four</w:t>
      </w:r>
      <w:r w:rsidR="00A163CA" w:rsidRPr="002E2D29">
        <w:rPr>
          <w:szCs w:val="22"/>
        </w:rPr>
        <w:t xml:space="preserve"> </w:t>
      </w:r>
      <w:r w:rsidR="00633071">
        <w:rPr>
          <w:szCs w:val="22"/>
        </w:rPr>
        <w:t xml:space="preserve">is effectively </w:t>
      </w:r>
      <w:r w:rsidR="00A163CA" w:rsidRPr="002E2D29">
        <w:rPr>
          <w:szCs w:val="22"/>
        </w:rPr>
        <w:t xml:space="preserve">the addition of a </w:t>
      </w:r>
      <w:r w:rsidR="002E2D29">
        <w:rPr>
          <w:szCs w:val="22"/>
        </w:rPr>
        <w:t>fourth</w:t>
      </w:r>
      <w:r w:rsidR="00A163CA" w:rsidRPr="002E2D29">
        <w:rPr>
          <w:szCs w:val="22"/>
        </w:rPr>
        <w:t xml:space="preserve"> line of therapy. This</w:t>
      </w:r>
      <w:r w:rsidR="00633071">
        <w:rPr>
          <w:szCs w:val="22"/>
        </w:rPr>
        <w:t xml:space="preserve"> potenti</w:t>
      </w:r>
      <w:r w:rsidR="00BD4532">
        <w:rPr>
          <w:szCs w:val="22"/>
        </w:rPr>
        <w:t>al</w:t>
      </w:r>
      <w:r w:rsidR="00633071">
        <w:rPr>
          <w:szCs w:val="22"/>
        </w:rPr>
        <w:t xml:space="preserve"> change</w:t>
      </w:r>
      <w:r w:rsidR="00A163CA" w:rsidRPr="002E2D29">
        <w:rPr>
          <w:szCs w:val="22"/>
        </w:rPr>
        <w:t xml:space="preserve"> ha</w:t>
      </w:r>
      <w:r w:rsidR="00AC6226">
        <w:rPr>
          <w:szCs w:val="22"/>
        </w:rPr>
        <w:t>d</w:t>
      </w:r>
      <w:r w:rsidR="00A163CA" w:rsidRPr="002E2D29">
        <w:rPr>
          <w:szCs w:val="22"/>
        </w:rPr>
        <w:t xml:space="preserve"> implications for the</w:t>
      </w:r>
      <w:r w:rsidR="006E0C1A" w:rsidRPr="002E2D29">
        <w:rPr>
          <w:szCs w:val="22"/>
        </w:rPr>
        <w:t xml:space="preserve"> choice of comparator, the cost-minimisation analysis and the </w:t>
      </w:r>
      <w:r w:rsidR="00A163CA" w:rsidRPr="002E2D29">
        <w:rPr>
          <w:szCs w:val="22"/>
        </w:rPr>
        <w:t>financial</w:t>
      </w:r>
      <w:r w:rsidR="002E2D29">
        <w:rPr>
          <w:szCs w:val="22"/>
        </w:rPr>
        <w:t xml:space="preserve"> estimates</w:t>
      </w:r>
      <w:r w:rsidR="00633071">
        <w:rPr>
          <w:szCs w:val="22"/>
        </w:rPr>
        <w:t>,</w:t>
      </w:r>
      <w:r w:rsidR="002E2D29">
        <w:rPr>
          <w:szCs w:val="22"/>
        </w:rPr>
        <w:t xml:space="preserve"> as the use of up to four agents compared to three </w:t>
      </w:r>
      <w:r w:rsidR="00A163CA" w:rsidRPr="002E2D29">
        <w:rPr>
          <w:szCs w:val="22"/>
        </w:rPr>
        <w:t xml:space="preserve">agents </w:t>
      </w:r>
      <w:r w:rsidR="00633071">
        <w:rPr>
          <w:szCs w:val="22"/>
        </w:rPr>
        <w:t xml:space="preserve">results in </w:t>
      </w:r>
      <w:r w:rsidR="00A163CA" w:rsidRPr="002E2D29">
        <w:rPr>
          <w:szCs w:val="22"/>
        </w:rPr>
        <w:t>greater drug treatment costs.</w:t>
      </w:r>
    </w:p>
    <w:p w:rsidR="00AE2898" w:rsidRDefault="00AE2898" w:rsidP="00AE2898">
      <w:pPr>
        <w:pStyle w:val="ListParagraph"/>
        <w:rPr>
          <w:szCs w:val="22"/>
        </w:rPr>
      </w:pPr>
    </w:p>
    <w:p w:rsidR="00633071" w:rsidRPr="00633071" w:rsidRDefault="00AE2898" w:rsidP="00CD1C8D">
      <w:pPr>
        <w:pStyle w:val="ListParagraph"/>
        <w:numPr>
          <w:ilvl w:val="1"/>
          <w:numId w:val="7"/>
        </w:numPr>
        <w:rPr>
          <w:szCs w:val="22"/>
        </w:rPr>
      </w:pPr>
      <w:r w:rsidRPr="00633071">
        <w:rPr>
          <w:szCs w:val="22"/>
          <w:lang w:val="en-US"/>
        </w:rPr>
        <w:t xml:space="preserve">Following the </w:t>
      </w:r>
      <w:r w:rsidR="00633071" w:rsidRPr="00633071">
        <w:rPr>
          <w:szCs w:val="22"/>
          <w:lang w:val="en-US"/>
        </w:rPr>
        <w:t xml:space="preserve">review by </w:t>
      </w:r>
      <w:r w:rsidRPr="00633071">
        <w:rPr>
          <w:szCs w:val="22"/>
          <w:lang w:val="en-US"/>
        </w:rPr>
        <w:t xml:space="preserve">the ESC, the sponsor, in its pre-PBAC response, </w:t>
      </w:r>
      <w:r w:rsidR="00633071" w:rsidRPr="00633071">
        <w:rPr>
          <w:szCs w:val="22"/>
          <w:lang w:val="en-US"/>
        </w:rPr>
        <w:t xml:space="preserve">withdrew the proposed </w:t>
      </w:r>
      <w:r w:rsidRPr="00633071">
        <w:rPr>
          <w:szCs w:val="22"/>
          <w:lang w:val="en-US"/>
        </w:rPr>
        <w:t>increas</w:t>
      </w:r>
      <w:r w:rsidR="00633071" w:rsidRPr="00633071">
        <w:rPr>
          <w:szCs w:val="22"/>
          <w:lang w:val="en-US"/>
        </w:rPr>
        <w:t>e in</w:t>
      </w:r>
      <w:r w:rsidRPr="00633071">
        <w:rPr>
          <w:szCs w:val="22"/>
          <w:lang w:val="en-US"/>
        </w:rPr>
        <w:t xml:space="preserve"> the number of treatments used per cycle</w:t>
      </w:r>
      <w:r w:rsidR="00633071" w:rsidRPr="00633071">
        <w:rPr>
          <w:szCs w:val="22"/>
          <w:lang w:val="en-US"/>
        </w:rPr>
        <w:t>.</w:t>
      </w:r>
      <w:r w:rsidRPr="00633071">
        <w:rPr>
          <w:szCs w:val="22"/>
          <w:lang w:val="en-US"/>
        </w:rPr>
        <w:t xml:space="preserve"> </w:t>
      </w:r>
    </w:p>
    <w:p w:rsidR="00CD1C8D" w:rsidRPr="00633071" w:rsidRDefault="00CD1C8D" w:rsidP="00633071">
      <w:pPr>
        <w:pStyle w:val="ListParagraph"/>
        <w:rPr>
          <w:szCs w:val="22"/>
        </w:rPr>
      </w:pPr>
    </w:p>
    <w:p w:rsidR="00A163CA" w:rsidRPr="002E2D29" w:rsidRDefault="00CD1C8D" w:rsidP="00CD1C8D">
      <w:pPr>
        <w:pStyle w:val="ListParagraph"/>
        <w:rPr>
          <w:szCs w:val="22"/>
        </w:rPr>
      </w:pPr>
      <w:r w:rsidRPr="00CD1C8D">
        <w:rPr>
          <w:i/>
          <w:szCs w:val="22"/>
        </w:rPr>
        <w:t>For more detail on PBAC’s view, see section 7 “PBAC outcome”</w:t>
      </w:r>
      <w:r w:rsidR="00AE2898">
        <w:rPr>
          <w:i/>
          <w:szCs w:val="22"/>
        </w:rPr>
        <w:t>.</w:t>
      </w:r>
      <w:r w:rsidR="00A163CA" w:rsidRPr="002E2D29">
        <w:rPr>
          <w:i/>
          <w:szCs w:val="22"/>
        </w:rPr>
        <w:t xml:space="preserve"> </w:t>
      </w:r>
    </w:p>
    <w:p w:rsidR="004E43B2" w:rsidRDefault="004E43B2" w:rsidP="00CD1C8D">
      <w:pPr>
        <w:ind w:left="720"/>
      </w:pPr>
    </w:p>
    <w:p w:rsidR="007830C4" w:rsidRPr="00882085" w:rsidRDefault="007830C4" w:rsidP="004B1CB4"/>
    <w:p w:rsidR="00B50DB8" w:rsidRPr="00407F2D" w:rsidRDefault="00B50DB8" w:rsidP="00BD6CF3">
      <w:pPr>
        <w:pStyle w:val="PBACHeading1"/>
      </w:pPr>
      <w:bookmarkStart w:id="3" w:name="_Toc409605603"/>
      <w:r w:rsidRPr="00407F2D">
        <w:t>Background</w:t>
      </w:r>
      <w:bookmarkEnd w:id="3"/>
    </w:p>
    <w:p w:rsidR="00B60939" w:rsidRPr="0004262B" w:rsidRDefault="00B60939" w:rsidP="00B60939">
      <w:pPr>
        <w:rPr>
          <w:szCs w:val="22"/>
        </w:rPr>
      </w:pPr>
    </w:p>
    <w:p w:rsidR="002E2D29" w:rsidRDefault="00B60939" w:rsidP="00642417">
      <w:pPr>
        <w:pStyle w:val="ListParagraph"/>
        <w:widowControl/>
        <w:numPr>
          <w:ilvl w:val="1"/>
          <w:numId w:val="7"/>
        </w:numPr>
      </w:pPr>
      <w:r w:rsidRPr="00642417">
        <w:t>The submission was made u</w:t>
      </w:r>
      <w:r w:rsidR="00642417" w:rsidRPr="00642417">
        <w:t xml:space="preserve">nder TGA/PBAC </w:t>
      </w:r>
      <w:r w:rsidR="002E2D29">
        <w:t>parallel p</w:t>
      </w:r>
      <w:r w:rsidR="00642417" w:rsidRPr="00642417">
        <w:t>rocess</w:t>
      </w:r>
      <w:r w:rsidR="00BD4532">
        <w:t>es</w:t>
      </w:r>
      <w:r w:rsidR="00642417" w:rsidRPr="000D4C40">
        <w:t>.</w:t>
      </w:r>
    </w:p>
    <w:p w:rsidR="002E2D29" w:rsidRDefault="002E2D29" w:rsidP="002E2D29">
      <w:pPr>
        <w:pStyle w:val="ListParagraph"/>
        <w:widowControl/>
      </w:pPr>
    </w:p>
    <w:p w:rsidR="00B60939" w:rsidRPr="00642417" w:rsidRDefault="00642417" w:rsidP="00642417">
      <w:pPr>
        <w:pStyle w:val="ListParagraph"/>
        <w:widowControl/>
        <w:numPr>
          <w:ilvl w:val="1"/>
          <w:numId w:val="7"/>
        </w:numPr>
      </w:pPr>
      <w:r>
        <w:t xml:space="preserve">Secukinumab was TGA registered for treatment of moderate to severe plaque psoriasis in adult patients who are candidates for systemic therapy or phototherapy on 8 January 2015.  </w:t>
      </w:r>
    </w:p>
    <w:p w:rsidR="00B60939" w:rsidRPr="0004262B" w:rsidRDefault="00B60939" w:rsidP="00B60939">
      <w:pPr>
        <w:pStyle w:val="ListParagraph"/>
        <w:rPr>
          <w:szCs w:val="22"/>
        </w:rPr>
      </w:pPr>
    </w:p>
    <w:p w:rsidR="002C2775" w:rsidRPr="0004262B" w:rsidRDefault="002E2D29" w:rsidP="0004262B">
      <w:pPr>
        <w:pStyle w:val="ListParagraph"/>
        <w:widowControl/>
        <w:numPr>
          <w:ilvl w:val="1"/>
          <w:numId w:val="7"/>
        </w:numPr>
        <w:rPr>
          <w:szCs w:val="22"/>
        </w:rPr>
      </w:pPr>
      <w:r>
        <w:rPr>
          <w:szCs w:val="22"/>
        </w:rPr>
        <w:t>Secukinumab had</w:t>
      </w:r>
      <w:r w:rsidR="0004262B" w:rsidRPr="0004262B">
        <w:rPr>
          <w:szCs w:val="22"/>
        </w:rPr>
        <w:t xml:space="preserve"> not</w:t>
      </w:r>
      <w:r w:rsidR="00642417">
        <w:rPr>
          <w:szCs w:val="22"/>
        </w:rPr>
        <w:t xml:space="preserve"> previously</w:t>
      </w:r>
      <w:r w:rsidR="0004262B" w:rsidRPr="0004262B">
        <w:rPr>
          <w:szCs w:val="22"/>
        </w:rPr>
        <w:t xml:space="preserve"> been</w:t>
      </w:r>
      <w:r w:rsidR="00B60939" w:rsidRPr="0004262B">
        <w:rPr>
          <w:szCs w:val="22"/>
        </w:rPr>
        <w:t xml:space="preserve"> considered by </w:t>
      </w:r>
      <w:r w:rsidR="00642417">
        <w:rPr>
          <w:szCs w:val="22"/>
        </w:rPr>
        <w:t xml:space="preserve">the </w:t>
      </w:r>
      <w:r w:rsidR="00B60939" w:rsidRPr="0004262B">
        <w:rPr>
          <w:szCs w:val="22"/>
        </w:rPr>
        <w:t xml:space="preserve">PBAC </w:t>
      </w:r>
      <w:r w:rsidR="00EB6865">
        <w:rPr>
          <w:szCs w:val="22"/>
        </w:rPr>
        <w:t>for any indication</w:t>
      </w:r>
      <w:r w:rsidR="00A35D16" w:rsidRPr="0004262B">
        <w:rPr>
          <w:szCs w:val="22"/>
        </w:rPr>
        <w:t>.</w:t>
      </w:r>
    </w:p>
    <w:p w:rsidR="00E55BB5" w:rsidRDefault="00E55BB5" w:rsidP="004B1CB4"/>
    <w:p w:rsidR="007830C4" w:rsidRPr="00882085" w:rsidRDefault="007830C4" w:rsidP="004B1CB4"/>
    <w:p w:rsidR="00B50DB8" w:rsidRPr="00407F2D" w:rsidRDefault="00B50DB8" w:rsidP="00BD6CF3">
      <w:pPr>
        <w:pStyle w:val="PBACHeading1"/>
      </w:pPr>
      <w:bookmarkStart w:id="4" w:name="_Toc409605604"/>
      <w:r w:rsidRPr="00407F2D">
        <w:t>Clinical place for the proposed therapy</w:t>
      </w:r>
      <w:bookmarkEnd w:id="4"/>
    </w:p>
    <w:p w:rsidR="00B60939" w:rsidRPr="00882085" w:rsidRDefault="00B60939" w:rsidP="00B60939">
      <w:pPr>
        <w:rPr>
          <w:szCs w:val="22"/>
        </w:rPr>
      </w:pPr>
    </w:p>
    <w:p w:rsidR="00B60939" w:rsidRPr="0004262B" w:rsidRDefault="0004262B" w:rsidP="0004262B">
      <w:pPr>
        <w:pStyle w:val="ListParagraph"/>
        <w:widowControl/>
        <w:numPr>
          <w:ilvl w:val="1"/>
          <w:numId w:val="7"/>
        </w:numPr>
        <w:rPr>
          <w:szCs w:val="22"/>
        </w:rPr>
      </w:pPr>
      <w:r w:rsidRPr="0004262B">
        <w:t xml:space="preserve">Psoriasis is a chronic autoimmune disease with predominantly skin and joint manifestations, with plaque psoriasis being the most common form.  The major </w:t>
      </w:r>
      <w:r w:rsidRPr="0004262B">
        <w:lastRenderedPageBreak/>
        <w:t xml:space="preserve">manifestation is chronic inflammation of the skin characterised by disfiguring, scaling and erythematous plaques that may be painful or pruritic.  </w:t>
      </w:r>
    </w:p>
    <w:p w:rsidR="00894489" w:rsidRPr="002C2775" w:rsidRDefault="00894489" w:rsidP="00894489">
      <w:pPr>
        <w:widowControl/>
        <w:rPr>
          <w:szCs w:val="22"/>
        </w:rPr>
      </w:pPr>
    </w:p>
    <w:p w:rsidR="00B60939" w:rsidRPr="00596D6B" w:rsidRDefault="002E2D29" w:rsidP="0004262B">
      <w:pPr>
        <w:pStyle w:val="ListParagraph"/>
        <w:widowControl/>
        <w:numPr>
          <w:ilvl w:val="1"/>
          <w:numId w:val="7"/>
        </w:numPr>
        <w:rPr>
          <w:szCs w:val="22"/>
        </w:rPr>
      </w:pPr>
      <w:r>
        <w:rPr>
          <w:szCs w:val="22"/>
        </w:rPr>
        <w:t>Secukinumab i</w:t>
      </w:r>
      <w:r w:rsidR="0004262B" w:rsidRPr="00596D6B">
        <w:rPr>
          <w:szCs w:val="22"/>
        </w:rPr>
        <w:t>s expected to be used as an alternative to other existing bDMARDs (</w:t>
      </w:r>
      <w:r w:rsidR="00CA7EBA" w:rsidRPr="00596D6B">
        <w:rPr>
          <w:szCs w:val="22"/>
        </w:rPr>
        <w:t>ustekinumab</w:t>
      </w:r>
      <w:r w:rsidR="0004262B" w:rsidRPr="00596D6B">
        <w:rPr>
          <w:szCs w:val="22"/>
        </w:rPr>
        <w:t>, adalimumab, etanercept and infliximab)</w:t>
      </w:r>
      <w:r>
        <w:rPr>
          <w:szCs w:val="22"/>
        </w:rPr>
        <w:t xml:space="preserve"> in the treatment of severe chronic plaque psoriasis</w:t>
      </w:r>
      <w:r w:rsidR="00596D6B" w:rsidRPr="00596D6B">
        <w:rPr>
          <w:szCs w:val="22"/>
        </w:rPr>
        <w:t xml:space="preserve">.  </w:t>
      </w:r>
    </w:p>
    <w:p w:rsidR="002C2775" w:rsidRDefault="002C2775" w:rsidP="002C2775">
      <w:pPr>
        <w:widowControl/>
        <w:rPr>
          <w:szCs w:val="22"/>
        </w:rPr>
      </w:pPr>
    </w:p>
    <w:p w:rsidR="007830C4" w:rsidRPr="002C2775" w:rsidRDefault="007830C4" w:rsidP="002C2775">
      <w:pPr>
        <w:widowControl/>
        <w:rPr>
          <w:szCs w:val="22"/>
        </w:rPr>
      </w:pPr>
    </w:p>
    <w:p w:rsidR="00B50DB8" w:rsidRPr="00407F2D" w:rsidRDefault="00B50DB8" w:rsidP="00496A11">
      <w:pPr>
        <w:pStyle w:val="Header"/>
        <w:widowControl/>
        <w:numPr>
          <w:ilvl w:val="0"/>
          <w:numId w:val="7"/>
        </w:numPr>
        <w:tabs>
          <w:tab w:val="clear" w:pos="4513"/>
          <w:tab w:val="clear" w:pos="9026"/>
        </w:tabs>
        <w:rPr>
          <w:b/>
          <w:szCs w:val="22"/>
        </w:rPr>
      </w:pPr>
      <w:r w:rsidRPr="00407F2D">
        <w:rPr>
          <w:b/>
          <w:szCs w:val="22"/>
        </w:rPr>
        <w:t>Comparator</w:t>
      </w:r>
    </w:p>
    <w:p w:rsidR="00B60939" w:rsidRPr="00596D6B" w:rsidRDefault="00B60939" w:rsidP="004B1CB4"/>
    <w:p w:rsidR="002E2D29" w:rsidRPr="002E2D29" w:rsidRDefault="00642417" w:rsidP="00810D0B">
      <w:pPr>
        <w:pStyle w:val="ListParagraph"/>
        <w:widowControl/>
        <w:numPr>
          <w:ilvl w:val="1"/>
          <w:numId w:val="7"/>
        </w:numPr>
        <w:rPr>
          <w:i/>
          <w:iCs/>
        </w:rPr>
      </w:pPr>
      <w:r>
        <w:t>The submission proposed u</w:t>
      </w:r>
      <w:r w:rsidR="00596D6B" w:rsidRPr="00596D6B">
        <w:t>stekinumab as the main comparator based on</w:t>
      </w:r>
      <w:r>
        <w:t xml:space="preserve"> current utilisation data</w:t>
      </w:r>
      <w:r w:rsidR="00633071">
        <w:t xml:space="preserve">, </w:t>
      </w:r>
      <w:r w:rsidR="002E1AFA">
        <w:t>from a Medicar</w:t>
      </w:r>
      <w:r w:rsidR="00596D6B" w:rsidRPr="00596D6B">
        <w:t>e Australia data</w:t>
      </w:r>
      <w:r w:rsidR="002E1AFA">
        <w:t xml:space="preserve"> sample</w:t>
      </w:r>
      <w:r w:rsidR="00633071">
        <w:t>.</w:t>
      </w:r>
      <w:r w:rsidR="002E1AFA">
        <w:t xml:space="preserve"> </w:t>
      </w:r>
      <w:r w:rsidR="00633071">
        <w:t xml:space="preserve">Forty-four per cent </w:t>
      </w:r>
      <w:r w:rsidR="002E1AFA">
        <w:t xml:space="preserve">of </w:t>
      </w:r>
      <w:r w:rsidR="007C236F">
        <w:t xml:space="preserve">the </w:t>
      </w:r>
      <w:r w:rsidR="002E1AFA">
        <w:t>patient</w:t>
      </w:r>
      <w:r w:rsidR="00633071">
        <w:t xml:space="preserve"> sample</w:t>
      </w:r>
      <w:r w:rsidR="002E1AFA">
        <w:t xml:space="preserve"> </w:t>
      </w:r>
      <w:r w:rsidR="007C236F">
        <w:t>had used</w:t>
      </w:r>
      <w:r w:rsidR="002E1AFA">
        <w:t xml:space="preserve"> ustekinumab, </w:t>
      </w:r>
      <w:r w:rsidR="007C236F">
        <w:t xml:space="preserve">37% </w:t>
      </w:r>
      <w:r w:rsidR="002E1AFA">
        <w:t>a</w:t>
      </w:r>
      <w:r w:rsidR="00596D6B" w:rsidRPr="00596D6B">
        <w:t>dalimumab</w:t>
      </w:r>
      <w:r w:rsidR="007C236F">
        <w:t xml:space="preserve">, 10% </w:t>
      </w:r>
      <w:r w:rsidR="00596D6B" w:rsidRPr="00596D6B">
        <w:t>etanercept</w:t>
      </w:r>
      <w:r w:rsidR="002E1AFA">
        <w:t xml:space="preserve"> and 9% infliximab. </w:t>
      </w:r>
      <w:r w:rsidR="007C236F">
        <w:t>Adalimumab, etanercept and infliximab were therefore</w:t>
      </w:r>
      <w:r w:rsidR="00596D6B" w:rsidRPr="00596D6B">
        <w:t xml:space="preserve"> nomin</w:t>
      </w:r>
      <w:r w:rsidR="007C236F">
        <w:t xml:space="preserve">ated as secondary comparators. </w:t>
      </w:r>
      <w:r w:rsidR="00596D6B" w:rsidRPr="00810D0B">
        <w:rPr>
          <w:iCs/>
        </w:rPr>
        <w:t>The</w:t>
      </w:r>
      <w:r w:rsidR="007C236F" w:rsidRPr="00810D0B">
        <w:rPr>
          <w:iCs/>
        </w:rPr>
        <w:t xml:space="preserve"> evaluation considered</w:t>
      </w:r>
      <w:r w:rsidR="00596D6B" w:rsidRPr="00810D0B">
        <w:rPr>
          <w:iCs/>
        </w:rPr>
        <w:t xml:space="preserve"> </w:t>
      </w:r>
      <w:r w:rsidR="007C236F" w:rsidRPr="00810D0B">
        <w:rPr>
          <w:iCs/>
        </w:rPr>
        <w:t>the nominated comparators to be</w:t>
      </w:r>
      <w:r w:rsidR="00596D6B" w:rsidRPr="00810D0B">
        <w:rPr>
          <w:iCs/>
        </w:rPr>
        <w:t xml:space="preserve"> appropriate.</w:t>
      </w:r>
    </w:p>
    <w:p w:rsidR="002E2D29" w:rsidRPr="002E2D29" w:rsidRDefault="002E2D29" w:rsidP="002E2D29">
      <w:pPr>
        <w:pStyle w:val="ListParagraph"/>
        <w:widowControl/>
        <w:rPr>
          <w:iCs/>
        </w:rPr>
      </w:pPr>
    </w:p>
    <w:p w:rsidR="00810D0B" w:rsidRPr="002E2D29" w:rsidRDefault="007C236F" w:rsidP="00810D0B">
      <w:pPr>
        <w:pStyle w:val="ListParagraph"/>
        <w:widowControl/>
        <w:numPr>
          <w:ilvl w:val="1"/>
          <w:numId w:val="7"/>
        </w:numPr>
        <w:rPr>
          <w:iCs/>
        </w:rPr>
      </w:pPr>
      <w:r w:rsidRPr="002E2D29">
        <w:rPr>
          <w:iCs/>
        </w:rPr>
        <w:t xml:space="preserve">The ESC however </w:t>
      </w:r>
      <w:r w:rsidR="00810D0B" w:rsidRPr="002E2D29">
        <w:rPr>
          <w:iCs/>
        </w:rPr>
        <w:t>considered that ustekinumab may not be the most appropriate comparator. Since the current PBS restrictions only allow</w:t>
      </w:r>
      <w:r w:rsidR="002E2D29">
        <w:rPr>
          <w:iCs/>
        </w:rPr>
        <w:t xml:space="preserve"> three</w:t>
      </w:r>
      <w:r w:rsidR="00810D0B" w:rsidRPr="002E2D29">
        <w:rPr>
          <w:iCs/>
        </w:rPr>
        <w:t xml:space="preserve"> bDMARDs per treatment cycle, secukinumab is more likely to displace the least popular bDMARDs in current usage</w:t>
      </w:r>
      <w:r w:rsidR="00C0404A">
        <w:rPr>
          <w:iCs/>
        </w:rPr>
        <w:t xml:space="preserve"> - </w:t>
      </w:r>
      <w:r w:rsidR="00633071">
        <w:rPr>
          <w:iCs/>
        </w:rPr>
        <w:t>that</w:t>
      </w:r>
      <w:r w:rsidR="00C0404A">
        <w:rPr>
          <w:iCs/>
        </w:rPr>
        <w:t xml:space="preserve"> </w:t>
      </w:r>
      <w:r w:rsidR="00633071">
        <w:rPr>
          <w:iCs/>
        </w:rPr>
        <w:t>is</w:t>
      </w:r>
      <w:r w:rsidR="00810D0B" w:rsidRPr="002E2D29">
        <w:rPr>
          <w:iCs/>
        </w:rPr>
        <w:t xml:space="preserve"> infliximab and etanercept. Since t</w:t>
      </w:r>
      <w:r w:rsidR="002E2D29">
        <w:rPr>
          <w:iCs/>
        </w:rPr>
        <w:t xml:space="preserve">here are three </w:t>
      </w:r>
      <w:r w:rsidR="00810D0B" w:rsidRPr="002E2D29">
        <w:rPr>
          <w:iCs/>
        </w:rPr>
        <w:t xml:space="preserve">agents that </w:t>
      </w:r>
      <w:r w:rsidR="00633071">
        <w:rPr>
          <w:iCs/>
        </w:rPr>
        <w:t xml:space="preserve">have the same mechanism of action </w:t>
      </w:r>
      <w:r w:rsidR="00810D0B" w:rsidRPr="002E2D29">
        <w:rPr>
          <w:iCs/>
        </w:rPr>
        <w:t xml:space="preserve">TNF-alpha inhibition, it is also likely clinicians will choose three drugs </w:t>
      </w:r>
      <w:r w:rsidR="00633071">
        <w:rPr>
          <w:iCs/>
        </w:rPr>
        <w:t>with</w:t>
      </w:r>
      <w:r w:rsidR="00810D0B" w:rsidRPr="002E2D29">
        <w:rPr>
          <w:iCs/>
        </w:rPr>
        <w:t xml:space="preserve"> different mechanisms per treatment cycle</w:t>
      </w:r>
      <w:r w:rsidR="00633071">
        <w:rPr>
          <w:iCs/>
        </w:rPr>
        <w:t>. This</w:t>
      </w:r>
      <w:r w:rsidR="00810D0B" w:rsidRPr="002E2D29">
        <w:rPr>
          <w:iCs/>
        </w:rPr>
        <w:t xml:space="preserve"> further support</w:t>
      </w:r>
      <w:r w:rsidR="00633071">
        <w:rPr>
          <w:iCs/>
        </w:rPr>
        <w:t xml:space="preserve">s the </w:t>
      </w:r>
      <w:r w:rsidR="00810D0B" w:rsidRPr="002E2D29">
        <w:rPr>
          <w:iCs/>
        </w:rPr>
        <w:t>view that infliximab or etanercept would be replaced by secukinumab.</w:t>
      </w:r>
    </w:p>
    <w:p w:rsidR="00B60939" w:rsidRPr="00CD1C8D" w:rsidRDefault="00B60939" w:rsidP="00810D0B">
      <w:pPr>
        <w:pStyle w:val="ListParagraph"/>
        <w:widowControl/>
        <w:rPr>
          <w:i/>
          <w:szCs w:val="22"/>
        </w:rPr>
      </w:pPr>
    </w:p>
    <w:p w:rsidR="00CD1C8D" w:rsidRPr="00CD1C8D" w:rsidRDefault="00CD1C8D" w:rsidP="00810D0B">
      <w:pPr>
        <w:pStyle w:val="ListParagraph"/>
        <w:widowControl/>
        <w:rPr>
          <w:i/>
          <w:szCs w:val="22"/>
        </w:rPr>
      </w:pPr>
      <w:r w:rsidRPr="00CD1C8D">
        <w:rPr>
          <w:i/>
          <w:szCs w:val="22"/>
        </w:rPr>
        <w:t>For more detail on PBAC’s view, see section 7 “PBAC outcome”</w:t>
      </w:r>
    </w:p>
    <w:p w:rsidR="007830C4" w:rsidRDefault="007830C4" w:rsidP="00DF5D2B">
      <w:pPr>
        <w:rPr>
          <w:szCs w:val="22"/>
        </w:rPr>
      </w:pPr>
    </w:p>
    <w:p w:rsidR="0046072A" w:rsidRPr="00DF5D2B" w:rsidRDefault="0046072A" w:rsidP="00DF5D2B">
      <w:pPr>
        <w:rPr>
          <w:szCs w:val="22"/>
        </w:rPr>
      </w:pPr>
    </w:p>
    <w:p w:rsidR="00B50DB8" w:rsidRPr="00407F2D" w:rsidRDefault="00BD6CF3" w:rsidP="00BD6CF3">
      <w:pPr>
        <w:pStyle w:val="PBACHeading1"/>
      </w:pPr>
      <w:bookmarkStart w:id="5" w:name="_Toc409605605"/>
      <w:r>
        <w:t>C</w:t>
      </w:r>
      <w:r w:rsidR="00B50DB8" w:rsidRPr="00407F2D">
        <w:t>onsideration of the evidence</w:t>
      </w:r>
      <w:bookmarkEnd w:id="5"/>
    </w:p>
    <w:p w:rsidR="009F0305" w:rsidRPr="009F0305" w:rsidRDefault="009F0305" w:rsidP="004B1CB4">
      <w:pPr>
        <w:rPr>
          <w:b/>
          <w:color w:val="FF00FF"/>
        </w:rPr>
      </w:pPr>
    </w:p>
    <w:p w:rsidR="00B60939" w:rsidRPr="0046072A" w:rsidRDefault="000803B4" w:rsidP="002C2775">
      <w:pPr>
        <w:pStyle w:val="Heading2"/>
      </w:pPr>
      <w:r w:rsidRPr="0046072A">
        <w:t>Sponsor hearing</w:t>
      </w:r>
    </w:p>
    <w:p w:rsidR="00B60939" w:rsidRPr="00882085" w:rsidRDefault="00B60939" w:rsidP="00B60939">
      <w:pPr>
        <w:rPr>
          <w:szCs w:val="22"/>
        </w:rPr>
      </w:pPr>
    </w:p>
    <w:p w:rsidR="000803B4" w:rsidRDefault="000803B4" w:rsidP="000803B4">
      <w:pPr>
        <w:pStyle w:val="ListParagraph"/>
        <w:widowControl/>
        <w:numPr>
          <w:ilvl w:val="1"/>
          <w:numId w:val="7"/>
        </w:numPr>
      </w:pPr>
      <w:r w:rsidRPr="000803B4">
        <w:t xml:space="preserve">The sponsor requested a hearing for this item.  </w:t>
      </w:r>
    </w:p>
    <w:p w:rsidR="00174B4D" w:rsidRDefault="00174B4D" w:rsidP="00174B4D">
      <w:pPr>
        <w:pStyle w:val="ListParagraph"/>
        <w:widowControl/>
      </w:pPr>
    </w:p>
    <w:p w:rsidR="000803B4" w:rsidRPr="000803B4" w:rsidRDefault="000803B4" w:rsidP="000803B4">
      <w:pPr>
        <w:pStyle w:val="ListParagraph"/>
        <w:widowControl/>
        <w:numPr>
          <w:ilvl w:val="1"/>
          <w:numId w:val="7"/>
        </w:numPr>
      </w:pPr>
      <w:r w:rsidRPr="000803B4">
        <w:t>The clinician presenting at the hearing address</w:t>
      </w:r>
      <w:r w:rsidR="00633071">
        <w:t>ed</w:t>
      </w:r>
      <w:r w:rsidRPr="000803B4">
        <w:t xml:space="preserve"> the issue of the appropriateness </w:t>
      </w:r>
      <w:r w:rsidR="00174B4D">
        <w:t>ustekinumab and adalimumab as comparators</w:t>
      </w:r>
      <w:r w:rsidRPr="000803B4">
        <w:t>.  The clinician’s view was</w:t>
      </w:r>
      <w:r w:rsidR="00174B4D">
        <w:t xml:space="preserve"> that there is no established hierarchy in the selection of bDMARD treatments in severe chronic plaque psoriasis and that treatment selection depended on individual patient factors and individual drug characteristics. The clinician advocated for the use of ustekinumab and adalimumab as appropriate comparators in the submission and acknowledged that etanercept’s efficacy in the condition appeared to be inferior to other existing bDMARDs. The clinician was also supportive of the submission’s clinical claims. </w:t>
      </w:r>
      <w:r w:rsidRPr="000803B4">
        <w:t xml:space="preserve"> </w:t>
      </w:r>
    </w:p>
    <w:p w:rsidR="000803B4" w:rsidRPr="000803B4" w:rsidRDefault="000803B4" w:rsidP="00174B4D">
      <w:pPr>
        <w:pStyle w:val="ListParagraph"/>
        <w:widowControl/>
      </w:pPr>
    </w:p>
    <w:p w:rsidR="000803B4" w:rsidRPr="00174B4D" w:rsidRDefault="000803B4" w:rsidP="00174B4D">
      <w:pPr>
        <w:pStyle w:val="ListParagraph"/>
        <w:widowControl/>
        <w:numPr>
          <w:ilvl w:val="1"/>
          <w:numId w:val="7"/>
        </w:numPr>
      </w:pPr>
      <w:r w:rsidRPr="000803B4">
        <w:t xml:space="preserve">The PBAC considered that the hearing was informative. </w:t>
      </w:r>
    </w:p>
    <w:p w:rsidR="000803B4" w:rsidRPr="00174B4D" w:rsidRDefault="000803B4" w:rsidP="00174B4D">
      <w:pPr>
        <w:widowControl/>
        <w:rPr>
          <w:szCs w:val="22"/>
        </w:rPr>
      </w:pPr>
    </w:p>
    <w:p w:rsidR="000803B4" w:rsidRPr="0046072A" w:rsidRDefault="000803B4" w:rsidP="000803B4">
      <w:pPr>
        <w:widowControl/>
        <w:rPr>
          <w:b/>
          <w:szCs w:val="22"/>
        </w:rPr>
      </w:pPr>
      <w:r w:rsidRPr="0046072A">
        <w:rPr>
          <w:b/>
          <w:szCs w:val="22"/>
        </w:rPr>
        <w:t>Consumer comments</w:t>
      </w:r>
    </w:p>
    <w:p w:rsidR="00CD1C8D" w:rsidRPr="000803B4" w:rsidRDefault="00CD1C8D" w:rsidP="000803B4">
      <w:pPr>
        <w:widowControl/>
        <w:rPr>
          <w:b/>
          <w:i/>
          <w:szCs w:val="22"/>
        </w:rPr>
      </w:pPr>
    </w:p>
    <w:p w:rsidR="000803B4" w:rsidRPr="000803B4" w:rsidRDefault="000803B4" w:rsidP="00465533">
      <w:pPr>
        <w:pStyle w:val="ListParagraph"/>
        <w:widowControl/>
        <w:numPr>
          <w:ilvl w:val="1"/>
          <w:numId w:val="7"/>
        </w:numPr>
        <w:rPr>
          <w:szCs w:val="22"/>
        </w:rPr>
      </w:pPr>
      <w:r>
        <w:t>T</w:t>
      </w:r>
      <w:r w:rsidR="00CD1C8D">
        <w:t>here were no consumer comments received for this item.</w:t>
      </w:r>
    </w:p>
    <w:p w:rsidR="000803B4" w:rsidRDefault="000803B4" w:rsidP="000803B4">
      <w:pPr>
        <w:widowControl/>
        <w:rPr>
          <w:szCs w:val="22"/>
        </w:rPr>
      </w:pPr>
    </w:p>
    <w:p w:rsidR="001A390A" w:rsidRDefault="001A390A">
      <w:pPr>
        <w:widowControl/>
        <w:jc w:val="left"/>
        <w:rPr>
          <w:b/>
          <w:szCs w:val="22"/>
        </w:rPr>
      </w:pPr>
      <w:r>
        <w:rPr>
          <w:b/>
          <w:szCs w:val="22"/>
        </w:rPr>
        <w:br w:type="page"/>
      </w:r>
    </w:p>
    <w:p w:rsidR="000803B4" w:rsidRPr="0046072A" w:rsidRDefault="000803B4" w:rsidP="000803B4">
      <w:pPr>
        <w:widowControl/>
        <w:rPr>
          <w:b/>
          <w:szCs w:val="22"/>
        </w:rPr>
      </w:pPr>
      <w:r w:rsidRPr="0046072A">
        <w:rPr>
          <w:b/>
          <w:szCs w:val="22"/>
        </w:rPr>
        <w:lastRenderedPageBreak/>
        <w:t>Clinical trials</w:t>
      </w:r>
    </w:p>
    <w:p w:rsidR="00CD1C8D" w:rsidRPr="000803B4" w:rsidRDefault="00CD1C8D" w:rsidP="000803B4">
      <w:pPr>
        <w:widowControl/>
        <w:rPr>
          <w:b/>
          <w:i/>
          <w:szCs w:val="22"/>
        </w:rPr>
      </w:pPr>
    </w:p>
    <w:p w:rsidR="00465533" w:rsidRPr="00465533" w:rsidRDefault="000803B4" w:rsidP="00465533">
      <w:pPr>
        <w:pStyle w:val="ListParagraph"/>
        <w:widowControl/>
        <w:numPr>
          <w:ilvl w:val="1"/>
          <w:numId w:val="7"/>
        </w:numPr>
        <w:rPr>
          <w:szCs w:val="22"/>
        </w:rPr>
      </w:pPr>
      <w:r>
        <w:t>T</w:t>
      </w:r>
      <w:r w:rsidR="00862502" w:rsidRPr="00862502">
        <w:t>he</w:t>
      </w:r>
      <w:r w:rsidR="002E2D29">
        <w:rPr>
          <w:szCs w:val="24"/>
        </w:rPr>
        <w:t xml:space="preserve"> submission wa</w:t>
      </w:r>
      <w:r w:rsidR="00465533" w:rsidRPr="00465533">
        <w:rPr>
          <w:szCs w:val="24"/>
        </w:rPr>
        <w:t>s based on an indirect comparison</w:t>
      </w:r>
      <w:r w:rsidR="00633071">
        <w:rPr>
          <w:szCs w:val="24"/>
        </w:rPr>
        <w:t>,</w:t>
      </w:r>
      <w:r w:rsidR="00465533" w:rsidRPr="00465533">
        <w:rPr>
          <w:szCs w:val="24"/>
        </w:rPr>
        <w:t xml:space="preserve"> using the method described by Bucher </w:t>
      </w:r>
      <w:r w:rsidR="00651017">
        <w:rPr>
          <w:szCs w:val="24"/>
        </w:rPr>
        <w:t>(</w:t>
      </w:r>
      <w:r w:rsidR="00465533" w:rsidRPr="00465533">
        <w:rPr>
          <w:szCs w:val="24"/>
        </w:rPr>
        <w:t>1997</w:t>
      </w:r>
      <w:r w:rsidR="00651017">
        <w:rPr>
          <w:szCs w:val="24"/>
        </w:rPr>
        <w:t>)</w:t>
      </w:r>
      <w:r w:rsidR="00633071">
        <w:rPr>
          <w:szCs w:val="24"/>
        </w:rPr>
        <w:t>,</w:t>
      </w:r>
      <w:r w:rsidR="00465533" w:rsidRPr="00465533">
        <w:rPr>
          <w:szCs w:val="24"/>
        </w:rPr>
        <w:t xml:space="preserve"> between:</w:t>
      </w:r>
    </w:p>
    <w:p w:rsidR="00465533" w:rsidRPr="00465533" w:rsidRDefault="00465533" w:rsidP="00465533">
      <w:pPr>
        <w:widowControl/>
        <w:numPr>
          <w:ilvl w:val="0"/>
          <w:numId w:val="41"/>
        </w:numPr>
        <w:tabs>
          <w:tab w:val="left" w:pos="993"/>
        </w:tabs>
        <w:ind w:left="993" w:hanging="284"/>
        <w:contextualSpacing/>
        <w:rPr>
          <w:szCs w:val="22"/>
        </w:rPr>
      </w:pPr>
      <w:r w:rsidRPr="00465533">
        <w:rPr>
          <w:szCs w:val="24"/>
        </w:rPr>
        <w:t>secukinumab – a meta-analysis of 4 trials; three providing a comparison of secukinumab and placebo and one comparing secukinumab and etanercept and placebo (n=1,377);</w:t>
      </w:r>
    </w:p>
    <w:p w:rsidR="00465533" w:rsidRPr="00465533" w:rsidRDefault="00465533" w:rsidP="00465533">
      <w:pPr>
        <w:widowControl/>
        <w:numPr>
          <w:ilvl w:val="0"/>
          <w:numId w:val="41"/>
        </w:numPr>
        <w:tabs>
          <w:tab w:val="left" w:pos="993"/>
        </w:tabs>
        <w:ind w:left="993" w:hanging="284"/>
        <w:contextualSpacing/>
        <w:rPr>
          <w:szCs w:val="22"/>
        </w:rPr>
      </w:pPr>
      <w:r w:rsidRPr="00465533">
        <w:rPr>
          <w:szCs w:val="24"/>
        </w:rPr>
        <w:t>ustekinumab – a meta-analysis of up to 6 trials (6 trials using the 45</w:t>
      </w:r>
      <w:r>
        <w:rPr>
          <w:szCs w:val="24"/>
        </w:rPr>
        <w:t xml:space="preserve"> </w:t>
      </w:r>
      <w:r w:rsidRPr="00465533">
        <w:rPr>
          <w:szCs w:val="24"/>
        </w:rPr>
        <w:t>mg dose and 4 trials using the 90</w:t>
      </w:r>
      <w:r>
        <w:rPr>
          <w:szCs w:val="24"/>
        </w:rPr>
        <w:t xml:space="preserve"> </w:t>
      </w:r>
      <w:r w:rsidRPr="00465533">
        <w:rPr>
          <w:szCs w:val="24"/>
        </w:rPr>
        <w:t xml:space="preserve">mg dose); five comparing ustekinumab and placebo and one comparing ustekinumab and etanercept (n=2,596); </w:t>
      </w:r>
    </w:p>
    <w:p w:rsidR="00465533" w:rsidRPr="00465533" w:rsidRDefault="00465533" w:rsidP="00465533">
      <w:pPr>
        <w:widowControl/>
        <w:numPr>
          <w:ilvl w:val="0"/>
          <w:numId w:val="41"/>
        </w:numPr>
        <w:tabs>
          <w:tab w:val="left" w:pos="993"/>
        </w:tabs>
        <w:ind w:left="993" w:hanging="284"/>
        <w:contextualSpacing/>
        <w:rPr>
          <w:szCs w:val="22"/>
        </w:rPr>
      </w:pPr>
      <w:r w:rsidRPr="00465533">
        <w:rPr>
          <w:szCs w:val="24"/>
        </w:rPr>
        <w:t>adalimumab – a meta-analysis of 4 trials comparing adalimumab and placebo (n=1,560); and</w:t>
      </w:r>
    </w:p>
    <w:p w:rsidR="00465533" w:rsidRPr="00465533" w:rsidRDefault="00465533" w:rsidP="00465533">
      <w:pPr>
        <w:widowControl/>
        <w:numPr>
          <w:ilvl w:val="0"/>
          <w:numId w:val="41"/>
        </w:numPr>
        <w:tabs>
          <w:tab w:val="left" w:pos="993"/>
        </w:tabs>
        <w:ind w:left="993" w:hanging="284"/>
        <w:contextualSpacing/>
        <w:rPr>
          <w:szCs w:val="22"/>
        </w:rPr>
      </w:pPr>
      <w:r w:rsidRPr="00465533">
        <w:rPr>
          <w:szCs w:val="24"/>
        </w:rPr>
        <w:t>infliximab – a meta-analysis of 6</w:t>
      </w:r>
      <w:r w:rsidRPr="00465533">
        <w:rPr>
          <w:i/>
          <w:szCs w:val="24"/>
        </w:rPr>
        <w:t xml:space="preserve"> </w:t>
      </w:r>
      <w:r w:rsidRPr="00465533">
        <w:rPr>
          <w:szCs w:val="24"/>
        </w:rPr>
        <w:t xml:space="preserve">trials comparing infliximab and placebo (n=1,255). </w:t>
      </w:r>
    </w:p>
    <w:p w:rsidR="00862502" w:rsidRPr="00465533" w:rsidRDefault="00465533" w:rsidP="00465533">
      <w:pPr>
        <w:widowControl/>
        <w:tabs>
          <w:tab w:val="left" w:pos="993"/>
        </w:tabs>
        <w:ind w:left="709"/>
        <w:rPr>
          <w:szCs w:val="22"/>
        </w:rPr>
      </w:pPr>
      <w:r w:rsidRPr="00465533">
        <w:rPr>
          <w:szCs w:val="22"/>
        </w:rPr>
        <w:t>The primary comparis</w:t>
      </w:r>
      <w:r w:rsidR="002E2D29">
        <w:rPr>
          <w:szCs w:val="22"/>
        </w:rPr>
        <w:t>on presented in the submission wa</w:t>
      </w:r>
      <w:r w:rsidRPr="00465533">
        <w:rPr>
          <w:szCs w:val="22"/>
        </w:rPr>
        <w:t xml:space="preserve">s </w:t>
      </w:r>
      <w:r w:rsidR="002E2D29">
        <w:rPr>
          <w:szCs w:val="22"/>
        </w:rPr>
        <w:t>between secukinumab and</w:t>
      </w:r>
      <w:r w:rsidRPr="00465533">
        <w:rPr>
          <w:szCs w:val="22"/>
        </w:rPr>
        <w:t xml:space="preserve"> ustekinumab.</w:t>
      </w:r>
    </w:p>
    <w:p w:rsidR="00465533" w:rsidRPr="00862502" w:rsidRDefault="00465533" w:rsidP="00465533">
      <w:pPr>
        <w:pStyle w:val="ListParagraph"/>
        <w:widowControl/>
        <w:rPr>
          <w:szCs w:val="22"/>
        </w:rPr>
      </w:pPr>
    </w:p>
    <w:p w:rsidR="00F464A0" w:rsidRPr="005D7D93" w:rsidRDefault="00862502" w:rsidP="005D7D93">
      <w:pPr>
        <w:pStyle w:val="ListParagraph"/>
        <w:widowControl/>
        <w:numPr>
          <w:ilvl w:val="1"/>
          <w:numId w:val="7"/>
        </w:numPr>
        <w:rPr>
          <w:szCs w:val="22"/>
        </w:rPr>
      </w:pPr>
      <w:r w:rsidRPr="00B50DB8">
        <w:rPr>
          <w:szCs w:val="22"/>
        </w:rPr>
        <w:t xml:space="preserve">Details of the trials presented in the submission are provided in </w:t>
      </w:r>
      <w:r w:rsidR="00974451">
        <w:rPr>
          <w:szCs w:val="22"/>
        </w:rPr>
        <w:t xml:space="preserve">Table </w:t>
      </w:r>
      <w:r w:rsidR="000D798A">
        <w:rPr>
          <w:szCs w:val="22"/>
        </w:rPr>
        <w:t>1</w:t>
      </w:r>
      <w:r w:rsidR="00EC5E63">
        <w:rPr>
          <w:szCs w:val="22"/>
        </w:rPr>
        <w:t xml:space="preserve"> below</w:t>
      </w:r>
      <w:r w:rsidRPr="00B50DB8">
        <w:rPr>
          <w:szCs w:val="22"/>
        </w:rPr>
        <w:t xml:space="preserve">. </w:t>
      </w:r>
      <w:r w:rsidR="00465533" w:rsidRPr="00465533">
        <w:rPr>
          <w:szCs w:val="22"/>
        </w:rPr>
        <w:t xml:space="preserve">Many of the trials had multiple publications, </w:t>
      </w:r>
      <w:r w:rsidR="00633071">
        <w:rPr>
          <w:szCs w:val="22"/>
        </w:rPr>
        <w:t xml:space="preserve">so </w:t>
      </w:r>
      <w:r w:rsidR="00465533" w:rsidRPr="00465533">
        <w:rPr>
          <w:szCs w:val="22"/>
        </w:rPr>
        <w:t xml:space="preserve">only the primary publications are </w:t>
      </w:r>
      <w:r w:rsidR="00633071">
        <w:rPr>
          <w:szCs w:val="22"/>
        </w:rPr>
        <w:t>listed</w:t>
      </w:r>
      <w:r w:rsidR="00465533" w:rsidRPr="00465533">
        <w:rPr>
          <w:szCs w:val="22"/>
        </w:rPr>
        <w:t xml:space="preserve"> below.  A further trial comparing infliximab and placebo (IFX6; Chaudhari 2001) was included in the Commentary for completeness.</w:t>
      </w:r>
    </w:p>
    <w:p w:rsidR="00862502" w:rsidRPr="00862502" w:rsidRDefault="00862502" w:rsidP="00862502">
      <w:pPr>
        <w:widowControl/>
        <w:rPr>
          <w:szCs w:val="22"/>
        </w:rPr>
      </w:pPr>
    </w:p>
    <w:p w:rsidR="000006EC" w:rsidRDefault="000006EC">
      <w:pPr>
        <w:widowControl/>
        <w:jc w:val="left"/>
        <w:rPr>
          <w:rStyle w:val="CommentReference"/>
        </w:rPr>
      </w:pPr>
      <w:r>
        <w:rPr>
          <w:rStyle w:val="CommentReference"/>
        </w:rPr>
        <w:br w:type="page"/>
      </w:r>
    </w:p>
    <w:p w:rsidR="008F120A" w:rsidRDefault="008F120A" w:rsidP="000D798A">
      <w:pPr>
        <w:ind w:firstLine="720"/>
        <w:rPr>
          <w:rStyle w:val="CommentReference"/>
        </w:rPr>
      </w:pPr>
      <w:r w:rsidRPr="000812CA">
        <w:rPr>
          <w:rStyle w:val="CommentReference"/>
        </w:rPr>
        <w:lastRenderedPageBreak/>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016"/>
        <w:gridCol w:w="5221"/>
        <w:gridCol w:w="2108"/>
      </w:tblGrid>
      <w:tr w:rsidR="008B2246" w:rsidRPr="001C5E11" w:rsidTr="008B2246">
        <w:tc>
          <w:tcPr>
            <w:tcW w:w="609" w:type="pct"/>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Trial ID</w:t>
            </w:r>
          </w:p>
        </w:tc>
        <w:tc>
          <w:tcPr>
            <w:tcW w:w="3128" w:type="pct"/>
          </w:tcPr>
          <w:p w:rsidR="008B2246" w:rsidRPr="001C5E11" w:rsidRDefault="008B2246" w:rsidP="007D62EB">
            <w:pPr>
              <w:jc w:val="center"/>
              <w:rPr>
                <w:rFonts w:ascii="Arial Narrow" w:hAnsi="Arial Narrow"/>
                <w:b/>
                <w:sz w:val="18"/>
                <w:szCs w:val="18"/>
              </w:rPr>
            </w:pPr>
            <w:r w:rsidRPr="001C5E11">
              <w:rPr>
                <w:rFonts w:ascii="Arial Narrow" w:hAnsi="Arial Narrow"/>
                <w:b/>
                <w:sz w:val="18"/>
                <w:szCs w:val="18"/>
              </w:rPr>
              <w:t>Protocol title/ Publication title</w:t>
            </w:r>
          </w:p>
        </w:tc>
        <w:tc>
          <w:tcPr>
            <w:tcW w:w="1263" w:type="pct"/>
          </w:tcPr>
          <w:p w:rsidR="008B2246" w:rsidRPr="001C5E11" w:rsidRDefault="008B2246" w:rsidP="007D62EB">
            <w:pPr>
              <w:jc w:val="center"/>
              <w:rPr>
                <w:rFonts w:ascii="Arial Narrow" w:hAnsi="Arial Narrow"/>
                <w:b/>
                <w:sz w:val="18"/>
                <w:szCs w:val="18"/>
              </w:rPr>
            </w:pPr>
            <w:r w:rsidRPr="001C5E11">
              <w:rPr>
                <w:rFonts w:ascii="Arial Narrow" w:hAnsi="Arial Narrow"/>
                <w:b/>
                <w:sz w:val="18"/>
                <w:szCs w:val="18"/>
              </w:rPr>
              <w:t>Publication citation</w:t>
            </w:r>
          </w:p>
        </w:tc>
      </w:tr>
      <w:tr w:rsidR="008B2246" w:rsidRPr="001C5E11" w:rsidTr="008B2246">
        <w:trPr>
          <w:trHeight w:val="66"/>
        </w:trPr>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SECUKINUMAB</w:t>
            </w:r>
          </w:p>
        </w:tc>
      </w:tr>
      <w:tr w:rsidR="008B2246" w:rsidRPr="001C5E11" w:rsidTr="008B2246">
        <w:trPr>
          <w:trHeight w:val="66"/>
        </w:trPr>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Secukinumab versus etanercept and placebo</w:t>
            </w:r>
          </w:p>
        </w:tc>
      </w:tr>
      <w:tr w:rsidR="008B2246" w:rsidRPr="001C5E11" w:rsidTr="008B2246">
        <w:trPr>
          <w:trHeight w:val="226"/>
        </w:trPr>
        <w:tc>
          <w:tcPr>
            <w:tcW w:w="609" w:type="pct"/>
            <w:vMerge w:val="restar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SEC</w:t>
            </w:r>
            <w:r w:rsidRPr="001C5E11">
              <w:rPr>
                <w:rFonts w:ascii="Arial Narrow" w:hAnsi="Arial Narrow"/>
                <w:sz w:val="18"/>
                <w:szCs w:val="18"/>
                <w:vertAlign w:val="subscript"/>
              </w:rPr>
              <w:t>2</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(FIXTURE)</w:t>
            </w:r>
          </w:p>
        </w:tc>
        <w:tc>
          <w:tcPr>
            <w:tcW w:w="3128" w:type="pct"/>
            <w:tcBorders>
              <w:bottom w:val="nil"/>
            </w:tcBorders>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A randomized, double-blind, double-dummy, placebo controlled, multicenter study of subcutaneous secukinumab to demonstrate efficacy after twelve weeks of treatment, compared to placebo and etanercept, and to assess the safety, tolerability and long-term efficacy up to one year in subjects with moderate to severe chronic plaque-type psoriasis</w:t>
            </w:r>
          </w:p>
        </w:tc>
        <w:tc>
          <w:tcPr>
            <w:tcW w:w="1263" w:type="pct"/>
            <w:tcBorders>
              <w:bottom w:val="nil"/>
            </w:tcBorders>
            <w:vAlign w:val="center"/>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25 Sept 2013</w:t>
            </w:r>
          </w:p>
        </w:tc>
      </w:tr>
      <w:tr w:rsidR="008B2246" w:rsidRPr="001C5E11" w:rsidTr="008B2246">
        <w:trPr>
          <w:trHeight w:val="240"/>
        </w:trPr>
        <w:tc>
          <w:tcPr>
            <w:tcW w:w="609" w:type="pct"/>
            <w:vMerge/>
            <w:tcBorders>
              <w:bottom w:val="nil"/>
            </w:tcBorders>
            <w:vAlign w:val="center"/>
          </w:tcPr>
          <w:p w:rsidR="008B2246" w:rsidRPr="001C5E11" w:rsidRDefault="008B2246" w:rsidP="007D62EB">
            <w:pPr>
              <w:jc w:val="left"/>
              <w:rPr>
                <w:rFonts w:ascii="Arial Narrow" w:hAnsi="Arial Narrow"/>
                <w:sz w:val="18"/>
                <w:szCs w:val="18"/>
              </w:rPr>
            </w:pPr>
          </w:p>
        </w:tc>
        <w:tc>
          <w:tcPr>
            <w:tcW w:w="3128" w:type="pct"/>
            <w:tcBorders>
              <w:top w:val="nil"/>
              <w:bottom w:val="single" w:sz="4" w:space="0" w:color="auto"/>
            </w:tcBorders>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Langley RG, et al. Secukinumab in plaque psoriasis: results of two phase three trials.</w:t>
            </w:r>
          </w:p>
        </w:tc>
        <w:tc>
          <w:tcPr>
            <w:tcW w:w="1263" w:type="pct"/>
            <w:tcBorders>
              <w:top w:val="nil"/>
              <w:bottom w:val="single" w:sz="4" w:space="0" w:color="auto"/>
            </w:tcBorders>
            <w:vAlign w:val="center"/>
          </w:tcPr>
          <w:p w:rsidR="008B2246" w:rsidRPr="001C5E11" w:rsidRDefault="008B2246" w:rsidP="007D62EB">
            <w:pPr>
              <w:jc w:val="left"/>
              <w:rPr>
                <w:rFonts w:ascii="Arial Narrow" w:hAnsi="Arial Narrow"/>
                <w:sz w:val="18"/>
                <w:szCs w:val="18"/>
              </w:rPr>
            </w:pPr>
            <w:r w:rsidRPr="001C5E11">
              <w:rPr>
                <w:rFonts w:ascii="Arial Narrow" w:hAnsi="Arial Narrow"/>
                <w:i/>
                <w:sz w:val="18"/>
                <w:szCs w:val="18"/>
              </w:rPr>
              <w:t>New Engl J Med. 2014 371(4): 326-38</w:t>
            </w:r>
          </w:p>
        </w:tc>
      </w:tr>
      <w:tr w:rsidR="008B2246" w:rsidRPr="001C5E11" w:rsidTr="008B2246">
        <w:trPr>
          <w:trHeight w:val="66"/>
        </w:trPr>
        <w:tc>
          <w:tcPr>
            <w:tcW w:w="5000" w:type="pct"/>
            <w:gridSpan w:val="3"/>
            <w:tcBorders>
              <w:bottom w:val="single" w:sz="4" w:space="0" w:color="auto"/>
            </w:tcBorders>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Secukinumab versus placebo</w:t>
            </w:r>
          </w:p>
        </w:tc>
      </w:tr>
      <w:tr w:rsidR="008B2246" w:rsidRPr="001C5E11" w:rsidTr="008B2246">
        <w:trPr>
          <w:trHeight w:val="240"/>
        </w:trPr>
        <w:tc>
          <w:tcPr>
            <w:tcW w:w="609" w:type="pct"/>
            <w:vMerge w:val="restar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SEC</w:t>
            </w:r>
            <w:r w:rsidRPr="001C5E11">
              <w:rPr>
                <w:rFonts w:ascii="Arial Narrow" w:hAnsi="Arial Narrow"/>
                <w:sz w:val="18"/>
                <w:szCs w:val="18"/>
                <w:vertAlign w:val="subscript"/>
              </w:rPr>
              <w:t>1</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(ERASURE)</w:t>
            </w:r>
          </w:p>
        </w:tc>
        <w:tc>
          <w:tcPr>
            <w:tcW w:w="3128" w:type="pct"/>
            <w:tcBorders>
              <w:top w:val="nil"/>
              <w:bottom w:val="nil"/>
            </w:tcBorders>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A randomized, double-blind, placebo controlled, multicenter study of subcutaneous secukinumab to demonstrate efficacy after twelve weeks of treatment, and to assess the safety, tolerability and long-term efficacy up to one year in subjects with moderate to severe chronic plaque-type psoriasis</w:t>
            </w:r>
          </w:p>
        </w:tc>
        <w:tc>
          <w:tcPr>
            <w:tcW w:w="1263" w:type="pct"/>
            <w:tcBorders>
              <w:top w:val="nil"/>
              <w:bottom w:val="nil"/>
            </w:tcBorders>
            <w:vAlign w:val="center"/>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06 Sept 2013</w:t>
            </w:r>
          </w:p>
        </w:tc>
      </w:tr>
      <w:tr w:rsidR="008B2246" w:rsidRPr="001C5E11" w:rsidTr="008B2246">
        <w:trPr>
          <w:trHeight w:val="240"/>
        </w:trPr>
        <w:tc>
          <w:tcPr>
            <w:tcW w:w="609" w:type="pct"/>
            <w:vMerge/>
            <w:vAlign w:val="center"/>
          </w:tcPr>
          <w:p w:rsidR="008B2246" w:rsidRPr="001C5E11" w:rsidRDefault="008B2246" w:rsidP="007D62EB">
            <w:pPr>
              <w:jc w:val="left"/>
              <w:rPr>
                <w:rFonts w:ascii="Arial Narrow" w:hAnsi="Arial Narrow"/>
                <w:sz w:val="18"/>
                <w:szCs w:val="18"/>
              </w:rPr>
            </w:pPr>
          </w:p>
        </w:tc>
        <w:tc>
          <w:tcPr>
            <w:tcW w:w="3128" w:type="pct"/>
            <w:tcBorders>
              <w:top w:val="nil"/>
              <w:bottom w:val="nil"/>
            </w:tcBorders>
          </w:tcPr>
          <w:p w:rsidR="008B2246" w:rsidRPr="001C5E11" w:rsidRDefault="008B2246" w:rsidP="007D62EB">
            <w:pPr>
              <w:jc w:val="left"/>
              <w:rPr>
                <w:rFonts w:ascii="Arial Narrow" w:hAnsi="Arial Narrow"/>
                <w:i/>
                <w:sz w:val="18"/>
                <w:szCs w:val="18"/>
              </w:rPr>
            </w:pPr>
            <w:r w:rsidRPr="001C5E11">
              <w:rPr>
                <w:rFonts w:ascii="Arial Narrow" w:hAnsi="Arial Narrow"/>
                <w:sz w:val="18"/>
                <w:szCs w:val="18"/>
              </w:rPr>
              <w:t>Langley RG, et al. Secukinumab in plaque psoriasis: results of two phase three trials.</w:t>
            </w:r>
          </w:p>
        </w:tc>
        <w:tc>
          <w:tcPr>
            <w:tcW w:w="1263" w:type="pct"/>
            <w:tcBorders>
              <w:top w:val="nil"/>
              <w:bottom w:val="nil"/>
            </w:tcBorders>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New Engl J Med. 2014 371(4): 326-38</w:t>
            </w:r>
          </w:p>
        </w:tc>
      </w:tr>
      <w:tr w:rsidR="008B2246" w:rsidRPr="001C5E11" w:rsidTr="008B2246">
        <w:trPr>
          <w:trHeight w:val="240"/>
        </w:trPr>
        <w:tc>
          <w:tcPr>
            <w:tcW w:w="609" w:type="pct"/>
            <w:vMerge/>
            <w:vAlign w:val="center"/>
          </w:tcPr>
          <w:p w:rsidR="008B2246" w:rsidRPr="001C5E11" w:rsidRDefault="008B2246" w:rsidP="007D62EB">
            <w:pPr>
              <w:jc w:val="left"/>
              <w:rPr>
                <w:rFonts w:ascii="Arial Narrow" w:hAnsi="Arial Narrow"/>
                <w:sz w:val="18"/>
                <w:szCs w:val="18"/>
              </w:rPr>
            </w:pPr>
          </w:p>
        </w:tc>
        <w:tc>
          <w:tcPr>
            <w:tcW w:w="3128" w:type="pct"/>
            <w:tcBorders>
              <w:top w:val="nil"/>
              <w:bottom w:val="nil"/>
            </w:tcBorders>
          </w:tcPr>
          <w:p w:rsidR="008B2246" w:rsidRPr="001C5E11" w:rsidRDefault="008B2246" w:rsidP="007D62EB">
            <w:pPr>
              <w:jc w:val="left"/>
              <w:rPr>
                <w:rFonts w:ascii="Arial Narrow" w:hAnsi="Arial Narrow"/>
                <w:sz w:val="18"/>
                <w:szCs w:val="18"/>
              </w:rPr>
            </w:pPr>
            <w:r w:rsidRPr="001C5E11">
              <w:rPr>
                <w:rFonts w:ascii="Arial Narrow" w:hAnsi="Arial Narrow"/>
                <w:i/>
                <w:iCs/>
                <w:sz w:val="18"/>
                <w:szCs w:val="18"/>
              </w:rPr>
              <w:t>Ohtsuki M et al. Secukinumab efficacy and safety in Japanese patients with moderate-to-severe plaque psoriasis: Subanalysis from ERASURE, a randomized, placebo-controlled, phase 3 study.</w:t>
            </w:r>
          </w:p>
        </w:tc>
        <w:tc>
          <w:tcPr>
            <w:tcW w:w="1263" w:type="pct"/>
            <w:tcBorders>
              <w:top w:val="nil"/>
              <w:bottom w:val="nil"/>
            </w:tcBorders>
            <w:vAlign w:val="center"/>
          </w:tcPr>
          <w:p w:rsidR="008B2246" w:rsidRPr="001C5E11" w:rsidRDefault="008B2246" w:rsidP="007D62EB">
            <w:pPr>
              <w:jc w:val="left"/>
              <w:rPr>
                <w:rFonts w:ascii="Arial Narrow" w:hAnsi="Arial Narrow"/>
                <w:i/>
                <w:sz w:val="18"/>
                <w:szCs w:val="18"/>
              </w:rPr>
            </w:pPr>
            <w:r w:rsidRPr="001C5E11">
              <w:rPr>
                <w:rFonts w:ascii="Arial Narrow" w:hAnsi="Arial Narrow"/>
                <w:sz w:val="18"/>
                <w:szCs w:val="18"/>
              </w:rPr>
              <w:t>The Journal of Dermatology 2014</w:t>
            </w:r>
            <w:r w:rsidRPr="001C5E11">
              <w:rPr>
                <w:rFonts w:ascii="Arial Narrow" w:hAnsi="Arial Narrow"/>
                <w:i/>
                <w:iCs/>
                <w:sz w:val="18"/>
                <w:szCs w:val="18"/>
              </w:rPr>
              <w:t>, 41 (12): 1039-1046.</w:t>
            </w:r>
          </w:p>
        </w:tc>
      </w:tr>
      <w:tr w:rsidR="008B2246" w:rsidRPr="001C5E11" w:rsidTr="008B2246">
        <w:trPr>
          <w:trHeight w:val="240"/>
        </w:trPr>
        <w:tc>
          <w:tcPr>
            <w:tcW w:w="609" w:type="pct"/>
            <w:vMerge w:val="restar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SEC</w:t>
            </w:r>
            <w:r w:rsidRPr="001C5E11">
              <w:rPr>
                <w:rFonts w:ascii="Arial Narrow" w:hAnsi="Arial Narrow"/>
                <w:sz w:val="18"/>
                <w:szCs w:val="18"/>
                <w:vertAlign w:val="subscript"/>
              </w:rPr>
              <w:t>3</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(FEATURE)</w:t>
            </w:r>
          </w:p>
        </w:tc>
        <w:tc>
          <w:tcPr>
            <w:tcW w:w="3128" w:type="pct"/>
            <w:tcBorders>
              <w:bottom w:val="nil"/>
            </w:tcBorders>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A randomized, double-blind, placebo controlled, multicenter study of subcutaneous secukinumab in prefilled syringes to demonstrate efficacy after twelve weeks of treatment, and to assess the safety, tolerability, usability and long-term efficacy in subjects with chronic plaque-type psoriasis.</w:t>
            </w:r>
          </w:p>
        </w:tc>
        <w:tc>
          <w:tcPr>
            <w:tcW w:w="1263" w:type="pct"/>
            <w:tcBorders>
              <w:bottom w:val="nil"/>
            </w:tcBorders>
            <w:vAlign w:val="center"/>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05 Sept 2013</w:t>
            </w:r>
          </w:p>
        </w:tc>
      </w:tr>
      <w:tr w:rsidR="008B2246" w:rsidRPr="001C5E11" w:rsidTr="008B2246">
        <w:trPr>
          <w:trHeight w:val="282"/>
        </w:trPr>
        <w:tc>
          <w:tcPr>
            <w:tcW w:w="609" w:type="pct"/>
            <w:vMerge/>
            <w:vAlign w:val="center"/>
          </w:tcPr>
          <w:p w:rsidR="008B2246" w:rsidRPr="001C5E11" w:rsidRDefault="008B2246" w:rsidP="007D62EB">
            <w:pPr>
              <w:jc w:val="left"/>
              <w:rPr>
                <w:rFonts w:ascii="Arial Narrow" w:hAnsi="Arial Narrow"/>
                <w:sz w:val="18"/>
                <w:szCs w:val="18"/>
              </w:rPr>
            </w:pPr>
          </w:p>
        </w:tc>
        <w:tc>
          <w:tcPr>
            <w:tcW w:w="3128" w:type="pct"/>
            <w:tcBorders>
              <w:top w:val="nil"/>
              <w:bottom w:val="single" w:sz="4" w:space="0" w:color="auto"/>
            </w:tcBorders>
          </w:tcPr>
          <w:p w:rsidR="008B2246" w:rsidRPr="001C5E11" w:rsidRDefault="008B2246" w:rsidP="007D62EB">
            <w:pPr>
              <w:jc w:val="left"/>
              <w:rPr>
                <w:rFonts w:ascii="Arial Narrow" w:hAnsi="Arial Narrow"/>
                <w:sz w:val="18"/>
                <w:szCs w:val="18"/>
              </w:rPr>
            </w:pPr>
            <w:r w:rsidRPr="001C5E11">
              <w:rPr>
                <w:rFonts w:ascii="Arial Narrow" w:hAnsi="Arial Narrow"/>
                <w:i/>
                <w:iCs/>
                <w:sz w:val="18"/>
                <w:szCs w:val="18"/>
              </w:rPr>
              <w:t>Blauvelt A, et al. Secukinumab administration by pre-filled syringe: efficacy, safety and usability results from a randomized controlled trial in psoriasis (FEATURE).</w:t>
            </w:r>
          </w:p>
        </w:tc>
        <w:tc>
          <w:tcPr>
            <w:tcW w:w="1263" w:type="pct"/>
            <w:tcBorders>
              <w:top w:val="nil"/>
              <w:bottom w:val="single" w:sz="4" w:space="0" w:color="auto"/>
            </w:tcBorders>
            <w:vAlign w:val="center"/>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British Journal of Dermatology</w:t>
            </w:r>
            <w:r w:rsidRPr="001C5E11">
              <w:rPr>
                <w:rFonts w:ascii="Arial Narrow" w:hAnsi="Arial Narrow"/>
                <w:i/>
                <w:iCs/>
                <w:sz w:val="18"/>
                <w:szCs w:val="18"/>
              </w:rPr>
              <w:t>, Article first published online : 11 DEC 2014</w:t>
            </w:r>
          </w:p>
        </w:tc>
      </w:tr>
      <w:tr w:rsidR="008B2246" w:rsidRPr="001C5E11" w:rsidTr="008B2246">
        <w:trPr>
          <w:trHeight w:val="282"/>
        </w:trPr>
        <w:tc>
          <w:tcPr>
            <w:tcW w:w="609" w:type="pct"/>
            <w:vMerge w:val="restar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SEC</w:t>
            </w:r>
            <w:r w:rsidRPr="001C5E11">
              <w:rPr>
                <w:rFonts w:ascii="Arial Narrow" w:hAnsi="Arial Narrow"/>
                <w:sz w:val="18"/>
                <w:szCs w:val="18"/>
                <w:vertAlign w:val="subscript"/>
              </w:rPr>
              <w:t>4</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(JUNCTURE)</w:t>
            </w:r>
          </w:p>
        </w:tc>
        <w:tc>
          <w:tcPr>
            <w:tcW w:w="3128" w:type="pct"/>
            <w:tcBorders>
              <w:top w:val="single" w:sz="4" w:space="0" w:color="auto"/>
              <w:bottom w:val="nil"/>
            </w:tcBorders>
            <w:vAlign w:val="center"/>
          </w:tcPr>
          <w:p w:rsidR="008B2246" w:rsidRPr="001C5E11" w:rsidRDefault="008B2246" w:rsidP="007D62EB">
            <w:pPr>
              <w:jc w:val="left"/>
              <w:rPr>
                <w:rFonts w:ascii="Arial Narrow" w:hAnsi="Arial Narrow"/>
                <w:iCs/>
                <w:sz w:val="18"/>
                <w:szCs w:val="18"/>
              </w:rPr>
            </w:pPr>
            <w:r w:rsidRPr="001C5E11">
              <w:rPr>
                <w:rFonts w:ascii="Arial Narrow" w:hAnsi="Arial Narrow"/>
                <w:iCs/>
                <w:sz w:val="18"/>
                <w:szCs w:val="18"/>
              </w:rPr>
              <w:t>A randomised , double-blind, placebo-controlled, muticenter study of subcutaneous secukinumab in autoinjectors to demonstrate efficacy after 12 weeks of treatment, and to assess the safety, tolerability, usability and long-term efficacy in subjects with chronic plaque-type psoriasis.</w:t>
            </w:r>
          </w:p>
        </w:tc>
        <w:tc>
          <w:tcPr>
            <w:tcW w:w="1263" w:type="pct"/>
            <w:tcBorders>
              <w:top w:val="single" w:sz="4" w:space="0" w:color="auto"/>
              <w:bottom w:val="nil"/>
            </w:tcBorders>
            <w:vAlign w:val="center"/>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16 Sept 2013</w:t>
            </w:r>
          </w:p>
        </w:tc>
      </w:tr>
      <w:tr w:rsidR="008B2246" w:rsidRPr="001C5E11" w:rsidTr="008B2246">
        <w:trPr>
          <w:trHeight w:val="282"/>
        </w:trPr>
        <w:tc>
          <w:tcPr>
            <w:tcW w:w="609" w:type="pct"/>
            <w:vMerge/>
            <w:vAlign w:val="center"/>
          </w:tcPr>
          <w:p w:rsidR="008B2246" w:rsidRPr="001C5E11" w:rsidRDefault="008B2246" w:rsidP="007D62EB">
            <w:pPr>
              <w:jc w:val="left"/>
              <w:rPr>
                <w:rFonts w:ascii="Arial Narrow" w:hAnsi="Arial Narrow"/>
                <w:sz w:val="18"/>
                <w:szCs w:val="18"/>
              </w:rPr>
            </w:pPr>
          </w:p>
        </w:tc>
        <w:tc>
          <w:tcPr>
            <w:tcW w:w="3128" w:type="pct"/>
            <w:tcBorders>
              <w:top w:val="nil"/>
              <w:bottom w:val="single" w:sz="4" w:space="0" w:color="auto"/>
            </w:tcBorders>
            <w:vAlign w:val="center"/>
          </w:tcPr>
          <w:p w:rsidR="008B2246" w:rsidRPr="001C5E11" w:rsidRDefault="008B2246" w:rsidP="007D62EB">
            <w:pPr>
              <w:jc w:val="left"/>
              <w:rPr>
                <w:rFonts w:ascii="Arial Narrow" w:hAnsi="Arial Narrow"/>
                <w:i/>
                <w:iCs/>
                <w:sz w:val="18"/>
                <w:szCs w:val="18"/>
              </w:rPr>
            </w:pPr>
            <w:r w:rsidRPr="001C5E11">
              <w:rPr>
                <w:rFonts w:ascii="Arial Narrow" w:hAnsi="Arial Narrow"/>
                <w:i/>
                <w:iCs/>
                <w:sz w:val="18"/>
                <w:szCs w:val="18"/>
              </w:rPr>
              <w:t>Paul C, et al. Efficacy, safety and usability of secukinumab administration by autoinjector/pen in psoriasis: a randomized, controlled trial (JUNCTURE).</w:t>
            </w:r>
          </w:p>
        </w:tc>
        <w:tc>
          <w:tcPr>
            <w:tcW w:w="1263" w:type="pct"/>
            <w:tcBorders>
              <w:top w:val="nil"/>
              <w:bottom w:val="single" w:sz="4" w:space="0" w:color="auto"/>
            </w:tcBorders>
            <w:vAlign w:val="center"/>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Journal of the European Academy of Dermatology and Venerology, </w:t>
            </w:r>
            <w:r w:rsidRPr="001C5E11">
              <w:rPr>
                <w:rFonts w:ascii="Arial Narrow" w:hAnsi="Arial Narrow"/>
                <w:i/>
                <w:sz w:val="18"/>
                <w:szCs w:val="18"/>
              </w:rPr>
              <w:t>Article first published online : 22 SEP 2014</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USTEKINUMAB</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Ustekinumab versus etanercept</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UST</w:t>
            </w:r>
            <w:r w:rsidRPr="001C5E11">
              <w:rPr>
                <w:rFonts w:ascii="Arial Narrow" w:hAnsi="Arial Narrow"/>
                <w:sz w:val="18"/>
                <w:szCs w:val="18"/>
                <w:vertAlign w:val="subscript"/>
              </w:rPr>
              <w:t>1</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(ACCEPT)</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Griffiths CE, et al. Comparison of ustekinumab and etanercept for moderate-to-severe psoriasis (ACCEPT).</w:t>
            </w:r>
          </w:p>
        </w:tc>
        <w:tc>
          <w:tcPr>
            <w:tcW w:w="1263" w:type="pct"/>
          </w:tcPr>
          <w:p w:rsidR="008B2246" w:rsidRPr="001C5E11" w:rsidRDefault="008B2246" w:rsidP="007D62EB">
            <w:pPr>
              <w:jc w:val="left"/>
              <w:rPr>
                <w:rFonts w:ascii="Arial Narrow" w:hAnsi="Arial Narrow"/>
                <w:b/>
                <w:sz w:val="18"/>
                <w:szCs w:val="18"/>
              </w:rPr>
            </w:pPr>
            <w:r w:rsidRPr="001C5E11">
              <w:rPr>
                <w:rFonts w:ascii="Arial Narrow" w:hAnsi="Arial Narrow"/>
                <w:i/>
                <w:sz w:val="18"/>
                <w:szCs w:val="18"/>
              </w:rPr>
              <w:t>N Engl J Med</w:t>
            </w:r>
            <w:r w:rsidRPr="001C5E11">
              <w:rPr>
                <w:rFonts w:ascii="Arial Narrow" w:hAnsi="Arial Narrow"/>
                <w:sz w:val="18"/>
                <w:szCs w:val="18"/>
              </w:rPr>
              <w:t>, 2010;362:118–128</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Ustekinumab versus placebo</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UST</w:t>
            </w:r>
            <w:r w:rsidRPr="001C5E11">
              <w:rPr>
                <w:rFonts w:ascii="Arial Narrow" w:hAnsi="Arial Narrow"/>
                <w:sz w:val="18"/>
                <w:szCs w:val="18"/>
                <w:vertAlign w:val="subscript"/>
              </w:rPr>
              <w:t>2</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(PHOENIX 1)</w:t>
            </w:r>
          </w:p>
        </w:tc>
        <w:tc>
          <w:tcPr>
            <w:tcW w:w="3128" w:type="pct"/>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Leonardi CL, et al. Efficacy and safety of ustekinumab, human interleukin- 12/23 monoclonal antibody, in patients with psoriasis: 76-week results from a randomised, double blind, placebo-controlled trial (PHOENIX 1).</w:t>
            </w:r>
          </w:p>
        </w:tc>
        <w:tc>
          <w:tcPr>
            <w:tcW w:w="1263" w:type="pct"/>
            <w:vAlign w:val="center"/>
          </w:tcPr>
          <w:p w:rsidR="008B2246" w:rsidRPr="001C5E11" w:rsidRDefault="008B2246" w:rsidP="007D62EB">
            <w:pPr>
              <w:jc w:val="left"/>
              <w:rPr>
                <w:rFonts w:ascii="Arial Narrow" w:hAnsi="Arial Narrow"/>
                <w:b/>
                <w:sz w:val="18"/>
                <w:szCs w:val="18"/>
              </w:rPr>
            </w:pPr>
            <w:r w:rsidRPr="001C5E11">
              <w:rPr>
                <w:rFonts w:ascii="Arial Narrow" w:hAnsi="Arial Narrow"/>
                <w:i/>
                <w:sz w:val="18"/>
                <w:szCs w:val="18"/>
              </w:rPr>
              <w:t>The Lancet</w:t>
            </w:r>
            <w:r w:rsidRPr="001C5E11">
              <w:rPr>
                <w:rFonts w:ascii="Arial Narrow" w:hAnsi="Arial Narrow"/>
                <w:sz w:val="18"/>
                <w:szCs w:val="18"/>
              </w:rPr>
              <w:t>, 2008; 371:1665–1674.</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UST</w:t>
            </w:r>
            <w:r w:rsidRPr="001C5E11">
              <w:rPr>
                <w:rFonts w:ascii="Arial Narrow" w:hAnsi="Arial Narrow"/>
                <w:sz w:val="18"/>
                <w:szCs w:val="18"/>
                <w:vertAlign w:val="subscript"/>
              </w:rPr>
              <w:t>3</w:t>
            </w:r>
          </w:p>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(PHOENIX 2)</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Papp KA, et al. Efficacy and safety of ustekinumab, a human interleukin-12/23 monoclonal antibody, in patients with psoriasis: 52-week results from a randomised, double blind, placebo-controlled trial (PHOENIX 2).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The Lancet</w:t>
            </w:r>
            <w:r w:rsidRPr="001C5E11">
              <w:rPr>
                <w:rFonts w:ascii="Arial Narrow" w:hAnsi="Arial Narrow"/>
                <w:sz w:val="18"/>
                <w:szCs w:val="18"/>
              </w:rPr>
              <w:t>, 2008;371:1675–1684.</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UST</w:t>
            </w:r>
            <w:r w:rsidRPr="001C5E11">
              <w:rPr>
                <w:rFonts w:ascii="Arial Narrow" w:hAnsi="Arial Narrow"/>
                <w:sz w:val="18"/>
                <w:szCs w:val="18"/>
                <w:vertAlign w:val="subscript"/>
              </w:rPr>
              <w:t>4</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(PEARL)</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Tsai TF, et al. Efficacy and safety of ustekinumab for the treatment of moderate-to-severe psoriasis: A phase III, randomized, placebo-controlled trial in Taiwanese and Korean patients (PEARL).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Dermatol Sci</w:t>
            </w:r>
            <w:r w:rsidRPr="001C5E11">
              <w:rPr>
                <w:rFonts w:ascii="Arial Narrow" w:hAnsi="Arial Narrow"/>
                <w:sz w:val="18"/>
                <w:szCs w:val="18"/>
              </w:rPr>
              <w:t>, 2011;63:154–163.</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UST</w:t>
            </w:r>
            <w:r w:rsidRPr="001C5E11">
              <w:rPr>
                <w:rFonts w:ascii="Arial Narrow" w:hAnsi="Arial Narrow"/>
                <w:sz w:val="18"/>
                <w:szCs w:val="18"/>
                <w:vertAlign w:val="subscript"/>
              </w:rPr>
              <w:t>5</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(Igarashi 2012)</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Igarashi A, et al. The Japanese </w:t>
            </w:r>
            <w:r w:rsidR="00CA7EBA" w:rsidRPr="001C5E11">
              <w:rPr>
                <w:rFonts w:ascii="Arial Narrow" w:hAnsi="Arial Narrow"/>
                <w:sz w:val="18"/>
                <w:szCs w:val="18"/>
              </w:rPr>
              <w:t>Ustekinumab</w:t>
            </w:r>
            <w:r w:rsidRPr="001C5E11">
              <w:rPr>
                <w:rFonts w:ascii="Arial Narrow" w:hAnsi="Arial Narrow"/>
                <w:sz w:val="18"/>
                <w:szCs w:val="18"/>
              </w:rPr>
              <w:t xml:space="preserve"> Study Group. Efficacy and safety of ustekinumab in Japanese patients with moderate- to-severe plaque-type psoriasis: </w:t>
            </w:r>
            <w:r w:rsidR="00CA7EBA" w:rsidRPr="001C5E11">
              <w:rPr>
                <w:rFonts w:ascii="Arial Narrow" w:hAnsi="Arial Narrow"/>
                <w:sz w:val="18"/>
                <w:szCs w:val="18"/>
              </w:rPr>
              <w:t>Long-term</w:t>
            </w:r>
            <w:r w:rsidRPr="001C5E11">
              <w:rPr>
                <w:rFonts w:ascii="Arial Narrow" w:hAnsi="Arial Narrow"/>
                <w:sz w:val="18"/>
                <w:szCs w:val="18"/>
              </w:rPr>
              <w:t xml:space="preserve"> results from a phase 2 ⁄3 clinical trial.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 xml:space="preserve">J Dermatol, </w:t>
            </w:r>
            <w:r w:rsidRPr="001C5E11">
              <w:rPr>
                <w:rFonts w:ascii="Arial Narrow" w:hAnsi="Arial Narrow"/>
                <w:sz w:val="18"/>
                <w:szCs w:val="18"/>
              </w:rPr>
              <w:t>2012; 39:242–252</w:t>
            </w:r>
            <w:r w:rsidRPr="001C5E11">
              <w:rPr>
                <w:rFonts w:ascii="Arial Narrow" w:hAnsi="Arial Narrow"/>
                <w:i/>
                <w:sz w:val="18"/>
                <w:szCs w:val="18"/>
              </w:rPr>
              <w:t>.</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UST</w:t>
            </w:r>
            <w:r w:rsidRPr="001C5E11">
              <w:rPr>
                <w:rFonts w:ascii="Arial Narrow" w:hAnsi="Arial Narrow"/>
                <w:sz w:val="18"/>
                <w:szCs w:val="18"/>
                <w:vertAlign w:val="subscript"/>
              </w:rPr>
              <w:t>6</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(LOTUS)</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Zhu X, et al. Efficacy and safety of ustekinumab in Chinese patients with moderate to severe plaque-type psoriasis: results from a phase 3 clinical trial (LOTUS).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Drugs Dermatol</w:t>
            </w:r>
            <w:r w:rsidRPr="001C5E11">
              <w:rPr>
                <w:rFonts w:ascii="Arial Narrow" w:hAnsi="Arial Narrow"/>
                <w:sz w:val="18"/>
                <w:szCs w:val="18"/>
              </w:rPr>
              <w:t>. 2013 Feb;12(2):166-74</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ADALIMUMAB</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Adalimumab versus placebo</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ADA</w:t>
            </w:r>
            <w:r w:rsidRPr="001C5E11">
              <w:rPr>
                <w:rFonts w:ascii="Arial Narrow" w:hAnsi="Arial Narrow"/>
                <w:sz w:val="18"/>
                <w:szCs w:val="18"/>
                <w:vertAlign w:val="subscript"/>
              </w:rPr>
              <w:t>1</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(CHAMPION)</w:t>
            </w:r>
          </w:p>
        </w:tc>
        <w:tc>
          <w:tcPr>
            <w:tcW w:w="3128" w:type="pct"/>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 xml:space="preserve">Saurat JH, et al. Efficacy and safety results from the randomized controlled comparative study of adalimumab vs. methotrexate vs. placebo in patients with </w:t>
            </w:r>
            <w:r w:rsidRPr="001C5E11">
              <w:rPr>
                <w:rFonts w:ascii="Arial Narrow" w:hAnsi="Arial Narrow"/>
                <w:sz w:val="18"/>
                <w:szCs w:val="18"/>
              </w:rPr>
              <w:lastRenderedPageBreak/>
              <w:t xml:space="preserve">psoriasis (CHAMPION). </w:t>
            </w:r>
          </w:p>
        </w:tc>
        <w:tc>
          <w:tcPr>
            <w:tcW w:w="1263" w:type="pct"/>
            <w:vAlign w:val="center"/>
          </w:tcPr>
          <w:p w:rsidR="008B2246" w:rsidRPr="001C5E11" w:rsidRDefault="008B2246" w:rsidP="007D62EB">
            <w:pPr>
              <w:jc w:val="left"/>
              <w:rPr>
                <w:rFonts w:ascii="Arial Narrow" w:hAnsi="Arial Narrow"/>
                <w:b/>
                <w:sz w:val="18"/>
                <w:szCs w:val="18"/>
              </w:rPr>
            </w:pPr>
            <w:r w:rsidRPr="001C5E11">
              <w:rPr>
                <w:rFonts w:ascii="Arial Narrow" w:hAnsi="Arial Narrow"/>
                <w:i/>
                <w:sz w:val="18"/>
                <w:szCs w:val="18"/>
              </w:rPr>
              <w:lastRenderedPageBreak/>
              <w:t>Br J Dermatol.</w:t>
            </w:r>
            <w:r w:rsidRPr="001C5E11">
              <w:rPr>
                <w:rFonts w:ascii="Arial Narrow" w:hAnsi="Arial Narrow"/>
                <w:sz w:val="18"/>
                <w:szCs w:val="18"/>
              </w:rPr>
              <w:t xml:space="preserve"> 2008 Mar;158(3):558-66.</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lastRenderedPageBreak/>
              <w:t>ADA</w:t>
            </w:r>
            <w:r w:rsidRPr="001C5E11">
              <w:rPr>
                <w:rFonts w:ascii="Arial Narrow" w:hAnsi="Arial Narrow"/>
                <w:sz w:val="18"/>
                <w:szCs w:val="18"/>
                <w:vertAlign w:val="subscript"/>
              </w:rPr>
              <w:t>2</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(REVEAL)</w:t>
            </w:r>
          </w:p>
        </w:tc>
        <w:tc>
          <w:tcPr>
            <w:tcW w:w="3128" w:type="pct"/>
          </w:tcPr>
          <w:p w:rsidR="008B2246" w:rsidRPr="001C5E11" w:rsidRDefault="008B2246" w:rsidP="007D62EB">
            <w:pPr>
              <w:jc w:val="left"/>
              <w:rPr>
                <w:rFonts w:ascii="Arial Narrow" w:hAnsi="Arial Narrow"/>
                <w:b/>
                <w:sz w:val="18"/>
                <w:szCs w:val="18"/>
              </w:rPr>
            </w:pPr>
            <w:r w:rsidRPr="001C5E11">
              <w:rPr>
                <w:rFonts w:ascii="Arial Narrow" w:hAnsi="Arial Narrow"/>
                <w:sz w:val="18"/>
                <w:szCs w:val="18"/>
              </w:rPr>
              <w:t xml:space="preserve">Menter A, et al. Adalimumab therapy for moderate to severe psoriasis: A randomized, controlled phase III trial. </w:t>
            </w:r>
          </w:p>
        </w:tc>
        <w:tc>
          <w:tcPr>
            <w:tcW w:w="1263" w:type="pct"/>
          </w:tcPr>
          <w:p w:rsidR="008B2246" w:rsidRPr="001C5E11" w:rsidRDefault="008B2246" w:rsidP="007D62EB">
            <w:pPr>
              <w:jc w:val="left"/>
              <w:rPr>
                <w:rFonts w:ascii="Arial Narrow" w:hAnsi="Arial Narrow"/>
                <w:b/>
                <w:sz w:val="18"/>
                <w:szCs w:val="18"/>
              </w:rPr>
            </w:pPr>
            <w:r w:rsidRPr="001C5E11">
              <w:rPr>
                <w:rFonts w:ascii="Arial Narrow" w:hAnsi="Arial Narrow"/>
                <w:i/>
                <w:sz w:val="18"/>
                <w:szCs w:val="18"/>
              </w:rPr>
              <w:t>J Am Acad Dermatol.</w:t>
            </w:r>
            <w:r w:rsidRPr="001C5E11">
              <w:rPr>
                <w:rFonts w:ascii="Arial Narrow" w:hAnsi="Arial Narrow"/>
                <w:sz w:val="18"/>
                <w:szCs w:val="18"/>
              </w:rPr>
              <w:t xml:space="preserve"> 2008 Jan;58(1):106-15.</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ADA</w:t>
            </w:r>
            <w:r w:rsidRPr="001C5E11">
              <w:rPr>
                <w:rFonts w:ascii="Arial Narrow" w:hAnsi="Arial Narrow"/>
                <w:sz w:val="18"/>
                <w:szCs w:val="18"/>
                <w:vertAlign w:val="subscript"/>
              </w:rPr>
              <w:t>3</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(Gordon 2006)</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Gordon KB, et al. Clinical response to adalimumab treatment in patients with moderate to severe psoriasis: double-blind, randomized controlled trial and open-label extension study.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Am Acad Dermatol</w:t>
            </w:r>
            <w:r w:rsidRPr="001C5E11">
              <w:rPr>
                <w:rFonts w:ascii="Arial Narrow" w:hAnsi="Arial Narrow"/>
                <w:sz w:val="18"/>
                <w:szCs w:val="18"/>
              </w:rPr>
              <w:t>. 2006 Oct;55(4):598-606.</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ADA</w:t>
            </w:r>
            <w:r w:rsidRPr="001C5E11">
              <w:rPr>
                <w:rFonts w:ascii="Arial Narrow" w:hAnsi="Arial Narrow"/>
                <w:sz w:val="18"/>
                <w:szCs w:val="18"/>
                <w:vertAlign w:val="subscript"/>
              </w:rPr>
              <w:t>4</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(Asahina 2010)</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Asahina A, et al. Adalimumab in Japanese patients with moderate to severe chronic plaque psoriasis: efficacy and safety results from a Phase II/III randomized controlled study.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Dermatol.</w:t>
            </w:r>
            <w:r w:rsidRPr="001C5E11">
              <w:rPr>
                <w:rFonts w:ascii="Arial Narrow" w:hAnsi="Arial Narrow"/>
                <w:sz w:val="18"/>
                <w:szCs w:val="18"/>
              </w:rPr>
              <w:t xml:space="preserve"> 2010 Apr;37(4):299-310.</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INFLIXIMAB</w:t>
            </w:r>
          </w:p>
        </w:tc>
      </w:tr>
      <w:tr w:rsidR="008B2246" w:rsidRPr="001C5E11" w:rsidTr="008B2246">
        <w:tc>
          <w:tcPr>
            <w:tcW w:w="5000" w:type="pct"/>
            <w:gridSpan w:val="3"/>
            <w:vAlign w:val="center"/>
          </w:tcPr>
          <w:p w:rsidR="008B2246" w:rsidRPr="001C5E11" w:rsidRDefault="008B2246" w:rsidP="007D62EB">
            <w:pPr>
              <w:jc w:val="left"/>
              <w:rPr>
                <w:rFonts w:ascii="Arial Narrow" w:hAnsi="Arial Narrow"/>
                <w:b/>
                <w:sz w:val="18"/>
                <w:szCs w:val="18"/>
              </w:rPr>
            </w:pPr>
            <w:r w:rsidRPr="001C5E11">
              <w:rPr>
                <w:rFonts w:ascii="Arial Narrow" w:hAnsi="Arial Narrow"/>
                <w:b/>
                <w:sz w:val="18"/>
                <w:szCs w:val="18"/>
              </w:rPr>
              <w:t>Infliximab versus placebo</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IFX</w:t>
            </w:r>
            <w:r w:rsidRPr="001C5E11">
              <w:rPr>
                <w:rFonts w:ascii="Arial Narrow" w:hAnsi="Arial Narrow"/>
                <w:sz w:val="18"/>
                <w:szCs w:val="18"/>
                <w:vertAlign w:val="subscript"/>
              </w:rPr>
              <w:t>1</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(SPIRIT)</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Gottlieb AB, et al. Infliximab induction therapy for patients with severe plaque-type psoriasis: a randomized, double-blind, placebo-controlled trial.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Am Acad Dermatol</w:t>
            </w:r>
            <w:r w:rsidRPr="001C5E11">
              <w:rPr>
                <w:rFonts w:ascii="Arial Narrow" w:hAnsi="Arial Narrow"/>
                <w:sz w:val="18"/>
                <w:szCs w:val="18"/>
              </w:rPr>
              <w:t>. 2004 Oct;51(4):534-42.</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IFX</w:t>
            </w:r>
            <w:r w:rsidRPr="001C5E11">
              <w:rPr>
                <w:rFonts w:ascii="Arial Narrow" w:hAnsi="Arial Narrow"/>
                <w:sz w:val="18"/>
                <w:szCs w:val="18"/>
                <w:vertAlign w:val="subscript"/>
              </w:rPr>
              <w:t>2</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(EXPRESS)</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Reich K, et al. Infliximab induction and maintenance therapy for moderate-to-severe psoriasis: a phase III, multicentre, double-blind trial.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The Lancet</w:t>
            </w:r>
            <w:r w:rsidRPr="001C5E11">
              <w:rPr>
                <w:rFonts w:ascii="Arial Narrow" w:hAnsi="Arial Narrow"/>
                <w:sz w:val="18"/>
                <w:szCs w:val="18"/>
              </w:rPr>
              <w:t>. 2005 Oct 15;366(9494):1367-74.</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IFX</w:t>
            </w:r>
            <w:r w:rsidRPr="001C5E11">
              <w:rPr>
                <w:rFonts w:ascii="Arial Narrow" w:hAnsi="Arial Narrow"/>
                <w:sz w:val="18"/>
                <w:szCs w:val="18"/>
                <w:vertAlign w:val="subscript"/>
              </w:rPr>
              <w:t>3</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(EXPRESS 2)</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Menter A, et al. A randomized comparison of continuous vs. intermittent infliximab maintenance regimens over 1 year in the treatment of moderate-to-severe plaque psoriasis.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Am Acad Dermatol</w:t>
            </w:r>
            <w:r w:rsidRPr="001C5E11">
              <w:rPr>
                <w:rFonts w:ascii="Arial Narrow" w:hAnsi="Arial Narrow"/>
                <w:sz w:val="18"/>
                <w:szCs w:val="18"/>
              </w:rPr>
              <w:t>. 2007 Jan;56(1):31-15.</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IFX</w:t>
            </w:r>
            <w:r w:rsidRPr="001C5E11">
              <w:rPr>
                <w:rFonts w:ascii="Arial Narrow" w:hAnsi="Arial Narrow"/>
                <w:sz w:val="18"/>
                <w:szCs w:val="18"/>
                <w:vertAlign w:val="subscript"/>
              </w:rPr>
              <w:t>4</w:t>
            </w:r>
          </w:p>
          <w:p w:rsidR="008B2246" w:rsidRPr="001C5E11" w:rsidRDefault="008B2246" w:rsidP="007D62EB">
            <w:pPr>
              <w:jc w:val="left"/>
              <w:rPr>
                <w:rFonts w:ascii="Arial Narrow" w:hAnsi="Arial Narrow"/>
                <w:sz w:val="18"/>
                <w:szCs w:val="18"/>
              </w:rPr>
            </w:pPr>
            <w:r w:rsidRPr="001C5E11">
              <w:rPr>
                <w:rFonts w:ascii="Arial Narrow" w:hAnsi="Arial Narrow"/>
                <w:sz w:val="18"/>
                <w:szCs w:val="18"/>
              </w:rPr>
              <w:t>(Torii 2010)</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Torii H, Nakagawa H. Infliximab monotherapy in Japanese patients with moderate-to-severe plaque psoriasis and psoriatic arthritis. A randomized, double-blind, placebo-controlled multicenter trial.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J Dermatol Sci</w:t>
            </w:r>
            <w:r w:rsidRPr="001C5E11">
              <w:rPr>
                <w:rFonts w:ascii="Arial Narrow" w:hAnsi="Arial Narrow"/>
                <w:sz w:val="18"/>
                <w:szCs w:val="18"/>
              </w:rPr>
              <w:t>. 2010 Jul;59(1):40-9.</w:t>
            </w:r>
          </w:p>
        </w:tc>
      </w:tr>
      <w:tr w:rsidR="008B2246" w:rsidRPr="001C5E11" w:rsidTr="008B2246">
        <w:tc>
          <w:tcPr>
            <w:tcW w:w="609" w:type="pct"/>
            <w:vAlign w:val="center"/>
          </w:tcPr>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IFX</w:t>
            </w:r>
            <w:r w:rsidRPr="001C5E11">
              <w:rPr>
                <w:rFonts w:ascii="Arial Narrow" w:hAnsi="Arial Narrow"/>
                <w:sz w:val="18"/>
                <w:szCs w:val="18"/>
                <w:vertAlign w:val="subscript"/>
              </w:rPr>
              <w:t>5</w:t>
            </w:r>
          </w:p>
          <w:p w:rsidR="008B2246" w:rsidRPr="001C5E11" w:rsidRDefault="008B2246" w:rsidP="007D62EB">
            <w:pPr>
              <w:jc w:val="left"/>
              <w:rPr>
                <w:rFonts w:ascii="Arial Narrow" w:hAnsi="Arial Narrow"/>
                <w:sz w:val="18"/>
                <w:szCs w:val="18"/>
                <w:vertAlign w:val="subscript"/>
              </w:rPr>
            </w:pPr>
            <w:r w:rsidRPr="001C5E11">
              <w:rPr>
                <w:rFonts w:ascii="Arial Narrow" w:hAnsi="Arial Narrow"/>
                <w:sz w:val="18"/>
                <w:szCs w:val="18"/>
              </w:rPr>
              <w:t>(Yang 2012)</w:t>
            </w:r>
          </w:p>
        </w:tc>
        <w:tc>
          <w:tcPr>
            <w:tcW w:w="3128" w:type="pct"/>
          </w:tcPr>
          <w:p w:rsidR="008B2246" w:rsidRPr="001C5E11" w:rsidRDefault="008B2246" w:rsidP="007D62EB">
            <w:pPr>
              <w:jc w:val="left"/>
              <w:rPr>
                <w:rFonts w:ascii="Arial Narrow" w:hAnsi="Arial Narrow"/>
                <w:sz w:val="18"/>
                <w:szCs w:val="18"/>
              </w:rPr>
            </w:pPr>
            <w:r w:rsidRPr="001C5E11">
              <w:rPr>
                <w:rFonts w:ascii="Arial Narrow" w:hAnsi="Arial Narrow"/>
                <w:sz w:val="18"/>
                <w:szCs w:val="18"/>
              </w:rPr>
              <w:t xml:space="preserve">Yang HZ, et al. Infliximab monotherapy for Chinese patients with moderate to severe plaque psoriasis: a randomized, double-blind, placebo-controlled multicenter trial. </w:t>
            </w:r>
          </w:p>
        </w:tc>
        <w:tc>
          <w:tcPr>
            <w:tcW w:w="1263" w:type="pct"/>
            <w:vAlign w:val="center"/>
          </w:tcPr>
          <w:p w:rsidR="008B2246" w:rsidRPr="001C5E11" w:rsidRDefault="008B2246" w:rsidP="007D62EB">
            <w:pPr>
              <w:jc w:val="left"/>
              <w:rPr>
                <w:rFonts w:ascii="Arial Narrow" w:hAnsi="Arial Narrow"/>
                <w:i/>
                <w:sz w:val="18"/>
                <w:szCs w:val="18"/>
              </w:rPr>
            </w:pPr>
            <w:r w:rsidRPr="001C5E11">
              <w:rPr>
                <w:rFonts w:ascii="Arial Narrow" w:hAnsi="Arial Narrow"/>
                <w:i/>
                <w:sz w:val="18"/>
                <w:szCs w:val="18"/>
              </w:rPr>
              <w:t>Chin Med J (Engl)</w:t>
            </w:r>
            <w:r w:rsidRPr="001C5E11">
              <w:rPr>
                <w:rFonts w:ascii="Arial Narrow" w:hAnsi="Arial Narrow"/>
                <w:sz w:val="18"/>
                <w:szCs w:val="18"/>
              </w:rPr>
              <w:t xml:space="preserve"> 2012 Jun;125(11):1845-51.</w:t>
            </w:r>
          </w:p>
        </w:tc>
      </w:tr>
      <w:tr w:rsidR="008B2246" w:rsidRPr="001C5E11" w:rsidTr="008B2246">
        <w:tc>
          <w:tcPr>
            <w:tcW w:w="609" w:type="pct"/>
            <w:shd w:val="clear" w:color="auto" w:fill="auto"/>
            <w:vAlign w:val="center"/>
          </w:tcPr>
          <w:p w:rsidR="008B2246" w:rsidRPr="008B2246" w:rsidRDefault="008B2246" w:rsidP="007D62EB">
            <w:pPr>
              <w:jc w:val="left"/>
              <w:rPr>
                <w:rFonts w:ascii="Arial Narrow" w:hAnsi="Arial Narrow"/>
                <w:i/>
                <w:sz w:val="18"/>
                <w:szCs w:val="18"/>
                <w:vertAlign w:val="subscript"/>
              </w:rPr>
            </w:pPr>
            <w:r w:rsidRPr="008B2246">
              <w:rPr>
                <w:rFonts w:ascii="Arial Narrow" w:hAnsi="Arial Narrow"/>
                <w:i/>
                <w:sz w:val="18"/>
                <w:szCs w:val="18"/>
              </w:rPr>
              <w:t>IFX</w:t>
            </w:r>
            <w:r w:rsidRPr="008B2246">
              <w:rPr>
                <w:rFonts w:ascii="Arial Narrow" w:hAnsi="Arial Narrow"/>
                <w:i/>
                <w:sz w:val="18"/>
                <w:szCs w:val="18"/>
                <w:vertAlign w:val="subscript"/>
              </w:rPr>
              <w:t>6</w:t>
            </w:r>
          </w:p>
          <w:p w:rsidR="008B2246" w:rsidRPr="008B2246" w:rsidRDefault="008B2246" w:rsidP="007D62EB">
            <w:pPr>
              <w:jc w:val="left"/>
              <w:rPr>
                <w:rFonts w:ascii="Arial Narrow" w:hAnsi="Arial Narrow"/>
                <w:i/>
                <w:sz w:val="18"/>
                <w:szCs w:val="18"/>
              </w:rPr>
            </w:pPr>
            <w:r w:rsidRPr="008B2246">
              <w:rPr>
                <w:rFonts w:ascii="Arial Narrow" w:hAnsi="Arial Narrow"/>
                <w:i/>
                <w:sz w:val="18"/>
                <w:szCs w:val="18"/>
              </w:rPr>
              <w:t>(Chaudhari 2001)</w:t>
            </w:r>
          </w:p>
        </w:tc>
        <w:tc>
          <w:tcPr>
            <w:tcW w:w="3128" w:type="pct"/>
            <w:shd w:val="clear" w:color="auto" w:fill="auto"/>
            <w:vAlign w:val="center"/>
          </w:tcPr>
          <w:p w:rsidR="008B2246" w:rsidRPr="008B2246" w:rsidRDefault="008B2246" w:rsidP="007D62EB">
            <w:pPr>
              <w:jc w:val="left"/>
              <w:rPr>
                <w:rFonts w:ascii="Arial Narrow" w:hAnsi="Arial Narrow"/>
                <w:i/>
                <w:sz w:val="18"/>
                <w:szCs w:val="18"/>
              </w:rPr>
            </w:pPr>
            <w:r w:rsidRPr="008B2246">
              <w:rPr>
                <w:rFonts w:ascii="Arial Narrow" w:hAnsi="Arial Narrow"/>
                <w:i/>
                <w:sz w:val="18"/>
                <w:szCs w:val="18"/>
              </w:rPr>
              <w:t xml:space="preserve">Chaudhari U, et al. Efficacy and safety of infliximab monotherapy for plaque-type psoriasis: a randomised trial. </w:t>
            </w:r>
          </w:p>
        </w:tc>
        <w:tc>
          <w:tcPr>
            <w:tcW w:w="1263" w:type="pct"/>
            <w:shd w:val="clear" w:color="auto" w:fill="auto"/>
            <w:vAlign w:val="center"/>
          </w:tcPr>
          <w:p w:rsidR="008B2246" w:rsidRPr="008B2246" w:rsidRDefault="008B2246" w:rsidP="007D62EB">
            <w:pPr>
              <w:jc w:val="left"/>
              <w:rPr>
                <w:rFonts w:ascii="Arial Narrow" w:hAnsi="Arial Narrow"/>
                <w:i/>
                <w:sz w:val="18"/>
                <w:szCs w:val="18"/>
              </w:rPr>
            </w:pPr>
            <w:r w:rsidRPr="008B2246">
              <w:rPr>
                <w:rFonts w:ascii="Arial Narrow" w:hAnsi="Arial Narrow"/>
                <w:sz w:val="18"/>
                <w:szCs w:val="18"/>
              </w:rPr>
              <w:t xml:space="preserve">The Lancet </w:t>
            </w:r>
            <w:r w:rsidRPr="008B2246">
              <w:rPr>
                <w:rFonts w:ascii="Arial Narrow" w:hAnsi="Arial Narrow"/>
                <w:i/>
                <w:sz w:val="18"/>
                <w:szCs w:val="18"/>
              </w:rPr>
              <w:t>2001, 357 (9271): 1842-7.</w:t>
            </w:r>
          </w:p>
        </w:tc>
      </w:tr>
    </w:tbl>
    <w:p w:rsidR="00862502" w:rsidRPr="00862502" w:rsidRDefault="00653E3D" w:rsidP="00E22A0D">
      <w:pPr>
        <w:pStyle w:val="TableFooter"/>
        <w:ind w:firstLine="720"/>
        <w:rPr>
          <w:szCs w:val="22"/>
        </w:rPr>
      </w:pPr>
      <w:r>
        <w:t xml:space="preserve">Source: </w:t>
      </w:r>
      <w:r w:rsidR="008F120A" w:rsidRPr="00D13A3E">
        <w:t>Table</w:t>
      </w:r>
      <w:r>
        <w:t xml:space="preserve"> 9</w:t>
      </w:r>
      <w:r w:rsidR="008F120A" w:rsidRPr="00D13A3E">
        <w:t>, pp</w:t>
      </w:r>
      <w:r>
        <w:t xml:space="preserve"> 26-31 </w:t>
      </w:r>
      <w:r w:rsidR="008F120A" w:rsidRPr="00D13A3E">
        <w:t>of the submission</w:t>
      </w:r>
    </w:p>
    <w:p w:rsidR="00862502" w:rsidRPr="008F120A" w:rsidRDefault="00862502" w:rsidP="008F120A">
      <w:pPr>
        <w:widowControl/>
        <w:rPr>
          <w:szCs w:val="22"/>
        </w:rPr>
      </w:pPr>
    </w:p>
    <w:p w:rsidR="006F7588" w:rsidRDefault="006F7588" w:rsidP="006F7588">
      <w:pPr>
        <w:pStyle w:val="ListParagraph"/>
        <w:numPr>
          <w:ilvl w:val="1"/>
          <w:numId w:val="7"/>
        </w:numPr>
        <w:rPr>
          <w:szCs w:val="22"/>
        </w:rPr>
      </w:pPr>
      <w:r w:rsidRPr="006F7588">
        <w:rPr>
          <w:szCs w:val="22"/>
        </w:rPr>
        <w:t>The submission identified an ongoing head-to-head trial comparing secukinumab 300</w:t>
      </w:r>
      <w:r>
        <w:rPr>
          <w:szCs w:val="22"/>
        </w:rPr>
        <w:t> </w:t>
      </w:r>
      <w:r w:rsidRPr="006F7588">
        <w:rPr>
          <w:szCs w:val="22"/>
        </w:rPr>
        <w:t xml:space="preserve">mg and ustekinumab 45 </w:t>
      </w:r>
      <w:r>
        <w:rPr>
          <w:szCs w:val="22"/>
        </w:rPr>
        <w:t xml:space="preserve">mg </w:t>
      </w:r>
      <w:r w:rsidRPr="006F7588">
        <w:rPr>
          <w:szCs w:val="22"/>
        </w:rPr>
        <w:t xml:space="preserve">and 90 mg (CLEAR, NCT02074982).  The </w:t>
      </w:r>
      <w:r w:rsidR="00EC5E63">
        <w:rPr>
          <w:szCs w:val="22"/>
        </w:rPr>
        <w:t xml:space="preserve"> </w:t>
      </w:r>
      <w:r w:rsidR="00633071">
        <w:rPr>
          <w:szCs w:val="22"/>
        </w:rPr>
        <w:t xml:space="preserve">planned </w:t>
      </w:r>
      <w:r w:rsidR="00EC5E63">
        <w:rPr>
          <w:szCs w:val="22"/>
        </w:rPr>
        <w:t xml:space="preserve">completion date </w:t>
      </w:r>
      <w:r w:rsidR="00633071">
        <w:rPr>
          <w:szCs w:val="22"/>
        </w:rPr>
        <w:t>is</w:t>
      </w:r>
      <w:r w:rsidRPr="006F7588">
        <w:rPr>
          <w:szCs w:val="22"/>
        </w:rPr>
        <w:t xml:space="preserve"> July 2015. </w:t>
      </w:r>
    </w:p>
    <w:p w:rsidR="006F7588" w:rsidRPr="006F7588" w:rsidRDefault="006F7588" w:rsidP="006F7588">
      <w:pPr>
        <w:pStyle w:val="ListParagraph"/>
        <w:rPr>
          <w:szCs w:val="22"/>
        </w:rPr>
      </w:pPr>
    </w:p>
    <w:p w:rsidR="007F1017" w:rsidRPr="006F7588" w:rsidRDefault="008F120A" w:rsidP="006F7588">
      <w:pPr>
        <w:pStyle w:val="ListParagraph"/>
        <w:widowControl/>
        <w:numPr>
          <w:ilvl w:val="1"/>
          <w:numId w:val="7"/>
        </w:numPr>
        <w:rPr>
          <w:szCs w:val="22"/>
        </w:rPr>
      </w:pPr>
      <w:r w:rsidRPr="006F7588">
        <w:rPr>
          <w:szCs w:val="22"/>
        </w:rPr>
        <w:t xml:space="preserve">The key features of the direct randomised trials are summarised </w:t>
      </w:r>
      <w:r w:rsidR="00696349">
        <w:rPr>
          <w:szCs w:val="22"/>
        </w:rPr>
        <w:t>below</w:t>
      </w:r>
      <w:r w:rsidRPr="006F7588">
        <w:rPr>
          <w:szCs w:val="22"/>
        </w:rPr>
        <w:t xml:space="preserve">.  </w:t>
      </w:r>
    </w:p>
    <w:p w:rsidR="007D62EB" w:rsidRPr="0017665B" w:rsidRDefault="007D62EB" w:rsidP="007D62EB">
      <w:pPr>
        <w:ind w:firstLine="709"/>
      </w:pPr>
    </w:p>
    <w:p w:rsidR="000006EC" w:rsidRDefault="000006EC">
      <w:pPr>
        <w:widowControl/>
        <w:jc w:val="left"/>
        <w:rPr>
          <w:rStyle w:val="CommentReference"/>
        </w:rPr>
      </w:pPr>
      <w:r>
        <w:rPr>
          <w:rStyle w:val="CommentReference"/>
        </w:rPr>
        <w:br w:type="page"/>
      </w:r>
    </w:p>
    <w:p w:rsidR="007F1017" w:rsidRDefault="007F1017" w:rsidP="00E22A0D">
      <w:pPr>
        <w:ind w:firstLine="720"/>
        <w:rPr>
          <w:rStyle w:val="CommentReference"/>
        </w:rPr>
      </w:pPr>
      <w:r w:rsidRPr="00A13948">
        <w:rPr>
          <w:rStyle w:val="CommentReference"/>
        </w:rPr>
        <w:lastRenderedPageBreak/>
        <w:t>Key features of the included evidence – indirect comparison</w:t>
      </w:r>
    </w:p>
    <w:tbl>
      <w:tblPr>
        <w:tblW w:w="461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
      </w:tblPr>
      <w:tblGrid>
        <w:gridCol w:w="1558"/>
        <w:gridCol w:w="428"/>
        <w:gridCol w:w="1231"/>
        <w:gridCol w:w="893"/>
        <w:gridCol w:w="710"/>
        <w:gridCol w:w="1418"/>
        <w:gridCol w:w="991"/>
        <w:gridCol w:w="1159"/>
      </w:tblGrid>
      <w:tr w:rsidR="00663F49" w:rsidRPr="005E423E" w:rsidTr="00663F49">
        <w:trPr>
          <w:tblHeader/>
        </w:trPr>
        <w:tc>
          <w:tcPr>
            <w:tcW w:w="929" w:type="pct"/>
            <w:shd w:val="clear" w:color="auto" w:fill="auto"/>
            <w:vAlign w:val="center"/>
          </w:tcPr>
          <w:p w:rsidR="00663F49" w:rsidRPr="005E423E" w:rsidRDefault="00663F49" w:rsidP="007D62EB">
            <w:pPr>
              <w:jc w:val="left"/>
              <w:rPr>
                <w:rFonts w:ascii="Arial Narrow" w:hAnsi="Arial Narrow"/>
                <w:b/>
                <w:sz w:val="18"/>
                <w:szCs w:val="18"/>
                <w:lang w:val="en-US"/>
              </w:rPr>
            </w:pPr>
            <w:r w:rsidRPr="005E423E">
              <w:rPr>
                <w:rFonts w:ascii="Arial Narrow" w:hAnsi="Arial Narrow"/>
                <w:b/>
                <w:sz w:val="18"/>
                <w:szCs w:val="18"/>
                <w:lang w:val="en-US"/>
              </w:rPr>
              <w:t>Trial</w:t>
            </w:r>
          </w:p>
        </w:tc>
        <w:tc>
          <w:tcPr>
            <w:tcW w:w="255" w:type="pct"/>
            <w:shd w:val="clear" w:color="auto" w:fill="auto"/>
            <w:vAlign w:val="center"/>
          </w:tcPr>
          <w:p w:rsidR="00663F49" w:rsidRPr="001817E0" w:rsidRDefault="00663F49" w:rsidP="007D62EB">
            <w:pPr>
              <w:jc w:val="center"/>
              <w:rPr>
                <w:rFonts w:ascii="Arial Narrow" w:hAnsi="Arial Narrow"/>
                <w:b/>
                <w:sz w:val="18"/>
                <w:szCs w:val="18"/>
                <w:vertAlign w:val="superscript"/>
                <w:lang w:val="en-US"/>
              </w:rPr>
            </w:pPr>
            <w:r w:rsidRPr="005E423E">
              <w:rPr>
                <w:rFonts w:ascii="Arial Narrow" w:hAnsi="Arial Narrow"/>
                <w:b/>
                <w:sz w:val="18"/>
                <w:szCs w:val="18"/>
                <w:lang w:val="en-US"/>
              </w:rPr>
              <w:t>N</w:t>
            </w:r>
            <w:r>
              <w:rPr>
                <w:rFonts w:ascii="Arial Narrow" w:hAnsi="Arial Narrow"/>
                <w:b/>
                <w:sz w:val="18"/>
                <w:szCs w:val="18"/>
                <w:vertAlign w:val="superscript"/>
                <w:lang w:val="en-US"/>
              </w:rPr>
              <w:t>b</w:t>
            </w:r>
          </w:p>
        </w:tc>
        <w:tc>
          <w:tcPr>
            <w:tcW w:w="734" w:type="pct"/>
            <w:shd w:val="clear" w:color="auto" w:fill="auto"/>
            <w:vAlign w:val="center"/>
          </w:tcPr>
          <w:p w:rsidR="00663F49" w:rsidRPr="004A5DA2" w:rsidRDefault="00663F49" w:rsidP="007D62EB">
            <w:pPr>
              <w:jc w:val="center"/>
              <w:rPr>
                <w:rFonts w:ascii="Arial Narrow" w:hAnsi="Arial Narrow"/>
                <w:b/>
                <w:sz w:val="18"/>
                <w:szCs w:val="18"/>
                <w:vertAlign w:val="superscript"/>
                <w:lang w:val="en-US"/>
              </w:rPr>
            </w:pPr>
            <w:r w:rsidRPr="005E423E">
              <w:rPr>
                <w:rFonts w:ascii="Arial Narrow" w:hAnsi="Arial Narrow"/>
                <w:b/>
                <w:sz w:val="18"/>
                <w:szCs w:val="18"/>
                <w:lang w:val="en-US"/>
              </w:rPr>
              <w:t>Design/ duration</w:t>
            </w:r>
            <w:r>
              <w:rPr>
                <w:rFonts w:ascii="Arial Narrow" w:hAnsi="Arial Narrow"/>
                <w:b/>
                <w:sz w:val="18"/>
                <w:szCs w:val="18"/>
                <w:vertAlign w:val="superscript"/>
                <w:lang w:val="en-US"/>
              </w:rPr>
              <w:t>c</w:t>
            </w:r>
          </w:p>
        </w:tc>
        <w:tc>
          <w:tcPr>
            <w:tcW w:w="532" w:type="pct"/>
            <w:vAlign w:val="center"/>
          </w:tcPr>
          <w:p w:rsidR="00663F49" w:rsidRPr="005E423E" w:rsidRDefault="00663F49" w:rsidP="007D62EB">
            <w:pPr>
              <w:jc w:val="center"/>
              <w:rPr>
                <w:rFonts w:ascii="Arial Narrow" w:hAnsi="Arial Narrow"/>
                <w:b/>
                <w:sz w:val="18"/>
                <w:szCs w:val="18"/>
                <w:lang w:val="en-US"/>
              </w:rPr>
            </w:pPr>
            <w:r w:rsidRPr="005E423E">
              <w:rPr>
                <w:rFonts w:ascii="Arial Narrow" w:hAnsi="Arial Narrow"/>
                <w:b/>
                <w:sz w:val="18"/>
                <w:szCs w:val="18"/>
                <w:lang w:val="en-US"/>
              </w:rPr>
              <w:t xml:space="preserve">Comparator </w:t>
            </w:r>
          </w:p>
        </w:tc>
        <w:tc>
          <w:tcPr>
            <w:tcW w:w="423" w:type="pct"/>
            <w:shd w:val="clear" w:color="auto" w:fill="auto"/>
            <w:vAlign w:val="center"/>
          </w:tcPr>
          <w:p w:rsidR="00663F49" w:rsidRPr="005E423E" w:rsidRDefault="00663F49" w:rsidP="007D62EB">
            <w:pPr>
              <w:jc w:val="center"/>
              <w:rPr>
                <w:rFonts w:ascii="Arial Narrow" w:hAnsi="Arial Narrow"/>
                <w:b/>
                <w:sz w:val="18"/>
                <w:szCs w:val="18"/>
                <w:lang w:val="en-US"/>
              </w:rPr>
            </w:pPr>
            <w:r w:rsidRPr="005E423E">
              <w:rPr>
                <w:rFonts w:ascii="Arial Narrow" w:hAnsi="Arial Narrow"/>
                <w:b/>
                <w:sz w:val="18"/>
                <w:szCs w:val="18"/>
                <w:lang w:val="en-US"/>
              </w:rPr>
              <w:t>Risk of bias</w:t>
            </w:r>
          </w:p>
        </w:tc>
        <w:tc>
          <w:tcPr>
            <w:tcW w:w="845" w:type="pct"/>
            <w:shd w:val="clear" w:color="auto" w:fill="auto"/>
            <w:vAlign w:val="center"/>
          </w:tcPr>
          <w:p w:rsidR="00663F49" w:rsidRPr="005E423E" w:rsidRDefault="00663F49" w:rsidP="007D62EB">
            <w:pPr>
              <w:jc w:val="center"/>
              <w:rPr>
                <w:rFonts w:ascii="Arial Narrow" w:hAnsi="Arial Narrow"/>
                <w:b/>
                <w:sz w:val="18"/>
                <w:szCs w:val="18"/>
                <w:lang w:val="en-US"/>
              </w:rPr>
            </w:pPr>
            <w:r w:rsidRPr="005E423E">
              <w:rPr>
                <w:rFonts w:ascii="Arial Narrow" w:hAnsi="Arial Narrow"/>
                <w:b/>
                <w:sz w:val="18"/>
                <w:szCs w:val="18"/>
                <w:lang w:val="en-US"/>
              </w:rPr>
              <w:t>Patient population</w:t>
            </w:r>
          </w:p>
        </w:tc>
        <w:tc>
          <w:tcPr>
            <w:tcW w:w="591" w:type="pct"/>
            <w:shd w:val="clear" w:color="auto" w:fill="auto"/>
            <w:vAlign w:val="center"/>
          </w:tcPr>
          <w:p w:rsidR="00663F49" w:rsidRPr="005E423E" w:rsidRDefault="00663F49" w:rsidP="007D62EB">
            <w:pPr>
              <w:jc w:val="center"/>
              <w:rPr>
                <w:rFonts w:ascii="Arial Narrow" w:hAnsi="Arial Narrow"/>
                <w:b/>
                <w:sz w:val="18"/>
                <w:szCs w:val="18"/>
                <w:lang w:val="en-US"/>
              </w:rPr>
            </w:pPr>
            <w:r>
              <w:rPr>
                <w:rFonts w:ascii="Arial Narrow" w:hAnsi="Arial Narrow"/>
                <w:b/>
                <w:sz w:val="18"/>
                <w:szCs w:val="18"/>
                <w:lang w:val="en-US"/>
              </w:rPr>
              <w:t>O</w:t>
            </w:r>
            <w:r w:rsidRPr="005E423E">
              <w:rPr>
                <w:rFonts w:ascii="Arial Narrow" w:hAnsi="Arial Narrow"/>
                <w:b/>
                <w:sz w:val="18"/>
                <w:szCs w:val="18"/>
                <w:lang w:val="en-US"/>
              </w:rPr>
              <w:t>utcome(s)</w:t>
            </w:r>
          </w:p>
        </w:tc>
        <w:tc>
          <w:tcPr>
            <w:tcW w:w="691" w:type="pct"/>
            <w:shd w:val="clear" w:color="auto" w:fill="auto"/>
            <w:vAlign w:val="center"/>
          </w:tcPr>
          <w:p w:rsidR="00663F49" w:rsidRPr="005E423E" w:rsidRDefault="00663F49" w:rsidP="007D62EB">
            <w:pPr>
              <w:jc w:val="center"/>
              <w:rPr>
                <w:rFonts w:ascii="Arial Narrow" w:hAnsi="Arial Narrow"/>
                <w:b/>
                <w:sz w:val="18"/>
                <w:szCs w:val="18"/>
                <w:lang w:val="en-US"/>
              </w:rPr>
            </w:pPr>
            <w:r w:rsidRPr="005E423E">
              <w:rPr>
                <w:rFonts w:ascii="Arial Narrow" w:hAnsi="Arial Narrow"/>
                <w:b/>
                <w:sz w:val="18"/>
                <w:szCs w:val="18"/>
                <w:lang w:val="en-US"/>
              </w:rPr>
              <w:t>Use in modelled evaluation</w:t>
            </w:r>
          </w:p>
        </w:tc>
      </w:tr>
      <w:tr w:rsidR="00663F49" w:rsidRPr="005E423E" w:rsidTr="00663F49">
        <w:tc>
          <w:tcPr>
            <w:tcW w:w="5000" w:type="pct"/>
            <w:gridSpan w:val="8"/>
            <w:shd w:val="clear" w:color="auto" w:fill="auto"/>
            <w:vAlign w:val="center"/>
          </w:tcPr>
          <w:p w:rsidR="00663F49" w:rsidRPr="005E423E" w:rsidRDefault="00663F49" w:rsidP="007D62EB">
            <w:pPr>
              <w:jc w:val="left"/>
              <w:rPr>
                <w:rFonts w:ascii="Arial Narrow" w:hAnsi="Arial Narrow"/>
                <w:b/>
                <w:sz w:val="18"/>
                <w:szCs w:val="18"/>
                <w:lang w:val="en-US"/>
              </w:rPr>
            </w:pPr>
            <w:r w:rsidRPr="005E423E">
              <w:rPr>
                <w:rFonts w:ascii="Arial Narrow" w:hAnsi="Arial Narrow"/>
                <w:b/>
                <w:sz w:val="18"/>
                <w:szCs w:val="18"/>
                <w:lang w:val="en-US"/>
              </w:rPr>
              <w:t>Secukinumab</w:t>
            </w: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SEC</w:t>
            </w:r>
            <w:r w:rsidRPr="005E423E">
              <w:rPr>
                <w:rFonts w:ascii="Arial Narrow" w:hAnsi="Arial Narrow"/>
                <w:sz w:val="18"/>
                <w:szCs w:val="18"/>
                <w:vertAlign w:val="subscript"/>
                <w:lang w:val="en-US"/>
              </w:rPr>
              <w:t xml:space="preserve">1 </w:t>
            </w:r>
            <w:r w:rsidRPr="005E423E">
              <w:rPr>
                <w:rFonts w:ascii="Arial Narrow" w:hAnsi="Arial Narrow"/>
                <w:sz w:val="18"/>
                <w:szCs w:val="18"/>
                <w:lang w:val="en-US"/>
              </w:rPr>
              <w:t>(ERASURE)</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738</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r w:rsidRPr="005E423E">
              <w:rPr>
                <w:rFonts w:ascii="Arial Narrow" w:hAnsi="Arial Narrow"/>
                <w:sz w:val="18"/>
                <w:szCs w:val="18"/>
                <w:lang w:val="en-US"/>
              </w:rPr>
              <w:t xml:space="preserve"> </w:t>
            </w:r>
          </w:p>
        </w:tc>
        <w:tc>
          <w:tcPr>
            <w:tcW w:w="845" w:type="pct"/>
            <w:vMerge w:val="restar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Moderate to severe chronic plaque psoriasis</w:t>
            </w:r>
          </w:p>
        </w:tc>
        <w:tc>
          <w:tcPr>
            <w:tcW w:w="591" w:type="pct"/>
            <w:vMerge w:val="restart"/>
            <w:shd w:val="clear" w:color="auto" w:fill="D9D9D9" w:themeFill="background1" w:themeFillShade="D9"/>
            <w:vAlign w:val="center"/>
          </w:tcPr>
          <w:p w:rsidR="00663F49" w:rsidRDefault="00663F49" w:rsidP="007D62EB">
            <w:pPr>
              <w:jc w:val="center"/>
              <w:rPr>
                <w:rFonts w:ascii="Arial Narrow" w:hAnsi="Arial Narrow"/>
                <w:sz w:val="18"/>
                <w:szCs w:val="18"/>
                <w:lang w:val="en-US"/>
              </w:rPr>
            </w:pPr>
            <w:r>
              <w:rPr>
                <w:rFonts w:ascii="Arial Narrow" w:hAnsi="Arial Narrow"/>
                <w:sz w:val="18"/>
                <w:szCs w:val="18"/>
                <w:lang w:val="en-US"/>
              </w:rPr>
              <w:t>PASI 75</w:t>
            </w:r>
          </w:p>
          <w:p w:rsidR="00663F49" w:rsidRDefault="00663F49" w:rsidP="007D62EB">
            <w:pPr>
              <w:jc w:val="center"/>
              <w:rPr>
                <w:rFonts w:ascii="Arial Narrow" w:hAnsi="Arial Narrow"/>
                <w:sz w:val="18"/>
                <w:szCs w:val="18"/>
                <w:lang w:val="en-US"/>
              </w:rPr>
            </w:pPr>
            <w:r>
              <w:rPr>
                <w:rFonts w:ascii="Arial Narrow" w:hAnsi="Arial Narrow"/>
                <w:sz w:val="18"/>
                <w:szCs w:val="18"/>
                <w:lang w:val="en-US"/>
              </w:rPr>
              <w:t>IGA mod 2011</w:t>
            </w:r>
          </w:p>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at 12 weeks</w:t>
            </w: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SEC</w:t>
            </w:r>
            <w:r w:rsidRPr="005E423E">
              <w:rPr>
                <w:rFonts w:ascii="Arial Narrow" w:hAnsi="Arial Narrow"/>
                <w:sz w:val="18"/>
                <w:szCs w:val="18"/>
                <w:vertAlign w:val="subscript"/>
                <w:lang w:val="en-US"/>
              </w:rPr>
              <w:t xml:space="preserve">2 </w:t>
            </w:r>
            <w:r w:rsidRPr="005E423E">
              <w:rPr>
                <w:rFonts w:ascii="Arial Narrow" w:hAnsi="Arial Narrow"/>
                <w:sz w:val="18"/>
                <w:szCs w:val="18"/>
                <w:lang w:val="en-US"/>
              </w:rPr>
              <w:t>(FIXTURE)</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1306</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ETN; 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r w:rsidRPr="005E423E">
              <w:rPr>
                <w:rFonts w:ascii="Arial Narrow" w:hAnsi="Arial Narrow"/>
                <w:sz w:val="18"/>
                <w:szCs w:val="18"/>
                <w:lang w:val="en-US"/>
              </w:rPr>
              <w:t xml:space="preserve"> </w:t>
            </w:r>
          </w:p>
        </w:tc>
        <w:tc>
          <w:tcPr>
            <w:tcW w:w="845" w:type="pct"/>
            <w:vMerge/>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591" w:type="pct"/>
            <w:vMerge/>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SEC</w:t>
            </w:r>
            <w:r w:rsidRPr="005E423E">
              <w:rPr>
                <w:rFonts w:ascii="Arial Narrow" w:hAnsi="Arial Narrow"/>
                <w:sz w:val="18"/>
                <w:szCs w:val="18"/>
                <w:vertAlign w:val="subscript"/>
                <w:lang w:val="en-US"/>
              </w:rPr>
              <w:t xml:space="preserve">3 </w:t>
            </w:r>
            <w:r w:rsidRPr="005E423E">
              <w:rPr>
                <w:rFonts w:ascii="Arial Narrow" w:hAnsi="Arial Narrow"/>
                <w:sz w:val="18"/>
                <w:szCs w:val="18"/>
                <w:lang w:val="en-US"/>
              </w:rPr>
              <w:t>(FEATURE)</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177</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41543F" w:rsidRDefault="00663F49" w:rsidP="007D62EB">
            <w:pPr>
              <w:jc w:val="center"/>
              <w:rPr>
                <w:rFonts w:ascii="Arial Narrow" w:hAnsi="Arial Narrow"/>
                <w:sz w:val="18"/>
                <w:szCs w:val="18"/>
                <w:vertAlign w:val="superscript"/>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p>
        </w:tc>
        <w:tc>
          <w:tcPr>
            <w:tcW w:w="845" w:type="pct"/>
            <w:vMerge/>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591" w:type="pct"/>
            <w:vMerge/>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SEC</w:t>
            </w:r>
            <w:r w:rsidRPr="005E423E">
              <w:rPr>
                <w:rFonts w:ascii="Arial Narrow" w:hAnsi="Arial Narrow"/>
                <w:sz w:val="18"/>
                <w:szCs w:val="18"/>
                <w:vertAlign w:val="subscript"/>
                <w:lang w:val="en-US"/>
              </w:rPr>
              <w:t>4</w:t>
            </w:r>
            <w:r w:rsidRPr="005E423E">
              <w:rPr>
                <w:rFonts w:ascii="Arial Narrow" w:hAnsi="Arial Narrow"/>
                <w:sz w:val="18"/>
                <w:szCs w:val="18"/>
                <w:lang w:val="en-US"/>
              </w:rPr>
              <w:t xml:space="preserve"> (JUNCTURE)</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182</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Low</w:t>
            </w:r>
            <w:r>
              <w:rPr>
                <w:rFonts w:ascii="Arial Narrow" w:hAnsi="Arial Narrow"/>
                <w:sz w:val="18"/>
                <w:szCs w:val="18"/>
                <w:vertAlign w:val="superscript"/>
                <w:lang w:val="en-US"/>
              </w:rPr>
              <w:t>a</w:t>
            </w:r>
          </w:p>
        </w:tc>
        <w:tc>
          <w:tcPr>
            <w:tcW w:w="845" w:type="pct"/>
            <w:vMerge/>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591" w:type="pct"/>
            <w:vMerge/>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Meta-analysis</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1377</w:t>
            </w:r>
          </w:p>
        </w:tc>
        <w:tc>
          <w:tcPr>
            <w:tcW w:w="3125" w:type="pct"/>
            <w:gridSpan w:val="5"/>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 xml:space="preserve">Included </w:t>
            </w:r>
            <w:r>
              <w:rPr>
                <w:rFonts w:ascii="Arial Narrow" w:hAnsi="Arial Narrow"/>
                <w:sz w:val="18"/>
                <w:szCs w:val="18"/>
                <w:lang w:val="en-US"/>
              </w:rPr>
              <w:t>all trials – relevant treatment arms only</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r>
      <w:tr w:rsidR="00663F49" w:rsidRPr="005E423E" w:rsidTr="00663F49">
        <w:tc>
          <w:tcPr>
            <w:tcW w:w="5000" w:type="pct"/>
            <w:gridSpan w:val="8"/>
          </w:tcPr>
          <w:p w:rsidR="00663F49" w:rsidRPr="005E423E" w:rsidRDefault="00663F49" w:rsidP="007D62EB">
            <w:pPr>
              <w:jc w:val="left"/>
              <w:rPr>
                <w:rFonts w:ascii="Arial Narrow" w:hAnsi="Arial Narrow"/>
                <w:b/>
                <w:sz w:val="18"/>
                <w:szCs w:val="18"/>
                <w:lang w:val="en-US"/>
              </w:rPr>
            </w:pPr>
            <w:r w:rsidRPr="005E423E">
              <w:rPr>
                <w:rFonts w:ascii="Arial Narrow" w:hAnsi="Arial Narrow"/>
                <w:b/>
                <w:sz w:val="18"/>
                <w:szCs w:val="18"/>
                <w:lang w:val="en-US"/>
              </w:rPr>
              <w:t xml:space="preserve">Ustekinumab </w:t>
            </w: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UST</w:t>
            </w:r>
            <w:r w:rsidRPr="005E423E">
              <w:rPr>
                <w:rFonts w:ascii="Arial Narrow" w:hAnsi="Arial Narrow"/>
                <w:sz w:val="18"/>
                <w:szCs w:val="18"/>
                <w:vertAlign w:val="subscript"/>
                <w:lang w:val="en-US"/>
              </w:rPr>
              <w:t xml:space="preserve">1 </w:t>
            </w:r>
            <w:r w:rsidRPr="005E423E">
              <w:rPr>
                <w:rFonts w:ascii="Arial Narrow" w:hAnsi="Arial Narrow"/>
                <w:sz w:val="18"/>
                <w:szCs w:val="18"/>
                <w:lang w:val="en-US"/>
              </w:rPr>
              <w:t>(ACCEPT)</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903</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SB, 12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ETN</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r w:rsidRPr="005E423E">
              <w:rPr>
                <w:rFonts w:ascii="Arial Narrow" w:hAnsi="Arial Narrow"/>
                <w:sz w:val="18"/>
                <w:szCs w:val="18"/>
                <w:lang w:val="en-US"/>
              </w:rPr>
              <w:t xml:space="preserve"> </w:t>
            </w:r>
          </w:p>
        </w:tc>
        <w:tc>
          <w:tcPr>
            <w:tcW w:w="845" w:type="pct"/>
            <w:tcBorders>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591" w:type="pct"/>
            <w:tcBorders>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UST</w:t>
            </w:r>
            <w:r w:rsidRPr="005E423E">
              <w:rPr>
                <w:rFonts w:ascii="Arial Narrow" w:hAnsi="Arial Narrow"/>
                <w:sz w:val="18"/>
                <w:szCs w:val="18"/>
                <w:vertAlign w:val="subscript"/>
                <w:lang w:val="en-US"/>
              </w:rPr>
              <w:t xml:space="preserve">2 </w:t>
            </w:r>
            <w:r w:rsidRPr="005E423E">
              <w:rPr>
                <w:rFonts w:ascii="Arial Narrow" w:hAnsi="Arial Narrow"/>
                <w:sz w:val="18"/>
                <w:szCs w:val="18"/>
                <w:lang w:val="en-US"/>
              </w:rPr>
              <w:t>(PHOENIX 1)</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766</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62353D" w:rsidRDefault="00663F49" w:rsidP="007D62EB">
            <w:pPr>
              <w:jc w:val="center"/>
              <w:rPr>
                <w:rFonts w:ascii="Arial Narrow" w:hAnsi="Arial Narrow"/>
                <w:sz w:val="18"/>
                <w:szCs w:val="18"/>
                <w:vertAlign w:val="superscript"/>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591"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UST</w:t>
            </w:r>
            <w:r w:rsidRPr="005E423E">
              <w:rPr>
                <w:rFonts w:ascii="Arial Narrow" w:hAnsi="Arial Narrow"/>
                <w:sz w:val="18"/>
                <w:szCs w:val="18"/>
                <w:vertAlign w:val="subscript"/>
                <w:lang w:val="en-US"/>
              </w:rPr>
              <w:t xml:space="preserve">3 </w:t>
            </w:r>
            <w:r w:rsidRPr="005E423E">
              <w:rPr>
                <w:rFonts w:ascii="Arial Narrow" w:hAnsi="Arial Narrow"/>
                <w:sz w:val="18"/>
                <w:szCs w:val="18"/>
                <w:lang w:val="en-US"/>
              </w:rPr>
              <w:t>(PHOENIX 2)</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1230</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A61F36" w:rsidRDefault="00663F49" w:rsidP="007D62EB">
            <w:pPr>
              <w:jc w:val="center"/>
              <w:rPr>
                <w:rFonts w:ascii="Arial Narrow" w:hAnsi="Arial Narrow"/>
                <w:sz w:val="18"/>
                <w:szCs w:val="18"/>
                <w:vertAlign w:val="superscript"/>
                <w:lang w:val="en-US"/>
              </w:rPr>
            </w:pPr>
            <w:r>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Moderate to severe</w:t>
            </w:r>
          </w:p>
        </w:tc>
        <w:tc>
          <w:tcPr>
            <w:tcW w:w="591"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UST</w:t>
            </w:r>
            <w:r w:rsidRPr="005E423E">
              <w:rPr>
                <w:rFonts w:ascii="Arial Narrow" w:hAnsi="Arial Narrow"/>
                <w:sz w:val="18"/>
                <w:szCs w:val="18"/>
                <w:vertAlign w:val="subscript"/>
                <w:lang w:val="en-US"/>
              </w:rPr>
              <w:t xml:space="preserve">4 </w:t>
            </w:r>
            <w:r w:rsidRPr="005E423E">
              <w:rPr>
                <w:rFonts w:ascii="Arial Narrow" w:hAnsi="Arial Narrow"/>
                <w:sz w:val="18"/>
                <w:szCs w:val="18"/>
                <w:lang w:val="en-US"/>
              </w:rPr>
              <w:t>(PEARL)</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121</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r w:rsidRPr="005E423E">
              <w:rPr>
                <w:rFonts w:ascii="Arial Narrow" w:hAnsi="Arial Narrow"/>
                <w:sz w:val="18"/>
                <w:szCs w:val="18"/>
                <w:lang w:val="en-US"/>
              </w:rPr>
              <w:t xml:space="preserve"> </w:t>
            </w:r>
          </w:p>
        </w:tc>
        <w:tc>
          <w:tcPr>
            <w:tcW w:w="845"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chronic plaque</w:t>
            </w:r>
          </w:p>
        </w:tc>
        <w:tc>
          <w:tcPr>
            <w:tcW w:w="591"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at 12 weeks</w:t>
            </w: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UST</w:t>
            </w:r>
            <w:r w:rsidRPr="005E423E">
              <w:rPr>
                <w:rFonts w:ascii="Arial Narrow" w:hAnsi="Arial Narrow"/>
                <w:sz w:val="18"/>
                <w:szCs w:val="18"/>
                <w:vertAlign w:val="subscript"/>
                <w:lang w:val="en-US"/>
              </w:rPr>
              <w:t xml:space="preserve">5 </w:t>
            </w:r>
            <w:r w:rsidRPr="005E423E">
              <w:rPr>
                <w:rFonts w:ascii="Arial Narrow" w:hAnsi="Arial Narrow"/>
                <w:sz w:val="18"/>
                <w:szCs w:val="18"/>
                <w:lang w:val="en-US"/>
              </w:rPr>
              <w:t>(Igarashi 2012)</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158</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psoriasis</w:t>
            </w:r>
          </w:p>
        </w:tc>
        <w:tc>
          <w:tcPr>
            <w:tcW w:w="591"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UST</w:t>
            </w:r>
            <w:r w:rsidRPr="005E423E">
              <w:rPr>
                <w:rFonts w:ascii="Arial Narrow" w:hAnsi="Arial Narrow"/>
                <w:sz w:val="18"/>
                <w:szCs w:val="18"/>
                <w:vertAlign w:val="subscript"/>
                <w:lang w:val="en-US"/>
              </w:rPr>
              <w:t xml:space="preserve">6 </w:t>
            </w:r>
            <w:r w:rsidRPr="005E423E">
              <w:rPr>
                <w:rFonts w:ascii="Arial Narrow" w:hAnsi="Arial Narrow"/>
                <w:sz w:val="18"/>
                <w:szCs w:val="18"/>
                <w:lang w:val="en-US"/>
              </w:rPr>
              <w:t>(LOTUS)</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322</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591" w:type="pct"/>
            <w:tcBorders>
              <w:top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Meta-analysis</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2596</w:t>
            </w:r>
          </w:p>
        </w:tc>
        <w:tc>
          <w:tcPr>
            <w:tcW w:w="3125" w:type="pct"/>
            <w:gridSpan w:val="5"/>
            <w:shd w:val="clear" w:color="auto" w:fill="auto"/>
            <w:vAlign w:val="center"/>
          </w:tcPr>
          <w:p w:rsidR="00663F49" w:rsidRPr="00726173" w:rsidRDefault="00663F49" w:rsidP="007D62EB">
            <w:pPr>
              <w:jc w:val="center"/>
              <w:rPr>
                <w:rFonts w:ascii="Arial Narrow" w:hAnsi="Arial Narrow"/>
                <w:sz w:val="18"/>
                <w:szCs w:val="18"/>
                <w:lang w:val="en-US"/>
              </w:rPr>
            </w:pPr>
            <w:r>
              <w:rPr>
                <w:rFonts w:ascii="Arial Narrow" w:hAnsi="Arial Narrow"/>
                <w:sz w:val="18"/>
                <w:szCs w:val="18"/>
                <w:lang w:val="en-US"/>
              </w:rPr>
              <w:t>Included UST</w:t>
            </w:r>
            <w:r>
              <w:rPr>
                <w:rFonts w:ascii="Arial Narrow" w:hAnsi="Arial Narrow"/>
                <w:sz w:val="18"/>
                <w:szCs w:val="18"/>
                <w:vertAlign w:val="subscript"/>
                <w:lang w:val="en-US"/>
              </w:rPr>
              <w:t>2</w:t>
            </w:r>
            <w:r>
              <w:rPr>
                <w:rFonts w:ascii="Arial Narrow" w:hAnsi="Arial Narrow"/>
                <w:sz w:val="18"/>
                <w:szCs w:val="18"/>
                <w:lang w:val="en-US"/>
              </w:rPr>
              <w:t>, UST</w:t>
            </w:r>
            <w:r>
              <w:rPr>
                <w:rFonts w:ascii="Arial Narrow" w:hAnsi="Arial Narrow"/>
                <w:sz w:val="18"/>
                <w:szCs w:val="18"/>
                <w:vertAlign w:val="subscript"/>
                <w:lang w:val="en-US"/>
              </w:rPr>
              <w:t>3</w:t>
            </w:r>
            <w:r w:rsidRPr="00726173">
              <w:rPr>
                <w:rFonts w:ascii="Arial Narrow" w:hAnsi="Arial Narrow"/>
                <w:sz w:val="18"/>
                <w:szCs w:val="18"/>
                <w:lang w:val="en-US"/>
              </w:rPr>
              <w:t>,</w:t>
            </w:r>
            <w:r>
              <w:rPr>
                <w:rFonts w:ascii="Arial Narrow" w:hAnsi="Arial Narrow"/>
                <w:sz w:val="18"/>
                <w:szCs w:val="18"/>
                <w:vertAlign w:val="subscript"/>
                <w:lang w:val="en-US"/>
              </w:rPr>
              <w:t xml:space="preserve"> </w:t>
            </w:r>
            <w:r>
              <w:rPr>
                <w:rFonts w:ascii="Arial Narrow" w:hAnsi="Arial Narrow"/>
                <w:sz w:val="18"/>
                <w:szCs w:val="18"/>
                <w:lang w:val="en-US"/>
              </w:rPr>
              <w:t>UST</w:t>
            </w:r>
            <w:r>
              <w:rPr>
                <w:rFonts w:ascii="Arial Narrow" w:hAnsi="Arial Narrow"/>
                <w:sz w:val="18"/>
                <w:szCs w:val="18"/>
                <w:vertAlign w:val="subscript"/>
                <w:lang w:val="en-US"/>
              </w:rPr>
              <w:t>4</w:t>
            </w:r>
            <w:r w:rsidRPr="00726173">
              <w:rPr>
                <w:rFonts w:ascii="Arial Narrow" w:hAnsi="Arial Narrow"/>
                <w:sz w:val="18"/>
                <w:szCs w:val="18"/>
                <w:lang w:val="en-US"/>
              </w:rPr>
              <w:t xml:space="preserve">, </w:t>
            </w:r>
            <w:r>
              <w:rPr>
                <w:rFonts w:ascii="Arial Narrow" w:hAnsi="Arial Narrow"/>
                <w:sz w:val="18"/>
                <w:szCs w:val="18"/>
                <w:lang w:val="en-US"/>
              </w:rPr>
              <w:t>UST</w:t>
            </w:r>
            <w:r>
              <w:rPr>
                <w:rFonts w:ascii="Arial Narrow" w:hAnsi="Arial Narrow"/>
                <w:sz w:val="18"/>
                <w:szCs w:val="18"/>
                <w:vertAlign w:val="subscript"/>
                <w:lang w:val="en-US"/>
              </w:rPr>
              <w:t>5</w:t>
            </w:r>
            <w:r w:rsidRPr="00726173">
              <w:rPr>
                <w:rFonts w:ascii="Arial Narrow" w:hAnsi="Arial Narrow"/>
                <w:sz w:val="18"/>
                <w:szCs w:val="18"/>
                <w:lang w:val="en-US"/>
              </w:rPr>
              <w:t>,</w:t>
            </w:r>
            <w:r>
              <w:rPr>
                <w:rFonts w:ascii="Arial Narrow" w:hAnsi="Arial Narrow"/>
                <w:sz w:val="18"/>
                <w:szCs w:val="18"/>
                <w:vertAlign w:val="subscript"/>
                <w:lang w:val="en-US"/>
              </w:rPr>
              <w:t xml:space="preserve"> </w:t>
            </w:r>
            <w:r>
              <w:rPr>
                <w:rFonts w:ascii="Arial Narrow" w:hAnsi="Arial Narrow"/>
                <w:sz w:val="18"/>
                <w:szCs w:val="18"/>
                <w:lang w:val="en-US"/>
              </w:rPr>
              <w:t>UST</w:t>
            </w:r>
            <w:r>
              <w:rPr>
                <w:rFonts w:ascii="Arial Narrow" w:hAnsi="Arial Narrow"/>
                <w:sz w:val="18"/>
                <w:szCs w:val="18"/>
                <w:vertAlign w:val="subscript"/>
                <w:lang w:val="en-US"/>
              </w:rPr>
              <w:t>6</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r>
      <w:tr w:rsidR="00663F49" w:rsidRPr="005E423E" w:rsidTr="00663F49">
        <w:tc>
          <w:tcPr>
            <w:tcW w:w="5000" w:type="pct"/>
            <w:gridSpan w:val="8"/>
            <w:shd w:val="clear" w:color="auto" w:fill="auto"/>
          </w:tcPr>
          <w:p w:rsidR="00663F49" w:rsidRPr="005E423E" w:rsidRDefault="00663F49" w:rsidP="007D62EB">
            <w:pPr>
              <w:jc w:val="left"/>
              <w:rPr>
                <w:rFonts w:ascii="Arial Narrow" w:hAnsi="Arial Narrow"/>
                <w:b/>
                <w:sz w:val="18"/>
                <w:szCs w:val="18"/>
                <w:lang w:val="en-US"/>
              </w:rPr>
            </w:pPr>
            <w:r w:rsidRPr="005E423E">
              <w:rPr>
                <w:rFonts w:ascii="Arial Narrow" w:hAnsi="Arial Narrow"/>
                <w:b/>
                <w:sz w:val="18"/>
                <w:szCs w:val="18"/>
                <w:lang w:val="en-US"/>
              </w:rPr>
              <w:t xml:space="preserve">Adalimumab </w:t>
            </w: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ADA</w:t>
            </w:r>
            <w:r w:rsidRPr="005E423E">
              <w:rPr>
                <w:rFonts w:ascii="Arial Narrow" w:hAnsi="Arial Narrow"/>
                <w:sz w:val="18"/>
                <w:szCs w:val="18"/>
                <w:vertAlign w:val="subscript"/>
                <w:lang w:val="en-US"/>
              </w:rPr>
              <w:t xml:space="preserve">1 </w:t>
            </w:r>
            <w:r w:rsidRPr="005E423E">
              <w:rPr>
                <w:rFonts w:ascii="Arial Narrow" w:hAnsi="Arial Narrow"/>
                <w:sz w:val="18"/>
                <w:szCs w:val="18"/>
              </w:rPr>
              <w:t>(CHAMPION)</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271</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16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 xml:space="preserve">Low </w:t>
            </w:r>
          </w:p>
        </w:tc>
        <w:tc>
          <w:tcPr>
            <w:tcW w:w="845" w:type="pct"/>
            <w:tcBorders>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591" w:type="pct"/>
            <w:tcBorders>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ADA</w:t>
            </w:r>
            <w:r w:rsidRPr="005E423E">
              <w:rPr>
                <w:rFonts w:ascii="Arial Narrow" w:hAnsi="Arial Narrow"/>
                <w:sz w:val="18"/>
                <w:szCs w:val="18"/>
                <w:vertAlign w:val="subscript"/>
                <w:lang w:val="en-US"/>
              </w:rPr>
              <w:t xml:space="preserve">2 </w:t>
            </w:r>
            <w:r w:rsidRPr="005E423E">
              <w:rPr>
                <w:rFonts w:ascii="Arial Narrow" w:hAnsi="Arial Narrow"/>
                <w:sz w:val="18"/>
                <w:szCs w:val="18"/>
              </w:rPr>
              <w:t>(REVEAL)</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1212</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16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Moderate to severe</w:t>
            </w:r>
          </w:p>
        </w:tc>
        <w:tc>
          <w:tcPr>
            <w:tcW w:w="591"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ADA</w:t>
            </w:r>
            <w:r w:rsidRPr="005E423E">
              <w:rPr>
                <w:rFonts w:ascii="Arial Narrow" w:hAnsi="Arial Narrow"/>
                <w:sz w:val="18"/>
                <w:szCs w:val="18"/>
                <w:vertAlign w:val="subscript"/>
                <w:lang w:val="en-US"/>
              </w:rPr>
              <w:t xml:space="preserve">3 </w:t>
            </w:r>
            <w:r w:rsidRPr="005E423E">
              <w:rPr>
                <w:rFonts w:ascii="Arial Narrow" w:hAnsi="Arial Narrow"/>
                <w:sz w:val="18"/>
                <w:szCs w:val="18"/>
              </w:rPr>
              <w:t>(Gordon 2006)</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147</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12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chronic plaque</w:t>
            </w:r>
          </w:p>
        </w:tc>
        <w:tc>
          <w:tcPr>
            <w:tcW w:w="591" w:type="pct"/>
            <w:tcBorders>
              <w:top w:val="nil"/>
              <w:bottom w:val="nil"/>
            </w:tcBorders>
            <w:shd w:val="clear" w:color="auto" w:fill="auto"/>
            <w:vAlign w:val="center"/>
          </w:tcPr>
          <w:p w:rsidR="00663F49" w:rsidRPr="005E423E" w:rsidRDefault="00663F49" w:rsidP="00663F49">
            <w:pPr>
              <w:jc w:val="center"/>
              <w:rPr>
                <w:rFonts w:ascii="Arial Narrow" w:hAnsi="Arial Narrow"/>
                <w:sz w:val="18"/>
                <w:szCs w:val="18"/>
                <w:lang w:val="en-US"/>
              </w:rPr>
            </w:pPr>
            <w:r>
              <w:rPr>
                <w:rFonts w:ascii="Arial Narrow" w:hAnsi="Arial Narrow"/>
                <w:sz w:val="18"/>
                <w:szCs w:val="18"/>
                <w:lang w:val="en-US"/>
              </w:rPr>
              <w:t xml:space="preserve">at 12/16 </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ADA</w:t>
            </w:r>
            <w:r w:rsidRPr="005E423E">
              <w:rPr>
                <w:rFonts w:ascii="Arial Narrow" w:hAnsi="Arial Narrow"/>
                <w:sz w:val="18"/>
                <w:szCs w:val="18"/>
                <w:vertAlign w:val="subscript"/>
                <w:lang w:val="en-US"/>
              </w:rPr>
              <w:t xml:space="preserve">4 </w:t>
            </w:r>
            <w:r w:rsidRPr="005E423E">
              <w:rPr>
                <w:rFonts w:ascii="Arial Narrow" w:hAnsi="Arial Narrow"/>
                <w:sz w:val="18"/>
                <w:szCs w:val="18"/>
              </w:rPr>
              <w:t>(Asahina 2010)</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235</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16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 xml:space="preserve">Low </w:t>
            </w:r>
          </w:p>
        </w:tc>
        <w:tc>
          <w:tcPr>
            <w:tcW w:w="845" w:type="pct"/>
            <w:tcBorders>
              <w:top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psoriasis</w:t>
            </w:r>
          </w:p>
        </w:tc>
        <w:tc>
          <w:tcPr>
            <w:tcW w:w="591" w:type="pct"/>
            <w:tcBorders>
              <w:top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weeks</w:t>
            </w: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Meta-analysis</w:t>
            </w:r>
          </w:p>
        </w:tc>
        <w:tc>
          <w:tcPr>
            <w:tcW w:w="255" w:type="pct"/>
            <w:shd w:val="clear" w:color="auto" w:fill="auto"/>
            <w:vAlign w:val="center"/>
          </w:tcPr>
          <w:p w:rsidR="00663F49" w:rsidRPr="005E423E" w:rsidRDefault="008B2246" w:rsidP="007D62EB">
            <w:pPr>
              <w:jc w:val="center"/>
              <w:rPr>
                <w:rFonts w:ascii="Arial Narrow" w:hAnsi="Arial Narrow"/>
                <w:sz w:val="18"/>
                <w:szCs w:val="18"/>
                <w:lang w:val="en-US"/>
              </w:rPr>
            </w:pPr>
            <w:r>
              <w:rPr>
                <w:rFonts w:ascii="Arial Narrow" w:hAnsi="Arial Narrow"/>
                <w:sz w:val="18"/>
                <w:szCs w:val="18"/>
                <w:lang w:val="en-US"/>
              </w:rPr>
              <w:t>1560</w:t>
            </w:r>
          </w:p>
        </w:tc>
        <w:tc>
          <w:tcPr>
            <w:tcW w:w="3125" w:type="pct"/>
            <w:gridSpan w:val="5"/>
            <w:shd w:val="clear" w:color="auto" w:fill="auto"/>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 xml:space="preserve">Included </w:t>
            </w:r>
            <w:r>
              <w:rPr>
                <w:rFonts w:ascii="Arial Narrow" w:hAnsi="Arial Narrow"/>
                <w:sz w:val="18"/>
                <w:szCs w:val="18"/>
                <w:lang w:val="en-US"/>
              </w:rPr>
              <w:t>all trials – relevant treatment arms only</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r>
      <w:tr w:rsidR="00663F49" w:rsidRPr="005E423E" w:rsidTr="00663F49">
        <w:tc>
          <w:tcPr>
            <w:tcW w:w="5000" w:type="pct"/>
            <w:gridSpan w:val="8"/>
            <w:shd w:val="clear" w:color="auto" w:fill="auto"/>
          </w:tcPr>
          <w:p w:rsidR="00663F49" w:rsidRPr="005E423E" w:rsidRDefault="00663F49" w:rsidP="007D62EB">
            <w:pPr>
              <w:jc w:val="left"/>
              <w:rPr>
                <w:rFonts w:ascii="Arial Narrow" w:hAnsi="Arial Narrow"/>
                <w:b/>
                <w:sz w:val="18"/>
                <w:szCs w:val="18"/>
                <w:lang w:val="en-US"/>
              </w:rPr>
            </w:pPr>
            <w:r w:rsidRPr="005E423E">
              <w:rPr>
                <w:rFonts w:ascii="Arial Narrow" w:hAnsi="Arial Narrow"/>
                <w:b/>
                <w:sz w:val="18"/>
                <w:szCs w:val="18"/>
                <w:lang w:val="en-US"/>
              </w:rPr>
              <w:t>Infliximab</w:t>
            </w: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IFX</w:t>
            </w:r>
            <w:r w:rsidRPr="005E423E">
              <w:rPr>
                <w:rFonts w:ascii="Arial Narrow" w:hAnsi="Arial Narrow"/>
                <w:sz w:val="18"/>
                <w:szCs w:val="18"/>
                <w:vertAlign w:val="subscript"/>
                <w:lang w:val="en-US"/>
              </w:rPr>
              <w:t xml:space="preserve">1 </w:t>
            </w:r>
            <w:r w:rsidRPr="005E423E">
              <w:rPr>
                <w:rFonts w:ascii="Arial Narrow" w:hAnsi="Arial Narrow"/>
                <w:sz w:val="18"/>
                <w:szCs w:val="18"/>
              </w:rPr>
              <w:t>(SPIRIT)</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249</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10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 xml:space="preserve">Low </w:t>
            </w:r>
          </w:p>
        </w:tc>
        <w:tc>
          <w:tcPr>
            <w:tcW w:w="845" w:type="pct"/>
            <w:tcBorders>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591" w:type="pct"/>
            <w:tcBorders>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IFX</w:t>
            </w:r>
            <w:r w:rsidRPr="005E423E">
              <w:rPr>
                <w:rFonts w:ascii="Arial Narrow" w:hAnsi="Arial Narrow"/>
                <w:sz w:val="18"/>
                <w:szCs w:val="18"/>
                <w:vertAlign w:val="subscript"/>
                <w:lang w:val="en-US"/>
              </w:rPr>
              <w:t xml:space="preserve">2 </w:t>
            </w:r>
            <w:r w:rsidRPr="005E423E">
              <w:rPr>
                <w:rFonts w:ascii="Arial Narrow" w:hAnsi="Arial Narrow"/>
                <w:sz w:val="18"/>
                <w:szCs w:val="18"/>
              </w:rPr>
              <w:t>(EXPRESS)</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378</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24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591"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IFX</w:t>
            </w:r>
            <w:r w:rsidRPr="005E423E">
              <w:rPr>
                <w:rFonts w:ascii="Arial Narrow" w:hAnsi="Arial Narrow"/>
                <w:sz w:val="18"/>
                <w:szCs w:val="18"/>
                <w:vertAlign w:val="subscript"/>
                <w:lang w:val="en-US"/>
              </w:rPr>
              <w:t xml:space="preserve">3 </w:t>
            </w:r>
            <w:r w:rsidRPr="005E423E">
              <w:rPr>
                <w:rFonts w:ascii="Arial Narrow" w:hAnsi="Arial Narrow"/>
                <w:sz w:val="18"/>
                <w:szCs w:val="18"/>
              </w:rPr>
              <w:t>(EXPRESS 2)</w:t>
            </w:r>
          </w:p>
        </w:tc>
        <w:tc>
          <w:tcPr>
            <w:tcW w:w="255"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835</w:t>
            </w:r>
          </w:p>
        </w:tc>
        <w:tc>
          <w:tcPr>
            <w:tcW w:w="734"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14 weeks</w:t>
            </w:r>
          </w:p>
        </w:tc>
        <w:tc>
          <w:tcPr>
            <w:tcW w:w="532" w:type="pct"/>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Low</w:t>
            </w:r>
          </w:p>
        </w:tc>
        <w:tc>
          <w:tcPr>
            <w:tcW w:w="845"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Moderate to severe</w:t>
            </w:r>
          </w:p>
        </w:tc>
        <w:tc>
          <w:tcPr>
            <w:tcW w:w="591" w:type="pct"/>
            <w:tcBorders>
              <w:top w:val="nil"/>
              <w:bottom w:val="nil"/>
            </w:tcBorders>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IFX</w:t>
            </w:r>
            <w:r w:rsidRPr="005E423E">
              <w:rPr>
                <w:rFonts w:ascii="Arial Narrow" w:hAnsi="Arial Narrow"/>
                <w:sz w:val="18"/>
                <w:szCs w:val="18"/>
                <w:vertAlign w:val="subscript"/>
                <w:lang w:val="en-US"/>
              </w:rPr>
              <w:t xml:space="preserve">4 </w:t>
            </w:r>
            <w:r w:rsidRPr="005E423E">
              <w:rPr>
                <w:rFonts w:ascii="Arial Narrow" w:hAnsi="Arial Narrow"/>
                <w:sz w:val="18"/>
                <w:szCs w:val="18"/>
              </w:rPr>
              <w:t xml:space="preserve">(Torii 2010) </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54</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16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chronic plaque</w:t>
            </w:r>
          </w:p>
        </w:tc>
        <w:tc>
          <w:tcPr>
            <w:tcW w:w="591"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at 10 weeks</w:t>
            </w: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IFX</w:t>
            </w:r>
            <w:r w:rsidRPr="005E423E">
              <w:rPr>
                <w:rFonts w:ascii="Arial Narrow" w:hAnsi="Arial Narrow"/>
                <w:sz w:val="18"/>
                <w:szCs w:val="18"/>
                <w:vertAlign w:val="subscript"/>
                <w:lang w:val="en-US"/>
              </w:rPr>
              <w:t xml:space="preserve">5 </w:t>
            </w:r>
            <w:r w:rsidRPr="005E423E">
              <w:rPr>
                <w:rFonts w:ascii="Arial Narrow" w:hAnsi="Arial Narrow"/>
                <w:sz w:val="18"/>
                <w:szCs w:val="18"/>
              </w:rPr>
              <w:t>(Yang 2012)</w:t>
            </w:r>
          </w:p>
        </w:tc>
        <w:tc>
          <w:tcPr>
            <w:tcW w:w="255"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129</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R, DB, 26 weeks</w:t>
            </w:r>
          </w:p>
        </w:tc>
        <w:tc>
          <w:tcPr>
            <w:tcW w:w="532" w:type="pct"/>
            <w:shd w:val="clear" w:color="auto" w:fill="D9D9D9" w:themeFill="background1" w:themeFillShade="D9"/>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PBO</w:t>
            </w:r>
          </w:p>
        </w:tc>
        <w:tc>
          <w:tcPr>
            <w:tcW w:w="423"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Low</w:t>
            </w:r>
            <w:r>
              <w:rPr>
                <w:rFonts w:ascii="Arial Narrow" w:hAnsi="Arial Narrow"/>
                <w:sz w:val="18"/>
                <w:szCs w:val="18"/>
                <w:vertAlign w:val="superscript"/>
                <w:lang w:val="en-US"/>
              </w:rPr>
              <w:t>a</w:t>
            </w:r>
          </w:p>
        </w:tc>
        <w:tc>
          <w:tcPr>
            <w:tcW w:w="845"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psoriasis</w:t>
            </w:r>
          </w:p>
        </w:tc>
        <w:tc>
          <w:tcPr>
            <w:tcW w:w="591" w:type="pct"/>
            <w:tcBorders>
              <w:top w:val="nil"/>
              <w:bottom w:val="nil"/>
            </w:tcBorders>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sz w:val="18"/>
                <w:szCs w:val="18"/>
                <w:lang w:val="en-US"/>
              </w:rPr>
            </w:pPr>
          </w:p>
        </w:tc>
      </w:tr>
      <w:tr w:rsidR="00663F49" w:rsidRPr="005E423E" w:rsidTr="00663F49">
        <w:tc>
          <w:tcPr>
            <w:tcW w:w="929" w:type="pct"/>
            <w:shd w:val="clear" w:color="auto" w:fill="D9D9D9" w:themeFill="background1" w:themeFillShade="D9"/>
            <w:vAlign w:val="center"/>
          </w:tcPr>
          <w:p w:rsidR="00663F49" w:rsidRPr="005E423E" w:rsidRDefault="00663F49" w:rsidP="007D62EB">
            <w:pPr>
              <w:jc w:val="left"/>
              <w:rPr>
                <w:rFonts w:ascii="Arial Narrow" w:hAnsi="Arial Narrow"/>
                <w:i/>
                <w:sz w:val="18"/>
                <w:szCs w:val="18"/>
                <w:lang w:val="en-US"/>
              </w:rPr>
            </w:pPr>
            <w:r w:rsidRPr="005E423E">
              <w:rPr>
                <w:rFonts w:ascii="Arial Narrow" w:hAnsi="Arial Narrow"/>
                <w:i/>
                <w:sz w:val="18"/>
                <w:szCs w:val="18"/>
                <w:lang w:val="en-US"/>
              </w:rPr>
              <w:t>IFX</w:t>
            </w:r>
            <w:r w:rsidRPr="005E423E">
              <w:rPr>
                <w:rFonts w:ascii="Arial Narrow" w:hAnsi="Arial Narrow"/>
                <w:i/>
                <w:sz w:val="18"/>
                <w:szCs w:val="18"/>
                <w:vertAlign w:val="subscript"/>
                <w:lang w:val="en-US"/>
              </w:rPr>
              <w:t xml:space="preserve">6 </w:t>
            </w:r>
            <w:r w:rsidRPr="005E423E">
              <w:rPr>
                <w:rFonts w:ascii="Arial Narrow" w:hAnsi="Arial Narrow"/>
                <w:i/>
                <w:sz w:val="18"/>
                <w:szCs w:val="18"/>
              </w:rPr>
              <w:t>(Chaudhari 2001)</w:t>
            </w:r>
          </w:p>
        </w:tc>
        <w:tc>
          <w:tcPr>
            <w:tcW w:w="255" w:type="pct"/>
            <w:shd w:val="clear" w:color="auto" w:fill="D9D9D9" w:themeFill="background1" w:themeFillShade="D9"/>
            <w:vAlign w:val="center"/>
          </w:tcPr>
          <w:p w:rsidR="00663F49" w:rsidRPr="005E423E" w:rsidRDefault="008B2246" w:rsidP="007D62EB">
            <w:pPr>
              <w:jc w:val="center"/>
              <w:rPr>
                <w:rFonts w:ascii="Arial Narrow" w:hAnsi="Arial Narrow"/>
                <w:i/>
                <w:sz w:val="18"/>
                <w:szCs w:val="18"/>
                <w:lang w:val="en-US"/>
              </w:rPr>
            </w:pPr>
            <w:r>
              <w:rPr>
                <w:rFonts w:ascii="Arial Narrow" w:hAnsi="Arial Narrow"/>
                <w:i/>
                <w:sz w:val="18"/>
                <w:szCs w:val="18"/>
                <w:lang w:val="en-US"/>
              </w:rPr>
              <w:t>33</w:t>
            </w:r>
          </w:p>
        </w:tc>
        <w:tc>
          <w:tcPr>
            <w:tcW w:w="734" w:type="pct"/>
            <w:shd w:val="clear" w:color="auto" w:fill="D9D9D9" w:themeFill="background1" w:themeFillShade="D9"/>
            <w:vAlign w:val="center"/>
          </w:tcPr>
          <w:p w:rsidR="00663F49" w:rsidRPr="005E423E" w:rsidRDefault="00663F49" w:rsidP="007D62EB">
            <w:pPr>
              <w:jc w:val="center"/>
              <w:rPr>
                <w:rFonts w:ascii="Arial Narrow" w:hAnsi="Arial Narrow"/>
                <w:i/>
                <w:sz w:val="18"/>
                <w:szCs w:val="18"/>
                <w:lang w:val="en-US"/>
              </w:rPr>
            </w:pPr>
            <w:r w:rsidRPr="00790784">
              <w:rPr>
                <w:rFonts w:ascii="Arial Narrow" w:hAnsi="Arial Narrow"/>
                <w:i/>
                <w:sz w:val="18"/>
                <w:szCs w:val="18"/>
                <w:lang w:val="en-US"/>
              </w:rPr>
              <w:t>R, DB, 10 weeks</w:t>
            </w:r>
          </w:p>
        </w:tc>
        <w:tc>
          <w:tcPr>
            <w:tcW w:w="532" w:type="pct"/>
            <w:shd w:val="clear" w:color="auto" w:fill="D9D9D9" w:themeFill="background1" w:themeFillShade="D9"/>
          </w:tcPr>
          <w:p w:rsidR="00663F49" w:rsidRPr="005E423E" w:rsidRDefault="00663F49" w:rsidP="007D62EB">
            <w:pPr>
              <w:jc w:val="center"/>
              <w:rPr>
                <w:rFonts w:ascii="Arial Narrow" w:hAnsi="Arial Narrow"/>
                <w:i/>
                <w:sz w:val="18"/>
                <w:szCs w:val="18"/>
                <w:lang w:val="en-US"/>
              </w:rPr>
            </w:pPr>
            <w:r w:rsidRPr="005E423E">
              <w:rPr>
                <w:rFonts w:ascii="Arial Narrow" w:hAnsi="Arial Narrow"/>
                <w:i/>
                <w:sz w:val="18"/>
                <w:szCs w:val="18"/>
                <w:lang w:val="en-US"/>
              </w:rPr>
              <w:t>PBO</w:t>
            </w:r>
          </w:p>
        </w:tc>
        <w:tc>
          <w:tcPr>
            <w:tcW w:w="423" w:type="pct"/>
            <w:shd w:val="clear" w:color="auto" w:fill="D9D9D9" w:themeFill="background1" w:themeFillShade="D9"/>
            <w:vAlign w:val="center"/>
          </w:tcPr>
          <w:p w:rsidR="00663F49" w:rsidRPr="00A61F36" w:rsidRDefault="00663F49" w:rsidP="007D62EB">
            <w:pPr>
              <w:jc w:val="center"/>
              <w:rPr>
                <w:rFonts w:ascii="Arial Narrow" w:hAnsi="Arial Narrow"/>
                <w:i/>
                <w:sz w:val="18"/>
                <w:szCs w:val="18"/>
                <w:lang w:val="en-US"/>
              </w:rPr>
            </w:pPr>
            <w:r w:rsidRPr="00A61F36">
              <w:rPr>
                <w:rFonts w:ascii="Arial Narrow" w:hAnsi="Arial Narrow"/>
                <w:i/>
                <w:sz w:val="18"/>
                <w:szCs w:val="18"/>
                <w:lang w:val="en-US"/>
              </w:rPr>
              <w:t>Low</w:t>
            </w:r>
            <w:r w:rsidRPr="00A61F36">
              <w:rPr>
                <w:rFonts w:ascii="Arial Narrow" w:hAnsi="Arial Narrow"/>
                <w:i/>
                <w:sz w:val="18"/>
                <w:szCs w:val="18"/>
                <w:vertAlign w:val="superscript"/>
                <w:lang w:val="en-US"/>
              </w:rPr>
              <w:t>a</w:t>
            </w:r>
          </w:p>
        </w:tc>
        <w:tc>
          <w:tcPr>
            <w:tcW w:w="845" w:type="pct"/>
            <w:tcBorders>
              <w:top w:val="nil"/>
            </w:tcBorders>
            <w:shd w:val="clear" w:color="auto" w:fill="D9D9D9" w:themeFill="background1" w:themeFillShade="D9"/>
            <w:vAlign w:val="center"/>
          </w:tcPr>
          <w:p w:rsidR="00663F49" w:rsidRPr="005E423E" w:rsidRDefault="00663F49" w:rsidP="007D62EB">
            <w:pPr>
              <w:jc w:val="center"/>
              <w:rPr>
                <w:rFonts w:ascii="Arial Narrow" w:hAnsi="Arial Narrow"/>
                <w:i/>
                <w:sz w:val="18"/>
                <w:szCs w:val="18"/>
                <w:lang w:val="en-US"/>
              </w:rPr>
            </w:pPr>
          </w:p>
        </w:tc>
        <w:tc>
          <w:tcPr>
            <w:tcW w:w="591" w:type="pct"/>
            <w:tcBorders>
              <w:top w:val="nil"/>
            </w:tcBorders>
            <w:shd w:val="clear" w:color="auto" w:fill="D9D9D9" w:themeFill="background1" w:themeFillShade="D9"/>
            <w:vAlign w:val="center"/>
          </w:tcPr>
          <w:p w:rsidR="00663F49" w:rsidRPr="005E423E" w:rsidRDefault="00663F49" w:rsidP="007D62EB">
            <w:pPr>
              <w:jc w:val="center"/>
              <w:rPr>
                <w:rFonts w:ascii="Arial Narrow" w:hAnsi="Arial Narrow"/>
                <w:i/>
                <w:sz w:val="18"/>
                <w:szCs w:val="18"/>
                <w:lang w:val="en-US"/>
              </w:rPr>
            </w:pPr>
          </w:p>
        </w:tc>
        <w:tc>
          <w:tcPr>
            <w:tcW w:w="691" w:type="pct"/>
            <w:shd w:val="clear" w:color="auto" w:fill="D9D9D9" w:themeFill="background1" w:themeFillShade="D9"/>
            <w:vAlign w:val="center"/>
          </w:tcPr>
          <w:p w:rsidR="00663F49" w:rsidRPr="005E423E" w:rsidRDefault="00663F49" w:rsidP="007D62EB">
            <w:pPr>
              <w:jc w:val="center"/>
              <w:rPr>
                <w:rFonts w:ascii="Arial Narrow" w:hAnsi="Arial Narrow"/>
                <w:i/>
                <w:sz w:val="18"/>
                <w:szCs w:val="18"/>
                <w:lang w:val="en-US"/>
              </w:rPr>
            </w:pPr>
          </w:p>
        </w:tc>
      </w:tr>
      <w:tr w:rsidR="00663F49" w:rsidRPr="005E423E" w:rsidTr="00663F49">
        <w:tc>
          <w:tcPr>
            <w:tcW w:w="929" w:type="pct"/>
            <w:shd w:val="clear" w:color="auto" w:fill="auto"/>
            <w:vAlign w:val="center"/>
          </w:tcPr>
          <w:p w:rsidR="00663F49" w:rsidRPr="005E423E" w:rsidRDefault="00663F49" w:rsidP="007D62EB">
            <w:pPr>
              <w:jc w:val="left"/>
              <w:rPr>
                <w:rFonts w:ascii="Arial Narrow" w:hAnsi="Arial Narrow"/>
                <w:sz w:val="18"/>
                <w:szCs w:val="18"/>
                <w:lang w:val="en-US"/>
              </w:rPr>
            </w:pPr>
            <w:r w:rsidRPr="005E423E">
              <w:rPr>
                <w:rFonts w:ascii="Arial Narrow" w:hAnsi="Arial Narrow"/>
                <w:sz w:val="18"/>
                <w:szCs w:val="18"/>
                <w:lang w:val="en-US"/>
              </w:rPr>
              <w:t>Meta-analysis</w:t>
            </w:r>
          </w:p>
        </w:tc>
        <w:tc>
          <w:tcPr>
            <w:tcW w:w="255" w:type="pct"/>
            <w:shd w:val="clear" w:color="auto" w:fill="auto"/>
            <w:vAlign w:val="center"/>
          </w:tcPr>
          <w:p w:rsidR="00663F49" w:rsidRPr="005E423E" w:rsidRDefault="008B2246" w:rsidP="007D62EB">
            <w:pPr>
              <w:jc w:val="center"/>
              <w:rPr>
                <w:rFonts w:ascii="Arial Narrow" w:hAnsi="Arial Narrow"/>
                <w:sz w:val="18"/>
                <w:szCs w:val="18"/>
                <w:lang w:val="en-US"/>
              </w:rPr>
            </w:pPr>
            <w:r>
              <w:rPr>
                <w:rFonts w:ascii="Arial Narrow" w:hAnsi="Arial Narrow"/>
                <w:sz w:val="18"/>
                <w:szCs w:val="18"/>
                <w:lang w:val="en-US"/>
              </w:rPr>
              <w:t>1255</w:t>
            </w:r>
          </w:p>
        </w:tc>
        <w:tc>
          <w:tcPr>
            <w:tcW w:w="3125" w:type="pct"/>
            <w:gridSpan w:val="5"/>
            <w:shd w:val="clear" w:color="auto" w:fill="auto"/>
            <w:vAlign w:val="center"/>
          </w:tcPr>
          <w:p w:rsidR="00663F49" w:rsidRPr="005E423E" w:rsidRDefault="00663F49" w:rsidP="007D62EB">
            <w:pPr>
              <w:jc w:val="center"/>
              <w:rPr>
                <w:rFonts w:ascii="Arial Narrow" w:hAnsi="Arial Narrow"/>
                <w:sz w:val="18"/>
                <w:szCs w:val="18"/>
                <w:lang w:val="en-US"/>
              </w:rPr>
            </w:pPr>
            <w:r w:rsidRPr="005E423E">
              <w:rPr>
                <w:rFonts w:ascii="Arial Narrow" w:hAnsi="Arial Narrow"/>
                <w:sz w:val="18"/>
                <w:szCs w:val="18"/>
                <w:lang w:val="en-US"/>
              </w:rPr>
              <w:t xml:space="preserve">Included </w:t>
            </w:r>
            <w:r>
              <w:rPr>
                <w:rFonts w:ascii="Arial Narrow" w:hAnsi="Arial Narrow"/>
                <w:sz w:val="18"/>
                <w:szCs w:val="18"/>
                <w:lang w:val="en-US"/>
              </w:rPr>
              <w:t>all trials – relevant treatment arms only</w:t>
            </w:r>
          </w:p>
        </w:tc>
        <w:tc>
          <w:tcPr>
            <w:tcW w:w="691" w:type="pct"/>
            <w:shd w:val="clear" w:color="auto" w:fill="auto"/>
            <w:vAlign w:val="center"/>
          </w:tcPr>
          <w:p w:rsidR="00663F49" w:rsidRPr="005E423E" w:rsidRDefault="00663F49" w:rsidP="007D62EB">
            <w:pPr>
              <w:jc w:val="center"/>
              <w:rPr>
                <w:rFonts w:ascii="Arial Narrow" w:hAnsi="Arial Narrow"/>
                <w:sz w:val="18"/>
                <w:szCs w:val="18"/>
                <w:lang w:val="en-US"/>
              </w:rPr>
            </w:pPr>
            <w:r>
              <w:rPr>
                <w:rFonts w:ascii="Arial Narrow" w:hAnsi="Arial Narrow"/>
                <w:sz w:val="18"/>
                <w:szCs w:val="18"/>
                <w:lang w:val="en-US"/>
              </w:rPr>
              <w:t>PASI 75</w:t>
            </w:r>
          </w:p>
        </w:tc>
      </w:tr>
    </w:tbl>
    <w:p w:rsidR="007F1017" w:rsidRDefault="007F1017" w:rsidP="00663F49">
      <w:pPr>
        <w:pStyle w:val="TableFooter"/>
        <w:ind w:left="709"/>
      </w:pPr>
      <w:r w:rsidRPr="009A6831">
        <w:t xml:space="preserve">DB=double blind; </w:t>
      </w:r>
      <w:r w:rsidR="00663F49">
        <w:t>SB=single blind; SEC=secukinumab, UST=ustekinumab, ADA=adalimumab; IFX=infliximab; PBO=placebo; ETN=etanercept</w:t>
      </w:r>
    </w:p>
    <w:p w:rsidR="00663F49" w:rsidRDefault="00663F49" w:rsidP="00663F49">
      <w:pPr>
        <w:tabs>
          <w:tab w:val="left" w:pos="284"/>
          <w:tab w:val="left" w:pos="993"/>
        </w:tabs>
        <w:ind w:firstLine="709"/>
        <w:rPr>
          <w:rFonts w:ascii="Arial Narrow" w:hAnsi="Arial Narrow"/>
          <w:sz w:val="18"/>
          <w:szCs w:val="18"/>
        </w:rPr>
      </w:pPr>
      <w:r w:rsidRPr="00A61F36">
        <w:rPr>
          <w:rFonts w:ascii="Arial Narrow" w:hAnsi="Arial Narrow"/>
          <w:sz w:val="18"/>
          <w:szCs w:val="18"/>
          <w:vertAlign w:val="superscript"/>
        </w:rPr>
        <w:t>a</w:t>
      </w:r>
      <w:r w:rsidRPr="00A61F36">
        <w:rPr>
          <w:rFonts w:ascii="Arial Narrow" w:hAnsi="Arial Narrow"/>
          <w:sz w:val="18"/>
          <w:szCs w:val="18"/>
        </w:rPr>
        <w:tab/>
        <w:t>trial allowed cross-over over patients at some point</w:t>
      </w:r>
      <w:r>
        <w:rPr>
          <w:rFonts w:ascii="Arial Narrow" w:hAnsi="Arial Narrow"/>
          <w:sz w:val="18"/>
          <w:szCs w:val="18"/>
        </w:rPr>
        <w:t xml:space="preserve"> (end of DB period)</w:t>
      </w:r>
      <w:r w:rsidRPr="00A61F36">
        <w:rPr>
          <w:rFonts w:ascii="Arial Narrow" w:hAnsi="Arial Narrow"/>
          <w:sz w:val="18"/>
          <w:szCs w:val="18"/>
        </w:rPr>
        <w:t>, which would introduce bias</w:t>
      </w:r>
    </w:p>
    <w:p w:rsidR="00663F49" w:rsidRDefault="00663F49" w:rsidP="00663F49">
      <w:pPr>
        <w:tabs>
          <w:tab w:val="left" w:pos="284"/>
          <w:tab w:val="left" w:pos="993"/>
        </w:tabs>
        <w:ind w:firstLine="709"/>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ab/>
        <w:t>for trials, N represents entire population; for meta-analyses, N includes only relevant treatment arms</w:t>
      </w:r>
    </w:p>
    <w:p w:rsidR="00663F49" w:rsidRPr="00D13A3E" w:rsidRDefault="00663F49" w:rsidP="0017665B">
      <w:pPr>
        <w:tabs>
          <w:tab w:val="left" w:pos="284"/>
          <w:tab w:val="left" w:pos="993"/>
        </w:tabs>
        <w:ind w:firstLine="709"/>
      </w:pPr>
      <w:r>
        <w:rPr>
          <w:rFonts w:ascii="Arial Narrow" w:hAnsi="Arial Narrow"/>
          <w:sz w:val="18"/>
          <w:szCs w:val="18"/>
          <w:vertAlign w:val="superscript"/>
        </w:rPr>
        <w:t>c</w:t>
      </w:r>
      <w:r>
        <w:rPr>
          <w:rFonts w:ascii="Arial Narrow" w:hAnsi="Arial Narrow"/>
          <w:sz w:val="18"/>
          <w:szCs w:val="18"/>
          <w:vertAlign w:val="superscript"/>
        </w:rPr>
        <w:tab/>
      </w:r>
      <w:r>
        <w:rPr>
          <w:rFonts w:ascii="Arial Narrow" w:hAnsi="Arial Narrow"/>
          <w:sz w:val="18"/>
          <w:szCs w:val="18"/>
        </w:rPr>
        <w:t>duration of the comparator controlled-phase of the trials</w:t>
      </w:r>
    </w:p>
    <w:p w:rsidR="00B60939" w:rsidRPr="007F1017" w:rsidRDefault="007F1017" w:rsidP="00E22A0D">
      <w:pPr>
        <w:pStyle w:val="TableFooter"/>
        <w:ind w:firstLine="720"/>
        <w:rPr>
          <w:szCs w:val="18"/>
        </w:rPr>
      </w:pPr>
      <w:r w:rsidRPr="007F1017">
        <w:rPr>
          <w:szCs w:val="18"/>
        </w:rPr>
        <w:t>Source: compiled during the evaluation</w:t>
      </w:r>
    </w:p>
    <w:p w:rsidR="00B60939" w:rsidRPr="00882085" w:rsidRDefault="00B60939" w:rsidP="00B60939">
      <w:pPr>
        <w:rPr>
          <w:szCs w:val="22"/>
        </w:rPr>
      </w:pPr>
    </w:p>
    <w:p w:rsidR="00B60939" w:rsidRPr="0046072A" w:rsidRDefault="00B60939" w:rsidP="002C2775">
      <w:pPr>
        <w:pStyle w:val="Heading2"/>
      </w:pPr>
      <w:bookmarkStart w:id="6" w:name="_Toc409605607"/>
      <w:r w:rsidRPr="0046072A">
        <w:t>Comparative effectiveness</w:t>
      </w:r>
      <w:bookmarkEnd w:id="6"/>
    </w:p>
    <w:p w:rsidR="00B60939" w:rsidRPr="00882085" w:rsidRDefault="00B60939" w:rsidP="00B60939">
      <w:pPr>
        <w:rPr>
          <w:szCs w:val="22"/>
        </w:rPr>
      </w:pPr>
    </w:p>
    <w:p w:rsidR="002C2775" w:rsidRPr="00C93705" w:rsidRDefault="00651017" w:rsidP="00C93705">
      <w:pPr>
        <w:pStyle w:val="ListParagraph"/>
        <w:numPr>
          <w:ilvl w:val="1"/>
          <w:numId w:val="7"/>
        </w:numPr>
        <w:rPr>
          <w:szCs w:val="22"/>
        </w:rPr>
      </w:pPr>
      <w:r>
        <w:rPr>
          <w:szCs w:val="22"/>
        </w:rPr>
        <w:t>Psoriasis Area Severity Index (</w:t>
      </w:r>
      <w:r w:rsidR="00B01225" w:rsidRPr="00B01225">
        <w:rPr>
          <w:szCs w:val="22"/>
        </w:rPr>
        <w:t>PASI</w:t>
      </w:r>
      <w:r>
        <w:rPr>
          <w:szCs w:val="22"/>
        </w:rPr>
        <w:t>)</w:t>
      </w:r>
      <w:r w:rsidR="00B01225" w:rsidRPr="00B01225">
        <w:rPr>
          <w:szCs w:val="22"/>
        </w:rPr>
        <w:t xml:space="preserve"> 75 is an outcome previously accepted by the PBAC for therapies used in the treatment of psoriasis.  The submission presented the results of the meta-analyses and indirect comparisons for PASI 75 response in the controlled, double-blind phase of the direct randomised trials (weeks 10-16) in ter</w:t>
      </w:r>
      <w:r w:rsidR="00B01225">
        <w:rPr>
          <w:szCs w:val="22"/>
        </w:rPr>
        <w:t xml:space="preserve">ms of odds ratios (see </w:t>
      </w:r>
      <w:r w:rsidR="00696349">
        <w:rPr>
          <w:szCs w:val="22"/>
        </w:rPr>
        <w:t>t</w:t>
      </w:r>
      <w:r w:rsidR="00B01225">
        <w:rPr>
          <w:szCs w:val="22"/>
        </w:rPr>
        <w:t>able below</w:t>
      </w:r>
      <w:r w:rsidR="00B01225" w:rsidRPr="00B01225">
        <w:rPr>
          <w:szCs w:val="22"/>
        </w:rPr>
        <w:t xml:space="preserve">).  The relative risk and risk difference statistics and subsequent indirect comparisons were estimated </w:t>
      </w:r>
      <w:r w:rsidR="00633071" w:rsidRPr="00B01225">
        <w:rPr>
          <w:szCs w:val="22"/>
        </w:rPr>
        <w:t xml:space="preserve">using the method described by Bucher </w:t>
      </w:r>
      <w:r w:rsidR="00885D8A">
        <w:rPr>
          <w:szCs w:val="22"/>
        </w:rPr>
        <w:t>(</w:t>
      </w:r>
      <w:r w:rsidR="00633071" w:rsidRPr="00B01225">
        <w:rPr>
          <w:szCs w:val="22"/>
        </w:rPr>
        <w:t>1997</w:t>
      </w:r>
      <w:r w:rsidR="00885D8A">
        <w:rPr>
          <w:szCs w:val="22"/>
        </w:rPr>
        <w:t>)</w:t>
      </w:r>
      <w:r w:rsidR="00633071" w:rsidRPr="00B01225">
        <w:rPr>
          <w:szCs w:val="22"/>
        </w:rPr>
        <w:t xml:space="preserve"> </w:t>
      </w:r>
      <w:r w:rsidR="00B01225" w:rsidRPr="00B01225">
        <w:rPr>
          <w:szCs w:val="22"/>
        </w:rPr>
        <w:t>during the evaluation (estimates are</w:t>
      </w:r>
      <w:r w:rsidR="00C93705">
        <w:rPr>
          <w:szCs w:val="22"/>
        </w:rPr>
        <w:t xml:space="preserve"> </w:t>
      </w:r>
      <w:r w:rsidR="00B01225" w:rsidRPr="00B01225">
        <w:rPr>
          <w:szCs w:val="22"/>
        </w:rPr>
        <w:t xml:space="preserve">provided in </w:t>
      </w:r>
      <w:r w:rsidR="00696349">
        <w:rPr>
          <w:szCs w:val="22"/>
        </w:rPr>
        <w:t>table</w:t>
      </w:r>
      <w:r w:rsidR="00C93705">
        <w:rPr>
          <w:szCs w:val="22"/>
        </w:rPr>
        <w:t xml:space="preserve"> below </w:t>
      </w:r>
      <w:r w:rsidR="00B01225" w:rsidRPr="00B01225">
        <w:rPr>
          <w:szCs w:val="22"/>
        </w:rPr>
        <w:t xml:space="preserve">and under benefits/harms </w:t>
      </w:r>
      <w:r w:rsidR="00C93705">
        <w:rPr>
          <w:szCs w:val="22"/>
        </w:rPr>
        <w:t xml:space="preserve">further </w:t>
      </w:r>
      <w:r w:rsidR="00B01225" w:rsidRPr="00B01225">
        <w:rPr>
          <w:szCs w:val="22"/>
        </w:rPr>
        <w:t>below).</w:t>
      </w:r>
    </w:p>
    <w:p w:rsidR="00696349" w:rsidRDefault="00696349" w:rsidP="00C93705">
      <w:pPr>
        <w:rPr>
          <w:szCs w:val="22"/>
        </w:rPr>
      </w:pPr>
    </w:p>
    <w:p w:rsidR="000006EC" w:rsidRDefault="000006EC">
      <w:pPr>
        <w:widowControl/>
        <w:jc w:val="left"/>
        <w:rPr>
          <w:rStyle w:val="CommentReference"/>
        </w:rPr>
      </w:pPr>
      <w:r>
        <w:rPr>
          <w:rStyle w:val="CommentReference"/>
        </w:rPr>
        <w:br w:type="page"/>
      </w:r>
    </w:p>
    <w:p w:rsidR="00C93705" w:rsidRPr="00F851CE" w:rsidRDefault="00C93705" w:rsidP="00696349">
      <w:pPr>
        <w:ind w:left="709"/>
        <w:rPr>
          <w:rStyle w:val="CommentReference"/>
        </w:rPr>
      </w:pPr>
      <w:r w:rsidRPr="00F851CE">
        <w:rPr>
          <w:rStyle w:val="CommentReference"/>
        </w:rPr>
        <w:lastRenderedPageBreak/>
        <w:t xml:space="preserve">Results of </w:t>
      </w:r>
      <w:r>
        <w:rPr>
          <w:rStyle w:val="CommentReference"/>
        </w:rPr>
        <w:t>PASI 75 response at the end of the controlled, double-blind phase of</w:t>
      </w:r>
      <w:r w:rsidRPr="00F851CE">
        <w:rPr>
          <w:rStyle w:val="CommentReference"/>
        </w:rPr>
        <w:t xml:space="preserve"> the direct randomised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direct randomsed trials"/>
      </w:tblPr>
      <w:tblGrid>
        <w:gridCol w:w="415"/>
        <w:gridCol w:w="918"/>
        <w:gridCol w:w="1112"/>
        <w:gridCol w:w="1147"/>
        <w:gridCol w:w="1333"/>
        <w:gridCol w:w="910"/>
        <w:gridCol w:w="1193"/>
        <w:gridCol w:w="1317"/>
      </w:tblGrid>
      <w:tr w:rsidR="00C93705" w:rsidRPr="00614F0A" w:rsidTr="00696349">
        <w:tc>
          <w:tcPr>
            <w:tcW w:w="79" w:type="pct"/>
            <w:shd w:val="clear" w:color="auto" w:fill="auto"/>
            <w:vAlign w:val="center"/>
          </w:tcPr>
          <w:p w:rsidR="00C93705" w:rsidRPr="00614F0A" w:rsidRDefault="00C93705" w:rsidP="00B204B6">
            <w:pPr>
              <w:jc w:val="left"/>
              <w:rPr>
                <w:rFonts w:ascii="Arial Narrow" w:hAnsi="Arial Narrow"/>
                <w:sz w:val="18"/>
                <w:szCs w:val="18"/>
              </w:rPr>
            </w:pPr>
            <w:r w:rsidRPr="00614F0A">
              <w:rPr>
                <w:rFonts w:ascii="Arial Narrow" w:hAnsi="Arial Narrow"/>
                <w:b/>
                <w:sz w:val="18"/>
                <w:szCs w:val="18"/>
              </w:rPr>
              <w:t>Trial ID</w:t>
            </w:r>
          </w:p>
        </w:tc>
        <w:tc>
          <w:tcPr>
            <w:tcW w:w="554" w:type="pct"/>
            <w:shd w:val="clear" w:color="auto" w:fill="auto"/>
            <w:vAlign w:val="center"/>
          </w:tcPr>
          <w:p w:rsidR="00C93705" w:rsidRPr="00614F0A" w:rsidRDefault="00C93705" w:rsidP="00B204B6">
            <w:pPr>
              <w:jc w:val="center"/>
              <w:rPr>
                <w:rFonts w:ascii="Arial Narrow" w:hAnsi="Arial Narrow"/>
                <w:b/>
                <w:sz w:val="18"/>
                <w:szCs w:val="18"/>
              </w:rPr>
            </w:pPr>
            <w:r w:rsidRPr="00614F0A">
              <w:rPr>
                <w:rFonts w:ascii="Arial Narrow" w:hAnsi="Arial Narrow"/>
                <w:b/>
                <w:sz w:val="18"/>
                <w:szCs w:val="18"/>
              </w:rPr>
              <w:t>Comparison</w:t>
            </w:r>
          </w:p>
        </w:tc>
        <w:tc>
          <w:tcPr>
            <w:tcW w:w="711" w:type="pct"/>
            <w:shd w:val="clear" w:color="auto" w:fill="auto"/>
            <w:vAlign w:val="center"/>
          </w:tcPr>
          <w:p w:rsidR="00C93705" w:rsidRPr="00614F0A" w:rsidRDefault="00C93705" w:rsidP="00B204B6">
            <w:pPr>
              <w:jc w:val="center"/>
              <w:rPr>
                <w:rFonts w:ascii="Arial Narrow" w:hAnsi="Arial Narrow"/>
                <w:b/>
                <w:sz w:val="18"/>
                <w:szCs w:val="18"/>
              </w:rPr>
            </w:pPr>
            <w:r w:rsidRPr="00614F0A">
              <w:rPr>
                <w:rFonts w:ascii="Arial Narrow" w:hAnsi="Arial Narrow"/>
                <w:b/>
                <w:sz w:val="18"/>
                <w:szCs w:val="18"/>
              </w:rPr>
              <w:t>Test</w:t>
            </w:r>
          </w:p>
          <w:p w:rsidR="00C93705" w:rsidRPr="00614F0A" w:rsidRDefault="00C93705" w:rsidP="00B204B6">
            <w:pPr>
              <w:ind w:right="-108"/>
              <w:jc w:val="center"/>
              <w:rPr>
                <w:rFonts w:ascii="Arial Narrow" w:hAnsi="Arial Narrow"/>
                <w:sz w:val="18"/>
                <w:szCs w:val="18"/>
              </w:rPr>
            </w:pPr>
            <w:r w:rsidRPr="00614F0A">
              <w:rPr>
                <w:rFonts w:ascii="Arial Narrow" w:hAnsi="Arial Narrow"/>
                <w:b/>
                <w:sz w:val="18"/>
                <w:szCs w:val="18"/>
              </w:rPr>
              <w:t xml:space="preserve">n/N (%) </w:t>
            </w:r>
          </w:p>
        </w:tc>
        <w:tc>
          <w:tcPr>
            <w:tcW w:w="711" w:type="pct"/>
            <w:shd w:val="clear" w:color="auto" w:fill="auto"/>
            <w:vAlign w:val="center"/>
          </w:tcPr>
          <w:p w:rsidR="00C93705" w:rsidRPr="00614F0A" w:rsidRDefault="00C93705" w:rsidP="00B204B6">
            <w:pPr>
              <w:jc w:val="center"/>
              <w:rPr>
                <w:rFonts w:ascii="Arial Narrow" w:hAnsi="Arial Narrow"/>
                <w:b/>
                <w:sz w:val="18"/>
                <w:szCs w:val="18"/>
              </w:rPr>
            </w:pPr>
            <w:r w:rsidRPr="00614F0A">
              <w:rPr>
                <w:rFonts w:ascii="Arial Narrow" w:hAnsi="Arial Narrow"/>
                <w:b/>
                <w:sz w:val="18"/>
                <w:szCs w:val="18"/>
              </w:rPr>
              <w:t xml:space="preserve">Control </w:t>
            </w:r>
          </w:p>
          <w:p w:rsidR="00C93705" w:rsidRPr="00614F0A" w:rsidRDefault="00C93705" w:rsidP="00B204B6">
            <w:pPr>
              <w:jc w:val="center"/>
              <w:rPr>
                <w:rFonts w:ascii="Arial Narrow" w:hAnsi="Arial Narrow"/>
                <w:b/>
                <w:sz w:val="18"/>
                <w:szCs w:val="18"/>
              </w:rPr>
            </w:pPr>
            <w:r w:rsidRPr="00614F0A">
              <w:rPr>
                <w:rFonts w:ascii="Arial Narrow" w:hAnsi="Arial Narrow"/>
                <w:b/>
                <w:sz w:val="18"/>
                <w:szCs w:val="18"/>
              </w:rPr>
              <w:t>n/N (%)</w:t>
            </w:r>
          </w:p>
        </w:tc>
        <w:tc>
          <w:tcPr>
            <w:tcW w:w="823" w:type="pct"/>
            <w:shd w:val="clear" w:color="auto" w:fill="auto"/>
            <w:vAlign w:val="center"/>
          </w:tcPr>
          <w:p w:rsidR="00C93705" w:rsidRDefault="00C93705" w:rsidP="00B204B6">
            <w:pPr>
              <w:jc w:val="center"/>
              <w:rPr>
                <w:rFonts w:ascii="Arial Narrow" w:hAnsi="Arial Narrow"/>
                <w:b/>
                <w:sz w:val="18"/>
                <w:szCs w:val="18"/>
              </w:rPr>
            </w:pPr>
            <w:r w:rsidRPr="00614F0A">
              <w:rPr>
                <w:rFonts w:ascii="Arial Narrow" w:hAnsi="Arial Narrow"/>
                <w:b/>
                <w:sz w:val="18"/>
                <w:szCs w:val="18"/>
              </w:rPr>
              <w:t>RD</w:t>
            </w:r>
          </w:p>
          <w:p w:rsidR="00C93705" w:rsidRPr="00614F0A" w:rsidRDefault="00C93705" w:rsidP="00B204B6">
            <w:pPr>
              <w:jc w:val="center"/>
              <w:rPr>
                <w:rFonts w:ascii="Arial Narrow" w:hAnsi="Arial Narrow"/>
                <w:b/>
                <w:sz w:val="18"/>
                <w:szCs w:val="18"/>
              </w:rPr>
            </w:pPr>
            <w:r w:rsidRPr="00614F0A">
              <w:rPr>
                <w:rFonts w:ascii="Arial Narrow" w:hAnsi="Arial Narrow"/>
                <w:b/>
                <w:sz w:val="18"/>
                <w:szCs w:val="18"/>
              </w:rPr>
              <w:t xml:space="preserve"> (95% CI)</w:t>
            </w:r>
          </w:p>
        </w:tc>
        <w:tc>
          <w:tcPr>
            <w:tcW w:w="569" w:type="pct"/>
            <w:shd w:val="clear" w:color="auto" w:fill="auto"/>
            <w:vAlign w:val="center"/>
          </w:tcPr>
          <w:p w:rsidR="00C93705" w:rsidRDefault="00C93705" w:rsidP="00B204B6">
            <w:pPr>
              <w:jc w:val="center"/>
              <w:rPr>
                <w:rFonts w:ascii="Arial Narrow" w:hAnsi="Arial Narrow"/>
                <w:b/>
                <w:sz w:val="18"/>
                <w:szCs w:val="18"/>
              </w:rPr>
            </w:pPr>
            <w:r w:rsidRPr="00614F0A">
              <w:rPr>
                <w:rFonts w:ascii="Arial Narrow" w:hAnsi="Arial Narrow"/>
                <w:b/>
                <w:sz w:val="18"/>
                <w:szCs w:val="18"/>
              </w:rPr>
              <w:t>NNT</w:t>
            </w:r>
          </w:p>
          <w:p w:rsidR="00C93705" w:rsidRPr="00614F0A" w:rsidRDefault="00C93705" w:rsidP="00B204B6">
            <w:pPr>
              <w:jc w:val="center"/>
              <w:rPr>
                <w:rFonts w:ascii="Arial Narrow" w:hAnsi="Arial Narrow"/>
                <w:b/>
                <w:sz w:val="18"/>
                <w:szCs w:val="18"/>
              </w:rPr>
            </w:pPr>
            <w:r w:rsidRPr="00614F0A">
              <w:rPr>
                <w:rFonts w:ascii="Arial Narrow" w:hAnsi="Arial Narrow"/>
                <w:b/>
                <w:sz w:val="18"/>
                <w:szCs w:val="18"/>
              </w:rPr>
              <w:t xml:space="preserve"> (95% CI)</w:t>
            </w:r>
          </w:p>
        </w:tc>
        <w:tc>
          <w:tcPr>
            <w:tcW w:w="739" w:type="pct"/>
            <w:shd w:val="clear" w:color="auto" w:fill="auto"/>
            <w:vAlign w:val="center"/>
          </w:tcPr>
          <w:p w:rsidR="00C93705" w:rsidRDefault="00C93705" w:rsidP="00B204B6">
            <w:pPr>
              <w:jc w:val="center"/>
              <w:rPr>
                <w:rFonts w:ascii="Arial Narrow" w:hAnsi="Arial Narrow"/>
                <w:b/>
                <w:sz w:val="18"/>
                <w:szCs w:val="18"/>
              </w:rPr>
            </w:pPr>
            <w:r w:rsidRPr="00614F0A">
              <w:rPr>
                <w:rFonts w:ascii="Arial Narrow" w:hAnsi="Arial Narrow"/>
                <w:b/>
                <w:sz w:val="18"/>
                <w:szCs w:val="18"/>
              </w:rPr>
              <w:t xml:space="preserve">RR </w:t>
            </w:r>
          </w:p>
          <w:p w:rsidR="00C93705" w:rsidRPr="00614F0A" w:rsidRDefault="00C93705" w:rsidP="00B204B6">
            <w:pPr>
              <w:jc w:val="center"/>
              <w:rPr>
                <w:rFonts w:ascii="Arial Narrow" w:hAnsi="Arial Narrow"/>
                <w:sz w:val="18"/>
                <w:szCs w:val="18"/>
              </w:rPr>
            </w:pPr>
            <w:r w:rsidRPr="00614F0A">
              <w:rPr>
                <w:rFonts w:ascii="Arial Narrow" w:hAnsi="Arial Narrow"/>
                <w:b/>
                <w:sz w:val="18"/>
                <w:szCs w:val="18"/>
              </w:rPr>
              <w:t>(95% CI)</w:t>
            </w:r>
          </w:p>
        </w:tc>
        <w:tc>
          <w:tcPr>
            <w:tcW w:w="813" w:type="pct"/>
            <w:shd w:val="clear" w:color="auto" w:fill="auto"/>
            <w:vAlign w:val="center"/>
          </w:tcPr>
          <w:p w:rsidR="00C93705" w:rsidRDefault="00C93705" w:rsidP="00B204B6">
            <w:pPr>
              <w:jc w:val="center"/>
              <w:rPr>
                <w:rFonts w:ascii="Arial Narrow" w:hAnsi="Arial Narrow"/>
                <w:b/>
                <w:sz w:val="18"/>
                <w:szCs w:val="18"/>
              </w:rPr>
            </w:pPr>
            <w:r>
              <w:rPr>
                <w:rFonts w:ascii="Arial Narrow" w:hAnsi="Arial Narrow"/>
                <w:b/>
                <w:sz w:val="18"/>
                <w:szCs w:val="18"/>
              </w:rPr>
              <w:t xml:space="preserve">OR </w:t>
            </w:r>
          </w:p>
          <w:p w:rsidR="00C93705" w:rsidRPr="00E21BFF" w:rsidRDefault="00C93705" w:rsidP="00B204B6">
            <w:pPr>
              <w:jc w:val="center"/>
              <w:rPr>
                <w:rFonts w:ascii="Arial Narrow" w:hAnsi="Arial Narrow"/>
                <w:b/>
                <w:sz w:val="18"/>
                <w:szCs w:val="18"/>
                <w:vertAlign w:val="superscript"/>
              </w:rPr>
            </w:pPr>
            <w:r>
              <w:rPr>
                <w:rFonts w:ascii="Arial Narrow" w:hAnsi="Arial Narrow"/>
                <w:b/>
                <w:sz w:val="18"/>
                <w:szCs w:val="18"/>
              </w:rPr>
              <w:t>(95% CI)</w:t>
            </w:r>
          </w:p>
        </w:tc>
      </w:tr>
      <w:tr w:rsidR="00C93705" w:rsidRPr="00614F0A" w:rsidTr="00696349">
        <w:tc>
          <w:tcPr>
            <w:tcW w:w="5000" w:type="pct"/>
            <w:gridSpan w:val="8"/>
            <w:shd w:val="clear" w:color="auto" w:fill="auto"/>
          </w:tcPr>
          <w:p w:rsidR="00C93705" w:rsidRPr="00614F0A" w:rsidRDefault="00C93705" w:rsidP="00B204B6">
            <w:pPr>
              <w:jc w:val="left"/>
              <w:rPr>
                <w:rFonts w:ascii="Arial Narrow" w:hAnsi="Arial Narrow"/>
                <w:b/>
                <w:sz w:val="18"/>
                <w:szCs w:val="18"/>
              </w:rPr>
            </w:pPr>
            <w:r w:rsidRPr="00614F0A">
              <w:rPr>
                <w:rFonts w:ascii="Arial Narrow" w:hAnsi="Arial Narrow"/>
                <w:b/>
                <w:sz w:val="18"/>
                <w:szCs w:val="18"/>
              </w:rPr>
              <w:t>Secukinumab – 12 weeks</w:t>
            </w:r>
          </w:p>
        </w:tc>
      </w:tr>
      <w:tr w:rsidR="00C93705" w:rsidRPr="00614F0A" w:rsidTr="00696349">
        <w:tc>
          <w:tcPr>
            <w:tcW w:w="79" w:type="pct"/>
            <w:shd w:val="clear" w:color="auto" w:fill="auto"/>
            <w:vAlign w:val="center"/>
          </w:tcPr>
          <w:p w:rsidR="00C93705" w:rsidRPr="00614F0A" w:rsidRDefault="00C93705" w:rsidP="00B204B6">
            <w:pPr>
              <w:jc w:val="left"/>
              <w:rPr>
                <w:rFonts w:ascii="Arial Narrow" w:hAnsi="Arial Narrow"/>
                <w:sz w:val="18"/>
                <w:szCs w:val="18"/>
                <w:vertAlign w:val="subscript"/>
              </w:rPr>
            </w:pPr>
            <w:r w:rsidRPr="00614F0A">
              <w:rPr>
                <w:rFonts w:ascii="Arial Narrow" w:hAnsi="Arial Narrow"/>
                <w:sz w:val="18"/>
                <w:szCs w:val="18"/>
              </w:rPr>
              <w:t>SEC</w:t>
            </w:r>
            <w:r w:rsidRPr="00614F0A">
              <w:rPr>
                <w:rFonts w:ascii="Arial Narrow" w:hAnsi="Arial Narrow"/>
                <w:sz w:val="18"/>
                <w:szCs w:val="18"/>
                <w:vertAlign w:val="subscript"/>
              </w:rPr>
              <w:t>1</w:t>
            </w:r>
          </w:p>
        </w:tc>
        <w:tc>
          <w:tcPr>
            <w:tcW w:w="554" w:type="pct"/>
            <w:vMerge w:val="restar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SEC v PBO</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200/245 (81.6)</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11/246 (4.5)</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0.77 (0.71, 0.82)</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1.3 (1.2, 1.4)</w:t>
            </w:r>
          </w:p>
        </w:tc>
        <w:tc>
          <w:tcPr>
            <w:tcW w:w="739"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18.3 (10.4, 32.6)</w:t>
            </w:r>
          </w:p>
        </w:tc>
        <w:tc>
          <w:tcPr>
            <w:tcW w:w="813" w:type="pct"/>
            <w:shd w:val="clear" w:color="auto" w:fill="auto"/>
          </w:tcPr>
          <w:p w:rsidR="00C93705" w:rsidRPr="00E21BFF" w:rsidRDefault="00C93705" w:rsidP="00B204B6">
            <w:pPr>
              <w:jc w:val="center"/>
              <w:rPr>
                <w:rFonts w:ascii="Arial Narrow" w:hAnsi="Arial Narrow"/>
                <w:b/>
                <w:sz w:val="18"/>
                <w:szCs w:val="18"/>
              </w:rPr>
            </w:pPr>
            <w:r>
              <w:rPr>
                <w:rFonts w:ascii="Arial Narrow" w:hAnsi="Arial Narrow"/>
                <w:b/>
                <w:sz w:val="18"/>
                <w:szCs w:val="18"/>
              </w:rPr>
              <w:t>82.7 (38.7, 176.7)</w:t>
            </w:r>
          </w:p>
        </w:tc>
      </w:tr>
      <w:tr w:rsidR="00C93705" w:rsidRPr="00614F0A" w:rsidTr="00696349">
        <w:tc>
          <w:tcPr>
            <w:tcW w:w="79" w:type="pct"/>
            <w:shd w:val="clear" w:color="auto" w:fill="auto"/>
            <w:vAlign w:val="center"/>
          </w:tcPr>
          <w:p w:rsidR="00C93705" w:rsidRPr="00614F0A" w:rsidRDefault="00C93705" w:rsidP="00B204B6">
            <w:pPr>
              <w:jc w:val="left"/>
              <w:rPr>
                <w:rFonts w:ascii="Arial Narrow" w:hAnsi="Arial Narrow"/>
                <w:sz w:val="18"/>
                <w:szCs w:val="18"/>
                <w:vertAlign w:val="subscript"/>
              </w:rPr>
            </w:pPr>
            <w:r w:rsidRPr="00614F0A">
              <w:rPr>
                <w:rFonts w:ascii="Arial Narrow" w:hAnsi="Arial Narrow"/>
                <w:sz w:val="18"/>
                <w:szCs w:val="18"/>
              </w:rPr>
              <w:t>SEC</w:t>
            </w:r>
            <w:r w:rsidRPr="00614F0A">
              <w:rPr>
                <w:rFonts w:ascii="Arial Narrow" w:hAnsi="Arial Narrow"/>
                <w:sz w:val="18"/>
                <w:szCs w:val="18"/>
                <w:vertAlign w:val="subscript"/>
              </w:rPr>
              <w:t>2</w:t>
            </w:r>
          </w:p>
        </w:tc>
        <w:tc>
          <w:tcPr>
            <w:tcW w:w="554" w:type="pct"/>
            <w:vMerge/>
            <w:shd w:val="clear" w:color="auto" w:fill="auto"/>
            <w:vAlign w:val="center"/>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249/323 (77.1)</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16/324 (4.9)</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0.72 (0.67, 0.77)</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1.4 (1.3, 1.5)</w:t>
            </w:r>
          </w:p>
        </w:tc>
        <w:tc>
          <w:tcPr>
            <w:tcW w:w="739"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15.6 (9.8, 25.3)</w:t>
            </w:r>
          </w:p>
        </w:tc>
        <w:tc>
          <w:tcPr>
            <w:tcW w:w="813" w:type="pct"/>
            <w:shd w:val="clear" w:color="auto" w:fill="auto"/>
          </w:tcPr>
          <w:p w:rsidR="00C93705" w:rsidRPr="00E21BFF" w:rsidRDefault="00C93705" w:rsidP="00B204B6">
            <w:pPr>
              <w:jc w:val="center"/>
              <w:rPr>
                <w:rFonts w:ascii="Arial Narrow" w:hAnsi="Arial Narrow"/>
                <w:b/>
                <w:sz w:val="18"/>
                <w:szCs w:val="18"/>
              </w:rPr>
            </w:pPr>
            <w:r>
              <w:rPr>
                <w:rFonts w:ascii="Arial Narrow" w:hAnsi="Arial Narrow"/>
                <w:b/>
                <w:sz w:val="18"/>
                <w:szCs w:val="18"/>
              </w:rPr>
              <w:t>66.0 (36.1, 120.6)</w:t>
            </w:r>
          </w:p>
        </w:tc>
      </w:tr>
      <w:tr w:rsidR="00C93705" w:rsidRPr="00614F0A" w:rsidTr="00696349">
        <w:tc>
          <w:tcPr>
            <w:tcW w:w="79" w:type="pct"/>
            <w:shd w:val="clear" w:color="auto" w:fill="auto"/>
            <w:vAlign w:val="center"/>
          </w:tcPr>
          <w:p w:rsidR="00C93705" w:rsidRPr="00614F0A" w:rsidRDefault="00C93705" w:rsidP="00B204B6">
            <w:pPr>
              <w:jc w:val="left"/>
              <w:rPr>
                <w:rFonts w:ascii="Arial Narrow" w:hAnsi="Arial Narrow"/>
                <w:sz w:val="18"/>
                <w:szCs w:val="18"/>
                <w:vertAlign w:val="subscript"/>
              </w:rPr>
            </w:pPr>
            <w:r w:rsidRPr="00614F0A">
              <w:rPr>
                <w:rFonts w:ascii="Arial Narrow" w:hAnsi="Arial Narrow"/>
                <w:sz w:val="18"/>
                <w:szCs w:val="18"/>
              </w:rPr>
              <w:t>SEC</w:t>
            </w:r>
            <w:r w:rsidRPr="00614F0A">
              <w:rPr>
                <w:rFonts w:ascii="Arial Narrow" w:hAnsi="Arial Narrow"/>
                <w:sz w:val="18"/>
                <w:szCs w:val="18"/>
                <w:vertAlign w:val="subscript"/>
              </w:rPr>
              <w:t>3</w:t>
            </w:r>
          </w:p>
        </w:tc>
        <w:tc>
          <w:tcPr>
            <w:tcW w:w="554" w:type="pct"/>
            <w:vMerge/>
            <w:shd w:val="clear" w:color="auto" w:fill="auto"/>
            <w:vAlign w:val="center"/>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44/59 (74.6)</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0/59 (0.0)</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0.75 (0.62, 0.84)</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1.3 (1.2, 1.6)</w:t>
            </w:r>
          </w:p>
        </w:tc>
        <w:tc>
          <w:tcPr>
            <w:tcW w:w="739"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89.0 (12.2, ∞)</w:t>
            </w:r>
          </w:p>
        </w:tc>
        <w:tc>
          <w:tcPr>
            <w:tcW w:w="813" w:type="pct"/>
            <w:shd w:val="clear" w:color="auto" w:fill="auto"/>
          </w:tcPr>
          <w:p w:rsidR="00C93705" w:rsidRPr="00E21BFF" w:rsidRDefault="00C93705" w:rsidP="00B204B6">
            <w:pPr>
              <w:jc w:val="center"/>
              <w:rPr>
                <w:rFonts w:ascii="Arial Narrow" w:hAnsi="Arial Narrow"/>
                <w:b/>
                <w:i/>
                <w:sz w:val="18"/>
                <w:szCs w:val="18"/>
              </w:rPr>
            </w:pPr>
            <w:r>
              <w:rPr>
                <w:rFonts w:ascii="Arial Narrow" w:hAnsi="Arial Narrow"/>
                <w:b/>
                <w:i/>
                <w:sz w:val="18"/>
                <w:szCs w:val="18"/>
              </w:rPr>
              <w:t xml:space="preserve">341.7 (37.4, </w:t>
            </w:r>
            <w:r w:rsidRPr="00614F0A">
              <w:rPr>
                <w:rFonts w:ascii="Arial Narrow" w:hAnsi="Arial Narrow"/>
                <w:b/>
                <w:i/>
                <w:sz w:val="18"/>
                <w:szCs w:val="18"/>
              </w:rPr>
              <w:t>∞)</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SEC</w:t>
            </w:r>
            <w:r w:rsidRPr="00614F0A">
              <w:rPr>
                <w:rFonts w:ascii="Arial Narrow" w:hAnsi="Arial Narrow"/>
                <w:sz w:val="18"/>
                <w:szCs w:val="18"/>
                <w:vertAlign w:val="subscript"/>
              </w:rPr>
              <w:t>4</w:t>
            </w:r>
          </w:p>
        </w:tc>
        <w:tc>
          <w:tcPr>
            <w:tcW w:w="554" w:type="pct"/>
            <w:vMerge/>
            <w:shd w:val="clear" w:color="auto" w:fill="auto"/>
            <w:vAlign w:val="center"/>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52/60 (86.7)</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2/61 (3.3)</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0.83 (0.71, 0.91)</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1.2 (1.1, 1.4)</w:t>
            </w:r>
          </w:p>
        </w:tc>
        <w:tc>
          <w:tcPr>
            <w:tcW w:w="739"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26.4 (7.7, 96.2)</w:t>
            </w:r>
          </w:p>
        </w:tc>
        <w:tc>
          <w:tcPr>
            <w:tcW w:w="813" w:type="pct"/>
            <w:shd w:val="clear" w:color="auto" w:fill="auto"/>
          </w:tcPr>
          <w:p w:rsidR="00C93705" w:rsidRPr="00E21BFF" w:rsidRDefault="00C93705" w:rsidP="00B204B6">
            <w:pPr>
              <w:jc w:val="center"/>
              <w:rPr>
                <w:rFonts w:ascii="Arial Narrow" w:hAnsi="Arial Narrow"/>
                <w:b/>
                <w:sz w:val="18"/>
                <w:szCs w:val="18"/>
              </w:rPr>
            </w:pPr>
            <w:r>
              <w:rPr>
                <w:rFonts w:ascii="Arial Narrow" w:hAnsi="Arial Narrow"/>
                <w:b/>
                <w:sz w:val="18"/>
                <w:szCs w:val="18"/>
              </w:rPr>
              <w:t>191.8 (39.0, 943.8)</w:t>
            </w:r>
          </w:p>
        </w:tc>
      </w:tr>
      <w:tr w:rsidR="00C93705" w:rsidRPr="00614F0A" w:rsidTr="00696349">
        <w:tc>
          <w:tcPr>
            <w:tcW w:w="2056" w:type="pct"/>
            <w:gridSpan w:val="4"/>
            <w:shd w:val="clear" w:color="auto" w:fill="auto"/>
            <w:vAlign w:val="center"/>
          </w:tcPr>
          <w:p w:rsidR="00C93705" w:rsidRPr="00614F0A" w:rsidRDefault="00C93705" w:rsidP="00B204B6">
            <w:pPr>
              <w:jc w:val="right"/>
              <w:rPr>
                <w:rFonts w:ascii="Arial Narrow" w:hAnsi="Arial Narrow"/>
                <w:sz w:val="18"/>
                <w:szCs w:val="18"/>
              </w:rPr>
            </w:pPr>
            <w:r w:rsidRPr="00614F0A">
              <w:rPr>
                <w:rFonts w:ascii="Arial Narrow" w:hAnsi="Arial Narrow"/>
                <w:sz w:val="18"/>
                <w:szCs w:val="18"/>
              </w:rPr>
              <w:t>Meta-analysis</w:t>
            </w:r>
            <w:r>
              <w:rPr>
                <w:rFonts w:ascii="Arial Narrow" w:hAnsi="Arial Narrow"/>
                <w:sz w:val="18"/>
                <w:szCs w:val="18"/>
              </w:rPr>
              <w:t xml:space="preserve"> – SEC v PBO</w:t>
            </w:r>
            <w:r w:rsidRPr="00614F0A">
              <w:rPr>
                <w:rFonts w:ascii="Arial Narrow" w:hAnsi="Arial Narrow"/>
                <w:sz w:val="18"/>
                <w:szCs w:val="18"/>
              </w:rPr>
              <w:t xml:space="preserve"> </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0.76 (0.72, 0.80)</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1.3 (1.3, 1.4)</w:t>
            </w:r>
          </w:p>
        </w:tc>
        <w:tc>
          <w:tcPr>
            <w:tcW w:w="739"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17.7 (12.4, 25.2)</w:t>
            </w:r>
          </w:p>
        </w:tc>
        <w:tc>
          <w:tcPr>
            <w:tcW w:w="813" w:type="pct"/>
            <w:shd w:val="clear" w:color="auto" w:fill="auto"/>
          </w:tcPr>
          <w:p w:rsidR="00C93705" w:rsidRPr="00E21BFF" w:rsidRDefault="00C93705" w:rsidP="00B204B6">
            <w:pPr>
              <w:jc w:val="center"/>
              <w:rPr>
                <w:rFonts w:ascii="Arial Narrow" w:hAnsi="Arial Narrow"/>
                <w:b/>
                <w:sz w:val="18"/>
                <w:szCs w:val="18"/>
              </w:rPr>
            </w:pPr>
            <w:r>
              <w:rPr>
                <w:rFonts w:ascii="Arial Narrow" w:hAnsi="Arial Narrow"/>
                <w:b/>
                <w:sz w:val="18"/>
                <w:szCs w:val="18"/>
              </w:rPr>
              <w:t>82.2 (54.9, 126.2)</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SEC</w:t>
            </w:r>
            <w:r w:rsidRPr="00614F0A">
              <w:rPr>
                <w:rFonts w:ascii="Arial Narrow" w:hAnsi="Arial Narrow"/>
                <w:sz w:val="18"/>
                <w:szCs w:val="18"/>
                <w:vertAlign w:val="subscript"/>
              </w:rPr>
              <w:t>2</w:t>
            </w:r>
          </w:p>
        </w:tc>
        <w:tc>
          <w:tcPr>
            <w:tcW w:w="554" w:type="pct"/>
            <w:shd w:val="clear" w:color="auto" w:fill="auto"/>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SEC v ETN</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249/323 (77.1)</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142/323 (44.0)</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0.33 (</w:t>
            </w:r>
            <w:r>
              <w:rPr>
                <w:rFonts w:ascii="Arial Narrow" w:hAnsi="Arial Narrow"/>
                <w:b/>
                <w:i/>
                <w:sz w:val="18"/>
                <w:szCs w:val="18"/>
              </w:rPr>
              <w:t>0.26, 0.40</w:t>
            </w:r>
            <w:r w:rsidRPr="00614F0A">
              <w:rPr>
                <w:rFonts w:ascii="Arial Narrow" w:hAnsi="Arial Narrow"/>
                <w:b/>
                <w:i/>
                <w:sz w:val="18"/>
                <w:szCs w:val="18"/>
              </w:rPr>
              <w:t>)</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3 (2, 4)</w:t>
            </w:r>
          </w:p>
        </w:tc>
        <w:tc>
          <w:tcPr>
            <w:tcW w:w="739"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1.8 (1.5, 2.0)</w:t>
            </w:r>
          </w:p>
        </w:tc>
        <w:tc>
          <w:tcPr>
            <w:tcW w:w="813" w:type="pct"/>
            <w:shd w:val="clear" w:color="auto" w:fill="auto"/>
          </w:tcPr>
          <w:p w:rsidR="00C93705" w:rsidRPr="00E21BFF" w:rsidRDefault="00C93705" w:rsidP="00B204B6">
            <w:pPr>
              <w:jc w:val="center"/>
              <w:rPr>
                <w:rFonts w:ascii="Arial Narrow" w:hAnsi="Arial Narrow"/>
                <w:b/>
                <w:sz w:val="18"/>
                <w:szCs w:val="18"/>
              </w:rPr>
            </w:pPr>
            <w:r>
              <w:rPr>
                <w:rFonts w:ascii="Arial Narrow" w:hAnsi="Arial Narrow"/>
                <w:b/>
                <w:sz w:val="18"/>
                <w:szCs w:val="18"/>
              </w:rPr>
              <w:t>4.7 (3.3, 6.7)</w:t>
            </w:r>
          </w:p>
        </w:tc>
      </w:tr>
      <w:tr w:rsidR="00C93705" w:rsidRPr="00614F0A" w:rsidTr="00696349">
        <w:tc>
          <w:tcPr>
            <w:tcW w:w="5000" w:type="pct"/>
            <w:gridSpan w:val="8"/>
            <w:shd w:val="clear" w:color="auto" w:fill="auto"/>
          </w:tcPr>
          <w:p w:rsidR="00C93705" w:rsidRPr="00614F0A" w:rsidRDefault="00C93705" w:rsidP="00B204B6">
            <w:pPr>
              <w:jc w:val="left"/>
              <w:rPr>
                <w:rFonts w:ascii="Arial Narrow" w:hAnsi="Arial Narrow"/>
                <w:b/>
                <w:sz w:val="18"/>
                <w:szCs w:val="18"/>
              </w:rPr>
            </w:pPr>
            <w:r w:rsidRPr="00614F0A">
              <w:rPr>
                <w:rFonts w:ascii="Arial Narrow" w:hAnsi="Arial Narrow"/>
                <w:b/>
                <w:sz w:val="18"/>
                <w:szCs w:val="18"/>
              </w:rPr>
              <w:t>Ustekinumab 45mg – 12 weeks</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2</w:t>
            </w:r>
          </w:p>
        </w:tc>
        <w:tc>
          <w:tcPr>
            <w:tcW w:w="554" w:type="pct"/>
            <w:vMerge w:val="restar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UST</w:t>
            </w:r>
            <w:r w:rsidRPr="00614F0A">
              <w:rPr>
                <w:rFonts w:ascii="Arial Narrow" w:hAnsi="Arial Narrow"/>
                <w:sz w:val="18"/>
                <w:szCs w:val="18"/>
              </w:rPr>
              <w:t xml:space="preserve"> v PBO</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171/255 (67.1)</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8/255 (3.1)</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0.64 (0.57, 0.70)</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1.8)</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21.4 (11.0, 42.2)</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62.9 (29.7, 133.2)</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3</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273/409 (66.7)</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15/410 (3.7)</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0.63 (0.58, 0.68)</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(1.5, 1.7)</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18.2 (11.2, 30.1)</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52.9 (30.3, 92.1)</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4</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41/61 (67.2)</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3/60 (5.0)</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0.62 (0.48, 0.74)</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2.1)</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13.4 (4.8, 39.6)</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39.0 (10.9, 139.8)</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UST</w:t>
            </w:r>
            <w:r w:rsidRPr="00614F0A">
              <w:rPr>
                <w:rFonts w:ascii="Arial Narrow" w:hAnsi="Arial Narrow"/>
                <w:sz w:val="18"/>
                <w:szCs w:val="18"/>
                <w:vertAlign w:val="subscript"/>
              </w:rPr>
              <w:t>5</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38/64 (59.4)</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2/31 (6.5)</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0.53 (0.35, 0.66)</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1.9 (1.5, 2.9)</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9.2 (2.8, 33.6)</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21.2 (4.7, 96.6)</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UST</w:t>
            </w:r>
            <w:r w:rsidRPr="00614F0A">
              <w:rPr>
                <w:rFonts w:ascii="Arial Narrow" w:hAnsi="Arial Narrow"/>
                <w:sz w:val="18"/>
                <w:szCs w:val="18"/>
                <w:vertAlign w:val="subscript"/>
              </w:rPr>
              <w:t>6</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132/160 (82.5)</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18/162 (11.1)</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0.71 (0.63, 0.78)</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1.4 (1.3, 1.6)</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7.4 (4.9, 11.6)</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37.7 (19.9, 71.3)</w:t>
            </w:r>
          </w:p>
        </w:tc>
      </w:tr>
      <w:tr w:rsidR="00C93705" w:rsidRPr="00614F0A" w:rsidTr="00696349">
        <w:tc>
          <w:tcPr>
            <w:tcW w:w="2056" w:type="pct"/>
            <w:gridSpan w:val="4"/>
            <w:shd w:val="clear" w:color="auto" w:fill="auto"/>
            <w:vAlign w:val="center"/>
          </w:tcPr>
          <w:p w:rsidR="00C93705" w:rsidRPr="00614F0A" w:rsidRDefault="00C93705" w:rsidP="00B204B6">
            <w:pPr>
              <w:jc w:val="right"/>
              <w:rPr>
                <w:rFonts w:ascii="Arial Narrow" w:hAnsi="Arial Narrow"/>
                <w:sz w:val="18"/>
                <w:szCs w:val="18"/>
              </w:rPr>
            </w:pPr>
            <w:r w:rsidRPr="00614F0A">
              <w:rPr>
                <w:rFonts w:ascii="Arial Narrow" w:hAnsi="Arial Narrow"/>
                <w:sz w:val="18"/>
                <w:szCs w:val="18"/>
              </w:rPr>
              <w:t>Meta-analysis</w:t>
            </w:r>
            <w:r>
              <w:rPr>
                <w:rFonts w:ascii="Arial Narrow" w:hAnsi="Arial Narrow"/>
                <w:sz w:val="18"/>
                <w:szCs w:val="18"/>
              </w:rPr>
              <w:t xml:space="preserve"> – UST45 v PBO</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0.64 (0.60, 0.69)</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1.7)</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13.1 (7.8, 22.0)</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46.4 (33.0, 65.4)</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1</w:t>
            </w:r>
          </w:p>
        </w:tc>
        <w:tc>
          <w:tcPr>
            <w:tcW w:w="554" w:type="pct"/>
            <w:shd w:val="clear" w:color="auto" w:fill="auto"/>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UST v ETN</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141/209 (67.5)</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197/347 (56.8)</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0.11 (0.02, 0.19)</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9 (5, 50)</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1.2 (1.0, 1.</w:t>
            </w:r>
            <w:r>
              <w:rPr>
                <w:rFonts w:ascii="Arial Narrow" w:hAnsi="Arial Narrow"/>
                <w:b/>
                <w:i/>
                <w:sz w:val="18"/>
                <w:szCs w:val="18"/>
              </w:rPr>
              <w:t>4</w:t>
            </w:r>
            <w:r w:rsidRPr="000820AD">
              <w:rPr>
                <w:rFonts w:ascii="Arial Narrow" w:hAnsi="Arial Narrow"/>
                <w:b/>
                <w:i/>
                <w:sz w:val="18"/>
                <w:szCs w:val="18"/>
              </w:rPr>
              <w:t>)</w:t>
            </w:r>
          </w:p>
        </w:tc>
        <w:tc>
          <w:tcPr>
            <w:tcW w:w="813" w:type="pct"/>
            <w:shd w:val="clear" w:color="auto" w:fill="auto"/>
          </w:tcPr>
          <w:p w:rsidR="00C93705" w:rsidRPr="000820AD" w:rsidRDefault="00C93705" w:rsidP="00B204B6">
            <w:pPr>
              <w:jc w:val="center"/>
              <w:rPr>
                <w:rFonts w:ascii="Arial Narrow" w:hAnsi="Arial Narrow"/>
                <w:b/>
                <w:sz w:val="18"/>
                <w:szCs w:val="18"/>
              </w:rPr>
            </w:pPr>
            <w:r w:rsidRPr="000820AD">
              <w:rPr>
                <w:rFonts w:ascii="Arial Narrow" w:hAnsi="Arial Narrow"/>
                <w:b/>
                <w:sz w:val="18"/>
                <w:szCs w:val="18"/>
              </w:rPr>
              <w:t>1.6 (1.1, 2.3)</w:t>
            </w:r>
          </w:p>
        </w:tc>
      </w:tr>
      <w:tr w:rsidR="00C93705" w:rsidRPr="00614F0A" w:rsidTr="00696349">
        <w:tc>
          <w:tcPr>
            <w:tcW w:w="5000" w:type="pct"/>
            <w:gridSpan w:val="8"/>
            <w:shd w:val="clear" w:color="auto" w:fill="auto"/>
          </w:tcPr>
          <w:p w:rsidR="00C93705" w:rsidRPr="00614F0A" w:rsidRDefault="00C93705" w:rsidP="00B204B6">
            <w:pPr>
              <w:jc w:val="left"/>
              <w:rPr>
                <w:rFonts w:ascii="Arial Narrow" w:hAnsi="Arial Narrow"/>
                <w:b/>
                <w:sz w:val="18"/>
                <w:szCs w:val="18"/>
              </w:rPr>
            </w:pPr>
            <w:r w:rsidRPr="00614F0A">
              <w:rPr>
                <w:rFonts w:ascii="Arial Narrow" w:hAnsi="Arial Narrow"/>
                <w:b/>
                <w:sz w:val="18"/>
                <w:szCs w:val="18"/>
              </w:rPr>
              <w:t>Ustekinumab 90mg – 12 weeks</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2</w:t>
            </w:r>
          </w:p>
        </w:tc>
        <w:tc>
          <w:tcPr>
            <w:tcW w:w="554" w:type="pct"/>
            <w:vMerge w:val="restar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UST v PBO</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170/256 (66.4)</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8/255 (3.1)</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0.63 (0.57, 0.69)</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1.8)</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21.2 (10.9, 41.8)</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61.0 (28.8, 129.3)</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3</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311/411 (75.7)</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15/410 (3.7)</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0.72 (0.67, 0.76)</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1.4 (1.3, 1.5)</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20.7 (12.7, 34.0)</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81.9 (46.7, 143.8)</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5</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42/62 (67.7)</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2/31 (6.5)</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0.61 (0.43, 0.74)</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2.3)</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10.5 (3.2, 38.2)</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30.5 (6.6, 140.4)</w:t>
            </w:r>
          </w:p>
        </w:tc>
      </w:tr>
      <w:tr w:rsidR="00C93705" w:rsidRPr="00614F0A" w:rsidTr="00696349">
        <w:tc>
          <w:tcPr>
            <w:tcW w:w="2056" w:type="pct"/>
            <w:gridSpan w:val="4"/>
            <w:shd w:val="clear" w:color="auto" w:fill="auto"/>
            <w:vAlign w:val="center"/>
          </w:tcPr>
          <w:p w:rsidR="00C93705" w:rsidRPr="00614F0A" w:rsidRDefault="00C93705" w:rsidP="00B204B6">
            <w:pPr>
              <w:jc w:val="right"/>
              <w:rPr>
                <w:rFonts w:ascii="Arial Narrow" w:hAnsi="Arial Narrow"/>
                <w:sz w:val="18"/>
                <w:szCs w:val="18"/>
              </w:rPr>
            </w:pPr>
            <w:r w:rsidRPr="00614F0A">
              <w:rPr>
                <w:rFonts w:ascii="Arial Narrow" w:hAnsi="Arial Narrow"/>
                <w:sz w:val="18"/>
                <w:szCs w:val="18"/>
              </w:rPr>
              <w:t>Meta-analysis</w:t>
            </w:r>
            <w:r>
              <w:rPr>
                <w:rFonts w:ascii="Arial Narrow" w:hAnsi="Arial Narrow"/>
                <w:sz w:val="18"/>
                <w:szCs w:val="18"/>
              </w:rPr>
              <w:t xml:space="preserve"> – UST90 v PBO</w:t>
            </w:r>
          </w:p>
        </w:tc>
        <w:tc>
          <w:tcPr>
            <w:tcW w:w="823" w:type="pct"/>
            <w:shd w:val="clear" w:color="auto" w:fill="auto"/>
            <w:vAlign w:val="center"/>
          </w:tcPr>
          <w:p w:rsidR="00C93705" w:rsidRPr="00614F0A" w:rsidRDefault="00C93705" w:rsidP="00B204B6">
            <w:pPr>
              <w:jc w:val="center"/>
              <w:rPr>
                <w:rFonts w:ascii="Arial Narrow" w:hAnsi="Arial Narrow"/>
                <w:b/>
                <w:i/>
                <w:sz w:val="18"/>
                <w:szCs w:val="18"/>
              </w:rPr>
            </w:pPr>
            <w:r w:rsidRPr="00614F0A">
              <w:rPr>
                <w:rFonts w:ascii="Arial Narrow" w:hAnsi="Arial Narrow"/>
                <w:b/>
                <w:i/>
                <w:sz w:val="18"/>
                <w:szCs w:val="18"/>
              </w:rPr>
              <w:t>0.67 (0.60, 0.74)</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1.5 (1.4, 1.7)</w:t>
            </w:r>
          </w:p>
        </w:tc>
        <w:tc>
          <w:tcPr>
            <w:tcW w:w="739" w:type="pct"/>
            <w:shd w:val="clear" w:color="auto" w:fill="auto"/>
            <w:vAlign w:val="center"/>
          </w:tcPr>
          <w:p w:rsidR="00C93705" w:rsidRPr="006B288B" w:rsidRDefault="00C93705" w:rsidP="00B204B6">
            <w:pPr>
              <w:jc w:val="center"/>
              <w:rPr>
                <w:rFonts w:ascii="Arial Narrow" w:hAnsi="Arial Narrow"/>
                <w:b/>
                <w:i/>
                <w:sz w:val="18"/>
                <w:szCs w:val="18"/>
              </w:rPr>
            </w:pPr>
            <w:r w:rsidRPr="006B288B">
              <w:rPr>
                <w:rFonts w:ascii="Arial Narrow" w:hAnsi="Arial Narrow"/>
                <w:b/>
                <w:i/>
                <w:sz w:val="18"/>
                <w:szCs w:val="18"/>
              </w:rPr>
              <w:t>19.7 (13.4, 29.0)</w:t>
            </w:r>
          </w:p>
        </w:tc>
        <w:tc>
          <w:tcPr>
            <w:tcW w:w="813" w:type="pct"/>
            <w:shd w:val="clear" w:color="auto" w:fill="auto"/>
          </w:tcPr>
          <w:p w:rsidR="00C93705" w:rsidRPr="006B288B" w:rsidRDefault="00C93705" w:rsidP="00B204B6">
            <w:pPr>
              <w:jc w:val="center"/>
              <w:rPr>
                <w:rFonts w:ascii="Arial Narrow" w:hAnsi="Arial Narrow"/>
                <w:b/>
                <w:sz w:val="18"/>
                <w:szCs w:val="18"/>
              </w:rPr>
            </w:pPr>
            <w:r w:rsidRPr="006B288B">
              <w:rPr>
                <w:rFonts w:ascii="Arial Narrow" w:hAnsi="Arial Narrow"/>
                <w:b/>
                <w:sz w:val="18"/>
                <w:szCs w:val="18"/>
              </w:rPr>
              <w:t>68.7 (44.6, 105.7)</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1</w:t>
            </w:r>
          </w:p>
        </w:tc>
        <w:tc>
          <w:tcPr>
            <w:tcW w:w="554" w:type="pct"/>
            <w:shd w:val="clear" w:color="auto" w:fill="auto"/>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UST v ETN</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256/347 (73.8)</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197/347 (56.8)</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0.15 (0.08, 0.22)</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7 (5, 13)</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1.3 (1.1, 1.4)</w:t>
            </w:r>
          </w:p>
        </w:tc>
        <w:tc>
          <w:tcPr>
            <w:tcW w:w="813" w:type="pct"/>
            <w:shd w:val="clear" w:color="auto" w:fill="auto"/>
          </w:tcPr>
          <w:p w:rsidR="00C93705" w:rsidRPr="000820AD" w:rsidRDefault="00C93705" w:rsidP="00B204B6">
            <w:pPr>
              <w:jc w:val="center"/>
              <w:rPr>
                <w:rFonts w:ascii="Arial Narrow" w:hAnsi="Arial Narrow"/>
                <w:b/>
                <w:sz w:val="18"/>
                <w:szCs w:val="18"/>
              </w:rPr>
            </w:pPr>
            <w:r w:rsidRPr="000820AD">
              <w:rPr>
                <w:rFonts w:ascii="Arial Narrow" w:hAnsi="Arial Narrow"/>
                <w:b/>
                <w:sz w:val="18"/>
                <w:szCs w:val="18"/>
              </w:rPr>
              <w:t>2.1 (1.6, 3.0)</w:t>
            </w:r>
          </w:p>
        </w:tc>
      </w:tr>
      <w:tr w:rsidR="00C93705" w:rsidRPr="00614F0A" w:rsidTr="00696349">
        <w:tc>
          <w:tcPr>
            <w:tcW w:w="5000" w:type="pct"/>
            <w:gridSpan w:val="8"/>
            <w:shd w:val="clear" w:color="auto" w:fill="auto"/>
          </w:tcPr>
          <w:p w:rsidR="00C93705" w:rsidRPr="00614F0A" w:rsidRDefault="00C93705" w:rsidP="00B204B6">
            <w:pPr>
              <w:jc w:val="left"/>
              <w:rPr>
                <w:rFonts w:ascii="Arial Narrow" w:hAnsi="Arial Narrow"/>
                <w:b/>
                <w:sz w:val="18"/>
                <w:szCs w:val="18"/>
              </w:rPr>
            </w:pPr>
            <w:r w:rsidRPr="00614F0A">
              <w:rPr>
                <w:rFonts w:ascii="Arial Narrow" w:hAnsi="Arial Narrow"/>
                <w:b/>
                <w:sz w:val="18"/>
                <w:szCs w:val="18"/>
              </w:rPr>
              <w:t>Ustekinumab 45&amp;90mg – 12 weeks</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2</w:t>
            </w:r>
          </w:p>
        </w:tc>
        <w:tc>
          <w:tcPr>
            <w:tcW w:w="554" w:type="pct"/>
            <w:vMerge w:val="restar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UST v PBO</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341/511 (66.7)</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8/255 (3.1)</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0.64 (0.59, 0.68)</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(1.5, 1.7)</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21.3 (11.0, 41.9)</w:t>
            </w:r>
          </w:p>
        </w:tc>
        <w:tc>
          <w:tcPr>
            <w:tcW w:w="813" w:type="pct"/>
            <w:shd w:val="clear" w:color="auto" w:fill="auto"/>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61.9 (29.8, 147.8)</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3</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584/820 (71.2)</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15/410 (3.7)</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0.68 (0.64, 0.71)</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1.5 (1.4, 1.6)</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19.5 (12.0, 32.0)</w:t>
            </w:r>
          </w:p>
        </w:tc>
        <w:tc>
          <w:tcPr>
            <w:tcW w:w="813" w:type="pct"/>
            <w:shd w:val="clear" w:color="auto" w:fill="auto"/>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65.2 (37.9, 119.7)</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4</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41/61 (67.2)</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3/60 (5.0)</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614F0A">
              <w:rPr>
                <w:rFonts w:ascii="Arial Narrow" w:hAnsi="Arial Narrow"/>
                <w:b/>
                <w:i/>
                <w:sz w:val="18"/>
                <w:szCs w:val="18"/>
              </w:rPr>
              <w:t>0.62 (0.48, 0.74)</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2.1)</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6B288B">
              <w:rPr>
                <w:rFonts w:ascii="Arial Narrow" w:hAnsi="Arial Narrow"/>
                <w:b/>
                <w:i/>
                <w:sz w:val="18"/>
                <w:szCs w:val="18"/>
              </w:rPr>
              <w:t>13.4 (4.8, 39.6)</w:t>
            </w:r>
          </w:p>
        </w:tc>
        <w:tc>
          <w:tcPr>
            <w:tcW w:w="813" w:type="pct"/>
            <w:shd w:val="clear" w:color="auto" w:fill="auto"/>
          </w:tcPr>
          <w:p w:rsidR="00C93705" w:rsidRPr="000820AD" w:rsidRDefault="00C93705" w:rsidP="00B204B6">
            <w:pPr>
              <w:jc w:val="center"/>
              <w:rPr>
                <w:rFonts w:ascii="Arial Narrow" w:hAnsi="Arial Narrow"/>
                <w:b/>
                <w:i/>
                <w:sz w:val="18"/>
                <w:szCs w:val="18"/>
              </w:rPr>
            </w:pPr>
            <w:r w:rsidRPr="006B288B">
              <w:rPr>
                <w:rFonts w:ascii="Arial Narrow" w:hAnsi="Arial Narrow"/>
                <w:b/>
                <w:sz w:val="18"/>
                <w:szCs w:val="18"/>
              </w:rPr>
              <w:t>39.0 (10.9, 139.8)</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5</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80/126 (63.5)</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2/31 (6.5)</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0.57 (0.41, 0.67)</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1.8 (1.5, 2.4)</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9.8 (3.0, 65.7)</w:t>
            </w:r>
          </w:p>
        </w:tc>
        <w:tc>
          <w:tcPr>
            <w:tcW w:w="813" w:type="pct"/>
            <w:shd w:val="clear" w:color="auto" w:fill="auto"/>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25.2 (5.8, 223.7)</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rPr>
            </w:pPr>
            <w:r w:rsidRPr="00614F0A">
              <w:rPr>
                <w:rFonts w:ascii="Arial Narrow" w:hAnsi="Arial Narrow"/>
                <w:sz w:val="18"/>
                <w:szCs w:val="18"/>
              </w:rPr>
              <w:t>UST</w:t>
            </w:r>
            <w:r w:rsidRPr="00614F0A">
              <w:rPr>
                <w:rFonts w:ascii="Arial Narrow" w:hAnsi="Arial Narrow"/>
                <w:sz w:val="18"/>
                <w:szCs w:val="18"/>
                <w:vertAlign w:val="subscript"/>
              </w:rPr>
              <w:t>6</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132/160 (82.5)</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18/162 (11.1)</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614F0A">
              <w:rPr>
                <w:rFonts w:ascii="Arial Narrow" w:hAnsi="Arial Narrow"/>
                <w:b/>
                <w:i/>
                <w:sz w:val="18"/>
                <w:szCs w:val="18"/>
              </w:rPr>
              <w:t>0.71 (0.63, 0.78)</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1.4 (1.3, 1.6)</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6B288B">
              <w:rPr>
                <w:rFonts w:ascii="Arial Narrow" w:hAnsi="Arial Narrow"/>
                <w:b/>
                <w:i/>
                <w:sz w:val="18"/>
                <w:szCs w:val="18"/>
              </w:rPr>
              <w:t>7.4 (4.9, 11.6)</w:t>
            </w:r>
          </w:p>
        </w:tc>
        <w:tc>
          <w:tcPr>
            <w:tcW w:w="813" w:type="pct"/>
            <w:shd w:val="clear" w:color="auto" w:fill="auto"/>
          </w:tcPr>
          <w:p w:rsidR="00C93705" w:rsidRPr="000820AD" w:rsidRDefault="00C93705" w:rsidP="00B204B6">
            <w:pPr>
              <w:jc w:val="center"/>
              <w:rPr>
                <w:rFonts w:ascii="Arial Narrow" w:hAnsi="Arial Narrow"/>
                <w:b/>
                <w:i/>
                <w:sz w:val="18"/>
                <w:szCs w:val="18"/>
              </w:rPr>
            </w:pPr>
            <w:r w:rsidRPr="006B288B">
              <w:rPr>
                <w:rFonts w:ascii="Arial Narrow" w:hAnsi="Arial Narrow"/>
                <w:b/>
                <w:sz w:val="18"/>
                <w:szCs w:val="18"/>
              </w:rPr>
              <w:t>37.7 (19.9, 71.3)</w:t>
            </w:r>
          </w:p>
        </w:tc>
      </w:tr>
      <w:tr w:rsidR="00C93705" w:rsidRPr="00614F0A" w:rsidTr="00696349">
        <w:tc>
          <w:tcPr>
            <w:tcW w:w="2056" w:type="pct"/>
            <w:gridSpan w:val="4"/>
            <w:shd w:val="clear" w:color="auto" w:fill="auto"/>
            <w:vAlign w:val="center"/>
          </w:tcPr>
          <w:p w:rsidR="00C93705" w:rsidRPr="00614F0A" w:rsidRDefault="00C93705" w:rsidP="00B204B6">
            <w:pPr>
              <w:jc w:val="right"/>
              <w:rPr>
                <w:rFonts w:ascii="Arial Narrow" w:hAnsi="Arial Narrow"/>
                <w:sz w:val="18"/>
                <w:szCs w:val="18"/>
              </w:rPr>
            </w:pPr>
            <w:r w:rsidRPr="00614F0A">
              <w:rPr>
                <w:rFonts w:ascii="Arial Narrow" w:hAnsi="Arial Narrow"/>
                <w:sz w:val="18"/>
                <w:szCs w:val="18"/>
              </w:rPr>
              <w:t>Meta-analysis</w:t>
            </w:r>
            <w:r>
              <w:rPr>
                <w:rFonts w:ascii="Arial Narrow" w:hAnsi="Arial Narrow"/>
                <w:sz w:val="18"/>
                <w:szCs w:val="18"/>
              </w:rPr>
              <w:t xml:space="preserve"> – UST45&amp;90 v PBO</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Pr>
                <w:rFonts w:ascii="Arial Narrow" w:hAnsi="Arial Narrow"/>
                <w:b/>
                <w:i/>
                <w:sz w:val="18"/>
                <w:szCs w:val="18"/>
              </w:rPr>
              <w:t>0.66</w:t>
            </w:r>
            <w:r w:rsidRPr="000820AD">
              <w:rPr>
                <w:rFonts w:ascii="Arial Narrow" w:hAnsi="Arial Narrow"/>
                <w:b/>
                <w:i/>
                <w:sz w:val="18"/>
                <w:szCs w:val="18"/>
              </w:rPr>
              <w:t xml:space="preserve"> (0.6</w:t>
            </w:r>
            <w:r>
              <w:rPr>
                <w:rFonts w:ascii="Arial Narrow" w:hAnsi="Arial Narrow"/>
                <w:b/>
                <w:i/>
                <w:sz w:val="18"/>
                <w:szCs w:val="18"/>
              </w:rPr>
              <w:t>2</w:t>
            </w:r>
            <w:r w:rsidRPr="000820AD">
              <w:rPr>
                <w:rFonts w:ascii="Arial Narrow" w:hAnsi="Arial Narrow"/>
                <w:b/>
                <w:i/>
                <w:sz w:val="18"/>
                <w:szCs w:val="18"/>
              </w:rPr>
              <w:t>, 0.69)</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1.5 (1.4, 1.6)</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Pr>
                <w:rFonts w:ascii="Arial Narrow" w:hAnsi="Arial Narrow"/>
                <w:b/>
                <w:i/>
                <w:sz w:val="18"/>
                <w:szCs w:val="18"/>
              </w:rPr>
              <w:t>13.5</w:t>
            </w:r>
            <w:r w:rsidRPr="000820AD">
              <w:rPr>
                <w:rFonts w:ascii="Arial Narrow" w:hAnsi="Arial Narrow"/>
                <w:b/>
                <w:i/>
                <w:sz w:val="18"/>
                <w:szCs w:val="18"/>
              </w:rPr>
              <w:t xml:space="preserve"> (</w:t>
            </w:r>
            <w:r>
              <w:rPr>
                <w:rFonts w:ascii="Arial Narrow" w:hAnsi="Arial Narrow"/>
                <w:b/>
                <w:i/>
                <w:sz w:val="18"/>
                <w:szCs w:val="18"/>
              </w:rPr>
              <w:t>7.7</w:t>
            </w:r>
            <w:r w:rsidRPr="000820AD">
              <w:rPr>
                <w:rFonts w:ascii="Arial Narrow" w:hAnsi="Arial Narrow"/>
                <w:b/>
                <w:i/>
                <w:sz w:val="18"/>
                <w:szCs w:val="18"/>
              </w:rPr>
              <w:t>, 2</w:t>
            </w:r>
            <w:r>
              <w:rPr>
                <w:rFonts w:ascii="Arial Narrow" w:hAnsi="Arial Narrow"/>
                <w:b/>
                <w:i/>
                <w:sz w:val="18"/>
                <w:szCs w:val="18"/>
              </w:rPr>
              <w:t>3.4</w:t>
            </w:r>
            <w:r w:rsidRPr="000820AD">
              <w:rPr>
                <w:rFonts w:ascii="Arial Narrow" w:hAnsi="Arial Narrow"/>
                <w:b/>
                <w:i/>
                <w:sz w:val="18"/>
                <w:szCs w:val="18"/>
              </w:rPr>
              <w:t>)</w:t>
            </w:r>
          </w:p>
        </w:tc>
        <w:tc>
          <w:tcPr>
            <w:tcW w:w="813" w:type="pct"/>
            <w:shd w:val="clear" w:color="auto" w:fill="auto"/>
          </w:tcPr>
          <w:p w:rsidR="00C93705" w:rsidRPr="00FD067C" w:rsidRDefault="00C93705" w:rsidP="00B204B6">
            <w:pPr>
              <w:jc w:val="center"/>
              <w:rPr>
                <w:rFonts w:ascii="Arial Narrow" w:hAnsi="Arial Narrow"/>
                <w:b/>
                <w:sz w:val="18"/>
                <w:szCs w:val="18"/>
              </w:rPr>
            </w:pPr>
            <w:r>
              <w:rPr>
                <w:rFonts w:ascii="Arial Narrow" w:hAnsi="Arial Narrow"/>
                <w:b/>
                <w:sz w:val="18"/>
                <w:szCs w:val="18"/>
              </w:rPr>
              <w:t>50.9 (36.4, 71.2)</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UST</w:t>
            </w:r>
            <w:r w:rsidRPr="00614F0A">
              <w:rPr>
                <w:rFonts w:ascii="Arial Narrow" w:hAnsi="Arial Narrow"/>
                <w:sz w:val="18"/>
                <w:szCs w:val="18"/>
                <w:vertAlign w:val="subscript"/>
              </w:rPr>
              <w:t>1</w:t>
            </w:r>
          </w:p>
        </w:tc>
        <w:tc>
          <w:tcPr>
            <w:tcW w:w="554" w:type="pct"/>
            <w:shd w:val="clear" w:color="auto" w:fill="auto"/>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UST v ETN</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397/556 (71.4)</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197/347 (56.8)</w:t>
            </w:r>
          </w:p>
        </w:tc>
        <w:tc>
          <w:tcPr>
            <w:tcW w:w="823"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0.15 (0.08, 0.21)</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7 (5, 13)</w:t>
            </w:r>
          </w:p>
        </w:tc>
        <w:tc>
          <w:tcPr>
            <w:tcW w:w="739" w:type="pct"/>
            <w:shd w:val="clear" w:color="auto" w:fill="auto"/>
            <w:vAlign w:val="center"/>
          </w:tcPr>
          <w:p w:rsidR="00C93705" w:rsidRPr="000820AD" w:rsidRDefault="00C93705" w:rsidP="00B204B6">
            <w:pPr>
              <w:jc w:val="center"/>
              <w:rPr>
                <w:rFonts w:ascii="Arial Narrow" w:hAnsi="Arial Narrow"/>
                <w:b/>
                <w:i/>
                <w:sz w:val="18"/>
                <w:szCs w:val="18"/>
              </w:rPr>
            </w:pPr>
            <w:r w:rsidRPr="000820AD">
              <w:rPr>
                <w:rFonts w:ascii="Arial Narrow" w:hAnsi="Arial Narrow"/>
                <w:b/>
                <w:i/>
                <w:sz w:val="18"/>
                <w:szCs w:val="18"/>
              </w:rPr>
              <w:t>1.3 (1.1, 1.4)</w:t>
            </w:r>
          </w:p>
        </w:tc>
        <w:tc>
          <w:tcPr>
            <w:tcW w:w="813" w:type="pct"/>
            <w:shd w:val="clear" w:color="auto" w:fill="auto"/>
          </w:tcPr>
          <w:p w:rsidR="00C93705" w:rsidRPr="000820AD" w:rsidRDefault="00C93705" w:rsidP="00B204B6">
            <w:pPr>
              <w:jc w:val="center"/>
              <w:rPr>
                <w:rFonts w:ascii="Arial Narrow" w:hAnsi="Arial Narrow"/>
                <w:b/>
                <w:sz w:val="18"/>
                <w:szCs w:val="18"/>
              </w:rPr>
            </w:pPr>
            <w:r w:rsidRPr="000820AD">
              <w:rPr>
                <w:rFonts w:ascii="Arial Narrow" w:hAnsi="Arial Narrow"/>
                <w:b/>
                <w:sz w:val="18"/>
                <w:szCs w:val="18"/>
              </w:rPr>
              <w:t>1.9 (1.4, 2.5)</w:t>
            </w:r>
          </w:p>
        </w:tc>
      </w:tr>
      <w:tr w:rsidR="00C93705" w:rsidRPr="00614F0A" w:rsidTr="00696349">
        <w:tc>
          <w:tcPr>
            <w:tcW w:w="5000" w:type="pct"/>
            <w:gridSpan w:val="8"/>
            <w:shd w:val="clear" w:color="auto" w:fill="auto"/>
          </w:tcPr>
          <w:p w:rsidR="00C93705" w:rsidRPr="00BD0762" w:rsidRDefault="00C93705" w:rsidP="00B204B6">
            <w:pPr>
              <w:jc w:val="left"/>
              <w:rPr>
                <w:rFonts w:ascii="Arial Narrow" w:hAnsi="Arial Narrow"/>
                <w:b/>
                <w:sz w:val="18"/>
                <w:szCs w:val="18"/>
                <w:vertAlign w:val="subscript"/>
              </w:rPr>
            </w:pPr>
            <w:r w:rsidRPr="00614F0A">
              <w:rPr>
                <w:rFonts w:ascii="Arial Narrow" w:hAnsi="Arial Narrow"/>
                <w:b/>
                <w:sz w:val="18"/>
                <w:szCs w:val="18"/>
              </w:rPr>
              <w:t xml:space="preserve">Adalimumab </w:t>
            </w:r>
            <w:r>
              <w:rPr>
                <w:rFonts w:ascii="Arial Narrow" w:hAnsi="Arial Narrow"/>
                <w:b/>
                <w:sz w:val="18"/>
                <w:szCs w:val="18"/>
              </w:rPr>
              <w:t>– 12 (ADA</w:t>
            </w:r>
            <w:r>
              <w:rPr>
                <w:rFonts w:ascii="Arial Narrow" w:hAnsi="Arial Narrow"/>
                <w:b/>
                <w:sz w:val="18"/>
                <w:szCs w:val="18"/>
                <w:vertAlign w:val="subscript"/>
              </w:rPr>
              <w:t>3</w:t>
            </w:r>
            <w:r>
              <w:rPr>
                <w:rFonts w:ascii="Arial Narrow" w:hAnsi="Arial Narrow"/>
                <w:b/>
                <w:sz w:val="18"/>
                <w:szCs w:val="18"/>
              </w:rPr>
              <w:t>) or 16 weeks (ADA</w:t>
            </w:r>
            <w:r>
              <w:rPr>
                <w:rFonts w:ascii="Arial Narrow" w:hAnsi="Arial Narrow"/>
                <w:b/>
                <w:sz w:val="18"/>
                <w:szCs w:val="18"/>
                <w:vertAlign w:val="subscript"/>
              </w:rPr>
              <w:t>1,</w:t>
            </w:r>
            <w:r>
              <w:rPr>
                <w:rFonts w:ascii="Arial Narrow" w:hAnsi="Arial Narrow"/>
                <w:b/>
                <w:sz w:val="18"/>
                <w:szCs w:val="18"/>
              </w:rPr>
              <w:t xml:space="preserve"> ADA</w:t>
            </w:r>
            <w:r>
              <w:rPr>
                <w:rFonts w:ascii="Arial Narrow" w:hAnsi="Arial Narrow"/>
                <w:b/>
                <w:sz w:val="18"/>
                <w:szCs w:val="18"/>
                <w:vertAlign w:val="subscript"/>
              </w:rPr>
              <w:t xml:space="preserve">2, </w:t>
            </w:r>
            <w:r>
              <w:rPr>
                <w:rFonts w:ascii="Arial Narrow" w:hAnsi="Arial Narrow"/>
                <w:b/>
                <w:sz w:val="18"/>
                <w:szCs w:val="18"/>
              </w:rPr>
              <w:t>ADA</w:t>
            </w:r>
            <w:r>
              <w:rPr>
                <w:rFonts w:ascii="Arial Narrow" w:hAnsi="Arial Narrow"/>
                <w:b/>
                <w:sz w:val="18"/>
                <w:szCs w:val="18"/>
                <w:vertAlign w:val="subscript"/>
              </w:rPr>
              <w:t>4</w:t>
            </w:r>
            <w:r>
              <w:rPr>
                <w:rFonts w:ascii="Arial Narrow" w:hAnsi="Arial Narrow"/>
                <w:b/>
                <w:sz w:val="18"/>
                <w:szCs w:val="18"/>
              </w:rPr>
              <w:t>)</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ADA</w:t>
            </w:r>
            <w:r w:rsidRPr="00614F0A">
              <w:rPr>
                <w:rFonts w:ascii="Arial Narrow" w:hAnsi="Arial Narrow"/>
                <w:sz w:val="18"/>
                <w:szCs w:val="18"/>
                <w:vertAlign w:val="subscript"/>
              </w:rPr>
              <w:t>1</w:t>
            </w:r>
          </w:p>
        </w:tc>
        <w:tc>
          <w:tcPr>
            <w:tcW w:w="554" w:type="pct"/>
            <w:vMerge w:val="restar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ADA v PBO</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86/108 (79.6)</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10/53 (18.9)</w:t>
            </w:r>
          </w:p>
        </w:tc>
        <w:tc>
          <w:tcPr>
            <w:tcW w:w="823"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0.61 (0.46, 0.72)</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(1.4, 2.2)</w:t>
            </w:r>
          </w:p>
        </w:tc>
        <w:tc>
          <w:tcPr>
            <w:tcW w:w="739"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4.2 (2.5, 7.6)</w:t>
            </w:r>
          </w:p>
        </w:tc>
        <w:tc>
          <w:tcPr>
            <w:tcW w:w="813" w:type="pct"/>
            <w:shd w:val="clear" w:color="auto" w:fill="auto"/>
          </w:tcPr>
          <w:p w:rsidR="00C93705" w:rsidRPr="007C2684" w:rsidRDefault="00C93705" w:rsidP="00B204B6">
            <w:pPr>
              <w:jc w:val="center"/>
              <w:rPr>
                <w:rFonts w:ascii="Arial Narrow" w:hAnsi="Arial Narrow"/>
                <w:b/>
                <w:sz w:val="18"/>
                <w:szCs w:val="18"/>
              </w:rPr>
            </w:pPr>
            <w:r w:rsidRPr="007C2684">
              <w:rPr>
                <w:rFonts w:ascii="Arial Narrow" w:hAnsi="Arial Narrow"/>
                <w:b/>
                <w:sz w:val="18"/>
                <w:szCs w:val="18"/>
              </w:rPr>
              <w:t>16.8 (7.3, 38.6)</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ADA</w:t>
            </w:r>
            <w:r w:rsidRPr="00614F0A">
              <w:rPr>
                <w:rFonts w:ascii="Arial Narrow" w:hAnsi="Arial Narrow"/>
                <w:sz w:val="18"/>
                <w:szCs w:val="18"/>
                <w:vertAlign w:val="subscript"/>
              </w:rPr>
              <w:t>2</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578/814 (71.0)</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26/398 (6.5)</w:t>
            </w:r>
          </w:p>
        </w:tc>
        <w:tc>
          <w:tcPr>
            <w:tcW w:w="823"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0.64 (0.60, 0.68)</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1.6 (1.5, 1.7)</w:t>
            </w:r>
          </w:p>
        </w:tc>
        <w:tc>
          <w:tcPr>
            <w:tcW w:w="739"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10.9 (7.5, 15.8)</w:t>
            </w:r>
          </w:p>
        </w:tc>
        <w:tc>
          <w:tcPr>
            <w:tcW w:w="813" w:type="pct"/>
            <w:shd w:val="clear" w:color="auto" w:fill="auto"/>
          </w:tcPr>
          <w:p w:rsidR="00C93705" w:rsidRPr="007C2684" w:rsidRDefault="00C93705" w:rsidP="00B204B6">
            <w:pPr>
              <w:jc w:val="center"/>
              <w:rPr>
                <w:rFonts w:ascii="Arial Narrow" w:hAnsi="Arial Narrow"/>
                <w:b/>
                <w:sz w:val="18"/>
                <w:szCs w:val="18"/>
              </w:rPr>
            </w:pPr>
            <w:r w:rsidRPr="007C2684">
              <w:rPr>
                <w:rFonts w:ascii="Arial Narrow" w:hAnsi="Arial Narrow"/>
                <w:b/>
                <w:sz w:val="18"/>
                <w:szCs w:val="18"/>
              </w:rPr>
              <w:t>35.0 (22.9, 53.6)</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ADA</w:t>
            </w:r>
            <w:r w:rsidRPr="00614F0A">
              <w:rPr>
                <w:rFonts w:ascii="Arial Narrow" w:hAnsi="Arial Narrow"/>
                <w:sz w:val="18"/>
                <w:szCs w:val="18"/>
                <w:vertAlign w:val="subscript"/>
              </w:rPr>
              <w:t>3</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24/46 (52.2)</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2/52 (3.9)</w:t>
            </w:r>
          </w:p>
        </w:tc>
        <w:tc>
          <w:tcPr>
            <w:tcW w:w="823"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0.48 (0.33, 0.63)</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2.1 (1.6, 3.0)</w:t>
            </w:r>
          </w:p>
        </w:tc>
        <w:tc>
          <w:tcPr>
            <w:tcW w:w="739"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13.6 (3.9, 50.3)</w:t>
            </w:r>
          </w:p>
        </w:tc>
        <w:tc>
          <w:tcPr>
            <w:tcW w:w="813" w:type="pct"/>
            <w:shd w:val="clear" w:color="auto" w:fill="auto"/>
          </w:tcPr>
          <w:p w:rsidR="00C93705" w:rsidRPr="007C2684" w:rsidRDefault="00C93705" w:rsidP="00B204B6">
            <w:pPr>
              <w:jc w:val="center"/>
              <w:rPr>
                <w:rFonts w:ascii="Arial Narrow" w:hAnsi="Arial Narrow"/>
                <w:b/>
                <w:sz w:val="18"/>
                <w:szCs w:val="18"/>
              </w:rPr>
            </w:pPr>
            <w:r w:rsidRPr="007C2684">
              <w:rPr>
                <w:rFonts w:ascii="Arial Narrow" w:hAnsi="Arial Narrow"/>
                <w:b/>
                <w:sz w:val="18"/>
                <w:szCs w:val="18"/>
              </w:rPr>
              <w:t>28.6 (6.2, 131.9)</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ADA</w:t>
            </w:r>
            <w:r w:rsidRPr="00614F0A">
              <w:rPr>
                <w:rFonts w:ascii="Arial Narrow" w:hAnsi="Arial Narrow"/>
                <w:sz w:val="18"/>
                <w:szCs w:val="18"/>
                <w:vertAlign w:val="subscript"/>
              </w:rPr>
              <w:t>4</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27/43 (62.8)</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2/46 (4.3)</w:t>
            </w:r>
          </w:p>
        </w:tc>
        <w:tc>
          <w:tcPr>
            <w:tcW w:w="823"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0.58 (0.41, 0.72)</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1.4 (1.4, 2.4)</w:t>
            </w:r>
          </w:p>
        </w:tc>
        <w:tc>
          <w:tcPr>
            <w:tcW w:w="739"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14.4 (4.2, 53.1)</w:t>
            </w:r>
          </w:p>
        </w:tc>
        <w:tc>
          <w:tcPr>
            <w:tcW w:w="813" w:type="pct"/>
            <w:shd w:val="clear" w:color="auto" w:fill="auto"/>
          </w:tcPr>
          <w:p w:rsidR="00C93705" w:rsidRPr="007C2684" w:rsidRDefault="00C93705" w:rsidP="00B204B6">
            <w:pPr>
              <w:jc w:val="center"/>
              <w:rPr>
                <w:rFonts w:ascii="Arial Narrow" w:hAnsi="Arial Narrow"/>
                <w:b/>
                <w:sz w:val="18"/>
                <w:szCs w:val="18"/>
              </w:rPr>
            </w:pPr>
            <w:r w:rsidRPr="007C2684">
              <w:rPr>
                <w:rFonts w:ascii="Arial Narrow" w:hAnsi="Arial Narrow"/>
                <w:b/>
                <w:sz w:val="18"/>
                <w:szCs w:val="18"/>
              </w:rPr>
              <w:t>37.1 (7.9, 174.2)</w:t>
            </w:r>
          </w:p>
        </w:tc>
      </w:tr>
      <w:tr w:rsidR="00C93705" w:rsidRPr="00614F0A" w:rsidTr="00696349">
        <w:tc>
          <w:tcPr>
            <w:tcW w:w="2056" w:type="pct"/>
            <w:gridSpan w:val="4"/>
            <w:shd w:val="clear" w:color="auto" w:fill="auto"/>
            <w:vAlign w:val="center"/>
          </w:tcPr>
          <w:p w:rsidR="00C93705" w:rsidRPr="00614F0A" w:rsidRDefault="00C93705" w:rsidP="00B204B6">
            <w:pPr>
              <w:jc w:val="right"/>
              <w:rPr>
                <w:rFonts w:ascii="Arial Narrow" w:hAnsi="Arial Narrow"/>
                <w:sz w:val="18"/>
                <w:szCs w:val="18"/>
              </w:rPr>
            </w:pPr>
            <w:r w:rsidRPr="00614F0A">
              <w:rPr>
                <w:rFonts w:ascii="Arial Narrow" w:hAnsi="Arial Narrow"/>
                <w:sz w:val="18"/>
                <w:szCs w:val="18"/>
              </w:rPr>
              <w:t>Meta-analysis</w:t>
            </w:r>
            <w:r>
              <w:rPr>
                <w:rFonts w:ascii="Arial Narrow" w:hAnsi="Arial Narrow"/>
                <w:sz w:val="18"/>
                <w:szCs w:val="18"/>
              </w:rPr>
              <w:t xml:space="preserve"> – ADA v PBO</w:t>
            </w:r>
          </w:p>
        </w:tc>
        <w:tc>
          <w:tcPr>
            <w:tcW w:w="823"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0.61 (0.54, 0.67)</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1.7 (1.5, 1.9)</w:t>
            </w:r>
          </w:p>
        </w:tc>
        <w:tc>
          <w:tcPr>
            <w:tcW w:w="739" w:type="pct"/>
            <w:shd w:val="clear" w:color="auto" w:fill="auto"/>
            <w:vAlign w:val="center"/>
          </w:tcPr>
          <w:p w:rsidR="00C93705" w:rsidRPr="004376E7" w:rsidRDefault="00C93705" w:rsidP="00B204B6">
            <w:pPr>
              <w:jc w:val="center"/>
              <w:rPr>
                <w:rFonts w:ascii="Arial Narrow" w:hAnsi="Arial Narrow"/>
                <w:b/>
                <w:i/>
                <w:sz w:val="18"/>
                <w:szCs w:val="18"/>
              </w:rPr>
            </w:pPr>
            <w:r w:rsidRPr="004376E7">
              <w:rPr>
                <w:rFonts w:ascii="Arial Narrow" w:hAnsi="Arial Narrow"/>
                <w:b/>
                <w:i/>
                <w:sz w:val="18"/>
                <w:szCs w:val="18"/>
              </w:rPr>
              <w:t>8.6 (4.5, 16.6)</w:t>
            </w:r>
          </w:p>
        </w:tc>
        <w:tc>
          <w:tcPr>
            <w:tcW w:w="813" w:type="pct"/>
            <w:shd w:val="clear" w:color="auto" w:fill="auto"/>
          </w:tcPr>
          <w:p w:rsidR="00C93705" w:rsidRPr="007C2684" w:rsidRDefault="00C93705" w:rsidP="00B204B6">
            <w:pPr>
              <w:jc w:val="center"/>
              <w:rPr>
                <w:rFonts w:ascii="Arial Narrow" w:hAnsi="Arial Narrow"/>
                <w:b/>
                <w:sz w:val="18"/>
                <w:szCs w:val="18"/>
              </w:rPr>
            </w:pPr>
            <w:r w:rsidRPr="007C2684">
              <w:rPr>
                <w:rFonts w:ascii="Arial Narrow" w:hAnsi="Arial Narrow"/>
                <w:b/>
                <w:sz w:val="18"/>
                <w:szCs w:val="18"/>
              </w:rPr>
              <w:t>30.4 (21.2, 43.4)</w:t>
            </w:r>
          </w:p>
        </w:tc>
      </w:tr>
      <w:tr w:rsidR="00C93705" w:rsidRPr="00614F0A" w:rsidTr="00696349">
        <w:tc>
          <w:tcPr>
            <w:tcW w:w="5000" w:type="pct"/>
            <w:gridSpan w:val="8"/>
            <w:shd w:val="clear" w:color="auto" w:fill="auto"/>
          </w:tcPr>
          <w:p w:rsidR="00C93705" w:rsidRPr="00614F0A" w:rsidRDefault="00C93705" w:rsidP="00B204B6">
            <w:pPr>
              <w:jc w:val="left"/>
              <w:rPr>
                <w:rFonts w:ascii="Arial Narrow" w:hAnsi="Arial Narrow"/>
                <w:b/>
                <w:sz w:val="18"/>
                <w:szCs w:val="18"/>
              </w:rPr>
            </w:pPr>
            <w:r w:rsidRPr="00614F0A">
              <w:rPr>
                <w:rFonts w:ascii="Arial Narrow" w:hAnsi="Arial Narrow"/>
                <w:b/>
                <w:sz w:val="18"/>
                <w:szCs w:val="18"/>
              </w:rPr>
              <w:t>Infliximab</w:t>
            </w:r>
            <w:r>
              <w:rPr>
                <w:rFonts w:ascii="Arial Narrow" w:hAnsi="Arial Narrow"/>
                <w:b/>
                <w:sz w:val="18"/>
                <w:szCs w:val="18"/>
              </w:rPr>
              <w:t xml:space="preserve"> – 10 weeks</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IFX</w:t>
            </w:r>
            <w:r w:rsidRPr="00614F0A">
              <w:rPr>
                <w:rFonts w:ascii="Arial Narrow" w:hAnsi="Arial Narrow"/>
                <w:sz w:val="18"/>
                <w:szCs w:val="18"/>
                <w:vertAlign w:val="subscript"/>
              </w:rPr>
              <w:t>1</w:t>
            </w:r>
          </w:p>
        </w:tc>
        <w:tc>
          <w:tcPr>
            <w:tcW w:w="554" w:type="pct"/>
            <w:vMerge w:val="restart"/>
            <w:shd w:val="clear" w:color="auto" w:fill="auto"/>
            <w:vAlign w:val="center"/>
          </w:tcPr>
          <w:p w:rsidR="00C93705" w:rsidRPr="00614F0A" w:rsidRDefault="00C93705" w:rsidP="00B204B6">
            <w:pPr>
              <w:jc w:val="center"/>
              <w:rPr>
                <w:rFonts w:ascii="Arial Narrow" w:hAnsi="Arial Narrow"/>
                <w:sz w:val="18"/>
                <w:szCs w:val="18"/>
              </w:rPr>
            </w:pPr>
            <w:r w:rsidRPr="00614F0A">
              <w:rPr>
                <w:rFonts w:ascii="Arial Narrow" w:hAnsi="Arial Narrow"/>
                <w:sz w:val="18"/>
                <w:szCs w:val="18"/>
              </w:rPr>
              <w:t>IFX v PBO</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87/99 (87.9)</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3/51 (5.9)</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0.82 (0.70, 0.89)</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1.2 (1.1, 1.4)</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14.9 (5.5, 43.6)</w:t>
            </w:r>
          </w:p>
        </w:tc>
        <w:tc>
          <w:tcPr>
            <w:tcW w:w="813" w:type="pct"/>
            <w:shd w:val="clear" w:color="auto" w:fill="auto"/>
          </w:tcPr>
          <w:p w:rsidR="00C93705" w:rsidRPr="00B1056F" w:rsidRDefault="00C93705" w:rsidP="00B204B6">
            <w:pPr>
              <w:jc w:val="center"/>
              <w:rPr>
                <w:rFonts w:ascii="Arial Narrow" w:hAnsi="Arial Narrow"/>
                <w:b/>
                <w:sz w:val="18"/>
                <w:szCs w:val="18"/>
              </w:rPr>
            </w:pPr>
            <w:r w:rsidRPr="00B1056F">
              <w:rPr>
                <w:rFonts w:ascii="Arial Narrow" w:hAnsi="Arial Narrow"/>
                <w:b/>
                <w:sz w:val="18"/>
                <w:szCs w:val="18"/>
              </w:rPr>
              <w:t>116.0 (31.2, 431.3)</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IFX</w:t>
            </w:r>
            <w:r w:rsidRPr="00614F0A">
              <w:rPr>
                <w:rFonts w:ascii="Arial Narrow" w:hAnsi="Arial Narrow"/>
                <w:sz w:val="18"/>
                <w:szCs w:val="18"/>
                <w:vertAlign w:val="subscript"/>
              </w:rPr>
              <w:t>2</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242/301 (80.4)</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2/77 (2.6)</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0.78 (0.70, 0.83)</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1.3 (1.2, 1.4)</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31.0 (8.9, 112.5)</w:t>
            </w:r>
          </w:p>
        </w:tc>
        <w:tc>
          <w:tcPr>
            <w:tcW w:w="813" w:type="pct"/>
            <w:shd w:val="clear" w:color="auto" w:fill="auto"/>
          </w:tcPr>
          <w:p w:rsidR="00C93705" w:rsidRPr="00B1056F" w:rsidRDefault="00C93705" w:rsidP="00B204B6">
            <w:pPr>
              <w:jc w:val="center"/>
              <w:rPr>
                <w:rFonts w:ascii="Arial Narrow" w:hAnsi="Arial Narrow"/>
                <w:b/>
                <w:sz w:val="18"/>
                <w:szCs w:val="18"/>
              </w:rPr>
            </w:pPr>
            <w:r w:rsidRPr="00B1056F">
              <w:rPr>
                <w:rFonts w:ascii="Arial Narrow" w:hAnsi="Arial Narrow"/>
                <w:b/>
                <w:sz w:val="18"/>
                <w:szCs w:val="18"/>
              </w:rPr>
              <w:t>141.5 (33.7, 593.9)</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IFX</w:t>
            </w:r>
            <w:r w:rsidRPr="00614F0A">
              <w:rPr>
                <w:rFonts w:ascii="Arial Narrow" w:hAnsi="Arial Narrow"/>
                <w:sz w:val="18"/>
                <w:szCs w:val="18"/>
                <w:vertAlign w:val="subscript"/>
              </w:rPr>
              <w:t>3</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237/314 (75.5)</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4/208 (1.9)</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0.74 (0.68, 0.78)</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sidRPr="00076653">
              <w:rPr>
                <w:rFonts w:ascii="Arial Narrow" w:hAnsi="Arial Narrow"/>
                <w:b/>
                <w:i/>
                <w:sz w:val="18"/>
                <w:szCs w:val="18"/>
              </w:rPr>
              <w:t>1.4 (1.3, 1.5)</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39.5 (15.6, 100.8)</w:t>
            </w:r>
          </w:p>
        </w:tc>
        <w:tc>
          <w:tcPr>
            <w:tcW w:w="813" w:type="pct"/>
            <w:shd w:val="clear" w:color="auto" w:fill="auto"/>
          </w:tcPr>
          <w:p w:rsidR="00C93705" w:rsidRPr="00B1056F" w:rsidRDefault="00C93705" w:rsidP="00B204B6">
            <w:pPr>
              <w:jc w:val="center"/>
              <w:rPr>
                <w:rFonts w:ascii="Arial Narrow" w:hAnsi="Arial Narrow"/>
                <w:b/>
                <w:sz w:val="18"/>
                <w:szCs w:val="18"/>
              </w:rPr>
            </w:pPr>
            <w:r w:rsidRPr="00B1056F">
              <w:rPr>
                <w:rFonts w:ascii="Arial Narrow" w:hAnsi="Arial Narrow"/>
                <w:b/>
                <w:sz w:val="18"/>
                <w:szCs w:val="18"/>
              </w:rPr>
              <w:t>157.0 (56.5, 436.4)</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IFX</w:t>
            </w:r>
            <w:r w:rsidRPr="00614F0A">
              <w:rPr>
                <w:rFonts w:ascii="Arial Narrow" w:hAnsi="Arial Narrow"/>
                <w:sz w:val="18"/>
                <w:szCs w:val="18"/>
                <w:vertAlign w:val="subscript"/>
              </w:rPr>
              <w:t>4</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24/35 (68.6)</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0/19 (0.0)</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0.69 (0.49, 0.82)</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Pr>
                <w:rFonts w:ascii="Arial Narrow" w:hAnsi="Arial Narrow"/>
                <w:b/>
                <w:i/>
                <w:sz w:val="18"/>
                <w:szCs w:val="18"/>
              </w:rPr>
              <w:t>1.4 (1.2, 2.0)</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27.2 (4.0, ∞)</w:t>
            </w:r>
          </w:p>
        </w:tc>
        <w:tc>
          <w:tcPr>
            <w:tcW w:w="813" w:type="pct"/>
            <w:shd w:val="clear" w:color="auto" w:fill="auto"/>
          </w:tcPr>
          <w:p w:rsidR="00C93705" w:rsidRPr="00B1056F" w:rsidRDefault="00C93705" w:rsidP="00B204B6">
            <w:pPr>
              <w:jc w:val="center"/>
              <w:rPr>
                <w:rFonts w:ascii="Arial Narrow" w:hAnsi="Arial Narrow"/>
                <w:b/>
                <w:sz w:val="18"/>
                <w:szCs w:val="18"/>
              </w:rPr>
            </w:pPr>
            <w:r w:rsidRPr="00B1056F">
              <w:rPr>
                <w:rFonts w:ascii="Arial Narrow" w:hAnsi="Arial Narrow"/>
                <w:b/>
                <w:sz w:val="18"/>
                <w:szCs w:val="18"/>
              </w:rPr>
              <w:t>83.1 (4.6, 1500.0)</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sz w:val="18"/>
                <w:szCs w:val="18"/>
                <w:vertAlign w:val="subscript"/>
              </w:rPr>
            </w:pPr>
            <w:r w:rsidRPr="00614F0A">
              <w:rPr>
                <w:rFonts w:ascii="Arial Narrow" w:hAnsi="Arial Narrow"/>
                <w:sz w:val="18"/>
                <w:szCs w:val="18"/>
              </w:rPr>
              <w:t>IFX</w:t>
            </w:r>
            <w:r w:rsidRPr="00614F0A">
              <w:rPr>
                <w:rFonts w:ascii="Arial Narrow" w:hAnsi="Arial Narrow"/>
                <w:sz w:val="18"/>
                <w:szCs w:val="18"/>
                <w:vertAlign w:val="subscript"/>
              </w:rPr>
              <w:t>5</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68/84 (81.0)</w:t>
            </w:r>
          </w:p>
        </w:tc>
        <w:tc>
          <w:tcPr>
            <w:tcW w:w="711" w:type="pct"/>
            <w:shd w:val="clear" w:color="auto" w:fill="auto"/>
            <w:vAlign w:val="center"/>
          </w:tcPr>
          <w:p w:rsidR="00C93705" w:rsidRPr="00614F0A" w:rsidRDefault="00C93705" w:rsidP="00B204B6">
            <w:pPr>
              <w:jc w:val="center"/>
              <w:rPr>
                <w:rFonts w:ascii="Arial Narrow" w:hAnsi="Arial Narrow"/>
                <w:sz w:val="18"/>
                <w:szCs w:val="18"/>
              </w:rPr>
            </w:pPr>
            <w:r>
              <w:rPr>
                <w:rFonts w:ascii="Arial Narrow" w:hAnsi="Arial Narrow"/>
                <w:sz w:val="18"/>
                <w:szCs w:val="18"/>
              </w:rPr>
              <w:t>1/45 (2.2)</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0.79 (0.67, 0.86)</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Pr>
                <w:rFonts w:ascii="Arial Narrow" w:hAnsi="Arial Narrow"/>
                <w:b/>
                <w:i/>
                <w:sz w:val="18"/>
                <w:szCs w:val="18"/>
              </w:rPr>
              <w:t>1.3 (1.2, 1.5)</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36.4 (7.0, 206.2)</w:t>
            </w:r>
          </w:p>
        </w:tc>
        <w:tc>
          <w:tcPr>
            <w:tcW w:w="813" w:type="pct"/>
            <w:shd w:val="clear" w:color="auto" w:fill="auto"/>
          </w:tcPr>
          <w:p w:rsidR="00C93705" w:rsidRPr="00B1056F" w:rsidRDefault="00C93705" w:rsidP="00B204B6">
            <w:pPr>
              <w:jc w:val="center"/>
              <w:rPr>
                <w:rFonts w:ascii="Arial Narrow" w:hAnsi="Arial Narrow"/>
                <w:b/>
                <w:sz w:val="18"/>
                <w:szCs w:val="18"/>
              </w:rPr>
            </w:pPr>
            <w:r w:rsidRPr="00B1056F">
              <w:rPr>
                <w:rFonts w:ascii="Arial Narrow" w:hAnsi="Arial Narrow"/>
                <w:b/>
                <w:sz w:val="18"/>
                <w:szCs w:val="18"/>
              </w:rPr>
              <w:t>187.0 (23.9, 1461)</w:t>
            </w:r>
          </w:p>
        </w:tc>
      </w:tr>
      <w:tr w:rsidR="00C93705" w:rsidRPr="00614F0A" w:rsidTr="00696349">
        <w:tc>
          <w:tcPr>
            <w:tcW w:w="79" w:type="pct"/>
            <w:shd w:val="clear" w:color="auto" w:fill="auto"/>
            <w:vAlign w:val="center"/>
          </w:tcPr>
          <w:p w:rsidR="00C93705" w:rsidRPr="00614F0A" w:rsidRDefault="00C93705" w:rsidP="00B204B6">
            <w:pPr>
              <w:ind w:right="-108"/>
              <w:jc w:val="left"/>
              <w:rPr>
                <w:rFonts w:ascii="Arial Narrow" w:hAnsi="Arial Narrow"/>
                <w:i/>
                <w:sz w:val="18"/>
                <w:szCs w:val="18"/>
                <w:vertAlign w:val="subscript"/>
              </w:rPr>
            </w:pPr>
            <w:r w:rsidRPr="00614F0A">
              <w:rPr>
                <w:rFonts w:ascii="Arial Narrow" w:hAnsi="Arial Narrow"/>
                <w:i/>
                <w:sz w:val="18"/>
                <w:szCs w:val="18"/>
              </w:rPr>
              <w:t>IFX</w:t>
            </w:r>
            <w:r w:rsidRPr="00614F0A">
              <w:rPr>
                <w:rFonts w:ascii="Arial Narrow" w:hAnsi="Arial Narrow"/>
                <w:i/>
                <w:sz w:val="18"/>
                <w:szCs w:val="18"/>
                <w:vertAlign w:val="subscript"/>
              </w:rPr>
              <w:t>6</w:t>
            </w:r>
          </w:p>
        </w:tc>
        <w:tc>
          <w:tcPr>
            <w:tcW w:w="554" w:type="pct"/>
            <w:vMerge/>
            <w:shd w:val="clear" w:color="auto" w:fill="auto"/>
          </w:tcPr>
          <w:p w:rsidR="00C93705" w:rsidRPr="00614F0A" w:rsidRDefault="00C93705" w:rsidP="00B204B6">
            <w:pPr>
              <w:jc w:val="center"/>
              <w:rPr>
                <w:rFonts w:ascii="Arial Narrow" w:hAnsi="Arial Narrow"/>
                <w:sz w:val="18"/>
                <w:szCs w:val="18"/>
              </w:rPr>
            </w:pPr>
          </w:p>
        </w:tc>
        <w:tc>
          <w:tcPr>
            <w:tcW w:w="711" w:type="pct"/>
            <w:shd w:val="clear" w:color="auto" w:fill="auto"/>
            <w:vAlign w:val="center"/>
          </w:tcPr>
          <w:p w:rsidR="00C93705" w:rsidRPr="00B118D4" w:rsidRDefault="00C93705" w:rsidP="00B204B6">
            <w:pPr>
              <w:jc w:val="center"/>
              <w:rPr>
                <w:rFonts w:ascii="Arial Narrow" w:hAnsi="Arial Narrow"/>
                <w:i/>
                <w:sz w:val="18"/>
                <w:szCs w:val="18"/>
              </w:rPr>
            </w:pPr>
            <w:r w:rsidRPr="00B118D4">
              <w:rPr>
                <w:rFonts w:ascii="Arial Narrow" w:hAnsi="Arial Narrow"/>
                <w:i/>
                <w:sz w:val="18"/>
                <w:szCs w:val="18"/>
              </w:rPr>
              <w:t>9/11 (81.8)</w:t>
            </w:r>
          </w:p>
        </w:tc>
        <w:tc>
          <w:tcPr>
            <w:tcW w:w="711" w:type="pct"/>
            <w:shd w:val="clear" w:color="auto" w:fill="auto"/>
            <w:vAlign w:val="center"/>
          </w:tcPr>
          <w:p w:rsidR="00C93705" w:rsidRPr="00B118D4" w:rsidRDefault="00C93705" w:rsidP="00B204B6">
            <w:pPr>
              <w:jc w:val="center"/>
              <w:rPr>
                <w:rFonts w:ascii="Arial Narrow" w:hAnsi="Arial Narrow"/>
                <w:i/>
                <w:sz w:val="18"/>
                <w:szCs w:val="18"/>
              </w:rPr>
            </w:pPr>
            <w:r w:rsidRPr="00B118D4">
              <w:rPr>
                <w:rFonts w:ascii="Arial Narrow" w:hAnsi="Arial Narrow"/>
                <w:i/>
                <w:sz w:val="18"/>
                <w:szCs w:val="18"/>
              </w:rPr>
              <w:t>2/11 (18.2)</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0.64 (0.22, 0.86)</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Pr>
                <w:rFonts w:ascii="Arial Narrow" w:hAnsi="Arial Narrow"/>
                <w:b/>
                <w:i/>
                <w:sz w:val="18"/>
                <w:szCs w:val="18"/>
              </w:rPr>
              <w:t>1.6 (1.2, 4.5)</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4.5 (1.6, 16.3)</w:t>
            </w:r>
          </w:p>
        </w:tc>
        <w:tc>
          <w:tcPr>
            <w:tcW w:w="813" w:type="pct"/>
            <w:shd w:val="clear" w:color="auto" w:fill="auto"/>
          </w:tcPr>
          <w:p w:rsidR="00C93705" w:rsidRPr="00B1056F" w:rsidRDefault="00C93705" w:rsidP="00B204B6">
            <w:pPr>
              <w:jc w:val="center"/>
              <w:rPr>
                <w:rFonts w:ascii="Arial Narrow" w:hAnsi="Arial Narrow"/>
                <w:b/>
                <w:i/>
                <w:sz w:val="18"/>
                <w:szCs w:val="18"/>
              </w:rPr>
            </w:pPr>
            <w:r w:rsidRPr="00B1056F">
              <w:rPr>
                <w:rFonts w:ascii="Arial Narrow" w:hAnsi="Arial Narrow"/>
                <w:b/>
                <w:i/>
                <w:sz w:val="18"/>
                <w:szCs w:val="18"/>
              </w:rPr>
              <w:t>20.3 (1.7, 293.5)</w:t>
            </w:r>
          </w:p>
        </w:tc>
      </w:tr>
      <w:tr w:rsidR="00C93705" w:rsidRPr="00614F0A" w:rsidTr="00696349">
        <w:tc>
          <w:tcPr>
            <w:tcW w:w="2056" w:type="pct"/>
            <w:gridSpan w:val="4"/>
            <w:shd w:val="clear" w:color="auto" w:fill="auto"/>
            <w:vAlign w:val="center"/>
          </w:tcPr>
          <w:p w:rsidR="00C93705" w:rsidRPr="00614F0A" w:rsidRDefault="00C93705" w:rsidP="00B204B6">
            <w:pPr>
              <w:jc w:val="right"/>
              <w:rPr>
                <w:rFonts w:ascii="Arial Narrow" w:hAnsi="Arial Narrow"/>
                <w:sz w:val="18"/>
                <w:szCs w:val="18"/>
              </w:rPr>
            </w:pPr>
            <w:r w:rsidRPr="00614F0A">
              <w:rPr>
                <w:rFonts w:ascii="Arial Narrow" w:hAnsi="Arial Narrow"/>
                <w:sz w:val="18"/>
                <w:szCs w:val="18"/>
              </w:rPr>
              <w:t>Meta-analysis</w:t>
            </w:r>
            <w:r>
              <w:rPr>
                <w:rFonts w:ascii="Arial Narrow" w:hAnsi="Arial Narrow"/>
                <w:sz w:val="18"/>
                <w:szCs w:val="18"/>
              </w:rPr>
              <w:t xml:space="preserve"> – IFX v PBO</w:t>
            </w:r>
            <w:r w:rsidRPr="00614F0A">
              <w:rPr>
                <w:rFonts w:ascii="Arial Narrow" w:hAnsi="Arial Narrow"/>
                <w:sz w:val="18"/>
                <w:szCs w:val="18"/>
              </w:rPr>
              <w:t xml:space="preserve"> </w:t>
            </w:r>
          </w:p>
        </w:tc>
        <w:tc>
          <w:tcPr>
            <w:tcW w:w="823"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0.76 (0.73, 0.79)</w:t>
            </w:r>
          </w:p>
        </w:tc>
        <w:tc>
          <w:tcPr>
            <w:tcW w:w="569" w:type="pct"/>
            <w:shd w:val="clear" w:color="auto" w:fill="auto"/>
            <w:vAlign w:val="center"/>
          </w:tcPr>
          <w:p w:rsidR="00C93705" w:rsidRPr="00076653" w:rsidRDefault="00C93705" w:rsidP="00B204B6">
            <w:pPr>
              <w:jc w:val="center"/>
              <w:rPr>
                <w:rFonts w:ascii="Arial Narrow" w:hAnsi="Arial Narrow"/>
                <w:b/>
                <w:i/>
                <w:sz w:val="18"/>
                <w:szCs w:val="18"/>
              </w:rPr>
            </w:pPr>
            <w:r>
              <w:rPr>
                <w:rFonts w:ascii="Arial Narrow" w:hAnsi="Arial Narrow"/>
                <w:b/>
                <w:i/>
                <w:sz w:val="18"/>
                <w:szCs w:val="18"/>
              </w:rPr>
              <w:t>1.3 (1.3, 1.4)</w:t>
            </w:r>
          </w:p>
        </w:tc>
        <w:tc>
          <w:tcPr>
            <w:tcW w:w="739" w:type="pct"/>
            <w:shd w:val="clear" w:color="auto" w:fill="auto"/>
            <w:vAlign w:val="center"/>
          </w:tcPr>
          <w:p w:rsidR="00C93705" w:rsidRPr="00B118D4" w:rsidRDefault="00C93705" w:rsidP="00B204B6">
            <w:pPr>
              <w:jc w:val="center"/>
              <w:rPr>
                <w:rFonts w:ascii="Arial Narrow" w:hAnsi="Arial Narrow"/>
                <w:b/>
                <w:i/>
                <w:sz w:val="18"/>
                <w:szCs w:val="18"/>
              </w:rPr>
            </w:pPr>
            <w:r w:rsidRPr="00B118D4">
              <w:rPr>
                <w:rFonts w:ascii="Arial Narrow" w:hAnsi="Arial Narrow"/>
                <w:b/>
                <w:i/>
                <w:sz w:val="18"/>
                <w:szCs w:val="18"/>
              </w:rPr>
              <w:t>19.7 (9.1, 42.7)</w:t>
            </w:r>
          </w:p>
        </w:tc>
        <w:tc>
          <w:tcPr>
            <w:tcW w:w="813" w:type="pct"/>
            <w:shd w:val="clear" w:color="auto" w:fill="auto"/>
          </w:tcPr>
          <w:p w:rsidR="00C93705" w:rsidRPr="00B1056F" w:rsidRDefault="00C93705" w:rsidP="00B204B6">
            <w:pPr>
              <w:jc w:val="center"/>
              <w:rPr>
                <w:rFonts w:ascii="Arial Narrow" w:hAnsi="Arial Narrow"/>
                <w:b/>
                <w:i/>
                <w:sz w:val="18"/>
                <w:szCs w:val="18"/>
              </w:rPr>
            </w:pPr>
            <w:r w:rsidRPr="00B1056F">
              <w:rPr>
                <w:rFonts w:ascii="Arial Narrow" w:hAnsi="Arial Narrow"/>
                <w:b/>
                <w:i/>
                <w:sz w:val="18"/>
                <w:szCs w:val="18"/>
              </w:rPr>
              <w:t>121.9 (65.5, 266.8)</w:t>
            </w:r>
          </w:p>
        </w:tc>
      </w:tr>
    </w:tbl>
    <w:p w:rsidR="00C93705" w:rsidRDefault="00C93705" w:rsidP="00696349">
      <w:pPr>
        <w:pStyle w:val="TableFooter"/>
        <w:ind w:left="709"/>
      </w:pPr>
      <w:r w:rsidRPr="00D13A3E">
        <w:t xml:space="preserve">Source: </w:t>
      </w:r>
      <w:r>
        <w:t>Table 38, p117; Table 67, p174; Table 72, p182; Figure 17, p183 of the submission</w:t>
      </w:r>
    </w:p>
    <w:p w:rsidR="00C93705" w:rsidRDefault="00C93705" w:rsidP="00696349">
      <w:pPr>
        <w:pStyle w:val="TableFooter"/>
        <w:ind w:left="709"/>
      </w:pPr>
      <w:r>
        <w:t>Bold typography indicates statistically significant differences</w:t>
      </w:r>
    </w:p>
    <w:p w:rsidR="00C93705" w:rsidRDefault="00C93705" w:rsidP="00696349">
      <w:pPr>
        <w:pStyle w:val="TableFooter"/>
        <w:ind w:left="709"/>
        <w:rPr>
          <w:i/>
        </w:rPr>
      </w:pPr>
      <w:r w:rsidRPr="0042030C">
        <w:rPr>
          <w:i/>
        </w:rPr>
        <w:t>RR and RD estimated during the evaluation using StatsDirect</w:t>
      </w:r>
      <w:r>
        <w:rPr>
          <w:i/>
        </w:rPr>
        <w:t>, NNT calculated during the evaluation as 1/RD.  It is acknowledged that NNT should be whole numbers, however given the high response rates there was no delineation between the point estimates and 95% CIs.</w:t>
      </w:r>
    </w:p>
    <w:p w:rsidR="00151E15" w:rsidRPr="0042030C" w:rsidRDefault="00151E15" w:rsidP="00696349">
      <w:pPr>
        <w:pStyle w:val="TableFooter"/>
        <w:ind w:left="709"/>
        <w:rPr>
          <w:i/>
        </w:rPr>
      </w:pPr>
    </w:p>
    <w:p w:rsidR="00FD5C3A" w:rsidRPr="00C93705" w:rsidRDefault="00C93705" w:rsidP="00C93705">
      <w:pPr>
        <w:pStyle w:val="ListParagraph"/>
        <w:numPr>
          <w:ilvl w:val="1"/>
          <w:numId w:val="7"/>
        </w:numPr>
        <w:rPr>
          <w:szCs w:val="22"/>
        </w:rPr>
      </w:pPr>
      <w:r w:rsidRPr="00C93705">
        <w:rPr>
          <w:szCs w:val="22"/>
        </w:rPr>
        <w:t>The results of the direct comparisons indicate</w:t>
      </w:r>
      <w:r w:rsidR="00EC5E63">
        <w:rPr>
          <w:szCs w:val="22"/>
        </w:rPr>
        <w:t>d</w:t>
      </w:r>
      <w:r w:rsidRPr="00C93705">
        <w:rPr>
          <w:szCs w:val="22"/>
        </w:rPr>
        <w:t xml:space="preserve"> that a statistically significantly greater proportion of patients achie</w:t>
      </w:r>
      <w:r w:rsidR="00EC5E63">
        <w:rPr>
          <w:szCs w:val="22"/>
        </w:rPr>
        <w:t>ve PASI 75 when treated with any bDMARD</w:t>
      </w:r>
      <w:r w:rsidRPr="00C93705">
        <w:rPr>
          <w:szCs w:val="22"/>
        </w:rPr>
        <w:t xml:space="preserve"> at the TGA-approved doses compared with placebo</w:t>
      </w:r>
      <w:r w:rsidR="00633071">
        <w:rPr>
          <w:szCs w:val="22"/>
        </w:rPr>
        <w:t>.</w:t>
      </w:r>
      <w:r w:rsidRPr="00C93705">
        <w:rPr>
          <w:szCs w:val="22"/>
        </w:rPr>
        <w:t xml:space="preserve"> </w:t>
      </w:r>
      <w:r w:rsidR="00633071">
        <w:rPr>
          <w:szCs w:val="22"/>
        </w:rPr>
        <w:t>A</w:t>
      </w:r>
      <w:r w:rsidRPr="00C93705">
        <w:rPr>
          <w:szCs w:val="22"/>
        </w:rPr>
        <w:t xml:space="preserve"> statistically significantly greater proportion of patients achieve PASI 75 when treated with secukinumab and ustekinumab compared with etanercept 100</w:t>
      </w:r>
      <w:r>
        <w:rPr>
          <w:szCs w:val="22"/>
        </w:rPr>
        <w:t xml:space="preserve"> </w:t>
      </w:r>
      <w:r w:rsidRPr="00C93705">
        <w:rPr>
          <w:szCs w:val="22"/>
        </w:rPr>
        <w:t xml:space="preserve">mg weekly.  </w:t>
      </w:r>
    </w:p>
    <w:p w:rsidR="00FD5C3A" w:rsidRDefault="00FD5C3A" w:rsidP="0098415A">
      <w:pPr>
        <w:ind w:left="709" w:firstLine="11"/>
        <w:rPr>
          <w:rStyle w:val="CommentReference"/>
          <w:rFonts w:ascii="Arial" w:hAnsi="Arial"/>
          <w:b w:val="0"/>
          <w:sz w:val="22"/>
          <w:szCs w:val="22"/>
        </w:rPr>
      </w:pPr>
    </w:p>
    <w:p w:rsidR="00C93705" w:rsidRPr="00677A8D" w:rsidRDefault="00C93705" w:rsidP="00C93705">
      <w:pPr>
        <w:pStyle w:val="ListParagraph"/>
        <w:numPr>
          <w:ilvl w:val="1"/>
          <w:numId w:val="7"/>
        </w:numPr>
        <w:rPr>
          <w:szCs w:val="22"/>
        </w:rPr>
      </w:pPr>
      <w:r w:rsidRPr="00C93705">
        <w:rPr>
          <w:szCs w:val="22"/>
        </w:rPr>
        <w:t>The results of the indirect comparisons presented as odd ratios are further summarised in the table below; where (i) a tick (√) indicates that a statistically significantly greater proportion of patients achieved PASI 75 response, favouring secukinumab 300</w:t>
      </w:r>
      <w:r w:rsidR="00677A8D">
        <w:rPr>
          <w:szCs w:val="22"/>
        </w:rPr>
        <w:t xml:space="preserve"> </w:t>
      </w:r>
      <w:r w:rsidRPr="00C93705">
        <w:rPr>
          <w:szCs w:val="22"/>
        </w:rPr>
        <w:t>mg at 12 weeks or (ii) no statistically significant (NS) differences were observed between treatments in the proportion of patients achieving PASI 75 response.  N/A denotes that the comparison was not applicable.</w:t>
      </w:r>
    </w:p>
    <w:p w:rsidR="00C93705" w:rsidRDefault="00C93705" w:rsidP="00C93705">
      <w:pPr>
        <w:pStyle w:val="ListParagraph"/>
        <w:rPr>
          <w:szCs w:val="22"/>
        </w:rPr>
      </w:pPr>
    </w:p>
    <w:p w:rsidR="00C25910" w:rsidRPr="00C93705" w:rsidRDefault="00C25910" w:rsidP="00C93705">
      <w:pPr>
        <w:pStyle w:val="ListParagraph"/>
        <w:rPr>
          <w:szCs w:val="22"/>
        </w:rPr>
      </w:pPr>
      <w:r w:rsidRPr="00503D97">
        <w:rPr>
          <w:rStyle w:val="CommentReference"/>
        </w:rPr>
        <w:t>Statistically significantly greater proportion of patients achieved PASI 75 response</w:t>
      </w:r>
    </w:p>
    <w:tbl>
      <w:tblPr>
        <w:tblStyle w:val="TableGrid1"/>
        <w:tblW w:w="0" w:type="auto"/>
        <w:tblInd w:w="720" w:type="dxa"/>
        <w:tblCellMar>
          <w:left w:w="28" w:type="dxa"/>
          <w:right w:w="28" w:type="dxa"/>
        </w:tblCellMar>
        <w:tblLook w:val="04A0" w:firstRow="1" w:lastRow="0" w:firstColumn="1" w:lastColumn="0" w:noHBand="0" w:noVBand="1"/>
      </w:tblPr>
      <w:tblGrid>
        <w:gridCol w:w="2143"/>
        <w:gridCol w:w="1036"/>
        <w:gridCol w:w="1037"/>
        <w:gridCol w:w="1036"/>
        <w:gridCol w:w="1037"/>
        <w:gridCol w:w="1036"/>
        <w:gridCol w:w="1037"/>
      </w:tblGrid>
      <w:tr w:rsidR="00C93705" w:rsidRPr="00C93705" w:rsidTr="00696349">
        <w:trPr>
          <w:trHeight w:val="229"/>
        </w:trPr>
        <w:tc>
          <w:tcPr>
            <w:tcW w:w="2143" w:type="dxa"/>
            <w:vMerge w:val="restart"/>
            <w:vAlign w:val="center"/>
          </w:tcPr>
          <w:p w:rsidR="00C93705" w:rsidRPr="00C93705" w:rsidRDefault="00C93705" w:rsidP="00C93705">
            <w:pPr>
              <w:widowControl/>
              <w:jc w:val="left"/>
              <w:rPr>
                <w:rFonts w:ascii="Arial Narrow" w:hAnsi="Arial Narrow"/>
                <w:b/>
                <w:sz w:val="20"/>
              </w:rPr>
            </w:pPr>
            <w:r w:rsidRPr="00C93705">
              <w:rPr>
                <w:rFonts w:ascii="Arial Narrow" w:hAnsi="Arial Narrow"/>
                <w:b/>
                <w:sz w:val="20"/>
              </w:rPr>
              <w:t xml:space="preserve">Comparison </w:t>
            </w:r>
          </w:p>
        </w:tc>
        <w:tc>
          <w:tcPr>
            <w:tcW w:w="6219" w:type="dxa"/>
            <w:gridSpan w:val="6"/>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Common reference</w:t>
            </w:r>
          </w:p>
        </w:tc>
      </w:tr>
      <w:tr w:rsidR="00C93705" w:rsidRPr="00C93705" w:rsidTr="00696349">
        <w:trPr>
          <w:trHeight w:val="229"/>
        </w:trPr>
        <w:tc>
          <w:tcPr>
            <w:tcW w:w="2143" w:type="dxa"/>
            <w:vMerge/>
          </w:tcPr>
          <w:p w:rsidR="00C93705" w:rsidRPr="00C93705" w:rsidRDefault="00C93705" w:rsidP="00C93705">
            <w:pPr>
              <w:widowControl/>
              <w:jc w:val="left"/>
              <w:rPr>
                <w:rFonts w:ascii="Arial Narrow" w:hAnsi="Arial Narrow"/>
                <w:b/>
                <w:sz w:val="20"/>
              </w:rPr>
            </w:pPr>
          </w:p>
        </w:tc>
        <w:tc>
          <w:tcPr>
            <w:tcW w:w="3109" w:type="dxa"/>
            <w:gridSpan w:val="3"/>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Etanercept</w:t>
            </w:r>
          </w:p>
        </w:tc>
        <w:tc>
          <w:tcPr>
            <w:tcW w:w="3110" w:type="dxa"/>
            <w:gridSpan w:val="3"/>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Placebo</w:t>
            </w:r>
          </w:p>
        </w:tc>
      </w:tr>
      <w:tr w:rsidR="00C93705" w:rsidRPr="00C93705" w:rsidTr="00696349">
        <w:trPr>
          <w:trHeight w:val="229"/>
        </w:trPr>
        <w:tc>
          <w:tcPr>
            <w:tcW w:w="2143" w:type="dxa"/>
            <w:vMerge/>
          </w:tcPr>
          <w:p w:rsidR="00C93705" w:rsidRPr="00C93705" w:rsidRDefault="00C93705" w:rsidP="00C93705">
            <w:pPr>
              <w:widowControl/>
              <w:jc w:val="left"/>
              <w:rPr>
                <w:rFonts w:ascii="Arial Narrow" w:hAnsi="Arial Narrow"/>
                <w:b/>
                <w:sz w:val="20"/>
              </w:rPr>
            </w:pPr>
          </w:p>
        </w:tc>
        <w:tc>
          <w:tcPr>
            <w:tcW w:w="1036" w:type="dxa"/>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SEC - All</w:t>
            </w:r>
          </w:p>
        </w:tc>
        <w:tc>
          <w:tcPr>
            <w:tcW w:w="1037" w:type="dxa"/>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SEC ≤100kg</w:t>
            </w:r>
          </w:p>
        </w:tc>
        <w:tc>
          <w:tcPr>
            <w:tcW w:w="1036" w:type="dxa"/>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SEC &gt;100kg</w:t>
            </w:r>
          </w:p>
        </w:tc>
        <w:tc>
          <w:tcPr>
            <w:tcW w:w="1037" w:type="dxa"/>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SEC - All</w:t>
            </w:r>
          </w:p>
        </w:tc>
        <w:tc>
          <w:tcPr>
            <w:tcW w:w="1036" w:type="dxa"/>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SEC ≤100kg</w:t>
            </w:r>
          </w:p>
        </w:tc>
        <w:tc>
          <w:tcPr>
            <w:tcW w:w="1037" w:type="dxa"/>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SEC &gt;100kg</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UST45 – all (12 weeks)</w:t>
            </w:r>
          </w:p>
        </w:tc>
        <w:tc>
          <w:tcPr>
            <w:tcW w:w="1036"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gency FB" w:hAnsi="Agency FB"/>
                <w:b/>
                <w:sz w:val="20"/>
              </w:rPr>
              <w:t>√</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sz w:val="20"/>
              </w:rPr>
            </w:pPr>
            <w:r w:rsidRPr="00C93705">
              <w:rPr>
                <w:rFonts w:ascii="Agency FB" w:hAnsi="Agency FB"/>
                <w:b/>
                <w:sz w:val="20"/>
              </w:rPr>
              <w:t>√</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UST90 – all (12 weeks)</w:t>
            </w:r>
          </w:p>
        </w:tc>
        <w:tc>
          <w:tcPr>
            <w:tcW w:w="1036"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gency FB" w:hAnsi="Agency FB"/>
                <w:b/>
                <w:sz w:val="20"/>
              </w:rPr>
              <w:t>√</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NS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UST 45&amp;90 – all (12 weeks)</w:t>
            </w:r>
          </w:p>
        </w:tc>
        <w:tc>
          <w:tcPr>
            <w:tcW w:w="1036"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gency FB" w:hAnsi="Agency FB"/>
                <w:b/>
                <w:sz w:val="20"/>
              </w:rPr>
              <w:t>√</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NS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UST45 ≤100kg (12 weeks)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gency FB" w:hAnsi="Agency FB"/>
                <w:b/>
                <w:sz w:val="20"/>
              </w:rPr>
              <w:t>√</w:t>
            </w:r>
          </w:p>
        </w:tc>
        <w:tc>
          <w:tcPr>
            <w:tcW w:w="1036" w:type="dxa"/>
            <w:vAlign w:val="center"/>
          </w:tcPr>
          <w:p w:rsidR="00C93705" w:rsidRPr="00C93705" w:rsidRDefault="00C93705" w:rsidP="00C93705">
            <w:pPr>
              <w:widowControl/>
              <w:jc w:val="center"/>
              <w:rPr>
                <w:rFonts w:ascii="Arial Narrow" w:hAnsi="Arial Narrow"/>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shd w:val="clear" w:color="auto" w:fill="auto"/>
            <w:vAlign w:val="center"/>
          </w:tcPr>
          <w:p w:rsidR="00C93705" w:rsidRPr="00C93705" w:rsidRDefault="00C93705" w:rsidP="00C93705">
            <w:pPr>
              <w:widowControl/>
              <w:jc w:val="center"/>
              <w:rPr>
                <w:rFonts w:ascii="Arial Narrow" w:hAnsi="Arial Narrow"/>
                <w:sz w:val="20"/>
              </w:rPr>
            </w:pPr>
            <w:r w:rsidRPr="00C93705">
              <w:rPr>
                <w:rFonts w:ascii="Arial Narrow" w:hAnsi="Arial Narrow"/>
                <w:b/>
                <w:sz w:val="20"/>
              </w:rPr>
              <w:t>NS</w:t>
            </w:r>
          </w:p>
        </w:tc>
        <w:tc>
          <w:tcPr>
            <w:tcW w:w="1037" w:type="dxa"/>
            <w:vAlign w:val="center"/>
          </w:tcPr>
          <w:p w:rsidR="00C93705" w:rsidRPr="00C93705" w:rsidRDefault="00C93705" w:rsidP="00C93705">
            <w:pPr>
              <w:widowControl/>
              <w:jc w:val="center"/>
              <w:rPr>
                <w:rFonts w:ascii="Arial Narrow" w:hAnsi="Arial Narrow"/>
                <w:sz w:val="20"/>
              </w:rPr>
            </w:pPr>
            <w:r w:rsidRPr="00C93705">
              <w:rPr>
                <w:rFonts w:ascii="Arial Narrow" w:hAnsi="Arial Narrow"/>
                <w:color w:val="A6A6A6" w:themeColor="background1" w:themeShade="A6"/>
                <w:sz w:val="20"/>
              </w:rPr>
              <w:t>N/A</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UST90 &gt;100kg (12 weeks)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sz w:val="20"/>
              </w:rPr>
            </w:pPr>
            <w:r w:rsidRPr="00C93705">
              <w:rPr>
                <w:rFonts w:ascii="Arial Narrow" w:hAnsi="Arial Narrow"/>
                <w:color w:val="A6A6A6" w:themeColor="background1" w:themeShade="A6"/>
                <w:sz w:val="20"/>
              </w:rPr>
              <w:t>N/A</w:t>
            </w:r>
          </w:p>
        </w:tc>
        <w:tc>
          <w:tcPr>
            <w:tcW w:w="1036" w:type="dxa"/>
            <w:shd w:val="clear" w:color="auto" w:fill="auto"/>
            <w:vAlign w:val="center"/>
          </w:tcPr>
          <w:p w:rsidR="00C93705" w:rsidRPr="00C93705" w:rsidRDefault="00C93705" w:rsidP="00C93705">
            <w:pPr>
              <w:widowControl/>
              <w:jc w:val="center"/>
              <w:rPr>
                <w:rFonts w:ascii="Arial Narrow" w:hAnsi="Arial Narrow"/>
                <w:b/>
                <w:sz w:val="20"/>
              </w:rPr>
            </w:pPr>
            <w:r w:rsidRPr="00C93705">
              <w:rPr>
                <w:rFonts w:ascii="Arial Narrow" w:hAnsi="Arial Narrow"/>
                <w:b/>
                <w:sz w:val="20"/>
              </w:rPr>
              <w:t>NS</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vAlign w:val="center"/>
          </w:tcPr>
          <w:p w:rsidR="00C93705" w:rsidRPr="00C93705" w:rsidRDefault="00C93705" w:rsidP="00C93705">
            <w:pPr>
              <w:widowControl/>
              <w:jc w:val="center"/>
              <w:rPr>
                <w:rFonts w:ascii="Arial Narrow" w:hAnsi="Arial Narrow"/>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sz w:val="20"/>
              </w:rPr>
            </w:pPr>
            <w:r w:rsidRPr="00C93705">
              <w:rPr>
                <w:rFonts w:ascii="Arial Narrow" w:hAnsi="Arial Narrow"/>
                <w:b/>
                <w:sz w:val="20"/>
              </w:rPr>
              <w:t>NS</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ADA (12-16 weeks)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sz w:val="20"/>
              </w:rPr>
            </w:pPr>
            <w:r w:rsidRPr="00C93705">
              <w:rPr>
                <w:rFonts w:ascii="Agency FB" w:hAnsi="Agency FB"/>
                <w:b/>
                <w:sz w:val="20"/>
              </w:rPr>
              <w:t>√</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r>
      <w:tr w:rsidR="00C93705" w:rsidRPr="00C93705" w:rsidTr="00696349">
        <w:trPr>
          <w:trHeight w:val="230"/>
        </w:trPr>
        <w:tc>
          <w:tcPr>
            <w:tcW w:w="2143" w:type="dxa"/>
          </w:tcPr>
          <w:p w:rsidR="00C93705" w:rsidRPr="00C93705" w:rsidRDefault="00C93705" w:rsidP="00C93705">
            <w:pPr>
              <w:widowControl/>
              <w:jc w:val="left"/>
              <w:rPr>
                <w:rFonts w:ascii="Arial Narrow" w:hAnsi="Arial Narrow"/>
                <w:sz w:val="20"/>
              </w:rPr>
            </w:pPr>
            <w:r w:rsidRPr="00C93705">
              <w:rPr>
                <w:rFonts w:ascii="Arial Narrow" w:hAnsi="Arial Narrow"/>
                <w:sz w:val="20"/>
              </w:rPr>
              <w:t>IFX (10 weeks)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shd w:val="clear" w:color="auto" w:fill="auto"/>
            <w:vAlign w:val="center"/>
          </w:tcPr>
          <w:p w:rsidR="00C93705" w:rsidRPr="00C93705" w:rsidRDefault="00C93705" w:rsidP="00C93705">
            <w:pPr>
              <w:widowControl/>
              <w:jc w:val="center"/>
              <w:rPr>
                <w:rFonts w:ascii="Arial Narrow" w:hAnsi="Arial Narrow"/>
                <w:sz w:val="20"/>
              </w:rPr>
            </w:pPr>
            <w:r w:rsidRPr="00C93705">
              <w:rPr>
                <w:rFonts w:ascii="Arial Narrow" w:hAnsi="Arial Narrow"/>
                <w:b/>
                <w:sz w:val="20"/>
              </w:rPr>
              <w:t>NS</w:t>
            </w:r>
          </w:p>
        </w:tc>
        <w:tc>
          <w:tcPr>
            <w:tcW w:w="1036"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c>
          <w:tcPr>
            <w:tcW w:w="1037" w:type="dxa"/>
            <w:vAlign w:val="center"/>
          </w:tcPr>
          <w:p w:rsidR="00C93705" w:rsidRPr="00C93705" w:rsidRDefault="00C93705" w:rsidP="00C93705">
            <w:pPr>
              <w:widowControl/>
              <w:jc w:val="center"/>
              <w:rPr>
                <w:rFonts w:ascii="Arial Narrow" w:hAnsi="Arial Narrow"/>
                <w:color w:val="A6A6A6" w:themeColor="background1" w:themeShade="A6"/>
                <w:sz w:val="20"/>
              </w:rPr>
            </w:pPr>
            <w:r w:rsidRPr="00C93705">
              <w:rPr>
                <w:rFonts w:ascii="Arial Narrow" w:hAnsi="Arial Narrow"/>
                <w:color w:val="A6A6A6" w:themeColor="background1" w:themeShade="A6"/>
                <w:sz w:val="20"/>
              </w:rPr>
              <w:t>N/A</w:t>
            </w:r>
          </w:p>
        </w:tc>
      </w:tr>
    </w:tbl>
    <w:p w:rsidR="00C93705" w:rsidRPr="00C93705" w:rsidRDefault="00C93705" w:rsidP="00C93705">
      <w:pPr>
        <w:pStyle w:val="ListParagraph"/>
        <w:rPr>
          <w:szCs w:val="22"/>
        </w:rPr>
      </w:pPr>
    </w:p>
    <w:p w:rsidR="00FD5C3A" w:rsidRDefault="00677A8D" w:rsidP="00677A8D">
      <w:pPr>
        <w:pStyle w:val="ListParagraph"/>
        <w:widowControl/>
        <w:numPr>
          <w:ilvl w:val="1"/>
          <w:numId w:val="7"/>
        </w:numPr>
        <w:rPr>
          <w:szCs w:val="22"/>
        </w:rPr>
      </w:pPr>
      <w:r w:rsidRPr="00677A8D">
        <w:rPr>
          <w:szCs w:val="22"/>
        </w:rPr>
        <w:t xml:space="preserve">The results for the comparison of secukinumab and ustekinumab </w:t>
      </w:r>
      <w:r w:rsidR="00633071">
        <w:rPr>
          <w:szCs w:val="22"/>
        </w:rPr>
        <w:t xml:space="preserve">were </w:t>
      </w:r>
      <w:r w:rsidRPr="00677A8D">
        <w:rPr>
          <w:szCs w:val="22"/>
        </w:rPr>
        <w:t>inconsiste</w:t>
      </w:r>
      <w:r w:rsidR="00633071">
        <w:rPr>
          <w:szCs w:val="22"/>
        </w:rPr>
        <w:t xml:space="preserve">nt, </w:t>
      </w:r>
      <w:r w:rsidRPr="00677A8D">
        <w:rPr>
          <w:szCs w:val="22"/>
        </w:rPr>
        <w:t>depend</w:t>
      </w:r>
      <w:r w:rsidR="00633071">
        <w:rPr>
          <w:szCs w:val="22"/>
        </w:rPr>
        <w:t>ing</w:t>
      </w:r>
      <w:r w:rsidRPr="00677A8D">
        <w:rPr>
          <w:szCs w:val="22"/>
        </w:rPr>
        <w:t xml:space="preserve"> on whether etanercept or placebo is used as the common reference in the indirect</w:t>
      </w:r>
      <w:r w:rsidR="00EC5E63">
        <w:rPr>
          <w:szCs w:val="22"/>
        </w:rPr>
        <w:t xml:space="preserve"> comparison.  It wa</w:t>
      </w:r>
      <w:r w:rsidRPr="00677A8D">
        <w:rPr>
          <w:szCs w:val="22"/>
        </w:rPr>
        <w:t xml:space="preserve">s noted that the </w:t>
      </w:r>
      <w:r w:rsidR="00633071" w:rsidRPr="00677A8D">
        <w:rPr>
          <w:szCs w:val="22"/>
        </w:rPr>
        <w:t xml:space="preserve">etanercept </w:t>
      </w:r>
      <w:r w:rsidRPr="00677A8D">
        <w:rPr>
          <w:szCs w:val="22"/>
        </w:rPr>
        <w:t>response rates in the secukinumab and ustekinumab trials differ</w:t>
      </w:r>
      <w:r w:rsidR="00EC5E63">
        <w:rPr>
          <w:szCs w:val="22"/>
        </w:rPr>
        <w:t>ed</w:t>
      </w:r>
      <w:r w:rsidRPr="00677A8D">
        <w:rPr>
          <w:szCs w:val="22"/>
        </w:rPr>
        <w:t xml:space="preserve"> (in the ITT populations and in the sub-groups according to weight), which </w:t>
      </w:r>
      <w:r w:rsidR="004841EC">
        <w:rPr>
          <w:szCs w:val="22"/>
        </w:rPr>
        <w:t>suggest</w:t>
      </w:r>
      <w:r w:rsidR="00EC5E63">
        <w:rPr>
          <w:szCs w:val="22"/>
        </w:rPr>
        <w:t>ed</w:t>
      </w:r>
      <w:r w:rsidRPr="00677A8D">
        <w:rPr>
          <w:szCs w:val="22"/>
        </w:rPr>
        <w:t xml:space="preserve"> there are exchangeability issues between these trials</w:t>
      </w:r>
      <w:r w:rsidR="00EC5E63">
        <w:rPr>
          <w:szCs w:val="22"/>
        </w:rPr>
        <w:t>.</w:t>
      </w:r>
      <w:r w:rsidRPr="00677A8D">
        <w:rPr>
          <w:szCs w:val="22"/>
        </w:rPr>
        <w:t xml:space="preserve"> </w:t>
      </w:r>
      <w:r w:rsidR="00EC5E63">
        <w:rPr>
          <w:szCs w:val="22"/>
        </w:rPr>
        <w:t>T</w:t>
      </w:r>
      <w:r w:rsidRPr="00677A8D">
        <w:rPr>
          <w:szCs w:val="22"/>
        </w:rPr>
        <w:t xml:space="preserve">he results of the indirect comparisons of secukinumab and ustekinumab using placebo as the common reference may </w:t>
      </w:r>
      <w:r w:rsidR="00633071">
        <w:rPr>
          <w:szCs w:val="22"/>
        </w:rPr>
        <w:t xml:space="preserve">be </w:t>
      </w:r>
      <w:r w:rsidR="00EC5E63">
        <w:rPr>
          <w:szCs w:val="22"/>
        </w:rPr>
        <w:t>more reliable</w:t>
      </w:r>
      <w:r w:rsidRPr="00677A8D">
        <w:rPr>
          <w:szCs w:val="22"/>
        </w:rPr>
        <w:t>.</w:t>
      </w:r>
    </w:p>
    <w:p w:rsidR="00677A8D" w:rsidRDefault="00677A8D" w:rsidP="00677A8D">
      <w:pPr>
        <w:pStyle w:val="ListParagraph"/>
        <w:widowControl/>
        <w:rPr>
          <w:szCs w:val="22"/>
        </w:rPr>
      </w:pPr>
    </w:p>
    <w:p w:rsidR="00663F49" w:rsidRPr="00677A8D" w:rsidRDefault="00677A8D" w:rsidP="00677A8D">
      <w:pPr>
        <w:pStyle w:val="ListParagraph"/>
        <w:widowControl/>
        <w:numPr>
          <w:ilvl w:val="1"/>
          <w:numId w:val="7"/>
        </w:numPr>
        <w:rPr>
          <w:i/>
          <w:szCs w:val="22"/>
        </w:rPr>
      </w:pPr>
      <w:r w:rsidRPr="00677A8D">
        <w:rPr>
          <w:szCs w:val="22"/>
        </w:rPr>
        <w:t xml:space="preserve">There were no statistically significant differences </w:t>
      </w:r>
      <w:r w:rsidR="00633071">
        <w:rPr>
          <w:szCs w:val="22"/>
        </w:rPr>
        <w:t>for</w:t>
      </w:r>
      <w:r w:rsidRPr="00677A8D">
        <w:rPr>
          <w:szCs w:val="22"/>
        </w:rPr>
        <w:t xml:space="preserve"> the proportion of patients achieving a PASI 75 response between secukinumab (at 12 weeks) and ustekinumab (at 12 weeks</w:t>
      </w:r>
      <w:r w:rsidR="00633071">
        <w:rPr>
          <w:szCs w:val="22"/>
        </w:rPr>
        <w:t>)</w:t>
      </w:r>
      <w:r w:rsidRPr="00677A8D">
        <w:rPr>
          <w:szCs w:val="22"/>
        </w:rPr>
        <w:t>, using placebo as the common reference and when ustekinumab was administered according to patient weight, as per the TGA-approved dosing or infliximab (at 10 weeks).  A statistically significantly greater proportion of patients achieved PASI 75 response when treated with secukinumab at 12 weeks compared with adalimumab at 12-16 weeks.</w:t>
      </w:r>
    </w:p>
    <w:p w:rsidR="00677A8D" w:rsidRPr="00677A8D" w:rsidRDefault="00677A8D" w:rsidP="00677A8D">
      <w:pPr>
        <w:pStyle w:val="ListParagraph"/>
        <w:widowControl/>
        <w:rPr>
          <w:szCs w:val="22"/>
        </w:rPr>
      </w:pPr>
    </w:p>
    <w:p w:rsidR="00CD1C8D" w:rsidRDefault="00677A8D" w:rsidP="00CD1C8D">
      <w:pPr>
        <w:pStyle w:val="ListParagraph"/>
        <w:widowControl/>
        <w:numPr>
          <w:ilvl w:val="1"/>
          <w:numId w:val="7"/>
        </w:numPr>
      </w:pPr>
      <w:r w:rsidRPr="00677A8D">
        <w:t xml:space="preserve">With respect to the comparison </w:t>
      </w:r>
      <w:r w:rsidR="00633071">
        <w:t>with</w:t>
      </w:r>
      <w:r w:rsidRPr="00677A8D">
        <w:t xml:space="preserve"> ustekinumab, the trials reported the PASI 75 response rate at 12 weeks</w:t>
      </w:r>
      <w:r w:rsidR="00633071">
        <w:t>.</w:t>
      </w:r>
      <w:r w:rsidRPr="00677A8D">
        <w:t xml:space="preserve"> </w:t>
      </w:r>
      <w:r w:rsidR="00633071">
        <w:t>I</w:t>
      </w:r>
      <w:r w:rsidR="00EC5E63">
        <w:t xml:space="preserve">n practice, </w:t>
      </w:r>
      <w:r w:rsidRPr="00677A8D">
        <w:t>tre</w:t>
      </w:r>
      <w:r w:rsidR="00EC5E63">
        <w:t>atment response to ustekin</w:t>
      </w:r>
      <w:r w:rsidR="00633071">
        <w:t>umab</w:t>
      </w:r>
      <w:r w:rsidR="00EC5E63">
        <w:t xml:space="preserve"> i</w:t>
      </w:r>
      <w:r w:rsidRPr="00677A8D">
        <w:t xml:space="preserve">s </w:t>
      </w:r>
      <w:r w:rsidR="00633071">
        <w:t xml:space="preserve">assessed at </w:t>
      </w:r>
      <w:r w:rsidRPr="00677A8D">
        <w:t>28 weeks</w:t>
      </w:r>
      <w:r w:rsidR="00633071">
        <w:t xml:space="preserve"> according to</w:t>
      </w:r>
      <w:r w:rsidRPr="00677A8D">
        <w:t xml:space="preserve"> its current PBS restriction.  Thus, </w:t>
      </w:r>
      <w:r w:rsidR="00633071">
        <w:t xml:space="preserve">the </w:t>
      </w:r>
      <w:r w:rsidRPr="00677A8D">
        <w:t xml:space="preserve">PASI 75 response rates for ustekinumab may </w:t>
      </w:r>
      <w:r w:rsidR="00EC5E63">
        <w:t xml:space="preserve">have </w:t>
      </w:r>
      <w:r w:rsidRPr="00677A8D">
        <w:t>be</w:t>
      </w:r>
      <w:r w:rsidR="00EC5E63">
        <w:t>en</w:t>
      </w:r>
      <w:r w:rsidRPr="00677A8D">
        <w:t xml:space="preserve"> underestimated</w:t>
      </w:r>
      <w:r>
        <w:t>.</w:t>
      </w:r>
    </w:p>
    <w:p w:rsidR="00677A8D" w:rsidRPr="00677A8D" w:rsidRDefault="00677A8D" w:rsidP="00677A8D">
      <w:pPr>
        <w:pStyle w:val="ListParagraph"/>
        <w:widowControl/>
      </w:pPr>
    </w:p>
    <w:p w:rsidR="00B60939" w:rsidRPr="0046072A" w:rsidRDefault="00B60939" w:rsidP="002C2775">
      <w:pPr>
        <w:pStyle w:val="Heading2"/>
      </w:pPr>
      <w:bookmarkStart w:id="7" w:name="_Toc409605608"/>
      <w:r w:rsidRPr="0046072A">
        <w:t>Comparative harms</w:t>
      </w:r>
      <w:bookmarkEnd w:id="7"/>
    </w:p>
    <w:p w:rsidR="00B60939" w:rsidRPr="00882085" w:rsidRDefault="00B60939" w:rsidP="00B60939">
      <w:pPr>
        <w:ind w:left="720" w:hanging="720"/>
        <w:rPr>
          <w:szCs w:val="22"/>
        </w:rPr>
      </w:pPr>
    </w:p>
    <w:p w:rsidR="00E82278" w:rsidRPr="00E82278" w:rsidRDefault="00EC5E63" w:rsidP="00E82278">
      <w:pPr>
        <w:pStyle w:val="ListParagraph"/>
        <w:numPr>
          <w:ilvl w:val="1"/>
          <w:numId w:val="7"/>
        </w:numPr>
      </w:pPr>
      <w:r>
        <w:t>The submission stated</w:t>
      </w:r>
      <w:r w:rsidR="00E82278" w:rsidRPr="00E82278">
        <w:t xml:space="preserve"> that “across all the clinical trials, the safety profile of secukinumab showed no new or unexpected safety signals”.  The submission did not conduct a </w:t>
      </w:r>
      <w:r w:rsidR="00633071">
        <w:t xml:space="preserve">complete </w:t>
      </w:r>
      <w:r w:rsidR="00E82278" w:rsidRPr="00E82278">
        <w:t>comparison of the safety profile of secukinumab and the bDMARDs currently listed for psoriasis</w:t>
      </w:r>
      <w:r w:rsidR="00473AA3">
        <w:t>.</w:t>
      </w:r>
      <w:r w:rsidR="00E82278" w:rsidRPr="00E82278">
        <w:t xml:space="preserve"> </w:t>
      </w:r>
      <w:r w:rsidR="00473AA3">
        <w:t xml:space="preserve">It </w:t>
      </w:r>
      <w:r w:rsidR="00E82278" w:rsidRPr="00E82278">
        <w:t>only present</w:t>
      </w:r>
      <w:r w:rsidR="00473AA3">
        <w:t>ed</w:t>
      </w:r>
      <w:r w:rsidR="00E82278" w:rsidRPr="00E82278">
        <w:t xml:space="preserve"> an indirect comparison of the treatments in terms of the proportion of patients experiencing at least one adverse eve</w:t>
      </w:r>
      <w:r>
        <w:t>nt.  The available data suggested</w:t>
      </w:r>
      <w:r w:rsidR="00E82278" w:rsidRPr="00E82278">
        <w:t xml:space="preserve"> that like ustek</w:t>
      </w:r>
      <w:r w:rsidR="004841EC">
        <w:t>inumab (u</w:t>
      </w:r>
      <w:r w:rsidR="00E82278" w:rsidRPr="00E82278">
        <w:t xml:space="preserve">stekinumab draft PI), the most common adverse events during the induction phase of the secukinumab trials were nasopharyngitis and upper respiratory tract infections.  </w:t>
      </w:r>
      <w:r w:rsidR="00E82278" w:rsidRPr="00E82278">
        <w:lastRenderedPageBreak/>
        <w:t>Infection rates were comparable for secukinumab 300</w:t>
      </w:r>
      <w:r w:rsidR="00E82278">
        <w:t xml:space="preserve"> </w:t>
      </w:r>
      <w:r w:rsidR="00E82278" w:rsidRPr="00E82278">
        <w:t>mg and the etanercept group and both were higher than in the placebo group.  However, the incidence of serious infections was low and comparable across treatments.</w:t>
      </w:r>
    </w:p>
    <w:p w:rsidR="006307C1" w:rsidRPr="00E82278" w:rsidRDefault="006307C1" w:rsidP="00E82278">
      <w:pPr>
        <w:pStyle w:val="ListParagraph"/>
        <w:widowControl/>
        <w:rPr>
          <w:szCs w:val="22"/>
        </w:rPr>
      </w:pPr>
    </w:p>
    <w:p w:rsidR="006307C1" w:rsidRPr="003A6833" w:rsidRDefault="00D5581F" w:rsidP="003A6833">
      <w:pPr>
        <w:pStyle w:val="ListParagraph"/>
        <w:numPr>
          <w:ilvl w:val="1"/>
          <w:numId w:val="7"/>
        </w:numPr>
        <w:rPr>
          <w:szCs w:val="22"/>
        </w:rPr>
      </w:pPr>
      <w:r>
        <w:rPr>
          <w:szCs w:val="22"/>
        </w:rPr>
        <w:t>I</w:t>
      </w:r>
      <w:r w:rsidR="00E82278" w:rsidRPr="00E82278">
        <w:rPr>
          <w:szCs w:val="22"/>
        </w:rPr>
        <w:t>ndirect comparison</w:t>
      </w:r>
      <w:r>
        <w:rPr>
          <w:szCs w:val="22"/>
        </w:rPr>
        <w:t>s</w:t>
      </w:r>
      <w:r w:rsidR="00E82278" w:rsidRPr="00E82278">
        <w:rPr>
          <w:szCs w:val="22"/>
        </w:rPr>
        <w:t xml:space="preserve"> of secukinumab </w:t>
      </w:r>
      <w:r>
        <w:rPr>
          <w:szCs w:val="22"/>
        </w:rPr>
        <w:t>to</w:t>
      </w:r>
      <w:r w:rsidRPr="00E82278">
        <w:rPr>
          <w:szCs w:val="22"/>
        </w:rPr>
        <w:t xml:space="preserve"> </w:t>
      </w:r>
      <w:r w:rsidR="00E82278" w:rsidRPr="00E82278">
        <w:rPr>
          <w:szCs w:val="22"/>
        </w:rPr>
        <w:t>ustekinumab</w:t>
      </w:r>
      <w:r w:rsidR="00473AA3">
        <w:rPr>
          <w:szCs w:val="22"/>
        </w:rPr>
        <w:t>,</w:t>
      </w:r>
      <w:r w:rsidR="00E82278" w:rsidRPr="00E82278">
        <w:rPr>
          <w:szCs w:val="22"/>
        </w:rPr>
        <w:t xml:space="preserve"> adalimumab and infliximab</w:t>
      </w:r>
      <w:r w:rsidR="00473AA3">
        <w:rPr>
          <w:szCs w:val="22"/>
        </w:rPr>
        <w:t xml:space="preserve"> </w:t>
      </w:r>
      <w:r w:rsidR="00E82278" w:rsidRPr="00E82278">
        <w:rPr>
          <w:szCs w:val="22"/>
        </w:rPr>
        <w:t>using placebo as the common reference</w:t>
      </w:r>
      <w:r w:rsidR="00473AA3">
        <w:rPr>
          <w:szCs w:val="22"/>
        </w:rPr>
        <w:t>,</w:t>
      </w:r>
      <w:r w:rsidR="00E82278" w:rsidRPr="00E82278">
        <w:rPr>
          <w:szCs w:val="22"/>
        </w:rPr>
        <w:t xml:space="preserve"> </w:t>
      </w:r>
      <w:r w:rsidR="00C0404A">
        <w:rPr>
          <w:szCs w:val="22"/>
        </w:rPr>
        <w:t xml:space="preserve">showed </w:t>
      </w:r>
      <w:r w:rsidR="00E82278" w:rsidRPr="00E82278">
        <w:rPr>
          <w:szCs w:val="22"/>
        </w:rPr>
        <w:t xml:space="preserve">no statistically significant differences in the proportion of patients experiencing at least one adverse event between the treatments </w:t>
      </w:r>
      <w:r>
        <w:rPr>
          <w:szCs w:val="22"/>
        </w:rPr>
        <w:t xml:space="preserve">(over an observation period </w:t>
      </w:r>
      <w:r w:rsidR="007E5EB5">
        <w:rPr>
          <w:szCs w:val="22"/>
        </w:rPr>
        <w:t>ranging</w:t>
      </w:r>
      <w:r>
        <w:rPr>
          <w:szCs w:val="22"/>
        </w:rPr>
        <w:t xml:space="preserve"> </w:t>
      </w:r>
      <w:r w:rsidR="00E82278" w:rsidRPr="00E82278">
        <w:rPr>
          <w:szCs w:val="22"/>
        </w:rPr>
        <w:t>between 12 to 30 weeks</w:t>
      </w:r>
      <w:r>
        <w:rPr>
          <w:szCs w:val="22"/>
        </w:rPr>
        <w:t>)</w:t>
      </w:r>
      <w:r w:rsidR="00473AA3">
        <w:rPr>
          <w:szCs w:val="22"/>
        </w:rPr>
        <w:t>.</w:t>
      </w:r>
      <w:r w:rsidR="00E82278" w:rsidRPr="00E82278">
        <w:rPr>
          <w:szCs w:val="22"/>
        </w:rPr>
        <w:t xml:space="preserve"> </w:t>
      </w:r>
    </w:p>
    <w:p w:rsidR="00B60939" w:rsidRDefault="00B60939" w:rsidP="007F1017">
      <w:pPr>
        <w:pStyle w:val="ListParagraph"/>
        <w:ind w:left="0"/>
        <w:rPr>
          <w:szCs w:val="22"/>
        </w:rPr>
      </w:pPr>
    </w:p>
    <w:p w:rsidR="007F1017" w:rsidRPr="0046072A" w:rsidRDefault="007F1017" w:rsidP="002C2775">
      <w:pPr>
        <w:pStyle w:val="Heading2"/>
        <w:rPr>
          <w:szCs w:val="22"/>
        </w:rPr>
      </w:pPr>
      <w:bookmarkStart w:id="8" w:name="_Toc409605609"/>
      <w:r w:rsidRPr="0046072A">
        <w:t>Benefits/harms</w:t>
      </w:r>
      <w:bookmarkEnd w:id="8"/>
    </w:p>
    <w:p w:rsidR="007F1017" w:rsidRPr="007F1017" w:rsidRDefault="007F1017" w:rsidP="007F1017">
      <w:pPr>
        <w:pStyle w:val="ListParagraph"/>
        <w:ind w:left="0"/>
        <w:rPr>
          <w:szCs w:val="22"/>
        </w:rPr>
      </w:pPr>
    </w:p>
    <w:p w:rsidR="00162913" w:rsidRPr="00FE4046" w:rsidRDefault="00EC00C9" w:rsidP="004B1CB4">
      <w:pPr>
        <w:pStyle w:val="ListParagraph"/>
        <w:widowControl/>
        <w:numPr>
          <w:ilvl w:val="1"/>
          <w:numId w:val="7"/>
        </w:numPr>
      </w:pPr>
      <w:r w:rsidRPr="006D015B">
        <w:rPr>
          <w:szCs w:val="22"/>
        </w:rPr>
        <w:t xml:space="preserve">A summary of the comparative benefits and harms for </w:t>
      </w:r>
      <w:r w:rsidR="007832F4" w:rsidRPr="006D015B">
        <w:rPr>
          <w:szCs w:val="22"/>
        </w:rPr>
        <w:t>secukinumab</w:t>
      </w:r>
      <w:r w:rsidRPr="006D015B">
        <w:rPr>
          <w:szCs w:val="22"/>
        </w:rPr>
        <w:t xml:space="preserve"> versus </w:t>
      </w:r>
      <w:r w:rsidR="007832F4" w:rsidRPr="006D015B">
        <w:rPr>
          <w:szCs w:val="22"/>
        </w:rPr>
        <w:t>u</w:t>
      </w:r>
      <w:r w:rsidR="006D015B" w:rsidRPr="006D015B">
        <w:rPr>
          <w:szCs w:val="22"/>
        </w:rPr>
        <w:t>stekinumab, adalimumab and infliximab</w:t>
      </w:r>
      <w:r w:rsidR="000F360B">
        <w:rPr>
          <w:szCs w:val="22"/>
        </w:rPr>
        <w:t>, using placebo as the common reference,</w:t>
      </w:r>
      <w:r w:rsidR="006D015B" w:rsidRPr="006D015B">
        <w:rPr>
          <w:szCs w:val="22"/>
        </w:rPr>
        <w:t xml:space="preserve"> </w:t>
      </w:r>
      <w:r w:rsidRPr="006D015B">
        <w:rPr>
          <w:szCs w:val="22"/>
        </w:rPr>
        <w:t xml:space="preserve">is presented in </w:t>
      </w:r>
      <w:r w:rsidR="009362BE">
        <w:rPr>
          <w:szCs w:val="22"/>
        </w:rPr>
        <w:t>table below</w:t>
      </w:r>
      <w:r w:rsidRPr="006D015B">
        <w:rPr>
          <w:szCs w:val="22"/>
        </w:rPr>
        <w:t>.</w:t>
      </w:r>
      <w:r w:rsidR="00410708" w:rsidRPr="006D015B">
        <w:rPr>
          <w:szCs w:val="22"/>
        </w:rPr>
        <w:t xml:space="preserve"> </w:t>
      </w:r>
      <w:r w:rsidR="007832F4" w:rsidRPr="006D015B">
        <w:rPr>
          <w:szCs w:val="22"/>
        </w:rPr>
        <w:t xml:space="preserve"> </w:t>
      </w:r>
    </w:p>
    <w:p w:rsidR="00FE4046" w:rsidRDefault="00FE4046" w:rsidP="00FE4046">
      <w:pPr>
        <w:pStyle w:val="ListParagraph"/>
        <w:widowControl/>
      </w:pPr>
    </w:p>
    <w:p w:rsidR="000006EC" w:rsidRDefault="000006EC">
      <w:pPr>
        <w:widowControl/>
        <w:jc w:val="left"/>
        <w:rPr>
          <w:rStyle w:val="CommentReference"/>
        </w:rPr>
      </w:pPr>
      <w:r>
        <w:rPr>
          <w:rStyle w:val="CommentReference"/>
        </w:rPr>
        <w:br w:type="page"/>
      </w:r>
    </w:p>
    <w:p w:rsidR="00B62715" w:rsidRDefault="007832F4" w:rsidP="00FE4046">
      <w:pPr>
        <w:ind w:left="720" w:hanging="11"/>
        <w:rPr>
          <w:rStyle w:val="CommentReference"/>
        </w:rPr>
      </w:pPr>
      <w:r>
        <w:rPr>
          <w:rStyle w:val="CommentReference"/>
        </w:rPr>
        <w:lastRenderedPageBreak/>
        <w:t>I</w:t>
      </w:r>
      <w:r w:rsidR="00B62715" w:rsidRPr="00A578DC">
        <w:rPr>
          <w:rStyle w:val="CommentReference"/>
        </w:rPr>
        <w:t>ndirect comparison</w:t>
      </w:r>
      <w:r w:rsidR="006D015B">
        <w:rPr>
          <w:rStyle w:val="CommentReference"/>
        </w:rPr>
        <w:t xml:space="preserve"> </w:t>
      </w:r>
      <w:r w:rsidR="00FE4046">
        <w:rPr>
          <w:rStyle w:val="CommentReference"/>
        </w:rPr>
        <w:t xml:space="preserve">of PASI 75 response: </w:t>
      </w:r>
      <w:r w:rsidR="006D015B">
        <w:rPr>
          <w:rStyle w:val="CommentReference"/>
        </w:rPr>
        <w:t>s</w:t>
      </w:r>
      <w:r w:rsidR="00B62715" w:rsidRPr="00A578DC">
        <w:rPr>
          <w:rStyle w:val="CommentReference"/>
        </w:rPr>
        <w:t xml:space="preserve">ummary of comparative benefits and harms for </w:t>
      </w:r>
      <w:r>
        <w:rPr>
          <w:rStyle w:val="CommentReference"/>
        </w:rPr>
        <w:t>secukinumab</w:t>
      </w:r>
      <w:r w:rsidR="00B62715" w:rsidRPr="00A578DC">
        <w:rPr>
          <w:rStyle w:val="CommentReference"/>
        </w:rPr>
        <w:t xml:space="preserve"> </w:t>
      </w:r>
      <w:r w:rsidR="00C8106B">
        <w:rPr>
          <w:rStyle w:val="CommentReference"/>
        </w:rPr>
        <w:t>compared with</w:t>
      </w:r>
      <w:r w:rsidR="00B62715" w:rsidRPr="00A578DC">
        <w:rPr>
          <w:rStyle w:val="CommentReference"/>
        </w:rPr>
        <w:t xml:space="preserve"> </w:t>
      </w:r>
      <w:r>
        <w:rPr>
          <w:rStyle w:val="CommentReference"/>
        </w:rPr>
        <w:t>ustekinumab</w:t>
      </w:r>
      <w:r w:rsidR="00C8106B">
        <w:rPr>
          <w:rStyle w:val="CommentReference"/>
        </w:rPr>
        <w:t>, adalimumab and infliximab</w:t>
      </w:r>
    </w:p>
    <w:tbl>
      <w:tblPr>
        <w:tblStyle w:val="TableGrid"/>
        <w:tblW w:w="4684" w:type="pct"/>
        <w:tblInd w:w="705" w:type="dxa"/>
        <w:tblLayout w:type="fixed"/>
        <w:tblCellMar>
          <w:left w:w="28" w:type="dxa"/>
          <w:right w:w="28" w:type="dxa"/>
        </w:tblCellMar>
        <w:tblLook w:val="04A0" w:firstRow="1" w:lastRow="0" w:firstColumn="1" w:lastColumn="0" w:noHBand="0" w:noVBand="1"/>
        <w:tblCaption w:val="Comparative benefits and harms"/>
      </w:tblPr>
      <w:tblGrid>
        <w:gridCol w:w="1025"/>
        <w:gridCol w:w="716"/>
        <w:gridCol w:w="854"/>
        <w:gridCol w:w="708"/>
        <w:gridCol w:w="71"/>
        <w:gridCol w:w="779"/>
        <w:gridCol w:w="1135"/>
        <w:gridCol w:w="710"/>
        <w:gridCol w:w="29"/>
        <w:gridCol w:w="740"/>
        <w:gridCol w:w="740"/>
        <w:gridCol w:w="1001"/>
      </w:tblGrid>
      <w:tr w:rsidR="000032DC" w:rsidRPr="00E2771E" w:rsidTr="000B016F">
        <w:trPr>
          <w:trHeight w:val="150"/>
        </w:trPr>
        <w:tc>
          <w:tcPr>
            <w:tcW w:w="602" w:type="pct"/>
            <w:vMerge w:val="restart"/>
            <w:shd w:val="clear" w:color="auto" w:fill="auto"/>
            <w:vAlign w:val="center"/>
          </w:tcPr>
          <w:p w:rsidR="000032DC" w:rsidRPr="00E2771E" w:rsidRDefault="000032DC" w:rsidP="000B016F">
            <w:pPr>
              <w:rPr>
                <w:rFonts w:ascii="Arial Narrow" w:hAnsi="Arial Narrow"/>
                <w:b/>
                <w:color w:val="000000"/>
                <w:sz w:val="20"/>
                <w:szCs w:val="18"/>
              </w:rPr>
            </w:pPr>
            <w:r w:rsidRPr="00E2771E">
              <w:rPr>
                <w:rFonts w:ascii="Arial Narrow" w:hAnsi="Arial Narrow"/>
                <w:b/>
                <w:color w:val="000000"/>
                <w:sz w:val="20"/>
                <w:szCs w:val="18"/>
              </w:rPr>
              <w:t>Trial</w:t>
            </w:r>
          </w:p>
        </w:tc>
        <w:tc>
          <w:tcPr>
            <w:tcW w:w="421" w:type="pct"/>
            <w:vMerge w:val="restart"/>
            <w:shd w:val="clear" w:color="auto" w:fill="auto"/>
            <w:vAlign w:val="center"/>
          </w:tcPr>
          <w:p w:rsidR="000032DC" w:rsidRPr="00640492" w:rsidRDefault="000032DC" w:rsidP="000B016F">
            <w:pPr>
              <w:jc w:val="center"/>
              <w:rPr>
                <w:rFonts w:ascii="Arial Narrow" w:hAnsi="Arial Narrow"/>
                <w:b/>
                <w:color w:val="000000"/>
                <w:sz w:val="20"/>
                <w:szCs w:val="18"/>
                <w:vertAlign w:val="superscript"/>
              </w:rPr>
            </w:pPr>
            <w:r>
              <w:rPr>
                <w:rFonts w:ascii="Arial Narrow" w:hAnsi="Arial Narrow"/>
                <w:b/>
                <w:color w:val="000000"/>
                <w:sz w:val="20"/>
                <w:szCs w:val="18"/>
              </w:rPr>
              <w:t>Week</w:t>
            </w:r>
            <w:r>
              <w:rPr>
                <w:rFonts w:ascii="Arial Narrow" w:hAnsi="Arial Narrow"/>
                <w:b/>
                <w:color w:val="000000"/>
                <w:sz w:val="20"/>
                <w:szCs w:val="18"/>
                <w:vertAlign w:val="superscript"/>
              </w:rPr>
              <w:t>a</w:t>
            </w:r>
          </w:p>
        </w:tc>
        <w:tc>
          <w:tcPr>
            <w:tcW w:w="502" w:type="pct"/>
            <w:vMerge w:val="restart"/>
            <w:vAlign w:val="center"/>
          </w:tcPr>
          <w:p w:rsidR="000032DC" w:rsidRPr="00E2771E" w:rsidRDefault="000032DC" w:rsidP="000B016F">
            <w:pPr>
              <w:jc w:val="center"/>
              <w:rPr>
                <w:rFonts w:ascii="Arial Narrow" w:hAnsi="Arial Narrow"/>
                <w:b/>
                <w:color w:val="000000"/>
                <w:sz w:val="20"/>
                <w:szCs w:val="18"/>
              </w:rPr>
            </w:pPr>
            <w:r>
              <w:rPr>
                <w:rFonts w:ascii="Arial Narrow" w:hAnsi="Arial Narrow"/>
                <w:b/>
                <w:color w:val="000000"/>
                <w:sz w:val="20"/>
                <w:szCs w:val="18"/>
              </w:rPr>
              <w:t>SEC</w:t>
            </w:r>
          </w:p>
        </w:tc>
        <w:tc>
          <w:tcPr>
            <w:tcW w:w="916" w:type="pct"/>
            <w:gridSpan w:val="3"/>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PBO</w:t>
            </w:r>
            <w:r>
              <w:rPr>
                <w:rFonts w:ascii="Arial Narrow" w:hAnsi="Arial Narrow"/>
                <w:b/>
                <w:color w:val="000000"/>
                <w:sz w:val="20"/>
                <w:szCs w:val="18"/>
              </w:rPr>
              <w:t>/Comparator</w:t>
            </w:r>
          </w:p>
        </w:tc>
        <w:tc>
          <w:tcPr>
            <w:tcW w:w="667"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RR</w:t>
            </w:r>
          </w:p>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4" w:type="pct"/>
            <w:gridSpan w:val="4"/>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588"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RD</w:t>
            </w:r>
          </w:p>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032DC" w:rsidRPr="00E2771E" w:rsidTr="000B016F">
        <w:trPr>
          <w:trHeight w:val="315"/>
        </w:trPr>
        <w:tc>
          <w:tcPr>
            <w:tcW w:w="602" w:type="pct"/>
            <w:vMerge/>
            <w:shd w:val="clear" w:color="auto" w:fill="auto"/>
            <w:vAlign w:val="center"/>
          </w:tcPr>
          <w:p w:rsidR="000032DC" w:rsidRPr="00E2771E" w:rsidRDefault="000032DC" w:rsidP="000B016F">
            <w:pPr>
              <w:rPr>
                <w:rFonts w:ascii="Arial Narrow" w:hAnsi="Arial Narrow"/>
                <w:b/>
                <w:color w:val="000000"/>
                <w:sz w:val="20"/>
                <w:szCs w:val="18"/>
              </w:rPr>
            </w:pPr>
          </w:p>
        </w:tc>
        <w:tc>
          <w:tcPr>
            <w:tcW w:w="421" w:type="pct"/>
            <w:vMerge/>
            <w:shd w:val="clear" w:color="auto" w:fill="auto"/>
            <w:vAlign w:val="center"/>
          </w:tcPr>
          <w:p w:rsidR="000032DC" w:rsidRPr="00E2771E" w:rsidRDefault="000032DC" w:rsidP="000B016F">
            <w:pPr>
              <w:rPr>
                <w:rFonts w:ascii="Arial Narrow" w:hAnsi="Arial Narrow"/>
                <w:b/>
                <w:color w:val="000000"/>
                <w:sz w:val="20"/>
                <w:szCs w:val="18"/>
              </w:rPr>
            </w:pPr>
          </w:p>
        </w:tc>
        <w:tc>
          <w:tcPr>
            <w:tcW w:w="502" w:type="pct"/>
            <w:vMerge/>
            <w:vAlign w:val="center"/>
          </w:tcPr>
          <w:p w:rsidR="000032DC" w:rsidRPr="00E2771E" w:rsidRDefault="000032DC" w:rsidP="000B016F">
            <w:pPr>
              <w:jc w:val="center"/>
              <w:rPr>
                <w:rFonts w:ascii="Arial Narrow" w:hAnsi="Arial Narrow"/>
                <w:b/>
                <w:color w:val="000000"/>
                <w:sz w:val="20"/>
                <w:szCs w:val="18"/>
              </w:rPr>
            </w:pPr>
          </w:p>
        </w:tc>
        <w:tc>
          <w:tcPr>
            <w:tcW w:w="916" w:type="pct"/>
            <w:gridSpan w:val="3"/>
            <w:vMerge/>
            <w:vAlign w:val="center"/>
          </w:tcPr>
          <w:p w:rsidR="000032DC" w:rsidRPr="00E2771E" w:rsidRDefault="000032DC" w:rsidP="000B016F">
            <w:pPr>
              <w:jc w:val="center"/>
              <w:rPr>
                <w:rFonts w:ascii="Arial Narrow" w:hAnsi="Arial Narrow"/>
                <w:b/>
                <w:color w:val="000000"/>
                <w:sz w:val="20"/>
                <w:szCs w:val="18"/>
              </w:rPr>
            </w:pPr>
          </w:p>
        </w:tc>
        <w:tc>
          <w:tcPr>
            <w:tcW w:w="667" w:type="pct"/>
            <w:vMerge/>
            <w:vAlign w:val="center"/>
          </w:tcPr>
          <w:p w:rsidR="000032DC" w:rsidRPr="00E2771E" w:rsidRDefault="000032DC" w:rsidP="000B016F">
            <w:pPr>
              <w:jc w:val="center"/>
              <w:rPr>
                <w:rFonts w:ascii="Arial Narrow" w:hAnsi="Arial Narrow"/>
                <w:b/>
                <w:color w:val="000000"/>
                <w:sz w:val="20"/>
                <w:szCs w:val="18"/>
              </w:rPr>
            </w:pPr>
          </w:p>
        </w:tc>
        <w:tc>
          <w:tcPr>
            <w:tcW w:w="417" w:type="pct"/>
            <w:vAlign w:val="center"/>
          </w:tcPr>
          <w:p w:rsidR="000032DC" w:rsidRPr="00E2771E" w:rsidRDefault="000032DC" w:rsidP="000B016F">
            <w:pPr>
              <w:jc w:val="center"/>
              <w:rPr>
                <w:rFonts w:ascii="Arial Narrow" w:hAnsi="Arial Narrow"/>
                <w:b/>
                <w:color w:val="000000"/>
                <w:sz w:val="20"/>
                <w:szCs w:val="18"/>
              </w:rPr>
            </w:pPr>
            <w:r>
              <w:rPr>
                <w:rFonts w:ascii="Arial Narrow" w:hAnsi="Arial Narrow"/>
                <w:b/>
                <w:color w:val="000000"/>
                <w:sz w:val="20"/>
                <w:szCs w:val="18"/>
              </w:rPr>
              <w:t>SEC</w:t>
            </w:r>
          </w:p>
        </w:tc>
        <w:tc>
          <w:tcPr>
            <w:tcW w:w="887" w:type="pct"/>
            <w:gridSpan w:val="3"/>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PBO</w:t>
            </w:r>
            <w:r>
              <w:rPr>
                <w:rFonts w:ascii="Arial Narrow" w:hAnsi="Arial Narrow"/>
                <w:b/>
                <w:color w:val="000000"/>
                <w:sz w:val="20"/>
                <w:szCs w:val="18"/>
              </w:rPr>
              <w:t>/</w:t>
            </w:r>
            <w:r w:rsidRPr="00E2771E">
              <w:rPr>
                <w:rFonts w:ascii="Arial Narrow" w:hAnsi="Arial Narrow"/>
                <w:b/>
                <w:color w:val="000000"/>
                <w:sz w:val="20"/>
                <w:szCs w:val="18"/>
              </w:rPr>
              <w:t>Comparator</w:t>
            </w:r>
          </w:p>
        </w:tc>
        <w:tc>
          <w:tcPr>
            <w:tcW w:w="588" w:type="pct"/>
            <w:vMerge/>
            <w:vAlign w:val="center"/>
          </w:tcPr>
          <w:p w:rsidR="000032DC" w:rsidRPr="00E2771E" w:rsidRDefault="000032DC" w:rsidP="000B016F">
            <w:pPr>
              <w:jc w:val="center"/>
              <w:rPr>
                <w:rFonts w:ascii="Arial Narrow" w:hAnsi="Arial Narrow"/>
                <w:b/>
                <w:color w:val="000000"/>
                <w:sz w:val="20"/>
                <w:szCs w:val="18"/>
              </w:rPr>
            </w:pPr>
          </w:p>
        </w:tc>
      </w:tr>
      <w:tr w:rsidR="000032DC" w:rsidRPr="00E2771E" w:rsidTr="000B016F">
        <w:tc>
          <w:tcPr>
            <w:tcW w:w="5000" w:type="pct"/>
            <w:gridSpan w:val="12"/>
            <w:shd w:val="clear" w:color="auto" w:fill="auto"/>
            <w:vAlign w:val="center"/>
          </w:tcPr>
          <w:p w:rsidR="000032DC" w:rsidRPr="00E2771E" w:rsidRDefault="000032DC" w:rsidP="000B016F">
            <w:pPr>
              <w:rPr>
                <w:rFonts w:ascii="Arial Narrow" w:hAnsi="Arial Narrow"/>
                <w:b/>
                <w:color w:val="000000"/>
                <w:sz w:val="20"/>
                <w:szCs w:val="18"/>
              </w:rPr>
            </w:pPr>
            <w:r w:rsidRPr="00E2771E">
              <w:rPr>
                <w:rFonts w:ascii="Arial Narrow" w:hAnsi="Arial Narrow"/>
                <w:b/>
                <w:color w:val="000000"/>
                <w:sz w:val="20"/>
                <w:szCs w:val="18"/>
              </w:rPr>
              <w:t>Benefits</w:t>
            </w:r>
          </w:p>
        </w:tc>
      </w:tr>
      <w:tr w:rsidR="000032DC" w:rsidRPr="00E2771E" w:rsidTr="000B016F">
        <w:tc>
          <w:tcPr>
            <w:tcW w:w="5000" w:type="pct"/>
            <w:gridSpan w:val="12"/>
            <w:tcBorders>
              <w:top w:val="double" w:sz="4" w:space="0" w:color="auto"/>
            </w:tcBorders>
            <w:shd w:val="clear" w:color="auto" w:fill="auto"/>
            <w:vAlign w:val="center"/>
          </w:tcPr>
          <w:p w:rsidR="000032DC" w:rsidRPr="00E2771E" w:rsidRDefault="000032DC" w:rsidP="000B016F">
            <w:pPr>
              <w:rPr>
                <w:rFonts w:ascii="Arial Narrow" w:hAnsi="Arial Narrow"/>
                <w:b/>
                <w:color w:val="000000"/>
                <w:sz w:val="20"/>
                <w:szCs w:val="18"/>
              </w:rPr>
            </w:pPr>
            <w:r>
              <w:rPr>
                <w:rFonts w:ascii="Arial Narrow" w:hAnsi="Arial Narrow"/>
                <w:b/>
                <w:color w:val="000000"/>
                <w:sz w:val="20"/>
                <w:szCs w:val="18"/>
              </w:rPr>
              <w:t>PASI 75: I</w:t>
            </w:r>
            <w:r w:rsidRPr="00E2771E">
              <w:rPr>
                <w:rFonts w:ascii="Arial Narrow" w:hAnsi="Arial Narrow"/>
                <w:b/>
                <w:color w:val="000000"/>
                <w:sz w:val="20"/>
                <w:szCs w:val="18"/>
              </w:rPr>
              <w:t>ndirect comparison</w:t>
            </w:r>
            <w:r>
              <w:rPr>
                <w:rFonts w:ascii="Arial Narrow" w:hAnsi="Arial Narrow"/>
                <w:b/>
                <w:color w:val="000000"/>
                <w:sz w:val="20"/>
                <w:szCs w:val="18"/>
              </w:rPr>
              <w:t xml:space="preserve">  - results of meta-analyses</w:t>
            </w:r>
          </w:p>
        </w:tc>
      </w:tr>
      <w:tr w:rsidR="000032DC" w:rsidRPr="00E2771E" w:rsidTr="000B016F">
        <w:trPr>
          <w:trHeight w:val="105"/>
        </w:trPr>
        <w:tc>
          <w:tcPr>
            <w:tcW w:w="1023" w:type="pct"/>
            <w:gridSpan w:val="2"/>
            <w:vMerge w:val="restart"/>
            <w:shd w:val="clear" w:color="auto" w:fill="auto"/>
            <w:vAlign w:val="center"/>
          </w:tcPr>
          <w:p w:rsidR="000032DC" w:rsidRPr="00E2771E" w:rsidRDefault="000032DC" w:rsidP="000B016F">
            <w:pPr>
              <w:rPr>
                <w:rFonts w:ascii="Arial Narrow" w:hAnsi="Arial Narrow"/>
                <w:color w:val="000000"/>
                <w:sz w:val="20"/>
                <w:szCs w:val="18"/>
              </w:rPr>
            </w:pPr>
          </w:p>
        </w:tc>
        <w:tc>
          <w:tcPr>
            <w:tcW w:w="502" w:type="pct"/>
            <w:vMerge w:val="restart"/>
            <w:vAlign w:val="center"/>
          </w:tcPr>
          <w:p w:rsidR="000032DC" w:rsidRPr="00E2771E" w:rsidRDefault="000032DC" w:rsidP="000B016F">
            <w:pPr>
              <w:jc w:val="center"/>
              <w:rPr>
                <w:rFonts w:ascii="Arial Narrow" w:hAnsi="Arial Narrow"/>
                <w:b/>
                <w:color w:val="000000"/>
                <w:sz w:val="20"/>
                <w:szCs w:val="18"/>
              </w:rPr>
            </w:pPr>
            <w:r>
              <w:rPr>
                <w:rFonts w:ascii="Arial Narrow" w:hAnsi="Arial Narrow"/>
                <w:b/>
                <w:color w:val="000000"/>
                <w:sz w:val="20"/>
                <w:szCs w:val="18"/>
              </w:rPr>
              <w:t>SEC</w:t>
            </w:r>
          </w:p>
        </w:tc>
        <w:tc>
          <w:tcPr>
            <w:tcW w:w="458" w:type="pct"/>
            <w:gridSpan w:val="2"/>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458"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Comp</w:t>
            </w:r>
          </w:p>
        </w:tc>
        <w:tc>
          <w:tcPr>
            <w:tcW w:w="667"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RR</w:t>
            </w:r>
          </w:p>
          <w:p w:rsidR="000032DC" w:rsidRPr="00E2771E" w:rsidRDefault="000032DC" w:rsidP="000B016F">
            <w:pPr>
              <w:jc w:val="center"/>
              <w:rPr>
                <w:rFonts w:ascii="Arial Narrow" w:hAnsi="Arial Narrow"/>
                <w:color w:val="000000"/>
                <w:sz w:val="20"/>
                <w:szCs w:val="18"/>
              </w:rPr>
            </w:pPr>
            <w:r w:rsidRPr="00E2771E">
              <w:rPr>
                <w:rFonts w:ascii="Arial Narrow" w:hAnsi="Arial Narrow"/>
                <w:b/>
                <w:color w:val="000000"/>
                <w:sz w:val="20"/>
                <w:szCs w:val="18"/>
              </w:rPr>
              <w:t>(95% CI)</w:t>
            </w:r>
          </w:p>
        </w:tc>
        <w:tc>
          <w:tcPr>
            <w:tcW w:w="1304" w:type="pct"/>
            <w:gridSpan w:val="4"/>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588"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RD</w:t>
            </w:r>
          </w:p>
          <w:p w:rsidR="000032DC" w:rsidRPr="00E2771E" w:rsidRDefault="000032DC" w:rsidP="000B016F">
            <w:pPr>
              <w:jc w:val="center"/>
              <w:rPr>
                <w:rFonts w:ascii="Arial Narrow" w:hAnsi="Arial Narrow"/>
                <w:color w:val="000000"/>
                <w:sz w:val="20"/>
                <w:szCs w:val="18"/>
              </w:rPr>
            </w:pPr>
            <w:r w:rsidRPr="00E2771E">
              <w:rPr>
                <w:rFonts w:ascii="Arial Narrow" w:hAnsi="Arial Narrow"/>
                <w:b/>
                <w:color w:val="000000"/>
                <w:sz w:val="20"/>
                <w:szCs w:val="18"/>
              </w:rPr>
              <w:t>(95% CI)</w:t>
            </w:r>
          </w:p>
        </w:tc>
      </w:tr>
      <w:tr w:rsidR="000032DC" w:rsidRPr="00E2771E" w:rsidTr="000B016F">
        <w:trPr>
          <w:trHeight w:val="70"/>
        </w:trPr>
        <w:tc>
          <w:tcPr>
            <w:tcW w:w="1023" w:type="pct"/>
            <w:gridSpan w:val="2"/>
            <w:vMerge/>
            <w:shd w:val="clear" w:color="auto" w:fill="auto"/>
            <w:vAlign w:val="center"/>
          </w:tcPr>
          <w:p w:rsidR="000032DC" w:rsidRPr="00E2771E" w:rsidRDefault="000032DC" w:rsidP="000B016F">
            <w:pPr>
              <w:rPr>
                <w:rFonts w:ascii="Arial Narrow" w:hAnsi="Arial Narrow"/>
                <w:color w:val="000000"/>
                <w:sz w:val="20"/>
                <w:szCs w:val="18"/>
              </w:rPr>
            </w:pPr>
          </w:p>
        </w:tc>
        <w:tc>
          <w:tcPr>
            <w:tcW w:w="502" w:type="pct"/>
            <w:vMerge/>
            <w:vAlign w:val="center"/>
          </w:tcPr>
          <w:p w:rsidR="000032DC" w:rsidRPr="00E2771E" w:rsidRDefault="000032DC" w:rsidP="000B016F">
            <w:pPr>
              <w:jc w:val="center"/>
              <w:rPr>
                <w:rFonts w:ascii="Arial Narrow" w:hAnsi="Arial Narrow"/>
                <w:b/>
                <w:color w:val="000000"/>
                <w:sz w:val="20"/>
                <w:szCs w:val="18"/>
              </w:rPr>
            </w:pPr>
          </w:p>
        </w:tc>
        <w:tc>
          <w:tcPr>
            <w:tcW w:w="458" w:type="pct"/>
            <w:gridSpan w:val="2"/>
            <w:vMerge/>
            <w:vAlign w:val="center"/>
          </w:tcPr>
          <w:p w:rsidR="000032DC" w:rsidRPr="00E2771E" w:rsidRDefault="000032DC" w:rsidP="000B016F">
            <w:pPr>
              <w:jc w:val="center"/>
              <w:rPr>
                <w:rFonts w:ascii="Arial Narrow" w:hAnsi="Arial Narrow"/>
                <w:b/>
                <w:color w:val="000000"/>
                <w:sz w:val="20"/>
                <w:szCs w:val="18"/>
              </w:rPr>
            </w:pPr>
          </w:p>
        </w:tc>
        <w:tc>
          <w:tcPr>
            <w:tcW w:w="458" w:type="pct"/>
            <w:vMerge/>
            <w:vAlign w:val="center"/>
          </w:tcPr>
          <w:p w:rsidR="000032DC" w:rsidRPr="00E2771E" w:rsidRDefault="000032DC" w:rsidP="000B016F">
            <w:pPr>
              <w:jc w:val="center"/>
              <w:rPr>
                <w:rFonts w:ascii="Arial Narrow" w:hAnsi="Arial Narrow"/>
                <w:b/>
                <w:color w:val="000000"/>
                <w:sz w:val="20"/>
                <w:szCs w:val="18"/>
              </w:rPr>
            </w:pPr>
          </w:p>
        </w:tc>
        <w:tc>
          <w:tcPr>
            <w:tcW w:w="667" w:type="pct"/>
            <w:vMerge/>
            <w:vAlign w:val="center"/>
          </w:tcPr>
          <w:p w:rsidR="000032DC" w:rsidRPr="00E2771E" w:rsidRDefault="000032DC" w:rsidP="000B016F">
            <w:pPr>
              <w:jc w:val="center"/>
              <w:rPr>
                <w:rFonts w:ascii="Arial Narrow" w:hAnsi="Arial Narrow"/>
                <w:b/>
                <w:color w:val="000000"/>
                <w:sz w:val="20"/>
                <w:szCs w:val="18"/>
              </w:rPr>
            </w:pPr>
          </w:p>
        </w:tc>
        <w:tc>
          <w:tcPr>
            <w:tcW w:w="434" w:type="pct"/>
            <w:gridSpan w:val="2"/>
            <w:vAlign w:val="center"/>
          </w:tcPr>
          <w:p w:rsidR="000032DC" w:rsidRPr="00E2771E" w:rsidRDefault="000032DC" w:rsidP="000B016F">
            <w:pPr>
              <w:jc w:val="center"/>
              <w:rPr>
                <w:rFonts w:ascii="Arial Narrow" w:hAnsi="Arial Narrow"/>
                <w:b/>
                <w:color w:val="000000"/>
                <w:sz w:val="20"/>
                <w:szCs w:val="18"/>
              </w:rPr>
            </w:pPr>
            <w:r>
              <w:rPr>
                <w:rFonts w:ascii="Arial Narrow" w:hAnsi="Arial Narrow"/>
                <w:b/>
                <w:color w:val="000000"/>
                <w:sz w:val="20"/>
                <w:szCs w:val="18"/>
              </w:rPr>
              <w:t>SEC</w:t>
            </w:r>
          </w:p>
        </w:tc>
        <w:tc>
          <w:tcPr>
            <w:tcW w:w="435" w:type="pc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435" w:type="pc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Comp</w:t>
            </w:r>
          </w:p>
        </w:tc>
        <w:tc>
          <w:tcPr>
            <w:tcW w:w="588" w:type="pct"/>
            <w:vMerge/>
            <w:vAlign w:val="center"/>
          </w:tcPr>
          <w:p w:rsidR="000032DC" w:rsidRPr="00E2771E" w:rsidRDefault="000032DC" w:rsidP="000B016F">
            <w:pPr>
              <w:jc w:val="center"/>
              <w:rPr>
                <w:rFonts w:ascii="Arial Narrow" w:hAnsi="Arial Narrow"/>
                <w:b/>
                <w:color w:val="000000"/>
                <w:sz w:val="20"/>
                <w:szCs w:val="18"/>
              </w:rPr>
            </w:pP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SEC</w:t>
            </w:r>
          </w:p>
          <w:p w:rsidR="000032DC" w:rsidRPr="00796E24" w:rsidRDefault="000032DC" w:rsidP="000B016F">
            <w:pPr>
              <w:tabs>
                <w:tab w:val="left" w:pos="207"/>
              </w:tabs>
              <w:rPr>
                <w:rFonts w:ascii="Arial Narrow" w:hAnsi="Arial Narrow"/>
                <w:color w:val="000000"/>
                <w:sz w:val="20"/>
                <w:szCs w:val="18"/>
                <w:vertAlign w:val="subscript"/>
              </w:rPr>
            </w:pPr>
            <w:r>
              <w:rPr>
                <w:rFonts w:ascii="Arial Narrow" w:hAnsi="Arial Narrow"/>
                <w:color w:val="000000"/>
                <w:sz w:val="20"/>
                <w:szCs w:val="18"/>
              </w:rPr>
              <w:tab/>
              <w:t>All</w:t>
            </w:r>
          </w:p>
        </w:tc>
        <w:tc>
          <w:tcPr>
            <w:tcW w:w="421" w:type="pct"/>
            <w:shd w:val="clear" w:color="auto" w:fill="auto"/>
            <w:vAlign w:val="center"/>
          </w:tcPr>
          <w:p w:rsidR="000032DC" w:rsidRPr="0090381C" w:rsidRDefault="000032DC" w:rsidP="000B016F">
            <w:pPr>
              <w:tabs>
                <w:tab w:val="left" w:pos="207"/>
              </w:tabs>
              <w:jc w:val="center"/>
              <w:rPr>
                <w:rFonts w:ascii="Arial Narrow" w:hAnsi="Arial Narrow"/>
                <w:color w:val="000000"/>
                <w:sz w:val="20"/>
                <w:szCs w:val="18"/>
              </w:rPr>
            </w:pPr>
            <w:r>
              <w:rPr>
                <w:rFonts w:ascii="Arial Narrow" w:hAnsi="Arial Narrow"/>
                <w:color w:val="000000"/>
                <w:sz w:val="20"/>
                <w:szCs w:val="18"/>
              </w:rPr>
              <w:t>12</w:t>
            </w:r>
          </w:p>
        </w:tc>
        <w:tc>
          <w:tcPr>
            <w:tcW w:w="502" w:type="pct"/>
            <w:vAlign w:val="center"/>
          </w:tcPr>
          <w:p w:rsidR="000032DC" w:rsidRPr="00E2771E" w:rsidRDefault="000032DC" w:rsidP="000B016F">
            <w:pPr>
              <w:jc w:val="center"/>
              <w:rPr>
                <w:rFonts w:ascii="Arial Narrow" w:hAnsi="Arial Narrow"/>
                <w:sz w:val="20"/>
                <w:szCs w:val="18"/>
              </w:rPr>
            </w:pPr>
            <w:r>
              <w:rPr>
                <w:rFonts w:ascii="Arial Narrow" w:hAnsi="Arial Narrow"/>
                <w:sz w:val="20"/>
                <w:szCs w:val="18"/>
              </w:rPr>
              <w:t>545/687</w:t>
            </w:r>
          </w:p>
        </w:tc>
        <w:tc>
          <w:tcPr>
            <w:tcW w:w="458" w:type="pct"/>
            <w:gridSpan w:val="2"/>
            <w:vAlign w:val="center"/>
          </w:tcPr>
          <w:p w:rsidR="000032DC" w:rsidRPr="00E2771E" w:rsidRDefault="000032DC" w:rsidP="000B016F">
            <w:pPr>
              <w:jc w:val="center"/>
              <w:rPr>
                <w:rFonts w:ascii="Arial Narrow" w:hAnsi="Arial Narrow"/>
                <w:sz w:val="20"/>
                <w:szCs w:val="18"/>
              </w:rPr>
            </w:pPr>
            <w:r>
              <w:rPr>
                <w:rFonts w:ascii="Arial Narrow" w:hAnsi="Arial Narrow"/>
                <w:sz w:val="20"/>
                <w:szCs w:val="18"/>
              </w:rPr>
              <w:t>29/690</w:t>
            </w:r>
          </w:p>
        </w:tc>
        <w:tc>
          <w:tcPr>
            <w:tcW w:w="458"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667" w:type="pct"/>
            <w:vAlign w:val="center"/>
          </w:tcPr>
          <w:p w:rsidR="000032DC" w:rsidRPr="00BE3456" w:rsidRDefault="000032DC" w:rsidP="000B016F">
            <w:pPr>
              <w:jc w:val="center"/>
              <w:rPr>
                <w:rFonts w:ascii="Arial Narrow" w:hAnsi="Arial Narrow"/>
                <w:b/>
                <w:i/>
                <w:sz w:val="20"/>
              </w:rPr>
            </w:pPr>
            <w:r w:rsidRPr="00BE3456">
              <w:rPr>
                <w:rFonts w:ascii="Arial Narrow" w:hAnsi="Arial Narrow"/>
                <w:b/>
                <w:i/>
                <w:sz w:val="20"/>
              </w:rPr>
              <w:t xml:space="preserve">17.7 </w:t>
            </w:r>
          </w:p>
          <w:p w:rsidR="000032DC" w:rsidRPr="00BE3456" w:rsidRDefault="000032DC" w:rsidP="000B016F">
            <w:pPr>
              <w:jc w:val="center"/>
              <w:rPr>
                <w:rFonts w:ascii="Arial Narrow" w:hAnsi="Arial Narrow"/>
                <w:sz w:val="20"/>
              </w:rPr>
            </w:pPr>
            <w:r w:rsidRPr="00BE3456">
              <w:rPr>
                <w:rFonts w:ascii="Arial Narrow" w:hAnsi="Arial Narrow"/>
                <w:b/>
                <w:i/>
                <w:sz w:val="20"/>
              </w:rPr>
              <w:t>(12.4, 25.2)</w:t>
            </w:r>
          </w:p>
        </w:tc>
        <w:tc>
          <w:tcPr>
            <w:tcW w:w="434" w:type="pct"/>
            <w:gridSpan w:val="2"/>
            <w:vAlign w:val="center"/>
          </w:tcPr>
          <w:p w:rsidR="000032DC" w:rsidRPr="00BE3456" w:rsidRDefault="000032DC" w:rsidP="000B016F">
            <w:pPr>
              <w:jc w:val="center"/>
              <w:rPr>
                <w:rFonts w:ascii="Arial Narrow" w:hAnsi="Arial Narrow"/>
                <w:color w:val="000000"/>
                <w:sz w:val="20"/>
              </w:rPr>
            </w:pPr>
            <w:r w:rsidRPr="00BE3456">
              <w:rPr>
                <w:rFonts w:ascii="Arial Narrow" w:hAnsi="Arial Narrow"/>
                <w:color w:val="000000"/>
                <w:sz w:val="20"/>
              </w:rPr>
              <w:t>79</w:t>
            </w:r>
          </w:p>
        </w:tc>
        <w:tc>
          <w:tcPr>
            <w:tcW w:w="435" w:type="pct"/>
            <w:vAlign w:val="center"/>
          </w:tcPr>
          <w:p w:rsidR="000032DC" w:rsidRPr="00BE3456" w:rsidRDefault="000032DC" w:rsidP="000B016F">
            <w:pPr>
              <w:jc w:val="center"/>
              <w:rPr>
                <w:rFonts w:ascii="Arial Narrow" w:hAnsi="Arial Narrow"/>
                <w:color w:val="000000"/>
                <w:sz w:val="20"/>
              </w:rPr>
            </w:pPr>
            <w:r w:rsidRPr="00BE3456">
              <w:rPr>
                <w:rFonts w:ascii="Arial Narrow" w:hAnsi="Arial Narrow"/>
                <w:color w:val="000000"/>
                <w:sz w:val="20"/>
              </w:rPr>
              <w:t>4</w:t>
            </w:r>
          </w:p>
        </w:tc>
        <w:tc>
          <w:tcPr>
            <w:tcW w:w="435" w:type="pct"/>
            <w:vAlign w:val="center"/>
          </w:tcPr>
          <w:p w:rsidR="000032DC" w:rsidRPr="00BE3456" w:rsidRDefault="000032DC" w:rsidP="000B016F">
            <w:pPr>
              <w:jc w:val="center"/>
              <w:rPr>
                <w:rFonts w:ascii="Arial Narrow" w:hAnsi="Arial Narrow"/>
                <w:color w:val="000000"/>
                <w:sz w:val="20"/>
              </w:rPr>
            </w:pPr>
            <w:r w:rsidRPr="00BE3456">
              <w:rPr>
                <w:rFonts w:ascii="Arial Narrow" w:hAnsi="Arial Narrow"/>
                <w:color w:val="000000"/>
                <w:sz w:val="20"/>
              </w:rPr>
              <w:t>-</w:t>
            </w:r>
          </w:p>
        </w:tc>
        <w:tc>
          <w:tcPr>
            <w:tcW w:w="588" w:type="pct"/>
            <w:vAlign w:val="center"/>
          </w:tcPr>
          <w:p w:rsidR="000032DC" w:rsidRPr="00BE3456" w:rsidRDefault="000032DC" w:rsidP="000B016F">
            <w:pPr>
              <w:jc w:val="center"/>
              <w:rPr>
                <w:rFonts w:ascii="Arial Narrow" w:hAnsi="Arial Narrow"/>
                <w:b/>
                <w:i/>
                <w:sz w:val="20"/>
              </w:rPr>
            </w:pPr>
            <w:r w:rsidRPr="00BE3456">
              <w:rPr>
                <w:rFonts w:ascii="Arial Narrow" w:hAnsi="Arial Narrow"/>
                <w:b/>
                <w:i/>
                <w:sz w:val="20"/>
              </w:rPr>
              <w:t xml:space="preserve">0.76 </w:t>
            </w:r>
          </w:p>
          <w:p w:rsidR="000032DC" w:rsidRPr="00BE3456" w:rsidRDefault="000032DC" w:rsidP="000B016F">
            <w:pPr>
              <w:jc w:val="center"/>
              <w:rPr>
                <w:rFonts w:ascii="Arial Narrow" w:hAnsi="Arial Narrow"/>
                <w:color w:val="000000"/>
                <w:sz w:val="20"/>
              </w:rPr>
            </w:pPr>
            <w:r w:rsidRPr="00BE3456">
              <w:rPr>
                <w:rFonts w:ascii="Arial Narrow" w:hAnsi="Arial Narrow"/>
                <w:b/>
                <w:i/>
                <w:sz w:val="20"/>
              </w:rPr>
              <w:t>(0.72, 0.80)</w:t>
            </w:r>
          </w:p>
        </w:tc>
      </w:tr>
      <w:tr w:rsidR="000032DC" w:rsidRPr="00E2771E" w:rsidTr="000B016F">
        <w:tc>
          <w:tcPr>
            <w:tcW w:w="602" w:type="pct"/>
            <w:shd w:val="clear" w:color="auto" w:fill="auto"/>
            <w:vAlign w:val="center"/>
          </w:tcPr>
          <w:p w:rsidR="000032DC" w:rsidRPr="00E405FE" w:rsidRDefault="00E405FE" w:rsidP="000B016F">
            <w:pPr>
              <w:rPr>
                <w:rFonts w:ascii="Arial Narrow" w:hAnsi="Arial Narrow"/>
                <w:color w:val="000000"/>
                <w:sz w:val="20"/>
                <w:szCs w:val="18"/>
                <w:highlight w:val="black"/>
              </w:rPr>
            </w:pPr>
            <w:r>
              <w:rPr>
                <w:rFonts w:ascii="Arial Narrow" w:hAnsi="Arial Narrow"/>
                <w:noProof/>
                <w:color w:val="000000"/>
                <w:sz w:val="20"/>
                <w:szCs w:val="18"/>
                <w:highlight w:val="black"/>
              </w:rPr>
              <w:t>'''''''''''</w:t>
            </w:r>
          </w:p>
          <w:p w:rsidR="000032DC" w:rsidRPr="00E405FE" w:rsidRDefault="00E405FE" w:rsidP="000B016F">
            <w:pPr>
              <w:tabs>
                <w:tab w:val="left" w:pos="207"/>
              </w:tabs>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1" w:type="pct"/>
            <w:shd w:val="clear" w:color="auto" w:fill="auto"/>
            <w:vAlign w:val="center"/>
          </w:tcPr>
          <w:p w:rsidR="000032DC" w:rsidRPr="00E405FE" w:rsidRDefault="00E405FE" w:rsidP="000B016F">
            <w:pPr>
              <w:tabs>
                <w:tab w:val="left" w:pos="207"/>
              </w:tab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02" w:type="pct"/>
            <w:vAlign w:val="center"/>
          </w:tcPr>
          <w:p w:rsidR="000032DC" w:rsidRPr="00AE0FA8" w:rsidRDefault="00AE0FA8" w:rsidP="000B016F">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58" w:type="pct"/>
            <w:gridSpan w:val="2"/>
            <w:vAlign w:val="center"/>
          </w:tcPr>
          <w:p w:rsidR="000032DC" w:rsidRPr="00AE0FA8" w:rsidRDefault="00AE0FA8" w:rsidP="000B016F">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58" w:type="pct"/>
            <w:vAlign w:val="center"/>
          </w:tcPr>
          <w:p w:rsidR="000032DC" w:rsidRPr="00E405FE" w:rsidRDefault="00E405FE" w:rsidP="000B016F">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7" w:type="pct"/>
            <w:vAlign w:val="center"/>
          </w:tcPr>
          <w:p w:rsidR="000032DC" w:rsidRPr="00AE0FA8" w:rsidRDefault="00AE0FA8" w:rsidP="000B016F">
            <w:pPr>
              <w:jc w:val="center"/>
              <w:rPr>
                <w:rFonts w:ascii="Arial Narrow" w:hAnsi="Arial Narrow"/>
                <w:b/>
                <w:i/>
                <w:sz w:val="20"/>
                <w:highlight w:val="black"/>
              </w:rPr>
            </w:pPr>
            <w:r>
              <w:rPr>
                <w:rFonts w:ascii="Arial Narrow" w:hAnsi="Arial Narrow"/>
                <w:b/>
                <w:i/>
                <w:noProof/>
                <w:color w:val="000000"/>
                <w:sz w:val="20"/>
                <w:highlight w:val="black"/>
              </w:rPr>
              <w:t xml:space="preserve">''''''''' </w:t>
            </w:r>
          </w:p>
          <w:p w:rsidR="000032DC" w:rsidRPr="00AE0FA8" w:rsidRDefault="00AE0FA8" w:rsidP="000B016F">
            <w:pPr>
              <w:jc w:val="center"/>
              <w:rPr>
                <w:rFonts w:ascii="Arial Narrow" w:hAnsi="Arial Narrow"/>
                <w:b/>
                <w:i/>
                <w:sz w:val="20"/>
                <w:highlight w:val="black"/>
              </w:rPr>
            </w:pPr>
            <w:r>
              <w:rPr>
                <w:rFonts w:ascii="Arial Narrow" w:hAnsi="Arial Narrow"/>
                <w:b/>
                <w:i/>
                <w:noProof/>
                <w:color w:val="000000"/>
                <w:sz w:val="20"/>
                <w:highlight w:val="black"/>
              </w:rPr>
              <w:t>''''''''''' ''''''''''</w:t>
            </w:r>
          </w:p>
        </w:tc>
        <w:tc>
          <w:tcPr>
            <w:tcW w:w="434" w:type="pct"/>
            <w:gridSpan w:val="2"/>
            <w:vAlign w:val="center"/>
          </w:tcPr>
          <w:p w:rsidR="000032DC" w:rsidRPr="00AE0FA8" w:rsidRDefault="00AE0FA8"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35" w:type="pct"/>
            <w:vAlign w:val="center"/>
          </w:tcPr>
          <w:p w:rsidR="000032DC" w:rsidRPr="00AE0FA8" w:rsidRDefault="00AE0FA8"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35" w:type="pct"/>
            <w:vAlign w:val="center"/>
          </w:tcPr>
          <w:p w:rsidR="000032DC" w:rsidRPr="00E405FE" w:rsidRDefault="00E405FE"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88" w:type="pct"/>
            <w:vAlign w:val="center"/>
          </w:tcPr>
          <w:p w:rsidR="000032DC" w:rsidRPr="00D412C2" w:rsidRDefault="00D412C2" w:rsidP="000B016F">
            <w:pPr>
              <w:jc w:val="center"/>
              <w:rPr>
                <w:rFonts w:ascii="Arial Narrow" w:hAnsi="Arial Narrow"/>
                <w:b/>
                <w:i/>
                <w:sz w:val="20"/>
                <w:highlight w:val="black"/>
              </w:rPr>
            </w:pPr>
            <w:r>
              <w:rPr>
                <w:rFonts w:ascii="Arial Narrow" w:hAnsi="Arial Narrow"/>
                <w:b/>
                <w:i/>
                <w:noProof/>
                <w:color w:val="000000"/>
                <w:sz w:val="20"/>
                <w:highlight w:val="black"/>
              </w:rPr>
              <w:t xml:space="preserve">''''''''' </w:t>
            </w:r>
          </w:p>
          <w:p w:rsidR="000032DC" w:rsidRPr="00D412C2" w:rsidRDefault="00D412C2" w:rsidP="000B016F">
            <w:pPr>
              <w:jc w:val="center"/>
              <w:rPr>
                <w:rFonts w:ascii="Arial Narrow" w:hAnsi="Arial Narrow"/>
                <w:b/>
                <w:i/>
                <w:sz w:val="20"/>
                <w:highlight w:val="black"/>
              </w:rPr>
            </w:pPr>
            <w:r>
              <w:rPr>
                <w:rFonts w:ascii="Arial Narrow" w:hAnsi="Arial Narrow"/>
                <w:b/>
                <w:i/>
                <w:noProof/>
                <w:color w:val="000000"/>
                <w:sz w:val="20"/>
                <w:highlight w:val="black"/>
              </w:rPr>
              <w:t>'''''''''' '''''''''''</w:t>
            </w:r>
          </w:p>
        </w:tc>
      </w:tr>
      <w:tr w:rsidR="000032DC" w:rsidRPr="00E2771E" w:rsidTr="000B016F">
        <w:tc>
          <w:tcPr>
            <w:tcW w:w="602" w:type="pct"/>
            <w:shd w:val="clear" w:color="auto" w:fill="auto"/>
            <w:vAlign w:val="center"/>
          </w:tcPr>
          <w:p w:rsidR="000032DC" w:rsidRPr="00E405FE" w:rsidRDefault="00E405FE" w:rsidP="000B016F">
            <w:pPr>
              <w:rPr>
                <w:rFonts w:ascii="Arial Narrow" w:hAnsi="Arial Narrow"/>
                <w:color w:val="000000"/>
                <w:sz w:val="20"/>
                <w:szCs w:val="18"/>
                <w:highlight w:val="black"/>
              </w:rPr>
            </w:pPr>
            <w:r>
              <w:rPr>
                <w:rFonts w:ascii="Arial Narrow" w:hAnsi="Arial Narrow"/>
                <w:noProof/>
                <w:color w:val="000000"/>
                <w:sz w:val="20"/>
                <w:szCs w:val="18"/>
                <w:highlight w:val="black"/>
              </w:rPr>
              <w:t>'''''''''''</w:t>
            </w:r>
          </w:p>
          <w:p w:rsidR="000032DC" w:rsidRPr="00E405FE" w:rsidRDefault="00E405FE" w:rsidP="000B016F">
            <w:pPr>
              <w:tabs>
                <w:tab w:val="left" w:pos="207"/>
              </w:tabs>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21" w:type="pct"/>
            <w:shd w:val="clear" w:color="auto" w:fill="auto"/>
            <w:vAlign w:val="center"/>
          </w:tcPr>
          <w:p w:rsidR="000032DC" w:rsidRPr="00E405FE" w:rsidRDefault="00E405FE" w:rsidP="000B016F">
            <w:pPr>
              <w:tabs>
                <w:tab w:val="left" w:pos="207"/>
              </w:tab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02" w:type="pct"/>
            <w:vAlign w:val="center"/>
          </w:tcPr>
          <w:p w:rsidR="000032DC" w:rsidRPr="00AE0FA8" w:rsidRDefault="00AE0FA8" w:rsidP="000B016F">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58" w:type="pct"/>
            <w:gridSpan w:val="2"/>
            <w:vAlign w:val="center"/>
          </w:tcPr>
          <w:p w:rsidR="000032DC" w:rsidRPr="00AE0FA8" w:rsidRDefault="00AE0FA8" w:rsidP="000B016F">
            <w:pPr>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458" w:type="pct"/>
            <w:vAlign w:val="center"/>
          </w:tcPr>
          <w:p w:rsidR="000032DC" w:rsidRPr="00E405FE" w:rsidRDefault="00E405FE" w:rsidP="000B016F">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67" w:type="pct"/>
            <w:vAlign w:val="center"/>
          </w:tcPr>
          <w:p w:rsidR="000032DC" w:rsidRPr="00AE0FA8" w:rsidRDefault="00AE0FA8" w:rsidP="000B016F">
            <w:pPr>
              <w:jc w:val="center"/>
              <w:rPr>
                <w:rFonts w:ascii="Arial Narrow" w:hAnsi="Arial Narrow"/>
                <w:b/>
                <w:i/>
                <w:sz w:val="20"/>
                <w:highlight w:val="black"/>
              </w:rPr>
            </w:pPr>
            <w:r>
              <w:rPr>
                <w:rFonts w:ascii="Arial Narrow" w:hAnsi="Arial Narrow"/>
                <w:b/>
                <w:i/>
                <w:noProof/>
                <w:color w:val="000000"/>
                <w:sz w:val="20"/>
                <w:highlight w:val="black"/>
              </w:rPr>
              <w:t xml:space="preserve">''''''''' </w:t>
            </w:r>
          </w:p>
          <w:p w:rsidR="000032DC" w:rsidRPr="00AE0FA8" w:rsidRDefault="00AE0FA8" w:rsidP="000B016F">
            <w:pPr>
              <w:jc w:val="center"/>
              <w:rPr>
                <w:rFonts w:ascii="Arial Narrow" w:hAnsi="Arial Narrow"/>
                <w:b/>
                <w:i/>
                <w:sz w:val="20"/>
                <w:highlight w:val="black"/>
              </w:rPr>
            </w:pPr>
            <w:r>
              <w:rPr>
                <w:rFonts w:ascii="Arial Narrow" w:hAnsi="Arial Narrow"/>
                <w:b/>
                <w:i/>
                <w:noProof/>
                <w:color w:val="000000"/>
                <w:sz w:val="20"/>
                <w:highlight w:val="black"/>
              </w:rPr>
              <w:t>''''''''' ''''''''''</w:t>
            </w:r>
          </w:p>
        </w:tc>
        <w:tc>
          <w:tcPr>
            <w:tcW w:w="434" w:type="pct"/>
            <w:gridSpan w:val="2"/>
            <w:vAlign w:val="center"/>
          </w:tcPr>
          <w:p w:rsidR="000032DC" w:rsidRPr="00AE0FA8" w:rsidRDefault="00AE0FA8"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35" w:type="pct"/>
            <w:vAlign w:val="center"/>
          </w:tcPr>
          <w:p w:rsidR="000032DC" w:rsidRPr="00AE0FA8" w:rsidRDefault="00AE0FA8"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435" w:type="pct"/>
            <w:vAlign w:val="center"/>
          </w:tcPr>
          <w:p w:rsidR="000032DC" w:rsidRPr="00E405FE" w:rsidRDefault="00E405FE"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88" w:type="pct"/>
            <w:vAlign w:val="center"/>
          </w:tcPr>
          <w:p w:rsidR="000032DC" w:rsidRPr="00D412C2" w:rsidRDefault="00D412C2" w:rsidP="000B016F">
            <w:pPr>
              <w:jc w:val="center"/>
              <w:rPr>
                <w:rFonts w:ascii="Arial Narrow" w:hAnsi="Arial Narrow"/>
                <w:b/>
                <w:i/>
                <w:sz w:val="20"/>
                <w:highlight w:val="black"/>
              </w:rPr>
            </w:pPr>
            <w:r>
              <w:rPr>
                <w:rFonts w:ascii="Arial Narrow" w:hAnsi="Arial Narrow"/>
                <w:b/>
                <w:i/>
                <w:noProof/>
                <w:color w:val="000000"/>
                <w:sz w:val="20"/>
                <w:highlight w:val="black"/>
              </w:rPr>
              <w:t xml:space="preserve">''''''''' </w:t>
            </w:r>
          </w:p>
          <w:p w:rsidR="000032DC" w:rsidRPr="00D412C2" w:rsidRDefault="00D412C2" w:rsidP="000B016F">
            <w:pPr>
              <w:jc w:val="center"/>
              <w:rPr>
                <w:rFonts w:ascii="Arial Narrow" w:hAnsi="Arial Narrow"/>
                <w:b/>
                <w:i/>
                <w:sz w:val="20"/>
                <w:highlight w:val="black"/>
              </w:rPr>
            </w:pPr>
            <w:r>
              <w:rPr>
                <w:rFonts w:ascii="Arial Narrow" w:hAnsi="Arial Narrow"/>
                <w:b/>
                <w:i/>
                <w:noProof/>
                <w:color w:val="000000"/>
                <w:sz w:val="20"/>
                <w:highlight w:val="black"/>
              </w:rPr>
              <w:t>'''''''''''' ''''''''''</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UST45</w:t>
            </w:r>
          </w:p>
          <w:p w:rsidR="000032DC" w:rsidRPr="00E2771E" w:rsidRDefault="000032DC" w:rsidP="000B016F">
            <w:pPr>
              <w:tabs>
                <w:tab w:val="left" w:pos="207"/>
              </w:tabs>
              <w:rPr>
                <w:rFonts w:ascii="Arial Narrow" w:hAnsi="Arial Narrow"/>
                <w:color w:val="000000"/>
                <w:sz w:val="20"/>
                <w:szCs w:val="18"/>
              </w:rPr>
            </w:pPr>
            <w:r>
              <w:rPr>
                <w:rFonts w:ascii="Arial Narrow" w:hAnsi="Arial Narrow"/>
                <w:color w:val="000000"/>
                <w:sz w:val="20"/>
                <w:szCs w:val="18"/>
              </w:rPr>
              <w:tab/>
              <w:t>≤100kg</w:t>
            </w:r>
          </w:p>
        </w:tc>
        <w:tc>
          <w:tcPr>
            <w:tcW w:w="421" w:type="pct"/>
            <w:shd w:val="clear" w:color="auto" w:fill="auto"/>
            <w:vAlign w:val="center"/>
          </w:tcPr>
          <w:p w:rsidR="000032DC" w:rsidRPr="00E2771E" w:rsidRDefault="000032DC" w:rsidP="000B016F">
            <w:pPr>
              <w:tabs>
                <w:tab w:val="left" w:pos="207"/>
              </w:tabs>
              <w:jc w:val="center"/>
              <w:rPr>
                <w:rFonts w:ascii="Arial Narrow" w:hAnsi="Arial Narrow"/>
                <w:color w:val="000000"/>
                <w:sz w:val="20"/>
                <w:szCs w:val="18"/>
              </w:rPr>
            </w:pPr>
            <w:r>
              <w:rPr>
                <w:rFonts w:ascii="Arial Narrow" w:hAnsi="Arial Narrow"/>
                <w:color w:val="000000"/>
                <w:sz w:val="20"/>
                <w:szCs w:val="18"/>
              </w:rPr>
              <w:t>12</w:t>
            </w:r>
          </w:p>
        </w:tc>
        <w:tc>
          <w:tcPr>
            <w:tcW w:w="502"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58" w:type="pct"/>
            <w:gridSpan w:val="2"/>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18/456</w:t>
            </w:r>
          </w:p>
        </w:tc>
        <w:tc>
          <w:tcPr>
            <w:tcW w:w="458"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342/465</w:t>
            </w:r>
          </w:p>
        </w:tc>
        <w:tc>
          <w:tcPr>
            <w:tcW w:w="667" w:type="pct"/>
            <w:vAlign w:val="center"/>
          </w:tcPr>
          <w:p w:rsidR="000032DC" w:rsidRPr="00761838" w:rsidRDefault="000032DC" w:rsidP="000B016F">
            <w:pPr>
              <w:jc w:val="center"/>
              <w:rPr>
                <w:rFonts w:ascii="Arial Narrow" w:hAnsi="Arial Narrow"/>
                <w:b/>
                <w:i/>
                <w:sz w:val="20"/>
              </w:rPr>
            </w:pPr>
            <w:r w:rsidRPr="00761838">
              <w:rPr>
                <w:rFonts w:ascii="Arial Narrow" w:hAnsi="Arial Narrow"/>
                <w:b/>
                <w:i/>
                <w:sz w:val="20"/>
              </w:rPr>
              <w:t xml:space="preserve">18.6 </w:t>
            </w:r>
          </w:p>
          <w:p w:rsidR="000032DC" w:rsidRPr="00761838" w:rsidRDefault="000032DC" w:rsidP="000B016F">
            <w:pPr>
              <w:jc w:val="center"/>
              <w:rPr>
                <w:rFonts w:ascii="Arial Narrow" w:hAnsi="Arial Narrow"/>
                <w:color w:val="000000"/>
                <w:sz w:val="20"/>
              </w:rPr>
            </w:pPr>
            <w:r w:rsidRPr="00761838">
              <w:rPr>
                <w:rFonts w:ascii="Arial Narrow" w:hAnsi="Arial Narrow"/>
                <w:b/>
                <w:i/>
                <w:sz w:val="20"/>
              </w:rPr>
              <w:t>(11.8, 29.3)</w:t>
            </w:r>
          </w:p>
        </w:tc>
        <w:tc>
          <w:tcPr>
            <w:tcW w:w="434" w:type="pct"/>
            <w:gridSpan w:val="2"/>
            <w:vAlign w:val="center"/>
          </w:tcPr>
          <w:p w:rsidR="000032DC" w:rsidRPr="00761838" w:rsidRDefault="000032DC" w:rsidP="000B016F">
            <w:pPr>
              <w:jc w:val="center"/>
              <w:rPr>
                <w:rFonts w:ascii="Arial Narrow" w:hAnsi="Arial Narrow"/>
                <w:color w:val="000000"/>
                <w:sz w:val="20"/>
              </w:rPr>
            </w:pPr>
            <w:r w:rsidRPr="00761838">
              <w:rPr>
                <w:rFonts w:ascii="Arial Narrow" w:hAnsi="Arial Narrow"/>
                <w:color w:val="000000"/>
                <w:sz w:val="20"/>
              </w:rPr>
              <w:t>-</w:t>
            </w:r>
          </w:p>
        </w:tc>
        <w:tc>
          <w:tcPr>
            <w:tcW w:w="435" w:type="pct"/>
            <w:vAlign w:val="center"/>
          </w:tcPr>
          <w:p w:rsidR="000032DC" w:rsidRPr="00761838" w:rsidRDefault="000032DC" w:rsidP="000B016F">
            <w:pPr>
              <w:jc w:val="center"/>
              <w:rPr>
                <w:rFonts w:ascii="Arial Narrow" w:hAnsi="Arial Narrow"/>
                <w:color w:val="000000"/>
                <w:sz w:val="20"/>
              </w:rPr>
            </w:pPr>
            <w:r w:rsidRPr="00761838">
              <w:rPr>
                <w:rFonts w:ascii="Arial Narrow" w:hAnsi="Arial Narrow"/>
                <w:color w:val="000000"/>
                <w:sz w:val="20"/>
              </w:rPr>
              <w:t>4</w:t>
            </w:r>
          </w:p>
        </w:tc>
        <w:tc>
          <w:tcPr>
            <w:tcW w:w="435" w:type="pct"/>
            <w:vAlign w:val="center"/>
          </w:tcPr>
          <w:p w:rsidR="000032DC" w:rsidRPr="00761838" w:rsidRDefault="000032DC" w:rsidP="000B016F">
            <w:pPr>
              <w:jc w:val="center"/>
              <w:rPr>
                <w:rFonts w:ascii="Arial Narrow" w:hAnsi="Arial Narrow"/>
                <w:color w:val="000000"/>
                <w:sz w:val="20"/>
              </w:rPr>
            </w:pPr>
            <w:r w:rsidRPr="00761838">
              <w:rPr>
                <w:rFonts w:ascii="Arial Narrow" w:hAnsi="Arial Narrow"/>
                <w:color w:val="000000"/>
                <w:sz w:val="20"/>
              </w:rPr>
              <w:t>74</w:t>
            </w:r>
          </w:p>
        </w:tc>
        <w:tc>
          <w:tcPr>
            <w:tcW w:w="588" w:type="pct"/>
            <w:vAlign w:val="center"/>
          </w:tcPr>
          <w:p w:rsidR="000032DC" w:rsidRPr="00761838" w:rsidRDefault="000032DC" w:rsidP="000B016F">
            <w:pPr>
              <w:jc w:val="center"/>
              <w:rPr>
                <w:rFonts w:ascii="Arial Narrow" w:hAnsi="Arial Narrow"/>
                <w:b/>
                <w:i/>
                <w:sz w:val="20"/>
              </w:rPr>
            </w:pPr>
            <w:r w:rsidRPr="00761838">
              <w:rPr>
                <w:rFonts w:ascii="Arial Narrow" w:hAnsi="Arial Narrow"/>
                <w:b/>
                <w:i/>
                <w:sz w:val="20"/>
              </w:rPr>
              <w:t xml:space="preserve">0.70 </w:t>
            </w:r>
          </w:p>
          <w:p w:rsidR="000032DC" w:rsidRPr="00761838" w:rsidRDefault="000032DC" w:rsidP="000B016F">
            <w:pPr>
              <w:jc w:val="center"/>
              <w:rPr>
                <w:rFonts w:ascii="Arial Narrow" w:hAnsi="Arial Narrow"/>
                <w:color w:val="000000"/>
                <w:sz w:val="20"/>
              </w:rPr>
            </w:pPr>
            <w:r w:rsidRPr="00761838">
              <w:rPr>
                <w:rFonts w:ascii="Arial Narrow" w:hAnsi="Arial Narrow"/>
                <w:b/>
                <w:i/>
                <w:sz w:val="20"/>
              </w:rPr>
              <w:t>(0.65, 0.74)</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 xml:space="preserve">UST90 </w:t>
            </w:r>
          </w:p>
          <w:p w:rsidR="000032DC" w:rsidRDefault="000032DC" w:rsidP="000B016F">
            <w:pPr>
              <w:tabs>
                <w:tab w:val="left" w:pos="207"/>
              </w:tabs>
              <w:rPr>
                <w:rFonts w:ascii="Arial Narrow" w:hAnsi="Arial Narrow"/>
                <w:color w:val="000000"/>
                <w:sz w:val="20"/>
                <w:szCs w:val="18"/>
              </w:rPr>
            </w:pPr>
            <w:r>
              <w:rPr>
                <w:rFonts w:ascii="Arial Narrow" w:hAnsi="Arial Narrow"/>
                <w:color w:val="000000"/>
                <w:sz w:val="20"/>
                <w:szCs w:val="18"/>
              </w:rPr>
              <w:tab/>
              <w:t>&gt;100kg</w:t>
            </w:r>
          </w:p>
        </w:tc>
        <w:tc>
          <w:tcPr>
            <w:tcW w:w="421" w:type="pct"/>
            <w:shd w:val="clear" w:color="auto" w:fill="auto"/>
            <w:vAlign w:val="center"/>
          </w:tcPr>
          <w:p w:rsidR="000032DC" w:rsidRDefault="000032DC" w:rsidP="000B016F">
            <w:pPr>
              <w:tabs>
                <w:tab w:val="left" w:pos="207"/>
              </w:tabs>
              <w:jc w:val="center"/>
              <w:rPr>
                <w:rFonts w:ascii="Arial Narrow" w:hAnsi="Arial Narrow"/>
                <w:color w:val="000000"/>
                <w:sz w:val="20"/>
                <w:szCs w:val="18"/>
              </w:rPr>
            </w:pPr>
            <w:r>
              <w:rPr>
                <w:rFonts w:ascii="Arial Narrow" w:hAnsi="Arial Narrow"/>
                <w:color w:val="000000"/>
                <w:sz w:val="20"/>
                <w:szCs w:val="18"/>
              </w:rPr>
              <w:t>12</w:t>
            </w:r>
          </w:p>
        </w:tc>
        <w:tc>
          <w:tcPr>
            <w:tcW w:w="502" w:type="pct"/>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58" w:type="pct"/>
            <w:gridSpan w:val="2"/>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5/209</w:t>
            </w:r>
          </w:p>
        </w:tc>
        <w:tc>
          <w:tcPr>
            <w:tcW w:w="458"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67/103</w:t>
            </w:r>
          </w:p>
        </w:tc>
        <w:tc>
          <w:tcPr>
            <w:tcW w:w="667" w:type="pct"/>
            <w:vAlign w:val="center"/>
          </w:tcPr>
          <w:p w:rsidR="000032DC" w:rsidRPr="00761838" w:rsidRDefault="000032DC" w:rsidP="000B016F">
            <w:pPr>
              <w:jc w:val="center"/>
              <w:rPr>
                <w:rFonts w:ascii="Arial Narrow" w:hAnsi="Arial Narrow"/>
                <w:b/>
                <w:i/>
                <w:sz w:val="20"/>
              </w:rPr>
            </w:pPr>
            <w:r w:rsidRPr="00761838">
              <w:rPr>
                <w:rFonts w:ascii="Arial Narrow" w:hAnsi="Arial Narrow"/>
                <w:b/>
                <w:i/>
                <w:sz w:val="20"/>
              </w:rPr>
              <w:t xml:space="preserve">29.2 </w:t>
            </w:r>
          </w:p>
          <w:p w:rsidR="000032DC" w:rsidRPr="00761838" w:rsidRDefault="000032DC" w:rsidP="000B016F">
            <w:pPr>
              <w:jc w:val="center"/>
              <w:rPr>
                <w:rFonts w:ascii="Arial Narrow" w:hAnsi="Arial Narrow"/>
                <w:sz w:val="20"/>
              </w:rPr>
            </w:pPr>
            <w:r w:rsidRPr="00761838">
              <w:rPr>
                <w:rFonts w:ascii="Arial Narrow" w:hAnsi="Arial Narrow"/>
                <w:b/>
                <w:i/>
                <w:sz w:val="20"/>
              </w:rPr>
              <w:t>(12.2, 69.8)</w:t>
            </w:r>
          </w:p>
        </w:tc>
        <w:tc>
          <w:tcPr>
            <w:tcW w:w="434" w:type="pct"/>
            <w:gridSpan w:val="2"/>
            <w:vAlign w:val="center"/>
          </w:tcPr>
          <w:p w:rsidR="000032DC" w:rsidRPr="00761838" w:rsidRDefault="000032DC" w:rsidP="000B016F">
            <w:pPr>
              <w:jc w:val="center"/>
              <w:rPr>
                <w:rFonts w:ascii="Arial Narrow" w:hAnsi="Arial Narrow"/>
                <w:color w:val="000000"/>
                <w:sz w:val="20"/>
              </w:rPr>
            </w:pPr>
            <w:r w:rsidRPr="00761838">
              <w:rPr>
                <w:rFonts w:ascii="Arial Narrow" w:hAnsi="Arial Narrow"/>
                <w:color w:val="000000"/>
                <w:sz w:val="20"/>
              </w:rPr>
              <w:t>-</w:t>
            </w:r>
          </w:p>
        </w:tc>
        <w:tc>
          <w:tcPr>
            <w:tcW w:w="435" w:type="pct"/>
            <w:vAlign w:val="center"/>
          </w:tcPr>
          <w:p w:rsidR="000032DC" w:rsidRPr="00761838" w:rsidRDefault="000032DC" w:rsidP="000B016F">
            <w:pPr>
              <w:jc w:val="center"/>
              <w:rPr>
                <w:rFonts w:ascii="Arial Narrow" w:hAnsi="Arial Narrow"/>
                <w:color w:val="000000"/>
                <w:sz w:val="20"/>
              </w:rPr>
            </w:pPr>
            <w:r w:rsidRPr="00761838">
              <w:rPr>
                <w:rFonts w:ascii="Arial Narrow" w:hAnsi="Arial Narrow"/>
                <w:color w:val="000000"/>
                <w:sz w:val="20"/>
              </w:rPr>
              <w:t>2</w:t>
            </w:r>
          </w:p>
        </w:tc>
        <w:tc>
          <w:tcPr>
            <w:tcW w:w="435" w:type="pct"/>
            <w:vAlign w:val="center"/>
          </w:tcPr>
          <w:p w:rsidR="000032DC" w:rsidRPr="00761838" w:rsidRDefault="000032DC" w:rsidP="000B016F">
            <w:pPr>
              <w:jc w:val="center"/>
              <w:rPr>
                <w:rFonts w:ascii="Arial Narrow" w:hAnsi="Arial Narrow"/>
                <w:color w:val="000000"/>
                <w:sz w:val="20"/>
              </w:rPr>
            </w:pPr>
            <w:r w:rsidRPr="00761838">
              <w:rPr>
                <w:rFonts w:ascii="Arial Narrow" w:hAnsi="Arial Narrow"/>
                <w:color w:val="000000"/>
                <w:sz w:val="20"/>
              </w:rPr>
              <w:t>70</w:t>
            </w:r>
          </w:p>
        </w:tc>
        <w:tc>
          <w:tcPr>
            <w:tcW w:w="588" w:type="pct"/>
            <w:vAlign w:val="center"/>
          </w:tcPr>
          <w:p w:rsidR="000032DC" w:rsidRPr="00761838" w:rsidRDefault="000032DC" w:rsidP="000B016F">
            <w:pPr>
              <w:jc w:val="center"/>
              <w:rPr>
                <w:rFonts w:ascii="Arial Narrow" w:hAnsi="Arial Narrow"/>
                <w:b/>
                <w:i/>
                <w:sz w:val="20"/>
              </w:rPr>
            </w:pPr>
            <w:r w:rsidRPr="00761838">
              <w:rPr>
                <w:rFonts w:ascii="Arial Narrow" w:hAnsi="Arial Narrow"/>
                <w:b/>
                <w:i/>
                <w:sz w:val="20"/>
              </w:rPr>
              <w:t xml:space="preserve">0.68 </w:t>
            </w:r>
          </w:p>
          <w:p w:rsidR="000032DC" w:rsidRPr="00761838" w:rsidRDefault="000032DC" w:rsidP="000B016F">
            <w:pPr>
              <w:jc w:val="center"/>
              <w:rPr>
                <w:rFonts w:ascii="Arial Narrow" w:hAnsi="Arial Narrow"/>
                <w:color w:val="000000"/>
                <w:sz w:val="20"/>
              </w:rPr>
            </w:pPr>
            <w:r w:rsidRPr="00761838">
              <w:rPr>
                <w:rFonts w:ascii="Arial Narrow" w:hAnsi="Arial Narrow"/>
                <w:b/>
                <w:i/>
                <w:sz w:val="20"/>
              </w:rPr>
              <w:t>(0.61, 0.74)</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ADA</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12/16</w:t>
            </w:r>
          </w:p>
        </w:tc>
        <w:tc>
          <w:tcPr>
            <w:tcW w:w="502"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58" w:type="pct"/>
            <w:gridSpan w:val="2"/>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40/549</w:t>
            </w:r>
          </w:p>
        </w:tc>
        <w:tc>
          <w:tcPr>
            <w:tcW w:w="458"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715/1011</w:t>
            </w:r>
          </w:p>
        </w:tc>
        <w:tc>
          <w:tcPr>
            <w:tcW w:w="667" w:type="pct"/>
            <w:vAlign w:val="center"/>
          </w:tcPr>
          <w:p w:rsidR="000032DC" w:rsidRPr="00F653FE" w:rsidRDefault="000032DC" w:rsidP="000B016F">
            <w:pPr>
              <w:jc w:val="center"/>
              <w:rPr>
                <w:rFonts w:ascii="Arial Narrow" w:hAnsi="Arial Narrow"/>
                <w:b/>
                <w:i/>
                <w:sz w:val="20"/>
              </w:rPr>
            </w:pPr>
            <w:r w:rsidRPr="00F653FE">
              <w:rPr>
                <w:rFonts w:ascii="Arial Narrow" w:hAnsi="Arial Narrow"/>
                <w:b/>
                <w:i/>
                <w:sz w:val="20"/>
              </w:rPr>
              <w:t xml:space="preserve">8.6 </w:t>
            </w:r>
          </w:p>
          <w:p w:rsidR="000032DC" w:rsidRPr="00E2771E" w:rsidRDefault="000032DC" w:rsidP="000B016F">
            <w:pPr>
              <w:jc w:val="center"/>
              <w:rPr>
                <w:rFonts w:ascii="Arial Narrow" w:hAnsi="Arial Narrow"/>
                <w:sz w:val="20"/>
                <w:szCs w:val="18"/>
              </w:rPr>
            </w:pPr>
            <w:r w:rsidRPr="00F653FE">
              <w:rPr>
                <w:rFonts w:ascii="Arial Narrow" w:hAnsi="Arial Narrow"/>
                <w:b/>
                <w:i/>
                <w:sz w:val="20"/>
              </w:rPr>
              <w:t>(4.5, 16.6)</w:t>
            </w:r>
          </w:p>
        </w:tc>
        <w:tc>
          <w:tcPr>
            <w:tcW w:w="434" w:type="pct"/>
            <w:gridSpan w:val="2"/>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35"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7</w:t>
            </w:r>
          </w:p>
        </w:tc>
        <w:tc>
          <w:tcPr>
            <w:tcW w:w="435" w:type="pct"/>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71</w:t>
            </w:r>
          </w:p>
        </w:tc>
        <w:tc>
          <w:tcPr>
            <w:tcW w:w="588" w:type="pct"/>
            <w:vAlign w:val="center"/>
          </w:tcPr>
          <w:p w:rsidR="000032DC" w:rsidRPr="00F653FE" w:rsidRDefault="000032DC" w:rsidP="000B016F">
            <w:pPr>
              <w:jc w:val="center"/>
              <w:rPr>
                <w:rFonts w:ascii="Arial Narrow" w:hAnsi="Arial Narrow"/>
                <w:b/>
                <w:i/>
                <w:color w:val="000000"/>
                <w:sz w:val="20"/>
                <w:szCs w:val="18"/>
              </w:rPr>
            </w:pPr>
            <w:r w:rsidRPr="00F653FE">
              <w:rPr>
                <w:rFonts w:ascii="Arial Narrow" w:hAnsi="Arial Narrow"/>
                <w:b/>
                <w:i/>
                <w:color w:val="000000"/>
                <w:sz w:val="20"/>
                <w:szCs w:val="18"/>
              </w:rPr>
              <w:t xml:space="preserve">0.61 </w:t>
            </w:r>
          </w:p>
          <w:p w:rsidR="000032DC" w:rsidRPr="00E2771E" w:rsidRDefault="000032DC" w:rsidP="000B016F">
            <w:pPr>
              <w:jc w:val="center"/>
              <w:rPr>
                <w:rFonts w:ascii="Arial Narrow" w:hAnsi="Arial Narrow"/>
                <w:color w:val="000000"/>
                <w:sz w:val="20"/>
                <w:szCs w:val="18"/>
              </w:rPr>
            </w:pPr>
            <w:r w:rsidRPr="00F653FE">
              <w:rPr>
                <w:rFonts w:ascii="Arial Narrow" w:hAnsi="Arial Narrow"/>
                <w:b/>
                <w:i/>
                <w:color w:val="000000"/>
                <w:sz w:val="20"/>
                <w:szCs w:val="18"/>
              </w:rPr>
              <w:t>(0.54, 0.67</w:t>
            </w:r>
            <w:r w:rsidRPr="00F653FE">
              <w:rPr>
                <w:rFonts w:ascii="Arial Narrow" w:hAnsi="Arial Narrow"/>
                <w:b/>
                <w:color w:val="000000"/>
                <w:sz w:val="20"/>
                <w:szCs w:val="18"/>
              </w:rPr>
              <w:t>)</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IFX</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10</w:t>
            </w:r>
          </w:p>
        </w:tc>
        <w:tc>
          <w:tcPr>
            <w:tcW w:w="502" w:type="pct"/>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58" w:type="pct"/>
            <w:gridSpan w:val="2"/>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12/411</w:t>
            </w:r>
          </w:p>
        </w:tc>
        <w:tc>
          <w:tcPr>
            <w:tcW w:w="458" w:type="pct"/>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667/844</w:t>
            </w:r>
          </w:p>
        </w:tc>
        <w:tc>
          <w:tcPr>
            <w:tcW w:w="667" w:type="pct"/>
            <w:vAlign w:val="center"/>
          </w:tcPr>
          <w:p w:rsidR="000032DC" w:rsidRPr="00F653FE" w:rsidRDefault="000032DC" w:rsidP="000B016F">
            <w:pPr>
              <w:jc w:val="center"/>
              <w:rPr>
                <w:rFonts w:ascii="Arial Narrow" w:hAnsi="Arial Narrow"/>
                <w:b/>
                <w:i/>
                <w:sz w:val="20"/>
              </w:rPr>
            </w:pPr>
            <w:r w:rsidRPr="00F653FE">
              <w:rPr>
                <w:rFonts w:ascii="Arial Narrow" w:hAnsi="Arial Narrow"/>
                <w:b/>
                <w:i/>
                <w:sz w:val="20"/>
              </w:rPr>
              <w:t xml:space="preserve">19.7 </w:t>
            </w:r>
          </w:p>
          <w:p w:rsidR="000032DC" w:rsidRPr="00F653FE" w:rsidRDefault="000032DC" w:rsidP="000B016F">
            <w:pPr>
              <w:jc w:val="center"/>
              <w:rPr>
                <w:rFonts w:ascii="Arial Narrow" w:hAnsi="Arial Narrow"/>
                <w:b/>
                <w:i/>
                <w:sz w:val="20"/>
              </w:rPr>
            </w:pPr>
            <w:r w:rsidRPr="00F653FE">
              <w:rPr>
                <w:rFonts w:ascii="Arial Narrow" w:hAnsi="Arial Narrow"/>
                <w:b/>
                <w:i/>
                <w:sz w:val="20"/>
              </w:rPr>
              <w:t>(9.1, 42.7)</w:t>
            </w:r>
          </w:p>
        </w:tc>
        <w:tc>
          <w:tcPr>
            <w:tcW w:w="434" w:type="pct"/>
            <w:gridSpan w:val="2"/>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35" w:type="pct"/>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3</w:t>
            </w:r>
          </w:p>
        </w:tc>
        <w:tc>
          <w:tcPr>
            <w:tcW w:w="435" w:type="pct"/>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79</w:t>
            </w:r>
          </w:p>
        </w:tc>
        <w:tc>
          <w:tcPr>
            <w:tcW w:w="588" w:type="pct"/>
            <w:vAlign w:val="center"/>
          </w:tcPr>
          <w:p w:rsidR="000032DC" w:rsidRDefault="000032DC" w:rsidP="000B016F">
            <w:pPr>
              <w:jc w:val="center"/>
              <w:rPr>
                <w:rFonts w:ascii="Arial Narrow" w:hAnsi="Arial Narrow"/>
                <w:b/>
                <w:i/>
                <w:sz w:val="20"/>
              </w:rPr>
            </w:pPr>
            <w:r w:rsidRPr="00F653FE">
              <w:rPr>
                <w:rFonts w:ascii="Arial Narrow" w:hAnsi="Arial Narrow"/>
                <w:b/>
                <w:i/>
                <w:sz w:val="20"/>
              </w:rPr>
              <w:t xml:space="preserve">0.76 </w:t>
            </w:r>
          </w:p>
          <w:p w:rsidR="000032DC" w:rsidRPr="00F653FE" w:rsidRDefault="000032DC" w:rsidP="000B016F">
            <w:pPr>
              <w:jc w:val="center"/>
              <w:rPr>
                <w:rFonts w:ascii="Arial Narrow" w:hAnsi="Arial Narrow"/>
                <w:b/>
                <w:i/>
                <w:color w:val="000000"/>
                <w:sz w:val="20"/>
                <w:szCs w:val="18"/>
              </w:rPr>
            </w:pPr>
            <w:r w:rsidRPr="00F653FE">
              <w:rPr>
                <w:rFonts w:ascii="Arial Narrow" w:hAnsi="Arial Narrow"/>
                <w:b/>
                <w:i/>
                <w:sz w:val="20"/>
              </w:rPr>
              <w:t>(0.73, 0.79)</w:t>
            </w:r>
          </w:p>
        </w:tc>
      </w:tr>
      <w:tr w:rsidR="000032DC" w:rsidRPr="00E2771E" w:rsidTr="000B016F">
        <w:tc>
          <w:tcPr>
            <w:tcW w:w="5000" w:type="pct"/>
            <w:gridSpan w:val="12"/>
            <w:shd w:val="clear" w:color="auto" w:fill="auto"/>
          </w:tcPr>
          <w:p w:rsidR="000032DC" w:rsidRPr="00E2771E" w:rsidRDefault="000032DC" w:rsidP="000B016F">
            <w:pPr>
              <w:jc w:val="left"/>
              <w:rPr>
                <w:rFonts w:ascii="Arial Narrow" w:hAnsi="Arial Narrow"/>
                <w:color w:val="000000"/>
                <w:sz w:val="20"/>
                <w:szCs w:val="18"/>
              </w:rPr>
            </w:pPr>
            <w:r>
              <w:rPr>
                <w:rFonts w:ascii="Arial Narrow" w:hAnsi="Arial Narrow"/>
                <w:color w:val="000000"/>
                <w:sz w:val="20"/>
                <w:szCs w:val="18"/>
              </w:rPr>
              <w:t>Indirect comparisons</w:t>
            </w:r>
          </w:p>
        </w:tc>
      </w:tr>
      <w:tr w:rsidR="000032DC" w:rsidRPr="00E2771E" w:rsidTr="000B016F">
        <w:tc>
          <w:tcPr>
            <w:tcW w:w="2441" w:type="pct"/>
            <w:gridSpan w:val="6"/>
            <w:tcBorders>
              <w:bottom w:val="single" w:sz="4" w:space="0" w:color="auto"/>
            </w:tcBorders>
            <w:shd w:val="clear" w:color="auto" w:fill="auto"/>
            <w:vAlign w:val="center"/>
          </w:tcPr>
          <w:p w:rsidR="000032DC" w:rsidRPr="00E405FE" w:rsidRDefault="00E405FE" w:rsidP="000B016F">
            <w:pPr>
              <w:rPr>
                <w:rFonts w:ascii="Arial Narrow" w:hAnsi="Arial Narrow"/>
                <w:color w:val="000000"/>
                <w:sz w:val="20"/>
                <w:szCs w:val="18"/>
                <w:highlight w:val="black"/>
              </w:rPr>
            </w:pPr>
            <w:r>
              <w:rPr>
                <w:rFonts w:ascii="Arial Narrow" w:hAnsi="Arial Narrow"/>
                <w:noProof/>
                <w:color w:val="000000"/>
                <w:sz w:val="20"/>
                <w:szCs w:val="18"/>
                <w:highlight w:val="black"/>
              </w:rPr>
              <w:t>'''''''''''' '''''''''''''''''''' ''' ''''''''''''''''' ''''''''''''''''''''</w:t>
            </w:r>
          </w:p>
        </w:tc>
        <w:tc>
          <w:tcPr>
            <w:tcW w:w="667" w:type="pct"/>
            <w:tcBorders>
              <w:bottom w:val="single" w:sz="4" w:space="0" w:color="auto"/>
            </w:tcBorders>
            <w:vAlign w:val="center"/>
          </w:tcPr>
          <w:p w:rsidR="000032DC" w:rsidRPr="00AE0FA8" w:rsidRDefault="00AE0FA8" w:rsidP="000B016F">
            <w:pPr>
              <w:jc w:val="center"/>
              <w:rPr>
                <w:rFonts w:ascii="Arial Narrow" w:hAnsi="Arial Narrow"/>
                <w:i/>
                <w:sz w:val="20"/>
                <w:highlight w:val="black"/>
              </w:rPr>
            </w:pPr>
            <w:r>
              <w:rPr>
                <w:rFonts w:ascii="Arial Narrow" w:hAnsi="Arial Narrow"/>
                <w:i/>
                <w:noProof/>
                <w:color w:val="000000"/>
                <w:sz w:val="20"/>
                <w:highlight w:val="black"/>
              </w:rPr>
              <w:t xml:space="preserve">''''''' </w:t>
            </w:r>
          </w:p>
          <w:p w:rsidR="000032DC" w:rsidRPr="00AE0FA8" w:rsidRDefault="00AE0FA8" w:rsidP="000B016F">
            <w:pPr>
              <w:jc w:val="center"/>
              <w:rPr>
                <w:rFonts w:ascii="Arial Narrow" w:hAnsi="Arial Narrow"/>
                <w:color w:val="000000"/>
                <w:sz w:val="20"/>
                <w:highlight w:val="black"/>
              </w:rPr>
            </w:pPr>
            <w:r>
              <w:rPr>
                <w:rFonts w:ascii="Arial Narrow" w:hAnsi="Arial Narrow"/>
                <w:i/>
                <w:noProof/>
                <w:color w:val="000000"/>
                <w:sz w:val="20"/>
                <w:highlight w:val="black"/>
              </w:rPr>
              <w:t>'''''''''' ''''''''''</w:t>
            </w:r>
          </w:p>
        </w:tc>
        <w:tc>
          <w:tcPr>
            <w:tcW w:w="1304" w:type="pct"/>
            <w:gridSpan w:val="4"/>
            <w:tcBorders>
              <w:bottom w:val="single" w:sz="4" w:space="0" w:color="auto"/>
            </w:tcBorders>
            <w:shd w:val="clear" w:color="auto" w:fill="auto"/>
            <w:vAlign w:val="center"/>
          </w:tcPr>
          <w:p w:rsidR="000032DC" w:rsidRPr="00E405FE" w:rsidRDefault="00E405FE"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88" w:type="pct"/>
            <w:tcBorders>
              <w:bottom w:val="single" w:sz="4" w:space="0" w:color="auto"/>
            </w:tcBorders>
            <w:vAlign w:val="center"/>
          </w:tcPr>
          <w:p w:rsidR="000032DC" w:rsidRPr="00AE0FA8" w:rsidRDefault="00AE0FA8" w:rsidP="000B016F">
            <w:pPr>
              <w:jc w:val="center"/>
              <w:rPr>
                <w:rFonts w:ascii="Arial Narrow" w:hAnsi="Arial Narrow"/>
                <w:b/>
                <w:i/>
                <w:sz w:val="20"/>
                <w:highlight w:val="black"/>
              </w:rPr>
            </w:pPr>
            <w:r>
              <w:rPr>
                <w:rFonts w:ascii="Arial Narrow" w:hAnsi="Arial Narrow"/>
                <w:b/>
                <w:i/>
                <w:noProof/>
                <w:color w:val="000000"/>
                <w:sz w:val="20"/>
                <w:highlight w:val="black"/>
              </w:rPr>
              <w:t xml:space="preserve">''''''''' </w:t>
            </w:r>
          </w:p>
          <w:p w:rsidR="000032DC" w:rsidRPr="00151E15" w:rsidRDefault="00AE0FA8" w:rsidP="000B016F">
            <w:pPr>
              <w:jc w:val="center"/>
              <w:rPr>
                <w:rFonts w:ascii="Arial Narrow" w:hAnsi="Arial Narrow"/>
                <w:color w:val="000000"/>
                <w:sz w:val="20"/>
                <w:highlight w:val="yellow"/>
              </w:rPr>
            </w:pPr>
            <w:r>
              <w:rPr>
                <w:rFonts w:ascii="Arial Narrow" w:hAnsi="Arial Narrow"/>
                <w:b/>
                <w:i/>
                <w:noProof/>
                <w:color w:val="000000"/>
                <w:sz w:val="20"/>
                <w:highlight w:val="black"/>
              </w:rPr>
              <w:t>'''''''''''' '''''''''''</w:t>
            </w:r>
            <w:r w:rsidR="00E405FE">
              <w:rPr>
                <w:rFonts w:ascii="Arial Narrow" w:hAnsi="Arial Narrow"/>
                <w:b/>
                <w:i/>
                <w:noProof/>
                <w:color w:val="000000"/>
                <w:sz w:val="20"/>
                <w:highlight w:val="black"/>
              </w:rPr>
              <w:t>'</w:t>
            </w:r>
          </w:p>
        </w:tc>
      </w:tr>
      <w:tr w:rsidR="000032DC" w:rsidRPr="00E2771E" w:rsidTr="000B016F">
        <w:tc>
          <w:tcPr>
            <w:tcW w:w="2441" w:type="pct"/>
            <w:gridSpan w:val="6"/>
            <w:tcBorders>
              <w:bottom w:val="single" w:sz="4" w:space="0" w:color="auto"/>
            </w:tcBorders>
            <w:shd w:val="clear" w:color="auto" w:fill="auto"/>
            <w:vAlign w:val="center"/>
          </w:tcPr>
          <w:p w:rsidR="000032DC" w:rsidRPr="00E405FE" w:rsidRDefault="00E405FE" w:rsidP="000B016F">
            <w:pPr>
              <w:rPr>
                <w:rFonts w:ascii="Arial Narrow" w:hAnsi="Arial Narrow"/>
                <w:color w:val="000000"/>
                <w:sz w:val="20"/>
                <w:szCs w:val="18"/>
                <w:highlight w:val="black"/>
              </w:rPr>
            </w:pPr>
            <w:r>
              <w:rPr>
                <w:rFonts w:ascii="Arial Narrow" w:hAnsi="Arial Narrow"/>
                <w:noProof/>
                <w:color w:val="000000"/>
                <w:sz w:val="20"/>
                <w:szCs w:val="18"/>
                <w:highlight w:val="black"/>
              </w:rPr>
              <w:t>''''''''''' '''''''''''''''''' '''' ''''''''''''''' '''''''''''''''''''</w:t>
            </w:r>
          </w:p>
        </w:tc>
        <w:tc>
          <w:tcPr>
            <w:tcW w:w="667" w:type="pct"/>
            <w:tcBorders>
              <w:bottom w:val="single" w:sz="4" w:space="0" w:color="auto"/>
            </w:tcBorders>
            <w:vAlign w:val="center"/>
          </w:tcPr>
          <w:p w:rsidR="000032DC" w:rsidRPr="00AE0FA8" w:rsidRDefault="00AE0FA8" w:rsidP="000B016F">
            <w:pPr>
              <w:jc w:val="center"/>
              <w:rPr>
                <w:rFonts w:ascii="Arial Narrow" w:hAnsi="Arial Narrow"/>
                <w:i/>
                <w:sz w:val="20"/>
                <w:highlight w:val="black"/>
              </w:rPr>
            </w:pPr>
            <w:r>
              <w:rPr>
                <w:rFonts w:ascii="Arial Narrow" w:hAnsi="Arial Narrow"/>
                <w:i/>
                <w:noProof/>
                <w:color w:val="000000"/>
                <w:sz w:val="20"/>
                <w:highlight w:val="black"/>
              </w:rPr>
              <w:t xml:space="preserve">''''''' </w:t>
            </w:r>
          </w:p>
          <w:p w:rsidR="000032DC" w:rsidRPr="00AE0FA8" w:rsidRDefault="00AE0FA8" w:rsidP="000B016F">
            <w:pPr>
              <w:jc w:val="center"/>
              <w:rPr>
                <w:rFonts w:ascii="Arial Narrow" w:hAnsi="Arial Narrow"/>
                <w:sz w:val="20"/>
                <w:highlight w:val="black"/>
              </w:rPr>
            </w:pPr>
            <w:r>
              <w:rPr>
                <w:rFonts w:ascii="Arial Narrow" w:hAnsi="Arial Narrow"/>
                <w:i/>
                <w:noProof/>
                <w:color w:val="000000"/>
                <w:sz w:val="20"/>
                <w:highlight w:val="black"/>
              </w:rPr>
              <w:t>''''''''''' ''''''''''</w:t>
            </w:r>
          </w:p>
        </w:tc>
        <w:tc>
          <w:tcPr>
            <w:tcW w:w="1304" w:type="pct"/>
            <w:gridSpan w:val="4"/>
            <w:tcBorders>
              <w:bottom w:val="single" w:sz="4" w:space="0" w:color="auto"/>
            </w:tcBorders>
            <w:shd w:val="clear" w:color="auto" w:fill="auto"/>
            <w:vAlign w:val="center"/>
          </w:tcPr>
          <w:p w:rsidR="000032DC" w:rsidRPr="00E405FE" w:rsidRDefault="00E405FE" w:rsidP="000B016F">
            <w:pPr>
              <w:jc w:val="center"/>
              <w:rPr>
                <w:rFonts w:ascii="Arial Narrow" w:hAnsi="Arial Narrow"/>
                <w:color w:val="000000"/>
                <w:sz w:val="20"/>
                <w:highlight w:val="black"/>
              </w:rPr>
            </w:pPr>
            <w:r>
              <w:rPr>
                <w:rFonts w:ascii="Arial Narrow" w:hAnsi="Arial Narrow"/>
                <w:noProof/>
                <w:color w:val="000000"/>
                <w:sz w:val="20"/>
                <w:highlight w:val="black"/>
              </w:rPr>
              <w:t>'''</w:t>
            </w:r>
          </w:p>
        </w:tc>
        <w:tc>
          <w:tcPr>
            <w:tcW w:w="588" w:type="pct"/>
            <w:tcBorders>
              <w:bottom w:val="single" w:sz="4" w:space="0" w:color="auto"/>
            </w:tcBorders>
            <w:vAlign w:val="center"/>
          </w:tcPr>
          <w:p w:rsidR="000032DC" w:rsidRPr="00AE0FA8" w:rsidRDefault="00AE0FA8" w:rsidP="000B016F">
            <w:pPr>
              <w:jc w:val="center"/>
              <w:rPr>
                <w:rFonts w:ascii="Arial Narrow" w:hAnsi="Arial Narrow"/>
                <w:i/>
                <w:sz w:val="20"/>
                <w:highlight w:val="black"/>
              </w:rPr>
            </w:pPr>
            <w:r>
              <w:rPr>
                <w:rFonts w:ascii="Arial Narrow" w:hAnsi="Arial Narrow"/>
                <w:i/>
                <w:noProof/>
                <w:color w:val="000000"/>
                <w:sz w:val="20"/>
                <w:highlight w:val="black"/>
              </w:rPr>
              <w:t>'''''''''''</w:t>
            </w:r>
          </w:p>
          <w:p w:rsidR="000032DC" w:rsidRPr="00AE0FA8" w:rsidRDefault="00AE0FA8" w:rsidP="000B016F">
            <w:pPr>
              <w:jc w:val="center"/>
              <w:rPr>
                <w:rFonts w:ascii="Arial Narrow" w:hAnsi="Arial Narrow"/>
                <w:sz w:val="20"/>
                <w:highlight w:val="black"/>
              </w:rPr>
            </w:pPr>
            <w:r>
              <w:rPr>
                <w:rFonts w:ascii="Arial Narrow" w:hAnsi="Arial Narrow"/>
                <w:i/>
                <w:noProof/>
                <w:color w:val="000000"/>
                <w:sz w:val="20"/>
                <w:highlight w:val="black"/>
              </w:rPr>
              <w:t xml:space="preserve"> '''''''''''''' ''''''''''''</w:t>
            </w:r>
          </w:p>
        </w:tc>
      </w:tr>
      <w:tr w:rsidR="000032DC" w:rsidRPr="00E2771E" w:rsidTr="000B016F">
        <w:tc>
          <w:tcPr>
            <w:tcW w:w="2441" w:type="pct"/>
            <w:gridSpan w:val="6"/>
            <w:tcBorders>
              <w:bottom w:val="single" w:sz="4" w:space="0" w:color="auto"/>
            </w:tcBorders>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SEC All v ADA</w:t>
            </w:r>
          </w:p>
        </w:tc>
        <w:tc>
          <w:tcPr>
            <w:tcW w:w="667" w:type="pct"/>
            <w:tcBorders>
              <w:bottom w:val="single" w:sz="4" w:space="0" w:color="auto"/>
            </w:tcBorders>
            <w:vAlign w:val="center"/>
          </w:tcPr>
          <w:p w:rsidR="000032DC" w:rsidRDefault="000032DC" w:rsidP="000B016F">
            <w:pPr>
              <w:jc w:val="center"/>
              <w:rPr>
                <w:rFonts w:ascii="Arial Narrow" w:hAnsi="Arial Narrow"/>
                <w:i/>
                <w:sz w:val="20"/>
              </w:rPr>
            </w:pPr>
            <w:r w:rsidRPr="00F653FE">
              <w:rPr>
                <w:rFonts w:ascii="Arial Narrow" w:hAnsi="Arial Narrow"/>
                <w:i/>
                <w:sz w:val="20"/>
              </w:rPr>
              <w:t xml:space="preserve">2.1 </w:t>
            </w:r>
          </w:p>
          <w:p w:rsidR="000032DC" w:rsidRPr="00F653FE" w:rsidRDefault="000032DC" w:rsidP="000B016F">
            <w:pPr>
              <w:jc w:val="center"/>
              <w:rPr>
                <w:rFonts w:ascii="Arial Narrow" w:hAnsi="Arial Narrow"/>
                <w:sz w:val="20"/>
              </w:rPr>
            </w:pPr>
            <w:r w:rsidRPr="00F653FE">
              <w:rPr>
                <w:rFonts w:ascii="Arial Narrow" w:hAnsi="Arial Narrow"/>
                <w:i/>
                <w:sz w:val="20"/>
              </w:rPr>
              <w:t>(0.97, 4.3)</w:t>
            </w:r>
          </w:p>
        </w:tc>
        <w:tc>
          <w:tcPr>
            <w:tcW w:w="1304" w:type="pct"/>
            <w:gridSpan w:val="4"/>
            <w:tcBorders>
              <w:bottom w:val="single" w:sz="4" w:space="0" w:color="auto"/>
            </w:tcBorders>
            <w:shd w:val="clear" w:color="auto" w:fill="auto"/>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588" w:type="pct"/>
            <w:tcBorders>
              <w:bottom w:val="single" w:sz="4" w:space="0" w:color="auto"/>
            </w:tcBorders>
            <w:vAlign w:val="center"/>
          </w:tcPr>
          <w:p w:rsidR="000032DC" w:rsidRPr="00F653FE" w:rsidRDefault="000032DC" w:rsidP="000B016F">
            <w:pPr>
              <w:jc w:val="center"/>
              <w:rPr>
                <w:rFonts w:ascii="Arial Narrow" w:hAnsi="Arial Narrow"/>
                <w:b/>
                <w:i/>
                <w:sz w:val="20"/>
              </w:rPr>
            </w:pPr>
            <w:r w:rsidRPr="00F653FE">
              <w:rPr>
                <w:rFonts w:ascii="Arial Narrow" w:hAnsi="Arial Narrow"/>
                <w:b/>
                <w:i/>
                <w:sz w:val="20"/>
              </w:rPr>
              <w:t xml:space="preserve">0.15 </w:t>
            </w:r>
          </w:p>
          <w:p w:rsidR="000032DC" w:rsidRPr="00E2771E" w:rsidRDefault="000032DC" w:rsidP="000B016F">
            <w:pPr>
              <w:jc w:val="center"/>
              <w:rPr>
                <w:rFonts w:ascii="Arial Narrow" w:hAnsi="Arial Narrow"/>
                <w:sz w:val="20"/>
                <w:szCs w:val="18"/>
              </w:rPr>
            </w:pPr>
            <w:r w:rsidRPr="00F653FE">
              <w:rPr>
                <w:rFonts w:ascii="Arial Narrow" w:hAnsi="Arial Narrow"/>
                <w:b/>
                <w:i/>
                <w:sz w:val="20"/>
              </w:rPr>
              <w:t>(0.07, 0.23)</w:t>
            </w:r>
          </w:p>
        </w:tc>
      </w:tr>
      <w:tr w:rsidR="000032DC" w:rsidRPr="00E2771E" w:rsidTr="000B016F">
        <w:tc>
          <w:tcPr>
            <w:tcW w:w="2441" w:type="pct"/>
            <w:gridSpan w:val="6"/>
            <w:tcBorders>
              <w:bottom w:val="double" w:sz="4" w:space="0" w:color="auto"/>
            </w:tcBorders>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SEC All v IFX</w:t>
            </w:r>
          </w:p>
        </w:tc>
        <w:tc>
          <w:tcPr>
            <w:tcW w:w="667" w:type="pct"/>
            <w:tcBorders>
              <w:bottom w:val="double" w:sz="4" w:space="0" w:color="auto"/>
            </w:tcBorders>
            <w:vAlign w:val="center"/>
          </w:tcPr>
          <w:p w:rsidR="000032DC" w:rsidRPr="00F653FE" w:rsidRDefault="000032DC" w:rsidP="000B016F">
            <w:pPr>
              <w:jc w:val="center"/>
              <w:rPr>
                <w:rFonts w:ascii="Arial Narrow" w:hAnsi="Arial Narrow"/>
                <w:i/>
                <w:sz w:val="20"/>
              </w:rPr>
            </w:pPr>
            <w:r w:rsidRPr="00F653FE">
              <w:rPr>
                <w:rFonts w:ascii="Arial Narrow" w:hAnsi="Arial Narrow"/>
                <w:i/>
                <w:sz w:val="20"/>
              </w:rPr>
              <w:t>0.7</w:t>
            </w:r>
          </w:p>
          <w:p w:rsidR="000032DC" w:rsidRPr="00E2771E" w:rsidRDefault="000032DC" w:rsidP="000B016F">
            <w:pPr>
              <w:jc w:val="center"/>
              <w:rPr>
                <w:rFonts w:ascii="Arial Narrow" w:hAnsi="Arial Narrow"/>
                <w:sz w:val="20"/>
                <w:szCs w:val="18"/>
              </w:rPr>
            </w:pPr>
            <w:r w:rsidRPr="00F653FE">
              <w:rPr>
                <w:rFonts w:ascii="Arial Narrow" w:hAnsi="Arial Narrow"/>
                <w:i/>
                <w:sz w:val="20"/>
              </w:rPr>
              <w:t xml:space="preserve"> (0.3, 1.5)</w:t>
            </w:r>
          </w:p>
        </w:tc>
        <w:tc>
          <w:tcPr>
            <w:tcW w:w="1304" w:type="pct"/>
            <w:gridSpan w:val="4"/>
            <w:tcBorders>
              <w:bottom w:val="double" w:sz="4" w:space="0" w:color="auto"/>
            </w:tcBorders>
            <w:shd w:val="clear" w:color="auto" w:fill="auto"/>
            <w:vAlign w:val="center"/>
          </w:tcPr>
          <w:p w:rsidR="000032DC" w:rsidRPr="00E2771E"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588" w:type="pct"/>
            <w:tcBorders>
              <w:bottom w:val="double" w:sz="4" w:space="0" w:color="auto"/>
            </w:tcBorders>
            <w:vAlign w:val="center"/>
          </w:tcPr>
          <w:p w:rsidR="000032DC" w:rsidRPr="00F653FE" w:rsidRDefault="000032DC" w:rsidP="000B016F">
            <w:pPr>
              <w:jc w:val="center"/>
              <w:rPr>
                <w:rFonts w:ascii="Arial Narrow" w:hAnsi="Arial Narrow"/>
                <w:i/>
                <w:sz w:val="20"/>
              </w:rPr>
            </w:pPr>
            <w:r w:rsidRPr="00F653FE">
              <w:rPr>
                <w:rFonts w:ascii="Arial Narrow" w:hAnsi="Arial Narrow"/>
                <w:i/>
                <w:sz w:val="20"/>
              </w:rPr>
              <w:t xml:space="preserve">0.0 </w:t>
            </w:r>
          </w:p>
          <w:p w:rsidR="000032DC" w:rsidRPr="00E2771E" w:rsidRDefault="000032DC" w:rsidP="000B016F">
            <w:pPr>
              <w:jc w:val="center"/>
              <w:rPr>
                <w:rFonts w:ascii="Arial Narrow" w:hAnsi="Arial Narrow"/>
                <w:sz w:val="20"/>
                <w:szCs w:val="18"/>
              </w:rPr>
            </w:pPr>
            <w:r w:rsidRPr="00F653FE">
              <w:rPr>
                <w:rFonts w:ascii="Arial Narrow" w:hAnsi="Arial Narrow"/>
                <w:i/>
                <w:sz w:val="20"/>
              </w:rPr>
              <w:t>(-0.05, 0.05)</w:t>
            </w:r>
          </w:p>
        </w:tc>
      </w:tr>
      <w:tr w:rsidR="000032DC" w:rsidRPr="00E2771E" w:rsidTr="000B016F">
        <w:tc>
          <w:tcPr>
            <w:tcW w:w="5000" w:type="pct"/>
            <w:gridSpan w:val="12"/>
            <w:tcBorders>
              <w:top w:val="double" w:sz="4" w:space="0" w:color="auto"/>
            </w:tcBorders>
            <w:shd w:val="clear" w:color="auto" w:fill="auto"/>
          </w:tcPr>
          <w:p w:rsidR="000032DC" w:rsidRPr="00F653FE" w:rsidRDefault="000032DC" w:rsidP="000B016F">
            <w:pPr>
              <w:jc w:val="left"/>
              <w:rPr>
                <w:rFonts w:ascii="Arial Narrow" w:hAnsi="Arial Narrow"/>
                <w:i/>
                <w:sz w:val="20"/>
              </w:rPr>
            </w:pPr>
            <w:r>
              <w:rPr>
                <w:rFonts w:ascii="Arial Narrow" w:hAnsi="Arial Narrow"/>
                <w:b/>
                <w:color w:val="000000"/>
                <w:sz w:val="20"/>
                <w:szCs w:val="18"/>
              </w:rPr>
              <w:t>Proportion patients with ≥1 adverse event</w:t>
            </w:r>
            <w:r w:rsidRPr="00E2771E">
              <w:rPr>
                <w:rFonts w:ascii="Arial Narrow" w:hAnsi="Arial Narrow"/>
                <w:b/>
                <w:color w:val="000000"/>
                <w:sz w:val="20"/>
                <w:szCs w:val="18"/>
              </w:rPr>
              <w:t>: indirect comparison</w:t>
            </w:r>
            <w:r>
              <w:rPr>
                <w:rFonts w:ascii="Arial Narrow" w:hAnsi="Arial Narrow"/>
                <w:b/>
                <w:color w:val="000000"/>
                <w:sz w:val="20"/>
                <w:szCs w:val="18"/>
              </w:rPr>
              <w:t xml:space="preserve">  - results of meta-analyses</w:t>
            </w:r>
          </w:p>
        </w:tc>
      </w:tr>
      <w:tr w:rsidR="000032DC" w:rsidRPr="00E2771E" w:rsidTr="000B016F">
        <w:trPr>
          <w:trHeight w:val="228"/>
        </w:trPr>
        <w:tc>
          <w:tcPr>
            <w:tcW w:w="602" w:type="pct"/>
            <w:vMerge w:val="restart"/>
            <w:shd w:val="clear" w:color="auto" w:fill="auto"/>
            <w:vAlign w:val="center"/>
          </w:tcPr>
          <w:p w:rsidR="000032DC" w:rsidRDefault="000032DC" w:rsidP="000B016F">
            <w:pPr>
              <w:rPr>
                <w:rFonts w:ascii="Arial Narrow" w:hAnsi="Arial Narrow"/>
                <w:color w:val="000000"/>
                <w:sz w:val="20"/>
                <w:szCs w:val="18"/>
              </w:rPr>
            </w:pPr>
          </w:p>
        </w:tc>
        <w:tc>
          <w:tcPr>
            <w:tcW w:w="421" w:type="pct"/>
            <w:vMerge w:val="restart"/>
            <w:shd w:val="clear" w:color="auto" w:fill="auto"/>
            <w:vAlign w:val="center"/>
          </w:tcPr>
          <w:p w:rsidR="000032DC" w:rsidRPr="00640492" w:rsidRDefault="000032DC" w:rsidP="000B016F">
            <w:pPr>
              <w:jc w:val="center"/>
              <w:rPr>
                <w:rFonts w:ascii="Arial Narrow" w:hAnsi="Arial Narrow"/>
                <w:b/>
                <w:bCs/>
                <w:color w:val="000000"/>
                <w:sz w:val="20"/>
                <w:szCs w:val="18"/>
                <w:vertAlign w:val="superscript"/>
              </w:rPr>
            </w:pPr>
            <w:r w:rsidRPr="0090381C">
              <w:rPr>
                <w:rFonts w:ascii="Arial Narrow" w:hAnsi="Arial Narrow"/>
                <w:b/>
                <w:bCs/>
                <w:color w:val="000000"/>
                <w:sz w:val="20"/>
                <w:szCs w:val="18"/>
              </w:rPr>
              <w:t>Week</w:t>
            </w:r>
            <w:r>
              <w:rPr>
                <w:rFonts w:ascii="Arial Narrow" w:hAnsi="Arial Narrow"/>
                <w:b/>
                <w:bCs/>
                <w:color w:val="000000"/>
                <w:sz w:val="20"/>
                <w:szCs w:val="18"/>
                <w:vertAlign w:val="superscript"/>
              </w:rPr>
              <w:t>a</w:t>
            </w:r>
          </w:p>
        </w:tc>
        <w:tc>
          <w:tcPr>
            <w:tcW w:w="502" w:type="pct"/>
            <w:vMerge w:val="restar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b/>
                <w:color w:val="000000"/>
                <w:sz w:val="20"/>
                <w:szCs w:val="18"/>
              </w:rPr>
              <w:t>SEC</w:t>
            </w:r>
          </w:p>
        </w:tc>
        <w:tc>
          <w:tcPr>
            <w:tcW w:w="416" w:type="pct"/>
            <w:vMerge w:val="restart"/>
            <w:shd w:val="clear" w:color="auto" w:fill="auto"/>
            <w:vAlign w:val="center"/>
          </w:tcPr>
          <w:p w:rsidR="000032DC" w:rsidRDefault="000032DC" w:rsidP="000B016F">
            <w:pPr>
              <w:jc w:val="center"/>
              <w:rPr>
                <w:rFonts w:ascii="Arial Narrow" w:hAnsi="Arial Narrow"/>
                <w:color w:val="000000"/>
                <w:sz w:val="20"/>
                <w:szCs w:val="18"/>
              </w:rPr>
            </w:pPr>
            <w:r w:rsidRPr="00E2771E">
              <w:rPr>
                <w:rFonts w:ascii="Arial Narrow" w:hAnsi="Arial Narrow"/>
                <w:b/>
                <w:color w:val="000000"/>
                <w:sz w:val="20"/>
                <w:szCs w:val="18"/>
              </w:rPr>
              <w:t>PBO</w:t>
            </w:r>
          </w:p>
        </w:tc>
        <w:tc>
          <w:tcPr>
            <w:tcW w:w="500" w:type="pct"/>
            <w:gridSpan w:val="2"/>
            <w:vMerge w:val="restart"/>
            <w:shd w:val="clear" w:color="auto" w:fill="auto"/>
            <w:vAlign w:val="center"/>
          </w:tcPr>
          <w:p w:rsidR="000032DC" w:rsidRDefault="000032DC" w:rsidP="000B016F">
            <w:pPr>
              <w:jc w:val="center"/>
              <w:rPr>
                <w:rFonts w:ascii="Arial Narrow" w:hAnsi="Arial Narrow"/>
                <w:color w:val="000000"/>
                <w:sz w:val="20"/>
                <w:szCs w:val="18"/>
              </w:rPr>
            </w:pPr>
            <w:r w:rsidRPr="00E2771E">
              <w:rPr>
                <w:rFonts w:ascii="Arial Narrow" w:hAnsi="Arial Narrow"/>
                <w:b/>
                <w:color w:val="000000"/>
                <w:sz w:val="20"/>
                <w:szCs w:val="18"/>
              </w:rPr>
              <w:t>Comp</w:t>
            </w:r>
          </w:p>
        </w:tc>
        <w:tc>
          <w:tcPr>
            <w:tcW w:w="667"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RR</w:t>
            </w:r>
          </w:p>
          <w:p w:rsidR="000032DC" w:rsidRPr="00F653FE" w:rsidRDefault="000032DC" w:rsidP="000B016F">
            <w:pPr>
              <w:jc w:val="center"/>
              <w:rPr>
                <w:rFonts w:ascii="Arial Narrow" w:hAnsi="Arial Narrow"/>
                <w:i/>
                <w:sz w:val="20"/>
              </w:rPr>
            </w:pPr>
            <w:r w:rsidRPr="00E2771E">
              <w:rPr>
                <w:rFonts w:ascii="Arial Narrow" w:hAnsi="Arial Narrow"/>
                <w:b/>
                <w:color w:val="000000"/>
                <w:sz w:val="20"/>
                <w:szCs w:val="18"/>
              </w:rPr>
              <w:t>(95% CI)</w:t>
            </w:r>
          </w:p>
        </w:tc>
        <w:tc>
          <w:tcPr>
            <w:tcW w:w="1304" w:type="pct"/>
            <w:gridSpan w:val="4"/>
            <w:shd w:val="clear" w:color="auto" w:fill="auto"/>
            <w:vAlign w:val="center"/>
          </w:tcPr>
          <w:p w:rsidR="000032DC" w:rsidRDefault="000032DC" w:rsidP="000B016F">
            <w:pPr>
              <w:jc w:val="center"/>
              <w:rPr>
                <w:rFonts w:ascii="Arial Narrow" w:hAnsi="Arial Narrow"/>
                <w:color w:val="000000"/>
                <w:sz w:val="20"/>
                <w:szCs w:val="18"/>
              </w:rPr>
            </w:pPr>
            <w:r w:rsidRPr="00E2771E">
              <w:rPr>
                <w:rFonts w:ascii="Arial Narrow" w:hAnsi="Arial Narrow"/>
                <w:b/>
                <w:color w:val="000000"/>
                <w:sz w:val="20"/>
                <w:szCs w:val="18"/>
              </w:rPr>
              <w:t xml:space="preserve">Event rate/100 patients* </w:t>
            </w:r>
          </w:p>
        </w:tc>
        <w:tc>
          <w:tcPr>
            <w:tcW w:w="588" w:type="pct"/>
            <w:vMerge w:val="restart"/>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RD</w:t>
            </w:r>
          </w:p>
          <w:p w:rsidR="000032DC" w:rsidRPr="00F653FE" w:rsidRDefault="000032DC" w:rsidP="000B016F">
            <w:pPr>
              <w:jc w:val="center"/>
              <w:rPr>
                <w:rFonts w:ascii="Arial Narrow" w:hAnsi="Arial Narrow"/>
                <w:i/>
                <w:sz w:val="20"/>
              </w:rPr>
            </w:pPr>
            <w:r w:rsidRPr="00E2771E">
              <w:rPr>
                <w:rFonts w:ascii="Arial Narrow" w:hAnsi="Arial Narrow"/>
                <w:b/>
                <w:color w:val="000000"/>
                <w:sz w:val="20"/>
                <w:szCs w:val="18"/>
              </w:rPr>
              <w:t>(95% CI)</w:t>
            </w:r>
          </w:p>
        </w:tc>
      </w:tr>
      <w:tr w:rsidR="000032DC" w:rsidRPr="00E2771E" w:rsidTr="000B016F">
        <w:trPr>
          <w:trHeight w:val="228"/>
        </w:trPr>
        <w:tc>
          <w:tcPr>
            <w:tcW w:w="602" w:type="pct"/>
            <w:vMerge/>
            <w:shd w:val="clear" w:color="auto" w:fill="auto"/>
            <w:vAlign w:val="center"/>
          </w:tcPr>
          <w:p w:rsidR="000032DC" w:rsidRDefault="000032DC" w:rsidP="000B016F">
            <w:pPr>
              <w:rPr>
                <w:rFonts w:ascii="Arial Narrow" w:hAnsi="Arial Narrow"/>
                <w:color w:val="000000"/>
                <w:sz w:val="20"/>
                <w:szCs w:val="18"/>
              </w:rPr>
            </w:pPr>
          </w:p>
        </w:tc>
        <w:tc>
          <w:tcPr>
            <w:tcW w:w="421" w:type="pct"/>
            <w:vMerge/>
            <w:shd w:val="clear" w:color="auto" w:fill="auto"/>
            <w:vAlign w:val="center"/>
          </w:tcPr>
          <w:p w:rsidR="000032DC" w:rsidRDefault="000032DC" w:rsidP="000B016F">
            <w:pPr>
              <w:jc w:val="center"/>
              <w:rPr>
                <w:rFonts w:ascii="Arial Narrow" w:hAnsi="Arial Narrow"/>
                <w:color w:val="000000"/>
                <w:sz w:val="20"/>
                <w:szCs w:val="18"/>
              </w:rPr>
            </w:pPr>
          </w:p>
        </w:tc>
        <w:tc>
          <w:tcPr>
            <w:tcW w:w="502" w:type="pct"/>
            <w:vMerge/>
            <w:shd w:val="clear" w:color="auto" w:fill="auto"/>
            <w:vAlign w:val="center"/>
          </w:tcPr>
          <w:p w:rsidR="000032DC" w:rsidRDefault="000032DC" w:rsidP="000B016F">
            <w:pPr>
              <w:jc w:val="center"/>
              <w:rPr>
                <w:rFonts w:ascii="Arial Narrow" w:hAnsi="Arial Narrow"/>
                <w:b/>
                <w:color w:val="000000"/>
                <w:sz w:val="20"/>
                <w:szCs w:val="18"/>
              </w:rPr>
            </w:pPr>
          </w:p>
        </w:tc>
        <w:tc>
          <w:tcPr>
            <w:tcW w:w="416" w:type="pct"/>
            <w:vMerge/>
            <w:shd w:val="clear" w:color="auto" w:fill="auto"/>
            <w:vAlign w:val="center"/>
          </w:tcPr>
          <w:p w:rsidR="000032DC" w:rsidRPr="00E2771E" w:rsidRDefault="000032DC" w:rsidP="000B016F">
            <w:pPr>
              <w:jc w:val="center"/>
              <w:rPr>
                <w:rFonts w:ascii="Arial Narrow" w:hAnsi="Arial Narrow"/>
                <w:b/>
                <w:color w:val="000000"/>
                <w:sz w:val="20"/>
                <w:szCs w:val="18"/>
              </w:rPr>
            </w:pPr>
          </w:p>
        </w:tc>
        <w:tc>
          <w:tcPr>
            <w:tcW w:w="500" w:type="pct"/>
            <w:gridSpan w:val="2"/>
            <w:vMerge/>
            <w:shd w:val="clear" w:color="auto" w:fill="auto"/>
            <w:vAlign w:val="center"/>
          </w:tcPr>
          <w:p w:rsidR="000032DC" w:rsidRPr="00E2771E" w:rsidRDefault="000032DC" w:rsidP="000B016F">
            <w:pPr>
              <w:jc w:val="center"/>
              <w:rPr>
                <w:rFonts w:ascii="Arial Narrow" w:hAnsi="Arial Narrow"/>
                <w:b/>
                <w:color w:val="000000"/>
                <w:sz w:val="20"/>
                <w:szCs w:val="18"/>
              </w:rPr>
            </w:pPr>
          </w:p>
        </w:tc>
        <w:tc>
          <w:tcPr>
            <w:tcW w:w="667" w:type="pct"/>
            <w:vMerge/>
            <w:vAlign w:val="center"/>
          </w:tcPr>
          <w:p w:rsidR="000032DC" w:rsidRPr="00E2771E" w:rsidRDefault="000032DC" w:rsidP="000B016F">
            <w:pPr>
              <w:jc w:val="center"/>
              <w:rPr>
                <w:rFonts w:ascii="Arial Narrow" w:hAnsi="Arial Narrow"/>
                <w:b/>
                <w:color w:val="000000"/>
                <w:sz w:val="20"/>
                <w:szCs w:val="18"/>
              </w:rPr>
            </w:pPr>
          </w:p>
        </w:tc>
        <w:tc>
          <w:tcPr>
            <w:tcW w:w="434" w:type="pct"/>
            <w:gridSpan w:val="2"/>
            <w:shd w:val="clear" w:color="auto" w:fill="auto"/>
            <w:vAlign w:val="center"/>
          </w:tcPr>
          <w:p w:rsidR="000032DC" w:rsidRPr="00E2771E" w:rsidRDefault="000032DC" w:rsidP="000B016F">
            <w:pPr>
              <w:jc w:val="center"/>
              <w:rPr>
                <w:rFonts w:ascii="Arial Narrow" w:hAnsi="Arial Narrow"/>
                <w:b/>
                <w:color w:val="000000"/>
                <w:sz w:val="20"/>
                <w:szCs w:val="18"/>
              </w:rPr>
            </w:pPr>
            <w:r>
              <w:rPr>
                <w:rFonts w:ascii="Arial Narrow" w:hAnsi="Arial Narrow"/>
                <w:b/>
                <w:color w:val="000000"/>
                <w:sz w:val="20"/>
                <w:szCs w:val="18"/>
              </w:rPr>
              <w:t>SEC</w:t>
            </w:r>
          </w:p>
        </w:tc>
        <w:tc>
          <w:tcPr>
            <w:tcW w:w="435" w:type="pct"/>
            <w:shd w:val="clear" w:color="auto" w:fill="auto"/>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PBO</w:t>
            </w:r>
          </w:p>
        </w:tc>
        <w:tc>
          <w:tcPr>
            <w:tcW w:w="435" w:type="pct"/>
            <w:shd w:val="clear" w:color="auto" w:fill="auto"/>
            <w:vAlign w:val="center"/>
          </w:tcPr>
          <w:p w:rsidR="000032DC" w:rsidRPr="00E2771E" w:rsidRDefault="000032DC" w:rsidP="000B016F">
            <w:pPr>
              <w:jc w:val="center"/>
              <w:rPr>
                <w:rFonts w:ascii="Arial Narrow" w:hAnsi="Arial Narrow"/>
                <w:b/>
                <w:color w:val="000000"/>
                <w:sz w:val="20"/>
                <w:szCs w:val="18"/>
              </w:rPr>
            </w:pPr>
            <w:r w:rsidRPr="00E2771E">
              <w:rPr>
                <w:rFonts w:ascii="Arial Narrow" w:hAnsi="Arial Narrow"/>
                <w:b/>
                <w:color w:val="000000"/>
                <w:sz w:val="20"/>
                <w:szCs w:val="18"/>
              </w:rPr>
              <w:t>Comp</w:t>
            </w:r>
          </w:p>
        </w:tc>
        <w:tc>
          <w:tcPr>
            <w:tcW w:w="588" w:type="pct"/>
            <w:vMerge/>
            <w:vAlign w:val="center"/>
          </w:tcPr>
          <w:p w:rsidR="000032DC" w:rsidRPr="00E2771E" w:rsidRDefault="000032DC" w:rsidP="000B016F">
            <w:pPr>
              <w:jc w:val="center"/>
              <w:rPr>
                <w:rFonts w:ascii="Arial Narrow" w:hAnsi="Arial Narrow"/>
                <w:b/>
                <w:color w:val="000000"/>
                <w:sz w:val="20"/>
                <w:szCs w:val="18"/>
              </w:rPr>
            </w:pP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SEC</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12</w:t>
            </w:r>
          </w:p>
        </w:tc>
        <w:tc>
          <w:tcPr>
            <w:tcW w:w="502"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388/690</w:t>
            </w:r>
          </w:p>
        </w:tc>
        <w:tc>
          <w:tcPr>
            <w:tcW w:w="416"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340/694</w:t>
            </w:r>
          </w:p>
        </w:tc>
        <w:tc>
          <w:tcPr>
            <w:tcW w:w="500"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667" w:type="pct"/>
            <w:vAlign w:val="center"/>
          </w:tcPr>
          <w:p w:rsidR="000032DC" w:rsidRPr="00F66BC1" w:rsidRDefault="000032DC" w:rsidP="000B016F">
            <w:pPr>
              <w:jc w:val="center"/>
              <w:rPr>
                <w:rFonts w:ascii="Arial Narrow" w:hAnsi="Arial Narrow"/>
                <w:b/>
                <w:i/>
                <w:sz w:val="20"/>
              </w:rPr>
            </w:pPr>
            <w:r w:rsidRPr="00F66BC1">
              <w:rPr>
                <w:rFonts w:ascii="Arial Narrow" w:hAnsi="Arial Narrow"/>
                <w:b/>
                <w:i/>
                <w:sz w:val="20"/>
              </w:rPr>
              <w:t xml:space="preserve">1.15 </w:t>
            </w:r>
          </w:p>
          <w:p w:rsidR="000032DC" w:rsidRPr="00F653FE" w:rsidRDefault="000032DC" w:rsidP="000B016F">
            <w:pPr>
              <w:jc w:val="center"/>
              <w:rPr>
                <w:rFonts w:ascii="Arial Narrow" w:hAnsi="Arial Narrow"/>
                <w:i/>
                <w:sz w:val="20"/>
              </w:rPr>
            </w:pPr>
            <w:r w:rsidRPr="00F66BC1">
              <w:rPr>
                <w:rFonts w:ascii="Arial Narrow" w:hAnsi="Arial Narrow"/>
                <w:b/>
                <w:i/>
                <w:sz w:val="20"/>
              </w:rPr>
              <w:t>(1.04, 1.27)</w:t>
            </w:r>
          </w:p>
        </w:tc>
        <w:tc>
          <w:tcPr>
            <w:tcW w:w="434"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56</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49</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588" w:type="pct"/>
            <w:vAlign w:val="center"/>
          </w:tcPr>
          <w:p w:rsidR="000032DC" w:rsidRPr="00F66BC1" w:rsidRDefault="000032DC" w:rsidP="000B016F">
            <w:pPr>
              <w:jc w:val="center"/>
              <w:rPr>
                <w:rFonts w:ascii="Arial Narrow" w:hAnsi="Arial Narrow"/>
                <w:b/>
                <w:i/>
                <w:sz w:val="20"/>
              </w:rPr>
            </w:pPr>
            <w:r w:rsidRPr="00F66BC1">
              <w:rPr>
                <w:rFonts w:ascii="Arial Narrow" w:hAnsi="Arial Narrow"/>
                <w:b/>
                <w:i/>
                <w:sz w:val="20"/>
              </w:rPr>
              <w:t>0.07</w:t>
            </w:r>
          </w:p>
          <w:p w:rsidR="000032DC" w:rsidRPr="00F653FE" w:rsidRDefault="000032DC" w:rsidP="000B016F">
            <w:pPr>
              <w:jc w:val="center"/>
              <w:rPr>
                <w:rFonts w:ascii="Arial Narrow" w:hAnsi="Arial Narrow"/>
                <w:i/>
                <w:sz w:val="20"/>
              </w:rPr>
            </w:pPr>
            <w:r w:rsidRPr="00F66BC1">
              <w:rPr>
                <w:rFonts w:ascii="Arial Narrow" w:hAnsi="Arial Narrow"/>
                <w:b/>
                <w:i/>
                <w:sz w:val="20"/>
              </w:rPr>
              <w:t>(0.02, 0.13)</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UST45</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12</w:t>
            </w:r>
          </w:p>
        </w:tc>
        <w:tc>
          <w:tcPr>
            <w:tcW w:w="502"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16"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452/918</w:t>
            </w:r>
          </w:p>
        </w:tc>
        <w:tc>
          <w:tcPr>
            <w:tcW w:w="500"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514/949</w:t>
            </w:r>
          </w:p>
        </w:tc>
        <w:tc>
          <w:tcPr>
            <w:tcW w:w="667" w:type="pct"/>
            <w:vAlign w:val="center"/>
          </w:tcPr>
          <w:p w:rsidR="000032DC" w:rsidRDefault="000032DC" w:rsidP="000B016F">
            <w:pPr>
              <w:jc w:val="center"/>
              <w:rPr>
                <w:rFonts w:ascii="Arial Narrow" w:hAnsi="Arial Narrow"/>
                <w:i/>
                <w:sz w:val="20"/>
              </w:rPr>
            </w:pPr>
            <w:r>
              <w:rPr>
                <w:rFonts w:ascii="Arial Narrow" w:hAnsi="Arial Narrow"/>
                <w:i/>
                <w:sz w:val="20"/>
              </w:rPr>
              <w:t>1.08</w:t>
            </w:r>
          </w:p>
          <w:p w:rsidR="000032DC" w:rsidRPr="00F653FE" w:rsidRDefault="000032DC" w:rsidP="000B016F">
            <w:pPr>
              <w:jc w:val="center"/>
              <w:rPr>
                <w:rFonts w:ascii="Arial Narrow" w:hAnsi="Arial Narrow"/>
                <w:i/>
                <w:sz w:val="20"/>
              </w:rPr>
            </w:pPr>
            <w:r>
              <w:rPr>
                <w:rFonts w:ascii="Arial Narrow" w:hAnsi="Arial Narrow"/>
                <w:i/>
                <w:sz w:val="20"/>
              </w:rPr>
              <w:t>(0.99, 1.18)</w:t>
            </w:r>
          </w:p>
        </w:tc>
        <w:tc>
          <w:tcPr>
            <w:tcW w:w="434"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49</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54</w:t>
            </w: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 xml:space="preserve">0.04 </w:t>
            </w:r>
          </w:p>
          <w:p w:rsidR="000032DC" w:rsidRPr="00F653FE" w:rsidRDefault="000032DC" w:rsidP="000B016F">
            <w:pPr>
              <w:jc w:val="center"/>
              <w:rPr>
                <w:rFonts w:ascii="Arial Narrow" w:hAnsi="Arial Narrow"/>
                <w:i/>
                <w:sz w:val="20"/>
              </w:rPr>
            </w:pPr>
            <w:r>
              <w:rPr>
                <w:rFonts w:ascii="Arial Narrow" w:hAnsi="Arial Narrow"/>
                <w:i/>
                <w:sz w:val="20"/>
              </w:rPr>
              <w:t>(-0.0, 0.09)</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UST90</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12</w:t>
            </w:r>
          </w:p>
        </w:tc>
        <w:tc>
          <w:tcPr>
            <w:tcW w:w="502"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16"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348/697</w:t>
            </w:r>
          </w:p>
        </w:tc>
        <w:tc>
          <w:tcPr>
            <w:tcW w:w="500"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365/728</w:t>
            </w:r>
          </w:p>
        </w:tc>
        <w:tc>
          <w:tcPr>
            <w:tcW w:w="667" w:type="pct"/>
            <w:vAlign w:val="center"/>
          </w:tcPr>
          <w:p w:rsidR="000032DC" w:rsidRDefault="000032DC" w:rsidP="000B016F">
            <w:pPr>
              <w:jc w:val="center"/>
              <w:rPr>
                <w:rFonts w:ascii="Arial Narrow" w:hAnsi="Arial Narrow"/>
                <w:i/>
                <w:sz w:val="20"/>
              </w:rPr>
            </w:pPr>
            <w:r>
              <w:rPr>
                <w:rFonts w:ascii="Arial Narrow" w:hAnsi="Arial Narrow"/>
                <w:i/>
                <w:sz w:val="20"/>
              </w:rPr>
              <w:t>0.99</w:t>
            </w:r>
          </w:p>
          <w:p w:rsidR="000032DC" w:rsidRPr="00F653FE" w:rsidRDefault="000032DC" w:rsidP="000B016F">
            <w:pPr>
              <w:jc w:val="center"/>
              <w:rPr>
                <w:rFonts w:ascii="Arial Narrow" w:hAnsi="Arial Narrow"/>
                <w:i/>
                <w:sz w:val="20"/>
              </w:rPr>
            </w:pPr>
            <w:r>
              <w:rPr>
                <w:rFonts w:ascii="Arial Narrow" w:hAnsi="Arial Narrow"/>
                <w:i/>
                <w:sz w:val="20"/>
              </w:rPr>
              <w:t>(0.80, 1.22)</w:t>
            </w:r>
          </w:p>
        </w:tc>
        <w:tc>
          <w:tcPr>
            <w:tcW w:w="434"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50</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50</w:t>
            </w: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-0.0</w:t>
            </w:r>
          </w:p>
          <w:p w:rsidR="000032DC" w:rsidRPr="00F653FE" w:rsidRDefault="000032DC" w:rsidP="000B016F">
            <w:pPr>
              <w:jc w:val="center"/>
              <w:rPr>
                <w:rFonts w:ascii="Arial Narrow" w:hAnsi="Arial Narrow"/>
                <w:i/>
                <w:sz w:val="20"/>
              </w:rPr>
            </w:pPr>
            <w:r>
              <w:rPr>
                <w:rFonts w:ascii="Arial Narrow" w:hAnsi="Arial Narrow"/>
                <w:i/>
                <w:sz w:val="20"/>
              </w:rPr>
              <w:t>(-0.06, 0.05)</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ADA</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12/16</w:t>
            </w:r>
          </w:p>
        </w:tc>
        <w:tc>
          <w:tcPr>
            <w:tcW w:w="502"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16"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339/549</w:t>
            </w:r>
          </w:p>
        </w:tc>
        <w:tc>
          <w:tcPr>
            <w:tcW w:w="500"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652/1009</w:t>
            </w:r>
          </w:p>
        </w:tc>
        <w:tc>
          <w:tcPr>
            <w:tcW w:w="667" w:type="pct"/>
            <w:vAlign w:val="center"/>
          </w:tcPr>
          <w:p w:rsidR="000032DC" w:rsidRDefault="000032DC" w:rsidP="000B016F">
            <w:pPr>
              <w:jc w:val="center"/>
              <w:rPr>
                <w:rFonts w:ascii="Arial Narrow" w:hAnsi="Arial Narrow"/>
                <w:i/>
                <w:sz w:val="20"/>
              </w:rPr>
            </w:pPr>
            <w:r>
              <w:rPr>
                <w:rFonts w:ascii="Arial Narrow" w:hAnsi="Arial Narrow"/>
                <w:i/>
                <w:sz w:val="20"/>
              </w:rPr>
              <w:t>1.03</w:t>
            </w:r>
          </w:p>
          <w:p w:rsidR="000032DC" w:rsidRPr="00F653FE" w:rsidRDefault="000032DC" w:rsidP="000B016F">
            <w:pPr>
              <w:jc w:val="center"/>
              <w:rPr>
                <w:rFonts w:ascii="Arial Narrow" w:hAnsi="Arial Narrow"/>
                <w:i/>
                <w:sz w:val="20"/>
              </w:rPr>
            </w:pPr>
            <w:r>
              <w:rPr>
                <w:rFonts w:ascii="Arial Narrow" w:hAnsi="Arial Narrow"/>
                <w:i/>
                <w:sz w:val="20"/>
              </w:rPr>
              <w:t>(0.93, 1.13)</w:t>
            </w:r>
          </w:p>
        </w:tc>
        <w:tc>
          <w:tcPr>
            <w:tcW w:w="434"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62</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65</w:t>
            </w: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0.03</w:t>
            </w:r>
          </w:p>
          <w:p w:rsidR="000032DC" w:rsidRPr="00F653FE" w:rsidRDefault="000032DC" w:rsidP="000B016F">
            <w:pPr>
              <w:jc w:val="center"/>
              <w:rPr>
                <w:rFonts w:ascii="Arial Narrow" w:hAnsi="Arial Narrow"/>
                <w:i/>
                <w:sz w:val="20"/>
              </w:rPr>
            </w:pPr>
            <w:r>
              <w:rPr>
                <w:rFonts w:ascii="Arial Narrow" w:hAnsi="Arial Narrow"/>
                <w:i/>
                <w:sz w:val="20"/>
              </w:rPr>
              <w:t>(-0.03, 0.09)</w:t>
            </w:r>
          </w:p>
        </w:tc>
      </w:tr>
      <w:tr w:rsidR="000032DC" w:rsidRPr="00E2771E" w:rsidTr="000B016F">
        <w:tc>
          <w:tcPr>
            <w:tcW w:w="602" w:type="pct"/>
            <w:shd w:val="clear" w:color="auto" w:fill="auto"/>
            <w:vAlign w:val="center"/>
          </w:tcPr>
          <w:p w:rsidR="000032DC" w:rsidRDefault="000032DC" w:rsidP="000B016F">
            <w:pPr>
              <w:rPr>
                <w:rFonts w:ascii="Arial Narrow" w:hAnsi="Arial Narrow"/>
                <w:color w:val="000000"/>
                <w:sz w:val="20"/>
                <w:szCs w:val="18"/>
              </w:rPr>
            </w:pPr>
            <w:r>
              <w:rPr>
                <w:rFonts w:ascii="Arial Narrow" w:hAnsi="Arial Narrow"/>
                <w:color w:val="000000"/>
                <w:sz w:val="20"/>
                <w:szCs w:val="18"/>
              </w:rPr>
              <w:t>IFX</w:t>
            </w:r>
          </w:p>
        </w:tc>
        <w:tc>
          <w:tcPr>
            <w:tcW w:w="421"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14-30</w:t>
            </w:r>
          </w:p>
        </w:tc>
        <w:tc>
          <w:tcPr>
            <w:tcW w:w="502"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16"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230/398</w:t>
            </w:r>
          </w:p>
        </w:tc>
        <w:tc>
          <w:tcPr>
            <w:tcW w:w="500"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608/830</w:t>
            </w:r>
          </w:p>
        </w:tc>
        <w:tc>
          <w:tcPr>
            <w:tcW w:w="667" w:type="pct"/>
            <w:vAlign w:val="center"/>
          </w:tcPr>
          <w:p w:rsidR="000032DC" w:rsidRDefault="000032DC" w:rsidP="000B016F">
            <w:pPr>
              <w:jc w:val="center"/>
              <w:rPr>
                <w:rFonts w:ascii="Arial Narrow" w:hAnsi="Arial Narrow"/>
                <w:b/>
                <w:i/>
                <w:sz w:val="20"/>
              </w:rPr>
            </w:pPr>
            <w:r>
              <w:rPr>
                <w:rFonts w:ascii="Arial Narrow" w:hAnsi="Arial Narrow"/>
                <w:b/>
                <w:i/>
                <w:sz w:val="20"/>
              </w:rPr>
              <w:t>1.22</w:t>
            </w:r>
          </w:p>
          <w:p w:rsidR="000032DC" w:rsidRPr="00165C2F" w:rsidRDefault="000032DC" w:rsidP="000B016F">
            <w:pPr>
              <w:jc w:val="center"/>
              <w:rPr>
                <w:rFonts w:ascii="Arial Narrow" w:hAnsi="Arial Narrow"/>
                <w:b/>
                <w:i/>
                <w:sz w:val="20"/>
              </w:rPr>
            </w:pPr>
            <w:r>
              <w:rPr>
                <w:rFonts w:ascii="Arial Narrow" w:hAnsi="Arial Narrow"/>
                <w:b/>
                <w:i/>
                <w:sz w:val="20"/>
              </w:rPr>
              <w:t>(1.12, 1.34)</w:t>
            </w:r>
          </w:p>
        </w:tc>
        <w:tc>
          <w:tcPr>
            <w:tcW w:w="434" w:type="pct"/>
            <w:gridSpan w:val="2"/>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58</w:t>
            </w:r>
          </w:p>
        </w:tc>
        <w:tc>
          <w:tcPr>
            <w:tcW w:w="435" w:type="pct"/>
            <w:shd w:val="clear" w:color="auto" w:fill="auto"/>
            <w:vAlign w:val="center"/>
          </w:tcPr>
          <w:p w:rsidR="000032DC" w:rsidRDefault="000032DC" w:rsidP="000B016F">
            <w:pPr>
              <w:jc w:val="center"/>
              <w:rPr>
                <w:rFonts w:ascii="Arial Narrow" w:hAnsi="Arial Narrow"/>
                <w:color w:val="000000"/>
                <w:sz w:val="20"/>
                <w:szCs w:val="18"/>
              </w:rPr>
            </w:pPr>
            <w:r>
              <w:rPr>
                <w:rFonts w:ascii="Arial Narrow" w:hAnsi="Arial Narrow"/>
                <w:color w:val="000000"/>
                <w:sz w:val="20"/>
                <w:szCs w:val="18"/>
              </w:rPr>
              <w:t>73</w:t>
            </w:r>
          </w:p>
        </w:tc>
        <w:tc>
          <w:tcPr>
            <w:tcW w:w="588" w:type="pct"/>
            <w:vAlign w:val="center"/>
          </w:tcPr>
          <w:p w:rsidR="000032DC" w:rsidRDefault="000032DC" w:rsidP="000B016F">
            <w:pPr>
              <w:jc w:val="center"/>
              <w:rPr>
                <w:rFonts w:ascii="Arial Narrow" w:hAnsi="Arial Narrow"/>
                <w:b/>
                <w:i/>
                <w:sz w:val="20"/>
              </w:rPr>
            </w:pPr>
            <w:r>
              <w:rPr>
                <w:rFonts w:ascii="Arial Narrow" w:hAnsi="Arial Narrow"/>
                <w:b/>
                <w:i/>
                <w:sz w:val="20"/>
              </w:rPr>
              <w:t>0.14</w:t>
            </w:r>
          </w:p>
          <w:p w:rsidR="000032DC" w:rsidRPr="00165C2F" w:rsidRDefault="000032DC" w:rsidP="000B016F">
            <w:pPr>
              <w:jc w:val="center"/>
              <w:rPr>
                <w:rFonts w:ascii="Arial Narrow" w:hAnsi="Arial Narrow"/>
                <w:b/>
                <w:i/>
                <w:sz w:val="20"/>
              </w:rPr>
            </w:pPr>
            <w:r>
              <w:rPr>
                <w:rFonts w:ascii="Arial Narrow" w:hAnsi="Arial Narrow"/>
                <w:b/>
                <w:i/>
                <w:sz w:val="20"/>
              </w:rPr>
              <w:t>(0.07, 0.22)</w:t>
            </w:r>
          </w:p>
        </w:tc>
      </w:tr>
      <w:tr w:rsidR="000032DC" w:rsidRPr="00E2771E" w:rsidTr="000B016F">
        <w:tc>
          <w:tcPr>
            <w:tcW w:w="5000" w:type="pct"/>
            <w:gridSpan w:val="12"/>
            <w:shd w:val="clear" w:color="auto" w:fill="auto"/>
          </w:tcPr>
          <w:p w:rsidR="000032DC" w:rsidRPr="00FD70D8" w:rsidRDefault="000032DC" w:rsidP="000B016F">
            <w:pPr>
              <w:jc w:val="left"/>
              <w:rPr>
                <w:rFonts w:ascii="Arial Narrow" w:hAnsi="Arial Narrow"/>
                <w:sz w:val="20"/>
              </w:rPr>
            </w:pPr>
            <w:r w:rsidRPr="00FD70D8">
              <w:rPr>
                <w:rFonts w:ascii="Arial Narrow" w:hAnsi="Arial Narrow"/>
                <w:sz w:val="20"/>
              </w:rPr>
              <w:t>Indirect comparisons</w:t>
            </w:r>
          </w:p>
        </w:tc>
      </w:tr>
      <w:tr w:rsidR="000032DC" w:rsidRPr="00E2771E" w:rsidTr="000B016F">
        <w:tc>
          <w:tcPr>
            <w:tcW w:w="2441" w:type="pct"/>
            <w:gridSpan w:val="6"/>
            <w:shd w:val="clear" w:color="auto" w:fill="auto"/>
            <w:vAlign w:val="center"/>
          </w:tcPr>
          <w:p w:rsidR="000032DC" w:rsidRDefault="000032DC" w:rsidP="000B016F">
            <w:pPr>
              <w:jc w:val="left"/>
              <w:rPr>
                <w:rFonts w:ascii="Arial Narrow" w:hAnsi="Arial Narrow"/>
                <w:color w:val="000000"/>
                <w:sz w:val="20"/>
                <w:szCs w:val="18"/>
              </w:rPr>
            </w:pPr>
            <w:r>
              <w:rPr>
                <w:rFonts w:ascii="Arial Narrow" w:hAnsi="Arial Narrow"/>
                <w:color w:val="000000"/>
                <w:sz w:val="20"/>
                <w:szCs w:val="18"/>
              </w:rPr>
              <w:t>SEC v UST45</w:t>
            </w:r>
          </w:p>
        </w:tc>
        <w:tc>
          <w:tcPr>
            <w:tcW w:w="667" w:type="pct"/>
            <w:vAlign w:val="center"/>
          </w:tcPr>
          <w:p w:rsidR="000032DC" w:rsidRPr="00024020" w:rsidRDefault="000032DC" w:rsidP="000B016F">
            <w:pPr>
              <w:jc w:val="center"/>
              <w:rPr>
                <w:rFonts w:ascii="Arial Narrow" w:hAnsi="Arial Narrow"/>
                <w:i/>
                <w:sz w:val="20"/>
              </w:rPr>
            </w:pPr>
            <w:r>
              <w:rPr>
                <w:rFonts w:ascii="Arial Narrow" w:hAnsi="Arial Narrow"/>
                <w:i/>
                <w:sz w:val="20"/>
              </w:rPr>
              <w:t>1.07</w:t>
            </w:r>
          </w:p>
          <w:p w:rsidR="000032DC" w:rsidRPr="00024020" w:rsidRDefault="000032DC" w:rsidP="000B016F">
            <w:pPr>
              <w:jc w:val="center"/>
              <w:rPr>
                <w:rFonts w:ascii="Arial Narrow" w:hAnsi="Arial Narrow"/>
                <w:b/>
                <w:i/>
                <w:sz w:val="20"/>
              </w:rPr>
            </w:pPr>
            <w:r w:rsidRPr="00024020">
              <w:rPr>
                <w:rFonts w:ascii="Arial Narrow" w:hAnsi="Arial Narrow"/>
                <w:i/>
                <w:sz w:val="20"/>
              </w:rPr>
              <w:t>(0.9</w:t>
            </w:r>
            <w:r>
              <w:rPr>
                <w:rFonts w:ascii="Arial Narrow" w:hAnsi="Arial Narrow"/>
                <w:i/>
                <w:sz w:val="20"/>
              </w:rPr>
              <w:t>3</w:t>
            </w:r>
            <w:r w:rsidRPr="00024020">
              <w:rPr>
                <w:rFonts w:ascii="Arial Narrow" w:hAnsi="Arial Narrow"/>
                <w:i/>
                <w:sz w:val="20"/>
              </w:rPr>
              <w:t>, 1.2</w:t>
            </w:r>
            <w:r>
              <w:rPr>
                <w:rFonts w:ascii="Arial Narrow" w:hAnsi="Arial Narrow"/>
                <w:i/>
                <w:sz w:val="20"/>
              </w:rPr>
              <w:t>2</w:t>
            </w:r>
            <w:r w:rsidRPr="00024020">
              <w:rPr>
                <w:rFonts w:ascii="Arial Narrow" w:hAnsi="Arial Narrow"/>
                <w:i/>
                <w:sz w:val="20"/>
              </w:rPr>
              <w:t>)</w:t>
            </w:r>
          </w:p>
        </w:tc>
        <w:tc>
          <w:tcPr>
            <w:tcW w:w="1304" w:type="pct"/>
            <w:gridSpan w:val="4"/>
            <w:shd w:val="clear" w:color="auto" w:fill="auto"/>
            <w:vAlign w:val="center"/>
          </w:tcPr>
          <w:p w:rsidR="000032DC" w:rsidRDefault="000032DC" w:rsidP="000B016F">
            <w:pPr>
              <w:jc w:val="center"/>
              <w:rPr>
                <w:rFonts w:ascii="Arial Narrow" w:hAnsi="Arial Narrow"/>
                <w:color w:val="000000"/>
                <w:sz w:val="20"/>
                <w:szCs w:val="18"/>
              </w:rPr>
            </w:pP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0.03</w:t>
            </w:r>
          </w:p>
          <w:p w:rsidR="000032DC" w:rsidRPr="00F653FE" w:rsidRDefault="000032DC" w:rsidP="000B016F">
            <w:pPr>
              <w:jc w:val="center"/>
              <w:rPr>
                <w:rFonts w:ascii="Arial Narrow" w:hAnsi="Arial Narrow"/>
                <w:i/>
                <w:sz w:val="20"/>
              </w:rPr>
            </w:pPr>
            <w:r>
              <w:rPr>
                <w:rFonts w:ascii="Arial Narrow" w:hAnsi="Arial Narrow"/>
                <w:i/>
                <w:sz w:val="20"/>
              </w:rPr>
              <w:t>(-0.04, 0.10)</w:t>
            </w:r>
          </w:p>
        </w:tc>
      </w:tr>
      <w:tr w:rsidR="000032DC" w:rsidRPr="00E2771E" w:rsidTr="000B016F">
        <w:tc>
          <w:tcPr>
            <w:tcW w:w="2441" w:type="pct"/>
            <w:gridSpan w:val="6"/>
            <w:shd w:val="clear" w:color="auto" w:fill="auto"/>
            <w:vAlign w:val="center"/>
          </w:tcPr>
          <w:p w:rsidR="000032DC" w:rsidRDefault="000032DC" w:rsidP="000B016F">
            <w:pPr>
              <w:jc w:val="left"/>
              <w:rPr>
                <w:rFonts w:ascii="Arial Narrow" w:hAnsi="Arial Narrow"/>
                <w:color w:val="000000"/>
                <w:sz w:val="20"/>
                <w:szCs w:val="18"/>
              </w:rPr>
            </w:pPr>
            <w:r>
              <w:rPr>
                <w:rFonts w:ascii="Arial Narrow" w:hAnsi="Arial Narrow"/>
                <w:color w:val="000000"/>
                <w:sz w:val="20"/>
                <w:szCs w:val="18"/>
              </w:rPr>
              <w:t>SEC v UST90</w:t>
            </w:r>
          </w:p>
        </w:tc>
        <w:tc>
          <w:tcPr>
            <w:tcW w:w="667" w:type="pct"/>
            <w:vAlign w:val="center"/>
          </w:tcPr>
          <w:p w:rsidR="000032DC" w:rsidRDefault="000032DC" w:rsidP="000B016F">
            <w:pPr>
              <w:jc w:val="center"/>
              <w:rPr>
                <w:rFonts w:ascii="Arial Narrow" w:hAnsi="Arial Narrow"/>
                <w:i/>
                <w:sz w:val="20"/>
              </w:rPr>
            </w:pPr>
            <w:r>
              <w:rPr>
                <w:rFonts w:ascii="Arial Narrow" w:hAnsi="Arial Narrow"/>
                <w:i/>
                <w:sz w:val="20"/>
              </w:rPr>
              <w:t>1.16</w:t>
            </w:r>
          </w:p>
          <w:p w:rsidR="000032DC" w:rsidRPr="00F653FE" w:rsidRDefault="000032DC" w:rsidP="000B016F">
            <w:pPr>
              <w:jc w:val="center"/>
              <w:rPr>
                <w:rFonts w:ascii="Arial Narrow" w:hAnsi="Arial Narrow"/>
                <w:i/>
                <w:sz w:val="20"/>
              </w:rPr>
            </w:pPr>
            <w:r>
              <w:rPr>
                <w:rFonts w:ascii="Arial Narrow" w:hAnsi="Arial Narrow"/>
                <w:i/>
                <w:sz w:val="20"/>
              </w:rPr>
              <w:t>(0.92, 1.47)</w:t>
            </w:r>
          </w:p>
        </w:tc>
        <w:tc>
          <w:tcPr>
            <w:tcW w:w="1304" w:type="pct"/>
            <w:gridSpan w:val="4"/>
            <w:shd w:val="clear" w:color="auto" w:fill="auto"/>
            <w:vAlign w:val="center"/>
          </w:tcPr>
          <w:p w:rsidR="000032DC" w:rsidRDefault="000032DC" w:rsidP="000B016F">
            <w:pPr>
              <w:jc w:val="center"/>
              <w:rPr>
                <w:rFonts w:ascii="Arial Narrow" w:hAnsi="Arial Narrow"/>
                <w:color w:val="000000"/>
                <w:sz w:val="20"/>
                <w:szCs w:val="18"/>
              </w:rPr>
            </w:pP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 xml:space="preserve">0.07 </w:t>
            </w:r>
          </w:p>
          <w:p w:rsidR="000032DC" w:rsidRPr="00F653FE" w:rsidRDefault="000032DC" w:rsidP="000B016F">
            <w:pPr>
              <w:jc w:val="center"/>
              <w:rPr>
                <w:rFonts w:ascii="Arial Narrow" w:hAnsi="Arial Narrow"/>
                <w:i/>
                <w:sz w:val="20"/>
              </w:rPr>
            </w:pPr>
            <w:r>
              <w:rPr>
                <w:rFonts w:ascii="Arial Narrow" w:hAnsi="Arial Narrow"/>
                <w:i/>
                <w:sz w:val="20"/>
              </w:rPr>
              <w:t>(-0.01, 0.15)</w:t>
            </w:r>
          </w:p>
        </w:tc>
      </w:tr>
      <w:tr w:rsidR="000032DC" w:rsidRPr="00E2771E" w:rsidTr="000B016F">
        <w:tc>
          <w:tcPr>
            <w:tcW w:w="2441" w:type="pct"/>
            <w:gridSpan w:val="6"/>
            <w:shd w:val="clear" w:color="auto" w:fill="auto"/>
            <w:vAlign w:val="center"/>
          </w:tcPr>
          <w:p w:rsidR="000032DC" w:rsidRDefault="000032DC" w:rsidP="000B016F">
            <w:pPr>
              <w:jc w:val="left"/>
              <w:rPr>
                <w:rFonts w:ascii="Arial Narrow" w:hAnsi="Arial Narrow"/>
                <w:color w:val="000000"/>
                <w:sz w:val="20"/>
                <w:szCs w:val="18"/>
              </w:rPr>
            </w:pPr>
            <w:r>
              <w:rPr>
                <w:rFonts w:ascii="Arial Narrow" w:hAnsi="Arial Narrow"/>
                <w:color w:val="000000"/>
                <w:sz w:val="20"/>
                <w:szCs w:val="18"/>
              </w:rPr>
              <w:t>SEC v ADA</w:t>
            </w:r>
          </w:p>
        </w:tc>
        <w:tc>
          <w:tcPr>
            <w:tcW w:w="667" w:type="pct"/>
            <w:vAlign w:val="center"/>
          </w:tcPr>
          <w:p w:rsidR="000032DC" w:rsidRDefault="000032DC" w:rsidP="000B016F">
            <w:pPr>
              <w:jc w:val="center"/>
              <w:rPr>
                <w:rFonts w:ascii="Arial Narrow" w:hAnsi="Arial Narrow"/>
                <w:i/>
                <w:sz w:val="20"/>
              </w:rPr>
            </w:pPr>
            <w:r>
              <w:rPr>
                <w:rFonts w:ascii="Arial Narrow" w:hAnsi="Arial Narrow"/>
                <w:i/>
                <w:sz w:val="20"/>
              </w:rPr>
              <w:t>1.12</w:t>
            </w:r>
          </w:p>
          <w:p w:rsidR="000032DC" w:rsidRPr="00F653FE" w:rsidRDefault="000032DC" w:rsidP="000B016F">
            <w:pPr>
              <w:jc w:val="center"/>
              <w:rPr>
                <w:rFonts w:ascii="Arial Narrow" w:hAnsi="Arial Narrow"/>
                <w:i/>
                <w:sz w:val="20"/>
              </w:rPr>
            </w:pPr>
            <w:r>
              <w:rPr>
                <w:rFonts w:ascii="Arial Narrow" w:hAnsi="Arial Narrow"/>
                <w:i/>
                <w:sz w:val="20"/>
              </w:rPr>
              <w:t>(0.97, 1.28)</w:t>
            </w:r>
          </w:p>
        </w:tc>
        <w:tc>
          <w:tcPr>
            <w:tcW w:w="1304" w:type="pct"/>
            <w:gridSpan w:val="4"/>
            <w:shd w:val="clear" w:color="auto" w:fill="auto"/>
            <w:vAlign w:val="center"/>
          </w:tcPr>
          <w:p w:rsidR="000032DC" w:rsidRDefault="000032DC" w:rsidP="000B016F">
            <w:pPr>
              <w:jc w:val="center"/>
              <w:rPr>
                <w:rFonts w:ascii="Arial Narrow" w:hAnsi="Arial Narrow"/>
                <w:color w:val="000000"/>
                <w:sz w:val="20"/>
                <w:szCs w:val="18"/>
              </w:rPr>
            </w:pP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0.04</w:t>
            </w:r>
          </w:p>
          <w:p w:rsidR="000032DC" w:rsidRPr="00F653FE" w:rsidRDefault="000032DC" w:rsidP="000B016F">
            <w:pPr>
              <w:jc w:val="center"/>
              <w:rPr>
                <w:rFonts w:ascii="Arial Narrow" w:hAnsi="Arial Narrow"/>
                <w:i/>
                <w:sz w:val="20"/>
              </w:rPr>
            </w:pPr>
            <w:r>
              <w:rPr>
                <w:rFonts w:ascii="Arial Narrow" w:hAnsi="Arial Narrow"/>
                <w:i/>
                <w:sz w:val="20"/>
              </w:rPr>
              <w:t>(-0.04, 0.12)</w:t>
            </w:r>
          </w:p>
        </w:tc>
      </w:tr>
      <w:tr w:rsidR="000032DC" w:rsidRPr="00E2771E" w:rsidTr="000B016F">
        <w:tc>
          <w:tcPr>
            <w:tcW w:w="2441" w:type="pct"/>
            <w:gridSpan w:val="6"/>
            <w:shd w:val="clear" w:color="auto" w:fill="auto"/>
            <w:vAlign w:val="center"/>
          </w:tcPr>
          <w:p w:rsidR="000032DC" w:rsidRDefault="000032DC" w:rsidP="000B016F">
            <w:pPr>
              <w:jc w:val="left"/>
              <w:rPr>
                <w:rFonts w:ascii="Arial Narrow" w:hAnsi="Arial Narrow"/>
                <w:color w:val="000000"/>
                <w:sz w:val="20"/>
                <w:szCs w:val="18"/>
              </w:rPr>
            </w:pPr>
            <w:r>
              <w:rPr>
                <w:rFonts w:ascii="Arial Narrow" w:hAnsi="Arial Narrow"/>
                <w:color w:val="000000"/>
                <w:sz w:val="20"/>
                <w:szCs w:val="18"/>
              </w:rPr>
              <w:t>SEC v IFX</w:t>
            </w:r>
          </w:p>
        </w:tc>
        <w:tc>
          <w:tcPr>
            <w:tcW w:w="667" w:type="pct"/>
            <w:vAlign w:val="center"/>
          </w:tcPr>
          <w:p w:rsidR="000032DC" w:rsidRDefault="000032DC" w:rsidP="000B016F">
            <w:pPr>
              <w:jc w:val="center"/>
              <w:rPr>
                <w:rFonts w:ascii="Arial Narrow" w:hAnsi="Arial Narrow"/>
                <w:i/>
                <w:sz w:val="20"/>
              </w:rPr>
            </w:pPr>
            <w:r>
              <w:rPr>
                <w:rFonts w:ascii="Arial Narrow" w:hAnsi="Arial Narrow"/>
                <w:i/>
                <w:sz w:val="20"/>
              </w:rPr>
              <w:t>0.93</w:t>
            </w:r>
          </w:p>
          <w:p w:rsidR="000032DC" w:rsidRPr="00F653FE" w:rsidRDefault="000032DC" w:rsidP="000B016F">
            <w:pPr>
              <w:jc w:val="center"/>
              <w:rPr>
                <w:rFonts w:ascii="Arial Narrow" w:hAnsi="Arial Narrow"/>
                <w:i/>
                <w:sz w:val="20"/>
              </w:rPr>
            </w:pPr>
            <w:r>
              <w:rPr>
                <w:rFonts w:ascii="Arial Narrow" w:hAnsi="Arial Narrow"/>
                <w:i/>
                <w:sz w:val="20"/>
              </w:rPr>
              <w:t>(0.82, 1.25)</w:t>
            </w:r>
          </w:p>
        </w:tc>
        <w:tc>
          <w:tcPr>
            <w:tcW w:w="1304" w:type="pct"/>
            <w:gridSpan w:val="4"/>
            <w:shd w:val="clear" w:color="auto" w:fill="auto"/>
            <w:vAlign w:val="center"/>
          </w:tcPr>
          <w:p w:rsidR="000032DC" w:rsidRDefault="000032DC" w:rsidP="000B016F">
            <w:pPr>
              <w:jc w:val="center"/>
              <w:rPr>
                <w:rFonts w:ascii="Arial Narrow" w:hAnsi="Arial Narrow"/>
                <w:color w:val="000000"/>
                <w:sz w:val="20"/>
                <w:szCs w:val="18"/>
              </w:rPr>
            </w:pPr>
          </w:p>
        </w:tc>
        <w:tc>
          <w:tcPr>
            <w:tcW w:w="588" w:type="pct"/>
            <w:vAlign w:val="center"/>
          </w:tcPr>
          <w:p w:rsidR="000032DC" w:rsidRDefault="000032DC" w:rsidP="000B016F">
            <w:pPr>
              <w:jc w:val="center"/>
              <w:rPr>
                <w:rFonts w:ascii="Arial Narrow" w:hAnsi="Arial Narrow"/>
                <w:i/>
                <w:sz w:val="20"/>
              </w:rPr>
            </w:pPr>
            <w:r>
              <w:rPr>
                <w:rFonts w:ascii="Arial Narrow" w:hAnsi="Arial Narrow"/>
                <w:i/>
                <w:sz w:val="20"/>
              </w:rPr>
              <w:t>-0.07</w:t>
            </w:r>
          </w:p>
          <w:p w:rsidR="000032DC" w:rsidRPr="00F653FE" w:rsidRDefault="000032DC" w:rsidP="000B016F">
            <w:pPr>
              <w:jc w:val="center"/>
              <w:rPr>
                <w:rFonts w:ascii="Arial Narrow" w:hAnsi="Arial Narrow"/>
                <w:i/>
                <w:sz w:val="20"/>
              </w:rPr>
            </w:pPr>
            <w:r>
              <w:rPr>
                <w:rFonts w:ascii="Arial Narrow" w:hAnsi="Arial Narrow"/>
                <w:i/>
                <w:sz w:val="20"/>
              </w:rPr>
              <w:t>(-0.16, 0.02)</w:t>
            </w:r>
          </w:p>
        </w:tc>
      </w:tr>
    </w:tbl>
    <w:p w:rsidR="000032DC" w:rsidRDefault="009151B8" w:rsidP="0089554D">
      <w:pPr>
        <w:pStyle w:val="TableFooter"/>
        <w:ind w:firstLine="720"/>
      </w:pPr>
      <w:r w:rsidRPr="009151B8">
        <w:rPr>
          <w:vertAlign w:val="superscript"/>
        </w:rPr>
        <w:lastRenderedPageBreak/>
        <w:t>a</w:t>
      </w:r>
      <w:r>
        <w:t xml:space="preserve"> </w:t>
      </w:r>
      <w:r w:rsidRPr="009151B8">
        <w:t>outcome measured at week</w:t>
      </w:r>
    </w:p>
    <w:p w:rsidR="0089554D" w:rsidRDefault="0089554D" w:rsidP="0089554D">
      <w:pPr>
        <w:pStyle w:val="TableFooter"/>
        <w:ind w:firstLine="720"/>
      </w:pPr>
      <w:r w:rsidRPr="0072416F">
        <w:t>Abbreviations: PBO = placebo; RD = risk difference; RR = risk ratio</w:t>
      </w:r>
    </w:p>
    <w:p w:rsidR="00C8106B" w:rsidRDefault="00C8106B" w:rsidP="00C8106B">
      <w:pPr>
        <w:pStyle w:val="TableFooter"/>
        <w:ind w:firstLine="720"/>
      </w:pPr>
      <w:r>
        <w:t>Bold typography indicates statistically significant differences</w:t>
      </w:r>
    </w:p>
    <w:p w:rsidR="0089554D" w:rsidRPr="0072416F" w:rsidRDefault="0089554D" w:rsidP="0089554D">
      <w:pPr>
        <w:pStyle w:val="TableFooter"/>
        <w:ind w:firstLine="720"/>
      </w:pPr>
      <w:r w:rsidRPr="0072416F">
        <w:t>Source: Compiled during the evaluation</w:t>
      </w:r>
    </w:p>
    <w:p w:rsidR="006D015B" w:rsidRDefault="006D015B" w:rsidP="006D015B">
      <w:pPr>
        <w:rPr>
          <w:sz w:val="20"/>
        </w:rPr>
      </w:pPr>
    </w:p>
    <w:p w:rsidR="003A6833" w:rsidRPr="003A6833" w:rsidRDefault="003A6833" w:rsidP="003A6833">
      <w:pPr>
        <w:pStyle w:val="ListParagraph"/>
        <w:widowControl/>
        <w:numPr>
          <w:ilvl w:val="1"/>
          <w:numId w:val="7"/>
        </w:numPr>
        <w:rPr>
          <w:szCs w:val="22"/>
        </w:rPr>
      </w:pPr>
      <w:r w:rsidRPr="003A6833">
        <w:rPr>
          <w:szCs w:val="24"/>
        </w:rPr>
        <w:t>On the basis of indirect evidence presented by the submission, for every 100 patients weighing ≤100</w:t>
      </w:r>
      <w:r>
        <w:rPr>
          <w:szCs w:val="24"/>
        </w:rPr>
        <w:t xml:space="preserve"> </w:t>
      </w:r>
      <w:r w:rsidRPr="003A6833">
        <w:rPr>
          <w:szCs w:val="24"/>
        </w:rPr>
        <w:t>kg treated with secukinumab in comparison to ustekinumab 45</w:t>
      </w:r>
      <w:r>
        <w:rPr>
          <w:szCs w:val="24"/>
        </w:rPr>
        <w:t xml:space="preserve"> </w:t>
      </w:r>
      <w:r w:rsidRPr="003A6833">
        <w:rPr>
          <w:szCs w:val="24"/>
        </w:rPr>
        <w:t>mg:</w:t>
      </w:r>
    </w:p>
    <w:p w:rsidR="003A6833" w:rsidRDefault="003A6833" w:rsidP="003A6833">
      <w:pPr>
        <w:pStyle w:val="ListParagraph"/>
        <w:widowControl/>
        <w:numPr>
          <w:ilvl w:val="0"/>
          <w:numId w:val="44"/>
        </w:numPr>
        <w:ind w:left="993" w:hanging="284"/>
      </w:pPr>
      <w:r w:rsidRPr="003A6833">
        <w:rPr>
          <w:szCs w:val="24"/>
        </w:rPr>
        <w:t>Approximately 10 additional patients would h</w:t>
      </w:r>
      <w:r w:rsidR="00076903">
        <w:rPr>
          <w:szCs w:val="24"/>
        </w:rPr>
        <w:t>ave a PASI 75 response after 12 </w:t>
      </w:r>
      <w:r w:rsidRPr="003A6833">
        <w:rPr>
          <w:szCs w:val="24"/>
        </w:rPr>
        <w:t xml:space="preserve">weeks of treatment. This </w:t>
      </w:r>
      <w:r w:rsidR="00473AA3">
        <w:rPr>
          <w:szCs w:val="24"/>
        </w:rPr>
        <w:t xml:space="preserve">difference </w:t>
      </w:r>
      <w:r w:rsidRPr="003A6833">
        <w:rPr>
          <w:szCs w:val="24"/>
        </w:rPr>
        <w:t xml:space="preserve">should be interpreted with caution as the indirect comparison of these treatments, </w:t>
      </w:r>
      <w:r w:rsidR="00473AA3">
        <w:rPr>
          <w:szCs w:val="24"/>
        </w:rPr>
        <w:t xml:space="preserve">although </w:t>
      </w:r>
      <w:r w:rsidRPr="003A6833">
        <w:rPr>
          <w:szCs w:val="24"/>
        </w:rPr>
        <w:t xml:space="preserve">statistically significantly different </w:t>
      </w:r>
      <w:r w:rsidR="00473AA3">
        <w:rPr>
          <w:szCs w:val="24"/>
        </w:rPr>
        <w:t>base</w:t>
      </w:r>
      <w:r w:rsidR="007E5EB5">
        <w:rPr>
          <w:szCs w:val="24"/>
        </w:rPr>
        <w:t>d</w:t>
      </w:r>
      <w:r w:rsidR="00473AA3">
        <w:rPr>
          <w:szCs w:val="24"/>
        </w:rPr>
        <w:t xml:space="preserve"> on the</w:t>
      </w:r>
      <w:r w:rsidRPr="003A6833">
        <w:rPr>
          <w:szCs w:val="24"/>
        </w:rPr>
        <w:t xml:space="preserve"> R</w:t>
      </w:r>
      <w:r w:rsidR="00473AA3">
        <w:rPr>
          <w:szCs w:val="24"/>
        </w:rPr>
        <w:t xml:space="preserve">isk </w:t>
      </w:r>
      <w:r w:rsidRPr="003A6833">
        <w:rPr>
          <w:szCs w:val="24"/>
        </w:rPr>
        <w:t>D</w:t>
      </w:r>
      <w:r w:rsidR="00473AA3">
        <w:rPr>
          <w:szCs w:val="24"/>
        </w:rPr>
        <w:t>ifference</w:t>
      </w:r>
      <w:r w:rsidRPr="003A6833">
        <w:rPr>
          <w:szCs w:val="24"/>
        </w:rPr>
        <w:t>, was not statistically significantly different when using the R</w:t>
      </w:r>
      <w:r w:rsidR="007E5EB5">
        <w:rPr>
          <w:szCs w:val="24"/>
        </w:rPr>
        <w:t xml:space="preserve">elative </w:t>
      </w:r>
      <w:r w:rsidRPr="003A6833">
        <w:rPr>
          <w:szCs w:val="24"/>
        </w:rPr>
        <w:t>R</w:t>
      </w:r>
      <w:r w:rsidR="007E5EB5">
        <w:rPr>
          <w:szCs w:val="24"/>
        </w:rPr>
        <w:t>isk</w:t>
      </w:r>
      <w:r w:rsidRPr="003A6833">
        <w:rPr>
          <w:szCs w:val="24"/>
        </w:rPr>
        <w:t xml:space="preserve"> statistic</w:t>
      </w:r>
      <w:r w:rsidR="007E5EB5">
        <w:rPr>
          <w:szCs w:val="24"/>
        </w:rPr>
        <w:t>.</w:t>
      </w:r>
    </w:p>
    <w:p w:rsidR="003A6833" w:rsidRPr="003D20DE" w:rsidRDefault="003A6833" w:rsidP="003A6833">
      <w:pPr>
        <w:pStyle w:val="ListParagraph"/>
        <w:widowControl/>
        <w:rPr>
          <w:szCs w:val="22"/>
        </w:rPr>
      </w:pPr>
    </w:p>
    <w:p w:rsidR="003A6833" w:rsidRPr="003A6833" w:rsidRDefault="003A6833" w:rsidP="003A6833">
      <w:pPr>
        <w:pStyle w:val="ListParagraph"/>
        <w:widowControl/>
        <w:numPr>
          <w:ilvl w:val="1"/>
          <w:numId w:val="7"/>
        </w:numPr>
      </w:pPr>
      <w:r w:rsidRPr="003A6833">
        <w:rPr>
          <w:szCs w:val="24"/>
        </w:rPr>
        <w:t>On the basis of indirect evidence presented by the submission, for every 100 patients treated with secukinumab in comparison to adalimumab:</w:t>
      </w:r>
    </w:p>
    <w:p w:rsidR="003A6833" w:rsidRDefault="003A6833" w:rsidP="003A6833">
      <w:pPr>
        <w:widowControl/>
        <w:numPr>
          <w:ilvl w:val="1"/>
          <w:numId w:val="25"/>
        </w:numPr>
        <w:ind w:left="993" w:hanging="284"/>
        <w:contextualSpacing/>
        <w:rPr>
          <w:szCs w:val="24"/>
        </w:rPr>
      </w:pPr>
      <w:r w:rsidRPr="003A6833">
        <w:rPr>
          <w:szCs w:val="24"/>
        </w:rPr>
        <w:t>Approximately 15 additional patients would h</w:t>
      </w:r>
      <w:r w:rsidR="00076903">
        <w:rPr>
          <w:szCs w:val="24"/>
        </w:rPr>
        <w:t>ave a PASI 75 response after 12 </w:t>
      </w:r>
      <w:r w:rsidRPr="003A6833">
        <w:rPr>
          <w:szCs w:val="24"/>
        </w:rPr>
        <w:t>weeks of treatment.</w:t>
      </w:r>
      <w:r>
        <w:rPr>
          <w:szCs w:val="24"/>
        </w:rPr>
        <w:t xml:space="preserve"> </w:t>
      </w:r>
      <w:r w:rsidRPr="003A6833">
        <w:rPr>
          <w:szCs w:val="24"/>
        </w:rPr>
        <w:t>This is supported by the indirect comparison of these treatments using the RD and OR, but not RR statistics.</w:t>
      </w:r>
    </w:p>
    <w:p w:rsidR="003A6833" w:rsidRPr="003A6833" w:rsidRDefault="003A6833" w:rsidP="003A6833">
      <w:pPr>
        <w:widowControl/>
        <w:ind w:left="709"/>
        <w:contextualSpacing/>
        <w:rPr>
          <w:szCs w:val="24"/>
        </w:rPr>
      </w:pPr>
    </w:p>
    <w:p w:rsidR="003D20DE" w:rsidRDefault="003A6833" w:rsidP="003A6833">
      <w:pPr>
        <w:pStyle w:val="ListParagraph"/>
        <w:widowControl/>
        <w:numPr>
          <w:ilvl w:val="1"/>
          <w:numId w:val="7"/>
        </w:numPr>
      </w:pPr>
      <w:r w:rsidRPr="003A6833">
        <w:t>On the basis of indirect evidence presented by the submission, for every 100 patients weighing &gt;100</w:t>
      </w:r>
      <w:r>
        <w:t xml:space="preserve"> </w:t>
      </w:r>
      <w:r w:rsidRPr="003A6833">
        <w:t>kg treated with secukinumab in comparison to ustekinumab 90</w:t>
      </w:r>
      <w:r>
        <w:t xml:space="preserve"> </w:t>
      </w:r>
      <w:r w:rsidRPr="003A6833">
        <w:t xml:space="preserve">mg, there were no differences in the proportion of patients achieving a PASI 75 response after 12 weeks of treatment.  Similarly, on the basis of indirect evidence presented by the submission, for every 100 patients treated with secukinumab in comparison to infliximab, there were no differences in the proportion of patients achieving a PASI 75 response after 12 weeks of treatment.  </w:t>
      </w:r>
    </w:p>
    <w:p w:rsidR="003A6833" w:rsidRDefault="003A6833" w:rsidP="003A6833">
      <w:pPr>
        <w:pStyle w:val="ListParagraph"/>
        <w:widowControl/>
      </w:pPr>
    </w:p>
    <w:p w:rsidR="003A6833" w:rsidRDefault="003A6833" w:rsidP="003A6833">
      <w:pPr>
        <w:pStyle w:val="ListParagraph"/>
        <w:widowControl/>
        <w:numPr>
          <w:ilvl w:val="1"/>
          <w:numId w:val="7"/>
        </w:numPr>
      </w:pPr>
      <w:r w:rsidRPr="003A6833">
        <w:t>While statistically significantly greater proportions of patients achieved a PASI response when treated with secukinumab compared with ustekinumab 45</w:t>
      </w:r>
      <w:r>
        <w:t xml:space="preserve"> </w:t>
      </w:r>
      <w:r w:rsidRPr="003A6833">
        <w:t>mg (in those weighing ≤100</w:t>
      </w:r>
      <w:r>
        <w:t xml:space="preserve"> </w:t>
      </w:r>
      <w:r w:rsidRPr="003A6833">
        <w:t>kg) and adalimumab at 12/16 weeks, the</w:t>
      </w:r>
      <w:r w:rsidR="00EC5E63">
        <w:t>re wa</w:t>
      </w:r>
      <w:r w:rsidRPr="003A6833">
        <w:t>s no evidence to support a claim that those benefits would be maintained over the long term.</w:t>
      </w:r>
    </w:p>
    <w:p w:rsidR="003A6833" w:rsidRDefault="003A6833" w:rsidP="003A6833">
      <w:pPr>
        <w:pStyle w:val="ListParagraph"/>
        <w:widowControl/>
      </w:pPr>
    </w:p>
    <w:p w:rsidR="003A6833" w:rsidRDefault="003A6833" w:rsidP="003A6833">
      <w:pPr>
        <w:pStyle w:val="ListParagraph"/>
        <w:widowControl/>
        <w:numPr>
          <w:ilvl w:val="1"/>
          <w:numId w:val="7"/>
        </w:numPr>
      </w:pPr>
      <w:r w:rsidRPr="003A6833">
        <w:t xml:space="preserve">On the basis of indirect evidence presented by the submission, </w:t>
      </w:r>
      <w:r w:rsidR="004841EC">
        <w:t xml:space="preserve">comparing secukinumab </w:t>
      </w:r>
      <w:r w:rsidR="00F464A0">
        <w:t>with</w:t>
      </w:r>
      <w:r w:rsidR="004841EC">
        <w:t xml:space="preserve"> ustekinumab (45 mg or 90 mg), adalimumab or infliximab</w:t>
      </w:r>
      <w:r w:rsidRPr="003A6833">
        <w:t xml:space="preserve">, there were no differences in the proportion of patients experiencing at least one adverse event after 12 (or up to 30) weeks of treatment.  </w:t>
      </w:r>
    </w:p>
    <w:p w:rsidR="00CD1C8D" w:rsidRDefault="00CD1C8D" w:rsidP="00CD1C8D">
      <w:pPr>
        <w:pStyle w:val="ListParagraph"/>
        <w:widowControl/>
      </w:pPr>
    </w:p>
    <w:p w:rsidR="00CD1C8D" w:rsidRPr="00CD1C8D" w:rsidRDefault="00CD1C8D" w:rsidP="00CD1C8D">
      <w:pPr>
        <w:pStyle w:val="ListParagraph"/>
        <w:rPr>
          <w:i/>
        </w:rPr>
      </w:pPr>
      <w:r w:rsidRPr="001C0D84">
        <w:rPr>
          <w:i/>
        </w:rPr>
        <w:t>For more detail on PBAC’s view, see section 7 “PBAC outcome”</w:t>
      </w:r>
      <w:r w:rsidR="0046072A">
        <w:rPr>
          <w:i/>
        </w:rPr>
        <w:t>.</w:t>
      </w:r>
    </w:p>
    <w:p w:rsidR="00B60939" w:rsidRPr="00882085" w:rsidRDefault="00B60939" w:rsidP="00FC1884"/>
    <w:p w:rsidR="00B60939" w:rsidRPr="0046072A" w:rsidRDefault="00B60939" w:rsidP="002C2775">
      <w:pPr>
        <w:pStyle w:val="Heading2"/>
      </w:pPr>
      <w:bookmarkStart w:id="9" w:name="_Toc409605610"/>
      <w:r w:rsidRPr="0046072A">
        <w:t>Clinical claim</w:t>
      </w:r>
      <w:bookmarkEnd w:id="9"/>
    </w:p>
    <w:p w:rsidR="00B60939" w:rsidRPr="00882085" w:rsidRDefault="00B60939" w:rsidP="00B60939">
      <w:pPr>
        <w:ind w:left="720" w:hanging="720"/>
        <w:rPr>
          <w:szCs w:val="22"/>
        </w:rPr>
      </w:pPr>
    </w:p>
    <w:p w:rsidR="00B60939" w:rsidRPr="005767F4" w:rsidRDefault="00EC5E63" w:rsidP="00496A11">
      <w:pPr>
        <w:pStyle w:val="ListParagraph"/>
        <w:widowControl/>
        <w:numPr>
          <w:ilvl w:val="1"/>
          <w:numId w:val="7"/>
        </w:numPr>
        <w:rPr>
          <w:szCs w:val="22"/>
        </w:rPr>
      </w:pPr>
      <w:r>
        <w:t>The submission claimed</w:t>
      </w:r>
      <w:r w:rsidR="006307C1" w:rsidRPr="005767F4">
        <w:t xml:space="preserve"> that secukinumab:</w:t>
      </w:r>
    </w:p>
    <w:p w:rsidR="006307C1" w:rsidRPr="006307C1" w:rsidRDefault="006307C1" w:rsidP="008943B5">
      <w:pPr>
        <w:pStyle w:val="ListParagraph"/>
        <w:widowControl/>
        <w:numPr>
          <w:ilvl w:val="1"/>
          <w:numId w:val="5"/>
        </w:numPr>
        <w:ind w:left="993" w:hanging="284"/>
        <w:rPr>
          <w:szCs w:val="22"/>
        </w:rPr>
      </w:pPr>
      <w:r>
        <w:rPr>
          <w:szCs w:val="22"/>
        </w:rPr>
        <w:t>Is superior to etanercept 100</w:t>
      </w:r>
      <w:r w:rsidR="00974451">
        <w:rPr>
          <w:szCs w:val="22"/>
        </w:rPr>
        <w:t xml:space="preserve"> </w:t>
      </w:r>
      <w:r>
        <w:rPr>
          <w:szCs w:val="22"/>
        </w:rPr>
        <w:t>mg/week in comparative effectiveness and equ</w:t>
      </w:r>
      <w:r w:rsidR="00076903">
        <w:rPr>
          <w:szCs w:val="22"/>
        </w:rPr>
        <w:t xml:space="preserve">ivalent in comparative safety. </w:t>
      </w:r>
      <w:r w:rsidR="00974451">
        <w:rPr>
          <w:szCs w:val="22"/>
        </w:rPr>
        <w:t xml:space="preserve">The </w:t>
      </w:r>
      <w:r w:rsidR="00974451">
        <w:rPr>
          <w:iCs/>
          <w:szCs w:val="22"/>
        </w:rPr>
        <w:t>c</w:t>
      </w:r>
      <w:r w:rsidRPr="00974451">
        <w:rPr>
          <w:iCs/>
          <w:szCs w:val="22"/>
        </w:rPr>
        <w:t xml:space="preserve">laim regarding efficacy </w:t>
      </w:r>
      <w:r w:rsidR="00EC5E63">
        <w:rPr>
          <w:iCs/>
          <w:szCs w:val="22"/>
        </w:rPr>
        <w:t>wa</w:t>
      </w:r>
      <w:r w:rsidR="00974451">
        <w:rPr>
          <w:iCs/>
          <w:szCs w:val="22"/>
        </w:rPr>
        <w:t xml:space="preserve">s </w:t>
      </w:r>
      <w:r w:rsidRPr="00974451">
        <w:rPr>
          <w:iCs/>
          <w:szCs w:val="22"/>
        </w:rPr>
        <w:t>supported by direct clinical trials, but</w:t>
      </w:r>
      <w:r w:rsidR="00974451">
        <w:rPr>
          <w:iCs/>
          <w:szCs w:val="22"/>
        </w:rPr>
        <w:t xml:space="preserve"> the</w:t>
      </w:r>
      <w:r w:rsidRPr="00974451">
        <w:rPr>
          <w:iCs/>
          <w:szCs w:val="22"/>
        </w:rPr>
        <w:t xml:space="preserve"> claim regarding safety may not </w:t>
      </w:r>
      <w:r w:rsidR="00EC5E63">
        <w:rPr>
          <w:iCs/>
          <w:szCs w:val="22"/>
        </w:rPr>
        <w:t xml:space="preserve">have </w:t>
      </w:r>
      <w:r w:rsidRPr="00974451">
        <w:rPr>
          <w:iCs/>
          <w:szCs w:val="22"/>
        </w:rPr>
        <w:t>be</w:t>
      </w:r>
      <w:r w:rsidR="00EC5E63">
        <w:rPr>
          <w:iCs/>
          <w:szCs w:val="22"/>
        </w:rPr>
        <w:t>en</w:t>
      </w:r>
      <w:r w:rsidRPr="00974451">
        <w:rPr>
          <w:iCs/>
          <w:szCs w:val="22"/>
        </w:rPr>
        <w:t xml:space="preserve"> supported</w:t>
      </w:r>
      <w:r w:rsidR="008943B5" w:rsidRPr="00974451">
        <w:rPr>
          <w:iCs/>
          <w:szCs w:val="22"/>
        </w:rPr>
        <w:t xml:space="preserve"> in the Australian setting as the TGA-approved dose for etanercept is 50</w:t>
      </w:r>
      <w:r w:rsidR="003D20DE" w:rsidRPr="00974451">
        <w:rPr>
          <w:iCs/>
          <w:szCs w:val="22"/>
        </w:rPr>
        <w:t xml:space="preserve"> </w:t>
      </w:r>
      <w:r w:rsidR="008943B5" w:rsidRPr="00974451">
        <w:rPr>
          <w:iCs/>
          <w:szCs w:val="22"/>
        </w:rPr>
        <w:t>mg/week</w:t>
      </w:r>
      <w:r w:rsidRPr="00974451">
        <w:rPr>
          <w:iCs/>
          <w:szCs w:val="22"/>
        </w:rPr>
        <w:t>;</w:t>
      </w:r>
    </w:p>
    <w:p w:rsidR="006307C1" w:rsidRPr="006307C1" w:rsidRDefault="006307C1" w:rsidP="008943B5">
      <w:pPr>
        <w:pStyle w:val="ListParagraph"/>
        <w:widowControl/>
        <w:numPr>
          <w:ilvl w:val="1"/>
          <w:numId w:val="5"/>
        </w:numPr>
        <w:ind w:left="993" w:hanging="284"/>
        <w:rPr>
          <w:szCs w:val="22"/>
        </w:rPr>
      </w:pPr>
      <w:r>
        <w:rPr>
          <w:szCs w:val="22"/>
        </w:rPr>
        <w:t xml:space="preserve">Has a strong trend towards superiority in terms of comparative effectiveness and equivalent in terms of comparative safety over </w:t>
      </w:r>
      <w:r w:rsidR="00CA7EBA">
        <w:rPr>
          <w:szCs w:val="22"/>
        </w:rPr>
        <w:t>ustekinumab</w:t>
      </w:r>
      <w:r>
        <w:rPr>
          <w:szCs w:val="22"/>
        </w:rPr>
        <w:t xml:space="preserve"> 45</w:t>
      </w:r>
      <w:r w:rsidR="003D20DE">
        <w:rPr>
          <w:szCs w:val="22"/>
        </w:rPr>
        <w:t xml:space="preserve"> </w:t>
      </w:r>
      <w:r>
        <w:rPr>
          <w:szCs w:val="22"/>
        </w:rPr>
        <w:t>mg/90</w:t>
      </w:r>
      <w:r w:rsidR="003D20DE">
        <w:rPr>
          <w:szCs w:val="22"/>
        </w:rPr>
        <w:t xml:space="preserve"> </w:t>
      </w:r>
      <w:r>
        <w:rPr>
          <w:szCs w:val="22"/>
        </w:rPr>
        <w:t xml:space="preserve">mg. </w:t>
      </w:r>
      <w:r w:rsidR="00974451">
        <w:rPr>
          <w:szCs w:val="22"/>
        </w:rPr>
        <w:t xml:space="preserve">The </w:t>
      </w:r>
      <w:r w:rsidR="00974451">
        <w:rPr>
          <w:iCs/>
          <w:szCs w:val="22"/>
        </w:rPr>
        <w:t>c</w:t>
      </w:r>
      <w:r w:rsidRPr="00974451">
        <w:rPr>
          <w:iCs/>
          <w:szCs w:val="22"/>
        </w:rPr>
        <w:t xml:space="preserve">laim is based on </w:t>
      </w:r>
      <w:r w:rsidR="00974451">
        <w:rPr>
          <w:iCs/>
          <w:szCs w:val="22"/>
        </w:rPr>
        <w:t xml:space="preserve">an </w:t>
      </w:r>
      <w:r w:rsidRPr="00974451">
        <w:rPr>
          <w:iCs/>
          <w:szCs w:val="22"/>
        </w:rPr>
        <w:t xml:space="preserve">indirect comparison from data for up to 12 weeks only.  </w:t>
      </w:r>
      <w:r w:rsidR="00EB4883" w:rsidRPr="00EB4883">
        <w:rPr>
          <w:iCs/>
          <w:szCs w:val="22"/>
        </w:rPr>
        <w:t>The results of the indirect comparisons indicate there were no statistically significant differences between treatments (</w:t>
      </w:r>
      <w:r w:rsidR="00EC5E63">
        <w:rPr>
          <w:iCs/>
          <w:szCs w:val="22"/>
        </w:rPr>
        <w:t>non-inferiority criteria were not</w:t>
      </w:r>
      <w:r w:rsidR="00EB4883" w:rsidRPr="00EB4883">
        <w:rPr>
          <w:iCs/>
          <w:szCs w:val="22"/>
        </w:rPr>
        <w:t xml:space="preserve"> nominated by th</w:t>
      </w:r>
      <w:r w:rsidR="007220FB">
        <w:rPr>
          <w:iCs/>
          <w:szCs w:val="22"/>
        </w:rPr>
        <w:t xml:space="preserve">e </w:t>
      </w:r>
      <w:r w:rsidR="007220FB">
        <w:rPr>
          <w:iCs/>
          <w:szCs w:val="22"/>
        </w:rPr>
        <w:lastRenderedPageBreak/>
        <w:t>submission and no criteria have</w:t>
      </w:r>
      <w:r w:rsidR="00EB4883" w:rsidRPr="00EB4883">
        <w:rPr>
          <w:iCs/>
          <w:szCs w:val="22"/>
        </w:rPr>
        <w:t xml:space="preserve"> previously been accepted by the PBAC to a</w:t>
      </w:r>
      <w:r w:rsidR="00EC5E63">
        <w:rPr>
          <w:iCs/>
          <w:szCs w:val="22"/>
        </w:rPr>
        <w:t>ssess non-inferiority).  There w</w:t>
      </w:r>
      <w:r w:rsidR="00A04A83">
        <w:rPr>
          <w:iCs/>
          <w:szCs w:val="22"/>
        </w:rPr>
        <w:t>ere</w:t>
      </w:r>
      <w:r w:rsidR="00EB4883" w:rsidRPr="00EB4883">
        <w:rPr>
          <w:iCs/>
          <w:szCs w:val="22"/>
        </w:rPr>
        <w:t xml:space="preserve"> limited comparative safety data presented in the submission to support a claim of equivalent safety.</w:t>
      </w:r>
    </w:p>
    <w:p w:rsidR="006307C1" w:rsidRPr="005767F4" w:rsidRDefault="006307C1" w:rsidP="008943B5">
      <w:pPr>
        <w:pStyle w:val="ListParagraph"/>
        <w:widowControl/>
        <w:numPr>
          <w:ilvl w:val="1"/>
          <w:numId w:val="5"/>
        </w:numPr>
        <w:ind w:left="993" w:hanging="284"/>
        <w:rPr>
          <w:szCs w:val="22"/>
        </w:rPr>
      </w:pPr>
      <w:r>
        <w:rPr>
          <w:szCs w:val="22"/>
        </w:rPr>
        <w:t>Is s</w:t>
      </w:r>
      <w:r w:rsidRPr="006307C1">
        <w:rPr>
          <w:szCs w:val="22"/>
        </w:rPr>
        <w:t>uperior in terms of comparative effectiveness and equivalent in terms of comparative safety over adalimumab 40</w:t>
      </w:r>
      <w:r w:rsidR="00974451">
        <w:rPr>
          <w:szCs w:val="22"/>
        </w:rPr>
        <w:t xml:space="preserve"> </w:t>
      </w:r>
      <w:r w:rsidRPr="006307C1">
        <w:rPr>
          <w:szCs w:val="22"/>
        </w:rPr>
        <w:t>mg</w:t>
      </w:r>
      <w:r>
        <w:rPr>
          <w:szCs w:val="22"/>
        </w:rPr>
        <w:t xml:space="preserve">.  </w:t>
      </w:r>
      <w:r w:rsidR="00EC5E63">
        <w:rPr>
          <w:szCs w:val="22"/>
        </w:rPr>
        <w:t>The claim wa</w:t>
      </w:r>
      <w:r w:rsidR="00B204B6" w:rsidRPr="00B204B6">
        <w:rPr>
          <w:szCs w:val="22"/>
        </w:rPr>
        <w:t>s possibly supported by the indirect comparison at 12 and 16 weeks but the PBAC has previously expressed (adalimumab March 2009 Public Summary Document) that in the absence of long term data there is no reason to assume superiority would be maintained in the long term</w:t>
      </w:r>
      <w:r w:rsidR="000032DC">
        <w:rPr>
          <w:szCs w:val="22"/>
        </w:rPr>
        <w:t>.</w:t>
      </w:r>
      <w:r w:rsidR="00EC5E63">
        <w:rPr>
          <w:szCs w:val="22"/>
        </w:rPr>
        <w:t xml:space="preserve"> There w</w:t>
      </w:r>
      <w:r w:rsidR="00A04A83">
        <w:rPr>
          <w:szCs w:val="22"/>
        </w:rPr>
        <w:t>ere</w:t>
      </w:r>
      <w:r w:rsidR="00B204B6" w:rsidRPr="00B204B6">
        <w:rPr>
          <w:szCs w:val="22"/>
        </w:rPr>
        <w:t xml:space="preserve"> limited comparative safety data presented in the submission to support a claim of equivalent safety.</w:t>
      </w:r>
    </w:p>
    <w:p w:rsidR="005767F4" w:rsidRDefault="005767F4" w:rsidP="004C1226">
      <w:pPr>
        <w:pStyle w:val="ListParagraph"/>
        <w:widowControl/>
        <w:numPr>
          <w:ilvl w:val="1"/>
          <w:numId w:val="5"/>
        </w:numPr>
        <w:ind w:left="993" w:hanging="284"/>
        <w:rPr>
          <w:szCs w:val="22"/>
        </w:rPr>
      </w:pPr>
      <w:r w:rsidRPr="005767F4">
        <w:rPr>
          <w:szCs w:val="22"/>
        </w:rPr>
        <w:t xml:space="preserve">Is </w:t>
      </w:r>
      <w:r>
        <w:rPr>
          <w:szCs w:val="22"/>
        </w:rPr>
        <w:t>n</w:t>
      </w:r>
      <w:r w:rsidRPr="005767F4">
        <w:rPr>
          <w:szCs w:val="22"/>
        </w:rPr>
        <w:t xml:space="preserve">on-inferior in terms of comparative effectiveness to infliximab over the short term (at 10 weeks) but secukinumab has greater effectiveness in the longer </w:t>
      </w:r>
      <w:r w:rsidR="00B204B6">
        <w:rPr>
          <w:szCs w:val="22"/>
        </w:rPr>
        <w:t>term compared to inflix</w:t>
      </w:r>
      <w:r w:rsidR="00EC5E63">
        <w:rPr>
          <w:szCs w:val="22"/>
        </w:rPr>
        <w:t>imab. The submission also claimed</w:t>
      </w:r>
      <w:r w:rsidR="00B204B6">
        <w:rPr>
          <w:szCs w:val="22"/>
        </w:rPr>
        <w:t xml:space="preserve"> </w:t>
      </w:r>
      <w:r w:rsidRPr="005767F4">
        <w:rPr>
          <w:szCs w:val="22"/>
        </w:rPr>
        <w:t>a trend of superiority in terms of comparative safety over infliximab.</w:t>
      </w:r>
      <w:r>
        <w:rPr>
          <w:szCs w:val="22"/>
        </w:rPr>
        <w:t xml:space="preserve"> </w:t>
      </w:r>
      <w:r w:rsidR="00B204B6" w:rsidRPr="00B204B6">
        <w:rPr>
          <w:szCs w:val="22"/>
        </w:rPr>
        <w:t>The results of the indirect comparisons indicate</w:t>
      </w:r>
      <w:r w:rsidR="00EC5E63">
        <w:rPr>
          <w:szCs w:val="22"/>
        </w:rPr>
        <w:t>d</w:t>
      </w:r>
      <w:r w:rsidR="00B204B6" w:rsidRPr="00B204B6">
        <w:rPr>
          <w:szCs w:val="22"/>
        </w:rPr>
        <w:t xml:space="preserve"> there were no statistically significant differences between treatments (</w:t>
      </w:r>
      <w:r w:rsidR="00EC5E63">
        <w:rPr>
          <w:szCs w:val="22"/>
        </w:rPr>
        <w:t>non-inferiority criteria were not</w:t>
      </w:r>
      <w:r w:rsidR="00B204B6" w:rsidRPr="00B204B6">
        <w:rPr>
          <w:szCs w:val="22"/>
        </w:rPr>
        <w:t xml:space="preserve"> nominated by the submission and no criteria h</w:t>
      </w:r>
      <w:r w:rsidR="007220FB">
        <w:rPr>
          <w:szCs w:val="22"/>
        </w:rPr>
        <w:t>ave</w:t>
      </w:r>
      <w:r w:rsidR="00B204B6" w:rsidRPr="00B204B6">
        <w:rPr>
          <w:szCs w:val="22"/>
        </w:rPr>
        <w:t xml:space="preserve"> previously been accepted by the PBAC to assess</w:t>
      </w:r>
      <w:r w:rsidR="007220FB">
        <w:rPr>
          <w:szCs w:val="22"/>
        </w:rPr>
        <w:t xml:space="preserve"> non-inferiority).  There w</w:t>
      </w:r>
      <w:r w:rsidR="00A04A83">
        <w:rPr>
          <w:szCs w:val="22"/>
        </w:rPr>
        <w:t>ere</w:t>
      </w:r>
      <w:r w:rsidR="00B204B6" w:rsidRPr="00B204B6">
        <w:rPr>
          <w:szCs w:val="22"/>
        </w:rPr>
        <w:t xml:space="preserve"> no robust data to support the claim that secukinumab “has greater effectiveness in the longer follow-up compared to infliximab”.  There </w:t>
      </w:r>
      <w:r w:rsidR="00A04A83">
        <w:rPr>
          <w:szCs w:val="22"/>
        </w:rPr>
        <w:t>were</w:t>
      </w:r>
      <w:r w:rsidR="00B204B6" w:rsidRPr="00B204B6">
        <w:rPr>
          <w:szCs w:val="22"/>
        </w:rPr>
        <w:t xml:space="preserve"> limited comparative safety data presented in the submission to support a claim of a trend of superior safety.</w:t>
      </w:r>
      <w:r>
        <w:rPr>
          <w:szCs w:val="22"/>
        </w:rPr>
        <w:t xml:space="preserve"> </w:t>
      </w:r>
    </w:p>
    <w:p w:rsidR="00CD1C8D" w:rsidRDefault="00CD1C8D" w:rsidP="00CD1C8D">
      <w:pPr>
        <w:widowControl/>
        <w:ind w:left="709"/>
        <w:rPr>
          <w:szCs w:val="22"/>
        </w:rPr>
      </w:pPr>
    </w:p>
    <w:p w:rsidR="00CD1C8D" w:rsidRPr="001C0D84" w:rsidRDefault="00CD1C8D" w:rsidP="00CD1C8D">
      <w:pPr>
        <w:pStyle w:val="ListParagraph"/>
        <w:rPr>
          <w:i/>
        </w:rPr>
      </w:pPr>
      <w:r w:rsidRPr="001C0D84">
        <w:rPr>
          <w:i/>
        </w:rPr>
        <w:t>For more detail on PBAC’s view, see section 7 “PBAC outcome”</w:t>
      </w:r>
      <w:r w:rsidR="0046072A">
        <w:rPr>
          <w:i/>
        </w:rPr>
        <w:t>.</w:t>
      </w:r>
    </w:p>
    <w:p w:rsidR="00B60939" w:rsidRPr="00882085" w:rsidRDefault="00B60939" w:rsidP="00CD1C8D">
      <w:pPr>
        <w:rPr>
          <w:szCs w:val="22"/>
        </w:rPr>
      </w:pPr>
    </w:p>
    <w:p w:rsidR="00B60939" w:rsidRPr="0046072A" w:rsidRDefault="00B60939" w:rsidP="002C2775">
      <w:pPr>
        <w:pStyle w:val="Heading2"/>
      </w:pPr>
      <w:bookmarkStart w:id="10" w:name="_Toc409605611"/>
      <w:r w:rsidRPr="0046072A">
        <w:t>Economic analysis</w:t>
      </w:r>
      <w:bookmarkEnd w:id="10"/>
      <w:r w:rsidR="00491B3A" w:rsidRPr="0046072A">
        <w:t xml:space="preserve"> </w:t>
      </w:r>
    </w:p>
    <w:p w:rsidR="00B60939" w:rsidRPr="00882085" w:rsidRDefault="00B60939" w:rsidP="00B60939">
      <w:pPr>
        <w:ind w:left="720" w:hanging="720"/>
        <w:rPr>
          <w:szCs w:val="22"/>
        </w:rPr>
      </w:pPr>
    </w:p>
    <w:p w:rsidR="00B60939" w:rsidRPr="00974451" w:rsidRDefault="00AF1260" w:rsidP="00AF1260">
      <w:pPr>
        <w:pStyle w:val="ListParagraph"/>
        <w:widowControl/>
        <w:numPr>
          <w:ilvl w:val="1"/>
          <w:numId w:val="7"/>
        </w:numPr>
        <w:rPr>
          <w:szCs w:val="22"/>
        </w:rPr>
      </w:pPr>
      <w:r w:rsidRPr="00974451">
        <w:t xml:space="preserve">A cost minimisation </w:t>
      </w:r>
      <w:r w:rsidR="00B204B6">
        <w:t xml:space="preserve">analysis </w:t>
      </w:r>
      <w:r w:rsidRPr="00974451">
        <w:t>versus ustekinumab</w:t>
      </w:r>
      <w:r w:rsidR="00017EFF" w:rsidRPr="00974451">
        <w:t xml:space="preserve"> over 100 weeks of treatment</w:t>
      </w:r>
      <w:r w:rsidR="007220FB">
        <w:t xml:space="preserve"> wa</w:t>
      </w:r>
      <w:r w:rsidRPr="00974451">
        <w:t xml:space="preserve">s presented.  </w:t>
      </w:r>
      <w:r w:rsidRPr="00974451">
        <w:rPr>
          <w:iCs/>
        </w:rPr>
        <w:t xml:space="preserve">A cost minimisation </w:t>
      </w:r>
      <w:r w:rsidR="00B204B6">
        <w:rPr>
          <w:iCs/>
        </w:rPr>
        <w:t xml:space="preserve">analysis </w:t>
      </w:r>
      <w:r w:rsidRPr="00974451">
        <w:rPr>
          <w:iCs/>
        </w:rPr>
        <w:t xml:space="preserve">versus adalimumab was </w:t>
      </w:r>
      <w:r w:rsidR="00017EFF" w:rsidRPr="00974451">
        <w:rPr>
          <w:iCs/>
        </w:rPr>
        <w:t xml:space="preserve">also </w:t>
      </w:r>
      <w:r w:rsidRPr="00974451">
        <w:rPr>
          <w:iCs/>
        </w:rPr>
        <w:t>conducted during the evaluation</w:t>
      </w:r>
      <w:r w:rsidR="008943B5" w:rsidRPr="00974451">
        <w:rPr>
          <w:iCs/>
        </w:rPr>
        <w:t xml:space="preserve"> on the basis that whilst the indirect comparison of secukinumab and adalimumab indicated that secukinumab was superior to adalimumab in the proportion of patients achieving a PASI 75 respons</w:t>
      </w:r>
      <w:r w:rsidR="00076903">
        <w:rPr>
          <w:iCs/>
        </w:rPr>
        <w:t>e, this was over a period of 12 </w:t>
      </w:r>
      <w:r w:rsidR="007220FB">
        <w:rPr>
          <w:iCs/>
        </w:rPr>
        <w:t>weeks and there wa</w:t>
      </w:r>
      <w:r w:rsidR="008943B5" w:rsidRPr="00974451">
        <w:rPr>
          <w:iCs/>
        </w:rPr>
        <w:t xml:space="preserve">s no </w:t>
      </w:r>
      <w:r w:rsidR="00DF3904">
        <w:rPr>
          <w:iCs/>
        </w:rPr>
        <w:t xml:space="preserve">direct head to head </w:t>
      </w:r>
      <w:r w:rsidR="008943B5" w:rsidRPr="00974451">
        <w:rPr>
          <w:iCs/>
        </w:rPr>
        <w:t>data presented to support the contention that this benefit is maintained over the long term</w:t>
      </w:r>
      <w:r w:rsidRPr="00974451">
        <w:rPr>
          <w:iCs/>
        </w:rPr>
        <w:t xml:space="preserve">. </w:t>
      </w:r>
    </w:p>
    <w:p w:rsidR="00275C5A" w:rsidRDefault="00275C5A" w:rsidP="00275C5A">
      <w:pPr>
        <w:widowControl/>
        <w:rPr>
          <w:szCs w:val="22"/>
        </w:rPr>
      </w:pPr>
    </w:p>
    <w:p w:rsidR="00017EFF" w:rsidRPr="00017EFF" w:rsidRDefault="007220FB" w:rsidP="008943B5">
      <w:pPr>
        <w:pStyle w:val="ListParagraph"/>
        <w:numPr>
          <w:ilvl w:val="1"/>
          <w:numId w:val="7"/>
        </w:numPr>
      </w:pPr>
      <w:r>
        <w:t>The equi-effective doses we</w:t>
      </w:r>
      <w:r w:rsidR="00A86E8B" w:rsidRPr="001222FC">
        <w:t xml:space="preserve">re estimated as </w:t>
      </w:r>
      <w:r w:rsidR="00017EFF">
        <w:t>secukinumab 300</w:t>
      </w:r>
      <w:r w:rsidR="003D20DE">
        <w:t xml:space="preserve"> </w:t>
      </w:r>
      <w:r w:rsidR="00017EFF">
        <w:t>mg monthly</w:t>
      </w:r>
      <w:r w:rsidR="00A86E8B" w:rsidRPr="001222FC">
        <w:t xml:space="preserve"> </w:t>
      </w:r>
      <w:r w:rsidR="00017EFF">
        <w:t xml:space="preserve">(based on </w:t>
      </w:r>
      <w:r w:rsidR="00B204B6">
        <w:t xml:space="preserve">the </w:t>
      </w:r>
      <w:r w:rsidR="00017EFF">
        <w:t xml:space="preserve">draft PI) or every 4 weeks (based on clinical trials) </w:t>
      </w:r>
      <w:r w:rsidR="00A86E8B" w:rsidRPr="001222FC">
        <w:t xml:space="preserve">and </w:t>
      </w:r>
      <w:r w:rsidR="00017EFF">
        <w:t>ustekinumab 59.38</w:t>
      </w:r>
      <w:r w:rsidR="00974451">
        <w:t xml:space="preserve"> </w:t>
      </w:r>
      <w:r w:rsidR="00A86E8B" w:rsidRPr="001222FC">
        <w:t xml:space="preserve">mg </w:t>
      </w:r>
      <w:r w:rsidR="00017EFF">
        <w:t xml:space="preserve">every 12 weeks (based on </w:t>
      </w:r>
      <w:r w:rsidR="00B204B6">
        <w:t xml:space="preserve">the </w:t>
      </w:r>
      <w:r w:rsidR="00017EFF">
        <w:t>PI) for maintenance</w:t>
      </w:r>
      <w:r w:rsidR="00A86E8B" w:rsidRPr="001222FC">
        <w:t xml:space="preserve">. </w:t>
      </w:r>
      <w:r w:rsidR="00017EFF">
        <w:t xml:space="preserve"> </w:t>
      </w:r>
      <w:r>
        <w:t>It wa</w:t>
      </w:r>
      <w:r w:rsidR="00017EFF" w:rsidRPr="00017EFF">
        <w:t>s further assumed that secukinumab 300</w:t>
      </w:r>
      <w:r w:rsidR="00974451">
        <w:t xml:space="preserve"> </w:t>
      </w:r>
      <w:r w:rsidR="00017EFF" w:rsidRPr="00017EFF">
        <w:t>mg monthly (based on</w:t>
      </w:r>
      <w:r w:rsidR="00B204B6">
        <w:t xml:space="preserve"> the</w:t>
      </w:r>
      <w:r w:rsidR="00017EFF" w:rsidRPr="00017EFF">
        <w:t xml:space="preserve"> draft PI) or every 4 weeks</w:t>
      </w:r>
      <w:r w:rsidR="008943B5">
        <w:t xml:space="preserve"> </w:t>
      </w:r>
      <w:r w:rsidR="00017EFF" w:rsidRPr="00017EFF">
        <w:t>(based on clinical trials) is equivalent to adalimumab 40</w:t>
      </w:r>
      <w:r w:rsidR="00974451">
        <w:t xml:space="preserve"> </w:t>
      </w:r>
      <w:r w:rsidR="00017EFF" w:rsidRPr="00017EFF">
        <w:t xml:space="preserve">mg fortnightly (based on </w:t>
      </w:r>
      <w:r w:rsidR="00B204B6">
        <w:t xml:space="preserve">the </w:t>
      </w:r>
      <w:r w:rsidR="00017EFF" w:rsidRPr="00017EFF">
        <w:t xml:space="preserve">PI). </w:t>
      </w:r>
    </w:p>
    <w:p w:rsidR="00A86E8B" w:rsidRPr="00017EFF" w:rsidRDefault="00A86E8B" w:rsidP="00017EFF">
      <w:pPr>
        <w:pStyle w:val="ListParagraph"/>
        <w:widowControl/>
        <w:rPr>
          <w:szCs w:val="22"/>
        </w:rPr>
      </w:pPr>
    </w:p>
    <w:p w:rsidR="00A86E8B" w:rsidRPr="00B204B6" w:rsidRDefault="00017EFF" w:rsidP="009C30AC">
      <w:pPr>
        <w:pStyle w:val="ListParagraph"/>
        <w:widowControl/>
        <w:numPr>
          <w:ilvl w:val="1"/>
          <w:numId w:val="7"/>
        </w:numPr>
        <w:rPr>
          <w:i/>
          <w:szCs w:val="22"/>
        </w:rPr>
      </w:pPr>
      <w:r w:rsidRPr="00017EFF">
        <w:t>The results of the cost minimisatio</w:t>
      </w:r>
      <w:r w:rsidR="009C30AC">
        <w:t xml:space="preserve">n </w:t>
      </w:r>
      <w:r w:rsidR="00B204B6">
        <w:t xml:space="preserve">analysis </w:t>
      </w:r>
      <w:r w:rsidR="000217B5">
        <w:t xml:space="preserve">of secukinumab to ustekinumab </w:t>
      </w:r>
      <w:r w:rsidR="009C30AC">
        <w:t>presented by the submission are</w:t>
      </w:r>
      <w:r w:rsidR="00974451">
        <w:t xml:space="preserve"> </w:t>
      </w:r>
      <w:r w:rsidR="000842EC">
        <w:t xml:space="preserve">shown </w:t>
      </w:r>
      <w:r w:rsidR="00974451">
        <w:t xml:space="preserve">in </w:t>
      </w:r>
      <w:r w:rsidR="00974451" w:rsidRPr="00503D97">
        <w:t xml:space="preserve">Table </w:t>
      </w:r>
      <w:r w:rsidR="00D104B4" w:rsidRPr="00503D97">
        <w:t>6</w:t>
      </w:r>
      <w:r w:rsidR="000842EC">
        <w:t xml:space="preserve"> below</w:t>
      </w:r>
      <w:r w:rsidR="00974451">
        <w:t xml:space="preserve">. </w:t>
      </w:r>
      <w:r w:rsidR="008943B5" w:rsidRPr="00974451">
        <w:t>T</w:t>
      </w:r>
      <w:r w:rsidR="00B931FE">
        <w:t>he submission’s analysis assumed</w:t>
      </w:r>
      <w:r w:rsidR="008943B5" w:rsidRPr="00974451">
        <w:t xml:space="preserve"> 12 scripts over a year for maintenance therapy for secukinumab based on monthly dosing, however dosing in the trials was every four weeks.  Therefore, a</w:t>
      </w:r>
      <w:r w:rsidR="009C30AC" w:rsidRPr="00974451">
        <w:t xml:space="preserve"> cost minimisation assuming 13 doses per year (based on </w:t>
      </w:r>
      <w:r w:rsidR="00B204B6">
        <w:t>a 4-</w:t>
      </w:r>
      <w:r w:rsidR="009C30AC" w:rsidRPr="00974451">
        <w:t>weekly dosing frequency) of secukinumab was conducted during the evaluation</w:t>
      </w:r>
      <w:r w:rsidR="000842EC">
        <w:t>.</w:t>
      </w:r>
      <w:r w:rsidR="00974451">
        <w:t xml:space="preserve"> </w:t>
      </w:r>
    </w:p>
    <w:p w:rsidR="00B204B6" w:rsidRDefault="00B204B6" w:rsidP="00B204B6">
      <w:pPr>
        <w:pStyle w:val="ListParagraph"/>
        <w:widowControl/>
        <w:rPr>
          <w:i/>
        </w:rPr>
      </w:pPr>
    </w:p>
    <w:p w:rsidR="000006EC" w:rsidRDefault="000006EC">
      <w:pPr>
        <w:widowControl/>
        <w:jc w:val="left"/>
        <w:rPr>
          <w:rFonts w:ascii="Arial Narrow" w:hAnsi="Arial Narrow"/>
          <w:b/>
          <w:bCs/>
          <w:sz w:val="20"/>
        </w:rPr>
      </w:pPr>
      <w:r>
        <w:rPr>
          <w:rFonts w:ascii="Arial Narrow" w:hAnsi="Arial Narrow"/>
          <w:b/>
          <w:bCs/>
          <w:sz w:val="20"/>
        </w:rPr>
        <w:br w:type="page"/>
      </w:r>
    </w:p>
    <w:p w:rsidR="00B204B6" w:rsidRPr="00017EFF" w:rsidRDefault="00B204B6" w:rsidP="00B204B6">
      <w:pPr>
        <w:pStyle w:val="ListParagraph"/>
        <w:widowControl/>
        <w:rPr>
          <w:rFonts w:ascii="Arial Narrow" w:hAnsi="Arial Narrow"/>
          <w:b/>
          <w:bCs/>
          <w:sz w:val="20"/>
        </w:rPr>
      </w:pPr>
      <w:r w:rsidRPr="00017EFF">
        <w:rPr>
          <w:rFonts w:ascii="Arial Narrow" w:hAnsi="Arial Narrow"/>
          <w:b/>
          <w:bCs/>
          <w:sz w:val="20"/>
        </w:rPr>
        <w:lastRenderedPageBreak/>
        <w:t>Cost-minimisation analysis of secukinumab to ustekinumab up to 99 weeks</w:t>
      </w:r>
    </w:p>
    <w:tbl>
      <w:tblPr>
        <w:tblStyle w:val="TableGrid"/>
        <w:tblW w:w="0" w:type="auto"/>
        <w:tblInd w:w="720" w:type="dxa"/>
        <w:tblCellMar>
          <w:left w:w="28" w:type="dxa"/>
          <w:right w:w="28" w:type="dxa"/>
        </w:tblCellMar>
        <w:tblLook w:val="04A0" w:firstRow="1" w:lastRow="0" w:firstColumn="1" w:lastColumn="0" w:noHBand="0" w:noVBand="1"/>
      </w:tblPr>
      <w:tblGrid>
        <w:gridCol w:w="3279"/>
        <w:gridCol w:w="1700"/>
        <w:gridCol w:w="1693"/>
        <w:gridCol w:w="1690"/>
      </w:tblGrid>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p>
        </w:tc>
        <w:tc>
          <w:tcPr>
            <w:tcW w:w="1721" w:type="dxa"/>
            <w:vAlign w:val="center"/>
          </w:tcPr>
          <w:p w:rsidR="00B204B6" w:rsidRPr="008943B5" w:rsidRDefault="00B204B6" w:rsidP="00B204B6">
            <w:pPr>
              <w:pStyle w:val="ListParagraph"/>
              <w:widowControl/>
              <w:ind w:left="0"/>
              <w:jc w:val="center"/>
              <w:rPr>
                <w:rFonts w:ascii="Arial Narrow" w:hAnsi="Arial Narrow"/>
                <w:b/>
                <w:sz w:val="20"/>
              </w:rPr>
            </w:pPr>
            <w:r w:rsidRPr="008943B5">
              <w:rPr>
                <w:rFonts w:ascii="Arial Narrow" w:hAnsi="Arial Narrow"/>
                <w:b/>
                <w:sz w:val="20"/>
              </w:rPr>
              <w:t>Ustekinumab</w:t>
            </w:r>
          </w:p>
        </w:tc>
        <w:tc>
          <w:tcPr>
            <w:tcW w:w="3444" w:type="dxa"/>
            <w:gridSpan w:val="2"/>
            <w:vAlign w:val="center"/>
          </w:tcPr>
          <w:p w:rsidR="00B204B6" w:rsidRPr="008943B5" w:rsidRDefault="00B204B6" w:rsidP="00B204B6">
            <w:pPr>
              <w:pStyle w:val="ListParagraph"/>
              <w:widowControl/>
              <w:ind w:left="0"/>
              <w:jc w:val="center"/>
              <w:rPr>
                <w:rFonts w:ascii="Arial Narrow" w:hAnsi="Arial Narrow"/>
                <w:b/>
                <w:sz w:val="20"/>
              </w:rPr>
            </w:pPr>
            <w:r w:rsidRPr="008943B5">
              <w:rPr>
                <w:rFonts w:ascii="Arial Narrow" w:hAnsi="Arial Narrow"/>
                <w:b/>
                <w:sz w:val="20"/>
              </w:rPr>
              <w:t>Secukinumab</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Ex-Factory price</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$4,455.06</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b/>
                <w:bCs/>
                <w:sz w:val="20"/>
              </w:rPr>
              <w:t>$</w:t>
            </w:r>
            <w:r w:rsidR="00E405FE">
              <w:rPr>
                <w:rFonts w:ascii="Arial Narrow" w:hAnsi="Arial Narrow"/>
                <w:b/>
                <w:bCs/>
                <w:noProof/>
                <w:color w:val="000000"/>
                <w:sz w:val="20"/>
                <w:highlight w:val="black"/>
              </w:rPr>
              <w:t>'''''''''''''''''</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b/>
                <w:bCs/>
                <w:i/>
                <w:iCs/>
                <w:sz w:val="20"/>
              </w:rPr>
              <w:t>$</w:t>
            </w:r>
            <w:r w:rsidR="00E405FE">
              <w:rPr>
                <w:rFonts w:ascii="Arial Narrow" w:hAnsi="Arial Narrow"/>
                <w:b/>
                <w:bCs/>
                <w:i/>
                <w:iCs/>
                <w:noProof/>
                <w:color w:val="000000"/>
                <w:sz w:val="20"/>
                <w:highlight w:val="black"/>
              </w:rPr>
              <w:t>''''''''''''''''</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Cost/mg</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$99.00</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w:t>
            </w:r>
            <w:r w:rsidR="00E405FE">
              <w:rPr>
                <w:rFonts w:ascii="Arial Narrow" w:hAnsi="Arial Narrow"/>
                <w:noProof/>
                <w:color w:val="000000"/>
                <w:sz w:val="20"/>
                <w:highlight w:val="black"/>
              </w:rPr>
              <w:t>'''''''''''</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w:t>
            </w:r>
            <w:r w:rsidR="00E405FE">
              <w:rPr>
                <w:rFonts w:ascii="Arial Narrow" w:hAnsi="Arial Narrow"/>
                <w:i/>
                <w:iCs/>
                <w:noProof/>
                <w:color w:val="000000"/>
                <w:sz w:val="20"/>
                <w:highlight w:val="black"/>
              </w:rPr>
              <w:t>''''''''''</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Average mg/dose</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59.38</w:t>
            </w:r>
            <w:r>
              <w:rPr>
                <w:rFonts w:ascii="Arial Narrow" w:hAnsi="Arial Narrow"/>
                <w:sz w:val="20"/>
              </w:rPr>
              <w:t xml:space="preserve"> </w:t>
            </w:r>
            <w:r w:rsidRPr="00017EFF">
              <w:rPr>
                <w:rFonts w:ascii="Arial Narrow" w:hAnsi="Arial Narrow"/>
                <w:sz w:val="20"/>
              </w:rPr>
              <w:t>mg</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300 mg</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300 mg</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Cost per average dose</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$5,878.20</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w:t>
            </w:r>
            <w:r w:rsidR="00E405FE">
              <w:rPr>
                <w:rFonts w:ascii="Arial Narrow" w:hAnsi="Arial Narrow"/>
                <w:noProof/>
                <w:color w:val="000000"/>
                <w:sz w:val="20"/>
                <w:highlight w:val="black"/>
              </w:rPr>
              <w:t>''''''''''''''''''''''</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w:t>
            </w:r>
            <w:r w:rsidR="00E405FE">
              <w:rPr>
                <w:rFonts w:ascii="Arial Narrow" w:hAnsi="Arial Narrow"/>
                <w:i/>
                <w:iCs/>
                <w:noProof/>
                <w:color w:val="000000"/>
                <w:sz w:val="20"/>
                <w:highlight w:val="black"/>
              </w:rPr>
              <w:t>'''''''''''''''''''</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Number of dose per year in maintenance</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i/>
                <w:iCs/>
                <w:sz w:val="20"/>
              </w:rPr>
              <w:t>4.33</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b/>
                <w:bCs/>
                <w:sz w:val="20"/>
              </w:rPr>
              <w:t>12</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b/>
                <w:bCs/>
                <w:i/>
                <w:iCs/>
                <w:sz w:val="20"/>
              </w:rPr>
              <w:t>13</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Dose in initiation (up to 16 weeks)</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3</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8</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8</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Dose in maintenance (17-100 weeks)</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6</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18.5</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20</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Total doses over 100 weeks^</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9</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26.5</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28</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Total cost over 100 weeks</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$52,904</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w:t>
            </w:r>
            <w:r w:rsidR="00E405FE">
              <w:rPr>
                <w:rFonts w:ascii="Arial Narrow" w:hAnsi="Arial Narrow"/>
                <w:noProof/>
                <w:color w:val="000000"/>
                <w:sz w:val="20"/>
                <w:highlight w:val="black"/>
              </w:rPr>
              <w:t>''''''''''''''''</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w:t>
            </w:r>
            <w:r w:rsidR="00E405FE">
              <w:rPr>
                <w:rFonts w:ascii="Arial Narrow" w:hAnsi="Arial Narrow"/>
                <w:i/>
                <w:iCs/>
                <w:noProof/>
                <w:color w:val="000000"/>
                <w:sz w:val="20"/>
                <w:highlight w:val="black"/>
              </w:rPr>
              <w:t>'''''''''''''''</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Continuation Rate*</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0.88</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0.88</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0.88</w:t>
            </w:r>
          </w:p>
        </w:tc>
      </w:tr>
      <w:tr w:rsidR="00B204B6" w:rsidRPr="00017EFF" w:rsidTr="00B204B6">
        <w:tc>
          <w:tcPr>
            <w:tcW w:w="3357" w:type="dxa"/>
          </w:tcPr>
          <w:p w:rsidR="00B204B6" w:rsidRPr="00017EFF" w:rsidRDefault="00B204B6" w:rsidP="00B204B6">
            <w:pPr>
              <w:pStyle w:val="ListParagraph"/>
              <w:widowControl/>
              <w:ind w:left="0"/>
              <w:rPr>
                <w:rFonts w:ascii="Arial Narrow" w:hAnsi="Arial Narrow"/>
                <w:sz w:val="20"/>
              </w:rPr>
            </w:pPr>
            <w:r w:rsidRPr="00017EFF">
              <w:rPr>
                <w:rFonts w:ascii="Arial Narrow" w:hAnsi="Arial Narrow"/>
                <w:sz w:val="20"/>
              </w:rPr>
              <w:t>Weighted cost over 100 weeks</w:t>
            </w:r>
          </w:p>
        </w:tc>
        <w:tc>
          <w:tcPr>
            <w:tcW w:w="1721" w:type="dxa"/>
            <w:vAlign w:val="center"/>
          </w:tcPr>
          <w:p w:rsidR="00B204B6" w:rsidRPr="00017EFF" w:rsidRDefault="00B204B6" w:rsidP="00B204B6">
            <w:pPr>
              <w:pStyle w:val="ListParagraph"/>
              <w:widowControl/>
              <w:ind w:left="0"/>
              <w:jc w:val="center"/>
              <w:rPr>
                <w:rFonts w:ascii="Arial Narrow" w:hAnsi="Arial Narrow"/>
                <w:sz w:val="20"/>
              </w:rPr>
            </w:pPr>
            <w:r w:rsidRPr="00017EFF">
              <w:rPr>
                <w:rFonts w:ascii="Arial Narrow" w:hAnsi="Arial Narrow"/>
                <w:sz w:val="20"/>
              </w:rPr>
              <w:t>$46,555</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sz w:val="20"/>
              </w:rPr>
              <w:t>$</w:t>
            </w:r>
            <w:r w:rsidR="00E405FE">
              <w:rPr>
                <w:rFonts w:ascii="Arial Narrow" w:hAnsi="Arial Narrow"/>
                <w:noProof/>
                <w:color w:val="000000"/>
                <w:sz w:val="20"/>
                <w:highlight w:val="black"/>
              </w:rPr>
              <w:t>''''''''''''''''</w:t>
            </w:r>
          </w:p>
        </w:tc>
        <w:tc>
          <w:tcPr>
            <w:tcW w:w="1722" w:type="dxa"/>
            <w:vAlign w:val="center"/>
          </w:tcPr>
          <w:p w:rsidR="00B204B6" w:rsidRPr="00D46F10" w:rsidRDefault="00B204B6" w:rsidP="00B204B6">
            <w:pPr>
              <w:pStyle w:val="ListParagraph"/>
              <w:widowControl/>
              <w:ind w:left="0"/>
              <w:jc w:val="center"/>
              <w:rPr>
                <w:rFonts w:ascii="Arial Narrow" w:hAnsi="Arial Narrow"/>
                <w:sz w:val="20"/>
              </w:rPr>
            </w:pPr>
            <w:r w:rsidRPr="00D46F10">
              <w:rPr>
                <w:rFonts w:ascii="Arial Narrow" w:hAnsi="Arial Narrow"/>
                <w:i/>
                <w:iCs/>
                <w:sz w:val="20"/>
              </w:rPr>
              <w:t>$</w:t>
            </w:r>
            <w:r w:rsidR="00E405FE">
              <w:rPr>
                <w:rFonts w:ascii="Arial Narrow" w:hAnsi="Arial Narrow"/>
                <w:i/>
                <w:iCs/>
                <w:noProof/>
                <w:color w:val="000000"/>
                <w:sz w:val="20"/>
                <w:highlight w:val="black"/>
              </w:rPr>
              <w:t>''''''''''''''''''</w:t>
            </w:r>
          </w:p>
        </w:tc>
      </w:tr>
    </w:tbl>
    <w:p w:rsidR="00B204B6" w:rsidRPr="00CB15DA" w:rsidRDefault="00B204B6" w:rsidP="00B204B6">
      <w:pPr>
        <w:tabs>
          <w:tab w:val="left" w:pos="284"/>
          <w:tab w:val="left" w:pos="993"/>
        </w:tabs>
        <w:ind w:left="709"/>
        <w:rPr>
          <w:rFonts w:ascii="Arial Narrow" w:hAnsi="Arial Narrow"/>
          <w:sz w:val="20"/>
        </w:rPr>
      </w:pPr>
      <w:r w:rsidRPr="00CB15DA">
        <w:rPr>
          <w:rFonts w:ascii="Arial Narrow" w:hAnsi="Arial Narrow"/>
          <w:sz w:val="20"/>
        </w:rPr>
        <w:t>*</w:t>
      </w:r>
      <w:r>
        <w:rPr>
          <w:rFonts w:ascii="Arial Narrow" w:hAnsi="Arial Narrow"/>
          <w:sz w:val="20"/>
        </w:rPr>
        <w:tab/>
      </w:r>
      <w:r w:rsidRPr="00CB15DA">
        <w:rPr>
          <w:rFonts w:ascii="Arial Narrow" w:hAnsi="Arial Narrow"/>
          <w:sz w:val="20"/>
        </w:rPr>
        <w:t>Taken from DUSC review of bDMARDs for severe chronic plaque psoriasis</w:t>
      </w:r>
    </w:p>
    <w:p w:rsidR="00B204B6" w:rsidRPr="0050224D" w:rsidRDefault="00B204B6" w:rsidP="00B204B6">
      <w:pPr>
        <w:ind w:left="709"/>
        <w:rPr>
          <w:rFonts w:ascii="Arial Narrow" w:hAnsi="Arial Narrow"/>
          <w:i/>
          <w:sz w:val="20"/>
        </w:rPr>
      </w:pPr>
      <w:r w:rsidRPr="0050224D">
        <w:rPr>
          <w:rFonts w:ascii="Arial Narrow" w:hAnsi="Arial Narrow"/>
          <w:i/>
          <w:sz w:val="20"/>
        </w:rPr>
        <w:t xml:space="preserve">Text in italics indicates values calculated during evaluation. Key differences for sensitivity analysis are highlighted in bold </w:t>
      </w:r>
    </w:p>
    <w:p w:rsidR="00B204B6" w:rsidRPr="00CB15DA" w:rsidRDefault="00B204B6" w:rsidP="00B204B6">
      <w:pPr>
        <w:ind w:left="709"/>
        <w:rPr>
          <w:rFonts w:ascii="Arial Narrow" w:hAnsi="Arial Narrow"/>
          <w:sz w:val="20"/>
        </w:rPr>
      </w:pPr>
      <w:r w:rsidRPr="00CB15DA">
        <w:rPr>
          <w:rFonts w:ascii="Arial Narrow" w:hAnsi="Arial Narrow"/>
          <w:sz w:val="20"/>
        </w:rPr>
        <w:t xml:space="preserve">Source: </w:t>
      </w:r>
      <w:r>
        <w:rPr>
          <w:rFonts w:ascii="Arial Narrow" w:hAnsi="Arial Narrow"/>
          <w:sz w:val="20"/>
        </w:rPr>
        <w:t xml:space="preserve">Submission, </w:t>
      </w:r>
      <w:r w:rsidRPr="00CB15DA">
        <w:rPr>
          <w:rFonts w:ascii="Arial Narrow" w:hAnsi="Arial Narrow"/>
          <w:sz w:val="20"/>
        </w:rPr>
        <w:t xml:space="preserve">Attachment 9, </w:t>
      </w:r>
      <w:r>
        <w:rPr>
          <w:rFonts w:ascii="Arial Narrow" w:hAnsi="Arial Narrow"/>
          <w:sz w:val="20"/>
        </w:rPr>
        <w:t>Section D_Cost-min calculation.x</w:t>
      </w:r>
      <w:r w:rsidRPr="00CB15DA">
        <w:rPr>
          <w:rFonts w:ascii="Arial Narrow" w:hAnsi="Arial Narrow"/>
          <w:sz w:val="20"/>
        </w:rPr>
        <w:t>lsx</w:t>
      </w:r>
    </w:p>
    <w:p w:rsidR="00B204B6" w:rsidRPr="00B204B6" w:rsidRDefault="00B204B6" w:rsidP="00B204B6">
      <w:pPr>
        <w:pStyle w:val="ListParagraph"/>
        <w:widowControl/>
      </w:pPr>
    </w:p>
    <w:p w:rsidR="007312B6" w:rsidRPr="000842EC" w:rsidRDefault="000842EC" w:rsidP="00B204B6">
      <w:pPr>
        <w:pStyle w:val="ListParagraph"/>
        <w:widowControl/>
        <w:numPr>
          <w:ilvl w:val="1"/>
          <w:numId w:val="7"/>
        </w:numPr>
        <w:rPr>
          <w:i/>
          <w:szCs w:val="22"/>
        </w:rPr>
      </w:pPr>
      <w:r>
        <w:rPr>
          <w:szCs w:val="22"/>
        </w:rPr>
        <w:t>T</w:t>
      </w:r>
      <w:r w:rsidR="007312B6" w:rsidRPr="00B204B6">
        <w:rPr>
          <w:szCs w:val="22"/>
        </w:rPr>
        <w:t>he sub</w:t>
      </w:r>
      <w:r w:rsidR="00B931FE">
        <w:rPr>
          <w:szCs w:val="22"/>
        </w:rPr>
        <w:t>mission assumed that patients will use 8 </w:t>
      </w:r>
      <w:r w:rsidR="007312B6" w:rsidRPr="00B204B6">
        <w:rPr>
          <w:szCs w:val="22"/>
        </w:rPr>
        <w:t xml:space="preserve">doses of secukinumab during the initiation phase (at weeks 0, 1, 2, 3, 4, 8, 12 and 16) and then one injection every month thereafter up to week 99 during the maintenance phase (18.5 doses), for a total of 26.5 doses over 100 weeks (from week 0 to week 99).  </w:t>
      </w:r>
      <w:r w:rsidR="007312B6" w:rsidRPr="00B204B6">
        <w:rPr>
          <w:iCs/>
          <w:szCs w:val="22"/>
        </w:rPr>
        <w:t>Analysis conduct</w:t>
      </w:r>
      <w:r w:rsidR="00B931FE">
        <w:rPr>
          <w:iCs/>
          <w:szCs w:val="22"/>
        </w:rPr>
        <w:t>ed during the evaluation assumed</w:t>
      </w:r>
      <w:r w:rsidR="007312B6" w:rsidRPr="00B204B6">
        <w:rPr>
          <w:iCs/>
          <w:szCs w:val="22"/>
        </w:rPr>
        <w:t xml:space="preserve"> that maintenance frequency is 4 weekly rather than monthly, resulting in 20 doses used in maintenance</w:t>
      </w:r>
      <w:r w:rsidR="00B931FE">
        <w:rPr>
          <w:iCs/>
          <w:szCs w:val="22"/>
        </w:rPr>
        <w:t xml:space="preserve"> treatment</w:t>
      </w:r>
      <w:r w:rsidR="007312B6" w:rsidRPr="00B204B6">
        <w:rPr>
          <w:iCs/>
          <w:szCs w:val="22"/>
        </w:rPr>
        <w:t>.</w:t>
      </w:r>
      <w:r w:rsidR="007312B6" w:rsidRPr="00B204B6">
        <w:rPr>
          <w:i/>
          <w:iCs/>
          <w:szCs w:val="22"/>
        </w:rPr>
        <w:t xml:space="preserve"> </w:t>
      </w:r>
      <w:r w:rsidR="00B931FE">
        <w:rPr>
          <w:szCs w:val="22"/>
        </w:rPr>
        <w:t>Treatment would</w:t>
      </w:r>
      <w:r w:rsidR="007312B6" w:rsidRPr="00B204B6">
        <w:rPr>
          <w:szCs w:val="22"/>
        </w:rPr>
        <w:t xml:space="preserve"> be ongoing until the patient no longer demonstrates adequate response (i.e. do not achieve PASI 75 response)</w:t>
      </w:r>
      <w:r w:rsidR="004C1226" w:rsidRPr="00B204B6">
        <w:rPr>
          <w:szCs w:val="22"/>
        </w:rPr>
        <w:t>.</w:t>
      </w:r>
    </w:p>
    <w:p w:rsidR="000842EC" w:rsidRPr="000842EC" w:rsidRDefault="000842EC" w:rsidP="000842EC">
      <w:pPr>
        <w:pStyle w:val="ListParagraph"/>
        <w:widowControl/>
        <w:rPr>
          <w:i/>
          <w:szCs w:val="22"/>
        </w:rPr>
      </w:pPr>
    </w:p>
    <w:p w:rsidR="000842EC" w:rsidRPr="00F25700" w:rsidRDefault="000842EC" w:rsidP="00B204B6">
      <w:pPr>
        <w:pStyle w:val="ListParagraph"/>
        <w:widowControl/>
        <w:numPr>
          <w:ilvl w:val="1"/>
          <w:numId w:val="7"/>
        </w:numPr>
        <w:rPr>
          <w:i/>
          <w:szCs w:val="22"/>
        </w:rPr>
      </w:pPr>
      <w:r w:rsidRPr="00017EFF">
        <w:t>The results of the cost minimisatio</w:t>
      </w:r>
      <w:r>
        <w:t xml:space="preserve">n analysis of secukinumab to adalimumab conducted by the evaluation are shown in </w:t>
      </w:r>
      <w:r w:rsidRPr="00503D97">
        <w:t xml:space="preserve">Table </w:t>
      </w:r>
      <w:r>
        <w:t xml:space="preserve">7 below. The use of </w:t>
      </w:r>
      <w:r w:rsidRPr="000842EC">
        <w:t xml:space="preserve">13 doses per year (based on a 4-weekly dosing frequency) of secukinumab was </w:t>
      </w:r>
      <w:r>
        <w:t>again considered in</w:t>
      </w:r>
      <w:r w:rsidRPr="000842EC">
        <w:t xml:space="preserve"> the evaluation</w:t>
      </w:r>
      <w:r>
        <w:t xml:space="preserve"> and the results also presented alongside the use of 12 secukinumab doses. </w:t>
      </w:r>
    </w:p>
    <w:p w:rsidR="00F25700" w:rsidRDefault="00F25700" w:rsidP="00F25700">
      <w:pPr>
        <w:pStyle w:val="ListParagraph"/>
        <w:widowControl/>
        <w:rPr>
          <w:szCs w:val="22"/>
        </w:rPr>
      </w:pPr>
    </w:p>
    <w:p w:rsidR="00F25700" w:rsidRPr="008C53BB" w:rsidRDefault="00F25700" w:rsidP="00F25700">
      <w:pPr>
        <w:pStyle w:val="ListParagraph"/>
        <w:widowControl/>
        <w:rPr>
          <w:rFonts w:ascii="Arial Narrow" w:hAnsi="Arial Narrow"/>
          <w:b/>
          <w:bCs/>
          <w:iCs/>
          <w:sz w:val="20"/>
        </w:rPr>
      </w:pPr>
      <w:r w:rsidRPr="008C53BB">
        <w:rPr>
          <w:rFonts w:ascii="Arial Narrow" w:hAnsi="Arial Narrow"/>
          <w:b/>
          <w:bCs/>
          <w:iCs/>
          <w:sz w:val="20"/>
        </w:rPr>
        <w:t>Cost-minimisation analysis of secukinumab to adalimumab up to 99 weeks</w:t>
      </w:r>
      <w:r w:rsidR="00B931FE">
        <w:rPr>
          <w:rFonts w:ascii="Arial Narrow" w:hAnsi="Arial Narrow"/>
          <w:b/>
          <w:bCs/>
          <w:iCs/>
          <w:sz w:val="20"/>
        </w:rPr>
        <w:t xml:space="preserve"> assuming 13 </w:t>
      </w:r>
      <w:r>
        <w:rPr>
          <w:rFonts w:ascii="Arial Narrow" w:hAnsi="Arial Narrow"/>
          <w:b/>
          <w:bCs/>
          <w:iCs/>
          <w:sz w:val="20"/>
        </w:rPr>
        <w:t>secukinumab doses per year</w:t>
      </w:r>
    </w:p>
    <w:tbl>
      <w:tblPr>
        <w:tblStyle w:val="TableGrid"/>
        <w:tblW w:w="0" w:type="auto"/>
        <w:tblInd w:w="720" w:type="dxa"/>
        <w:tblCellMar>
          <w:left w:w="28" w:type="dxa"/>
          <w:right w:w="28" w:type="dxa"/>
        </w:tblCellMar>
        <w:tblLook w:val="04A0" w:firstRow="1" w:lastRow="0" w:firstColumn="1" w:lastColumn="0" w:noHBand="0" w:noVBand="1"/>
      </w:tblPr>
      <w:tblGrid>
        <w:gridCol w:w="3280"/>
        <w:gridCol w:w="1697"/>
        <w:gridCol w:w="1691"/>
        <w:gridCol w:w="1694"/>
      </w:tblGrid>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Adalimumab</w:t>
            </w:r>
          </w:p>
        </w:tc>
        <w:tc>
          <w:tcPr>
            <w:tcW w:w="3444" w:type="dxa"/>
            <w:gridSpan w:val="2"/>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Secukinumab</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Cost per dose (Ex-factory price)</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$1630.00</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b/>
                <w:bCs/>
                <w:iCs/>
                <w:sz w:val="20"/>
              </w:rPr>
              <w:t>$</w:t>
            </w:r>
            <w:r w:rsidR="00E405FE">
              <w:rPr>
                <w:rFonts w:ascii="Arial Narrow" w:hAnsi="Arial Narrow"/>
                <w:b/>
                <w:bCs/>
                <w:iCs/>
                <w:noProof/>
                <w:color w:val="000000"/>
                <w:sz w:val="20"/>
                <w:highlight w:val="black"/>
              </w:rPr>
              <w:t>''''''''''''''''</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b/>
                <w:bCs/>
                <w:iCs/>
                <w:sz w:val="20"/>
              </w:rPr>
              <w:t>$</w:t>
            </w:r>
            <w:r w:rsidR="00E405FE">
              <w:rPr>
                <w:rFonts w:ascii="Arial Narrow" w:hAnsi="Arial Narrow"/>
                <w:b/>
                <w:bCs/>
                <w:iCs/>
                <w:noProof/>
                <w:color w:val="000000"/>
                <w:sz w:val="20"/>
                <w:highlight w:val="black"/>
              </w:rPr>
              <w:t>''''''''''''''''''</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Number of dose per year in maintenance</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13</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b/>
                <w:bCs/>
                <w:iCs/>
                <w:sz w:val="20"/>
              </w:rPr>
              <w:t>12</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b/>
                <w:bCs/>
                <w:iCs/>
                <w:sz w:val="20"/>
              </w:rPr>
              <w:t>13</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Dose in initiation (up to 16 weeks)</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5</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8</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8</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Dose in maintenance (17-100 weeks)</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20.5</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18.5</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20</w:t>
            </w:r>
          </w:p>
        </w:tc>
      </w:tr>
      <w:tr w:rsidR="00F25700" w:rsidRPr="008C53BB" w:rsidTr="00435F15">
        <w:tc>
          <w:tcPr>
            <w:tcW w:w="3357" w:type="dxa"/>
          </w:tcPr>
          <w:p w:rsidR="00F25700" w:rsidRPr="008C53BB" w:rsidRDefault="00F25700" w:rsidP="00AA28B5">
            <w:pPr>
              <w:pStyle w:val="ListParagraph"/>
              <w:widowControl/>
              <w:ind w:left="0"/>
              <w:rPr>
                <w:rFonts w:ascii="Arial Narrow" w:hAnsi="Arial Narrow"/>
                <w:iCs/>
                <w:sz w:val="20"/>
              </w:rPr>
            </w:pPr>
            <w:r w:rsidRPr="008C53BB">
              <w:rPr>
                <w:rFonts w:ascii="Arial Narrow" w:hAnsi="Arial Narrow"/>
                <w:iCs/>
                <w:sz w:val="20"/>
              </w:rPr>
              <w:t>Total doses over 100 weeks</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25.5</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26.5</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28</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Total cost over 100 weeks</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$41,565</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w:t>
            </w:r>
            <w:r w:rsidR="00E405FE">
              <w:rPr>
                <w:rFonts w:ascii="Arial Narrow" w:hAnsi="Arial Narrow"/>
                <w:iCs/>
                <w:noProof/>
                <w:color w:val="000000"/>
                <w:sz w:val="20"/>
                <w:highlight w:val="black"/>
              </w:rPr>
              <w:t>''''''''''''''''</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w:t>
            </w:r>
            <w:r w:rsidR="00E405FE">
              <w:rPr>
                <w:rFonts w:ascii="Arial Narrow" w:hAnsi="Arial Narrow"/>
                <w:iCs/>
                <w:noProof/>
                <w:color w:val="000000"/>
                <w:sz w:val="20"/>
                <w:highlight w:val="black"/>
              </w:rPr>
              <w:t>'''''''''''''''</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Continuation Rate</w:t>
            </w:r>
            <w:r w:rsidRPr="00490D2B">
              <w:rPr>
                <w:rFonts w:ascii="Arial Narrow" w:hAnsi="Arial Narrow"/>
                <w:iCs/>
                <w:sz w:val="20"/>
              </w:rPr>
              <w:t>*</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0.88</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0.88</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0.88</w:t>
            </w:r>
          </w:p>
        </w:tc>
      </w:tr>
      <w:tr w:rsidR="00F25700" w:rsidRPr="008C53BB" w:rsidTr="00435F15">
        <w:tc>
          <w:tcPr>
            <w:tcW w:w="3357" w:type="dxa"/>
          </w:tcPr>
          <w:p w:rsidR="00F25700" w:rsidRPr="008C53BB" w:rsidRDefault="00F25700" w:rsidP="00435F15">
            <w:pPr>
              <w:pStyle w:val="ListParagraph"/>
              <w:widowControl/>
              <w:ind w:left="0"/>
              <w:rPr>
                <w:rFonts w:ascii="Arial Narrow" w:hAnsi="Arial Narrow"/>
                <w:iCs/>
                <w:sz w:val="20"/>
              </w:rPr>
            </w:pPr>
            <w:r w:rsidRPr="008C53BB">
              <w:rPr>
                <w:rFonts w:ascii="Arial Narrow" w:hAnsi="Arial Narrow"/>
                <w:iCs/>
                <w:sz w:val="20"/>
              </w:rPr>
              <w:t>Weighted cost over 100 weeks</w:t>
            </w:r>
          </w:p>
        </w:tc>
        <w:tc>
          <w:tcPr>
            <w:tcW w:w="1721" w:type="dxa"/>
            <w:vAlign w:val="center"/>
          </w:tcPr>
          <w:p w:rsidR="00F25700" w:rsidRPr="008C53BB" w:rsidRDefault="00F25700" w:rsidP="00435F15">
            <w:pPr>
              <w:pStyle w:val="ListParagraph"/>
              <w:widowControl/>
              <w:ind w:left="0"/>
              <w:jc w:val="center"/>
              <w:rPr>
                <w:rFonts w:ascii="Arial Narrow" w:hAnsi="Arial Narrow"/>
                <w:iCs/>
                <w:sz w:val="20"/>
              </w:rPr>
            </w:pPr>
            <w:r w:rsidRPr="008C53BB">
              <w:rPr>
                <w:rFonts w:ascii="Arial Narrow" w:hAnsi="Arial Narrow"/>
                <w:iCs/>
                <w:sz w:val="20"/>
              </w:rPr>
              <w:t>$36,577</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w:t>
            </w:r>
            <w:r w:rsidR="00E405FE">
              <w:rPr>
                <w:rFonts w:ascii="Arial Narrow" w:hAnsi="Arial Narrow"/>
                <w:iCs/>
                <w:noProof/>
                <w:color w:val="000000"/>
                <w:sz w:val="20"/>
                <w:highlight w:val="black"/>
              </w:rPr>
              <w:t>'''''''''''''''</w:t>
            </w:r>
          </w:p>
        </w:tc>
        <w:tc>
          <w:tcPr>
            <w:tcW w:w="1722" w:type="dxa"/>
            <w:vAlign w:val="center"/>
          </w:tcPr>
          <w:p w:rsidR="00F25700" w:rsidRPr="00D46F10" w:rsidRDefault="00F25700" w:rsidP="00435F15">
            <w:pPr>
              <w:pStyle w:val="ListParagraph"/>
              <w:widowControl/>
              <w:ind w:left="0"/>
              <w:jc w:val="center"/>
              <w:rPr>
                <w:rFonts w:ascii="Arial Narrow" w:hAnsi="Arial Narrow"/>
                <w:iCs/>
                <w:sz w:val="20"/>
              </w:rPr>
            </w:pPr>
            <w:r w:rsidRPr="00D46F10">
              <w:rPr>
                <w:rFonts w:ascii="Arial Narrow" w:hAnsi="Arial Narrow"/>
                <w:iCs/>
                <w:sz w:val="20"/>
              </w:rPr>
              <w:t>$</w:t>
            </w:r>
            <w:r w:rsidR="00E405FE">
              <w:rPr>
                <w:rFonts w:ascii="Arial Narrow" w:hAnsi="Arial Narrow"/>
                <w:iCs/>
                <w:noProof/>
                <w:color w:val="000000"/>
                <w:sz w:val="20"/>
                <w:highlight w:val="black"/>
              </w:rPr>
              <w:t>''''''''''''''''''</w:t>
            </w:r>
          </w:p>
        </w:tc>
      </w:tr>
    </w:tbl>
    <w:p w:rsidR="00F25700" w:rsidRPr="00F25700" w:rsidRDefault="00F25700" w:rsidP="00F25700">
      <w:pPr>
        <w:ind w:left="709"/>
        <w:rPr>
          <w:rFonts w:ascii="Arial Narrow" w:hAnsi="Arial Narrow"/>
          <w:iCs/>
          <w:sz w:val="20"/>
        </w:rPr>
      </w:pPr>
      <w:r w:rsidRPr="008C53BB">
        <w:rPr>
          <w:rFonts w:ascii="Arial Narrow" w:hAnsi="Arial Narrow"/>
          <w:iCs/>
          <w:sz w:val="20"/>
        </w:rPr>
        <w:t>Source: Constructed during evaluation</w:t>
      </w:r>
    </w:p>
    <w:p w:rsidR="00490D2B" w:rsidRPr="00CB15DA" w:rsidRDefault="00490D2B" w:rsidP="00490D2B">
      <w:pPr>
        <w:tabs>
          <w:tab w:val="left" w:pos="284"/>
          <w:tab w:val="left" w:pos="993"/>
        </w:tabs>
        <w:ind w:left="709"/>
        <w:rPr>
          <w:rFonts w:ascii="Arial Narrow" w:hAnsi="Arial Narrow"/>
          <w:sz w:val="20"/>
        </w:rPr>
      </w:pPr>
      <w:r w:rsidRPr="00CB15DA">
        <w:rPr>
          <w:rFonts w:ascii="Arial Narrow" w:hAnsi="Arial Narrow"/>
          <w:sz w:val="20"/>
        </w:rPr>
        <w:t>*</w:t>
      </w:r>
      <w:r>
        <w:rPr>
          <w:rFonts w:ascii="Arial Narrow" w:hAnsi="Arial Narrow"/>
          <w:sz w:val="20"/>
        </w:rPr>
        <w:tab/>
      </w:r>
      <w:r w:rsidRPr="00CB15DA">
        <w:rPr>
          <w:rFonts w:ascii="Arial Narrow" w:hAnsi="Arial Narrow"/>
          <w:sz w:val="20"/>
        </w:rPr>
        <w:t>Taken from DUSC review of bDMARDs for severe chronic plaque psoriasis</w:t>
      </w:r>
    </w:p>
    <w:p w:rsidR="00C25D9C" w:rsidRDefault="00C25D9C" w:rsidP="00C25D9C">
      <w:pPr>
        <w:widowControl/>
        <w:rPr>
          <w:szCs w:val="22"/>
        </w:rPr>
      </w:pPr>
    </w:p>
    <w:p w:rsidR="00CD1C8D" w:rsidRPr="001C0D84" w:rsidRDefault="00CD1C8D" w:rsidP="00CD1C8D">
      <w:pPr>
        <w:pStyle w:val="ListParagraph"/>
        <w:rPr>
          <w:i/>
        </w:rPr>
      </w:pPr>
      <w:r w:rsidRPr="001C0D84">
        <w:rPr>
          <w:i/>
        </w:rPr>
        <w:t>For more detail on PBAC’s view, see section 7 “PBAC outcome”</w:t>
      </w:r>
      <w:r w:rsidR="00696349">
        <w:rPr>
          <w:i/>
        </w:rPr>
        <w:t>.</w:t>
      </w:r>
    </w:p>
    <w:p w:rsidR="00D104B4" w:rsidRDefault="00D104B4" w:rsidP="00C25D9C">
      <w:pPr>
        <w:widowControl/>
        <w:rPr>
          <w:szCs w:val="22"/>
        </w:rPr>
      </w:pPr>
    </w:p>
    <w:p w:rsidR="00C25D9C" w:rsidRDefault="00C25D9C" w:rsidP="006446D6">
      <w:pPr>
        <w:pStyle w:val="Heading2"/>
        <w:rPr>
          <w:i/>
        </w:rPr>
      </w:pPr>
      <w:bookmarkStart w:id="11" w:name="_Toc409605612"/>
      <w:r w:rsidRPr="0046072A">
        <w:t>Drug cost/patient</w:t>
      </w:r>
      <w:r w:rsidRPr="002C2775">
        <w:rPr>
          <w:i/>
        </w:rPr>
        <w:t>:</w:t>
      </w:r>
      <w:bookmarkEnd w:id="11"/>
      <w:r w:rsidRPr="002C2775">
        <w:rPr>
          <w:i/>
        </w:rPr>
        <w:t xml:space="preserve"> </w:t>
      </w:r>
    </w:p>
    <w:p w:rsidR="00A52FE7" w:rsidRDefault="00A52FE7" w:rsidP="00C329BB">
      <w:pPr>
        <w:ind w:left="709"/>
      </w:pPr>
    </w:p>
    <w:p w:rsidR="00C329BB" w:rsidRDefault="00C329BB" w:rsidP="00A52FE7">
      <w:pPr>
        <w:pStyle w:val="ListParagraph"/>
        <w:widowControl/>
        <w:numPr>
          <w:ilvl w:val="1"/>
          <w:numId w:val="7"/>
        </w:numPr>
      </w:pPr>
      <w:r>
        <w:t xml:space="preserve">At the requested DPMQ </w:t>
      </w:r>
      <w:r w:rsidR="00A04A83">
        <w:t xml:space="preserve">for </w:t>
      </w:r>
      <w:r>
        <w:t>secukinumab</w:t>
      </w:r>
      <w:r w:rsidR="00A04A83">
        <w:t>,</w:t>
      </w:r>
      <w:r>
        <w:t xml:space="preserve"> and using the current ustekinumab and adalimumab prices</w:t>
      </w:r>
      <w:r w:rsidR="007B2401">
        <w:t>, the cost per patient per year will be</w:t>
      </w:r>
      <w:r>
        <w:t>:</w:t>
      </w:r>
    </w:p>
    <w:p w:rsidR="00974451" w:rsidRDefault="00974451" w:rsidP="00974451">
      <w:pPr>
        <w:pStyle w:val="ListParagraph"/>
        <w:widowControl/>
      </w:pPr>
    </w:p>
    <w:p w:rsidR="00D104B4" w:rsidRPr="00C329BB" w:rsidRDefault="009362BE" w:rsidP="00974451">
      <w:pPr>
        <w:pStyle w:val="ListParagraph"/>
        <w:widowControl/>
      </w:pPr>
      <w:r>
        <w:rPr>
          <w:rFonts w:ascii="Arial Narrow" w:hAnsi="Arial Narrow"/>
          <w:b/>
          <w:bCs/>
          <w:iCs/>
          <w:sz w:val="20"/>
        </w:rPr>
        <w:t xml:space="preserve"> </w:t>
      </w:r>
      <w:r w:rsidR="00D104B4" w:rsidRPr="00503D97">
        <w:rPr>
          <w:rFonts w:ascii="Arial Narrow" w:hAnsi="Arial Narrow"/>
          <w:b/>
          <w:bCs/>
          <w:iCs/>
          <w:sz w:val="20"/>
        </w:rPr>
        <w:t>DPMQ prices</w:t>
      </w:r>
    </w:p>
    <w:tbl>
      <w:tblPr>
        <w:tblStyle w:val="TableGrid"/>
        <w:tblW w:w="0" w:type="auto"/>
        <w:tblInd w:w="817" w:type="dxa"/>
        <w:tblCellMar>
          <w:left w:w="28" w:type="dxa"/>
          <w:right w:w="28" w:type="dxa"/>
        </w:tblCellMar>
        <w:tblLook w:val="04A0" w:firstRow="1" w:lastRow="0" w:firstColumn="1" w:lastColumn="0" w:noHBand="0" w:noVBand="1"/>
      </w:tblPr>
      <w:tblGrid>
        <w:gridCol w:w="1763"/>
        <w:gridCol w:w="3251"/>
        <w:gridCol w:w="3251"/>
      </w:tblGrid>
      <w:tr w:rsidR="00C329BB" w:rsidRPr="00C329BB" w:rsidTr="00C329BB">
        <w:tc>
          <w:tcPr>
            <w:tcW w:w="1763" w:type="dxa"/>
          </w:tcPr>
          <w:p w:rsidR="00C329BB" w:rsidRPr="00C329BB" w:rsidRDefault="00C329BB" w:rsidP="00C329BB">
            <w:pPr>
              <w:widowControl/>
              <w:rPr>
                <w:rFonts w:ascii="Arial Narrow" w:hAnsi="Arial Narrow"/>
                <w:sz w:val="20"/>
              </w:rPr>
            </w:pPr>
          </w:p>
        </w:tc>
        <w:tc>
          <w:tcPr>
            <w:tcW w:w="3251" w:type="dxa"/>
            <w:vAlign w:val="center"/>
          </w:tcPr>
          <w:p w:rsidR="00C329BB" w:rsidRPr="00C329BB" w:rsidRDefault="00C329BB" w:rsidP="00C329BB">
            <w:pPr>
              <w:widowControl/>
              <w:jc w:val="center"/>
              <w:rPr>
                <w:rFonts w:ascii="Arial Narrow" w:hAnsi="Arial Narrow"/>
                <w:b/>
                <w:sz w:val="20"/>
              </w:rPr>
            </w:pPr>
            <w:r w:rsidRPr="00C329BB">
              <w:rPr>
                <w:rFonts w:ascii="Arial Narrow" w:hAnsi="Arial Narrow"/>
                <w:b/>
                <w:sz w:val="20"/>
              </w:rPr>
              <w:t>Initiation</w:t>
            </w:r>
          </w:p>
        </w:tc>
        <w:tc>
          <w:tcPr>
            <w:tcW w:w="3251" w:type="dxa"/>
            <w:vAlign w:val="center"/>
          </w:tcPr>
          <w:p w:rsidR="00C329BB" w:rsidRPr="00C329BB" w:rsidRDefault="00C329BB" w:rsidP="00C329BB">
            <w:pPr>
              <w:widowControl/>
              <w:jc w:val="center"/>
              <w:rPr>
                <w:rFonts w:ascii="Arial Narrow" w:hAnsi="Arial Narrow"/>
                <w:b/>
                <w:sz w:val="20"/>
              </w:rPr>
            </w:pPr>
            <w:r w:rsidRPr="00C329BB">
              <w:rPr>
                <w:rFonts w:ascii="Arial Narrow" w:hAnsi="Arial Narrow"/>
                <w:b/>
                <w:sz w:val="20"/>
              </w:rPr>
              <w:t>12 months of maintenance</w:t>
            </w:r>
          </w:p>
        </w:tc>
      </w:tr>
      <w:tr w:rsidR="00C329BB" w:rsidRPr="00C329BB" w:rsidTr="00C329BB">
        <w:tc>
          <w:tcPr>
            <w:tcW w:w="1763" w:type="dxa"/>
          </w:tcPr>
          <w:p w:rsidR="00C329BB" w:rsidRPr="00C329BB" w:rsidRDefault="00C329BB" w:rsidP="00C329BB">
            <w:pPr>
              <w:widowControl/>
              <w:rPr>
                <w:rFonts w:ascii="Arial Narrow" w:hAnsi="Arial Narrow"/>
                <w:sz w:val="20"/>
              </w:rPr>
            </w:pPr>
            <w:r>
              <w:rPr>
                <w:rFonts w:ascii="Arial Narrow" w:hAnsi="Arial Narrow"/>
                <w:sz w:val="20"/>
              </w:rPr>
              <w:t xml:space="preserve">Secukinumab </w:t>
            </w:r>
          </w:p>
        </w:tc>
        <w:tc>
          <w:tcPr>
            <w:tcW w:w="3251" w:type="dxa"/>
            <w:vAlign w:val="center"/>
          </w:tcPr>
          <w:p w:rsidR="00C329BB" w:rsidRPr="00D46F10" w:rsidRDefault="00C329BB" w:rsidP="00C329BB">
            <w:pPr>
              <w:widowControl/>
              <w:jc w:val="center"/>
              <w:rPr>
                <w:rFonts w:ascii="Arial Narrow" w:hAnsi="Arial Narrow"/>
                <w:sz w:val="20"/>
              </w:rPr>
            </w:pPr>
            <w:r w:rsidRPr="00D46F10">
              <w:rPr>
                <w:rFonts w:ascii="Arial Narrow" w:hAnsi="Arial Narrow"/>
                <w:sz w:val="20"/>
              </w:rPr>
              <w:t>$</w:t>
            </w:r>
            <w:r w:rsidR="00E405FE">
              <w:rPr>
                <w:rFonts w:ascii="Arial Narrow" w:hAnsi="Arial Narrow"/>
                <w:noProof/>
                <w:color w:val="000000"/>
                <w:sz w:val="20"/>
                <w:highlight w:val="black"/>
              </w:rPr>
              <w:t>'''''''''''''''</w:t>
            </w:r>
            <w:r w:rsidRPr="00D46F10">
              <w:rPr>
                <w:rFonts w:ascii="Arial Narrow" w:hAnsi="Arial Narrow"/>
                <w:sz w:val="20"/>
              </w:rPr>
              <w:t xml:space="preserve"> (4 scripts at $</w:t>
            </w:r>
            <w:r w:rsidR="00E405FE">
              <w:rPr>
                <w:rFonts w:ascii="Arial Narrow" w:hAnsi="Arial Narrow"/>
                <w:noProof/>
                <w:color w:val="000000"/>
                <w:sz w:val="20"/>
                <w:highlight w:val="black"/>
              </w:rPr>
              <w:t>'''''''''''''''''''''</w:t>
            </w:r>
            <w:r w:rsidRPr="00D46F10">
              <w:rPr>
                <w:rFonts w:ascii="Arial Narrow" w:hAnsi="Arial Narrow"/>
                <w:sz w:val="20"/>
              </w:rPr>
              <w:t>/script)</w:t>
            </w:r>
          </w:p>
        </w:tc>
        <w:tc>
          <w:tcPr>
            <w:tcW w:w="3251" w:type="dxa"/>
            <w:vAlign w:val="center"/>
          </w:tcPr>
          <w:p w:rsidR="00C329BB" w:rsidRPr="00D46F10" w:rsidRDefault="00C329BB" w:rsidP="00C329BB">
            <w:pPr>
              <w:widowControl/>
              <w:jc w:val="center"/>
              <w:rPr>
                <w:rFonts w:ascii="Arial Narrow" w:hAnsi="Arial Narrow"/>
                <w:sz w:val="20"/>
              </w:rPr>
            </w:pPr>
            <w:r w:rsidRPr="00D46F10">
              <w:rPr>
                <w:rFonts w:ascii="Arial Narrow" w:hAnsi="Arial Narrow"/>
                <w:sz w:val="20"/>
              </w:rPr>
              <w:t>$</w:t>
            </w:r>
            <w:r w:rsidR="00E405FE">
              <w:rPr>
                <w:rFonts w:ascii="Arial Narrow" w:hAnsi="Arial Narrow"/>
                <w:noProof/>
                <w:color w:val="000000"/>
                <w:sz w:val="20"/>
                <w:highlight w:val="black"/>
              </w:rPr>
              <w:t>''''''''''''''''</w:t>
            </w:r>
            <w:r w:rsidRPr="00D46F10">
              <w:rPr>
                <w:rFonts w:ascii="Arial Narrow" w:hAnsi="Arial Narrow"/>
                <w:sz w:val="20"/>
              </w:rPr>
              <w:t xml:space="preserve"> (13 scripts at $</w:t>
            </w:r>
            <w:r w:rsidR="00E405FE">
              <w:rPr>
                <w:rFonts w:ascii="Arial Narrow" w:hAnsi="Arial Narrow"/>
                <w:noProof/>
                <w:color w:val="000000"/>
                <w:sz w:val="20"/>
                <w:highlight w:val="black"/>
              </w:rPr>
              <w:t>'''''''''''''''''''</w:t>
            </w:r>
            <w:r w:rsidRPr="00D46F10">
              <w:rPr>
                <w:rFonts w:ascii="Arial Narrow" w:hAnsi="Arial Narrow"/>
                <w:sz w:val="20"/>
              </w:rPr>
              <w:t>/script)</w:t>
            </w:r>
          </w:p>
        </w:tc>
      </w:tr>
      <w:tr w:rsidR="00C329BB" w:rsidRPr="00C329BB" w:rsidTr="00C329BB">
        <w:tc>
          <w:tcPr>
            <w:tcW w:w="1763" w:type="dxa"/>
          </w:tcPr>
          <w:p w:rsidR="00C329BB" w:rsidRPr="00C329BB" w:rsidRDefault="00C329BB" w:rsidP="00C329BB">
            <w:pPr>
              <w:widowControl/>
              <w:rPr>
                <w:rFonts w:ascii="Arial Narrow" w:hAnsi="Arial Narrow"/>
                <w:sz w:val="20"/>
              </w:rPr>
            </w:pPr>
            <w:r>
              <w:rPr>
                <w:rFonts w:ascii="Arial Narrow" w:hAnsi="Arial Narrow"/>
                <w:sz w:val="20"/>
              </w:rPr>
              <w:t>Ustekinumab 45</w:t>
            </w:r>
            <w:r w:rsidR="00462D85">
              <w:rPr>
                <w:rFonts w:ascii="Arial Narrow" w:hAnsi="Arial Narrow"/>
                <w:sz w:val="20"/>
              </w:rPr>
              <w:t xml:space="preserve"> </w:t>
            </w:r>
            <w:r>
              <w:rPr>
                <w:rFonts w:ascii="Arial Narrow" w:hAnsi="Arial Narrow"/>
                <w:sz w:val="20"/>
              </w:rPr>
              <w:t>mg</w:t>
            </w:r>
          </w:p>
        </w:tc>
        <w:tc>
          <w:tcPr>
            <w:tcW w:w="3251" w:type="dxa"/>
            <w:vAlign w:val="center"/>
          </w:tcPr>
          <w:p w:rsidR="00C329BB" w:rsidRPr="00C329BB" w:rsidRDefault="00C329BB" w:rsidP="00C329BB">
            <w:pPr>
              <w:widowControl/>
              <w:jc w:val="center"/>
              <w:rPr>
                <w:rFonts w:ascii="Arial Narrow" w:hAnsi="Arial Narrow"/>
                <w:sz w:val="20"/>
              </w:rPr>
            </w:pPr>
            <w:r>
              <w:rPr>
                <w:rFonts w:ascii="Arial Narrow" w:hAnsi="Arial Narrow"/>
                <w:sz w:val="20"/>
              </w:rPr>
              <w:t>$13,805.28 (3 scripts at $4,601.76/script)</w:t>
            </w:r>
          </w:p>
        </w:tc>
        <w:tc>
          <w:tcPr>
            <w:tcW w:w="3251" w:type="dxa"/>
            <w:vAlign w:val="center"/>
          </w:tcPr>
          <w:p w:rsidR="00C329BB" w:rsidRPr="00C329BB" w:rsidRDefault="00C329BB" w:rsidP="00C329BB">
            <w:pPr>
              <w:widowControl/>
              <w:jc w:val="center"/>
              <w:rPr>
                <w:rFonts w:ascii="Arial Narrow" w:hAnsi="Arial Narrow"/>
                <w:sz w:val="20"/>
              </w:rPr>
            </w:pPr>
            <w:r>
              <w:rPr>
                <w:rFonts w:ascii="Arial Narrow" w:hAnsi="Arial Narrow"/>
                <w:sz w:val="20"/>
              </w:rPr>
              <w:t>$18,407.04 (4 scripts at $4,601.76/script)</w:t>
            </w:r>
          </w:p>
        </w:tc>
      </w:tr>
      <w:tr w:rsidR="00C329BB" w:rsidRPr="00C329BB" w:rsidTr="00C329BB">
        <w:tc>
          <w:tcPr>
            <w:tcW w:w="1763" w:type="dxa"/>
          </w:tcPr>
          <w:p w:rsidR="00C329BB" w:rsidRDefault="00C329BB" w:rsidP="00C329BB">
            <w:pPr>
              <w:widowControl/>
              <w:rPr>
                <w:rFonts w:ascii="Arial Narrow" w:hAnsi="Arial Narrow"/>
                <w:sz w:val="20"/>
              </w:rPr>
            </w:pPr>
            <w:r>
              <w:rPr>
                <w:rFonts w:ascii="Arial Narrow" w:hAnsi="Arial Narrow"/>
                <w:sz w:val="20"/>
              </w:rPr>
              <w:t xml:space="preserve">Adalimumab </w:t>
            </w:r>
          </w:p>
        </w:tc>
        <w:tc>
          <w:tcPr>
            <w:tcW w:w="3251" w:type="dxa"/>
            <w:vAlign w:val="center"/>
          </w:tcPr>
          <w:p w:rsidR="00C329BB" w:rsidRDefault="00E00502" w:rsidP="00C329BB">
            <w:pPr>
              <w:widowControl/>
              <w:jc w:val="center"/>
              <w:rPr>
                <w:rFonts w:ascii="Arial Narrow" w:hAnsi="Arial Narrow"/>
                <w:sz w:val="20"/>
              </w:rPr>
            </w:pPr>
            <w:r>
              <w:rPr>
                <w:rFonts w:ascii="Arial Narrow" w:hAnsi="Arial Narrow"/>
                <w:sz w:val="20"/>
              </w:rPr>
              <w:t>$8,874 (5 scripts at $1,774.70/script)</w:t>
            </w:r>
          </w:p>
        </w:tc>
        <w:tc>
          <w:tcPr>
            <w:tcW w:w="3251" w:type="dxa"/>
            <w:vAlign w:val="center"/>
          </w:tcPr>
          <w:p w:rsidR="00C329BB" w:rsidRDefault="00E00502" w:rsidP="00C329BB">
            <w:pPr>
              <w:widowControl/>
              <w:jc w:val="center"/>
              <w:rPr>
                <w:rFonts w:ascii="Arial Narrow" w:hAnsi="Arial Narrow"/>
                <w:sz w:val="20"/>
              </w:rPr>
            </w:pPr>
            <w:r>
              <w:rPr>
                <w:rFonts w:ascii="Arial Narrow" w:hAnsi="Arial Narrow"/>
                <w:sz w:val="20"/>
              </w:rPr>
              <w:t>$23,071 (13 scripts at $1,774.70/script)</w:t>
            </w:r>
          </w:p>
        </w:tc>
      </w:tr>
    </w:tbl>
    <w:p w:rsidR="00C25D9C" w:rsidRDefault="00C25D9C" w:rsidP="00C329BB">
      <w:pPr>
        <w:widowControl/>
        <w:ind w:firstLine="709"/>
        <w:rPr>
          <w:szCs w:val="22"/>
        </w:rPr>
      </w:pPr>
    </w:p>
    <w:p w:rsidR="00D104B4" w:rsidRPr="00C25D9C" w:rsidRDefault="00D104B4" w:rsidP="00C329BB">
      <w:pPr>
        <w:widowControl/>
        <w:ind w:firstLine="709"/>
        <w:rPr>
          <w:szCs w:val="22"/>
        </w:rPr>
      </w:pPr>
    </w:p>
    <w:p w:rsidR="00B60939" w:rsidRPr="0046072A" w:rsidRDefault="00B60939" w:rsidP="002C2775">
      <w:pPr>
        <w:pStyle w:val="Heading2"/>
      </w:pPr>
      <w:bookmarkStart w:id="12" w:name="_Toc409605613"/>
      <w:r w:rsidRPr="0046072A">
        <w:t>Estimated PBS usage &amp; financial implications</w:t>
      </w:r>
      <w:bookmarkEnd w:id="12"/>
    </w:p>
    <w:p w:rsidR="00B60939" w:rsidRPr="00882085" w:rsidRDefault="00B60939" w:rsidP="00B60939">
      <w:pPr>
        <w:ind w:left="720" w:hanging="720"/>
        <w:rPr>
          <w:b/>
          <w:i/>
          <w:szCs w:val="22"/>
        </w:rPr>
      </w:pPr>
    </w:p>
    <w:p w:rsidR="00974451" w:rsidRDefault="008B14B3" w:rsidP="00C959C2">
      <w:pPr>
        <w:pStyle w:val="ListParagraph"/>
        <w:widowControl/>
        <w:numPr>
          <w:ilvl w:val="1"/>
          <w:numId w:val="7"/>
        </w:numPr>
      </w:pPr>
      <w:r>
        <w:t>The submission was not</w:t>
      </w:r>
      <w:r w:rsidR="00C25D9C" w:rsidRPr="007312B6">
        <w:t xml:space="preserve"> considered by DUSC. </w:t>
      </w:r>
    </w:p>
    <w:p w:rsidR="00974451" w:rsidRDefault="00C25D9C" w:rsidP="00974451">
      <w:pPr>
        <w:pStyle w:val="ListParagraph"/>
        <w:widowControl/>
      </w:pPr>
      <w:r w:rsidRPr="007312B6">
        <w:t xml:space="preserve"> </w:t>
      </w:r>
    </w:p>
    <w:p w:rsidR="00C959C2" w:rsidRPr="00C959C2" w:rsidRDefault="00852908" w:rsidP="00C959C2">
      <w:pPr>
        <w:pStyle w:val="ListParagraph"/>
        <w:widowControl/>
        <w:numPr>
          <w:ilvl w:val="1"/>
          <w:numId w:val="7"/>
        </w:numPr>
      </w:pPr>
      <w:r w:rsidRPr="007312B6">
        <w:t>The submission</w:t>
      </w:r>
      <w:r w:rsidR="007312B6">
        <w:t xml:space="preserve"> </w:t>
      </w:r>
      <w:r w:rsidR="00B931FE">
        <w:t>used</w:t>
      </w:r>
      <w:r w:rsidRPr="007312B6">
        <w:t xml:space="preserve"> a market share approach to e</w:t>
      </w:r>
      <w:r w:rsidR="00C959C2" w:rsidRPr="007312B6">
        <w:t>stimate PBS usage and the overall</w:t>
      </w:r>
      <w:r w:rsidR="00C959C2" w:rsidRPr="00C959C2">
        <w:t xml:space="preserve"> financial impact, relying primarily on PBS data.  </w:t>
      </w:r>
      <w:r w:rsidR="00B931FE">
        <w:rPr>
          <w:iCs/>
        </w:rPr>
        <w:t>Th</w:t>
      </w:r>
      <w:r w:rsidR="007B2401">
        <w:rPr>
          <w:iCs/>
        </w:rPr>
        <w:t>e evaluation considered thi</w:t>
      </w:r>
      <w:r w:rsidR="00B931FE">
        <w:rPr>
          <w:iCs/>
        </w:rPr>
        <w:t>s wa</w:t>
      </w:r>
      <w:r w:rsidR="00C959C2" w:rsidRPr="00974451">
        <w:rPr>
          <w:iCs/>
        </w:rPr>
        <w:t xml:space="preserve">s </w:t>
      </w:r>
      <w:r w:rsidR="007B2401">
        <w:rPr>
          <w:iCs/>
        </w:rPr>
        <w:t xml:space="preserve">a </w:t>
      </w:r>
      <w:r w:rsidR="00C959C2" w:rsidRPr="00974451">
        <w:rPr>
          <w:iCs/>
        </w:rPr>
        <w:t>reasonable and appropriate</w:t>
      </w:r>
      <w:r w:rsidR="007B2401">
        <w:rPr>
          <w:iCs/>
        </w:rPr>
        <w:t xml:space="preserve"> approach</w:t>
      </w:r>
      <w:r w:rsidR="00C959C2" w:rsidRPr="00974451">
        <w:rPr>
          <w:iCs/>
        </w:rPr>
        <w:t xml:space="preserve">.  </w:t>
      </w:r>
    </w:p>
    <w:p w:rsidR="00D104B4" w:rsidRDefault="00D104B4">
      <w:pPr>
        <w:widowControl/>
        <w:jc w:val="left"/>
        <w:rPr>
          <w:rStyle w:val="CommentReference"/>
        </w:rPr>
      </w:pPr>
    </w:p>
    <w:p w:rsidR="00C25D9C" w:rsidRDefault="00C25D9C" w:rsidP="004C1226">
      <w:pPr>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C25D9C" w:rsidRPr="004E2ADC" w:rsidTr="005D044D">
        <w:trPr>
          <w:tblHeader/>
        </w:trPr>
        <w:tc>
          <w:tcPr>
            <w:tcW w:w="1359" w:type="pct"/>
            <w:shd w:val="clear" w:color="auto" w:fill="auto"/>
            <w:vAlign w:val="center"/>
          </w:tcPr>
          <w:p w:rsidR="00C25D9C" w:rsidRPr="004E2ADC"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B8649C">
            <w:pPr>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B8649C">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C959C2" w:rsidRPr="004E2ADC" w:rsidTr="005D044D">
        <w:tc>
          <w:tcPr>
            <w:tcW w:w="1359" w:type="pct"/>
            <w:shd w:val="clear" w:color="auto" w:fill="auto"/>
            <w:vAlign w:val="center"/>
          </w:tcPr>
          <w:p w:rsidR="00C959C2" w:rsidRPr="004E2ADC" w:rsidRDefault="00C959C2" w:rsidP="00B8649C">
            <w:pPr>
              <w:tabs>
                <w:tab w:val="left" w:pos="142"/>
              </w:tabs>
              <w:jc w:val="left"/>
              <w:rPr>
                <w:rFonts w:ascii="Arial Narrow" w:hAnsi="Arial Narrow"/>
                <w:sz w:val="20"/>
              </w:rPr>
            </w:pPr>
            <w:r>
              <w:rPr>
                <w:rFonts w:ascii="Arial Narrow" w:hAnsi="Arial Narrow"/>
                <w:sz w:val="20"/>
              </w:rPr>
              <w:t xml:space="preserve">Patient years of treatment </w:t>
            </w:r>
          </w:p>
        </w:tc>
        <w:tc>
          <w:tcPr>
            <w:tcW w:w="679" w:type="pct"/>
            <w:shd w:val="clear" w:color="auto" w:fill="auto"/>
            <w:vAlign w:val="center"/>
          </w:tcPr>
          <w:p w:rsidR="00C959C2" w:rsidRPr="00E405FE" w:rsidRDefault="00E405FE" w:rsidP="00B8649C">
            <w:pPr>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679" w:type="pct"/>
            <w:shd w:val="clear" w:color="auto" w:fill="auto"/>
            <w:vAlign w:val="center"/>
          </w:tcPr>
          <w:p w:rsidR="00C959C2" w:rsidRPr="00E405FE" w:rsidRDefault="00E405FE" w:rsidP="00B8649C">
            <w:pPr>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764" w:type="pct"/>
            <w:shd w:val="clear" w:color="auto" w:fill="auto"/>
            <w:vAlign w:val="center"/>
          </w:tcPr>
          <w:p w:rsidR="00C959C2" w:rsidRPr="00E405FE" w:rsidRDefault="00E405FE" w:rsidP="00B8649C">
            <w:pPr>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764" w:type="pct"/>
            <w:shd w:val="clear" w:color="auto" w:fill="auto"/>
            <w:vAlign w:val="center"/>
          </w:tcPr>
          <w:p w:rsidR="00C959C2" w:rsidRPr="00E405FE" w:rsidRDefault="00E405FE" w:rsidP="00B8649C">
            <w:pPr>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c>
          <w:tcPr>
            <w:tcW w:w="755" w:type="pct"/>
            <w:shd w:val="clear" w:color="auto" w:fill="auto"/>
            <w:vAlign w:val="center"/>
          </w:tcPr>
          <w:p w:rsidR="00C959C2" w:rsidRPr="00E405FE" w:rsidRDefault="00E405FE" w:rsidP="00B8649C">
            <w:pPr>
              <w:jc w:val="center"/>
              <w:rPr>
                <w:rFonts w:ascii="Arial Narrow" w:hAnsi="Arial Narrow"/>
                <w:bCs/>
                <w:color w:val="000000"/>
                <w:sz w:val="20"/>
                <w:highlight w:val="black"/>
              </w:rPr>
            </w:pPr>
            <w:r>
              <w:rPr>
                <w:rFonts w:ascii="Arial Narrow" w:hAnsi="Arial Narrow" w:cstheme="minorBidi"/>
                <w:noProof/>
                <w:color w:val="000000"/>
                <w:sz w:val="20"/>
                <w:highlight w:val="black"/>
              </w:rPr>
              <w:t>''''''''''''</w:t>
            </w:r>
          </w:p>
        </w:tc>
      </w:tr>
      <w:tr w:rsidR="00C25D9C" w:rsidRPr="004E2ADC" w:rsidTr="005D044D">
        <w:tc>
          <w:tcPr>
            <w:tcW w:w="1359" w:type="pct"/>
            <w:shd w:val="clear" w:color="auto" w:fill="auto"/>
            <w:vAlign w:val="center"/>
          </w:tcPr>
          <w:p w:rsidR="00C25D9C" w:rsidRPr="004E2ADC" w:rsidRDefault="00C25D9C" w:rsidP="00B8649C">
            <w:pPr>
              <w:tabs>
                <w:tab w:val="left" w:pos="142"/>
              </w:tabs>
              <w:jc w:val="left"/>
              <w:rPr>
                <w:rFonts w:ascii="Arial Narrow" w:hAnsi="Arial Narrow"/>
                <w:sz w:val="20"/>
              </w:rPr>
            </w:pPr>
            <w:r w:rsidRPr="004E2ADC">
              <w:rPr>
                <w:rFonts w:ascii="Arial Narrow" w:hAnsi="Arial Narrow"/>
                <w:sz w:val="20"/>
              </w:rPr>
              <w:t>Scripts</w:t>
            </w:r>
            <w:r w:rsidRPr="004E2ADC">
              <w:rPr>
                <w:rFonts w:ascii="Arial Narrow" w:hAnsi="Arial Narrow"/>
                <w:sz w:val="20"/>
                <w:vertAlign w:val="superscript"/>
              </w:rPr>
              <w:t>a</w:t>
            </w:r>
          </w:p>
        </w:tc>
        <w:tc>
          <w:tcPr>
            <w:tcW w:w="679" w:type="pct"/>
            <w:shd w:val="clear" w:color="auto" w:fill="auto"/>
            <w:vAlign w:val="center"/>
          </w:tcPr>
          <w:p w:rsidR="00C25D9C" w:rsidRPr="00E405FE" w:rsidRDefault="00E405FE"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E405FE" w:rsidRDefault="00E405FE"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E405FE" w:rsidRDefault="00E405FE"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E405FE" w:rsidRDefault="00E405FE"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E405FE" w:rsidRDefault="00E405FE" w:rsidP="00B8649C">
            <w:pPr>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5D044D">
        <w:tc>
          <w:tcPr>
            <w:tcW w:w="5000" w:type="pct"/>
            <w:gridSpan w:val="6"/>
            <w:shd w:val="clear" w:color="auto" w:fill="auto"/>
            <w:vAlign w:val="center"/>
          </w:tcPr>
          <w:p w:rsidR="00C25D9C" w:rsidRPr="004E2ADC" w:rsidRDefault="00C25D9C" w:rsidP="00B8649C">
            <w:pPr>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C959C2" w:rsidRPr="004E2ADC" w:rsidTr="005D044D">
        <w:tc>
          <w:tcPr>
            <w:tcW w:w="1359" w:type="pct"/>
            <w:shd w:val="clear" w:color="auto" w:fill="auto"/>
            <w:vAlign w:val="center"/>
          </w:tcPr>
          <w:p w:rsidR="00C959C2" w:rsidRPr="004E2ADC" w:rsidRDefault="00C959C2" w:rsidP="00B8649C">
            <w:pPr>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679"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764"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764"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755"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r>
      <w:tr w:rsidR="00C959C2" w:rsidRPr="004E2ADC" w:rsidTr="005D044D">
        <w:tc>
          <w:tcPr>
            <w:tcW w:w="1359" w:type="pct"/>
            <w:shd w:val="clear" w:color="auto" w:fill="auto"/>
            <w:vAlign w:val="center"/>
          </w:tcPr>
          <w:p w:rsidR="00C959C2" w:rsidRPr="004E2ADC" w:rsidRDefault="00C959C2" w:rsidP="00B8649C">
            <w:pPr>
              <w:tabs>
                <w:tab w:val="left" w:pos="142"/>
              </w:tabs>
              <w:jc w:val="left"/>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679"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764"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764"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c>
          <w:tcPr>
            <w:tcW w:w="755" w:type="pct"/>
            <w:shd w:val="clear" w:color="auto" w:fill="auto"/>
            <w:vAlign w:val="center"/>
          </w:tcPr>
          <w:p w:rsidR="00C959C2" w:rsidRPr="004E2ADC" w:rsidRDefault="00C959C2" w:rsidP="00B8649C">
            <w:pPr>
              <w:jc w:val="center"/>
              <w:rPr>
                <w:rFonts w:ascii="Arial Narrow" w:hAnsi="Arial Narrow"/>
                <w:bCs/>
                <w:color w:val="000000"/>
                <w:sz w:val="20"/>
              </w:rPr>
            </w:pPr>
            <w:r w:rsidRPr="008A29B7">
              <w:rPr>
                <w:rFonts w:ascii="Arial Narrow" w:hAnsi="Arial Narrow" w:cstheme="minorBidi"/>
                <w:sz w:val="20"/>
              </w:rPr>
              <w:t>-$</w:t>
            </w:r>
            <w:r w:rsidR="00E405FE">
              <w:rPr>
                <w:rFonts w:ascii="Arial Narrow" w:hAnsi="Arial Narrow" w:cstheme="minorBidi"/>
                <w:noProof/>
                <w:color w:val="000000"/>
                <w:sz w:val="20"/>
                <w:highlight w:val="black"/>
              </w:rPr>
              <w:t>''''''''''''''''</w:t>
            </w:r>
          </w:p>
        </w:tc>
      </w:tr>
      <w:tr w:rsidR="00C25D9C" w:rsidRPr="004E2ADC" w:rsidTr="005D044D">
        <w:tc>
          <w:tcPr>
            <w:tcW w:w="5000" w:type="pct"/>
            <w:gridSpan w:val="6"/>
            <w:shd w:val="clear" w:color="auto" w:fill="auto"/>
            <w:vAlign w:val="center"/>
          </w:tcPr>
          <w:p w:rsidR="00C25D9C" w:rsidRPr="004E2ADC" w:rsidRDefault="00C25D9C" w:rsidP="00B8649C">
            <w:pPr>
              <w:jc w:val="left"/>
              <w:rPr>
                <w:rFonts w:ascii="Arial Narrow" w:hAnsi="Arial Narrow"/>
                <w:b/>
                <w:color w:val="000000"/>
                <w:sz w:val="20"/>
              </w:rPr>
            </w:pPr>
            <w:r w:rsidRPr="004E2ADC">
              <w:rPr>
                <w:rFonts w:ascii="Arial Narrow" w:hAnsi="Arial Narrow"/>
                <w:b/>
                <w:color w:val="000000"/>
                <w:sz w:val="20"/>
              </w:rPr>
              <w:t>Estimated total net cost</w:t>
            </w:r>
          </w:p>
        </w:tc>
      </w:tr>
      <w:tr w:rsidR="00C959C2" w:rsidRPr="004E2ADC" w:rsidTr="005D044D">
        <w:tc>
          <w:tcPr>
            <w:tcW w:w="1359" w:type="pct"/>
            <w:shd w:val="clear" w:color="auto" w:fill="auto"/>
            <w:vAlign w:val="center"/>
          </w:tcPr>
          <w:p w:rsidR="00C959C2" w:rsidRPr="00145540" w:rsidRDefault="00C959C2" w:rsidP="00B8649C">
            <w:pPr>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center"/>
          </w:tcPr>
          <w:p w:rsidR="00C959C2" w:rsidRPr="00C959C2" w:rsidRDefault="00C959C2" w:rsidP="00B8649C">
            <w:pPr>
              <w:jc w:val="center"/>
              <w:rPr>
                <w:rFonts w:ascii="Arial Narrow" w:hAnsi="Arial Narrow"/>
                <w:b/>
                <w:bCs/>
                <w:color w:val="000000"/>
                <w:sz w:val="20"/>
              </w:rPr>
            </w:pPr>
            <w:r w:rsidRPr="00C959C2">
              <w:rPr>
                <w:rFonts w:ascii="Arial Narrow" w:hAnsi="Arial Narrow"/>
                <w:b/>
                <w:bCs/>
                <w:sz w:val="20"/>
              </w:rPr>
              <w:t>-$</w:t>
            </w:r>
            <w:r w:rsidR="00E405FE">
              <w:rPr>
                <w:rFonts w:ascii="Arial Narrow" w:hAnsi="Arial Narrow"/>
                <w:b/>
                <w:bCs/>
                <w:noProof/>
                <w:color w:val="000000"/>
                <w:sz w:val="20"/>
                <w:highlight w:val="black"/>
              </w:rPr>
              <w:t>''''''''''''''''''</w:t>
            </w:r>
          </w:p>
        </w:tc>
        <w:tc>
          <w:tcPr>
            <w:tcW w:w="679" w:type="pct"/>
            <w:shd w:val="clear" w:color="auto" w:fill="auto"/>
            <w:vAlign w:val="center"/>
          </w:tcPr>
          <w:p w:rsidR="00C959C2" w:rsidRPr="00C959C2" w:rsidRDefault="00C959C2" w:rsidP="00B8649C">
            <w:pPr>
              <w:jc w:val="center"/>
              <w:rPr>
                <w:rFonts w:ascii="Arial Narrow" w:hAnsi="Arial Narrow"/>
                <w:b/>
                <w:bCs/>
                <w:color w:val="000000"/>
                <w:sz w:val="20"/>
              </w:rPr>
            </w:pPr>
            <w:r w:rsidRPr="00C959C2">
              <w:rPr>
                <w:rFonts w:ascii="Arial Narrow" w:hAnsi="Arial Narrow"/>
                <w:b/>
                <w:bCs/>
                <w:sz w:val="20"/>
              </w:rPr>
              <w:t>-$</w:t>
            </w:r>
            <w:r w:rsidR="00E405FE">
              <w:rPr>
                <w:rFonts w:ascii="Arial Narrow" w:hAnsi="Arial Narrow"/>
                <w:b/>
                <w:bCs/>
                <w:noProof/>
                <w:color w:val="000000"/>
                <w:sz w:val="20"/>
                <w:highlight w:val="black"/>
              </w:rPr>
              <w:t>'''''''''''''''''''''</w:t>
            </w:r>
          </w:p>
        </w:tc>
        <w:tc>
          <w:tcPr>
            <w:tcW w:w="764" w:type="pct"/>
            <w:shd w:val="clear" w:color="auto" w:fill="auto"/>
            <w:vAlign w:val="center"/>
          </w:tcPr>
          <w:p w:rsidR="00C959C2" w:rsidRPr="00C959C2" w:rsidRDefault="00C959C2" w:rsidP="00B8649C">
            <w:pPr>
              <w:jc w:val="center"/>
              <w:rPr>
                <w:rFonts w:ascii="Arial Narrow" w:hAnsi="Arial Narrow"/>
                <w:b/>
                <w:bCs/>
                <w:color w:val="000000"/>
                <w:sz w:val="20"/>
              </w:rPr>
            </w:pPr>
            <w:r w:rsidRPr="00C959C2">
              <w:rPr>
                <w:rFonts w:ascii="Arial Narrow" w:hAnsi="Arial Narrow"/>
                <w:b/>
                <w:bCs/>
                <w:sz w:val="20"/>
              </w:rPr>
              <w:t>-$</w:t>
            </w:r>
            <w:r w:rsidR="00E405FE">
              <w:rPr>
                <w:rFonts w:ascii="Arial Narrow" w:hAnsi="Arial Narrow"/>
                <w:b/>
                <w:bCs/>
                <w:noProof/>
                <w:color w:val="000000"/>
                <w:sz w:val="20"/>
                <w:highlight w:val="black"/>
              </w:rPr>
              <w:t>'''''''''''''''''''''</w:t>
            </w:r>
          </w:p>
        </w:tc>
        <w:tc>
          <w:tcPr>
            <w:tcW w:w="764" w:type="pct"/>
            <w:shd w:val="clear" w:color="auto" w:fill="auto"/>
            <w:vAlign w:val="center"/>
          </w:tcPr>
          <w:p w:rsidR="00C959C2" w:rsidRPr="00C959C2" w:rsidRDefault="00C959C2" w:rsidP="00B8649C">
            <w:pPr>
              <w:jc w:val="center"/>
              <w:rPr>
                <w:rFonts w:ascii="Arial Narrow" w:hAnsi="Arial Narrow"/>
                <w:b/>
                <w:bCs/>
                <w:color w:val="000000"/>
                <w:sz w:val="20"/>
              </w:rPr>
            </w:pPr>
            <w:r w:rsidRPr="00C959C2">
              <w:rPr>
                <w:rFonts w:ascii="Arial Narrow" w:hAnsi="Arial Narrow"/>
                <w:b/>
                <w:bCs/>
                <w:sz w:val="20"/>
              </w:rPr>
              <w:t>-$</w:t>
            </w:r>
            <w:r w:rsidR="00E405FE">
              <w:rPr>
                <w:rFonts w:ascii="Arial Narrow" w:hAnsi="Arial Narrow"/>
                <w:b/>
                <w:bCs/>
                <w:noProof/>
                <w:color w:val="000000"/>
                <w:sz w:val="20"/>
                <w:highlight w:val="black"/>
              </w:rPr>
              <w:t>'''''''''''''''''''</w:t>
            </w:r>
          </w:p>
        </w:tc>
        <w:tc>
          <w:tcPr>
            <w:tcW w:w="755" w:type="pct"/>
            <w:shd w:val="clear" w:color="auto" w:fill="auto"/>
            <w:vAlign w:val="center"/>
          </w:tcPr>
          <w:p w:rsidR="00C959C2" w:rsidRPr="00C959C2" w:rsidRDefault="00C959C2" w:rsidP="00B8649C">
            <w:pPr>
              <w:jc w:val="center"/>
              <w:rPr>
                <w:rFonts w:ascii="Arial Narrow" w:hAnsi="Arial Narrow"/>
                <w:b/>
                <w:bCs/>
                <w:color w:val="000000"/>
                <w:sz w:val="20"/>
              </w:rPr>
            </w:pPr>
            <w:r w:rsidRPr="00C959C2">
              <w:rPr>
                <w:rFonts w:ascii="Arial Narrow" w:hAnsi="Arial Narrow"/>
                <w:b/>
                <w:bCs/>
                <w:sz w:val="20"/>
              </w:rPr>
              <w:t>-$</w:t>
            </w:r>
            <w:r w:rsidR="00E405FE">
              <w:rPr>
                <w:rFonts w:ascii="Arial Narrow" w:hAnsi="Arial Narrow"/>
                <w:b/>
                <w:bCs/>
                <w:noProof/>
                <w:color w:val="000000"/>
                <w:sz w:val="20"/>
                <w:highlight w:val="black"/>
              </w:rPr>
              <w:t>'''''''''''''''''''</w:t>
            </w:r>
          </w:p>
        </w:tc>
      </w:tr>
    </w:tbl>
    <w:p w:rsidR="00C25D9C" w:rsidRPr="001222FC" w:rsidRDefault="00C25D9C" w:rsidP="00C959C2">
      <w:pPr>
        <w:pStyle w:val="TableFooter"/>
        <w:ind w:left="720"/>
        <w:rPr>
          <w:sz w:val="16"/>
          <w:szCs w:val="18"/>
        </w:rPr>
      </w:pPr>
      <w:r w:rsidRPr="001222FC">
        <w:rPr>
          <w:vertAlign w:val="superscript"/>
        </w:rPr>
        <w:t>a</w:t>
      </w:r>
      <w:r>
        <w:t xml:space="preserve"> </w:t>
      </w:r>
      <w:r w:rsidRPr="001222FC">
        <w:t xml:space="preserve">Assuming </w:t>
      </w:r>
      <w:r w:rsidR="00C959C2" w:rsidRPr="00095704">
        <w:t>9.3</w:t>
      </w:r>
      <w:r w:rsidR="00C959C2">
        <w:t xml:space="preserve"> scripts</w:t>
      </w:r>
      <w:r w:rsidRPr="001222FC">
        <w:t xml:space="preserve"> per </w:t>
      </w:r>
      <w:r w:rsidR="00C959C2">
        <w:t xml:space="preserve">patient </w:t>
      </w:r>
      <w:r w:rsidRPr="001222FC">
        <w:t>year</w:t>
      </w:r>
      <w:r w:rsidR="00C959C2">
        <w:t xml:space="preserve"> as estimated by the submission, based on estimated 34% of patients initiating treatment (4 scripts) and 66% of patients continuing treatment (12 scripts). </w:t>
      </w:r>
    </w:p>
    <w:p w:rsidR="00C25D9C" w:rsidRDefault="00C25D9C" w:rsidP="00C959C2">
      <w:pPr>
        <w:pStyle w:val="TableFooter"/>
        <w:ind w:firstLine="720"/>
        <w:rPr>
          <w:szCs w:val="22"/>
        </w:rPr>
      </w:pPr>
      <w:r w:rsidRPr="001222FC">
        <w:rPr>
          <w:sz w:val="16"/>
          <w:szCs w:val="18"/>
        </w:rPr>
        <w:t xml:space="preserve">Source: </w:t>
      </w:r>
      <w:r w:rsidR="008B14B3">
        <w:rPr>
          <w:sz w:val="16"/>
          <w:szCs w:val="18"/>
        </w:rPr>
        <w:t xml:space="preserve">Submission, </w:t>
      </w:r>
      <w:r w:rsidR="00C959C2" w:rsidRPr="008A29B7">
        <w:rPr>
          <w:sz w:val="20"/>
        </w:rPr>
        <w:t>Attachment 10, Section E_Usage and financial estimates.xslx</w:t>
      </w:r>
    </w:p>
    <w:p w:rsidR="00C25D9C" w:rsidRPr="00C25D9C" w:rsidRDefault="00C25D9C" w:rsidP="00C25D9C">
      <w:pPr>
        <w:widowControl/>
        <w:rPr>
          <w:szCs w:val="22"/>
        </w:rPr>
      </w:pPr>
    </w:p>
    <w:p w:rsidR="00151E15" w:rsidRDefault="00817A47" w:rsidP="00C959C2">
      <w:pPr>
        <w:pStyle w:val="ListParagraph"/>
        <w:widowControl/>
        <w:numPr>
          <w:ilvl w:val="1"/>
          <w:numId w:val="7"/>
        </w:numPr>
        <w:rPr>
          <w:szCs w:val="22"/>
        </w:rPr>
      </w:pPr>
      <w:r>
        <w:rPr>
          <w:szCs w:val="22"/>
        </w:rPr>
        <w:t xml:space="preserve">The redacted table above shows that under the proposed listing, the expected secukinumab use will come from the currently listed bDMARDs: ustekinumab, adalimumab, etanercept and infliximab. The expected number of patients on secukinumab at Year 5 is estimated to be less than 10,000. </w:t>
      </w:r>
    </w:p>
    <w:p w:rsidR="00817A47" w:rsidRPr="00151E15" w:rsidRDefault="00817A47" w:rsidP="00817A47">
      <w:pPr>
        <w:pStyle w:val="ListParagraph"/>
        <w:widowControl/>
        <w:rPr>
          <w:szCs w:val="22"/>
        </w:rPr>
      </w:pPr>
    </w:p>
    <w:p w:rsidR="00C25D9C" w:rsidRPr="00974451" w:rsidRDefault="007B2401" w:rsidP="00C959C2">
      <w:pPr>
        <w:pStyle w:val="ListParagraph"/>
        <w:widowControl/>
        <w:numPr>
          <w:ilvl w:val="1"/>
          <w:numId w:val="7"/>
        </w:numPr>
        <w:rPr>
          <w:szCs w:val="22"/>
        </w:rPr>
      </w:pPr>
      <w:r>
        <w:rPr>
          <w:iCs/>
        </w:rPr>
        <w:t>However, the evaluation considered t</w:t>
      </w:r>
      <w:r w:rsidR="00C959C2" w:rsidRPr="00974451">
        <w:rPr>
          <w:iCs/>
        </w:rPr>
        <w:t xml:space="preserve">he submission’s estimates of financial impact may not </w:t>
      </w:r>
      <w:r w:rsidR="00B931FE">
        <w:rPr>
          <w:iCs/>
        </w:rPr>
        <w:t xml:space="preserve">have </w:t>
      </w:r>
      <w:r w:rsidR="00C959C2" w:rsidRPr="00974451">
        <w:rPr>
          <w:iCs/>
        </w:rPr>
        <w:t>be</w:t>
      </w:r>
      <w:r w:rsidR="00B931FE">
        <w:rPr>
          <w:iCs/>
        </w:rPr>
        <w:t>en</w:t>
      </w:r>
      <w:r w:rsidR="00C959C2" w:rsidRPr="00974451">
        <w:rPr>
          <w:iCs/>
        </w:rPr>
        <w:t xml:space="preserve"> reasonable as the cost per patient year o</w:t>
      </w:r>
      <w:r w:rsidR="00205B1F">
        <w:rPr>
          <w:iCs/>
        </w:rPr>
        <w:t>f secukinumab wa</w:t>
      </w:r>
      <w:r w:rsidR="00C959C2" w:rsidRPr="00974451">
        <w:rPr>
          <w:iCs/>
        </w:rPr>
        <w:t xml:space="preserve">s likely to </w:t>
      </w:r>
      <w:r w:rsidR="00205B1F">
        <w:rPr>
          <w:iCs/>
        </w:rPr>
        <w:t xml:space="preserve">have </w:t>
      </w:r>
      <w:r w:rsidR="00C959C2" w:rsidRPr="00974451">
        <w:rPr>
          <w:iCs/>
        </w:rPr>
        <w:t>be</w:t>
      </w:r>
      <w:r w:rsidR="00205B1F">
        <w:rPr>
          <w:iCs/>
        </w:rPr>
        <w:t>en</w:t>
      </w:r>
      <w:r w:rsidR="00C959C2" w:rsidRPr="00974451">
        <w:rPr>
          <w:iCs/>
        </w:rPr>
        <w:t xml:space="preserve"> an underestim</w:t>
      </w:r>
      <w:r w:rsidR="00B931FE">
        <w:rPr>
          <w:iCs/>
        </w:rPr>
        <w:t>ate</w:t>
      </w:r>
      <w:r w:rsidR="00205B1F">
        <w:rPr>
          <w:iCs/>
        </w:rPr>
        <w:t>d</w:t>
      </w:r>
      <w:r w:rsidR="00B931FE">
        <w:rPr>
          <w:iCs/>
        </w:rPr>
        <w:t xml:space="preserve"> since the submission assumed</w:t>
      </w:r>
      <w:r w:rsidR="00C959C2" w:rsidRPr="00974451">
        <w:rPr>
          <w:iCs/>
        </w:rPr>
        <w:t xml:space="preserve"> only 12 scripts per patient year for continuation instead of 13</w:t>
      </w:r>
      <w:r w:rsidR="00C959C2" w:rsidRPr="00974451">
        <w:t xml:space="preserve">. </w:t>
      </w:r>
    </w:p>
    <w:p w:rsidR="00C959C2" w:rsidRPr="00974451" w:rsidRDefault="00C959C2" w:rsidP="00C959C2">
      <w:pPr>
        <w:pStyle w:val="ListParagraph"/>
        <w:widowControl/>
        <w:rPr>
          <w:szCs w:val="22"/>
        </w:rPr>
      </w:pPr>
    </w:p>
    <w:p w:rsidR="00C959C2" w:rsidRPr="00974451" w:rsidRDefault="007453A7" w:rsidP="004C1226">
      <w:pPr>
        <w:pStyle w:val="ListParagraph"/>
        <w:numPr>
          <w:ilvl w:val="1"/>
          <w:numId w:val="7"/>
        </w:numPr>
      </w:pPr>
      <w:r>
        <w:rPr>
          <w:iCs/>
        </w:rPr>
        <w:t>The submission’s estimated s</w:t>
      </w:r>
      <w:r w:rsidR="00B931FE">
        <w:rPr>
          <w:iCs/>
        </w:rPr>
        <w:t>avings we</w:t>
      </w:r>
      <w:r w:rsidR="00C959C2" w:rsidRPr="00974451">
        <w:rPr>
          <w:iCs/>
        </w:rPr>
        <w:t>re mainly derived from a reduction in the number of patie</w:t>
      </w:r>
      <w:r w:rsidR="00B931FE">
        <w:rPr>
          <w:iCs/>
        </w:rPr>
        <w:t>nt years of ustekinumab, which wa</w:t>
      </w:r>
      <w:r w:rsidR="00C959C2" w:rsidRPr="00974451">
        <w:rPr>
          <w:iCs/>
        </w:rPr>
        <w:t>s assumed to have a higher cost per patient year ($</w:t>
      </w:r>
      <w:r w:rsidR="00C959C2" w:rsidRPr="00035C35">
        <w:rPr>
          <w:iCs/>
        </w:rPr>
        <w:t>23,401.63</w:t>
      </w:r>
      <w:r w:rsidR="00C959C2" w:rsidRPr="00974451">
        <w:rPr>
          <w:iCs/>
        </w:rPr>
        <w:t xml:space="preserve">) compared to </w:t>
      </w:r>
      <w:r w:rsidR="00CA7EBA" w:rsidRPr="00974451">
        <w:rPr>
          <w:iCs/>
        </w:rPr>
        <w:t>secukinumab</w:t>
      </w:r>
      <w:r w:rsidR="00B931FE">
        <w:rPr>
          <w:iCs/>
        </w:rPr>
        <w:t xml:space="preserve"> ($</w:t>
      </w:r>
      <w:r w:rsidR="00E405FE">
        <w:rPr>
          <w:iCs/>
          <w:noProof/>
          <w:color w:val="000000"/>
          <w:highlight w:val="black"/>
        </w:rPr>
        <w:t>'''''''''''''''''''''''''</w:t>
      </w:r>
      <w:r w:rsidR="00B931FE">
        <w:rPr>
          <w:iCs/>
        </w:rPr>
        <w:t>). This however wa</w:t>
      </w:r>
      <w:r w:rsidR="00C959C2" w:rsidRPr="00974451">
        <w:rPr>
          <w:iCs/>
        </w:rPr>
        <w:t>s not reflective of any re</w:t>
      </w:r>
      <w:r w:rsidR="00B931FE">
        <w:rPr>
          <w:iCs/>
        </w:rPr>
        <w:t>al savings, but instead reflected</w:t>
      </w:r>
      <w:r w:rsidR="00C959C2" w:rsidRPr="00974451">
        <w:rPr>
          <w:iCs/>
        </w:rPr>
        <w:t xml:space="preserve"> the difference in the relative doses of secukinumab to ustekinumab assumed in the cost minimisation </w:t>
      </w:r>
      <w:r w:rsidR="00B931FE">
        <w:rPr>
          <w:iCs/>
        </w:rPr>
        <w:t xml:space="preserve">analysis </w:t>
      </w:r>
      <w:r w:rsidR="00C959C2" w:rsidRPr="00974451">
        <w:rPr>
          <w:iCs/>
        </w:rPr>
        <w:t>(2.4 to 1) and in the financial estimates (2.9 to 1)</w:t>
      </w:r>
      <w:r w:rsidR="00B931FE">
        <w:rPr>
          <w:iCs/>
        </w:rPr>
        <w:t>.  Given that the submission had proposed listing on</w:t>
      </w:r>
      <w:r w:rsidR="00C959C2" w:rsidRPr="00974451">
        <w:rPr>
          <w:iCs/>
        </w:rPr>
        <w:t xml:space="preserve"> a cost minimisation </w:t>
      </w:r>
      <w:r w:rsidR="00B931FE">
        <w:rPr>
          <w:iCs/>
        </w:rPr>
        <w:t xml:space="preserve">basis </w:t>
      </w:r>
      <w:r w:rsidR="00C959C2" w:rsidRPr="00974451">
        <w:rPr>
          <w:iCs/>
        </w:rPr>
        <w:t>in which the cost</w:t>
      </w:r>
      <w:r w:rsidR="00B931FE">
        <w:rPr>
          <w:iCs/>
        </w:rPr>
        <w:t>s</w:t>
      </w:r>
      <w:r w:rsidR="00C959C2" w:rsidRPr="00974451">
        <w:rPr>
          <w:iCs/>
        </w:rPr>
        <w:t xml:space="preserve"> of a course of treatment wit</w:t>
      </w:r>
      <w:r w:rsidR="00B931FE">
        <w:rPr>
          <w:iCs/>
        </w:rPr>
        <w:t>h ustekinumab and secukinumab are</w:t>
      </w:r>
      <w:r w:rsidR="00C959C2" w:rsidRPr="00974451">
        <w:rPr>
          <w:iCs/>
        </w:rPr>
        <w:t xml:space="preserve"> equal, </w:t>
      </w:r>
      <w:r w:rsidR="00B931FE">
        <w:rPr>
          <w:iCs/>
        </w:rPr>
        <w:t>estimated cost savings</w:t>
      </w:r>
      <w:r w:rsidR="00C959C2" w:rsidRPr="00974451">
        <w:rPr>
          <w:iCs/>
        </w:rPr>
        <w:t xml:space="preserve"> in</w:t>
      </w:r>
      <w:r w:rsidR="00B931FE">
        <w:rPr>
          <w:iCs/>
        </w:rPr>
        <w:t xml:space="preserve"> the financial estimates were not considered to be attainable</w:t>
      </w:r>
      <w:r>
        <w:rPr>
          <w:iCs/>
        </w:rPr>
        <w:t xml:space="preserve"> by the evaluation</w:t>
      </w:r>
      <w:r w:rsidR="00B931FE">
        <w:rPr>
          <w:iCs/>
        </w:rPr>
        <w:t xml:space="preserve">. </w:t>
      </w:r>
    </w:p>
    <w:p w:rsidR="00C959C2" w:rsidRPr="00974451" w:rsidRDefault="00C959C2" w:rsidP="00C959C2">
      <w:pPr>
        <w:pStyle w:val="ListParagraph"/>
        <w:rPr>
          <w:iCs/>
        </w:rPr>
      </w:pPr>
    </w:p>
    <w:p w:rsidR="00C959C2" w:rsidRPr="00974451" w:rsidRDefault="00C959C2" w:rsidP="00C959C2">
      <w:pPr>
        <w:pStyle w:val="ListParagraph"/>
        <w:widowControl/>
        <w:numPr>
          <w:ilvl w:val="1"/>
          <w:numId w:val="7"/>
        </w:numPr>
        <w:rPr>
          <w:iCs/>
          <w:szCs w:val="22"/>
        </w:rPr>
      </w:pPr>
      <w:r w:rsidRPr="00974451">
        <w:rPr>
          <w:iCs/>
          <w:szCs w:val="22"/>
        </w:rPr>
        <w:t>Nonetheless, given that secukinumab is unlikely to lead to market growth and will only substitute for existing bDMARDs</w:t>
      </w:r>
      <w:r w:rsidR="00462D85">
        <w:rPr>
          <w:iCs/>
          <w:szCs w:val="22"/>
        </w:rPr>
        <w:t xml:space="preserve"> </w:t>
      </w:r>
      <w:r w:rsidR="00B931FE">
        <w:rPr>
          <w:iCs/>
          <w:szCs w:val="22"/>
        </w:rPr>
        <w:t>if the limit of three</w:t>
      </w:r>
      <w:r w:rsidR="00462D85" w:rsidRPr="00FD5379">
        <w:rPr>
          <w:iCs/>
          <w:szCs w:val="22"/>
        </w:rPr>
        <w:t xml:space="preserve"> bDMARDs per treatment </w:t>
      </w:r>
      <w:r w:rsidR="00462D85" w:rsidRPr="00FD5379">
        <w:rPr>
          <w:iCs/>
          <w:szCs w:val="22"/>
        </w:rPr>
        <w:lastRenderedPageBreak/>
        <w:t>cycle is retained</w:t>
      </w:r>
      <w:r w:rsidRPr="00FD5379">
        <w:rPr>
          <w:iCs/>
          <w:szCs w:val="22"/>
        </w:rPr>
        <w:t>,</w:t>
      </w:r>
      <w:r w:rsidRPr="00974451">
        <w:rPr>
          <w:iCs/>
          <w:szCs w:val="22"/>
        </w:rPr>
        <w:t xml:space="preserve"> the overall </w:t>
      </w:r>
      <w:r w:rsidR="00B931FE">
        <w:rPr>
          <w:iCs/>
          <w:szCs w:val="22"/>
        </w:rPr>
        <w:t xml:space="preserve">estimated </w:t>
      </w:r>
      <w:r w:rsidRPr="00974451">
        <w:rPr>
          <w:iCs/>
          <w:szCs w:val="22"/>
        </w:rPr>
        <w:t>financial i</w:t>
      </w:r>
      <w:r w:rsidR="00B931FE">
        <w:rPr>
          <w:iCs/>
          <w:szCs w:val="22"/>
        </w:rPr>
        <w:t xml:space="preserve">mpact on the government budget </w:t>
      </w:r>
      <w:r w:rsidR="007453A7">
        <w:rPr>
          <w:iCs/>
          <w:szCs w:val="22"/>
        </w:rPr>
        <w:t>is</w:t>
      </w:r>
      <w:r w:rsidR="007453A7" w:rsidRPr="00974451">
        <w:rPr>
          <w:iCs/>
          <w:szCs w:val="22"/>
        </w:rPr>
        <w:t xml:space="preserve"> </w:t>
      </w:r>
      <w:r w:rsidRPr="00974451">
        <w:rPr>
          <w:iCs/>
          <w:szCs w:val="22"/>
        </w:rPr>
        <w:t>likely to be low.</w:t>
      </w:r>
    </w:p>
    <w:p w:rsidR="00576972" w:rsidRDefault="00576972" w:rsidP="00576972">
      <w:pPr>
        <w:widowControl/>
        <w:rPr>
          <w:szCs w:val="22"/>
        </w:rPr>
      </w:pPr>
    </w:p>
    <w:p w:rsidR="00CD1C8D" w:rsidRPr="001C0D84" w:rsidRDefault="00CD1C8D" w:rsidP="00CD1C8D">
      <w:pPr>
        <w:pStyle w:val="ListParagraph"/>
        <w:rPr>
          <w:i/>
        </w:rPr>
      </w:pPr>
      <w:r w:rsidRPr="001C0D84">
        <w:rPr>
          <w:i/>
        </w:rPr>
        <w:t>For more detail on PBAC’s view, see section 7 “PBAC outcome”</w:t>
      </w:r>
      <w:r w:rsidR="009362BE">
        <w:rPr>
          <w:i/>
        </w:rPr>
        <w:t>.</w:t>
      </w:r>
    </w:p>
    <w:p w:rsidR="00CD1C8D" w:rsidRDefault="00CD1C8D" w:rsidP="00CD1C8D">
      <w:pPr>
        <w:widowControl/>
        <w:ind w:left="720"/>
        <w:rPr>
          <w:szCs w:val="22"/>
        </w:rPr>
      </w:pPr>
    </w:p>
    <w:p w:rsidR="00576972" w:rsidRPr="0046072A" w:rsidRDefault="00576972" w:rsidP="002C2775">
      <w:pPr>
        <w:pStyle w:val="Heading2"/>
        <w:rPr>
          <w:szCs w:val="22"/>
        </w:rPr>
      </w:pPr>
      <w:bookmarkStart w:id="13" w:name="_Toc409605615"/>
      <w:r w:rsidRPr="0046072A">
        <w:t>Financial Management – Risk Sharing Arrangements</w:t>
      </w:r>
      <w:bookmarkEnd w:id="13"/>
    </w:p>
    <w:p w:rsidR="00C25D9C" w:rsidRPr="00576972" w:rsidRDefault="00C25D9C" w:rsidP="00576972">
      <w:pPr>
        <w:widowControl/>
        <w:rPr>
          <w:szCs w:val="22"/>
        </w:rPr>
      </w:pPr>
    </w:p>
    <w:p w:rsidR="00C25D9C" w:rsidRPr="00C959C2" w:rsidRDefault="00C959C2" w:rsidP="00C959C2">
      <w:pPr>
        <w:pStyle w:val="ListParagraph"/>
        <w:widowControl/>
        <w:numPr>
          <w:ilvl w:val="1"/>
          <w:numId w:val="7"/>
        </w:numPr>
        <w:rPr>
          <w:szCs w:val="22"/>
        </w:rPr>
      </w:pPr>
      <w:r w:rsidRPr="00C959C2">
        <w:t xml:space="preserve">The sponsor </w:t>
      </w:r>
      <w:r w:rsidR="0002144F">
        <w:t>indicated a</w:t>
      </w:r>
      <w:r w:rsidRPr="00C959C2">
        <w:t xml:space="preserve"> willing</w:t>
      </w:r>
      <w:r w:rsidR="0002144F">
        <w:t>ness</w:t>
      </w:r>
      <w:r w:rsidRPr="00C959C2">
        <w:t xml:space="preserve"> to enter into a special pricing arrangement as exists for the compar</w:t>
      </w:r>
      <w:r w:rsidR="0002144F">
        <w:t>ators</w:t>
      </w:r>
      <w:r w:rsidR="007453A7">
        <w:t>.</w:t>
      </w:r>
      <w:r w:rsidR="0002144F">
        <w:t xml:space="preserve">   </w:t>
      </w:r>
    </w:p>
    <w:p w:rsidR="00576972" w:rsidRDefault="00576972" w:rsidP="00576972">
      <w:pPr>
        <w:widowControl/>
        <w:rPr>
          <w:szCs w:val="22"/>
        </w:rPr>
      </w:pPr>
    </w:p>
    <w:p w:rsidR="009151B8" w:rsidRDefault="009151B8" w:rsidP="00576972">
      <w:pPr>
        <w:widowControl/>
        <w:rPr>
          <w:szCs w:val="22"/>
        </w:rPr>
      </w:pPr>
    </w:p>
    <w:p w:rsidR="009151B8" w:rsidRDefault="009151B8" w:rsidP="009151B8">
      <w:pPr>
        <w:pStyle w:val="PBACHeading1"/>
      </w:pPr>
      <w:r>
        <w:t>PBAC Outcome</w:t>
      </w:r>
    </w:p>
    <w:p w:rsidR="009151B8" w:rsidRDefault="009151B8" w:rsidP="009151B8">
      <w:pPr>
        <w:pStyle w:val="PBACHeading1"/>
        <w:numPr>
          <w:ilvl w:val="0"/>
          <w:numId w:val="0"/>
        </w:numPr>
      </w:pPr>
    </w:p>
    <w:p w:rsidR="009151B8" w:rsidRDefault="009151B8" w:rsidP="00205B1F">
      <w:pPr>
        <w:pStyle w:val="ListParagraph"/>
        <w:widowControl/>
        <w:numPr>
          <w:ilvl w:val="1"/>
          <w:numId w:val="7"/>
        </w:numPr>
      </w:pPr>
      <w:r w:rsidRPr="009151B8">
        <w:t>The PBAC recommended</w:t>
      </w:r>
      <w:r w:rsidR="00205B1F">
        <w:t xml:space="preserve"> </w:t>
      </w:r>
      <w:r w:rsidR="00205B1F" w:rsidRPr="00205B1F">
        <w:t>listing secukinumab as a General Schedule Authority Required benefit for the treatment of severe chronic plaque psoriasis which is refractory to treatment with non-biological disease modifying anti rheumatic drugs (DMARDs) in patients meeting certain criteria</w:t>
      </w:r>
      <w:r w:rsidR="00A04A83">
        <w:t>,</w:t>
      </w:r>
      <w:r w:rsidR="00205B1F" w:rsidRPr="00205B1F">
        <w:t xml:space="preserve"> on a cost-minimisation basis with adalimumab. The equi-effective doses are estimated as secukinumab 300 mg every 4 weeks </w:t>
      </w:r>
      <w:r w:rsidR="00961AED">
        <w:t xml:space="preserve">(based on the clinical trials) </w:t>
      </w:r>
      <w:r w:rsidR="00205B1F" w:rsidRPr="00205B1F">
        <w:t xml:space="preserve">is equivalent </w:t>
      </w:r>
      <w:r w:rsidR="00673A62">
        <w:t>to adalimumab 40 mg fortnightly</w:t>
      </w:r>
      <w:r w:rsidR="00961AED">
        <w:t xml:space="preserve"> (based on the Product Information)</w:t>
      </w:r>
      <w:r w:rsidR="00673A62">
        <w:t>.</w:t>
      </w:r>
    </w:p>
    <w:p w:rsidR="0002144F" w:rsidRDefault="0002144F" w:rsidP="0002144F">
      <w:pPr>
        <w:pStyle w:val="ListParagraph"/>
        <w:widowControl/>
      </w:pPr>
    </w:p>
    <w:p w:rsidR="009151B8" w:rsidRDefault="0002144F" w:rsidP="00205B1F">
      <w:pPr>
        <w:pStyle w:val="ListParagraph"/>
        <w:widowControl/>
        <w:numPr>
          <w:ilvl w:val="1"/>
          <w:numId w:val="7"/>
        </w:numPr>
      </w:pPr>
      <w:r>
        <w:t>The</w:t>
      </w:r>
      <w:r w:rsidR="00205B1F">
        <w:t xml:space="preserve"> </w:t>
      </w:r>
      <w:r w:rsidR="00205B1F" w:rsidRPr="00205B1F">
        <w:t>PBAC noted that adalimumab, etanercept and infliximab are all anti-tumour necrosis factor (anti-TNF) agents, ustekinumab is an antibody against interleukin 12 and 23, wh</w:t>
      </w:r>
      <w:r w:rsidR="00A04A83">
        <w:t>ereas</w:t>
      </w:r>
      <w:r w:rsidR="00205B1F" w:rsidRPr="00205B1F">
        <w:t xml:space="preserve"> secukinumab is an antibody against interleukin 17. The PBAC therefore considered it likely that secukinumab would</w:t>
      </w:r>
      <w:r w:rsidR="0087589B">
        <w:t xml:space="preserve"> be prescribed</w:t>
      </w:r>
      <w:r w:rsidR="00205B1F" w:rsidRPr="00205B1F">
        <w:t xml:space="preserve"> as an alternative to these existing PBS listed bDMARDs in severe chronic plaque psoriasis.  Whilst the PBAC noted the ESC advice that secukinumab may displace infliximab and etanercept (the least popular bDMARDs in current usage based on a sample of Medicare Australia claims data), the PBAC considered </w:t>
      </w:r>
      <w:r w:rsidR="00CB0086">
        <w:t xml:space="preserve"> a comparison against</w:t>
      </w:r>
      <w:r w:rsidR="00205B1F" w:rsidRPr="00205B1F">
        <w:t xml:space="preserve"> ustekinumab</w:t>
      </w:r>
      <w:r w:rsidR="00CB0086">
        <w:t xml:space="preserve"> and adalimumab to be reasonable since these two agents</w:t>
      </w:r>
      <w:r w:rsidR="00205B1F" w:rsidRPr="00205B1F">
        <w:t xml:space="preserve"> </w:t>
      </w:r>
      <w:r w:rsidR="00D42367">
        <w:t>are currently</w:t>
      </w:r>
      <w:r w:rsidR="00D42367" w:rsidRPr="00205B1F">
        <w:t xml:space="preserve"> </w:t>
      </w:r>
      <w:r w:rsidR="00205B1F" w:rsidRPr="00205B1F">
        <w:t>the most frequent</w:t>
      </w:r>
      <w:r w:rsidR="00CB0086">
        <w:t>ly used bDMARDs in severe chronic plaque psoriasis.</w:t>
      </w:r>
    </w:p>
    <w:p w:rsidR="0002144F" w:rsidRDefault="0002144F" w:rsidP="0002144F">
      <w:pPr>
        <w:pStyle w:val="ListParagraph"/>
        <w:widowControl/>
      </w:pPr>
    </w:p>
    <w:p w:rsidR="00DE7AEC" w:rsidRDefault="00DE7AEC" w:rsidP="00B90395">
      <w:pPr>
        <w:pStyle w:val="ListParagraph"/>
        <w:widowControl/>
        <w:numPr>
          <w:ilvl w:val="1"/>
          <w:numId w:val="7"/>
        </w:numPr>
      </w:pPr>
      <w:r>
        <w:t>With respect to the c</w:t>
      </w:r>
      <w:r w:rsidR="00E96DB5">
        <w:t>linical claim</w:t>
      </w:r>
      <w:r>
        <w:t xml:space="preserve">s made by the submission, the PBAC’s view was that secukinumab is likely to be non-inferior to ustekinumab in terms of comparative efficacy and safety. </w:t>
      </w:r>
      <w:r w:rsidR="007A1120" w:rsidRPr="007A1120">
        <w:t>The results of the indirect comparisons presented in the submission indicated there was no statistically significant difference in the proportion of patients achieving a PASI 75 response at 12 weeks betwee</w:t>
      </w:r>
      <w:r w:rsidR="00B90395">
        <w:t xml:space="preserve">n secukinumab and ustekinumab. </w:t>
      </w:r>
      <w:r>
        <w:t>The indirect nature of the comparison from data that examined outcomes after only 12 weeks of treatment</w:t>
      </w:r>
      <w:r w:rsidR="00A04A83">
        <w:t>,</w:t>
      </w:r>
      <w:r>
        <w:t xml:space="preserve"> combined with the fact that several of the indirect comparisons using placebo as a common reference did not show a statistical significance between secukinumab and ustekinumab in efficacy after 12 weeks of treatment</w:t>
      </w:r>
      <w:r w:rsidR="00A04A83">
        <w:t>,</w:t>
      </w:r>
      <w:r>
        <w:t xml:space="preserve"> </w:t>
      </w:r>
      <w:r w:rsidR="00242C66">
        <w:t xml:space="preserve">further </w:t>
      </w:r>
      <w:r>
        <w:t xml:space="preserve">supported this view. </w:t>
      </w:r>
      <w:r w:rsidR="00B90395">
        <w:t xml:space="preserve">The </w:t>
      </w:r>
      <w:r w:rsidR="00B90395" w:rsidRPr="00B90395">
        <w:t xml:space="preserve">ongoing head-to-head trial comparing secukinumab 300 mg and ustekinumab 45 mg </w:t>
      </w:r>
      <w:r w:rsidR="00B90395">
        <w:t>and 90 mg (CLEAR, NCT02074982) is due for completion in</w:t>
      </w:r>
      <w:r w:rsidR="00B90395" w:rsidRPr="00B90395">
        <w:t xml:space="preserve"> July 2015</w:t>
      </w:r>
      <w:r w:rsidR="00B90395">
        <w:t xml:space="preserve"> and the results of this trial</w:t>
      </w:r>
      <w:r w:rsidR="00A04A83">
        <w:t xml:space="preserve"> will be</w:t>
      </w:r>
      <w:r w:rsidR="00B90395">
        <w:t xml:space="preserve"> inf</w:t>
      </w:r>
      <w:r w:rsidR="00A04A83">
        <w:t>ormative</w:t>
      </w:r>
      <w:r w:rsidR="00B90395" w:rsidRPr="00B90395">
        <w:t xml:space="preserve">. </w:t>
      </w:r>
      <w:r>
        <w:t>The PBAC noted the limited comparative safety data presented in the submission to support a claim of equivalent safety</w:t>
      </w:r>
      <w:r w:rsidR="00A04A83">
        <w:t>,</w:t>
      </w:r>
      <w:r w:rsidR="006255B5">
        <w:t xml:space="preserve"> but </w:t>
      </w:r>
      <w:r w:rsidR="00A04A83">
        <w:t xml:space="preserve">considered </w:t>
      </w:r>
      <w:r w:rsidR="006255B5">
        <w:t>that the results from the limited safety data suggested that the claim was reasonable</w:t>
      </w:r>
      <w:r w:rsidR="00B90395">
        <w:t xml:space="preserve">. </w:t>
      </w:r>
    </w:p>
    <w:p w:rsidR="00DE7AEC" w:rsidRDefault="00DE7AEC" w:rsidP="00DE7AEC">
      <w:pPr>
        <w:pStyle w:val="ListParagraph"/>
        <w:widowControl/>
      </w:pPr>
    </w:p>
    <w:p w:rsidR="00A51917" w:rsidRDefault="00C51B6C" w:rsidP="00E96DB5">
      <w:pPr>
        <w:pStyle w:val="ListParagraph"/>
        <w:widowControl/>
        <w:numPr>
          <w:ilvl w:val="1"/>
          <w:numId w:val="7"/>
        </w:numPr>
      </w:pPr>
      <w:r>
        <w:t>T</w:t>
      </w:r>
      <w:r w:rsidR="00DE7AEC">
        <w:t>he PBAC was also of the view that secukinumab is likely to be non-inferior to</w:t>
      </w:r>
      <w:r w:rsidR="006255B5">
        <w:t xml:space="preserve"> </w:t>
      </w:r>
      <w:r w:rsidR="00E96DB5">
        <w:t>adalimumab</w:t>
      </w:r>
      <w:r w:rsidR="00DE7AEC">
        <w:t xml:space="preserve"> in efficacy and safety.</w:t>
      </w:r>
      <w:r w:rsidR="006255B5">
        <w:t xml:space="preserve"> Despite the submission’s claim of superior </w:t>
      </w:r>
      <w:r w:rsidR="006255B5">
        <w:lastRenderedPageBreak/>
        <w:t xml:space="preserve">efficacy and equivalent comparative safety to adalimumab, the PBAC </w:t>
      </w:r>
      <w:r w:rsidR="00A51917">
        <w:t>did not accept this claim for the following reasons:</w:t>
      </w:r>
    </w:p>
    <w:p w:rsidR="00E96DB5" w:rsidRDefault="00314E10" w:rsidP="00A51917">
      <w:pPr>
        <w:pStyle w:val="ListParagraph"/>
        <w:widowControl/>
        <w:numPr>
          <w:ilvl w:val="0"/>
          <w:numId w:val="47"/>
        </w:numPr>
        <w:ind w:left="993" w:hanging="284"/>
      </w:pPr>
      <w:r>
        <w:t>Although there is data on adalimumab after 52 weeks of treatment (from the REVEAL study), the questionable exchangeability of the trials meant that</w:t>
      </w:r>
      <w:r w:rsidRPr="00314E10">
        <w:t xml:space="preserve"> </w:t>
      </w:r>
      <w:r w:rsidR="00A51917">
        <w:t xml:space="preserve">the PBAC was not confident that an initial advantage </w:t>
      </w:r>
      <w:r>
        <w:t xml:space="preserve">favouring secukinumab </w:t>
      </w:r>
      <w:r w:rsidR="00A51917">
        <w:t xml:space="preserve">would be maintained beyond 16 weeks. </w:t>
      </w:r>
      <w:r>
        <w:t>T</w:t>
      </w:r>
      <w:r w:rsidR="00DF3904">
        <w:t>he PBAC noted the</w:t>
      </w:r>
      <w:r w:rsidR="006D7030">
        <w:t xml:space="preserve"> evaluation’s suggestion that the REVEAL results favour adalimumab but also noted the</w:t>
      </w:r>
      <w:r>
        <w:t xml:space="preserve"> </w:t>
      </w:r>
      <w:r w:rsidR="006D7030">
        <w:t xml:space="preserve">explanation in the sponsor’s </w:t>
      </w:r>
      <w:r w:rsidR="00DF3904">
        <w:t>pre-PBAC response</w:t>
      </w:r>
      <w:r w:rsidR="006D7030">
        <w:t xml:space="preserve"> (p.4) regarding the interpretation of the REVEAL results</w:t>
      </w:r>
      <w:r w:rsidR="00A04A83">
        <w:t>.</w:t>
      </w:r>
      <w:r w:rsidR="006D7030">
        <w:t xml:space="preserve"> </w:t>
      </w:r>
      <w:r w:rsidR="00A04A83">
        <w:t>This response</w:t>
      </w:r>
      <w:r w:rsidR="006D7030">
        <w:t xml:space="preserve"> claimed that the REVEAL results favoured an interpretation that secukinumab is superior to adalimumab in the long term. Together with the questionable exchangeability of the REVEAL study with secukinumab trials,</w:t>
      </w:r>
      <w:r w:rsidR="009F4E23">
        <w:t xml:space="preserve"> the absence of direct head to head trials comparing secukinumab and adalimumab beyond 16 weeks of treatment meant that the PBAC could not confidently rule out the possibility of no difference in efficacy between the treatments beyond 16</w:t>
      </w:r>
      <w:r w:rsidR="004D6BC7">
        <w:t> </w:t>
      </w:r>
      <w:r w:rsidR="009F4E23">
        <w:t>weeks.</w:t>
      </w:r>
      <w:r w:rsidR="00910E08">
        <w:t xml:space="preserve"> </w:t>
      </w:r>
    </w:p>
    <w:p w:rsidR="00E96DB5" w:rsidRDefault="00A51917" w:rsidP="003D0F7D">
      <w:pPr>
        <w:pStyle w:val="ListParagraph"/>
        <w:widowControl/>
        <w:numPr>
          <w:ilvl w:val="0"/>
          <w:numId w:val="47"/>
        </w:numPr>
        <w:ind w:left="993" w:hanging="284"/>
      </w:pPr>
      <w:r w:rsidRPr="00E428C1">
        <w:t xml:space="preserve">Although the result for relative risk </w:t>
      </w:r>
      <w:r w:rsidR="00E428C1">
        <w:t xml:space="preserve">(RR) </w:t>
      </w:r>
      <w:r w:rsidRPr="00E428C1">
        <w:t>favoured secukinumab [RR: 17.7, 95%CI:</w:t>
      </w:r>
      <w:r w:rsidR="00B2214B">
        <w:t xml:space="preserve"> </w:t>
      </w:r>
      <w:r w:rsidRPr="00E428C1">
        <w:t>12.4, 25.2] compared to adalimumab [RR: 8.8, 95%CI: 4.5, 16.6],</w:t>
      </w:r>
      <w:r w:rsidR="00E428C1">
        <w:t xml:space="preserve"> there was overlap between the confidence intervals for this measure.</w:t>
      </w:r>
      <w:r w:rsidRPr="00E428C1">
        <w:t xml:space="preserve"> </w:t>
      </w:r>
      <w:r w:rsidR="00E428C1">
        <w:t>This was in contrast to the</w:t>
      </w:r>
      <w:r w:rsidRPr="00E428C1">
        <w:t xml:space="preserve"> result for risk difference </w:t>
      </w:r>
      <w:r w:rsidR="00E428C1">
        <w:t xml:space="preserve">(RD) which also </w:t>
      </w:r>
      <w:r w:rsidRPr="00E428C1">
        <w:t xml:space="preserve">favoured </w:t>
      </w:r>
      <w:r w:rsidR="00E428C1" w:rsidRPr="00E428C1">
        <w:t xml:space="preserve">secukinumab [RD: 0.76, 95%CI: 0.72, 0.8] </w:t>
      </w:r>
      <w:r w:rsidR="00E428C1">
        <w:t xml:space="preserve">compared to </w:t>
      </w:r>
      <w:r w:rsidRPr="00E428C1">
        <w:t xml:space="preserve">adalimumab [RD: 0.61, 95%CI: 0.54, 0.67] </w:t>
      </w:r>
      <w:r w:rsidR="00E428C1">
        <w:t xml:space="preserve">but </w:t>
      </w:r>
      <w:r w:rsidR="00CB0086">
        <w:t xml:space="preserve">for </w:t>
      </w:r>
      <w:r w:rsidR="00E428C1">
        <w:t>which the confidence intervals did not overlap.</w:t>
      </w:r>
      <w:r w:rsidRPr="00E428C1">
        <w:t xml:space="preserve"> </w:t>
      </w:r>
    </w:p>
    <w:p w:rsidR="00E96DB5" w:rsidRDefault="00E96DB5" w:rsidP="00E96DB5">
      <w:pPr>
        <w:pStyle w:val="ListParagraph"/>
        <w:widowControl/>
      </w:pPr>
    </w:p>
    <w:p w:rsidR="00396F58" w:rsidRDefault="00396F58" w:rsidP="00396F58">
      <w:pPr>
        <w:pStyle w:val="ListParagraph"/>
        <w:numPr>
          <w:ilvl w:val="1"/>
          <w:numId w:val="7"/>
        </w:numPr>
        <w:rPr>
          <w:iCs/>
        </w:rPr>
      </w:pPr>
      <w:r w:rsidRPr="00396F58">
        <w:rPr>
          <w:iCs/>
        </w:rPr>
        <w:t>Compared to infliximab, the PBAC accepted the claim that secukinumab is likely to be non-inferior in efficacy over the short and long term as the results at 10 weeks</w:t>
      </w:r>
      <w:r w:rsidR="00A04A83">
        <w:rPr>
          <w:iCs/>
        </w:rPr>
        <w:t xml:space="preserve"> showed </w:t>
      </w:r>
      <w:r w:rsidRPr="00396F58">
        <w:rPr>
          <w:iCs/>
        </w:rPr>
        <w:t xml:space="preserve">no statistically significant difference between treatments. </w:t>
      </w:r>
      <w:r w:rsidR="00A04A83">
        <w:rPr>
          <w:iCs/>
        </w:rPr>
        <w:t>However, t</w:t>
      </w:r>
      <w:r w:rsidRPr="00396F58">
        <w:rPr>
          <w:iCs/>
        </w:rPr>
        <w:t>he PBAC further noted the limited comparative safety data</w:t>
      </w:r>
      <w:r w:rsidR="00A04A83">
        <w:rPr>
          <w:iCs/>
        </w:rPr>
        <w:t>,</w:t>
      </w:r>
      <w:r w:rsidRPr="00396F58">
        <w:rPr>
          <w:iCs/>
        </w:rPr>
        <w:t xml:space="preserve"> so did not </w:t>
      </w:r>
      <w:r w:rsidR="00A04A83">
        <w:rPr>
          <w:iCs/>
        </w:rPr>
        <w:t xml:space="preserve">accept </w:t>
      </w:r>
      <w:r w:rsidRPr="00396F58">
        <w:rPr>
          <w:iCs/>
        </w:rPr>
        <w:t>the claim that secukinumab has superior safety compared to infliximab.</w:t>
      </w:r>
    </w:p>
    <w:p w:rsidR="00396F58" w:rsidRPr="00396F58" w:rsidRDefault="00396F58" w:rsidP="00396F58">
      <w:pPr>
        <w:widowControl/>
      </w:pPr>
    </w:p>
    <w:p w:rsidR="00BF2738" w:rsidRDefault="00D42367" w:rsidP="00BF2738">
      <w:pPr>
        <w:pStyle w:val="ListParagraph"/>
        <w:widowControl/>
        <w:numPr>
          <w:ilvl w:val="1"/>
          <w:numId w:val="7"/>
        </w:numPr>
      </w:pPr>
      <w:r w:rsidRPr="007453A7">
        <w:t>The PBAC noted that c</w:t>
      </w:r>
      <w:r w:rsidR="003A6B2D" w:rsidRPr="007453A7">
        <w:t>ompared to etanercept i</w:t>
      </w:r>
      <w:r w:rsidR="009C1204" w:rsidRPr="007453A7">
        <w:t xml:space="preserve">n the FIXTURE trial, of those </w:t>
      </w:r>
      <w:r w:rsidR="003A6B2D" w:rsidRPr="007453A7">
        <w:t xml:space="preserve">patients </w:t>
      </w:r>
      <w:r w:rsidR="009C1204" w:rsidRPr="007453A7">
        <w:t xml:space="preserve">who were PASI 75 responders at week 12, a statistically significantly greater proportion of patients treated with secukinumab 300 mg (84.3%) compared with etanercept 100 mg/week (72.5%), maintained a PASI 75 response at week 52. </w:t>
      </w:r>
      <w:r w:rsidR="003D0F7D" w:rsidRPr="007453A7">
        <w:t xml:space="preserve">Based </w:t>
      </w:r>
      <w:r w:rsidR="009C1204" w:rsidRPr="007453A7">
        <w:t>the results of the trial,</w:t>
      </w:r>
      <w:r w:rsidR="003D0F7D" w:rsidRPr="007453A7">
        <w:t xml:space="preserve"> </w:t>
      </w:r>
      <w:r w:rsidR="00681D34" w:rsidRPr="007453A7">
        <w:t xml:space="preserve">the PBAC accepted that secukinumab </w:t>
      </w:r>
      <w:r w:rsidR="005D7D93" w:rsidRPr="007453A7">
        <w:t>is superior</w:t>
      </w:r>
      <w:r w:rsidR="00681D34" w:rsidRPr="007453A7">
        <w:t xml:space="preserve"> to etanercept in</w:t>
      </w:r>
      <w:r w:rsidR="009C1204" w:rsidRPr="007453A7">
        <w:t xml:space="preserve"> terms of</w:t>
      </w:r>
      <w:r w:rsidR="00681D34" w:rsidRPr="007453A7">
        <w:t xml:space="preserve"> efficacy</w:t>
      </w:r>
      <w:r w:rsidR="009C1204" w:rsidRPr="007453A7">
        <w:t>.</w:t>
      </w:r>
      <w:r w:rsidR="007453A7">
        <w:t xml:space="preserve"> The PBAC noted that this conclusion </w:t>
      </w:r>
      <w:r w:rsidR="007D6DDD">
        <w:t>appears</w:t>
      </w:r>
      <w:r w:rsidR="007453A7">
        <w:t xml:space="preserve"> at odds with its earlier conclusions that secukinumab is non-inferior to adalimumab and </w:t>
      </w:r>
      <w:r w:rsidR="007D6DDD">
        <w:t xml:space="preserve">that </w:t>
      </w:r>
      <w:r w:rsidR="007453A7">
        <w:t>adalimumab is non-inferior to etanercept</w:t>
      </w:r>
      <w:r w:rsidR="007D6DDD">
        <w:t>.</w:t>
      </w:r>
      <w:r w:rsidR="007453A7">
        <w:t xml:space="preserve"> </w:t>
      </w:r>
      <w:r w:rsidR="007D6DDD">
        <w:t>However, the PBAC also noted that there is emerging evidence of variation in response to TNF-alfa inhibitors in psoriasis</w:t>
      </w:r>
      <w:r w:rsidR="00BF2738">
        <w:t>,</w:t>
      </w:r>
      <w:r w:rsidR="007D6DDD">
        <w:t xml:space="preserve"> with etanercept appearing to be less eff</w:t>
      </w:r>
      <w:r w:rsidR="00497458">
        <w:t>ective</w:t>
      </w:r>
      <w:r w:rsidR="007D6DDD">
        <w:t xml:space="preserve"> than other agents. The conclusions reached by PBAC in respect of this application are consistent with this evidence.</w:t>
      </w:r>
      <w:r w:rsidR="00BF2738">
        <w:t xml:space="preserve">  </w:t>
      </w:r>
    </w:p>
    <w:p w:rsidR="003D0F7D" w:rsidRDefault="003D0F7D" w:rsidP="003D0F7D">
      <w:pPr>
        <w:pStyle w:val="ListParagraph"/>
        <w:widowControl/>
      </w:pPr>
    </w:p>
    <w:p w:rsidR="005E20FE" w:rsidRDefault="00673A62" w:rsidP="003B14EA">
      <w:pPr>
        <w:pStyle w:val="ListParagraph"/>
        <w:widowControl/>
        <w:numPr>
          <w:ilvl w:val="1"/>
          <w:numId w:val="7"/>
        </w:numPr>
      </w:pPr>
      <w:r>
        <w:t xml:space="preserve">The </w:t>
      </w:r>
      <w:r w:rsidR="000B016F">
        <w:t>PBAC noted</w:t>
      </w:r>
      <w:r>
        <w:t xml:space="preserve"> the</w:t>
      </w:r>
      <w:r w:rsidR="000B016F">
        <w:t xml:space="preserve"> submission’s cost-min</w:t>
      </w:r>
      <w:r>
        <w:t>imisation analysis</w:t>
      </w:r>
      <w:r w:rsidR="000B016F">
        <w:t xml:space="preserve"> </w:t>
      </w:r>
      <w:r w:rsidR="005E20FE">
        <w:t xml:space="preserve">of </w:t>
      </w:r>
      <w:r>
        <w:t>secukinumab versus</w:t>
      </w:r>
      <w:r w:rsidR="000B016F">
        <w:t xml:space="preserve"> ustekinumab and evaluation’s cost-min</w:t>
      </w:r>
      <w:r>
        <w:t>imisation analysis of secukinumab</w:t>
      </w:r>
      <w:r w:rsidR="000B016F">
        <w:t xml:space="preserve"> </w:t>
      </w:r>
      <w:r>
        <w:t xml:space="preserve">versus </w:t>
      </w:r>
      <w:r w:rsidR="000B016F">
        <w:t>adalimumab</w:t>
      </w:r>
      <w:r w:rsidR="00CB0086">
        <w:t xml:space="preserve"> were both relevant considerations</w:t>
      </w:r>
      <w:r w:rsidR="000B016F">
        <w:t>.</w:t>
      </w:r>
      <w:r>
        <w:t xml:space="preserve"> </w:t>
      </w:r>
      <w:r w:rsidR="003B14EA">
        <w:t xml:space="preserve">The PBAC observed the proposed price for secukinumab to be substantially more costly than the alternative therapy of adalimumab. For secukinumab to be PBS-listed at a substantially more costly price than adalimumab, the PBAC needed to be satisfied that secukinumab for some patients, provides a significant improvement in efficacy or reduction of toxicity over adalimumab. Based on the evidence presented in the submission and the material before the </w:t>
      </w:r>
      <w:r w:rsidR="005D7D93">
        <w:t>Committee</w:t>
      </w:r>
      <w:r w:rsidR="003B14EA">
        <w:t xml:space="preserve">, the PBAC was not satisfied that secukinumab provides a significant improvement in efficacy or reduction of toxicity over adalimumab. </w:t>
      </w:r>
      <w:r w:rsidR="003B14EA">
        <w:lastRenderedPageBreak/>
        <w:t xml:space="preserve">Therefore, there was no basis for </w:t>
      </w:r>
      <w:r w:rsidR="000B016F">
        <w:t xml:space="preserve">secukinumab </w:t>
      </w:r>
      <w:r w:rsidR="005D7D93">
        <w:t xml:space="preserve">to </w:t>
      </w:r>
      <w:r>
        <w:t xml:space="preserve">have a price advantage over </w:t>
      </w:r>
      <w:r w:rsidR="000B016F">
        <w:t>adalimumab</w:t>
      </w:r>
      <w:r w:rsidR="003B14EA">
        <w:t>.</w:t>
      </w:r>
      <w:r w:rsidR="000B016F">
        <w:t xml:space="preserve"> </w:t>
      </w:r>
    </w:p>
    <w:p w:rsidR="003B14EA" w:rsidRDefault="003B14EA" w:rsidP="003B14EA">
      <w:pPr>
        <w:pStyle w:val="ListParagraph"/>
        <w:widowControl/>
      </w:pPr>
    </w:p>
    <w:p w:rsidR="000B016F" w:rsidRDefault="007A1120" w:rsidP="007A1120">
      <w:pPr>
        <w:pStyle w:val="ListParagraph"/>
        <w:numPr>
          <w:ilvl w:val="1"/>
          <w:numId w:val="7"/>
        </w:numPr>
      </w:pPr>
      <w:r>
        <w:t>The submission’s financial estimates of cost savings appeared unrealistic as the PBAC</w:t>
      </w:r>
      <w:r w:rsidRPr="007A1120">
        <w:t xml:space="preserve"> agreed with the evaluatio</w:t>
      </w:r>
      <w:r>
        <w:t>n advice that listing on a cost</w:t>
      </w:r>
      <w:r w:rsidR="004435BA">
        <w:t xml:space="preserve"> </w:t>
      </w:r>
      <w:r w:rsidRPr="007A1120">
        <w:t xml:space="preserve">minimisation basis should in theory entail no or minimal budgetary impact on the PBS. </w:t>
      </w:r>
      <w:r>
        <w:t>It was noted that there wa</w:t>
      </w:r>
      <w:r w:rsidRPr="007A1120">
        <w:t>s a difference between the relative dose of secukinumab to ustekinumab in the cost minimisation</w:t>
      </w:r>
      <w:r>
        <w:t xml:space="preserve"> analysis</w:t>
      </w:r>
      <w:r w:rsidRPr="007A1120">
        <w:t xml:space="preserve"> (2.9 to 1) and in the financi</w:t>
      </w:r>
      <w:r>
        <w:t>al estimates (2.4 to 1) which was</w:t>
      </w:r>
      <w:r w:rsidRPr="007A1120">
        <w:t xml:space="preserve"> the key driver </w:t>
      </w:r>
      <w:r>
        <w:t>for the disparity between the request to list on a cost-minimisation basis and the submission’s estimated</w:t>
      </w:r>
      <w:r w:rsidRPr="007A1120">
        <w:t xml:space="preserve"> cost savings</w:t>
      </w:r>
      <w:r>
        <w:t>.</w:t>
      </w:r>
      <w:r w:rsidRPr="007A1120">
        <w:t xml:space="preserve"> </w:t>
      </w:r>
      <w:r w:rsidR="00D42367">
        <w:t>The PBAC did not consider this difference justified.</w:t>
      </w:r>
    </w:p>
    <w:p w:rsidR="000B016F" w:rsidRDefault="000B016F" w:rsidP="000B016F">
      <w:pPr>
        <w:pStyle w:val="ListParagraph"/>
        <w:widowControl/>
      </w:pPr>
      <w:r>
        <w:t xml:space="preserve"> </w:t>
      </w:r>
    </w:p>
    <w:p w:rsidR="00D42367" w:rsidRDefault="007A1120" w:rsidP="00D42367">
      <w:pPr>
        <w:pStyle w:val="ListParagraph"/>
        <w:widowControl/>
        <w:numPr>
          <w:ilvl w:val="1"/>
          <w:numId w:val="7"/>
        </w:numPr>
      </w:pPr>
      <w:r>
        <w:t>In terms of implementing a PBS r</w:t>
      </w:r>
      <w:r w:rsidR="009F0305">
        <w:t>estriction</w:t>
      </w:r>
      <w:r>
        <w:t>, the PBAC recommended a listing</w:t>
      </w:r>
      <w:r w:rsidR="009F0305">
        <w:t xml:space="preserve"> based on existing bDMARD restrictions in severe chronic plaque psoriasis</w:t>
      </w:r>
      <w:r>
        <w:t>.</w:t>
      </w:r>
      <w:r w:rsidR="009F0305">
        <w:t xml:space="preserve"> </w:t>
      </w:r>
      <w:r>
        <w:t xml:space="preserve">The PBAC </w:t>
      </w:r>
      <w:r w:rsidR="003B14EA">
        <w:t xml:space="preserve">considered that it would be appropriate for </w:t>
      </w:r>
      <w:r w:rsidR="00D42367">
        <w:t>the</w:t>
      </w:r>
      <w:r w:rsidR="003B14EA">
        <w:t xml:space="preserve"> </w:t>
      </w:r>
      <w:r>
        <w:t xml:space="preserve">number of bDMARD therapies that a patient may trial per treatment cycle </w:t>
      </w:r>
      <w:r w:rsidR="009F0305">
        <w:t xml:space="preserve">remain at three </w:t>
      </w:r>
      <w:r w:rsidR="00242C66">
        <w:t>as</w:t>
      </w:r>
      <w:r w:rsidR="009F0305">
        <w:t xml:space="preserve"> </w:t>
      </w:r>
      <w:r w:rsidR="00242C66">
        <w:t>n</w:t>
      </w:r>
      <w:r w:rsidR="00242C66" w:rsidRPr="00242C66">
        <w:t xml:space="preserve">o data </w:t>
      </w:r>
      <w:r w:rsidR="000404AD">
        <w:t xml:space="preserve">directly </w:t>
      </w:r>
      <w:r w:rsidR="00242C66" w:rsidRPr="00242C66">
        <w:t>supportive of chang</w:t>
      </w:r>
      <w:r w:rsidR="000404AD">
        <w:t>ing to four therapies</w:t>
      </w:r>
      <w:r w:rsidR="00242C66" w:rsidRPr="00242C66">
        <w:t xml:space="preserve"> was presented in the submission</w:t>
      </w:r>
      <w:r w:rsidR="000404AD">
        <w:t xml:space="preserve"> and the sponsor had accepted that the current arrangements in its pre-PBAC response (p.1)</w:t>
      </w:r>
      <w:r w:rsidR="00242C66" w:rsidRPr="00242C66">
        <w:t xml:space="preserve">. </w:t>
      </w:r>
      <w:r w:rsidR="00242C66">
        <w:t>The PBAC noted that keeping</w:t>
      </w:r>
      <w:r w:rsidR="00242C66" w:rsidRPr="00242C66">
        <w:t xml:space="preserve"> the max</w:t>
      </w:r>
      <w:r w:rsidR="00242C66">
        <w:t>imum number of treatments</w:t>
      </w:r>
      <w:r w:rsidR="00242C66" w:rsidRPr="00242C66">
        <w:t xml:space="preserve"> at three</w:t>
      </w:r>
      <w:r w:rsidR="00242C66">
        <w:t xml:space="preserve"> would still allow </w:t>
      </w:r>
      <w:r w:rsidR="00242C66" w:rsidRPr="00242C66">
        <w:t>a patient to have tried an</w:t>
      </w:r>
      <w:r w:rsidR="00242C66">
        <w:t>d failed one biological agent from</w:t>
      </w:r>
      <w:r w:rsidR="00242C66" w:rsidRPr="00242C66">
        <w:t xml:space="preserve"> each </w:t>
      </w:r>
      <w:r w:rsidR="00242C66">
        <w:t xml:space="preserve">available </w:t>
      </w:r>
      <w:r w:rsidR="00242C66" w:rsidRPr="00242C66">
        <w:t>class</w:t>
      </w:r>
      <w:r w:rsidR="00242C66">
        <w:t xml:space="preserve"> of bDMARD,</w:t>
      </w:r>
      <w:r w:rsidR="00242C66" w:rsidRPr="00242C66">
        <w:t xml:space="preserve"> including secukinumab, before the treatment cycle is over.  </w:t>
      </w:r>
      <w:r w:rsidR="00242C66">
        <w:t xml:space="preserve">Retaining the number of therapies attempted at three would also </w:t>
      </w:r>
      <w:r>
        <w:t>ensure</w:t>
      </w:r>
      <w:r w:rsidR="00242C66">
        <w:t xml:space="preserve"> that the listing would truly be in line with a cost-minimisation recommendation. </w:t>
      </w:r>
    </w:p>
    <w:p w:rsidR="000404AD" w:rsidRDefault="000404AD" w:rsidP="000404AD">
      <w:pPr>
        <w:pStyle w:val="ListParagraph"/>
        <w:widowControl/>
      </w:pPr>
    </w:p>
    <w:p w:rsidR="009F0305" w:rsidRDefault="00D42367" w:rsidP="000404AD">
      <w:pPr>
        <w:pStyle w:val="ListParagraph"/>
        <w:widowControl/>
        <w:numPr>
          <w:ilvl w:val="1"/>
          <w:numId w:val="7"/>
        </w:numPr>
      </w:pPr>
      <w:r>
        <w:t xml:space="preserve">The PBAC noted the Department’s advice that the sponsor’s request to list multiple presentations of the drug on the same day may require a price reduction </w:t>
      </w:r>
      <w:r w:rsidR="003F383C">
        <w:t xml:space="preserve">as set out in the revised explanatory memorandum to the </w:t>
      </w:r>
      <w:r w:rsidR="003F383C" w:rsidRPr="00FE3A98">
        <w:rPr>
          <w:i/>
        </w:rPr>
        <w:t>National Health Amendment (Pharmaceutical Benefits Scheme) Bill 2007 (Cth)</w:t>
      </w:r>
      <w:r w:rsidR="003F383C" w:rsidRPr="003F383C">
        <w:t>.</w:t>
      </w:r>
    </w:p>
    <w:p w:rsidR="000404AD" w:rsidRDefault="000404AD" w:rsidP="000404AD">
      <w:pPr>
        <w:pStyle w:val="ListParagraph"/>
        <w:widowControl/>
      </w:pPr>
    </w:p>
    <w:p w:rsidR="009F0305" w:rsidRDefault="00821CF4" w:rsidP="00821CF4">
      <w:pPr>
        <w:pStyle w:val="ListParagraph"/>
        <w:widowControl/>
        <w:numPr>
          <w:ilvl w:val="1"/>
          <w:numId w:val="7"/>
        </w:numPr>
      </w:pPr>
      <w:r>
        <w:t>The PBAC recommended that</w:t>
      </w:r>
      <w:r w:rsidRPr="00821CF4">
        <w:t xml:space="preserve"> </w:t>
      </w:r>
      <w:r>
        <w:t>t</w:t>
      </w:r>
      <w:r w:rsidRPr="00821CF4">
        <w:t>he Safety Net 20 Day Rule should not apply</w:t>
      </w:r>
      <w:r>
        <w:t xml:space="preserve">. </w:t>
      </w:r>
    </w:p>
    <w:p w:rsidR="009F0305" w:rsidRDefault="009F0305" w:rsidP="009F0305">
      <w:pPr>
        <w:pStyle w:val="ListParagraph"/>
        <w:widowControl/>
      </w:pPr>
    </w:p>
    <w:p w:rsidR="009F0305" w:rsidRDefault="00821CF4" w:rsidP="0002144F">
      <w:pPr>
        <w:pStyle w:val="ListParagraph"/>
        <w:widowControl/>
        <w:numPr>
          <w:ilvl w:val="1"/>
          <w:numId w:val="7"/>
        </w:numPr>
      </w:pPr>
      <w:r>
        <w:t xml:space="preserve">The PBAC considered that </w:t>
      </w:r>
      <w:r w:rsidRPr="00821CF4">
        <w:t xml:space="preserve">secukinumab is </w:t>
      </w:r>
      <w:r>
        <w:t xml:space="preserve">not </w:t>
      </w:r>
      <w:r w:rsidRPr="00821CF4">
        <w:t>suitable for inclusion in the PBS medicines for prescribing by nurse practitioners.</w:t>
      </w:r>
      <w:r w:rsidRPr="00821CF4">
        <w:rPr>
          <w:i/>
        </w:rPr>
        <w:t xml:space="preserve"> </w:t>
      </w:r>
    </w:p>
    <w:p w:rsidR="00821CF4" w:rsidRDefault="00821CF4" w:rsidP="00821CF4">
      <w:pPr>
        <w:pStyle w:val="ListParagraph"/>
        <w:widowControl/>
      </w:pPr>
    </w:p>
    <w:p w:rsidR="005D7D93" w:rsidRPr="005D7D93" w:rsidRDefault="001F4E60" w:rsidP="005D7D93">
      <w:pPr>
        <w:pStyle w:val="ListParagraph"/>
        <w:widowControl/>
        <w:numPr>
          <w:ilvl w:val="1"/>
          <w:numId w:val="7"/>
        </w:numPr>
        <w:rPr>
          <w:u w:val="single"/>
        </w:rPr>
      </w:pPr>
      <w:r w:rsidRPr="001F4E60">
        <w:rPr>
          <w:u w:val="single"/>
        </w:rPr>
        <w:t>A</w:t>
      </w:r>
      <w:r w:rsidR="005D7D93" w:rsidRPr="005D7D93">
        <w:rPr>
          <w:u w:val="single"/>
        </w:rPr>
        <w:t>dvice to the Minister under subsection 101(3BA) of the Act</w:t>
      </w:r>
    </w:p>
    <w:p w:rsidR="005D7D93" w:rsidRPr="005D7D93" w:rsidRDefault="005D7D93" w:rsidP="005D7D93">
      <w:pPr>
        <w:pStyle w:val="ListParagraph"/>
        <w:widowControl/>
      </w:pPr>
      <w:r w:rsidRPr="005D7D93">
        <w:t>In accordance with subsection 101(3BA) of the Act the PBAC advised that it is of the opinion that, on the basis if the material available to it at its March 2015 meeting, secukinumab should not be treated as interchangeable on an individual patient basis with any other drugs.</w:t>
      </w:r>
    </w:p>
    <w:p w:rsidR="005D7D93" w:rsidRDefault="005D7D93" w:rsidP="005D7D93">
      <w:pPr>
        <w:pStyle w:val="ListParagraph"/>
        <w:widowControl/>
        <w:rPr>
          <w:u w:val="single"/>
        </w:rPr>
      </w:pPr>
    </w:p>
    <w:p w:rsidR="005D7D93" w:rsidRPr="005D7D93" w:rsidRDefault="005D7D93" w:rsidP="005D7D93">
      <w:pPr>
        <w:pStyle w:val="ListParagraph"/>
        <w:widowControl/>
        <w:numPr>
          <w:ilvl w:val="1"/>
          <w:numId w:val="7"/>
        </w:numPr>
      </w:pPr>
      <w:r w:rsidRPr="005D7D93">
        <w:t>The PBAC noted that etanercept was the comparator of the current PBS bDMARD psoriasis listings, including ustekinumab.  The PBAC recommended to the Minister that a cost-effectiveness review of the PBS bDMARDs for psoriasis be undertaken because there is emerging evidence of variations in response to TNF-alfa inhibitors in psoriasis, with etanercept appearing to be less efficacious than other agents.</w:t>
      </w:r>
    </w:p>
    <w:p w:rsidR="00BF2738" w:rsidRDefault="00BF2738" w:rsidP="005D7D93">
      <w:pPr>
        <w:pStyle w:val="ListParagraph"/>
        <w:widowControl/>
      </w:pPr>
    </w:p>
    <w:p w:rsidR="009151B8" w:rsidRDefault="009151B8" w:rsidP="0002144F">
      <w:pPr>
        <w:widowControl/>
      </w:pPr>
    </w:p>
    <w:p w:rsidR="0002144F" w:rsidRPr="0002144F" w:rsidRDefault="0002144F" w:rsidP="0002144F">
      <w:pPr>
        <w:widowControl/>
        <w:rPr>
          <w:b/>
        </w:rPr>
      </w:pPr>
      <w:r>
        <w:rPr>
          <w:b/>
        </w:rPr>
        <w:t>Ou</w:t>
      </w:r>
      <w:r w:rsidRPr="0002144F">
        <w:rPr>
          <w:b/>
        </w:rPr>
        <w:t>t</w:t>
      </w:r>
      <w:r>
        <w:rPr>
          <w:b/>
        </w:rPr>
        <w:t>c</w:t>
      </w:r>
      <w:r w:rsidRPr="0002144F">
        <w:rPr>
          <w:b/>
        </w:rPr>
        <w:t>ome:</w:t>
      </w:r>
    </w:p>
    <w:p w:rsidR="0002144F" w:rsidRPr="009151B8" w:rsidRDefault="0002144F" w:rsidP="0002144F">
      <w:pPr>
        <w:widowControl/>
      </w:pPr>
      <w:r>
        <w:t>Recommended</w:t>
      </w:r>
    </w:p>
    <w:p w:rsidR="009151B8" w:rsidRDefault="009151B8" w:rsidP="009151B8">
      <w:pPr>
        <w:pStyle w:val="PBACHeading1"/>
        <w:numPr>
          <w:ilvl w:val="0"/>
          <w:numId w:val="0"/>
        </w:numPr>
      </w:pPr>
    </w:p>
    <w:p w:rsidR="000E7FB8" w:rsidRDefault="000E7FB8" w:rsidP="009151B8">
      <w:pPr>
        <w:pStyle w:val="PBACHeading1"/>
        <w:numPr>
          <w:ilvl w:val="0"/>
          <w:numId w:val="0"/>
        </w:numPr>
      </w:pPr>
    </w:p>
    <w:p w:rsidR="009151B8" w:rsidRDefault="009151B8" w:rsidP="009151B8">
      <w:pPr>
        <w:pStyle w:val="PBACHeading1"/>
      </w:pPr>
      <w:r>
        <w:lastRenderedPageBreak/>
        <w:t>Recommended listing</w:t>
      </w:r>
    </w:p>
    <w:p w:rsidR="009151B8" w:rsidRPr="009151B8" w:rsidRDefault="009151B8" w:rsidP="009151B8">
      <w:pPr>
        <w:pStyle w:val="PBACHeading1"/>
        <w:numPr>
          <w:ilvl w:val="0"/>
          <w:numId w:val="0"/>
        </w:numPr>
        <w:ind w:left="720"/>
      </w:pPr>
    </w:p>
    <w:p w:rsidR="009151B8" w:rsidRPr="0002144F" w:rsidRDefault="0002144F" w:rsidP="0002144F">
      <w:pPr>
        <w:pStyle w:val="ListParagraph"/>
        <w:widowControl/>
        <w:numPr>
          <w:ilvl w:val="1"/>
          <w:numId w:val="7"/>
        </w:numPr>
      </w:pPr>
      <w:r>
        <w:t>Add new item:</w:t>
      </w:r>
    </w:p>
    <w:p w:rsidR="009151B8" w:rsidRDefault="009151B8" w:rsidP="00576972">
      <w:pPr>
        <w:widowControl/>
        <w:rPr>
          <w:szCs w:val="22"/>
        </w:rPr>
      </w:pPr>
    </w:p>
    <w:tbl>
      <w:tblPr>
        <w:tblW w:w="8931" w:type="dxa"/>
        <w:tblInd w:w="108" w:type="dxa"/>
        <w:tblLayout w:type="fixed"/>
        <w:tblLook w:val="0000" w:firstRow="0" w:lastRow="0" w:firstColumn="0" w:lastColumn="0" w:noHBand="0" w:noVBand="0"/>
      </w:tblPr>
      <w:tblGrid>
        <w:gridCol w:w="1701"/>
        <w:gridCol w:w="1560"/>
        <w:gridCol w:w="708"/>
        <w:gridCol w:w="850"/>
        <w:gridCol w:w="1701"/>
        <w:gridCol w:w="1418"/>
        <w:gridCol w:w="993"/>
      </w:tblGrid>
      <w:tr w:rsidR="00242C66" w:rsidRPr="003321A9" w:rsidTr="00D42367">
        <w:trPr>
          <w:cantSplit/>
          <w:trHeight w:val="471"/>
        </w:trPr>
        <w:tc>
          <w:tcPr>
            <w:tcW w:w="3261" w:type="dxa"/>
            <w:gridSpan w:val="2"/>
            <w:tcBorders>
              <w:bottom w:val="single" w:sz="4" w:space="0" w:color="auto"/>
            </w:tcBorders>
          </w:tcPr>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Name, Restriction,</w:t>
            </w: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Manner of administration and form</w:t>
            </w:r>
          </w:p>
        </w:tc>
        <w:tc>
          <w:tcPr>
            <w:tcW w:w="708" w:type="dxa"/>
            <w:tcBorders>
              <w:bottom w:val="single" w:sz="4" w:space="0" w:color="auto"/>
            </w:tcBorders>
          </w:tcPr>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Max.</w:t>
            </w: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Qty (packs)</w:t>
            </w:r>
          </w:p>
        </w:tc>
        <w:tc>
          <w:tcPr>
            <w:tcW w:w="850" w:type="dxa"/>
            <w:tcBorders>
              <w:bottom w:val="single" w:sz="4" w:space="0" w:color="auto"/>
            </w:tcBorders>
          </w:tcPr>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 xml:space="preserve">Max. </w:t>
            </w: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Qty (units)</w:t>
            </w:r>
          </w:p>
        </w:tc>
        <w:tc>
          <w:tcPr>
            <w:tcW w:w="1701" w:type="dxa"/>
            <w:tcBorders>
              <w:bottom w:val="single" w:sz="4" w:space="0" w:color="auto"/>
            </w:tcBorders>
          </w:tcPr>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 xml:space="preserve">No. of </w:t>
            </w: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Rpts</w:t>
            </w:r>
          </w:p>
        </w:tc>
        <w:tc>
          <w:tcPr>
            <w:tcW w:w="2411" w:type="dxa"/>
            <w:gridSpan w:val="2"/>
            <w:tcBorders>
              <w:bottom w:val="single" w:sz="4" w:space="0" w:color="auto"/>
            </w:tcBorders>
          </w:tcPr>
          <w:p w:rsidR="00242C66" w:rsidRPr="003321A9" w:rsidRDefault="00242C66" w:rsidP="00D42367">
            <w:pPr>
              <w:keepNext/>
              <w:widowControl/>
              <w:jc w:val="left"/>
              <w:rPr>
                <w:rFonts w:ascii="Arial Narrow" w:hAnsi="Arial Narrow"/>
                <w:snapToGrid/>
                <w:sz w:val="20"/>
                <w:lang w:val="fr-FR" w:eastAsia="en-AU"/>
              </w:rPr>
            </w:pPr>
            <w:r w:rsidRPr="003321A9">
              <w:rPr>
                <w:rFonts w:ascii="Arial Narrow" w:hAnsi="Arial Narrow"/>
                <w:snapToGrid/>
                <w:sz w:val="20"/>
                <w:lang w:eastAsia="en-AU"/>
              </w:rPr>
              <w:t>Proprietary Name and Manufacturer</w:t>
            </w:r>
          </w:p>
        </w:tc>
      </w:tr>
      <w:tr w:rsidR="00242C66" w:rsidRPr="003321A9" w:rsidTr="00D42367">
        <w:trPr>
          <w:cantSplit/>
          <w:trHeight w:val="577"/>
        </w:trPr>
        <w:tc>
          <w:tcPr>
            <w:tcW w:w="3261" w:type="dxa"/>
            <w:gridSpan w:val="2"/>
          </w:tcPr>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mallCaps/>
                <w:snapToGrid/>
                <w:sz w:val="20"/>
                <w:lang w:eastAsia="en-AU"/>
              </w:rPr>
              <w:t>SECUKINUMAB</w:t>
            </w:r>
          </w:p>
          <w:p w:rsidR="00242C66" w:rsidRDefault="00242C66" w:rsidP="00D42367">
            <w:pPr>
              <w:keepNext/>
              <w:widowControl/>
              <w:ind w:left="-108" w:right="176"/>
              <w:rPr>
                <w:rFonts w:ascii="Arial Narrow" w:hAnsi="Arial Narrow"/>
                <w:snapToGrid/>
                <w:sz w:val="20"/>
                <w:lang w:eastAsia="en-AU"/>
              </w:rPr>
            </w:pPr>
            <w:r w:rsidRPr="003321A9">
              <w:rPr>
                <w:rFonts w:ascii="Arial Narrow" w:hAnsi="Arial Narrow"/>
                <w:snapToGrid/>
                <w:sz w:val="20"/>
                <w:lang w:eastAsia="en-AU"/>
              </w:rPr>
              <w:t>Injections 150 mg in 1 mL single use pre-filled syringes, 2</w:t>
            </w:r>
          </w:p>
          <w:p w:rsidR="008F0DA3" w:rsidRPr="003321A9" w:rsidRDefault="008F0DA3" w:rsidP="00D42367">
            <w:pPr>
              <w:keepNext/>
              <w:widowControl/>
              <w:ind w:left="-108" w:right="176"/>
              <w:rPr>
                <w:rFonts w:ascii="Arial Narrow" w:hAnsi="Arial Narrow"/>
                <w:snapToGrid/>
                <w:sz w:val="20"/>
                <w:lang w:eastAsia="en-AU"/>
              </w:rPr>
            </w:pPr>
          </w:p>
          <w:p w:rsidR="00242C66" w:rsidRDefault="00242C66" w:rsidP="00D42367">
            <w:pPr>
              <w:keepNext/>
              <w:widowControl/>
              <w:ind w:left="-108" w:right="176"/>
              <w:rPr>
                <w:rFonts w:ascii="Arial Narrow" w:hAnsi="Arial Narrow"/>
                <w:snapToGrid/>
                <w:sz w:val="20"/>
                <w:lang w:eastAsia="en-AU"/>
              </w:rPr>
            </w:pPr>
            <w:r w:rsidRPr="003321A9">
              <w:rPr>
                <w:rFonts w:ascii="Arial Narrow" w:hAnsi="Arial Narrow"/>
                <w:snapToGrid/>
                <w:sz w:val="20"/>
                <w:lang w:eastAsia="en-AU"/>
              </w:rPr>
              <w:t>Injections 150 mg in 1 mL single use pre-filled pens, 2</w:t>
            </w:r>
          </w:p>
          <w:p w:rsidR="008F0DA3" w:rsidRPr="003321A9" w:rsidRDefault="008F0DA3" w:rsidP="00D42367">
            <w:pPr>
              <w:keepNext/>
              <w:widowControl/>
              <w:ind w:left="-108" w:right="176"/>
              <w:rPr>
                <w:rFonts w:ascii="Arial Narrow" w:hAnsi="Arial Narrow"/>
                <w:snapToGrid/>
                <w:sz w:val="20"/>
                <w:lang w:eastAsia="en-AU"/>
              </w:rPr>
            </w:pPr>
          </w:p>
          <w:p w:rsidR="00242C66" w:rsidRPr="008F0DA3" w:rsidRDefault="00242C66" w:rsidP="008F0DA3">
            <w:pPr>
              <w:keepNext/>
              <w:widowControl/>
              <w:ind w:left="-108" w:right="176"/>
              <w:rPr>
                <w:rFonts w:ascii="Arial Narrow" w:hAnsi="Arial Narrow"/>
                <w:snapToGrid/>
                <w:sz w:val="20"/>
                <w:lang w:eastAsia="en-AU"/>
              </w:rPr>
            </w:pPr>
            <w:r w:rsidRPr="003321A9">
              <w:rPr>
                <w:rFonts w:ascii="Arial Narrow" w:hAnsi="Arial Narrow"/>
                <w:snapToGrid/>
                <w:sz w:val="20"/>
                <w:lang w:eastAsia="en-AU"/>
              </w:rPr>
              <w:t>Powder of injection 150 mg, 2</w:t>
            </w:r>
          </w:p>
        </w:tc>
        <w:tc>
          <w:tcPr>
            <w:tcW w:w="708" w:type="dxa"/>
          </w:tcPr>
          <w:p w:rsidR="00242C66" w:rsidRPr="003321A9" w:rsidRDefault="00242C66"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1</w:t>
            </w:r>
          </w:p>
          <w:p w:rsidR="00242C66" w:rsidRDefault="00242C66" w:rsidP="00D42367">
            <w:pPr>
              <w:keepNext/>
              <w:widowControl/>
              <w:ind w:left="-108"/>
              <w:rPr>
                <w:rFonts w:ascii="Arial Narrow" w:hAnsi="Arial Narrow"/>
                <w:snapToGrid/>
                <w:sz w:val="20"/>
                <w:lang w:eastAsia="en-AU"/>
              </w:rPr>
            </w:pPr>
          </w:p>
          <w:p w:rsidR="008F0DA3" w:rsidRPr="003321A9" w:rsidRDefault="008F0DA3"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1</w:t>
            </w:r>
          </w:p>
          <w:p w:rsidR="00242C66" w:rsidRDefault="00242C66" w:rsidP="00D42367">
            <w:pPr>
              <w:keepNext/>
              <w:widowControl/>
              <w:ind w:left="-108"/>
              <w:rPr>
                <w:rFonts w:ascii="Arial Narrow" w:hAnsi="Arial Narrow"/>
                <w:snapToGrid/>
                <w:sz w:val="20"/>
                <w:lang w:eastAsia="en-AU"/>
              </w:rPr>
            </w:pPr>
          </w:p>
          <w:p w:rsidR="008F0DA3" w:rsidRPr="003321A9" w:rsidRDefault="008F0DA3"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1</w:t>
            </w:r>
          </w:p>
        </w:tc>
        <w:tc>
          <w:tcPr>
            <w:tcW w:w="850" w:type="dxa"/>
          </w:tcPr>
          <w:p w:rsidR="00242C66" w:rsidRPr="003321A9" w:rsidRDefault="00242C66"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2</w:t>
            </w:r>
          </w:p>
          <w:p w:rsidR="00242C66" w:rsidRDefault="00242C66" w:rsidP="00D42367">
            <w:pPr>
              <w:keepNext/>
              <w:widowControl/>
              <w:ind w:left="-108"/>
              <w:rPr>
                <w:rFonts w:ascii="Arial Narrow" w:hAnsi="Arial Narrow"/>
                <w:snapToGrid/>
                <w:sz w:val="20"/>
                <w:lang w:eastAsia="en-AU"/>
              </w:rPr>
            </w:pPr>
          </w:p>
          <w:p w:rsidR="008F0DA3" w:rsidRPr="003321A9" w:rsidRDefault="008F0DA3"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2</w:t>
            </w:r>
          </w:p>
          <w:p w:rsidR="00242C66" w:rsidRDefault="00242C66" w:rsidP="00D42367">
            <w:pPr>
              <w:keepNext/>
              <w:widowControl/>
              <w:ind w:left="-108"/>
              <w:rPr>
                <w:rFonts w:ascii="Arial Narrow" w:hAnsi="Arial Narrow"/>
                <w:snapToGrid/>
                <w:sz w:val="20"/>
                <w:lang w:eastAsia="en-AU"/>
              </w:rPr>
            </w:pPr>
          </w:p>
          <w:p w:rsidR="008F0DA3" w:rsidRPr="003321A9" w:rsidRDefault="008F0DA3"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2</w:t>
            </w:r>
          </w:p>
        </w:tc>
        <w:tc>
          <w:tcPr>
            <w:tcW w:w="1701" w:type="dxa"/>
          </w:tcPr>
          <w:p w:rsidR="00242C66" w:rsidRPr="003321A9" w:rsidRDefault="00242C66"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5</w:t>
            </w:r>
          </w:p>
          <w:p w:rsidR="00242C66" w:rsidRDefault="00242C66" w:rsidP="00D42367">
            <w:pPr>
              <w:keepNext/>
              <w:widowControl/>
              <w:ind w:left="-108"/>
              <w:rPr>
                <w:rFonts w:ascii="Arial Narrow" w:hAnsi="Arial Narrow"/>
                <w:snapToGrid/>
                <w:sz w:val="20"/>
                <w:lang w:eastAsia="en-AU"/>
              </w:rPr>
            </w:pPr>
          </w:p>
          <w:p w:rsidR="008F0DA3" w:rsidRPr="003321A9" w:rsidRDefault="008F0DA3"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5</w:t>
            </w:r>
          </w:p>
          <w:p w:rsidR="00242C66" w:rsidRDefault="00242C66" w:rsidP="00D42367">
            <w:pPr>
              <w:keepNext/>
              <w:widowControl/>
              <w:ind w:left="-108"/>
              <w:rPr>
                <w:rFonts w:ascii="Arial Narrow" w:hAnsi="Arial Narrow"/>
                <w:snapToGrid/>
                <w:sz w:val="20"/>
                <w:lang w:eastAsia="en-AU"/>
              </w:rPr>
            </w:pPr>
          </w:p>
          <w:p w:rsidR="008F0DA3" w:rsidRPr="003321A9" w:rsidRDefault="008F0DA3" w:rsidP="00D42367">
            <w:pPr>
              <w:keepNext/>
              <w:widowControl/>
              <w:ind w:left="-108"/>
              <w:rPr>
                <w:rFonts w:ascii="Arial Narrow" w:hAnsi="Arial Narrow"/>
                <w:snapToGrid/>
                <w:sz w:val="20"/>
                <w:lang w:eastAsia="en-AU"/>
              </w:rPr>
            </w:pPr>
          </w:p>
          <w:p w:rsidR="00242C66" w:rsidRPr="003321A9" w:rsidRDefault="00242C66" w:rsidP="00D42367">
            <w:pPr>
              <w:keepNext/>
              <w:widowControl/>
              <w:ind w:left="-108"/>
              <w:rPr>
                <w:rFonts w:ascii="Arial Narrow" w:hAnsi="Arial Narrow"/>
                <w:snapToGrid/>
                <w:sz w:val="20"/>
                <w:lang w:eastAsia="en-AU"/>
              </w:rPr>
            </w:pPr>
            <w:r w:rsidRPr="003321A9">
              <w:rPr>
                <w:rFonts w:ascii="Arial Narrow" w:hAnsi="Arial Narrow"/>
                <w:snapToGrid/>
                <w:sz w:val="20"/>
                <w:lang w:eastAsia="en-AU"/>
              </w:rPr>
              <w:t>5</w:t>
            </w:r>
          </w:p>
          <w:p w:rsidR="00242C66" w:rsidRPr="003321A9" w:rsidRDefault="00242C66" w:rsidP="00D42367">
            <w:pPr>
              <w:keepNext/>
              <w:widowControl/>
              <w:rPr>
                <w:rFonts w:ascii="Arial Narrow" w:hAnsi="Arial Narrow"/>
                <w:snapToGrid/>
                <w:sz w:val="20"/>
                <w:lang w:eastAsia="en-AU"/>
              </w:rPr>
            </w:pPr>
          </w:p>
        </w:tc>
        <w:tc>
          <w:tcPr>
            <w:tcW w:w="1418" w:type="dxa"/>
          </w:tcPr>
          <w:p w:rsidR="00242C66" w:rsidRPr="003321A9" w:rsidRDefault="00242C66" w:rsidP="00D42367">
            <w:pPr>
              <w:keepNext/>
              <w:widowControl/>
              <w:rPr>
                <w:rFonts w:ascii="Arial Narrow" w:hAnsi="Arial Narrow"/>
                <w:snapToGrid/>
                <w:sz w:val="20"/>
                <w:lang w:eastAsia="en-AU"/>
              </w:rPr>
            </w:pPr>
          </w:p>
          <w:p w:rsidR="00242C66" w:rsidRPr="003321A9" w:rsidRDefault="00242C66" w:rsidP="00D42367">
            <w:pPr>
              <w:keepNext/>
              <w:widowControl/>
              <w:rPr>
                <w:rFonts w:ascii="Arial Narrow" w:hAnsi="Arial Narrow"/>
                <w:snapToGrid/>
                <w:sz w:val="20"/>
                <w:lang w:eastAsia="en-AU"/>
              </w:rPr>
            </w:pPr>
            <w:r w:rsidRPr="003321A9">
              <w:rPr>
                <w:rFonts w:ascii="Arial Narrow" w:hAnsi="Arial Narrow"/>
                <w:snapToGrid/>
                <w:sz w:val="20"/>
                <w:lang w:eastAsia="en-AU"/>
              </w:rPr>
              <w:t>Cosentyx</w:t>
            </w:r>
          </w:p>
          <w:p w:rsidR="00242C66" w:rsidRDefault="00242C66" w:rsidP="00D42367">
            <w:pPr>
              <w:keepNext/>
              <w:widowControl/>
              <w:rPr>
                <w:rFonts w:ascii="Arial Narrow" w:hAnsi="Arial Narrow"/>
                <w:snapToGrid/>
                <w:sz w:val="20"/>
                <w:lang w:eastAsia="en-AU"/>
              </w:rPr>
            </w:pPr>
          </w:p>
          <w:p w:rsidR="008F0DA3" w:rsidRPr="003321A9" w:rsidRDefault="008F0DA3" w:rsidP="00D42367">
            <w:pPr>
              <w:keepNext/>
              <w:widowControl/>
              <w:rPr>
                <w:rFonts w:ascii="Arial Narrow" w:hAnsi="Arial Narrow"/>
                <w:snapToGrid/>
                <w:sz w:val="20"/>
                <w:lang w:eastAsia="en-AU"/>
              </w:rPr>
            </w:pPr>
          </w:p>
          <w:p w:rsidR="00242C66" w:rsidRPr="003321A9" w:rsidRDefault="00242C66" w:rsidP="00D42367">
            <w:pPr>
              <w:keepNext/>
              <w:widowControl/>
              <w:rPr>
                <w:rFonts w:ascii="Arial Narrow" w:hAnsi="Arial Narrow"/>
                <w:snapToGrid/>
                <w:sz w:val="20"/>
                <w:lang w:eastAsia="en-AU"/>
              </w:rPr>
            </w:pPr>
            <w:r w:rsidRPr="003321A9">
              <w:rPr>
                <w:rFonts w:ascii="Arial Narrow" w:hAnsi="Arial Narrow"/>
                <w:snapToGrid/>
                <w:sz w:val="20"/>
                <w:lang w:eastAsia="en-AU"/>
              </w:rPr>
              <w:t>Cosentyx</w:t>
            </w:r>
          </w:p>
          <w:p w:rsidR="00242C66" w:rsidRDefault="00242C66" w:rsidP="00D42367">
            <w:pPr>
              <w:keepNext/>
              <w:widowControl/>
              <w:rPr>
                <w:rFonts w:ascii="Arial Narrow" w:hAnsi="Arial Narrow"/>
                <w:snapToGrid/>
                <w:sz w:val="20"/>
                <w:lang w:eastAsia="en-AU"/>
              </w:rPr>
            </w:pPr>
          </w:p>
          <w:p w:rsidR="008F0DA3" w:rsidRPr="003321A9" w:rsidRDefault="008F0DA3" w:rsidP="00D42367">
            <w:pPr>
              <w:keepNext/>
              <w:widowControl/>
              <w:rPr>
                <w:rFonts w:ascii="Arial Narrow" w:hAnsi="Arial Narrow"/>
                <w:snapToGrid/>
                <w:sz w:val="20"/>
                <w:lang w:eastAsia="en-AU"/>
              </w:rPr>
            </w:pPr>
          </w:p>
          <w:p w:rsidR="00242C66" w:rsidRPr="003321A9" w:rsidRDefault="00242C66" w:rsidP="00D42367">
            <w:pPr>
              <w:keepNext/>
              <w:widowControl/>
              <w:rPr>
                <w:rFonts w:ascii="Arial Narrow" w:hAnsi="Arial Narrow"/>
                <w:snapToGrid/>
                <w:sz w:val="20"/>
                <w:lang w:eastAsia="en-AU"/>
              </w:rPr>
            </w:pPr>
            <w:r w:rsidRPr="003321A9">
              <w:rPr>
                <w:rFonts w:ascii="Arial Narrow" w:hAnsi="Arial Narrow"/>
                <w:snapToGrid/>
                <w:sz w:val="20"/>
                <w:lang w:eastAsia="en-AU"/>
              </w:rPr>
              <w:t>Cosentyx</w:t>
            </w:r>
          </w:p>
        </w:tc>
        <w:tc>
          <w:tcPr>
            <w:tcW w:w="993" w:type="dxa"/>
          </w:tcPr>
          <w:p w:rsidR="00242C66" w:rsidRPr="003321A9" w:rsidRDefault="00242C66" w:rsidP="00D42367">
            <w:pPr>
              <w:keepNext/>
              <w:widowControl/>
              <w:rPr>
                <w:rFonts w:ascii="Arial Narrow" w:hAnsi="Arial Narrow"/>
                <w:snapToGrid/>
                <w:sz w:val="20"/>
                <w:lang w:eastAsia="en-AU"/>
              </w:rPr>
            </w:pPr>
          </w:p>
          <w:p w:rsidR="00242C66" w:rsidRPr="003321A9" w:rsidRDefault="00242C66" w:rsidP="00D42367">
            <w:pPr>
              <w:keepNext/>
              <w:widowControl/>
              <w:rPr>
                <w:rFonts w:ascii="Arial Narrow" w:hAnsi="Arial Narrow"/>
                <w:snapToGrid/>
                <w:sz w:val="20"/>
                <w:lang w:eastAsia="en-AU"/>
              </w:rPr>
            </w:pPr>
            <w:r w:rsidRPr="003321A9">
              <w:rPr>
                <w:rFonts w:ascii="Arial Narrow" w:hAnsi="Arial Narrow"/>
                <w:snapToGrid/>
                <w:sz w:val="20"/>
                <w:lang w:eastAsia="en-AU"/>
              </w:rPr>
              <w:t>NV</w:t>
            </w:r>
          </w:p>
          <w:p w:rsidR="00242C66" w:rsidRDefault="00242C66" w:rsidP="00D42367">
            <w:pPr>
              <w:keepNext/>
              <w:widowControl/>
              <w:rPr>
                <w:rFonts w:ascii="Arial Narrow" w:hAnsi="Arial Narrow"/>
                <w:snapToGrid/>
                <w:sz w:val="20"/>
                <w:lang w:eastAsia="en-AU"/>
              </w:rPr>
            </w:pPr>
          </w:p>
          <w:p w:rsidR="008F0DA3" w:rsidRPr="003321A9" w:rsidRDefault="008F0DA3" w:rsidP="00D42367">
            <w:pPr>
              <w:keepNext/>
              <w:widowControl/>
              <w:rPr>
                <w:rFonts w:ascii="Arial Narrow" w:hAnsi="Arial Narrow"/>
                <w:snapToGrid/>
                <w:sz w:val="20"/>
                <w:lang w:eastAsia="en-AU"/>
              </w:rPr>
            </w:pPr>
          </w:p>
          <w:p w:rsidR="00242C66" w:rsidRPr="003321A9" w:rsidRDefault="00242C66" w:rsidP="00D42367">
            <w:pPr>
              <w:keepNext/>
              <w:widowControl/>
              <w:rPr>
                <w:rFonts w:ascii="Arial Narrow" w:hAnsi="Arial Narrow"/>
                <w:snapToGrid/>
                <w:sz w:val="20"/>
                <w:lang w:eastAsia="en-AU"/>
              </w:rPr>
            </w:pPr>
            <w:r w:rsidRPr="003321A9">
              <w:rPr>
                <w:rFonts w:ascii="Arial Narrow" w:hAnsi="Arial Narrow"/>
                <w:snapToGrid/>
                <w:sz w:val="20"/>
                <w:lang w:eastAsia="en-AU"/>
              </w:rPr>
              <w:t>NV</w:t>
            </w:r>
          </w:p>
          <w:p w:rsidR="00242C66" w:rsidRDefault="00242C66" w:rsidP="00D42367">
            <w:pPr>
              <w:keepNext/>
              <w:widowControl/>
              <w:rPr>
                <w:rFonts w:ascii="Arial Narrow" w:hAnsi="Arial Narrow"/>
                <w:snapToGrid/>
                <w:sz w:val="20"/>
                <w:lang w:eastAsia="en-AU"/>
              </w:rPr>
            </w:pPr>
          </w:p>
          <w:p w:rsidR="008F0DA3" w:rsidRPr="003321A9" w:rsidRDefault="008F0DA3" w:rsidP="00D42367">
            <w:pPr>
              <w:keepNext/>
              <w:widowControl/>
              <w:rPr>
                <w:rFonts w:ascii="Arial Narrow" w:hAnsi="Arial Narrow"/>
                <w:snapToGrid/>
                <w:sz w:val="20"/>
                <w:lang w:eastAsia="en-AU"/>
              </w:rPr>
            </w:pPr>
          </w:p>
          <w:p w:rsidR="00242C66" w:rsidRPr="003321A9" w:rsidRDefault="00242C66" w:rsidP="00D42367">
            <w:pPr>
              <w:keepNext/>
              <w:widowControl/>
              <w:rPr>
                <w:rFonts w:ascii="Arial Narrow" w:hAnsi="Arial Narrow"/>
                <w:snapToGrid/>
                <w:sz w:val="20"/>
                <w:lang w:eastAsia="en-AU"/>
              </w:rPr>
            </w:pPr>
            <w:r w:rsidRPr="003321A9">
              <w:rPr>
                <w:rFonts w:ascii="Arial Narrow" w:hAnsi="Arial Narrow"/>
                <w:snapToGrid/>
                <w:sz w:val="20"/>
                <w:lang w:eastAsia="en-AU"/>
              </w:rPr>
              <w:t>NV</w:t>
            </w:r>
          </w:p>
        </w:tc>
      </w:tr>
      <w:tr w:rsidR="00242C66" w:rsidRPr="003321A9" w:rsidTr="00D42367">
        <w:trPr>
          <w:cantSplit/>
          <w:trHeight w:val="360"/>
        </w:trPr>
        <w:tc>
          <w:tcPr>
            <w:tcW w:w="8931" w:type="dxa"/>
            <w:gridSpan w:val="7"/>
            <w:tcBorders>
              <w:bottom w:val="single" w:sz="4" w:space="0" w:color="auto"/>
            </w:tcBorders>
          </w:tcPr>
          <w:p w:rsidR="00242C66" w:rsidRPr="003321A9" w:rsidRDefault="00242C66" w:rsidP="00D42367">
            <w:pPr>
              <w:widowControl/>
              <w:rPr>
                <w:rFonts w:ascii="Arial Narrow" w:hAnsi="Arial Narrow"/>
                <w:snapToGrid/>
                <w:sz w:val="20"/>
                <w:lang w:eastAsia="en-AU"/>
              </w:rPr>
            </w:pP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 xml:space="preserve">Category / </w:t>
            </w:r>
          </w:p>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Program</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GENERAL – General Schedule (Code GE)</w:t>
            </w:r>
          </w:p>
          <w:p w:rsidR="00242C66" w:rsidRPr="003321A9" w:rsidRDefault="00242C66" w:rsidP="00D42367">
            <w:pPr>
              <w:widowControl/>
              <w:jc w:val="left"/>
              <w:rPr>
                <w:rFonts w:ascii="Arial Narrow" w:hAnsi="Arial Narrow"/>
                <w:snapToGrid/>
                <w:sz w:val="20"/>
                <w:lang w:eastAsia="en-AU"/>
              </w:rPr>
            </w:pP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Prescriber type:</w:t>
            </w:r>
          </w:p>
          <w:p w:rsidR="00242C66" w:rsidRPr="003321A9" w:rsidRDefault="00242C66" w:rsidP="00D42367">
            <w:pPr>
              <w:widowControl/>
              <w:rPr>
                <w:rFonts w:ascii="Arial Narrow" w:hAnsi="Arial Narrow"/>
                <w:b/>
                <w:snapToGrid/>
                <w:sz w:val="20"/>
                <w:lang w:eastAsia="en-AU"/>
              </w:rPr>
            </w:pP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Check1"/>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 xml:space="preserve">Dental  </w:t>
            </w:r>
            <w:r w:rsidRPr="003321A9">
              <w:rPr>
                <w:rFonts w:ascii="Arial Narrow" w:hAnsi="Arial Narrow"/>
                <w:snapToGrid/>
                <w:sz w:val="20"/>
                <w:lang w:eastAsia="en-AU"/>
              </w:rPr>
              <w:fldChar w:fldCharType="begin">
                <w:ffData>
                  <w:name w:val=""/>
                  <w:enabled/>
                  <w:calcOnExit w:val="0"/>
                  <w:checkBox>
                    <w:sizeAuto/>
                    <w:default w:val="1"/>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 xml:space="preserve">Medical Practitioners  </w:t>
            </w:r>
            <w:r w:rsidRPr="003321A9">
              <w:rPr>
                <w:rFonts w:ascii="Arial Narrow" w:hAnsi="Arial Narrow"/>
                <w:snapToGrid/>
                <w:sz w:val="20"/>
                <w:lang w:eastAsia="en-AU"/>
              </w:rPr>
              <w:fldChar w:fldCharType="begin">
                <w:ffData>
                  <w:name w:val="Check3"/>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 xml:space="preserve">Nurse practitioners  </w:t>
            </w:r>
            <w:r w:rsidRPr="003321A9">
              <w:rPr>
                <w:rFonts w:ascii="Arial Narrow" w:hAnsi="Arial Narrow"/>
                <w:snapToGrid/>
                <w:sz w:val="20"/>
                <w:lang w:eastAsia="en-AU"/>
              </w:rPr>
              <w:fldChar w:fldCharType="begin">
                <w:ffData>
                  <w:name w:val=""/>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 xml:space="preserve">Optometrists        </w:t>
            </w:r>
            <w:r w:rsidRPr="003321A9">
              <w:rPr>
                <w:rFonts w:ascii="Arial Narrow" w:hAnsi="Arial Narrow"/>
                <w:snapToGrid/>
                <w:sz w:val="20"/>
                <w:lang w:eastAsia="en-AU"/>
              </w:rPr>
              <w:fldChar w:fldCharType="begin">
                <w:ffData>
                  <w:name w:val="Check5"/>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Midwives</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Episodicity:</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Chronic</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Severity:</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Condition:</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plaque psoriasis</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PBS Indication:</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Chronic plaque psoriasis</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Treatment phase:</w:t>
            </w:r>
          </w:p>
          <w:p w:rsidR="00242C66" w:rsidRPr="003321A9" w:rsidRDefault="00242C66" w:rsidP="00D42367">
            <w:pPr>
              <w:widowControl/>
              <w:rPr>
                <w:rFonts w:ascii="Arial Narrow" w:hAnsi="Arial Narrow"/>
                <w:i/>
                <w:snapToGrid/>
                <w:sz w:val="20"/>
                <w:lang w:eastAsia="en-AU"/>
              </w:rPr>
            </w:pP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To be finalised</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Restriction Level / Method:</w:t>
            </w:r>
          </w:p>
          <w:p w:rsidR="00242C66" w:rsidRPr="003321A9" w:rsidRDefault="00242C66" w:rsidP="00D42367">
            <w:pPr>
              <w:widowControl/>
              <w:jc w:val="left"/>
              <w:rPr>
                <w:rFonts w:ascii="Arial Narrow" w:hAnsi="Arial Narrow"/>
                <w:i/>
                <w:snapToGrid/>
                <w:sz w:val="20"/>
                <w:highlight w:val="yellow"/>
                <w:lang w:eastAsia="en-AU"/>
              </w:rPr>
            </w:pPr>
          </w:p>
          <w:p w:rsidR="00242C66" w:rsidRPr="003321A9" w:rsidRDefault="00242C66" w:rsidP="00D42367">
            <w:pPr>
              <w:widowControl/>
              <w:jc w:val="left"/>
              <w:rPr>
                <w:rFonts w:ascii="Arial Narrow" w:hAnsi="Arial Narrow"/>
                <w:i/>
                <w:snapToGrid/>
                <w:sz w:val="20"/>
                <w:lang w:eastAsia="en-AU"/>
              </w:rPr>
            </w:pP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Check1"/>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Restricted benefit</w:t>
            </w:r>
          </w:p>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
                  <w:enabled/>
                  <w:calcOnExit w:val="0"/>
                  <w:checkBox>
                    <w:sizeAuto/>
                    <w:default w:val="1"/>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Authority Required - In Writing</w:t>
            </w:r>
          </w:p>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Check3"/>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Authority Required - Telephone</w:t>
            </w:r>
          </w:p>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Authority Required – Emergency</w:t>
            </w:r>
          </w:p>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Check5"/>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Authority Required - Electronic</w:t>
            </w:r>
          </w:p>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fldChar w:fldCharType="begin">
                <w:ffData>
                  <w:name w:val="Check5"/>
                  <w:enabled/>
                  <w:calcOnExit w:val="0"/>
                  <w:checkBox>
                    <w:sizeAuto/>
                    <w:default w:val="0"/>
                  </w:checkBox>
                </w:ffData>
              </w:fldChar>
            </w:r>
            <w:r w:rsidRPr="003321A9">
              <w:rPr>
                <w:rFonts w:ascii="Arial Narrow" w:hAnsi="Arial Narrow"/>
                <w:snapToGrid/>
                <w:sz w:val="20"/>
                <w:lang w:eastAsia="en-AU"/>
              </w:rPr>
              <w:instrText xml:space="preserve"> FORMCHECKBOX </w:instrText>
            </w:r>
            <w:r w:rsidR="00D412C2">
              <w:rPr>
                <w:rFonts w:ascii="Arial Narrow" w:hAnsi="Arial Narrow"/>
                <w:snapToGrid/>
                <w:sz w:val="20"/>
                <w:lang w:eastAsia="en-AU"/>
              </w:rPr>
            </w:r>
            <w:r w:rsidR="00D412C2">
              <w:rPr>
                <w:rFonts w:ascii="Arial Narrow" w:hAnsi="Arial Narrow"/>
                <w:snapToGrid/>
                <w:sz w:val="20"/>
                <w:lang w:eastAsia="en-AU"/>
              </w:rPr>
              <w:fldChar w:fldCharType="separate"/>
            </w:r>
            <w:r w:rsidRPr="003321A9">
              <w:rPr>
                <w:rFonts w:ascii="Arial Narrow" w:hAnsi="Arial Narrow"/>
                <w:snapToGrid/>
                <w:sz w:val="20"/>
                <w:lang w:eastAsia="en-AU"/>
              </w:rPr>
              <w:fldChar w:fldCharType="end"/>
            </w:r>
            <w:r w:rsidRPr="003321A9">
              <w:rPr>
                <w:rFonts w:ascii="Arial Narrow" w:hAnsi="Arial Narrow"/>
                <w:snapToGrid/>
                <w:sz w:val="20"/>
                <w:lang w:eastAsia="en-AU"/>
              </w:rPr>
              <w:t>Streamlined</w:t>
            </w:r>
          </w:p>
          <w:p w:rsidR="00242C66" w:rsidRPr="003321A9" w:rsidRDefault="00242C66" w:rsidP="00D42367">
            <w:pPr>
              <w:widowControl/>
              <w:jc w:val="left"/>
              <w:rPr>
                <w:rFonts w:ascii="Arial Narrow" w:hAnsi="Arial Narrow"/>
                <w:snapToGrid/>
                <w:sz w:val="20"/>
                <w:lang w:eastAsia="en-AU"/>
              </w:rPr>
            </w:pP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b/>
                <w:snapToGrid/>
                <w:sz w:val="20"/>
                <w:lang w:eastAsia="en-AU"/>
              </w:rPr>
            </w:pPr>
            <w:r w:rsidRPr="003321A9">
              <w:rPr>
                <w:rFonts w:ascii="Arial Narrow" w:hAnsi="Arial Narrow"/>
                <w:b/>
                <w:snapToGrid/>
                <w:sz w:val="20"/>
                <w:lang w:eastAsia="en-AU"/>
              </w:rPr>
              <w:t>Treatment criteria:</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To be finalised</w:t>
            </w:r>
          </w:p>
          <w:p w:rsidR="00242C66" w:rsidRPr="003321A9" w:rsidRDefault="00242C66" w:rsidP="00D42367">
            <w:pPr>
              <w:widowControl/>
              <w:jc w:val="left"/>
              <w:rPr>
                <w:rFonts w:ascii="Arial Narrow" w:hAnsi="Arial Narrow"/>
                <w:snapToGrid/>
                <w:sz w:val="20"/>
                <w:lang w:eastAsia="en-AU"/>
              </w:rPr>
            </w:pP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Clinical criteria:</w:t>
            </w:r>
          </w:p>
          <w:p w:rsidR="00242C66" w:rsidRPr="003321A9" w:rsidRDefault="00242C66" w:rsidP="00D42367">
            <w:pPr>
              <w:widowControl/>
              <w:rPr>
                <w:rFonts w:ascii="Arial Narrow" w:hAnsi="Arial Narrow"/>
                <w:snapToGrid/>
                <w:sz w:val="20"/>
                <w:lang w:eastAsia="en-AU"/>
              </w:rPr>
            </w:pP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snapToGrid/>
                <w:sz w:val="20"/>
                <w:lang w:eastAsia="en-AU"/>
              </w:rPr>
            </w:pPr>
            <w:r w:rsidRPr="003321A9">
              <w:rPr>
                <w:rFonts w:ascii="Arial Narrow" w:hAnsi="Arial Narrow"/>
                <w:snapToGrid/>
                <w:sz w:val="20"/>
                <w:lang w:eastAsia="en-AU"/>
              </w:rPr>
              <w:t>To be finalised</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Population criteria:</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snapToGrid/>
                <w:sz w:val="20"/>
                <w:lang w:eastAsia="en-AU"/>
              </w:rPr>
            </w:pPr>
            <w:r w:rsidRPr="003321A9">
              <w:rPr>
                <w:rFonts w:ascii="Arial Narrow" w:hAnsi="Arial Narrow"/>
                <w:snapToGrid/>
                <w:sz w:val="20"/>
                <w:lang w:eastAsia="en-AU"/>
              </w:rPr>
              <w:t>To be finalised</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Prescriber Instructions:</w:t>
            </w: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To be finalised</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Administrative Advice</w:t>
            </w:r>
          </w:p>
          <w:p w:rsidR="00242C66" w:rsidRPr="003321A9" w:rsidRDefault="00242C66" w:rsidP="00D42367">
            <w:pPr>
              <w:widowControl/>
              <w:rPr>
                <w:rFonts w:ascii="Arial Narrow" w:hAnsi="Arial Narrow"/>
                <w:i/>
                <w:snapToGrid/>
                <w:sz w:val="20"/>
                <w:lang w:eastAsia="en-AU"/>
              </w:rPr>
            </w:pP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To be finalised</w:t>
            </w:r>
          </w:p>
        </w:tc>
      </w:tr>
      <w:tr w:rsidR="00242C66" w:rsidRPr="003321A9" w:rsidTr="00D42367">
        <w:trPr>
          <w:cantSplit/>
          <w:trHeight w:val="360"/>
        </w:trPr>
        <w:tc>
          <w:tcPr>
            <w:tcW w:w="1701" w:type="dxa"/>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rPr>
                <w:rFonts w:ascii="Arial Narrow" w:hAnsi="Arial Narrow"/>
                <w:b/>
                <w:snapToGrid/>
                <w:sz w:val="20"/>
                <w:lang w:eastAsia="en-AU"/>
              </w:rPr>
            </w:pPr>
            <w:r w:rsidRPr="003321A9">
              <w:rPr>
                <w:rFonts w:ascii="Arial Narrow" w:hAnsi="Arial Narrow"/>
                <w:b/>
                <w:snapToGrid/>
                <w:sz w:val="20"/>
                <w:lang w:eastAsia="en-AU"/>
              </w:rPr>
              <w:t>Cautions</w:t>
            </w:r>
          </w:p>
          <w:p w:rsidR="00242C66" w:rsidRPr="003321A9" w:rsidRDefault="00242C66" w:rsidP="00D42367">
            <w:pPr>
              <w:widowControl/>
              <w:rPr>
                <w:rFonts w:ascii="Arial Narrow" w:hAnsi="Arial Narrow"/>
                <w:i/>
                <w:snapToGrid/>
                <w:sz w:val="20"/>
                <w:lang w:eastAsia="en-AU"/>
              </w:rPr>
            </w:pPr>
          </w:p>
        </w:tc>
        <w:tc>
          <w:tcPr>
            <w:tcW w:w="7230" w:type="dxa"/>
            <w:gridSpan w:val="6"/>
            <w:tcBorders>
              <w:top w:val="single" w:sz="4" w:space="0" w:color="auto"/>
              <w:left w:val="single" w:sz="4" w:space="0" w:color="auto"/>
              <w:bottom w:val="single" w:sz="4" w:space="0" w:color="auto"/>
              <w:right w:val="single" w:sz="4" w:space="0" w:color="auto"/>
            </w:tcBorders>
          </w:tcPr>
          <w:p w:rsidR="00242C66" w:rsidRPr="003321A9" w:rsidRDefault="00242C66" w:rsidP="00D42367">
            <w:pPr>
              <w:widowControl/>
              <w:jc w:val="left"/>
              <w:rPr>
                <w:rFonts w:ascii="Arial Narrow" w:hAnsi="Arial Narrow"/>
                <w:snapToGrid/>
                <w:sz w:val="20"/>
                <w:lang w:eastAsia="en-AU"/>
              </w:rPr>
            </w:pPr>
            <w:r w:rsidRPr="003321A9">
              <w:rPr>
                <w:rFonts w:ascii="Arial Narrow" w:hAnsi="Arial Narrow"/>
                <w:snapToGrid/>
                <w:sz w:val="20"/>
                <w:lang w:eastAsia="en-AU"/>
              </w:rPr>
              <w:t>To be finalised</w:t>
            </w:r>
          </w:p>
        </w:tc>
      </w:tr>
    </w:tbl>
    <w:p w:rsidR="0002144F" w:rsidRDefault="0002144F" w:rsidP="00576972">
      <w:pPr>
        <w:widowControl/>
        <w:rPr>
          <w:szCs w:val="22"/>
        </w:rPr>
      </w:pPr>
    </w:p>
    <w:p w:rsidR="00891674" w:rsidRPr="00AB7CDE" w:rsidRDefault="00891674" w:rsidP="00E007C5">
      <w:pPr>
        <w:pStyle w:val="PBACHeading1"/>
        <w:rPr>
          <w:rFonts w:eastAsia="SimSun"/>
        </w:rPr>
      </w:pPr>
      <w:r w:rsidRPr="00AB7CDE">
        <w:rPr>
          <w:rFonts w:eastAsia="SimSun"/>
        </w:rPr>
        <w:t>Context for Decision</w:t>
      </w:r>
    </w:p>
    <w:p w:rsidR="00891674" w:rsidRPr="00AB7CDE" w:rsidRDefault="00891674" w:rsidP="00891674">
      <w:pPr>
        <w:ind w:left="720"/>
        <w:contextualSpacing/>
        <w:rPr>
          <w:rFonts w:eastAsia="SimSun"/>
          <w:b/>
        </w:rPr>
      </w:pPr>
    </w:p>
    <w:p w:rsidR="00891674" w:rsidRPr="00AB7CDE" w:rsidRDefault="00891674" w:rsidP="00891674">
      <w:pPr>
        <w:ind w:left="720"/>
        <w:rPr>
          <w:rFonts w:eastAsia="SimSun"/>
          <w:bCs/>
          <w:szCs w:val="22"/>
        </w:rPr>
      </w:pPr>
      <w:r w:rsidRPr="00AB7CDE">
        <w:rPr>
          <w:rFonts w:eastAsia="SimSun"/>
          <w:bCs/>
          <w:szCs w:val="22"/>
        </w:rPr>
        <w:t xml:space="preserve">The PBAC helps decide whether and, if so, how medicines should be subsidised in </w:t>
      </w:r>
      <w:r w:rsidRPr="00AB7CDE">
        <w:rPr>
          <w:rFonts w:eastAsia="SimSun"/>
          <w:bCs/>
          <w:szCs w:val="22"/>
        </w:rPr>
        <w:lastRenderedPageBreak/>
        <w:t>Australia. It considers submissions in this context. A PBAC decision not to recomm</w:t>
      </w:r>
      <w:bookmarkStart w:id="14" w:name="_GoBack"/>
      <w:bookmarkEnd w:id="14"/>
      <w:r w:rsidRPr="00AB7CDE">
        <w:rPr>
          <w:rFonts w:eastAsia="SimSun"/>
          <w:bCs/>
          <w:szCs w:val="22"/>
        </w:rPr>
        <w:t>end listing or not to recommend changing a listing does not represent a final PBAC view about the merits of the medicine. A company can resubmit to the PBAC or seek independent review of the PBAC decision.</w:t>
      </w:r>
    </w:p>
    <w:p w:rsidR="00891674" w:rsidRPr="00AB7CDE" w:rsidRDefault="00891674" w:rsidP="00891674">
      <w:pPr>
        <w:rPr>
          <w:rFonts w:eastAsia="SimSun"/>
        </w:rPr>
      </w:pPr>
    </w:p>
    <w:p w:rsidR="00891674" w:rsidRPr="00817A47" w:rsidRDefault="00891674" w:rsidP="00E007C5">
      <w:pPr>
        <w:pStyle w:val="PBACHeading1"/>
        <w:rPr>
          <w:rFonts w:eastAsia="SimSun"/>
        </w:rPr>
      </w:pPr>
      <w:r w:rsidRPr="00817A47">
        <w:rPr>
          <w:rFonts w:eastAsia="SimSun"/>
        </w:rPr>
        <w:t>Sponsor’s Comment</w:t>
      </w:r>
    </w:p>
    <w:p w:rsidR="00891674" w:rsidRPr="00817A47" w:rsidRDefault="00891674" w:rsidP="00891674">
      <w:pPr>
        <w:rPr>
          <w:b/>
          <w:bCs/>
          <w:szCs w:val="22"/>
        </w:rPr>
      </w:pPr>
    </w:p>
    <w:p w:rsidR="00891674" w:rsidRPr="00817A47" w:rsidRDefault="00817A47" w:rsidP="00817A47">
      <w:pPr>
        <w:ind w:left="720"/>
        <w:rPr>
          <w:bCs/>
          <w:szCs w:val="22"/>
        </w:rPr>
      </w:pPr>
      <w:r w:rsidRPr="00817A47">
        <w:rPr>
          <w:bCs/>
          <w:szCs w:val="22"/>
        </w:rPr>
        <w:t xml:space="preserve">The Sponsor had no comment. </w:t>
      </w:r>
    </w:p>
    <w:p w:rsidR="00891674" w:rsidRDefault="00891674" w:rsidP="00891674">
      <w:pPr>
        <w:rPr>
          <w:b/>
          <w:bCs/>
          <w:szCs w:val="22"/>
        </w:rPr>
      </w:pPr>
    </w:p>
    <w:p w:rsidR="00891674" w:rsidRDefault="00891674" w:rsidP="00891674">
      <w:pPr>
        <w:rPr>
          <w:szCs w:val="22"/>
        </w:rPr>
      </w:pPr>
    </w:p>
    <w:p w:rsidR="00891674" w:rsidRDefault="00891674" w:rsidP="00891674">
      <w:pPr>
        <w:rPr>
          <w:szCs w:val="22"/>
        </w:rPr>
      </w:pPr>
    </w:p>
    <w:p w:rsidR="00891674" w:rsidRDefault="00891674" w:rsidP="00891674">
      <w:pPr>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Default="0002144F" w:rsidP="00576972">
      <w:pPr>
        <w:widowControl/>
        <w:rPr>
          <w:szCs w:val="22"/>
        </w:rPr>
      </w:pPr>
    </w:p>
    <w:p w:rsidR="0002144F" w:rsidRPr="00836259" w:rsidRDefault="0002144F" w:rsidP="0002144F">
      <w:pPr>
        <w:widowControl/>
        <w:jc w:val="left"/>
        <w:rPr>
          <w:rFonts w:cs="Times New Roman"/>
          <w:snapToGrid/>
          <w:sz w:val="24"/>
          <w:szCs w:val="24"/>
          <w:lang w:eastAsia="en-AU"/>
        </w:rPr>
      </w:pPr>
    </w:p>
    <w:p w:rsidR="0002144F" w:rsidRPr="00836259" w:rsidRDefault="0002144F" w:rsidP="0002144F">
      <w:pPr>
        <w:keepNext/>
        <w:keepLines/>
        <w:widowControl/>
        <w:snapToGrid w:val="0"/>
      </w:pPr>
    </w:p>
    <w:p w:rsidR="0002144F" w:rsidRDefault="0002144F" w:rsidP="00576972">
      <w:pPr>
        <w:widowControl/>
        <w:rPr>
          <w:szCs w:val="22"/>
        </w:rPr>
      </w:pPr>
    </w:p>
    <w:sectPr w:rsidR="0002144F" w:rsidSect="003D20DE">
      <w:headerReference w:type="default" r:id="rId9"/>
      <w:footerReference w:type="default" r:id="rId1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C2" w:rsidRDefault="00D412C2" w:rsidP="00124A51">
      <w:r>
        <w:separator/>
      </w:r>
    </w:p>
  </w:endnote>
  <w:endnote w:type="continuationSeparator" w:id="0">
    <w:p w:rsidR="00D412C2" w:rsidRDefault="00D412C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altName w:val="Times New Roman"/>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s Gothic MT">
    <w:altName w:val="Segoe Script"/>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211112"/>
      <w:docPartObj>
        <w:docPartGallery w:val="Page Numbers (Bottom of Page)"/>
        <w:docPartUnique/>
      </w:docPartObj>
    </w:sdtPr>
    <w:sdtEndPr>
      <w:rPr>
        <w:noProof/>
      </w:rPr>
    </w:sdtEndPr>
    <w:sdtContent>
      <w:p w:rsidR="00EA37E8" w:rsidRDefault="00EA37E8">
        <w:pPr>
          <w:pStyle w:val="Footer"/>
          <w:jc w:val="center"/>
        </w:pPr>
        <w:r>
          <w:fldChar w:fldCharType="begin"/>
        </w:r>
        <w:r>
          <w:instrText xml:space="preserve"> PAGE   \* MERGEFORMAT </w:instrText>
        </w:r>
        <w:r>
          <w:fldChar w:fldCharType="separate"/>
        </w:r>
        <w:r w:rsidR="00D412C2">
          <w:rPr>
            <w:noProof/>
          </w:rPr>
          <w:t>11</w:t>
        </w:r>
        <w:r>
          <w:rPr>
            <w:noProof/>
          </w:rPr>
          <w:fldChar w:fldCharType="end"/>
        </w:r>
      </w:p>
    </w:sdtContent>
  </w:sdt>
  <w:p w:rsidR="00EA37E8" w:rsidRDefault="00EA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C2" w:rsidRDefault="00D412C2" w:rsidP="00124A51">
      <w:r>
        <w:separator/>
      </w:r>
    </w:p>
  </w:footnote>
  <w:footnote w:type="continuationSeparator" w:id="0">
    <w:p w:rsidR="00D412C2" w:rsidRDefault="00D412C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E8" w:rsidRPr="007F2A9E" w:rsidRDefault="00EA37E8" w:rsidP="007F2A9E">
    <w:pPr>
      <w:widowControl/>
      <w:tabs>
        <w:tab w:val="center" w:pos="4513"/>
        <w:tab w:val="right" w:pos="9026"/>
      </w:tabs>
      <w:jc w:val="center"/>
      <w:rPr>
        <w:i/>
        <w:color w:val="808080"/>
      </w:rPr>
    </w:pPr>
    <w:r w:rsidRPr="00E227F1">
      <w:rPr>
        <w:i/>
        <w:color w:val="808080"/>
      </w:rPr>
      <w:t>Public Summary Document</w:t>
    </w:r>
    <w:r>
      <w:rPr>
        <w:i/>
        <w:color w:val="808080"/>
      </w:rPr>
      <w:t xml:space="preserve"> </w:t>
    </w:r>
    <w:r w:rsidRPr="007F2A9E">
      <w:rPr>
        <w:i/>
        <w:color w:val="808080"/>
      </w:rPr>
      <w:t>– March 2015 PBAC Meeting</w:t>
    </w:r>
  </w:p>
  <w:p w:rsidR="00EA37E8" w:rsidRDefault="00EA37E8" w:rsidP="007F2A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DFA"/>
    <w:multiLevelType w:val="hybridMultilevel"/>
    <w:tmpl w:val="4320857C"/>
    <w:lvl w:ilvl="0" w:tplc="16367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3009C"/>
    <w:multiLevelType w:val="hybridMultilevel"/>
    <w:tmpl w:val="36A49CE2"/>
    <w:lvl w:ilvl="0" w:tplc="DFC8BF7E">
      <w:start w:val="200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88397E"/>
    <w:multiLevelType w:val="hybridMultilevel"/>
    <w:tmpl w:val="9B78B7C8"/>
    <w:lvl w:ilvl="0" w:tplc="D8CEF51A">
      <w:start w:val="1"/>
      <w:numFmt w:val="lowerRoman"/>
      <w:lvlText w:val="(%1)"/>
      <w:lvlJc w:val="left"/>
      <w:pPr>
        <w:ind w:left="1080" w:hanging="720"/>
      </w:pPr>
      <w:rPr>
        <w:rFonts w:hint="default"/>
      </w:rPr>
    </w:lvl>
    <w:lvl w:ilvl="1" w:tplc="F2BA4ABA">
      <w:start w:val="1"/>
      <w:numFmt w:val="lowerLetter"/>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8558C"/>
    <w:multiLevelType w:val="hybridMultilevel"/>
    <w:tmpl w:val="E6E6AE58"/>
    <w:lvl w:ilvl="0" w:tplc="57F6004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4002FB"/>
    <w:multiLevelType w:val="hybridMultilevel"/>
    <w:tmpl w:val="5B36A3AA"/>
    <w:lvl w:ilvl="0" w:tplc="FCBE8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552602"/>
    <w:multiLevelType w:val="hybridMultilevel"/>
    <w:tmpl w:val="6F00EF4E"/>
    <w:lvl w:ilvl="0" w:tplc="57F6004E">
      <w:start w:val="1"/>
      <w:numFmt w:val="lowerLetter"/>
      <w:lvlText w:val="(%1)"/>
      <w:lvlJc w:val="left"/>
      <w:pPr>
        <w:ind w:left="720" w:hanging="360"/>
      </w:pPr>
      <w:rPr>
        <w:rFonts w:hint="default"/>
      </w:rPr>
    </w:lvl>
    <w:lvl w:ilvl="1" w:tplc="57F600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56721"/>
    <w:multiLevelType w:val="hybridMultilevel"/>
    <w:tmpl w:val="3746DFF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1F41C5"/>
    <w:multiLevelType w:val="hybridMultilevel"/>
    <w:tmpl w:val="75B2C224"/>
    <w:lvl w:ilvl="0" w:tplc="57ACC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05BA9"/>
    <w:multiLevelType w:val="hybridMultilevel"/>
    <w:tmpl w:val="0C08030E"/>
    <w:lvl w:ilvl="0" w:tplc="325E9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051A7"/>
    <w:multiLevelType w:val="hybridMultilevel"/>
    <w:tmpl w:val="5CC09A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7B6FC0"/>
    <w:multiLevelType w:val="hybridMultilevel"/>
    <w:tmpl w:val="5B36A3AA"/>
    <w:lvl w:ilvl="0" w:tplc="FCBE8F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005084F"/>
    <w:multiLevelType w:val="hybridMultilevel"/>
    <w:tmpl w:val="EE0A87D6"/>
    <w:lvl w:ilvl="0" w:tplc="57F6004E">
      <w:start w:val="1"/>
      <w:numFmt w:val="lowerLetter"/>
      <w:lvlText w:val="(%1)"/>
      <w:lvlJc w:val="left"/>
      <w:pPr>
        <w:ind w:left="720" w:hanging="360"/>
      </w:pPr>
      <w:rPr>
        <w:rFonts w:hint="default"/>
      </w:rPr>
    </w:lvl>
    <w:lvl w:ilvl="1" w:tplc="57F600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041AE"/>
    <w:multiLevelType w:val="hybridMultilevel"/>
    <w:tmpl w:val="110E9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4">
    <w:nsid w:val="29723333"/>
    <w:multiLevelType w:val="hybridMultilevel"/>
    <w:tmpl w:val="B66CBF6A"/>
    <w:lvl w:ilvl="0" w:tplc="FDDEEF2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CE60FD"/>
    <w:multiLevelType w:val="hybridMultilevel"/>
    <w:tmpl w:val="4FDAD75E"/>
    <w:lvl w:ilvl="0" w:tplc="0C09001B">
      <w:start w:val="1"/>
      <w:numFmt w:val="lowerRoman"/>
      <w:lvlText w:val="%1."/>
      <w:lvlJc w:val="right"/>
      <w:pPr>
        <w:ind w:left="720" w:hanging="360"/>
      </w:pPr>
    </w:lvl>
    <w:lvl w:ilvl="1" w:tplc="FDDEEF2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E15ECD"/>
    <w:multiLevelType w:val="hybridMultilevel"/>
    <w:tmpl w:val="366641C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576FDE"/>
    <w:multiLevelType w:val="hybridMultilevel"/>
    <w:tmpl w:val="D2BC27CA"/>
    <w:lvl w:ilvl="0" w:tplc="599AE7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B14B19"/>
    <w:multiLevelType w:val="hybridMultilevel"/>
    <w:tmpl w:val="A204F75A"/>
    <w:lvl w:ilvl="0" w:tplc="57F6004E">
      <w:start w:val="1"/>
      <w:numFmt w:val="lowerLetter"/>
      <w:lvlText w:val="(%1)"/>
      <w:lvlJc w:val="left"/>
      <w:pPr>
        <w:ind w:left="720" w:hanging="360"/>
      </w:pPr>
      <w:rPr>
        <w:rFonts w:hint="default"/>
      </w:rPr>
    </w:lvl>
    <w:lvl w:ilvl="1" w:tplc="57F600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7D07D8"/>
    <w:multiLevelType w:val="hybridMultilevel"/>
    <w:tmpl w:val="B386AEDA"/>
    <w:lvl w:ilvl="0" w:tplc="1636728A">
      <w:start w:val="1"/>
      <w:numFmt w:val="lowerRoman"/>
      <w:lvlText w:val="(%1)"/>
      <w:lvlJc w:val="left"/>
      <w:pPr>
        <w:ind w:left="720" w:hanging="360"/>
      </w:pPr>
      <w:rPr>
        <w:rFonts w:hint="default"/>
      </w:rPr>
    </w:lvl>
    <w:lvl w:ilvl="1" w:tplc="84A656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C34E2"/>
    <w:multiLevelType w:val="hybridMultilevel"/>
    <w:tmpl w:val="F50684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D6350A"/>
    <w:multiLevelType w:val="hybridMultilevel"/>
    <w:tmpl w:val="FAF87DB6"/>
    <w:lvl w:ilvl="0" w:tplc="16367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A5544"/>
    <w:multiLevelType w:val="hybridMultilevel"/>
    <w:tmpl w:val="BD363748"/>
    <w:lvl w:ilvl="0" w:tplc="16367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nsid w:val="44180A39"/>
    <w:multiLevelType w:val="hybridMultilevel"/>
    <w:tmpl w:val="9E1E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62070C"/>
    <w:multiLevelType w:val="hybridMultilevel"/>
    <w:tmpl w:val="F698D0FC"/>
    <w:lvl w:ilvl="0" w:tplc="599AE71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01861EF"/>
    <w:multiLevelType w:val="hybridMultilevel"/>
    <w:tmpl w:val="C5D64B30"/>
    <w:lvl w:ilvl="0" w:tplc="16367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E20348"/>
    <w:multiLevelType w:val="hybridMultilevel"/>
    <w:tmpl w:val="29CA90D0"/>
    <w:lvl w:ilvl="0" w:tplc="599AE71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2F008E"/>
    <w:multiLevelType w:val="hybridMultilevel"/>
    <w:tmpl w:val="2E20F7EA"/>
    <w:lvl w:ilvl="0" w:tplc="04090017">
      <w:start w:val="1"/>
      <w:numFmt w:val="lowerLetter"/>
      <w:lvlText w:val="%1)"/>
      <w:lvlJc w:val="left"/>
      <w:pPr>
        <w:ind w:left="720" w:hanging="360"/>
      </w:pPr>
    </w:lvl>
    <w:lvl w:ilvl="1" w:tplc="14C4E6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8303E7"/>
    <w:multiLevelType w:val="hybridMultilevel"/>
    <w:tmpl w:val="E2209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50565E"/>
    <w:multiLevelType w:val="hybridMultilevel"/>
    <w:tmpl w:val="4A808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0752AEB"/>
    <w:multiLevelType w:val="hybridMultilevel"/>
    <w:tmpl w:val="B5AC2F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7A6E56"/>
    <w:multiLevelType w:val="hybridMultilevel"/>
    <w:tmpl w:val="48C2B404"/>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E74501"/>
    <w:multiLevelType w:val="hybridMultilevel"/>
    <w:tmpl w:val="0030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2E62EC"/>
    <w:multiLevelType w:val="hybridMultilevel"/>
    <w:tmpl w:val="F102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F9473B"/>
    <w:multiLevelType w:val="hybridMultilevel"/>
    <w:tmpl w:val="E6DC4B84"/>
    <w:lvl w:ilvl="0" w:tplc="16367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70941"/>
    <w:multiLevelType w:val="hybridMultilevel"/>
    <w:tmpl w:val="6EE6C674"/>
    <w:lvl w:ilvl="0" w:tplc="1636728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4D033C"/>
    <w:multiLevelType w:val="multilevel"/>
    <w:tmpl w:val="BAE44CE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BD15F91"/>
    <w:multiLevelType w:val="hybridMultilevel"/>
    <w:tmpl w:val="ECFE6A88"/>
    <w:lvl w:ilvl="0" w:tplc="57F6004E">
      <w:start w:val="1"/>
      <w:numFmt w:val="lowerLetter"/>
      <w:lvlText w:val="(%1)"/>
      <w:lvlJc w:val="left"/>
      <w:pPr>
        <w:ind w:left="720" w:hanging="360"/>
      </w:pPr>
      <w:rPr>
        <w:rFonts w:hint="default"/>
      </w:rPr>
    </w:lvl>
    <w:lvl w:ilvl="1" w:tplc="57F600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B3B10"/>
    <w:multiLevelType w:val="hybridMultilevel"/>
    <w:tmpl w:val="136A4012"/>
    <w:lvl w:ilvl="0" w:tplc="9EB278A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E317E21"/>
    <w:multiLevelType w:val="hybridMultilevel"/>
    <w:tmpl w:val="126614A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735AE1"/>
    <w:multiLevelType w:val="hybridMultilevel"/>
    <w:tmpl w:val="87881330"/>
    <w:lvl w:ilvl="0" w:tplc="F488CFD6">
      <w:numFmt w:val="bullet"/>
      <w:lvlText w:val="-"/>
      <w:lvlJc w:val="left"/>
      <w:pPr>
        <w:ind w:left="1146" w:hanging="360"/>
      </w:pPr>
      <w:rPr>
        <w:rFonts w:ascii="Times New Roman" w:eastAsia="Times New Roman" w:hAnsi="Times New Roman" w:cs="Times New Roman"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4">
    <w:nsid w:val="7F682017"/>
    <w:multiLevelType w:val="hybridMultilevel"/>
    <w:tmpl w:val="B260C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7"/>
  </w:num>
  <w:num w:numId="4">
    <w:abstractNumId w:val="13"/>
  </w:num>
  <w:num w:numId="5">
    <w:abstractNumId w:val="21"/>
  </w:num>
  <w:num w:numId="6">
    <w:abstractNumId w:val="1"/>
  </w:num>
  <w:num w:numId="7">
    <w:abstractNumId w:val="39"/>
  </w:num>
  <w:num w:numId="8">
    <w:abstractNumId w:val="3"/>
  </w:num>
  <w:num w:numId="9">
    <w:abstractNumId w:val="29"/>
  </w:num>
  <w:num w:numId="10">
    <w:abstractNumId w:val="23"/>
  </w:num>
  <w:num w:numId="11">
    <w:abstractNumId w:val="19"/>
  </w:num>
  <w:num w:numId="12">
    <w:abstractNumId w:val="12"/>
  </w:num>
  <w:num w:numId="13">
    <w:abstractNumId w:val="22"/>
  </w:num>
  <w:num w:numId="14">
    <w:abstractNumId w:val="6"/>
  </w:num>
  <w:num w:numId="15">
    <w:abstractNumId w:val="4"/>
  </w:num>
  <w:num w:numId="16">
    <w:abstractNumId w:val="38"/>
  </w:num>
  <w:num w:numId="17">
    <w:abstractNumId w:val="40"/>
  </w:num>
  <w:num w:numId="18">
    <w:abstractNumId w:val="37"/>
  </w:num>
  <w:num w:numId="19">
    <w:abstractNumId w:val="20"/>
  </w:num>
  <w:num w:numId="20">
    <w:abstractNumId w:val="8"/>
  </w:num>
  <w:num w:numId="21">
    <w:abstractNumId w:val="0"/>
  </w:num>
  <w:num w:numId="22">
    <w:abstractNumId w:val="9"/>
  </w:num>
  <w:num w:numId="23">
    <w:abstractNumId w:val="27"/>
  </w:num>
  <w:num w:numId="24">
    <w:abstractNumId w:val="25"/>
  </w:num>
  <w:num w:numId="25">
    <w:abstractNumId w:val="33"/>
  </w:num>
  <w:num w:numId="26">
    <w:abstractNumId w:val="2"/>
  </w:num>
  <w:num w:numId="27">
    <w:abstractNumId w:val="43"/>
  </w:num>
  <w:num w:numId="28">
    <w:abstractNumId w:val="18"/>
  </w:num>
  <w:num w:numId="29">
    <w:abstractNumId w:val="10"/>
  </w:num>
  <w:num w:numId="30">
    <w:abstractNumId w:val="42"/>
  </w:num>
  <w:num w:numId="31">
    <w:abstractNumId w:val="7"/>
  </w:num>
  <w:num w:numId="32">
    <w:abstractNumId w:val="14"/>
  </w:num>
  <w:num w:numId="33">
    <w:abstractNumId w:val="34"/>
  </w:num>
  <w:num w:numId="34">
    <w:abstractNumId w:val="15"/>
  </w:num>
  <w:num w:numId="35">
    <w:abstractNumId w:val="16"/>
  </w:num>
  <w:num w:numId="36">
    <w:abstractNumId w:val="26"/>
  </w:num>
  <w:num w:numId="37">
    <w:abstractNumId w:val="28"/>
  </w:num>
  <w:num w:numId="38">
    <w:abstractNumId w:val="35"/>
  </w:num>
  <w:num w:numId="39">
    <w:abstractNumId w:val="41"/>
  </w:num>
  <w:num w:numId="40">
    <w:abstractNumId w:val="5"/>
  </w:num>
  <w:num w:numId="41">
    <w:abstractNumId w:val="36"/>
  </w:num>
  <w:num w:numId="42">
    <w:abstractNumId w:val="11"/>
  </w:num>
  <w:num w:numId="43">
    <w:abstractNumId w:val="44"/>
  </w:num>
  <w:num w:numId="44">
    <w:abstractNumId w:val="30"/>
  </w:num>
  <w:num w:numId="45">
    <w:abstractNumId w:val="39"/>
  </w:num>
  <w:num w:numId="46">
    <w:abstractNumId w:val="39"/>
  </w:num>
  <w:num w:numId="4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6EC"/>
    <w:rsid w:val="00000790"/>
    <w:rsid w:val="00000E4D"/>
    <w:rsid w:val="0000110B"/>
    <w:rsid w:val="000032DC"/>
    <w:rsid w:val="00003499"/>
    <w:rsid w:val="00013247"/>
    <w:rsid w:val="000157EC"/>
    <w:rsid w:val="00015886"/>
    <w:rsid w:val="000162EF"/>
    <w:rsid w:val="00017EFF"/>
    <w:rsid w:val="0002144F"/>
    <w:rsid w:val="000217B5"/>
    <w:rsid w:val="0002225F"/>
    <w:rsid w:val="00023763"/>
    <w:rsid w:val="00024020"/>
    <w:rsid w:val="00025E19"/>
    <w:rsid w:val="00031BFC"/>
    <w:rsid w:val="000326E9"/>
    <w:rsid w:val="00035C35"/>
    <w:rsid w:val="000404AD"/>
    <w:rsid w:val="00040895"/>
    <w:rsid w:val="0004262B"/>
    <w:rsid w:val="00043C37"/>
    <w:rsid w:val="000546D7"/>
    <w:rsid w:val="00060179"/>
    <w:rsid w:val="00067543"/>
    <w:rsid w:val="00071248"/>
    <w:rsid w:val="000720B9"/>
    <w:rsid w:val="00072BE2"/>
    <w:rsid w:val="00076653"/>
    <w:rsid w:val="00076903"/>
    <w:rsid w:val="000803B4"/>
    <w:rsid w:val="000812CA"/>
    <w:rsid w:val="000842EC"/>
    <w:rsid w:val="00090C7E"/>
    <w:rsid w:val="00091886"/>
    <w:rsid w:val="00091B9D"/>
    <w:rsid w:val="00092E3F"/>
    <w:rsid w:val="00093081"/>
    <w:rsid w:val="00095704"/>
    <w:rsid w:val="000961FE"/>
    <w:rsid w:val="000A096A"/>
    <w:rsid w:val="000A2C79"/>
    <w:rsid w:val="000A727B"/>
    <w:rsid w:val="000B016F"/>
    <w:rsid w:val="000B1677"/>
    <w:rsid w:val="000B1B61"/>
    <w:rsid w:val="000C0E19"/>
    <w:rsid w:val="000C4B58"/>
    <w:rsid w:val="000C6370"/>
    <w:rsid w:val="000C63F1"/>
    <w:rsid w:val="000D1BFC"/>
    <w:rsid w:val="000D4C40"/>
    <w:rsid w:val="000D798A"/>
    <w:rsid w:val="000E1E4E"/>
    <w:rsid w:val="000E6508"/>
    <w:rsid w:val="000E7FB8"/>
    <w:rsid w:val="000F203B"/>
    <w:rsid w:val="000F2B1D"/>
    <w:rsid w:val="000F360B"/>
    <w:rsid w:val="000F4BB8"/>
    <w:rsid w:val="000F7127"/>
    <w:rsid w:val="00100CEA"/>
    <w:rsid w:val="00100F8A"/>
    <w:rsid w:val="0011032E"/>
    <w:rsid w:val="0011348B"/>
    <w:rsid w:val="00116DC7"/>
    <w:rsid w:val="00121799"/>
    <w:rsid w:val="001222FC"/>
    <w:rsid w:val="00124A51"/>
    <w:rsid w:val="00125F0D"/>
    <w:rsid w:val="00126621"/>
    <w:rsid w:val="00126A31"/>
    <w:rsid w:val="001301E9"/>
    <w:rsid w:val="00137645"/>
    <w:rsid w:val="0014015A"/>
    <w:rsid w:val="00140E99"/>
    <w:rsid w:val="00145540"/>
    <w:rsid w:val="001456B0"/>
    <w:rsid w:val="00151E15"/>
    <w:rsid w:val="001543A4"/>
    <w:rsid w:val="00156958"/>
    <w:rsid w:val="00157130"/>
    <w:rsid w:val="00162913"/>
    <w:rsid w:val="00163EFF"/>
    <w:rsid w:val="00165C2F"/>
    <w:rsid w:val="001661FB"/>
    <w:rsid w:val="00167EB3"/>
    <w:rsid w:val="00174B4D"/>
    <w:rsid w:val="0017665B"/>
    <w:rsid w:val="00176D1C"/>
    <w:rsid w:val="00180F23"/>
    <w:rsid w:val="001817E0"/>
    <w:rsid w:val="0018752F"/>
    <w:rsid w:val="0019479F"/>
    <w:rsid w:val="00195222"/>
    <w:rsid w:val="001952A8"/>
    <w:rsid w:val="001975D8"/>
    <w:rsid w:val="001A390A"/>
    <w:rsid w:val="001B3443"/>
    <w:rsid w:val="001C062A"/>
    <w:rsid w:val="001C52C2"/>
    <w:rsid w:val="001C6E66"/>
    <w:rsid w:val="001D189E"/>
    <w:rsid w:val="001D62F0"/>
    <w:rsid w:val="001E238E"/>
    <w:rsid w:val="001E2B1E"/>
    <w:rsid w:val="001E3E3E"/>
    <w:rsid w:val="001E52EB"/>
    <w:rsid w:val="001E740C"/>
    <w:rsid w:val="001F1235"/>
    <w:rsid w:val="001F1CB3"/>
    <w:rsid w:val="001F4A0C"/>
    <w:rsid w:val="001F4E60"/>
    <w:rsid w:val="001F7361"/>
    <w:rsid w:val="0020385F"/>
    <w:rsid w:val="002047A1"/>
    <w:rsid w:val="00205B1F"/>
    <w:rsid w:val="00207021"/>
    <w:rsid w:val="00207D00"/>
    <w:rsid w:val="002105C1"/>
    <w:rsid w:val="00223B49"/>
    <w:rsid w:val="00224DD4"/>
    <w:rsid w:val="00225E47"/>
    <w:rsid w:val="002309CC"/>
    <w:rsid w:val="00231465"/>
    <w:rsid w:val="00232D71"/>
    <w:rsid w:val="00240DC3"/>
    <w:rsid w:val="00242C66"/>
    <w:rsid w:val="00254DCF"/>
    <w:rsid w:val="0025534B"/>
    <w:rsid w:val="00255BB7"/>
    <w:rsid w:val="00262A87"/>
    <w:rsid w:val="00272D6C"/>
    <w:rsid w:val="00275C5A"/>
    <w:rsid w:val="00281014"/>
    <w:rsid w:val="00283BCD"/>
    <w:rsid w:val="00285297"/>
    <w:rsid w:val="002A096A"/>
    <w:rsid w:val="002A14AB"/>
    <w:rsid w:val="002B1C1F"/>
    <w:rsid w:val="002B432F"/>
    <w:rsid w:val="002B6CCE"/>
    <w:rsid w:val="002C2775"/>
    <w:rsid w:val="002C27C1"/>
    <w:rsid w:val="002C3897"/>
    <w:rsid w:val="002C77B6"/>
    <w:rsid w:val="002D5E2C"/>
    <w:rsid w:val="002E1AFA"/>
    <w:rsid w:val="002E2D29"/>
    <w:rsid w:val="002F088E"/>
    <w:rsid w:val="00301017"/>
    <w:rsid w:val="00301615"/>
    <w:rsid w:val="0030786C"/>
    <w:rsid w:val="00307FEE"/>
    <w:rsid w:val="0031031A"/>
    <w:rsid w:val="00310981"/>
    <w:rsid w:val="00314E10"/>
    <w:rsid w:val="00315498"/>
    <w:rsid w:val="00316D0A"/>
    <w:rsid w:val="003321A9"/>
    <w:rsid w:val="003366C9"/>
    <w:rsid w:val="003371B0"/>
    <w:rsid w:val="00342284"/>
    <w:rsid w:val="00345CC7"/>
    <w:rsid w:val="00346A8F"/>
    <w:rsid w:val="0035620E"/>
    <w:rsid w:val="00360F53"/>
    <w:rsid w:val="00372A84"/>
    <w:rsid w:val="0038365C"/>
    <w:rsid w:val="00396982"/>
    <w:rsid w:val="00396DB3"/>
    <w:rsid w:val="00396F58"/>
    <w:rsid w:val="00396FD0"/>
    <w:rsid w:val="003A1A7A"/>
    <w:rsid w:val="003A1D55"/>
    <w:rsid w:val="003A6833"/>
    <w:rsid w:val="003A6B2D"/>
    <w:rsid w:val="003A706C"/>
    <w:rsid w:val="003B14EA"/>
    <w:rsid w:val="003C67F4"/>
    <w:rsid w:val="003D0F7D"/>
    <w:rsid w:val="003D1828"/>
    <w:rsid w:val="003D20DE"/>
    <w:rsid w:val="003D2422"/>
    <w:rsid w:val="003D45CE"/>
    <w:rsid w:val="003E00AC"/>
    <w:rsid w:val="003E725F"/>
    <w:rsid w:val="003F28E8"/>
    <w:rsid w:val="003F383C"/>
    <w:rsid w:val="003F4156"/>
    <w:rsid w:val="003F43E7"/>
    <w:rsid w:val="003F5AB8"/>
    <w:rsid w:val="003F6500"/>
    <w:rsid w:val="003F6CC7"/>
    <w:rsid w:val="0040468C"/>
    <w:rsid w:val="00410708"/>
    <w:rsid w:val="00410EC7"/>
    <w:rsid w:val="00414476"/>
    <w:rsid w:val="00417DA8"/>
    <w:rsid w:val="00420B9F"/>
    <w:rsid w:val="00424616"/>
    <w:rsid w:val="00426490"/>
    <w:rsid w:val="004319F8"/>
    <w:rsid w:val="00433044"/>
    <w:rsid w:val="00435F15"/>
    <w:rsid w:val="00436065"/>
    <w:rsid w:val="0044169A"/>
    <w:rsid w:val="004435BA"/>
    <w:rsid w:val="00443D4E"/>
    <w:rsid w:val="004443A7"/>
    <w:rsid w:val="004458ED"/>
    <w:rsid w:val="004464EB"/>
    <w:rsid w:val="00447D9C"/>
    <w:rsid w:val="004532C7"/>
    <w:rsid w:val="00455D45"/>
    <w:rsid w:val="00457A71"/>
    <w:rsid w:val="0046072A"/>
    <w:rsid w:val="00462D85"/>
    <w:rsid w:val="00464595"/>
    <w:rsid w:val="00465533"/>
    <w:rsid w:val="00473AA3"/>
    <w:rsid w:val="0048024B"/>
    <w:rsid w:val="00482287"/>
    <w:rsid w:val="00483A53"/>
    <w:rsid w:val="004841EC"/>
    <w:rsid w:val="004867E2"/>
    <w:rsid w:val="00486F78"/>
    <w:rsid w:val="00490D2B"/>
    <w:rsid w:val="00491B3A"/>
    <w:rsid w:val="00492CFD"/>
    <w:rsid w:val="0049332D"/>
    <w:rsid w:val="004962D2"/>
    <w:rsid w:val="00496A11"/>
    <w:rsid w:val="00497458"/>
    <w:rsid w:val="0049763A"/>
    <w:rsid w:val="004A0DA1"/>
    <w:rsid w:val="004A1087"/>
    <w:rsid w:val="004A6597"/>
    <w:rsid w:val="004A6D60"/>
    <w:rsid w:val="004B0344"/>
    <w:rsid w:val="004B1CB4"/>
    <w:rsid w:val="004B2F18"/>
    <w:rsid w:val="004B3151"/>
    <w:rsid w:val="004B3DDB"/>
    <w:rsid w:val="004B44FD"/>
    <w:rsid w:val="004B5CFC"/>
    <w:rsid w:val="004C04C3"/>
    <w:rsid w:val="004C1226"/>
    <w:rsid w:val="004C2972"/>
    <w:rsid w:val="004C3438"/>
    <w:rsid w:val="004C49D0"/>
    <w:rsid w:val="004C4AED"/>
    <w:rsid w:val="004D23F7"/>
    <w:rsid w:val="004D2A30"/>
    <w:rsid w:val="004D6BC7"/>
    <w:rsid w:val="004E0EB8"/>
    <w:rsid w:val="004E2ADC"/>
    <w:rsid w:val="004E2F48"/>
    <w:rsid w:val="004E43B2"/>
    <w:rsid w:val="004F1D02"/>
    <w:rsid w:val="004F2600"/>
    <w:rsid w:val="004F2679"/>
    <w:rsid w:val="004F74F5"/>
    <w:rsid w:val="004F7865"/>
    <w:rsid w:val="0050224D"/>
    <w:rsid w:val="00502E37"/>
    <w:rsid w:val="00503D97"/>
    <w:rsid w:val="00505948"/>
    <w:rsid w:val="0050620B"/>
    <w:rsid w:val="00506928"/>
    <w:rsid w:val="005152B5"/>
    <w:rsid w:val="00521319"/>
    <w:rsid w:val="00523C28"/>
    <w:rsid w:val="00523D96"/>
    <w:rsid w:val="00534F4A"/>
    <w:rsid w:val="00537230"/>
    <w:rsid w:val="005377A1"/>
    <w:rsid w:val="00540FE6"/>
    <w:rsid w:val="005456A3"/>
    <w:rsid w:val="00546542"/>
    <w:rsid w:val="00552BD3"/>
    <w:rsid w:val="00555109"/>
    <w:rsid w:val="00564C43"/>
    <w:rsid w:val="00565B9D"/>
    <w:rsid w:val="00565CF3"/>
    <w:rsid w:val="0056696F"/>
    <w:rsid w:val="00575177"/>
    <w:rsid w:val="00575D8D"/>
    <w:rsid w:val="005767F4"/>
    <w:rsid w:val="00576972"/>
    <w:rsid w:val="00576AE9"/>
    <w:rsid w:val="00582D08"/>
    <w:rsid w:val="00583699"/>
    <w:rsid w:val="00583A18"/>
    <w:rsid w:val="005900BB"/>
    <w:rsid w:val="00594281"/>
    <w:rsid w:val="00596D6B"/>
    <w:rsid w:val="005A1C9C"/>
    <w:rsid w:val="005B22A7"/>
    <w:rsid w:val="005B5857"/>
    <w:rsid w:val="005B620E"/>
    <w:rsid w:val="005C1B83"/>
    <w:rsid w:val="005C346B"/>
    <w:rsid w:val="005C420D"/>
    <w:rsid w:val="005D044D"/>
    <w:rsid w:val="005D0DA5"/>
    <w:rsid w:val="005D18AD"/>
    <w:rsid w:val="005D1FD6"/>
    <w:rsid w:val="005D7D93"/>
    <w:rsid w:val="005E20FE"/>
    <w:rsid w:val="005E2C51"/>
    <w:rsid w:val="005E4184"/>
    <w:rsid w:val="005E73C0"/>
    <w:rsid w:val="005F2706"/>
    <w:rsid w:val="005F6A8F"/>
    <w:rsid w:val="005F7800"/>
    <w:rsid w:val="006012D1"/>
    <w:rsid w:val="00607669"/>
    <w:rsid w:val="00612F97"/>
    <w:rsid w:val="00613570"/>
    <w:rsid w:val="00613DC1"/>
    <w:rsid w:val="00616802"/>
    <w:rsid w:val="00617E12"/>
    <w:rsid w:val="00621477"/>
    <w:rsid w:val="006255B5"/>
    <w:rsid w:val="006307C1"/>
    <w:rsid w:val="006316A7"/>
    <w:rsid w:val="00631D6B"/>
    <w:rsid w:val="00633071"/>
    <w:rsid w:val="0063479F"/>
    <w:rsid w:val="006364A1"/>
    <w:rsid w:val="00637BFD"/>
    <w:rsid w:val="00642417"/>
    <w:rsid w:val="00642505"/>
    <w:rsid w:val="006446D6"/>
    <w:rsid w:val="006471CC"/>
    <w:rsid w:val="0065079F"/>
    <w:rsid w:val="00651017"/>
    <w:rsid w:val="00653E3D"/>
    <w:rsid w:val="00663F49"/>
    <w:rsid w:val="00664A3F"/>
    <w:rsid w:val="006702CD"/>
    <w:rsid w:val="00671269"/>
    <w:rsid w:val="00673A62"/>
    <w:rsid w:val="00674E42"/>
    <w:rsid w:val="006766A0"/>
    <w:rsid w:val="00677A8D"/>
    <w:rsid w:val="0068139E"/>
    <w:rsid w:val="00681D34"/>
    <w:rsid w:val="00682112"/>
    <w:rsid w:val="006872BA"/>
    <w:rsid w:val="006917D7"/>
    <w:rsid w:val="00694C79"/>
    <w:rsid w:val="00694F44"/>
    <w:rsid w:val="00696349"/>
    <w:rsid w:val="006A60B3"/>
    <w:rsid w:val="006B2DB4"/>
    <w:rsid w:val="006B41FB"/>
    <w:rsid w:val="006C109D"/>
    <w:rsid w:val="006C2A8E"/>
    <w:rsid w:val="006D015B"/>
    <w:rsid w:val="006D3C7D"/>
    <w:rsid w:val="006D5D5F"/>
    <w:rsid w:val="006D7030"/>
    <w:rsid w:val="006E0C1A"/>
    <w:rsid w:val="006F3F43"/>
    <w:rsid w:val="006F4700"/>
    <w:rsid w:val="006F63A5"/>
    <w:rsid w:val="006F7588"/>
    <w:rsid w:val="00700E6C"/>
    <w:rsid w:val="0070276E"/>
    <w:rsid w:val="00702F8F"/>
    <w:rsid w:val="00706215"/>
    <w:rsid w:val="00707EA0"/>
    <w:rsid w:val="00711A36"/>
    <w:rsid w:val="0071207D"/>
    <w:rsid w:val="0071384A"/>
    <w:rsid w:val="007141E2"/>
    <w:rsid w:val="00717246"/>
    <w:rsid w:val="007172AD"/>
    <w:rsid w:val="007220FB"/>
    <w:rsid w:val="0072416F"/>
    <w:rsid w:val="00726173"/>
    <w:rsid w:val="00727041"/>
    <w:rsid w:val="007312B6"/>
    <w:rsid w:val="00735328"/>
    <w:rsid w:val="0073685B"/>
    <w:rsid w:val="007453A7"/>
    <w:rsid w:val="00746209"/>
    <w:rsid w:val="00747E53"/>
    <w:rsid w:val="00752C0A"/>
    <w:rsid w:val="0075393D"/>
    <w:rsid w:val="00761838"/>
    <w:rsid w:val="0076782F"/>
    <w:rsid w:val="00771C7D"/>
    <w:rsid w:val="00772C5F"/>
    <w:rsid w:val="00774385"/>
    <w:rsid w:val="007762D0"/>
    <w:rsid w:val="007830C4"/>
    <w:rsid w:val="007832F4"/>
    <w:rsid w:val="00783BA9"/>
    <w:rsid w:val="00786E93"/>
    <w:rsid w:val="00792E1F"/>
    <w:rsid w:val="00793698"/>
    <w:rsid w:val="00794648"/>
    <w:rsid w:val="00796E24"/>
    <w:rsid w:val="007A0A12"/>
    <w:rsid w:val="007A1120"/>
    <w:rsid w:val="007A1941"/>
    <w:rsid w:val="007A3181"/>
    <w:rsid w:val="007B2401"/>
    <w:rsid w:val="007B251D"/>
    <w:rsid w:val="007B3FAF"/>
    <w:rsid w:val="007B5A92"/>
    <w:rsid w:val="007B77D1"/>
    <w:rsid w:val="007B7FE3"/>
    <w:rsid w:val="007C236F"/>
    <w:rsid w:val="007C361D"/>
    <w:rsid w:val="007D0B38"/>
    <w:rsid w:val="007D257C"/>
    <w:rsid w:val="007D275A"/>
    <w:rsid w:val="007D62EB"/>
    <w:rsid w:val="007D6DDD"/>
    <w:rsid w:val="007E5EB5"/>
    <w:rsid w:val="007F1017"/>
    <w:rsid w:val="007F2A9E"/>
    <w:rsid w:val="007F4A3F"/>
    <w:rsid w:val="007F7E24"/>
    <w:rsid w:val="00805142"/>
    <w:rsid w:val="00805CED"/>
    <w:rsid w:val="00807A8B"/>
    <w:rsid w:val="00810D0B"/>
    <w:rsid w:val="00812149"/>
    <w:rsid w:val="00813E73"/>
    <w:rsid w:val="008166EF"/>
    <w:rsid w:val="00816965"/>
    <w:rsid w:val="00817A47"/>
    <w:rsid w:val="00821CF4"/>
    <w:rsid w:val="008264EB"/>
    <w:rsid w:val="00826E03"/>
    <w:rsid w:val="00833B05"/>
    <w:rsid w:val="00834202"/>
    <w:rsid w:val="008342FE"/>
    <w:rsid w:val="008364A2"/>
    <w:rsid w:val="008374C4"/>
    <w:rsid w:val="00840CA2"/>
    <w:rsid w:val="00842894"/>
    <w:rsid w:val="00850F2B"/>
    <w:rsid w:val="00851C83"/>
    <w:rsid w:val="00852908"/>
    <w:rsid w:val="008550FD"/>
    <w:rsid w:val="00856E9A"/>
    <w:rsid w:val="00862502"/>
    <w:rsid w:val="00866E6C"/>
    <w:rsid w:val="0087589B"/>
    <w:rsid w:val="008813C7"/>
    <w:rsid w:val="00882874"/>
    <w:rsid w:val="00882C0F"/>
    <w:rsid w:val="00883787"/>
    <w:rsid w:val="00884B33"/>
    <w:rsid w:val="00884DC7"/>
    <w:rsid w:val="00885D8A"/>
    <w:rsid w:val="0088682B"/>
    <w:rsid w:val="00891674"/>
    <w:rsid w:val="0089378C"/>
    <w:rsid w:val="008943B5"/>
    <w:rsid w:val="00894489"/>
    <w:rsid w:val="008945D8"/>
    <w:rsid w:val="00895096"/>
    <w:rsid w:val="0089554D"/>
    <w:rsid w:val="008963A5"/>
    <w:rsid w:val="00896AAF"/>
    <w:rsid w:val="008A0423"/>
    <w:rsid w:val="008A29B7"/>
    <w:rsid w:val="008A3C3E"/>
    <w:rsid w:val="008A6030"/>
    <w:rsid w:val="008A762A"/>
    <w:rsid w:val="008A79DE"/>
    <w:rsid w:val="008B09DF"/>
    <w:rsid w:val="008B14B3"/>
    <w:rsid w:val="008B2246"/>
    <w:rsid w:val="008B7D7E"/>
    <w:rsid w:val="008C11E7"/>
    <w:rsid w:val="008C3C4A"/>
    <w:rsid w:val="008C53BB"/>
    <w:rsid w:val="008C721C"/>
    <w:rsid w:val="008C7487"/>
    <w:rsid w:val="008C7ECB"/>
    <w:rsid w:val="008D0629"/>
    <w:rsid w:val="008D3E34"/>
    <w:rsid w:val="008D3F38"/>
    <w:rsid w:val="008E0D59"/>
    <w:rsid w:val="008E1B9E"/>
    <w:rsid w:val="008F0DA3"/>
    <w:rsid w:val="008F120A"/>
    <w:rsid w:val="008F15F5"/>
    <w:rsid w:val="008F3591"/>
    <w:rsid w:val="008F48EB"/>
    <w:rsid w:val="008F4F0B"/>
    <w:rsid w:val="008F794A"/>
    <w:rsid w:val="008F79F7"/>
    <w:rsid w:val="00900CC0"/>
    <w:rsid w:val="009062A5"/>
    <w:rsid w:val="00906F53"/>
    <w:rsid w:val="009079F4"/>
    <w:rsid w:val="00910E08"/>
    <w:rsid w:val="00911272"/>
    <w:rsid w:val="00913593"/>
    <w:rsid w:val="009151B8"/>
    <w:rsid w:val="0092321C"/>
    <w:rsid w:val="00924AFF"/>
    <w:rsid w:val="00926E70"/>
    <w:rsid w:val="009362BE"/>
    <w:rsid w:val="009362F9"/>
    <w:rsid w:val="00944CE9"/>
    <w:rsid w:val="009471E5"/>
    <w:rsid w:val="009513B5"/>
    <w:rsid w:val="00961AED"/>
    <w:rsid w:val="00962CB9"/>
    <w:rsid w:val="00964312"/>
    <w:rsid w:val="00967984"/>
    <w:rsid w:val="00974451"/>
    <w:rsid w:val="009750A4"/>
    <w:rsid w:val="00980372"/>
    <w:rsid w:val="00983E57"/>
    <w:rsid w:val="0098415A"/>
    <w:rsid w:val="00994A55"/>
    <w:rsid w:val="00994C8C"/>
    <w:rsid w:val="00995F99"/>
    <w:rsid w:val="00996B1A"/>
    <w:rsid w:val="009973F6"/>
    <w:rsid w:val="009A03DD"/>
    <w:rsid w:val="009A3CE9"/>
    <w:rsid w:val="009B3DCB"/>
    <w:rsid w:val="009B3E26"/>
    <w:rsid w:val="009C1204"/>
    <w:rsid w:val="009C30AC"/>
    <w:rsid w:val="009D1384"/>
    <w:rsid w:val="009D5B91"/>
    <w:rsid w:val="009E4C07"/>
    <w:rsid w:val="009F0305"/>
    <w:rsid w:val="009F0A17"/>
    <w:rsid w:val="009F4E23"/>
    <w:rsid w:val="00A03D43"/>
    <w:rsid w:val="00A03D7F"/>
    <w:rsid w:val="00A04380"/>
    <w:rsid w:val="00A04A83"/>
    <w:rsid w:val="00A04D5E"/>
    <w:rsid w:val="00A10A74"/>
    <w:rsid w:val="00A10FCC"/>
    <w:rsid w:val="00A1225F"/>
    <w:rsid w:val="00A13948"/>
    <w:rsid w:val="00A163CA"/>
    <w:rsid w:val="00A24553"/>
    <w:rsid w:val="00A24DDF"/>
    <w:rsid w:val="00A2788B"/>
    <w:rsid w:val="00A27AEC"/>
    <w:rsid w:val="00A30CBF"/>
    <w:rsid w:val="00A32C0B"/>
    <w:rsid w:val="00A35AAB"/>
    <w:rsid w:val="00A35D16"/>
    <w:rsid w:val="00A43C59"/>
    <w:rsid w:val="00A50ECD"/>
    <w:rsid w:val="00A51917"/>
    <w:rsid w:val="00A52729"/>
    <w:rsid w:val="00A52E12"/>
    <w:rsid w:val="00A52FE7"/>
    <w:rsid w:val="00A53675"/>
    <w:rsid w:val="00A54B61"/>
    <w:rsid w:val="00A56B6A"/>
    <w:rsid w:val="00A578DC"/>
    <w:rsid w:val="00A63ADE"/>
    <w:rsid w:val="00A67237"/>
    <w:rsid w:val="00A6725B"/>
    <w:rsid w:val="00A72F2E"/>
    <w:rsid w:val="00A76F7B"/>
    <w:rsid w:val="00A80BB8"/>
    <w:rsid w:val="00A84C0F"/>
    <w:rsid w:val="00A86E8B"/>
    <w:rsid w:val="00A93072"/>
    <w:rsid w:val="00A95912"/>
    <w:rsid w:val="00A959D8"/>
    <w:rsid w:val="00AA28B5"/>
    <w:rsid w:val="00AA2DE0"/>
    <w:rsid w:val="00AB0233"/>
    <w:rsid w:val="00AB042A"/>
    <w:rsid w:val="00AB2D34"/>
    <w:rsid w:val="00AB3430"/>
    <w:rsid w:val="00AB7CFA"/>
    <w:rsid w:val="00AC44A6"/>
    <w:rsid w:val="00AC6226"/>
    <w:rsid w:val="00AC6EF4"/>
    <w:rsid w:val="00AD1FC5"/>
    <w:rsid w:val="00AD79D8"/>
    <w:rsid w:val="00AE0FA8"/>
    <w:rsid w:val="00AE2898"/>
    <w:rsid w:val="00AF1260"/>
    <w:rsid w:val="00B01225"/>
    <w:rsid w:val="00B01D9B"/>
    <w:rsid w:val="00B03CB8"/>
    <w:rsid w:val="00B1127A"/>
    <w:rsid w:val="00B14542"/>
    <w:rsid w:val="00B204B6"/>
    <w:rsid w:val="00B2214B"/>
    <w:rsid w:val="00B32E11"/>
    <w:rsid w:val="00B4076D"/>
    <w:rsid w:val="00B42851"/>
    <w:rsid w:val="00B45940"/>
    <w:rsid w:val="00B47A14"/>
    <w:rsid w:val="00B50DB8"/>
    <w:rsid w:val="00B53905"/>
    <w:rsid w:val="00B54B5B"/>
    <w:rsid w:val="00B5562E"/>
    <w:rsid w:val="00B57000"/>
    <w:rsid w:val="00B60939"/>
    <w:rsid w:val="00B60AFD"/>
    <w:rsid w:val="00B61E48"/>
    <w:rsid w:val="00B62715"/>
    <w:rsid w:val="00B762DE"/>
    <w:rsid w:val="00B818A4"/>
    <w:rsid w:val="00B825AC"/>
    <w:rsid w:val="00B8649C"/>
    <w:rsid w:val="00B90395"/>
    <w:rsid w:val="00B91757"/>
    <w:rsid w:val="00B92D0B"/>
    <w:rsid w:val="00B931FE"/>
    <w:rsid w:val="00B94945"/>
    <w:rsid w:val="00BA0B35"/>
    <w:rsid w:val="00BA176C"/>
    <w:rsid w:val="00BA531E"/>
    <w:rsid w:val="00BB4F4F"/>
    <w:rsid w:val="00BB7405"/>
    <w:rsid w:val="00BC0A3A"/>
    <w:rsid w:val="00BC2267"/>
    <w:rsid w:val="00BC351E"/>
    <w:rsid w:val="00BC6B4A"/>
    <w:rsid w:val="00BD17A0"/>
    <w:rsid w:val="00BD417B"/>
    <w:rsid w:val="00BD4532"/>
    <w:rsid w:val="00BD6CF3"/>
    <w:rsid w:val="00BE2180"/>
    <w:rsid w:val="00BE3456"/>
    <w:rsid w:val="00BE4275"/>
    <w:rsid w:val="00BE4BB5"/>
    <w:rsid w:val="00BF2433"/>
    <w:rsid w:val="00BF2738"/>
    <w:rsid w:val="00BF55C2"/>
    <w:rsid w:val="00BF61C9"/>
    <w:rsid w:val="00BF660F"/>
    <w:rsid w:val="00C0404A"/>
    <w:rsid w:val="00C043D3"/>
    <w:rsid w:val="00C05992"/>
    <w:rsid w:val="00C06FD9"/>
    <w:rsid w:val="00C12FE0"/>
    <w:rsid w:val="00C1332C"/>
    <w:rsid w:val="00C25418"/>
    <w:rsid w:val="00C25910"/>
    <w:rsid w:val="00C25D9C"/>
    <w:rsid w:val="00C26E51"/>
    <w:rsid w:val="00C274B1"/>
    <w:rsid w:val="00C31649"/>
    <w:rsid w:val="00C329BB"/>
    <w:rsid w:val="00C35FEA"/>
    <w:rsid w:val="00C37EFE"/>
    <w:rsid w:val="00C40385"/>
    <w:rsid w:val="00C40AE3"/>
    <w:rsid w:val="00C45A4E"/>
    <w:rsid w:val="00C51B6C"/>
    <w:rsid w:val="00C64A53"/>
    <w:rsid w:val="00C65576"/>
    <w:rsid w:val="00C66023"/>
    <w:rsid w:val="00C66165"/>
    <w:rsid w:val="00C676EF"/>
    <w:rsid w:val="00C750C8"/>
    <w:rsid w:val="00C8106B"/>
    <w:rsid w:val="00C8213F"/>
    <w:rsid w:val="00C86B6C"/>
    <w:rsid w:val="00C8797A"/>
    <w:rsid w:val="00C92CC0"/>
    <w:rsid w:val="00C93705"/>
    <w:rsid w:val="00C938CF"/>
    <w:rsid w:val="00C9461B"/>
    <w:rsid w:val="00C959C2"/>
    <w:rsid w:val="00CA1F8E"/>
    <w:rsid w:val="00CA5245"/>
    <w:rsid w:val="00CA714C"/>
    <w:rsid w:val="00CA7562"/>
    <w:rsid w:val="00CA7B09"/>
    <w:rsid w:val="00CA7EBA"/>
    <w:rsid w:val="00CB0086"/>
    <w:rsid w:val="00CB15DA"/>
    <w:rsid w:val="00CB5B1A"/>
    <w:rsid w:val="00CD18DF"/>
    <w:rsid w:val="00CD1C8D"/>
    <w:rsid w:val="00CD447D"/>
    <w:rsid w:val="00CD6785"/>
    <w:rsid w:val="00CD6ADC"/>
    <w:rsid w:val="00CE0577"/>
    <w:rsid w:val="00CE2CA8"/>
    <w:rsid w:val="00CE6274"/>
    <w:rsid w:val="00CF456B"/>
    <w:rsid w:val="00CF5A22"/>
    <w:rsid w:val="00CF69DF"/>
    <w:rsid w:val="00CF7199"/>
    <w:rsid w:val="00D00EA2"/>
    <w:rsid w:val="00D0262E"/>
    <w:rsid w:val="00D04BFE"/>
    <w:rsid w:val="00D104B4"/>
    <w:rsid w:val="00D110BD"/>
    <w:rsid w:val="00D1158C"/>
    <w:rsid w:val="00D13C3A"/>
    <w:rsid w:val="00D17D6C"/>
    <w:rsid w:val="00D3043C"/>
    <w:rsid w:val="00D349E4"/>
    <w:rsid w:val="00D357FF"/>
    <w:rsid w:val="00D35883"/>
    <w:rsid w:val="00D412C2"/>
    <w:rsid w:val="00D41768"/>
    <w:rsid w:val="00D42367"/>
    <w:rsid w:val="00D46F10"/>
    <w:rsid w:val="00D535D0"/>
    <w:rsid w:val="00D5581F"/>
    <w:rsid w:val="00D619E4"/>
    <w:rsid w:val="00D70186"/>
    <w:rsid w:val="00D73A6E"/>
    <w:rsid w:val="00D760B2"/>
    <w:rsid w:val="00D76A44"/>
    <w:rsid w:val="00D77DC3"/>
    <w:rsid w:val="00D84E6B"/>
    <w:rsid w:val="00D84EF3"/>
    <w:rsid w:val="00D90640"/>
    <w:rsid w:val="00D92207"/>
    <w:rsid w:val="00D93753"/>
    <w:rsid w:val="00D954F3"/>
    <w:rsid w:val="00DA77A5"/>
    <w:rsid w:val="00DB187C"/>
    <w:rsid w:val="00DB610C"/>
    <w:rsid w:val="00DB69F3"/>
    <w:rsid w:val="00DC3875"/>
    <w:rsid w:val="00DC5501"/>
    <w:rsid w:val="00DD22D7"/>
    <w:rsid w:val="00DD3F28"/>
    <w:rsid w:val="00DD4537"/>
    <w:rsid w:val="00DD4E15"/>
    <w:rsid w:val="00DD772D"/>
    <w:rsid w:val="00DE1B09"/>
    <w:rsid w:val="00DE2627"/>
    <w:rsid w:val="00DE4FCB"/>
    <w:rsid w:val="00DE5974"/>
    <w:rsid w:val="00DE7AEC"/>
    <w:rsid w:val="00DF3904"/>
    <w:rsid w:val="00DF5D2B"/>
    <w:rsid w:val="00E00502"/>
    <w:rsid w:val="00E007C5"/>
    <w:rsid w:val="00E04E47"/>
    <w:rsid w:val="00E06AD0"/>
    <w:rsid w:val="00E10149"/>
    <w:rsid w:val="00E1242B"/>
    <w:rsid w:val="00E15DC9"/>
    <w:rsid w:val="00E16372"/>
    <w:rsid w:val="00E20ED6"/>
    <w:rsid w:val="00E21358"/>
    <w:rsid w:val="00E2249B"/>
    <w:rsid w:val="00E22A0D"/>
    <w:rsid w:val="00E25D8F"/>
    <w:rsid w:val="00E2771E"/>
    <w:rsid w:val="00E27A02"/>
    <w:rsid w:val="00E313C5"/>
    <w:rsid w:val="00E37569"/>
    <w:rsid w:val="00E405FE"/>
    <w:rsid w:val="00E41E30"/>
    <w:rsid w:val="00E42681"/>
    <w:rsid w:val="00E428C1"/>
    <w:rsid w:val="00E43D70"/>
    <w:rsid w:val="00E44EB7"/>
    <w:rsid w:val="00E47B2C"/>
    <w:rsid w:val="00E51560"/>
    <w:rsid w:val="00E527EF"/>
    <w:rsid w:val="00E55424"/>
    <w:rsid w:val="00E55BB5"/>
    <w:rsid w:val="00E65E79"/>
    <w:rsid w:val="00E67416"/>
    <w:rsid w:val="00E718B6"/>
    <w:rsid w:val="00E71AAF"/>
    <w:rsid w:val="00E73581"/>
    <w:rsid w:val="00E80D9F"/>
    <w:rsid w:val="00E82278"/>
    <w:rsid w:val="00E83BDF"/>
    <w:rsid w:val="00E86A69"/>
    <w:rsid w:val="00E90008"/>
    <w:rsid w:val="00E96DB5"/>
    <w:rsid w:val="00EA37E8"/>
    <w:rsid w:val="00EA3864"/>
    <w:rsid w:val="00EB15B6"/>
    <w:rsid w:val="00EB4883"/>
    <w:rsid w:val="00EB4916"/>
    <w:rsid w:val="00EB6865"/>
    <w:rsid w:val="00EC00C9"/>
    <w:rsid w:val="00EC061C"/>
    <w:rsid w:val="00EC5E63"/>
    <w:rsid w:val="00ED4B54"/>
    <w:rsid w:val="00EE07D3"/>
    <w:rsid w:val="00EF0D4C"/>
    <w:rsid w:val="00EF6494"/>
    <w:rsid w:val="00F067A2"/>
    <w:rsid w:val="00F07D03"/>
    <w:rsid w:val="00F16AD9"/>
    <w:rsid w:val="00F229B0"/>
    <w:rsid w:val="00F24837"/>
    <w:rsid w:val="00F25700"/>
    <w:rsid w:val="00F2575F"/>
    <w:rsid w:val="00F33DE9"/>
    <w:rsid w:val="00F33E30"/>
    <w:rsid w:val="00F3619A"/>
    <w:rsid w:val="00F44EAB"/>
    <w:rsid w:val="00F4592D"/>
    <w:rsid w:val="00F464A0"/>
    <w:rsid w:val="00F46CB6"/>
    <w:rsid w:val="00F51756"/>
    <w:rsid w:val="00F55E73"/>
    <w:rsid w:val="00F5615F"/>
    <w:rsid w:val="00F60092"/>
    <w:rsid w:val="00F653FE"/>
    <w:rsid w:val="00F66BC1"/>
    <w:rsid w:val="00F7747E"/>
    <w:rsid w:val="00F77B36"/>
    <w:rsid w:val="00F80E5D"/>
    <w:rsid w:val="00F812AA"/>
    <w:rsid w:val="00F837BB"/>
    <w:rsid w:val="00F851CE"/>
    <w:rsid w:val="00F954EA"/>
    <w:rsid w:val="00F97A78"/>
    <w:rsid w:val="00FA24E7"/>
    <w:rsid w:val="00FB2FCB"/>
    <w:rsid w:val="00FC1074"/>
    <w:rsid w:val="00FC1884"/>
    <w:rsid w:val="00FD2100"/>
    <w:rsid w:val="00FD446D"/>
    <w:rsid w:val="00FD5379"/>
    <w:rsid w:val="00FD5C3A"/>
    <w:rsid w:val="00FD70D8"/>
    <w:rsid w:val="00FD731D"/>
    <w:rsid w:val="00FE1C9B"/>
    <w:rsid w:val="00FE3A98"/>
    <w:rsid w:val="00FE4046"/>
    <w:rsid w:val="00FF034B"/>
    <w:rsid w:val="00FF3DCF"/>
    <w:rsid w:val="00FF4808"/>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aliases w:val="PBAC 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E007C5"/>
    <w:pPr>
      <w:ind w:left="0" w:firstLine="0"/>
    </w:pPr>
    <w:rPr>
      <w:sz w:val="28"/>
    </w:rPr>
  </w:style>
  <w:style w:type="character" w:customStyle="1" w:styleId="TitleChar">
    <w:name w:val="Title Char"/>
    <w:basedOn w:val="DefaultParagraphFont"/>
    <w:link w:val="Title"/>
    <w:rsid w:val="00E007C5"/>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styleId="FootnoteText">
    <w:name w:val="footnote text"/>
    <w:basedOn w:val="Normal"/>
    <w:link w:val="FootnoteTextChar"/>
    <w:uiPriority w:val="99"/>
    <w:unhideWhenUsed/>
    <w:rsid w:val="00924AFF"/>
    <w:pPr>
      <w:widowControl/>
    </w:pPr>
    <w:rPr>
      <w:rFonts w:ascii="Sabon" w:eastAsia="SimSun" w:hAnsi="Sabon" w:cs="Times New Roman"/>
      <w:snapToGrid/>
      <w:sz w:val="20"/>
    </w:rPr>
  </w:style>
  <w:style w:type="character" w:customStyle="1" w:styleId="FootnoteTextChar">
    <w:name w:val="Footnote Text Char"/>
    <w:basedOn w:val="DefaultParagraphFont"/>
    <w:link w:val="FootnoteText"/>
    <w:uiPriority w:val="99"/>
    <w:rsid w:val="00924AFF"/>
    <w:rPr>
      <w:rFonts w:ascii="Sabon" w:eastAsia="SimSun" w:hAnsi="Sabon"/>
      <w:lang w:eastAsia="en-US"/>
    </w:rPr>
  </w:style>
  <w:style w:type="character" w:styleId="FootnoteReference">
    <w:name w:val="footnote reference"/>
    <w:basedOn w:val="DefaultParagraphFont"/>
    <w:uiPriority w:val="99"/>
    <w:unhideWhenUsed/>
    <w:rsid w:val="00924AFF"/>
    <w:rPr>
      <w:vertAlign w:val="superscript"/>
    </w:rPr>
  </w:style>
  <w:style w:type="paragraph" w:customStyle="1" w:styleId="PBACTableText">
    <w:name w:val="PBAC Table Text"/>
    <w:basedOn w:val="Normal"/>
    <w:link w:val="PBACTableTextChar"/>
    <w:qFormat/>
    <w:rsid w:val="00496A11"/>
    <w:pPr>
      <w:widowControl/>
      <w:spacing w:before="40" w:after="40"/>
      <w:jc w:val="left"/>
    </w:pPr>
    <w:rPr>
      <w:rFonts w:ascii="News Gothic MT" w:eastAsia="SimSun" w:hAnsi="News Gothic MT" w:cs="Times New Roman"/>
      <w:snapToGrid/>
      <w:sz w:val="20"/>
      <w:lang w:val="en-US"/>
    </w:rPr>
  </w:style>
  <w:style w:type="character" w:customStyle="1" w:styleId="PBACTableTextChar">
    <w:name w:val="PBAC Table Text Char"/>
    <w:basedOn w:val="DefaultParagraphFont"/>
    <w:link w:val="PBACTableText"/>
    <w:rsid w:val="00496A11"/>
    <w:rPr>
      <w:rFonts w:ascii="News Gothic MT" w:eastAsia="SimSun" w:hAnsi="News Gothic MT"/>
      <w:lang w:val="en-US" w:eastAsia="en-US"/>
    </w:rPr>
  </w:style>
  <w:style w:type="paragraph" w:customStyle="1" w:styleId="PBACHeading4">
    <w:name w:val="PBAC Heading 4"/>
    <w:basedOn w:val="Normal"/>
    <w:next w:val="Normal"/>
    <w:qFormat/>
    <w:rsid w:val="00496A11"/>
    <w:pPr>
      <w:keepNext/>
      <w:widowControl/>
      <w:tabs>
        <w:tab w:val="num" w:pos="1418"/>
      </w:tabs>
      <w:spacing w:before="120" w:after="120"/>
      <w:ind w:left="1418" w:hanging="1418"/>
    </w:pPr>
    <w:rPr>
      <w:rFonts w:ascii="Sabon" w:eastAsia="SimSun" w:hAnsi="Sabon" w:cs="Times New Roman"/>
      <w:b/>
      <w:snapToGrid/>
      <w:szCs w:val="24"/>
    </w:rPr>
  </w:style>
  <w:style w:type="paragraph" w:customStyle="1" w:styleId="PBACTableTextBoldLeft">
    <w:name w:val="PBAC Table Text + Bold + Left"/>
    <w:basedOn w:val="PBACTableText"/>
    <w:qFormat/>
    <w:rsid w:val="00496A11"/>
    <w:pPr>
      <w:keepNext/>
    </w:pPr>
    <w:rPr>
      <w:b/>
      <w:bCs/>
    </w:rPr>
  </w:style>
  <w:style w:type="paragraph" w:styleId="EndnoteText">
    <w:name w:val="endnote text"/>
    <w:basedOn w:val="Normal"/>
    <w:link w:val="EndnoteTextChar"/>
    <w:semiHidden/>
    <w:unhideWhenUsed/>
    <w:rsid w:val="00D535D0"/>
    <w:rPr>
      <w:sz w:val="20"/>
    </w:rPr>
  </w:style>
  <w:style w:type="character" w:customStyle="1" w:styleId="EndnoteTextChar">
    <w:name w:val="Endnote Text Char"/>
    <w:basedOn w:val="DefaultParagraphFont"/>
    <w:link w:val="EndnoteText"/>
    <w:semiHidden/>
    <w:rsid w:val="00D535D0"/>
    <w:rPr>
      <w:rFonts w:ascii="Arial" w:hAnsi="Arial" w:cs="Arial"/>
      <w:snapToGrid w:val="0"/>
      <w:lang w:eastAsia="en-US"/>
    </w:rPr>
  </w:style>
  <w:style w:type="character" w:styleId="EndnoteReference">
    <w:name w:val="endnote reference"/>
    <w:basedOn w:val="DefaultParagraphFont"/>
    <w:semiHidden/>
    <w:unhideWhenUsed/>
    <w:rsid w:val="00D535D0"/>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1615"/>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uiPriority w:val="59"/>
    <w:rsid w:val="00C9370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aliases w:val="PBAC 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E007C5"/>
    <w:pPr>
      <w:ind w:left="0" w:firstLine="0"/>
    </w:pPr>
    <w:rPr>
      <w:sz w:val="28"/>
    </w:rPr>
  </w:style>
  <w:style w:type="character" w:customStyle="1" w:styleId="TitleChar">
    <w:name w:val="Title Char"/>
    <w:basedOn w:val="DefaultParagraphFont"/>
    <w:link w:val="Title"/>
    <w:rsid w:val="00E007C5"/>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styleId="FootnoteText">
    <w:name w:val="footnote text"/>
    <w:basedOn w:val="Normal"/>
    <w:link w:val="FootnoteTextChar"/>
    <w:uiPriority w:val="99"/>
    <w:unhideWhenUsed/>
    <w:rsid w:val="00924AFF"/>
    <w:pPr>
      <w:widowControl/>
    </w:pPr>
    <w:rPr>
      <w:rFonts w:ascii="Sabon" w:eastAsia="SimSun" w:hAnsi="Sabon" w:cs="Times New Roman"/>
      <w:snapToGrid/>
      <w:sz w:val="20"/>
    </w:rPr>
  </w:style>
  <w:style w:type="character" w:customStyle="1" w:styleId="FootnoteTextChar">
    <w:name w:val="Footnote Text Char"/>
    <w:basedOn w:val="DefaultParagraphFont"/>
    <w:link w:val="FootnoteText"/>
    <w:uiPriority w:val="99"/>
    <w:rsid w:val="00924AFF"/>
    <w:rPr>
      <w:rFonts w:ascii="Sabon" w:eastAsia="SimSun" w:hAnsi="Sabon"/>
      <w:lang w:eastAsia="en-US"/>
    </w:rPr>
  </w:style>
  <w:style w:type="character" w:styleId="FootnoteReference">
    <w:name w:val="footnote reference"/>
    <w:basedOn w:val="DefaultParagraphFont"/>
    <w:uiPriority w:val="99"/>
    <w:unhideWhenUsed/>
    <w:rsid w:val="00924AFF"/>
    <w:rPr>
      <w:vertAlign w:val="superscript"/>
    </w:rPr>
  </w:style>
  <w:style w:type="paragraph" w:customStyle="1" w:styleId="PBACTableText">
    <w:name w:val="PBAC Table Text"/>
    <w:basedOn w:val="Normal"/>
    <w:link w:val="PBACTableTextChar"/>
    <w:qFormat/>
    <w:rsid w:val="00496A11"/>
    <w:pPr>
      <w:widowControl/>
      <w:spacing w:before="40" w:after="40"/>
      <w:jc w:val="left"/>
    </w:pPr>
    <w:rPr>
      <w:rFonts w:ascii="News Gothic MT" w:eastAsia="SimSun" w:hAnsi="News Gothic MT" w:cs="Times New Roman"/>
      <w:snapToGrid/>
      <w:sz w:val="20"/>
      <w:lang w:val="en-US"/>
    </w:rPr>
  </w:style>
  <w:style w:type="character" w:customStyle="1" w:styleId="PBACTableTextChar">
    <w:name w:val="PBAC Table Text Char"/>
    <w:basedOn w:val="DefaultParagraphFont"/>
    <w:link w:val="PBACTableText"/>
    <w:rsid w:val="00496A11"/>
    <w:rPr>
      <w:rFonts w:ascii="News Gothic MT" w:eastAsia="SimSun" w:hAnsi="News Gothic MT"/>
      <w:lang w:val="en-US" w:eastAsia="en-US"/>
    </w:rPr>
  </w:style>
  <w:style w:type="paragraph" w:customStyle="1" w:styleId="PBACHeading4">
    <w:name w:val="PBAC Heading 4"/>
    <w:basedOn w:val="Normal"/>
    <w:next w:val="Normal"/>
    <w:qFormat/>
    <w:rsid w:val="00496A11"/>
    <w:pPr>
      <w:keepNext/>
      <w:widowControl/>
      <w:tabs>
        <w:tab w:val="num" w:pos="1418"/>
      </w:tabs>
      <w:spacing w:before="120" w:after="120"/>
      <w:ind w:left="1418" w:hanging="1418"/>
    </w:pPr>
    <w:rPr>
      <w:rFonts w:ascii="Sabon" w:eastAsia="SimSun" w:hAnsi="Sabon" w:cs="Times New Roman"/>
      <w:b/>
      <w:snapToGrid/>
      <w:szCs w:val="24"/>
    </w:rPr>
  </w:style>
  <w:style w:type="paragraph" w:customStyle="1" w:styleId="PBACTableTextBoldLeft">
    <w:name w:val="PBAC Table Text + Bold + Left"/>
    <w:basedOn w:val="PBACTableText"/>
    <w:qFormat/>
    <w:rsid w:val="00496A11"/>
    <w:pPr>
      <w:keepNext/>
    </w:pPr>
    <w:rPr>
      <w:b/>
      <w:bCs/>
    </w:rPr>
  </w:style>
  <w:style w:type="paragraph" w:styleId="EndnoteText">
    <w:name w:val="endnote text"/>
    <w:basedOn w:val="Normal"/>
    <w:link w:val="EndnoteTextChar"/>
    <w:semiHidden/>
    <w:unhideWhenUsed/>
    <w:rsid w:val="00D535D0"/>
    <w:rPr>
      <w:sz w:val="20"/>
    </w:rPr>
  </w:style>
  <w:style w:type="character" w:customStyle="1" w:styleId="EndnoteTextChar">
    <w:name w:val="Endnote Text Char"/>
    <w:basedOn w:val="DefaultParagraphFont"/>
    <w:link w:val="EndnoteText"/>
    <w:semiHidden/>
    <w:rsid w:val="00D535D0"/>
    <w:rPr>
      <w:rFonts w:ascii="Arial" w:hAnsi="Arial" w:cs="Arial"/>
      <w:snapToGrid w:val="0"/>
      <w:lang w:eastAsia="en-US"/>
    </w:rPr>
  </w:style>
  <w:style w:type="character" w:styleId="EndnoteReference">
    <w:name w:val="endnote reference"/>
    <w:basedOn w:val="DefaultParagraphFont"/>
    <w:semiHidden/>
    <w:unhideWhenUsed/>
    <w:rsid w:val="00D535D0"/>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01615"/>
    <w:pPr>
      <w:widowControl/>
      <w:spacing w:after="160" w:line="240" w:lineRule="exact"/>
      <w:jc w:val="left"/>
    </w:pPr>
    <w:rPr>
      <w:rFonts w:ascii="Verdana" w:eastAsia="MS Mincho" w:hAnsi="Verdana" w:cs="Verdana"/>
      <w:snapToGrid/>
      <w:sz w:val="20"/>
      <w:lang w:val="en-US"/>
    </w:rPr>
  </w:style>
  <w:style w:type="table" w:customStyle="1" w:styleId="TableGrid1">
    <w:name w:val="Table Grid1"/>
    <w:basedOn w:val="TableNormal"/>
    <w:next w:val="TableGrid"/>
    <w:uiPriority w:val="59"/>
    <w:rsid w:val="00C9370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5B4B-261B-4919-B750-69C33C70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7782</Words>
  <Characters>44362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5.22 Secukinumab</vt:lpstr>
    </vt:vector>
  </TitlesOfParts>
  <LinksUpToDate>false</LinksUpToDate>
  <CharactersWithSpaces>52040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 Secukinumab</dc:title>
  <dc:creator/>
  <cp:lastModifiedBy/>
  <cp:revision>1</cp:revision>
  <dcterms:created xsi:type="dcterms:W3CDTF">2015-06-29T06:55:00Z</dcterms:created>
  <dcterms:modified xsi:type="dcterms:W3CDTF">2015-06-29T06:57:00Z</dcterms:modified>
</cp:coreProperties>
</file>