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78" w:rsidRDefault="001F3C1C" w:rsidP="007B2778">
      <w:pPr>
        <w:pStyle w:val="Title"/>
      </w:pPr>
      <w:bookmarkStart w:id="0" w:name="_Toc409100923"/>
      <w:bookmarkStart w:id="1" w:name="_GoBack"/>
      <w:bookmarkEnd w:id="1"/>
      <w:r w:rsidRPr="007B2778">
        <w:t>5.24</w:t>
      </w:r>
      <w:r w:rsidR="00B60939" w:rsidRPr="007B2778">
        <w:tab/>
      </w:r>
      <w:r w:rsidR="00DF792F" w:rsidRPr="007B2778">
        <w:t>TOFACITINIB</w:t>
      </w:r>
    </w:p>
    <w:p w:rsidR="007B2778" w:rsidRPr="0025331B" w:rsidRDefault="00B60939" w:rsidP="0025331B">
      <w:pPr>
        <w:rPr>
          <w:b/>
          <w:sz w:val="28"/>
          <w:szCs w:val="28"/>
        </w:rPr>
      </w:pPr>
      <w:r w:rsidRPr="007B2778">
        <w:t xml:space="preserve"> </w:t>
      </w:r>
      <w:r w:rsidR="0025331B">
        <w:tab/>
      </w:r>
      <w:r w:rsidR="001F3C1C" w:rsidRPr="0025331B">
        <w:rPr>
          <w:b/>
          <w:sz w:val="28"/>
          <w:szCs w:val="28"/>
        </w:rPr>
        <w:t xml:space="preserve">5 </w:t>
      </w:r>
      <w:r w:rsidR="0025331B">
        <w:rPr>
          <w:b/>
          <w:sz w:val="28"/>
          <w:szCs w:val="28"/>
        </w:rPr>
        <w:t>mg tablet</w:t>
      </w:r>
    </w:p>
    <w:p w:rsidR="00433044" w:rsidRPr="0025331B" w:rsidRDefault="007B2778" w:rsidP="0025331B">
      <w:pPr>
        <w:rPr>
          <w:b/>
          <w:sz w:val="28"/>
          <w:szCs w:val="28"/>
        </w:rPr>
      </w:pPr>
      <w:r w:rsidRPr="0025331B">
        <w:rPr>
          <w:b/>
          <w:sz w:val="28"/>
          <w:szCs w:val="28"/>
        </w:rPr>
        <w:t xml:space="preserve"> </w:t>
      </w:r>
      <w:r w:rsidR="0025331B">
        <w:rPr>
          <w:b/>
          <w:sz w:val="28"/>
          <w:szCs w:val="28"/>
        </w:rPr>
        <w:tab/>
      </w:r>
      <w:r w:rsidRPr="0025331B">
        <w:rPr>
          <w:b/>
          <w:sz w:val="28"/>
          <w:szCs w:val="28"/>
        </w:rPr>
        <w:t>Xeljanz</w:t>
      </w:r>
      <w:r w:rsidR="00B60939" w:rsidRPr="0025331B">
        <w:rPr>
          <w:b/>
          <w:sz w:val="28"/>
          <w:szCs w:val="28"/>
        </w:rPr>
        <w:t>®</w:t>
      </w:r>
      <w:r w:rsidRPr="0025331B">
        <w:rPr>
          <w:b/>
          <w:sz w:val="28"/>
          <w:szCs w:val="28"/>
        </w:rPr>
        <w:t>;</w:t>
      </w:r>
      <w:r w:rsidR="00B60939" w:rsidRPr="0025331B">
        <w:rPr>
          <w:b/>
          <w:sz w:val="28"/>
          <w:szCs w:val="28"/>
        </w:rPr>
        <w:t xml:space="preserve"> </w:t>
      </w:r>
      <w:r w:rsidR="00DF792F" w:rsidRPr="0025331B">
        <w:rPr>
          <w:b/>
          <w:sz w:val="28"/>
          <w:szCs w:val="28"/>
        </w:rPr>
        <w:t>Pfizer Australia Pty Ltd</w:t>
      </w:r>
      <w:bookmarkEnd w:id="0"/>
    </w:p>
    <w:p w:rsidR="00B60939" w:rsidRPr="00742273" w:rsidRDefault="00B60939" w:rsidP="00207D00"/>
    <w:p w:rsidR="001F3C1C" w:rsidRPr="00742273" w:rsidRDefault="001F3C1C" w:rsidP="00207D00"/>
    <w:p w:rsidR="00B50DB8" w:rsidRPr="00742273" w:rsidRDefault="00B50DB8" w:rsidP="00BD6CF3">
      <w:pPr>
        <w:pStyle w:val="PBACHeading1"/>
      </w:pPr>
      <w:bookmarkStart w:id="2" w:name="_Toc409100925"/>
      <w:r w:rsidRPr="00742273">
        <w:t>Purpose of Application</w:t>
      </w:r>
      <w:bookmarkEnd w:id="2"/>
    </w:p>
    <w:p w:rsidR="00B60939" w:rsidRPr="00742273" w:rsidRDefault="00B60939" w:rsidP="006A510D">
      <w:pPr>
        <w:tabs>
          <w:tab w:val="left" w:pos="3945"/>
        </w:tabs>
        <w:rPr>
          <w:szCs w:val="22"/>
        </w:rPr>
      </w:pPr>
    </w:p>
    <w:p w:rsidR="002C2775" w:rsidRPr="00742273" w:rsidRDefault="009A19B9" w:rsidP="00F262A0">
      <w:pPr>
        <w:pStyle w:val="ListParagraph"/>
        <w:widowControl/>
        <w:numPr>
          <w:ilvl w:val="1"/>
          <w:numId w:val="12"/>
        </w:numPr>
        <w:rPr>
          <w:szCs w:val="22"/>
        </w:rPr>
      </w:pPr>
      <w:r w:rsidRPr="00742273">
        <w:t xml:space="preserve">The major submission </w:t>
      </w:r>
      <w:r w:rsidR="008000FA">
        <w:t>sought</w:t>
      </w:r>
      <w:r w:rsidR="008000FA" w:rsidRPr="00742273">
        <w:t xml:space="preserve"> </w:t>
      </w:r>
      <w:r w:rsidRPr="00742273">
        <w:t xml:space="preserve">an </w:t>
      </w:r>
      <w:r w:rsidR="008D2473" w:rsidRPr="00742273">
        <w:t>Authority Required</w:t>
      </w:r>
      <w:r w:rsidR="001E238E" w:rsidRPr="00742273">
        <w:t xml:space="preserve"> listing for </w:t>
      </w:r>
      <w:r w:rsidR="009E1922" w:rsidRPr="00742273">
        <w:t>the treatment</w:t>
      </w:r>
      <w:r w:rsidR="008D2473" w:rsidRPr="00742273">
        <w:t xml:space="preserve"> of severe active rheumatoid arthritis (RA)</w:t>
      </w:r>
      <w:r w:rsidRPr="00742273">
        <w:t xml:space="preserve"> in patients meeting certain criteria</w:t>
      </w:r>
      <w:r w:rsidR="001E238E" w:rsidRPr="00742273">
        <w:t>.</w:t>
      </w:r>
    </w:p>
    <w:p w:rsidR="004E43B2" w:rsidRPr="00742273" w:rsidRDefault="004E43B2" w:rsidP="004B1CB4"/>
    <w:p w:rsidR="001F3C1C" w:rsidRPr="00742273" w:rsidRDefault="001F3C1C" w:rsidP="004B1CB4"/>
    <w:p w:rsidR="00B50DB8" w:rsidRPr="00742273" w:rsidRDefault="00B50DB8" w:rsidP="001F3C1C">
      <w:pPr>
        <w:pStyle w:val="PBACHeading1"/>
        <w:keepNext/>
      </w:pPr>
      <w:bookmarkStart w:id="3" w:name="_Toc409100926"/>
      <w:r w:rsidRPr="00742273">
        <w:t>Requested listing</w:t>
      </w:r>
      <w:bookmarkEnd w:id="3"/>
    </w:p>
    <w:p w:rsidR="00B60939" w:rsidRPr="00742273" w:rsidRDefault="00B60939" w:rsidP="001F3C1C">
      <w:pPr>
        <w:keepNext/>
      </w:pPr>
    </w:p>
    <w:tbl>
      <w:tblPr>
        <w:tblW w:w="4593" w:type="pct"/>
        <w:tblInd w:w="737" w:type="dxa"/>
        <w:tblLayout w:type="fixed"/>
        <w:tblCellMar>
          <w:left w:w="28" w:type="dxa"/>
          <w:right w:w="28" w:type="dxa"/>
        </w:tblCellMar>
        <w:tblLook w:val="0000" w:firstRow="0" w:lastRow="0" w:firstColumn="0" w:lastColumn="0" w:noHBand="0" w:noVBand="0"/>
      </w:tblPr>
      <w:tblGrid>
        <w:gridCol w:w="833"/>
        <w:gridCol w:w="2428"/>
        <w:gridCol w:w="566"/>
        <w:gridCol w:w="567"/>
        <w:gridCol w:w="2127"/>
        <w:gridCol w:w="911"/>
        <w:gridCol w:w="911"/>
      </w:tblGrid>
      <w:tr w:rsidR="008D2473" w:rsidRPr="00742273">
        <w:trPr>
          <w:trHeight w:val="471"/>
        </w:trPr>
        <w:tc>
          <w:tcPr>
            <w:tcW w:w="1954" w:type="pct"/>
            <w:gridSpan w:val="2"/>
            <w:tcBorders>
              <w:bottom w:val="single" w:sz="4" w:space="0" w:color="auto"/>
            </w:tcBorders>
          </w:tcPr>
          <w:p w:rsidR="008D2473" w:rsidRPr="00742273" w:rsidRDefault="008D2473" w:rsidP="008D2473">
            <w:pPr>
              <w:keepNext/>
              <w:rPr>
                <w:rFonts w:ascii="Arial Narrow" w:hAnsi="Arial Narrow"/>
                <w:sz w:val="20"/>
              </w:rPr>
            </w:pPr>
            <w:r w:rsidRPr="00742273">
              <w:rPr>
                <w:rFonts w:ascii="Arial Narrow" w:hAnsi="Arial Narrow"/>
                <w:sz w:val="20"/>
              </w:rPr>
              <w:t>Name, Restriction,</w:t>
            </w:r>
          </w:p>
          <w:p w:rsidR="008D2473" w:rsidRPr="00742273" w:rsidRDefault="008D2473" w:rsidP="008D2473">
            <w:pPr>
              <w:keepNext/>
              <w:rPr>
                <w:rFonts w:ascii="Arial Narrow" w:hAnsi="Arial Narrow"/>
                <w:sz w:val="20"/>
              </w:rPr>
            </w:pPr>
            <w:r w:rsidRPr="00742273">
              <w:rPr>
                <w:rFonts w:ascii="Arial Narrow" w:hAnsi="Arial Narrow"/>
                <w:sz w:val="20"/>
              </w:rPr>
              <w:t>Manner of administration and form</w:t>
            </w:r>
          </w:p>
        </w:tc>
        <w:tc>
          <w:tcPr>
            <w:tcW w:w="339" w:type="pct"/>
            <w:tcBorders>
              <w:bottom w:val="single" w:sz="4" w:space="0" w:color="auto"/>
            </w:tcBorders>
          </w:tcPr>
          <w:p w:rsidR="008D2473" w:rsidRPr="00742273" w:rsidRDefault="008D2473" w:rsidP="008D2473">
            <w:pPr>
              <w:keepNext/>
              <w:jc w:val="center"/>
              <w:rPr>
                <w:rFonts w:ascii="Arial Narrow" w:hAnsi="Arial Narrow"/>
                <w:sz w:val="20"/>
              </w:rPr>
            </w:pPr>
            <w:r w:rsidRPr="00742273">
              <w:rPr>
                <w:rFonts w:ascii="Arial Narrow" w:hAnsi="Arial Narrow"/>
                <w:sz w:val="20"/>
              </w:rPr>
              <w:t>Max.</w:t>
            </w:r>
          </w:p>
          <w:p w:rsidR="008D2473" w:rsidRPr="00742273" w:rsidRDefault="008D2473" w:rsidP="008D2473">
            <w:pPr>
              <w:keepNext/>
              <w:jc w:val="center"/>
              <w:rPr>
                <w:rFonts w:ascii="Arial Narrow" w:hAnsi="Arial Narrow"/>
                <w:sz w:val="20"/>
              </w:rPr>
            </w:pPr>
            <w:r w:rsidRPr="00742273">
              <w:rPr>
                <w:rFonts w:ascii="Arial Narrow" w:hAnsi="Arial Narrow"/>
                <w:sz w:val="20"/>
              </w:rPr>
              <w:t>Qty</w:t>
            </w:r>
          </w:p>
        </w:tc>
        <w:tc>
          <w:tcPr>
            <w:tcW w:w="340" w:type="pct"/>
            <w:tcBorders>
              <w:bottom w:val="single" w:sz="4" w:space="0" w:color="auto"/>
            </w:tcBorders>
          </w:tcPr>
          <w:p w:rsidR="008D2473" w:rsidRPr="00742273" w:rsidRDefault="008D2473" w:rsidP="008D2473">
            <w:pPr>
              <w:keepNext/>
              <w:jc w:val="center"/>
              <w:rPr>
                <w:rFonts w:ascii="Arial Narrow" w:hAnsi="Arial Narrow"/>
                <w:sz w:val="20"/>
              </w:rPr>
            </w:pPr>
            <w:r w:rsidRPr="00742273">
              <w:rPr>
                <w:rFonts w:ascii="Times New Roman" w:hAnsi="Times New Roman" w:cs="Times New Roman"/>
                <w:sz w:val="20"/>
              </w:rPr>
              <w:t>№</w:t>
            </w:r>
            <w:r w:rsidRPr="00742273">
              <w:rPr>
                <w:rFonts w:ascii="Arial Narrow" w:hAnsi="Arial Narrow"/>
                <w:sz w:val="20"/>
              </w:rPr>
              <w:t>.of</w:t>
            </w:r>
          </w:p>
          <w:p w:rsidR="008D2473" w:rsidRPr="00742273" w:rsidRDefault="008D2473" w:rsidP="008D2473">
            <w:pPr>
              <w:keepNext/>
              <w:jc w:val="center"/>
              <w:rPr>
                <w:rFonts w:ascii="Arial Narrow" w:hAnsi="Arial Narrow"/>
                <w:sz w:val="20"/>
              </w:rPr>
            </w:pPr>
            <w:r w:rsidRPr="00742273">
              <w:rPr>
                <w:rFonts w:ascii="Arial Narrow" w:hAnsi="Arial Narrow"/>
                <w:sz w:val="20"/>
              </w:rPr>
              <w:t>Rpts</w:t>
            </w:r>
          </w:p>
        </w:tc>
        <w:tc>
          <w:tcPr>
            <w:tcW w:w="1275" w:type="pct"/>
            <w:tcBorders>
              <w:bottom w:val="single" w:sz="4" w:space="0" w:color="auto"/>
            </w:tcBorders>
          </w:tcPr>
          <w:p w:rsidR="008D2473" w:rsidRPr="00742273" w:rsidRDefault="008D2473" w:rsidP="008D2473">
            <w:pPr>
              <w:keepNext/>
              <w:jc w:val="center"/>
              <w:rPr>
                <w:rFonts w:ascii="Arial Narrow" w:hAnsi="Arial Narrow"/>
                <w:sz w:val="20"/>
              </w:rPr>
            </w:pPr>
            <w:r w:rsidRPr="00742273">
              <w:rPr>
                <w:rFonts w:ascii="Arial Narrow" w:hAnsi="Arial Narrow"/>
                <w:sz w:val="20"/>
              </w:rPr>
              <w:t>Dispensed Price for Max. Qty</w:t>
            </w:r>
          </w:p>
        </w:tc>
        <w:tc>
          <w:tcPr>
            <w:tcW w:w="1092" w:type="pct"/>
            <w:gridSpan w:val="2"/>
            <w:tcBorders>
              <w:bottom w:val="single" w:sz="4" w:space="0" w:color="auto"/>
            </w:tcBorders>
          </w:tcPr>
          <w:p w:rsidR="008D2473" w:rsidRPr="00742273" w:rsidRDefault="008D2473" w:rsidP="008D2473">
            <w:pPr>
              <w:keepNext/>
              <w:jc w:val="center"/>
              <w:rPr>
                <w:rFonts w:ascii="Arial Narrow" w:hAnsi="Arial Narrow"/>
                <w:sz w:val="20"/>
                <w:lang w:val="fr-FR"/>
              </w:rPr>
            </w:pPr>
            <w:r w:rsidRPr="00742273">
              <w:rPr>
                <w:rFonts w:ascii="Arial Narrow" w:hAnsi="Arial Narrow"/>
                <w:sz w:val="20"/>
              </w:rPr>
              <w:t>Proprietary Name and Manufacturer</w:t>
            </w:r>
          </w:p>
        </w:tc>
      </w:tr>
      <w:tr w:rsidR="008D2473" w:rsidRPr="00742273">
        <w:trPr>
          <w:trHeight w:val="577"/>
        </w:trPr>
        <w:tc>
          <w:tcPr>
            <w:tcW w:w="1954" w:type="pct"/>
            <w:gridSpan w:val="2"/>
          </w:tcPr>
          <w:p w:rsidR="009E1922" w:rsidRPr="00742273" w:rsidRDefault="009E1922" w:rsidP="008D2473">
            <w:pPr>
              <w:keepNext/>
              <w:rPr>
                <w:rFonts w:ascii="Arial Narrow" w:hAnsi="Arial Narrow"/>
                <w:sz w:val="20"/>
              </w:rPr>
            </w:pPr>
            <w:r w:rsidRPr="00742273">
              <w:rPr>
                <w:rFonts w:ascii="Arial Narrow" w:hAnsi="Arial Narrow"/>
                <w:sz w:val="20"/>
              </w:rPr>
              <w:t xml:space="preserve">TOFACITINIB </w:t>
            </w:r>
          </w:p>
          <w:p w:rsidR="009E1922" w:rsidRPr="00742273" w:rsidRDefault="009E1922" w:rsidP="008D2473">
            <w:pPr>
              <w:keepNext/>
              <w:rPr>
                <w:rFonts w:ascii="Arial Narrow" w:hAnsi="Arial Narrow"/>
                <w:b/>
                <w:sz w:val="20"/>
              </w:rPr>
            </w:pPr>
          </w:p>
          <w:p w:rsidR="008D2473" w:rsidRPr="00742273" w:rsidRDefault="009E1922" w:rsidP="008D2473">
            <w:pPr>
              <w:keepNext/>
              <w:rPr>
                <w:rFonts w:ascii="Arial Narrow" w:hAnsi="Arial Narrow"/>
                <w:sz w:val="20"/>
                <w:u w:val="single"/>
              </w:rPr>
            </w:pPr>
            <w:r w:rsidRPr="00742273">
              <w:rPr>
                <w:rFonts w:ascii="Arial Narrow" w:hAnsi="Arial Narrow"/>
                <w:sz w:val="20"/>
                <w:u w:val="single"/>
              </w:rPr>
              <w:t>I</w:t>
            </w:r>
            <w:r w:rsidR="008D2473" w:rsidRPr="00742273">
              <w:rPr>
                <w:rFonts w:ascii="Arial Narrow" w:hAnsi="Arial Narrow"/>
                <w:sz w:val="20"/>
                <w:u w:val="single"/>
              </w:rPr>
              <w:t>nitial Treatment</w:t>
            </w:r>
          </w:p>
          <w:p w:rsidR="008D2473" w:rsidRPr="00742273" w:rsidRDefault="008D2473" w:rsidP="008D2473">
            <w:pPr>
              <w:keepNext/>
              <w:rPr>
                <w:rFonts w:ascii="Arial Narrow" w:hAnsi="Arial Narrow"/>
                <w:sz w:val="20"/>
              </w:rPr>
            </w:pPr>
            <w:r w:rsidRPr="00742273">
              <w:rPr>
                <w:rFonts w:ascii="Arial Narrow" w:hAnsi="Arial Narrow"/>
                <w:sz w:val="20"/>
              </w:rPr>
              <w:t>Tablet 5</w:t>
            </w:r>
            <w:r w:rsidR="00795AB8" w:rsidRPr="00742273">
              <w:rPr>
                <w:rFonts w:ascii="Arial Narrow" w:hAnsi="Arial Narrow"/>
                <w:sz w:val="20"/>
              </w:rPr>
              <w:t xml:space="preserve"> </w:t>
            </w:r>
            <w:r w:rsidRPr="00742273">
              <w:rPr>
                <w:rFonts w:ascii="Arial Narrow" w:hAnsi="Arial Narrow"/>
                <w:sz w:val="20"/>
              </w:rPr>
              <w:t>mg, 56</w:t>
            </w:r>
          </w:p>
          <w:p w:rsidR="009E1922" w:rsidRPr="00742273" w:rsidRDefault="009E1922" w:rsidP="008D2473">
            <w:pPr>
              <w:keepNext/>
              <w:rPr>
                <w:rFonts w:ascii="Arial Narrow" w:hAnsi="Arial Narrow"/>
                <w:sz w:val="20"/>
              </w:rPr>
            </w:pPr>
          </w:p>
        </w:tc>
        <w:tc>
          <w:tcPr>
            <w:tcW w:w="339" w:type="pct"/>
            <w:vAlign w:val="center"/>
          </w:tcPr>
          <w:p w:rsidR="008D2473" w:rsidRPr="00742273" w:rsidRDefault="008D2473" w:rsidP="008D2473">
            <w:pPr>
              <w:keepNext/>
              <w:jc w:val="center"/>
              <w:rPr>
                <w:rFonts w:ascii="Arial Narrow" w:hAnsi="Arial Narrow"/>
                <w:sz w:val="20"/>
              </w:rPr>
            </w:pPr>
            <w:r w:rsidRPr="00742273">
              <w:rPr>
                <w:rFonts w:ascii="Arial Narrow" w:hAnsi="Arial Narrow"/>
                <w:sz w:val="20"/>
              </w:rPr>
              <w:t>1</w:t>
            </w:r>
          </w:p>
        </w:tc>
        <w:tc>
          <w:tcPr>
            <w:tcW w:w="340" w:type="pct"/>
            <w:vAlign w:val="center"/>
          </w:tcPr>
          <w:p w:rsidR="008D2473" w:rsidRPr="00742273" w:rsidRDefault="008D2473" w:rsidP="008D2473">
            <w:pPr>
              <w:keepNext/>
              <w:jc w:val="center"/>
              <w:rPr>
                <w:rFonts w:ascii="Arial Narrow" w:hAnsi="Arial Narrow"/>
                <w:sz w:val="20"/>
              </w:rPr>
            </w:pPr>
            <w:r w:rsidRPr="00742273">
              <w:rPr>
                <w:rFonts w:ascii="Arial Narrow" w:hAnsi="Arial Narrow"/>
                <w:sz w:val="20"/>
              </w:rPr>
              <w:t>3</w:t>
            </w:r>
          </w:p>
        </w:tc>
        <w:tc>
          <w:tcPr>
            <w:tcW w:w="1275" w:type="pct"/>
            <w:vAlign w:val="center"/>
          </w:tcPr>
          <w:p w:rsidR="008D2473" w:rsidRPr="00583CFA" w:rsidRDefault="008D2473" w:rsidP="008D2473">
            <w:pPr>
              <w:keepNext/>
              <w:jc w:val="center"/>
              <w:rPr>
                <w:rFonts w:ascii="Arial Narrow" w:hAnsi="Arial Narrow"/>
                <w:sz w:val="20"/>
              </w:rPr>
            </w:pPr>
            <w:r w:rsidRPr="002D2B9F">
              <w:rPr>
                <w:rFonts w:ascii="Arial Narrow" w:hAnsi="Arial Narrow"/>
                <w:sz w:val="20"/>
              </w:rPr>
              <w:t>$</w:t>
            </w:r>
            <w:r w:rsidR="00583CFA">
              <w:rPr>
                <w:rFonts w:ascii="Arial Narrow" w:hAnsi="Arial Narrow"/>
                <w:noProof/>
                <w:color w:val="000000"/>
                <w:sz w:val="20"/>
                <w:highlight w:val="black"/>
              </w:rPr>
              <w:t>''''''''''''''''''</w:t>
            </w:r>
          </w:p>
          <w:p w:rsidR="008D2473" w:rsidRPr="002D2B9F" w:rsidRDefault="008D2473" w:rsidP="008D2473">
            <w:pPr>
              <w:keepNext/>
              <w:jc w:val="center"/>
              <w:rPr>
                <w:rFonts w:ascii="Arial Narrow" w:hAnsi="Arial Narrow"/>
                <w:sz w:val="20"/>
              </w:rPr>
            </w:pPr>
            <w:r w:rsidRPr="002D2B9F">
              <w:rPr>
                <w:rFonts w:ascii="Arial Narrow" w:hAnsi="Arial Narrow"/>
                <w:sz w:val="20"/>
              </w:rPr>
              <w:t>(effective price: $</w:t>
            </w:r>
            <w:r w:rsidR="00583CFA">
              <w:rPr>
                <w:rFonts w:ascii="Arial Narrow" w:hAnsi="Arial Narrow"/>
                <w:noProof/>
                <w:color w:val="000000"/>
                <w:sz w:val="20"/>
                <w:highlight w:val="black"/>
              </w:rPr>
              <w:t>''''''''''''''''''''</w:t>
            </w:r>
            <w:r w:rsidRPr="002D2B9F">
              <w:rPr>
                <w:rFonts w:ascii="Arial Narrow" w:hAnsi="Arial Narrow"/>
                <w:sz w:val="20"/>
              </w:rPr>
              <w:t>)</w:t>
            </w:r>
          </w:p>
        </w:tc>
        <w:tc>
          <w:tcPr>
            <w:tcW w:w="546" w:type="pct"/>
            <w:vMerge w:val="restart"/>
            <w:vAlign w:val="center"/>
          </w:tcPr>
          <w:p w:rsidR="008D2473" w:rsidRPr="002D2B9F" w:rsidRDefault="008D2473" w:rsidP="009E1922">
            <w:pPr>
              <w:keepNext/>
              <w:rPr>
                <w:rFonts w:ascii="Arial Narrow" w:hAnsi="Arial Narrow"/>
                <w:sz w:val="20"/>
              </w:rPr>
            </w:pPr>
            <w:r w:rsidRPr="002D2B9F">
              <w:rPr>
                <w:rFonts w:ascii="Arial Narrow" w:hAnsi="Arial Narrow"/>
                <w:sz w:val="20"/>
              </w:rPr>
              <w:t>Xeljanz</w:t>
            </w:r>
            <w:r w:rsidRPr="002D2B9F">
              <w:rPr>
                <w:rFonts w:ascii="Arial Narrow" w:hAnsi="Arial Narrow"/>
                <w:sz w:val="20"/>
                <w:vertAlign w:val="superscript"/>
              </w:rPr>
              <w:t>®</w:t>
            </w:r>
          </w:p>
        </w:tc>
        <w:tc>
          <w:tcPr>
            <w:tcW w:w="546" w:type="pct"/>
            <w:vMerge w:val="restart"/>
            <w:vAlign w:val="center"/>
          </w:tcPr>
          <w:p w:rsidR="008D2473" w:rsidRPr="00742273" w:rsidRDefault="008D2473" w:rsidP="008D2473">
            <w:pPr>
              <w:keepNext/>
              <w:jc w:val="center"/>
              <w:rPr>
                <w:rFonts w:ascii="Arial Narrow" w:hAnsi="Arial Narrow"/>
                <w:sz w:val="20"/>
              </w:rPr>
            </w:pPr>
            <w:r w:rsidRPr="00742273">
              <w:rPr>
                <w:rFonts w:ascii="Arial Narrow" w:hAnsi="Arial Narrow"/>
                <w:sz w:val="20"/>
              </w:rPr>
              <w:t>PF</w:t>
            </w:r>
          </w:p>
        </w:tc>
      </w:tr>
      <w:tr w:rsidR="008D2473" w:rsidRPr="00742273">
        <w:trPr>
          <w:trHeight w:val="577"/>
        </w:trPr>
        <w:tc>
          <w:tcPr>
            <w:tcW w:w="1954" w:type="pct"/>
            <w:gridSpan w:val="2"/>
          </w:tcPr>
          <w:p w:rsidR="008D2473" w:rsidRPr="00742273" w:rsidRDefault="008D2473" w:rsidP="008D2473">
            <w:pPr>
              <w:keepNext/>
              <w:rPr>
                <w:rFonts w:ascii="Arial Narrow" w:hAnsi="Arial Narrow"/>
                <w:sz w:val="20"/>
                <w:u w:val="single"/>
              </w:rPr>
            </w:pPr>
            <w:r w:rsidRPr="00742273">
              <w:rPr>
                <w:rFonts w:ascii="Arial Narrow" w:hAnsi="Arial Narrow"/>
                <w:sz w:val="20"/>
                <w:u w:val="single"/>
              </w:rPr>
              <w:t>Continuing treatment</w:t>
            </w:r>
          </w:p>
          <w:p w:rsidR="008D2473" w:rsidRPr="00742273" w:rsidRDefault="008D2473" w:rsidP="008D2473">
            <w:pPr>
              <w:keepNext/>
              <w:rPr>
                <w:rFonts w:ascii="Arial Narrow" w:hAnsi="Arial Narrow"/>
                <w:b/>
                <w:sz w:val="20"/>
              </w:rPr>
            </w:pPr>
            <w:r w:rsidRPr="00742273">
              <w:rPr>
                <w:rFonts w:ascii="Arial Narrow" w:hAnsi="Arial Narrow"/>
                <w:sz w:val="20"/>
              </w:rPr>
              <w:t>Tablet 5</w:t>
            </w:r>
            <w:r w:rsidR="00795AB8" w:rsidRPr="00742273">
              <w:rPr>
                <w:rFonts w:ascii="Arial Narrow" w:hAnsi="Arial Narrow"/>
                <w:sz w:val="20"/>
              </w:rPr>
              <w:t xml:space="preserve"> </w:t>
            </w:r>
            <w:r w:rsidRPr="00742273">
              <w:rPr>
                <w:rFonts w:ascii="Arial Narrow" w:hAnsi="Arial Narrow"/>
                <w:sz w:val="20"/>
              </w:rPr>
              <w:t>mg, 56</w:t>
            </w:r>
          </w:p>
        </w:tc>
        <w:tc>
          <w:tcPr>
            <w:tcW w:w="339" w:type="pct"/>
            <w:vAlign w:val="center"/>
          </w:tcPr>
          <w:p w:rsidR="008D2473" w:rsidRPr="00742273" w:rsidRDefault="008D2473" w:rsidP="008D2473">
            <w:pPr>
              <w:keepNext/>
              <w:jc w:val="center"/>
              <w:rPr>
                <w:rFonts w:ascii="Arial Narrow" w:hAnsi="Arial Narrow"/>
                <w:sz w:val="20"/>
              </w:rPr>
            </w:pPr>
            <w:r w:rsidRPr="00742273">
              <w:rPr>
                <w:rFonts w:ascii="Arial Narrow" w:hAnsi="Arial Narrow"/>
                <w:sz w:val="20"/>
              </w:rPr>
              <w:t>1</w:t>
            </w:r>
          </w:p>
        </w:tc>
        <w:tc>
          <w:tcPr>
            <w:tcW w:w="340" w:type="pct"/>
            <w:vAlign w:val="center"/>
          </w:tcPr>
          <w:p w:rsidR="008D2473" w:rsidRPr="00742273" w:rsidRDefault="008D2473" w:rsidP="008D2473">
            <w:pPr>
              <w:keepNext/>
              <w:jc w:val="center"/>
              <w:rPr>
                <w:rFonts w:ascii="Arial Narrow" w:hAnsi="Arial Narrow"/>
                <w:sz w:val="20"/>
              </w:rPr>
            </w:pPr>
            <w:r w:rsidRPr="00742273">
              <w:rPr>
                <w:rFonts w:ascii="Arial Narrow" w:hAnsi="Arial Narrow"/>
                <w:sz w:val="20"/>
              </w:rPr>
              <w:t>5</w:t>
            </w:r>
          </w:p>
        </w:tc>
        <w:tc>
          <w:tcPr>
            <w:tcW w:w="1275" w:type="pct"/>
            <w:vAlign w:val="center"/>
          </w:tcPr>
          <w:p w:rsidR="008D2473" w:rsidRPr="002D2B9F" w:rsidRDefault="008D2473" w:rsidP="008D2473">
            <w:pPr>
              <w:keepNext/>
              <w:jc w:val="center"/>
              <w:rPr>
                <w:rFonts w:ascii="Arial Narrow" w:hAnsi="Arial Narrow"/>
                <w:sz w:val="20"/>
              </w:rPr>
            </w:pPr>
            <w:r w:rsidRPr="002D2B9F">
              <w:rPr>
                <w:rFonts w:ascii="Arial Narrow" w:hAnsi="Arial Narrow"/>
                <w:sz w:val="20"/>
              </w:rPr>
              <w:t>$</w:t>
            </w:r>
            <w:r w:rsidR="00583CFA">
              <w:rPr>
                <w:rFonts w:ascii="Arial Narrow" w:hAnsi="Arial Narrow"/>
                <w:noProof/>
                <w:color w:val="000000"/>
                <w:sz w:val="20"/>
                <w:highlight w:val="black"/>
              </w:rPr>
              <w:t>'''''''''''''''''</w:t>
            </w:r>
          </w:p>
          <w:p w:rsidR="008D2473" w:rsidRPr="002D2B9F" w:rsidRDefault="008D2473" w:rsidP="008D2473">
            <w:pPr>
              <w:keepNext/>
              <w:jc w:val="center"/>
              <w:rPr>
                <w:rFonts w:ascii="Arial Narrow" w:hAnsi="Arial Narrow"/>
                <w:sz w:val="20"/>
              </w:rPr>
            </w:pPr>
            <w:r w:rsidRPr="002D2B9F">
              <w:rPr>
                <w:rFonts w:ascii="Arial Narrow" w:hAnsi="Arial Narrow"/>
                <w:sz w:val="20"/>
              </w:rPr>
              <w:t>(effective price: $</w:t>
            </w:r>
            <w:r w:rsidR="00583CFA">
              <w:rPr>
                <w:rFonts w:ascii="Arial Narrow" w:hAnsi="Arial Narrow"/>
                <w:noProof/>
                <w:color w:val="000000"/>
                <w:sz w:val="20"/>
                <w:highlight w:val="black"/>
              </w:rPr>
              <w:t>'''''''''''''''''''</w:t>
            </w:r>
            <w:r w:rsidRPr="002D2B9F">
              <w:rPr>
                <w:rFonts w:ascii="Arial Narrow" w:hAnsi="Arial Narrow"/>
                <w:sz w:val="20"/>
              </w:rPr>
              <w:t>)</w:t>
            </w:r>
          </w:p>
        </w:tc>
        <w:tc>
          <w:tcPr>
            <w:tcW w:w="546" w:type="pct"/>
            <w:vMerge/>
          </w:tcPr>
          <w:p w:rsidR="008D2473" w:rsidRPr="002D2B9F" w:rsidRDefault="008D2473" w:rsidP="008D2473">
            <w:pPr>
              <w:keepNext/>
              <w:jc w:val="center"/>
              <w:rPr>
                <w:rFonts w:ascii="Arial Narrow" w:hAnsi="Arial Narrow"/>
                <w:sz w:val="20"/>
              </w:rPr>
            </w:pPr>
          </w:p>
        </w:tc>
        <w:tc>
          <w:tcPr>
            <w:tcW w:w="546" w:type="pct"/>
            <w:vMerge/>
          </w:tcPr>
          <w:p w:rsidR="008D2473" w:rsidRPr="00742273" w:rsidRDefault="008D2473" w:rsidP="008D2473">
            <w:pPr>
              <w:keepNext/>
              <w:jc w:val="center"/>
              <w:rPr>
                <w:rFonts w:ascii="Arial Narrow" w:hAnsi="Arial Narrow"/>
                <w:sz w:val="20"/>
              </w:rPr>
            </w:pPr>
          </w:p>
        </w:tc>
      </w:tr>
      <w:tr w:rsidR="008D2473" w:rsidRPr="00742273">
        <w:trPr>
          <w:trHeight w:val="80"/>
        </w:trPr>
        <w:tc>
          <w:tcPr>
            <w:tcW w:w="5000" w:type="pct"/>
            <w:gridSpan w:val="7"/>
            <w:vAlign w:val="center"/>
          </w:tcPr>
          <w:p w:rsidR="006A510D" w:rsidRPr="00742273" w:rsidRDefault="006A510D" w:rsidP="008D2473">
            <w:pPr>
              <w:keepNext/>
              <w:jc w:val="left"/>
              <w:rPr>
                <w:rFonts w:ascii="Arial Narrow" w:hAnsi="Arial Narrow"/>
                <w:b/>
                <w:sz w:val="20"/>
              </w:rPr>
            </w:pPr>
          </w:p>
          <w:p w:rsidR="008D2473" w:rsidRPr="00742273" w:rsidRDefault="008D2473" w:rsidP="00B37ED5">
            <w:pPr>
              <w:keepNext/>
              <w:jc w:val="left"/>
              <w:rPr>
                <w:rFonts w:ascii="Arial Narrow" w:hAnsi="Arial Narrow"/>
                <w:sz w:val="20"/>
              </w:rPr>
            </w:pPr>
            <w:r w:rsidRPr="00742273">
              <w:rPr>
                <w:rFonts w:ascii="Arial Narrow" w:hAnsi="Arial Narrow"/>
                <w:b/>
                <w:sz w:val="20"/>
              </w:rPr>
              <w:t>Abbreviated version</w:t>
            </w:r>
          </w:p>
        </w:tc>
      </w:tr>
      <w:tr w:rsidR="008D2473" w:rsidRPr="0074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shd w:val="clear" w:color="auto" w:fill="auto"/>
          </w:tcPr>
          <w:p w:rsidR="008D2473" w:rsidRPr="00742273" w:rsidRDefault="008D2473" w:rsidP="008D2473">
            <w:pPr>
              <w:jc w:val="left"/>
              <w:rPr>
                <w:rFonts w:ascii="Arial Narrow" w:hAnsi="Arial Narrow"/>
                <w:b/>
                <w:sz w:val="20"/>
              </w:rPr>
            </w:pPr>
            <w:r w:rsidRPr="00742273">
              <w:rPr>
                <w:rFonts w:ascii="Arial Narrow" w:hAnsi="Arial Narrow"/>
                <w:b/>
                <w:sz w:val="20"/>
              </w:rPr>
              <w:t>Treatment phase: Initial 1 (new patient or patient re-commencing after a break of more than 24 months)</w:t>
            </w:r>
          </w:p>
        </w:tc>
      </w:tr>
      <w:tr w:rsidR="008D2473" w:rsidRPr="0074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499" w:type="pct"/>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Condition</w:t>
            </w:r>
          </w:p>
        </w:tc>
        <w:tc>
          <w:tcPr>
            <w:tcW w:w="4501" w:type="pct"/>
            <w:gridSpan w:val="6"/>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Severe active rheumatoid arthritis</w:t>
            </w:r>
          </w:p>
        </w:tc>
      </w:tr>
      <w:tr w:rsidR="008D2473" w:rsidRPr="0074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499" w:type="pct"/>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Restriction</w:t>
            </w:r>
          </w:p>
        </w:tc>
        <w:tc>
          <w:tcPr>
            <w:tcW w:w="4501" w:type="pct"/>
            <w:gridSpan w:val="6"/>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Authority required</w:t>
            </w:r>
          </w:p>
        </w:tc>
      </w:tr>
      <w:tr w:rsidR="008D2473" w:rsidRPr="0074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499" w:type="pct"/>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Clinical criteria</w:t>
            </w:r>
          </w:p>
        </w:tc>
        <w:tc>
          <w:tcPr>
            <w:tcW w:w="4501" w:type="pct"/>
            <w:gridSpan w:val="6"/>
            <w:shd w:val="clear" w:color="auto" w:fill="auto"/>
          </w:tcPr>
          <w:p w:rsidR="008D2473" w:rsidRPr="00742273" w:rsidRDefault="008D2473" w:rsidP="008D2473">
            <w:pPr>
              <w:jc w:val="left"/>
              <w:rPr>
                <w:rFonts w:ascii="Arial Narrow" w:hAnsi="Arial Narrow"/>
                <w:sz w:val="20"/>
              </w:rPr>
            </w:pPr>
            <w:r w:rsidRPr="00742273">
              <w:rPr>
                <w:rFonts w:ascii="Arial Narrow" w:hAnsi="Arial Narrow"/>
                <w:sz w:val="20"/>
              </w:rPr>
              <w:t>The patient must have severe active rheumatoid arthritis.</w:t>
            </w:r>
          </w:p>
          <w:p w:rsidR="008D2473" w:rsidRPr="00742273" w:rsidRDefault="008D2473" w:rsidP="008D2473">
            <w:pPr>
              <w:jc w:val="left"/>
              <w:rPr>
                <w:rFonts w:ascii="Arial Narrow" w:hAnsi="Arial Narrow"/>
                <w:sz w:val="20"/>
              </w:rPr>
            </w:pPr>
            <w:r w:rsidRPr="00742273">
              <w:rPr>
                <w:rFonts w:ascii="Arial Narrow" w:hAnsi="Arial Narrow"/>
                <w:sz w:val="20"/>
              </w:rPr>
              <w:t>AND</w:t>
            </w:r>
          </w:p>
          <w:p w:rsidR="008D2473" w:rsidRPr="00742273" w:rsidRDefault="008D2473" w:rsidP="008D2473">
            <w:pPr>
              <w:jc w:val="left"/>
              <w:rPr>
                <w:rFonts w:ascii="Arial Narrow" w:hAnsi="Arial Narrow"/>
                <w:sz w:val="20"/>
              </w:rPr>
            </w:pPr>
            <w:r w:rsidRPr="00742273">
              <w:rPr>
                <w:rFonts w:ascii="Arial Narrow" w:hAnsi="Arial Narrow"/>
                <w:sz w:val="20"/>
              </w:rPr>
              <w:t>Patient must have received no PBS-subsidised treatment with a bDMARD or tofacitinib for this condition in the previous 24 months</w:t>
            </w:r>
          </w:p>
          <w:p w:rsidR="008D2473" w:rsidRPr="00742273" w:rsidRDefault="008D2473" w:rsidP="008D2473">
            <w:pPr>
              <w:jc w:val="left"/>
              <w:rPr>
                <w:rFonts w:ascii="Arial Narrow" w:hAnsi="Arial Narrow"/>
                <w:sz w:val="20"/>
              </w:rPr>
            </w:pPr>
            <w:r w:rsidRPr="00742273">
              <w:rPr>
                <w:rFonts w:ascii="Arial Narrow" w:hAnsi="Arial Narrow"/>
                <w:sz w:val="20"/>
              </w:rPr>
              <w:t>AND</w:t>
            </w:r>
          </w:p>
          <w:p w:rsidR="008D2473" w:rsidRPr="00742273" w:rsidRDefault="008D2473" w:rsidP="008D2473">
            <w:pPr>
              <w:jc w:val="left"/>
              <w:rPr>
                <w:rFonts w:ascii="Arial Narrow" w:hAnsi="Arial Narrow"/>
                <w:sz w:val="20"/>
              </w:rPr>
            </w:pPr>
            <w:r w:rsidRPr="00742273">
              <w:rPr>
                <w:rFonts w:ascii="Arial Narrow" w:hAnsi="Arial Narrow"/>
                <w:sz w:val="20"/>
              </w:rPr>
              <w:t xml:space="preserve">Patient must have failed, in the 24 months immediately prior to the date of application, to achieve an adequate response to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w:t>
            </w:r>
          </w:p>
          <w:p w:rsidR="008D2473" w:rsidRPr="00742273" w:rsidRDefault="008D2473" w:rsidP="008D2473">
            <w:pPr>
              <w:jc w:val="left"/>
              <w:rPr>
                <w:rFonts w:ascii="Arial Narrow" w:hAnsi="Arial Narrow"/>
                <w:sz w:val="20"/>
              </w:rPr>
            </w:pPr>
            <w:r w:rsidRPr="00742273">
              <w:rPr>
                <w:rFonts w:ascii="Arial Narrow" w:hAnsi="Arial Narrow"/>
                <w:sz w:val="20"/>
              </w:rPr>
              <w:t>AND</w:t>
            </w:r>
          </w:p>
          <w:p w:rsidR="008D2473" w:rsidRPr="00742273" w:rsidRDefault="008D2473" w:rsidP="008D2473">
            <w:pPr>
              <w:jc w:val="left"/>
              <w:rPr>
                <w:rFonts w:ascii="Arial Narrow" w:hAnsi="Arial Narrow"/>
                <w:sz w:val="20"/>
              </w:rPr>
            </w:pPr>
            <w:r w:rsidRPr="00742273">
              <w:rPr>
                <w:rFonts w:ascii="Arial Narrow" w:hAnsi="Arial Narrow"/>
                <w:sz w:val="20"/>
              </w:rPr>
              <w:t>Patient must not receive more than 16 weeks treatment under this restriction.</w:t>
            </w:r>
          </w:p>
        </w:tc>
      </w:tr>
    </w:tbl>
    <w:p w:rsidR="00B60939" w:rsidRPr="00742273" w:rsidRDefault="00B60939" w:rsidP="004B1CB4"/>
    <w:p w:rsidR="00490CAA" w:rsidRPr="00742273" w:rsidRDefault="00490CAA" w:rsidP="00490CAA">
      <w:pPr>
        <w:pStyle w:val="ListParagraph"/>
        <w:widowControl/>
        <w:rPr>
          <w:szCs w:val="22"/>
        </w:rPr>
      </w:pPr>
    </w:p>
    <w:p w:rsidR="00795AB8" w:rsidRPr="00742273" w:rsidRDefault="00795AB8" w:rsidP="00F262A0">
      <w:pPr>
        <w:pStyle w:val="ListParagraph"/>
        <w:widowControl/>
        <w:numPr>
          <w:ilvl w:val="1"/>
          <w:numId w:val="12"/>
        </w:numPr>
        <w:rPr>
          <w:szCs w:val="22"/>
        </w:rPr>
      </w:pPr>
      <w:r w:rsidRPr="00742273">
        <w:rPr>
          <w:szCs w:val="22"/>
        </w:rPr>
        <w:t>T</w:t>
      </w:r>
      <w:r w:rsidR="00851CA4" w:rsidRPr="00742273">
        <w:rPr>
          <w:szCs w:val="22"/>
        </w:rPr>
        <w:t xml:space="preserve">he requested restriction </w:t>
      </w:r>
      <w:r w:rsidR="008000FA" w:rsidRPr="00742273">
        <w:rPr>
          <w:szCs w:val="22"/>
        </w:rPr>
        <w:t>d</w:t>
      </w:r>
      <w:r w:rsidR="008000FA">
        <w:rPr>
          <w:szCs w:val="22"/>
        </w:rPr>
        <w:t>id</w:t>
      </w:r>
      <w:r w:rsidR="008000FA" w:rsidRPr="00742273">
        <w:rPr>
          <w:szCs w:val="22"/>
        </w:rPr>
        <w:t xml:space="preserve"> </w:t>
      </w:r>
      <w:r w:rsidR="00851CA4" w:rsidRPr="00742273">
        <w:rPr>
          <w:szCs w:val="22"/>
        </w:rPr>
        <w:t>not require the concomitant use of methotrexate</w:t>
      </w:r>
      <w:r w:rsidR="00BE30F7" w:rsidRPr="00742273">
        <w:rPr>
          <w:szCs w:val="22"/>
        </w:rPr>
        <w:t>.</w:t>
      </w:r>
      <w:r w:rsidR="00851CA4" w:rsidRPr="00742273">
        <w:rPr>
          <w:szCs w:val="22"/>
        </w:rPr>
        <w:t xml:space="preserve"> This </w:t>
      </w:r>
      <w:r w:rsidR="008000FA">
        <w:rPr>
          <w:szCs w:val="22"/>
        </w:rPr>
        <w:t>wa</w:t>
      </w:r>
      <w:r w:rsidR="00851CA4" w:rsidRPr="00742273">
        <w:rPr>
          <w:szCs w:val="22"/>
        </w:rPr>
        <w:t xml:space="preserve">s consistent with the </w:t>
      </w:r>
      <w:r w:rsidR="00BE30F7" w:rsidRPr="00742273">
        <w:rPr>
          <w:szCs w:val="22"/>
        </w:rPr>
        <w:t>proposed TGA registered indication</w:t>
      </w:r>
      <w:r w:rsidR="00851CA4" w:rsidRPr="00742273">
        <w:rPr>
          <w:szCs w:val="22"/>
        </w:rPr>
        <w:t xml:space="preserve"> which </w:t>
      </w:r>
      <w:r w:rsidR="00BE30F7" w:rsidRPr="00742273">
        <w:rPr>
          <w:szCs w:val="22"/>
        </w:rPr>
        <w:t>permits</w:t>
      </w:r>
      <w:r w:rsidR="00851CA4" w:rsidRPr="00742273">
        <w:rPr>
          <w:szCs w:val="22"/>
        </w:rPr>
        <w:t xml:space="preserve"> monotherapy or combination treatment with non-biological DMARDs.</w:t>
      </w:r>
    </w:p>
    <w:p w:rsidR="00795AB8" w:rsidRPr="00742273" w:rsidRDefault="00795AB8" w:rsidP="00795AB8">
      <w:pPr>
        <w:pStyle w:val="ListParagraph"/>
        <w:widowControl/>
        <w:rPr>
          <w:szCs w:val="22"/>
        </w:rPr>
      </w:pPr>
    </w:p>
    <w:p w:rsidR="00851CA4" w:rsidRPr="00742273" w:rsidRDefault="00851CA4" w:rsidP="00795AB8">
      <w:pPr>
        <w:pStyle w:val="ListParagraph"/>
        <w:widowControl/>
        <w:numPr>
          <w:ilvl w:val="1"/>
          <w:numId w:val="12"/>
        </w:numPr>
      </w:pPr>
      <w:r w:rsidRPr="00742273">
        <w:t>The requested twice daily dosing</w:t>
      </w:r>
      <w:r w:rsidR="00BE30F7" w:rsidRPr="00742273">
        <w:t xml:space="preserve"> regimen was</w:t>
      </w:r>
      <w:r w:rsidRPr="00742273">
        <w:t xml:space="preserve"> consistent with </w:t>
      </w:r>
      <w:r w:rsidR="00BE30F7" w:rsidRPr="00742273">
        <w:t xml:space="preserve">dosing regimen used in </w:t>
      </w:r>
      <w:r w:rsidRPr="00742273">
        <w:t>the trials presented in the submission</w:t>
      </w:r>
      <w:r w:rsidR="00BE30F7" w:rsidRPr="00742273">
        <w:t>.</w:t>
      </w:r>
      <w:r w:rsidRPr="00742273">
        <w:t xml:space="preserve">  However, the ESC noted that the trials also use</w:t>
      </w:r>
      <w:r w:rsidR="00BE30F7" w:rsidRPr="00742273">
        <w:t>d a</w:t>
      </w:r>
      <w:r w:rsidRPr="00742273">
        <w:t xml:space="preserve"> 10 mg </w:t>
      </w:r>
      <w:r w:rsidR="00BE30F7" w:rsidRPr="00742273">
        <w:t xml:space="preserve">dose </w:t>
      </w:r>
      <w:r w:rsidRPr="00742273">
        <w:t>of tofacitinib which is not TGA-approved and for which the sponsor is not seeking listing.</w:t>
      </w:r>
    </w:p>
    <w:p w:rsidR="00795AB8" w:rsidRDefault="00795AB8" w:rsidP="0035305E">
      <w:pPr>
        <w:pStyle w:val="ListParagraph"/>
        <w:widowControl/>
        <w:rPr>
          <w:szCs w:val="22"/>
        </w:rPr>
      </w:pPr>
    </w:p>
    <w:p w:rsidR="00742273" w:rsidRPr="00742273" w:rsidRDefault="00742273" w:rsidP="00742273">
      <w:pPr>
        <w:pStyle w:val="ListParagraph"/>
        <w:rPr>
          <w:i/>
          <w:szCs w:val="22"/>
        </w:rPr>
      </w:pPr>
      <w:r w:rsidRPr="00C40992">
        <w:rPr>
          <w:i/>
          <w:szCs w:val="22"/>
        </w:rPr>
        <w:lastRenderedPageBreak/>
        <w:t>For more detail on PBAC’s view, see section 7 “PBAC outcome”</w:t>
      </w:r>
    </w:p>
    <w:p w:rsidR="00742273" w:rsidRPr="00742273" w:rsidRDefault="00742273" w:rsidP="0035305E">
      <w:pPr>
        <w:pStyle w:val="ListParagraph"/>
        <w:widowControl/>
        <w:rPr>
          <w:szCs w:val="22"/>
        </w:rPr>
      </w:pPr>
    </w:p>
    <w:p w:rsidR="004E43B2" w:rsidRPr="00742273" w:rsidRDefault="004E43B2" w:rsidP="004B1CB4"/>
    <w:p w:rsidR="00B50DB8" w:rsidRPr="00742273" w:rsidRDefault="00B50DB8" w:rsidP="00BD6CF3">
      <w:pPr>
        <w:pStyle w:val="PBACHeading1"/>
      </w:pPr>
      <w:bookmarkStart w:id="4" w:name="_Toc409100927"/>
      <w:r w:rsidRPr="00742273">
        <w:t>Background</w:t>
      </w:r>
      <w:bookmarkEnd w:id="4"/>
    </w:p>
    <w:p w:rsidR="00B60939" w:rsidRPr="00742273" w:rsidRDefault="00B60939" w:rsidP="00B60939">
      <w:pPr>
        <w:rPr>
          <w:szCs w:val="22"/>
        </w:rPr>
      </w:pPr>
    </w:p>
    <w:p w:rsidR="00754150" w:rsidRPr="00DB2996" w:rsidRDefault="00DB2996" w:rsidP="00DB2996">
      <w:pPr>
        <w:pStyle w:val="ListParagraph"/>
        <w:numPr>
          <w:ilvl w:val="1"/>
          <w:numId w:val="12"/>
        </w:numPr>
        <w:rPr>
          <w:szCs w:val="22"/>
        </w:rPr>
      </w:pPr>
      <w:r>
        <w:rPr>
          <w:szCs w:val="22"/>
        </w:rPr>
        <w:t>T</w:t>
      </w:r>
      <w:r w:rsidR="00754150" w:rsidRPr="00754150">
        <w:rPr>
          <w:szCs w:val="22"/>
        </w:rPr>
        <w:t xml:space="preserve">ofacitinib was </w:t>
      </w:r>
      <w:r>
        <w:rPr>
          <w:szCs w:val="22"/>
        </w:rPr>
        <w:t xml:space="preserve">included in the Australian Register of Therapeutic Goods on 5 February 2015.  Tofacitinib is </w:t>
      </w:r>
      <w:r w:rsidR="00754150">
        <w:rPr>
          <w:szCs w:val="22"/>
        </w:rPr>
        <w:t xml:space="preserve">TGA registered for </w:t>
      </w:r>
      <w:r w:rsidRPr="00DB2996">
        <w:rPr>
          <w:szCs w:val="22"/>
        </w:rPr>
        <w:t xml:space="preserve">the treatment of the signs and symptoms of moderate to severe active rheumatoid arthritis in adults who have had an inadequate response or are intolerant to methotrexate. </w:t>
      </w:r>
      <w:r>
        <w:rPr>
          <w:szCs w:val="22"/>
        </w:rPr>
        <w:t>Tofacitinib</w:t>
      </w:r>
      <w:r w:rsidRPr="00DB2996">
        <w:rPr>
          <w:szCs w:val="22"/>
        </w:rPr>
        <w:t xml:space="preserve"> can be used alone or in combination with non</w:t>
      </w:r>
      <w:r>
        <w:rPr>
          <w:szCs w:val="22"/>
        </w:rPr>
        <w:t>-</w:t>
      </w:r>
      <w:r w:rsidRPr="00DB2996">
        <w:rPr>
          <w:szCs w:val="22"/>
        </w:rPr>
        <w:t xml:space="preserve">biological </w:t>
      </w:r>
      <w:r>
        <w:rPr>
          <w:szCs w:val="22"/>
        </w:rPr>
        <w:t xml:space="preserve">DMARDs, including methotrexate. </w:t>
      </w:r>
      <w:r w:rsidRPr="00DB2996">
        <w:rPr>
          <w:szCs w:val="22"/>
        </w:rPr>
        <w:t xml:space="preserve">Therapy with </w:t>
      </w:r>
      <w:r>
        <w:rPr>
          <w:szCs w:val="22"/>
        </w:rPr>
        <w:t xml:space="preserve">tofacitinib </w:t>
      </w:r>
      <w:r w:rsidRPr="00DB2996">
        <w:rPr>
          <w:szCs w:val="22"/>
        </w:rPr>
        <w:t>should be initiated and monitored by a rheumatologist or specialist physician with expertise in the management of rheumatoid arthritis.</w:t>
      </w:r>
    </w:p>
    <w:p w:rsidR="00754150" w:rsidRPr="00754150" w:rsidRDefault="00754150" w:rsidP="00754150">
      <w:pPr>
        <w:pStyle w:val="ListParagraph"/>
        <w:widowControl/>
      </w:pPr>
    </w:p>
    <w:p w:rsidR="0035305E" w:rsidRPr="00742273" w:rsidRDefault="00754150" w:rsidP="006A2F3B">
      <w:pPr>
        <w:pStyle w:val="ListParagraph"/>
        <w:widowControl/>
        <w:numPr>
          <w:ilvl w:val="1"/>
          <w:numId w:val="12"/>
        </w:numPr>
      </w:pPr>
      <w:r>
        <w:rPr>
          <w:szCs w:val="22"/>
        </w:rPr>
        <w:t>T</w:t>
      </w:r>
      <w:r w:rsidR="006A2F3B" w:rsidRPr="00742273">
        <w:rPr>
          <w:szCs w:val="22"/>
        </w:rPr>
        <w:t xml:space="preserve">his was the first </w:t>
      </w:r>
      <w:r w:rsidR="0035305E" w:rsidRPr="00742273">
        <w:rPr>
          <w:szCs w:val="22"/>
        </w:rPr>
        <w:t>submission to</w:t>
      </w:r>
      <w:r w:rsidR="006A2F3B" w:rsidRPr="00742273">
        <w:rPr>
          <w:szCs w:val="22"/>
        </w:rPr>
        <w:t xml:space="preserve"> the PBAC </w:t>
      </w:r>
      <w:r w:rsidR="0035305E" w:rsidRPr="00742273">
        <w:rPr>
          <w:szCs w:val="22"/>
        </w:rPr>
        <w:t>for</w:t>
      </w:r>
      <w:r w:rsidR="006A2F3B" w:rsidRPr="00742273">
        <w:rPr>
          <w:szCs w:val="22"/>
        </w:rPr>
        <w:t xml:space="preserve"> tofacitinib</w:t>
      </w:r>
      <w:r w:rsidR="0035305E" w:rsidRPr="00742273">
        <w:rPr>
          <w:szCs w:val="22"/>
        </w:rPr>
        <w:t>. A submission had earlier been lodged for consideration at the July 2013 PBAC meeting but was withdrawn</w:t>
      </w:r>
      <w:r w:rsidR="007534A9">
        <w:rPr>
          <w:szCs w:val="22"/>
        </w:rPr>
        <w:t xml:space="preserve"> by the sponsor</w:t>
      </w:r>
      <w:r w:rsidR="0035305E" w:rsidRPr="00742273">
        <w:rPr>
          <w:szCs w:val="22"/>
        </w:rPr>
        <w:t xml:space="preserve"> before consideration by the ESC or the PBAC.  A Commentary on the July 2013 submission </w:t>
      </w:r>
      <w:r w:rsidR="00D27C51" w:rsidRPr="00742273">
        <w:rPr>
          <w:szCs w:val="22"/>
        </w:rPr>
        <w:t>had been prepared for the July 2013 PBAC meeting</w:t>
      </w:r>
      <w:r w:rsidR="0035305E" w:rsidRPr="00742273">
        <w:rPr>
          <w:szCs w:val="22"/>
        </w:rPr>
        <w:t>.</w:t>
      </w:r>
      <w:r w:rsidR="006A2F3B" w:rsidRPr="00742273">
        <w:rPr>
          <w:szCs w:val="22"/>
        </w:rPr>
        <w:t xml:space="preserve"> </w:t>
      </w:r>
    </w:p>
    <w:p w:rsidR="00D27C51" w:rsidRPr="00742273" w:rsidRDefault="00D27C51" w:rsidP="00FA5045">
      <w:pPr>
        <w:widowControl/>
      </w:pPr>
    </w:p>
    <w:p w:rsidR="00D27C51" w:rsidRPr="00742273" w:rsidRDefault="00D27C51" w:rsidP="006A2F3B">
      <w:pPr>
        <w:pStyle w:val="ListParagraph"/>
        <w:widowControl/>
        <w:numPr>
          <w:ilvl w:val="1"/>
          <w:numId w:val="12"/>
        </w:numPr>
      </w:pPr>
      <w:r w:rsidRPr="00742273">
        <w:t xml:space="preserve">In the fourth-round of assessment, the </w:t>
      </w:r>
      <w:r w:rsidR="00E00435" w:rsidRPr="00742273">
        <w:t xml:space="preserve">TGA </w:t>
      </w:r>
      <w:r w:rsidRPr="00742273">
        <w:t>Evaluator in the December 2013 Clinical Evaluation Report was unable to recommend approval as the proposed indication did not reflect the status of tofacitinib as a third line agent but was prepared to do so if the indication was revised to reflect use as a third line agent as opposed to a second line agent.</w:t>
      </w:r>
    </w:p>
    <w:p w:rsidR="00B42AA5" w:rsidRPr="00742273" w:rsidRDefault="00B42AA5" w:rsidP="00B42AA5">
      <w:pPr>
        <w:pStyle w:val="ListParagraph"/>
        <w:widowControl/>
      </w:pPr>
    </w:p>
    <w:p w:rsidR="00B42AA5" w:rsidRPr="00742273" w:rsidRDefault="00B42AA5" w:rsidP="006A2F3B">
      <w:pPr>
        <w:pStyle w:val="ListParagraph"/>
        <w:widowControl/>
        <w:numPr>
          <w:ilvl w:val="1"/>
          <w:numId w:val="12"/>
        </w:numPr>
      </w:pPr>
      <w:r w:rsidRPr="00742273">
        <w:t xml:space="preserve">The TGA Delegate, in the most recent </w:t>
      </w:r>
      <w:r w:rsidR="007534A9">
        <w:t>‘</w:t>
      </w:r>
      <w:r w:rsidRPr="00742273">
        <w:t>Request for ACPM Advice</w:t>
      </w:r>
      <w:r w:rsidR="007534A9">
        <w:t>’</w:t>
      </w:r>
      <w:r w:rsidRPr="00742273">
        <w:t xml:space="preserve"> from December 2013, was in agreement with the Evaluator with respect to limiting tofacitinib to third line therapy.</w:t>
      </w:r>
    </w:p>
    <w:p w:rsidR="00B42AA5" w:rsidRPr="00742273" w:rsidRDefault="00B42AA5" w:rsidP="00B42AA5">
      <w:pPr>
        <w:pStyle w:val="ListParagraph"/>
        <w:widowControl/>
      </w:pPr>
    </w:p>
    <w:p w:rsidR="00B42AA5" w:rsidRPr="0047120B" w:rsidRDefault="00B42AA5" w:rsidP="00B42AA5">
      <w:pPr>
        <w:pStyle w:val="ListParagraph"/>
        <w:widowControl/>
        <w:numPr>
          <w:ilvl w:val="1"/>
          <w:numId w:val="12"/>
        </w:numPr>
      </w:pPr>
      <w:r w:rsidRPr="0047120B">
        <w:t>At the February 2014 ACPM meeting, the ACPM resolved to approve tofacitinib for use as third line therapy only after the use of DMARDs and at least two bDMARD</w:t>
      </w:r>
      <w:r w:rsidR="009E1922" w:rsidRPr="0047120B">
        <w:t>s</w:t>
      </w:r>
      <w:r w:rsidRPr="0047120B">
        <w:t>.</w:t>
      </w:r>
    </w:p>
    <w:p w:rsidR="00B42AA5" w:rsidRPr="00742273" w:rsidRDefault="00B42AA5" w:rsidP="00B42AA5">
      <w:pPr>
        <w:pStyle w:val="ListParagraph"/>
        <w:widowControl/>
      </w:pPr>
    </w:p>
    <w:p w:rsidR="00FA5045" w:rsidRDefault="000E0A69" w:rsidP="00FA5045">
      <w:pPr>
        <w:pStyle w:val="ListParagraph"/>
        <w:widowControl/>
        <w:numPr>
          <w:ilvl w:val="1"/>
          <w:numId w:val="12"/>
        </w:numPr>
      </w:pPr>
      <w:r w:rsidRPr="00742273">
        <w:t xml:space="preserve">The sponsor appealed the decision to approve tofacitinib use limited to third line therapy in August 2014. </w:t>
      </w:r>
      <w:r w:rsidR="00B42AA5" w:rsidRPr="00742273">
        <w:t xml:space="preserve"> </w:t>
      </w:r>
      <w:r w:rsidRPr="00742273">
        <w:t xml:space="preserve">The initial decision to not allow use in the second line setting was revoked and this revocation was outlined in a letter to the sponsor in October 2014. </w:t>
      </w:r>
      <w:r w:rsidR="0047120B">
        <w:t xml:space="preserve"> </w:t>
      </w:r>
      <w:r w:rsidRPr="00742273">
        <w:t>The Minister’s delegate was satisfied that tofacitinib could be used as second line therapy after an inadequate response or intolerance to methotrexate as monotherapy or in combination with a DMARD, including methotrexate.</w:t>
      </w:r>
    </w:p>
    <w:p w:rsidR="00B60939" w:rsidRDefault="00B60939" w:rsidP="004B1CB4"/>
    <w:p w:rsidR="00742273" w:rsidRPr="00742273" w:rsidRDefault="00742273" w:rsidP="00742273">
      <w:pPr>
        <w:pStyle w:val="ListParagraph"/>
        <w:rPr>
          <w:i/>
          <w:szCs w:val="22"/>
        </w:rPr>
      </w:pPr>
      <w:r w:rsidRPr="00192EFB">
        <w:rPr>
          <w:i/>
          <w:szCs w:val="22"/>
        </w:rPr>
        <w:t>For more detail on PBAC’s view, see section 7 “PBAC outcome”</w:t>
      </w:r>
    </w:p>
    <w:p w:rsidR="00742273" w:rsidRPr="00742273" w:rsidRDefault="00742273" w:rsidP="00742273">
      <w:pPr>
        <w:ind w:left="720"/>
      </w:pPr>
    </w:p>
    <w:p w:rsidR="00E55BB5" w:rsidRPr="00742273" w:rsidRDefault="00E55BB5" w:rsidP="004B1CB4"/>
    <w:p w:rsidR="00B50DB8" w:rsidRPr="00742273" w:rsidRDefault="00B50DB8" w:rsidP="00BD6CF3">
      <w:pPr>
        <w:pStyle w:val="PBACHeading1"/>
      </w:pPr>
      <w:bookmarkStart w:id="5" w:name="_Toc409100928"/>
      <w:r w:rsidRPr="00742273">
        <w:t>Clinical place for the proposed therapy</w:t>
      </w:r>
      <w:bookmarkEnd w:id="5"/>
    </w:p>
    <w:p w:rsidR="00B60939" w:rsidRPr="00742273" w:rsidRDefault="00B60939" w:rsidP="00B60939">
      <w:pPr>
        <w:rPr>
          <w:szCs w:val="22"/>
        </w:rPr>
      </w:pPr>
    </w:p>
    <w:p w:rsidR="00B60939" w:rsidRPr="00742273" w:rsidRDefault="00171ACF" w:rsidP="00F262A0">
      <w:pPr>
        <w:pStyle w:val="ListParagraph"/>
        <w:widowControl/>
        <w:numPr>
          <w:ilvl w:val="1"/>
          <w:numId w:val="12"/>
        </w:numPr>
        <w:rPr>
          <w:szCs w:val="22"/>
        </w:rPr>
      </w:pPr>
      <w:r w:rsidRPr="00742273">
        <w:t xml:space="preserve">RA is an autoimmune disease that </w:t>
      </w:r>
      <w:r w:rsidR="00F12275" w:rsidRPr="00742273">
        <w:t>causes</w:t>
      </w:r>
      <w:r w:rsidRPr="00742273">
        <w:t xml:space="preserve"> </w:t>
      </w:r>
      <w:r w:rsidR="00F12275" w:rsidRPr="00742273">
        <w:t xml:space="preserve">pain, inflammation and swelling in the lining of </w:t>
      </w:r>
      <w:r w:rsidRPr="00742273">
        <w:t>joints and surrounding structures.  The submission indicated that tofacitinib is intended to be used following inadequate response to methotrexate (MTX) and disease modifying anti-rheumatic drugs (DMARDs) as second line therapy.</w:t>
      </w:r>
      <w:r w:rsidR="00B767ED" w:rsidRPr="00742273">
        <w:t xml:space="preserve">  </w:t>
      </w:r>
      <w:r w:rsidR="00490CAA" w:rsidRPr="00742273">
        <w:t>Tofacitinib is a Janus-associated</w:t>
      </w:r>
      <w:r w:rsidR="00B767ED" w:rsidRPr="00742273">
        <w:t xml:space="preserve"> kinase</w:t>
      </w:r>
      <w:r w:rsidR="00490CAA" w:rsidRPr="00742273">
        <w:t xml:space="preserve"> (JAK)</w:t>
      </w:r>
      <w:r w:rsidR="00B767ED" w:rsidRPr="00742273">
        <w:t xml:space="preserve"> inhibitor and is orally administered.</w:t>
      </w:r>
      <w:r w:rsidRPr="00742273">
        <w:t xml:space="preserve">  </w:t>
      </w:r>
    </w:p>
    <w:p w:rsidR="00894489" w:rsidRPr="00742273" w:rsidRDefault="00894489" w:rsidP="00894489">
      <w:pPr>
        <w:widowControl/>
        <w:rPr>
          <w:szCs w:val="22"/>
        </w:rPr>
      </w:pPr>
    </w:p>
    <w:p w:rsidR="00E55BB5" w:rsidRPr="00742273" w:rsidRDefault="00803E0C" w:rsidP="00DB2996">
      <w:pPr>
        <w:pStyle w:val="ListParagraph"/>
        <w:widowControl/>
        <w:numPr>
          <w:ilvl w:val="1"/>
          <w:numId w:val="12"/>
        </w:numPr>
        <w:rPr>
          <w:szCs w:val="22"/>
        </w:rPr>
      </w:pPr>
      <w:r w:rsidRPr="00742273">
        <w:rPr>
          <w:szCs w:val="22"/>
        </w:rPr>
        <w:lastRenderedPageBreak/>
        <w:t xml:space="preserve">The clinical place of tofacitinib in the treatment for RA </w:t>
      </w:r>
      <w:r w:rsidR="006B6A49" w:rsidRPr="00742273">
        <w:rPr>
          <w:szCs w:val="22"/>
        </w:rPr>
        <w:t>i</w:t>
      </w:r>
      <w:r w:rsidRPr="00742273">
        <w:rPr>
          <w:szCs w:val="22"/>
        </w:rPr>
        <w:t>s yet to be fully established.  Current second line therapies</w:t>
      </w:r>
      <w:r w:rsidR="00D832C2" w:rsidRPr="00742273">
        <w:rPr>
          <w:szCs w:val="22"/>
        </w:rPr>
        <w:t xml:space="preserve"> </w:t>
      </w:r>
      <w:r w:rsidR="00DB2996" w:rsidRPr="00DB2996">
        <w:rPr>
          <w:szCs w:val="22"/>
        </w:rPr>
        <w:t xml:space="preserve">(T-cell co-stimulation modulators, TNF-inhibitors, chimeric anti-CD20 monoclonal antibody, IL-6 inhibitor) </w:t>
      </w:r>
      <w:r w:rsidR="00D832C2" w:rsidRPr="00742273">
        <w:rPr>
          <w:szCs w:val="22"/>
        </w:rPr>
        <w:t xml:space="preserve">cover a variety of cell targets </w:t>
      </w:r>
      <w:r w:rsidR="00762D36" w:rsidRPr="00742273">
        <w:t xml:space="preserve">and </w:t>
      </w:r>
      <w:r w:rsidRPr="00742273">
        <w:rPr>
          <w:szCs w:val="22"/>
        </w:rPr>
        <w:t>have well-established efficacy and safety profile</w:t>
      </w:r>
      <w:r w:rsidR="006B6A49" w:rsidRPr="00742273">
        <w:rPr>
          <w:szCs w:val="22"/>
        </w:rPr>
        <w:t>s</w:t>
      </w:r>
      <w:r w:rsidRPr="00742273">
        <w:rPr>
          <w:szCs w:val="22"/>
        </w:rPr>
        <w:t xml:space="preserve"> in RA.  </w:t>
      </w:r>
    </w:p>
    <w:p w:rsidR="009B773F" w:rsidRDefault="009B773F" w:rsidP="00615818">
      <w:pPr>
        <w:widowControl/>
        <w:jc w:val="left"/>
        <w:rPr>
          <w:szCs w:val="22"/>
        </w:rPr>
      </w:pPr>
    </w:p>
    <w:p w:rsidR="009B773F" w:rsidRDefault="00742273" w:rsidP="00B8485B">
      <w:pPr>
        <w:pStyle w:val="ListParagraph"/>
        <w:rPr>
          <w:i/>
          <w:szCs w:val="22"/>
        </w:rPr>
      </w:pPr>
      <w:r w:rsidRPr="00192EFB">
        <w:rPr>
          <w:i/>
          <w:szCs w:val="22"/>
        </w:rPr>
        <w:t>For more detail on PBAC’s view, see section 7 “PBAC outcome”</w:t>
      </w:r>
    </w:p>
    <w:p w:rsidR="00862432" w:rsidRPr="00742273" w:rsidRDefault="00862432" w:rsidP="00B8485B">
      <w:pPr>
        <w:pStyle w:val="ListParagraph"/>
      </w:pPr>
    </w:p>
    <w:p w:rsidR="00B50DB8" w:rsidRPr="00742273" w:rsidRDefault="00B50DB8" w:rsidP="009B773F">
      <w:pPr>
        <w:pStyle w:val="PBACHeading1"/>
      </w:pPr>
      <w:r w:rsidRPr="00742273">
        <w:t>Comparator</w:t>
      </w:r>
    </w:p>
    <w:p w:rsidR="00B60939" w:rsidRPr="00742273" w:rsidRDefault="00B60939" w:rsidP="004B1CB4"/>
    <w:p w:rsidR="006B6A49" w:rsidRPr="00742273" w:rsidRDefault="004B521F" w:rsidP="00803E0C">
      <w:pPr>
        <w:pStyle w:val="ListParagraph"/>
        <w:widowControl/>
        <w:numPr>
          <w:ilvl w:val="1"/>
          <w:numId w:val="12"/>
        </w:numPr>
        <w:rPr>
          <w:szCs w:val="22"/>
        </w:rPr>
      </w:pPr>
      <w:r w:rsidRPr="00742273">
        <w:t xml:space="preserve">The submission nominated adalimumab </w:t>
      </w:r>
      <w:r w:rsidR="009B773F" w:rsidRPr="00742273">
        <w:t>(</w:t>
      </w:r>
      <w:r w:rsidR="006B6A49" w:rsidRPr="00742273">
        <w:t xml:space="preserve">a </w:t>
      </w:r>
      <w:r w:rsidR="009B773F" w:rsidRPr="00742273">
        <w:t>TNF</w:t>
      </w:r>
      <w:r w:rsidR="00DB2996">
        <w:t>-</w:t>
      </w:r>
      <w:r w:rsidR="009B773F" w:rsidRPr="00742273">
        <w:t>inhibitor)</w:t>
      </w:r>
      <w:r w:rsidRPr="00742273">
        <w:t xml:space="preserve"> as the main comparator</w:t>
      </w:r>
      <w:r w:rsidR="00F067A2" w:rsidRPr="00742273">
        <w:t>.</w:t>
      </w:r>
    </w:p>
    <w:p w:rsidR="006B6A49" w:rsidRPr="00742273" w:rsidRDefault="006B6A49" w:rsidP="006B6A49">
      <w:pPr>
        <w:pStyle w:val="ListParagraph"/>
        <w:widowControl/>
        <w:rPr>
          <w:szCs w:val="22"/>
        </w:rPr>
      </w:pPr>
    </w:p>
    <w:p w:rsidR="00803E0C" w:rsidRPr="00742273" w:rsidRDefault="00803E0C" w:rsidP="00803E0C">
      <w:pPr>
        <w:pStyle w:val="ListParagraph"/>
        <w:widowControl/>
        <w:numPr>
          <w:ilvl w:val="1"/>
          <w:numId w:val="12"/>
        </w:numPr>
        <w:rPr>
          <w:szCs w:val="22"/>
        </w:rPr>
      </w:pPr>
      <w:r w:rsidRPr="00742273">
        <w:t xml:space="preserve">Given the concerns </w:t>
      </w:r>
      <w:r w:rsidR="00DB2996">
        <w:t>that were raised during the TGA registration process</w:t>
      </w:r>
      <w:r w:rsidR="00E00435" w:rsidRPr="00742273">
        <w:t xml:space="preserve"> </w:t>
      </w:r>
      <w:r w:rsidRPr="00742273">
        <w:t xml:space="preserve">regarding the clinical place of tofacitinib for the treatment of RA, </w:t>
      </w:r>
      <w:r w:rsidR="006B6A49" w:rsidRPr="00742273">
        <w:t xml:space="preserve">the evaluation identified that </w:t>
      </w:r>
      <w:r w:rsidRPr="00742273">
        <w:t xml:space="preserve">it is unlikely that </w:t>
      </w:r>
      <w:r w:rsidR="00D832C2" w:rsidRPr="00742273">
        <w:t>adalimumab is</w:t>
      </w:r>
      <w:r w:rsidRPr="00742273">
        <w:t xml:space="preserve"> the appropriate comparator. </w:t>
      </w:r>
      <w:r w:rsidR="006B6A49" w:rsidRPr="00742273">
        <w:t xml:space="preserve">The ESC agreed with this view. </w:t>
      </w:r>
      <w:r w:rsidRPr="00742273">
        <w:t xml:space="preserve">While the submission </w:t>
      </w:r>
      <w:r w:rsidR="00E00435" w:rsidRPr="00742273">
        <w:t xml:space="preserve">claimed </w:t>
      </w:r>
      <w:r w:rsidR="00D832C2" w:rsidRPr="00742273">
        <w:t xml:space="preserve">that </w:t>
      </w:r>
      <w:r w:rsidRPr="00742273">
        <w:t xml:space="preserve">a clinical need existed for </w:t>
      </w:r>
      <w:r w:rsidR="00D832C2" w:rsidRPr="00742273">
        <w:t>tofacitinib due to</w:t>
      </w:r>
      <w:r w:rsidR="00E00435" w:rsidRPr="00742273">
        <w:t xml:space="preserve"> its</w:t>
      </w:r>
      <w:r w:rsidRPr="00742273">
        <w:t xml:space="preserve"> oral administration and </w:t>
      </w:r>
      <w:r w:rsidR="00D832C2" w:rsidRPr="00742273">
        <w:t>the novel mechanism</w:t>
      </w:r>
      <w:r w:rsidRPr="00742273">
        <w:t xml:space="preserve"> of action, </w:t>
      </w:r>
      <w:r w:rsidR="00E00435" w:rsidRPr="00742273">
        <w:t xml:space="preserve">these characteristics </w:t>
      </w:r>
      <w:r w:rsidRPr="00742273">
        <w:t xml:space="preserve">are unlikely to be sufficient reason to consider </w:t>
      </w:r>
      <w:r w:rsidR="00D832C2" w:rsidRPr="00742273">
        <w:t xml:space="preserve">this </w:t>
      </w:r>
      <w:r w:rsidR="00E00435" w:rsidRPr="00742273">
        <w:t xml:space="preserve">drug </w:t>
      </w:r>
      <w:r w:rsidR="00D832C2" w:rsidRPr="00742273">
        <w:t xml:space="preserve">as </w:t>
      </w:r>
      <w:r w:rsidRPr="00742273">
        <w:t xml:space="preserve">an </w:t>
      </w:r>
      <w:r w:rsidR="00E946F5" w:rsidRPr="00742273">
        <w:t xml:space="preserve">appropriate </w:t>
      </w:r>
      <w:r w:rsidRPr="00742273">
        <w:t>second line therapy.  In the recent update to the European League against Rheumatism (EULAR) guidelines (Smolen 2014), tofacitinib was recommended as treatment following failure of at least one bDMARD.  In addition, UptoDate</w:t>
      </w:r>
      <w:r w:rsidRPr="00742273">
        <w:rPr>
          <w:vertAlign w:val="superscript"/>
        </w:rPr>
        <w:t>®</w:t>
      </w:r>
      <w:r w:rsidRPr="00742273">
        <w:t xml:space="preserve"> recommended the use of tofacitinib following resistance to two TNF inhibitors</w:t>
      </w:r>
      <w:r w:rsidRPr="00742273">
        <w:rPr>
          <w:rStyle w:val="FootnoteReference"/>
        </w:rPr>
        <w:footnoteReference w:id="1"/>
      </w:r>
      <w:r w:rsidR="00E946F5" w:rsidRPr="00742273">
        <w:t>.</w:t>
      </w:r>
      <w:r w:rsidRPr="00742273">
        <w:rPr>
          <w:szCs w:val="22"/>
        </w:rPr>
        <w:t xml:space="preserve">  </w:t>
      </w:r>
      <w:r w:rsidRPr="00742273">
        <w:t xml:space="preserve">Given the </w:t>
      </w:r>
      <w:r w:rsidR="00D832C2" w:rsidRPr="00742273">
        <w:t>likelihood</w:t>
      </w:r>
      <w:r w:rsidRPr="00742273">
        <w:t xml:space="preserve"> for use </w:t>
      </w:r>
      <w:r w:rsidR="00762D36" w:rsidRPr="00742273">
        <w:t xml:space="preserve">in </w:t>
      </w:r>
      <w:r w:rsidR="00726F45" w:rsidRPr="00742273">
        <w:t>the third line</w:t>
      </w:r>
      <w:r w:rsidR="00762D36" w:rsidRPr="00742273">
        <w:t xml:space="preserve"> setting</w:t>
      </w:r>
      <w:r w:rsidRPr="00742273">
        <w:t xml:space="preserve">, </w:t>
      </w:r>
      <w:r w:rsidR="0043688A">
        <w:t xml:space="preserve">the evaluation suggested that </w:t>
      </w:r>
      <w:r w:rsidRPr="00742273">
        <w:t>a comparison with rituximab</w:t>
      </w:r>
      <w:r w:rsidR="00E00435" w:rsidRPr="00742273">
        <w:t>, also currently PBS listed for severe active rheumatoid arthritis,</w:t>
      </w:r>
      <w:r w:rsidRPr="00742273">
        <w:t xml:space="preserve"> would </w:t>
      </w:r>
      <w:r w:rsidR="00D832C2" w:rsidRPr="00742273">
        <w:t>have been</w:t>
      </w:r>
      <w:r w:rsidRPr="00742273">
        <w:t xml:space="preserve"> potentially beneficial. The submission included one placebo controlled trial (Study 1032) investigating tofacitinib in patients that have failed a TNF inhibitor.</w:t>
      </w:r>
    </w:p>
    <w:p w:rsidR="00B75185" w:rsidRPr="00742273" w:rsidRDefault="00B75185" w:rsidP="00DF5D2B"/>
    <w:p w:rsidR="00742273" w:rsidRPr="00742273" w:rsidRDefault="00742273" w:rsidP="00742273">
      <w:pPr>
        <w:pStyle w:val="ListParagraph"/>
        <w:rPr>
          <w:i/>
          <w:szCs w:val="22"/>
        </w:rPr>
      </w:pPr>
      <w:r w:rsidRPr="00940696">
        <w:rPr>
          <w:i/>
          <w:szCs w:val="22"/>
        </w:rPr>
        <w:t>For more detail on PBAC’s view, see section 7 “PBAC outcome”</w:t>
      </w:r>
    </w:p>
    <w:p w:rsidR="006B6A49" w:rsidRDefault="006B6A49" w:rsidP="00742273">
      <w:pPr>
        <w:ind w:left="720"/>
        <w:rPr>
          <w:szCs w:val="22"/>
        </w:rPr>
      </w:pPr>
    </w:p>
    <w:p w:rsidR="00742273" w:rsidRPr="00742273" w:rsidRDefault="00742273" w:rsidP="00742273">
      <w:pPr>
        <w:ind w:left="720"/>
        <w:rPr>
          <w:szCs w:val="22"/>
        </w:rPr>
      </w:pPr>
    </w:p>
    <w:p w:rsidR="00B50DB8" w:rsidRPr="00742273" w:rsidRDefault="00BD6CF3" w:rsidP="00BD6CF3">
      <w:pPr>
        <w:pStyle w:val="PBACHeading1"/>
      </w:pPr>
      <w:bookmarkStart w:id="6" w:name="_Toc409100929"/>
      <w:r w:rsidRPr="00742273">
        <w:t>C</w:t>
      </w:r>
      <w:r w:rsidR="00B50DB8" w:rsidRPr="00742273">
        <w:t>onsideration of the evidence</w:t>
      </w:r>
      <w:bookmarkEnd w:id="6"/>
    </w:p>
    <w:p w:rsidR="00B60939" w:rsidRDefault="00B60939" w:rsidP="004B1CB4"/>
    <w:p w:rsidR="003906EA" w:rsidRPr="007534A9" w:rsidRDefault="003906EA" w:rsidP="003906EA">
      <w:pPr>
        <w:rPr>
          <w:b/>
          <w:bCs/>
          <w:i/>
        </w:rPr>
      </w:pPr>
      <w:r w:rsidRPr="007534A9">
        <w:rPr>
          <w:b/>
          <w:bCs/>
          <w:i/>
        </w:rPr>
        <w:t>Sponsor hearing</w:t>
      </w:r>
    </w:p>
    <w:p w:rsidR="007C2230" w:rsidRPr="00B8485B" w:rsidRDefault="007C2230" w:rsidP="003906EA">
      <w:pPr>
        <w:rPr>
          <w:b/>
          <w:bCs/>
        </w:rPr>
      </w:pPr>
    </w:p>
    <w:p w:rsidR="007C2230" w:rsidRPr="00B8485B" w:rsidRDefault="0047120B" w:rsidP="007C2230">
      <w:pPr>
        <w:numPr>
          <w:ilvl w:val="1"/>
          <w:numId w:val="12"/>
        </w:numPr>
        <w:rPr>
          <w:bCs/>
        </w:rPr>
      </w:pPr>
      <w:r w:rsidRPr="00B8485B">
        <w:rPr>
          <w:bCs/>
        </w:rPr>
        <w:t xml:space="preserve">The sponsor requested a hearing for this item.  The </w:t>
      </w:r>
      <w:r w:rsidR="0043688A">
        <w:rPr>
          <w:bCs/>
        </w:rPr>
        <w:t>rheumatologist presenting at the hearing</w:t>
      </w:r>
      <w:r w:rsidR="0043688A" w:rsidRPr="00B8485B">
        <w:rPr>
          <w:bCs/>
        </w:rPr>
        <w:t xml:space="preserve"> </w:t>
      </w:r>
      <w:r w:rsidR="007C2230" w:rsidRPr="00B8485B">
        <w:rPr>
          <w:bCs/>
        </w:rPr>
        <w:t xml:space="preserve">addressed the </w:t>
      </w:r>
      <w:r w:rsidR="0043688A">
        <w:rPr>
          <w:bCs/>
        </w:rPr>
        <w:t xml:space="preserve">clinical </w:t>
      </w:r>
      <w:r w:rsidR="007C2230" w:rsidRPr="00B8485B">
        <w:rPr>
          <w:bCs/>
        </w:rPr>
        <w:t>position</w:t>
      </w:r>
      <w:r w:rsidR="0043688A">
        <w:rPr>
          <w:bCs/>
        </w:rPr>
        <w:t>ing</w:t>
      </w:r>
      <w:r w:rsidR="007C2230" w:rsidRPr="00B8485B">
        <w:rPr>
          <w:bCs/>
        </w:rPr>
        <w:t xml:space="preserve"> of tofacitinib in the treatment algorithm for RA, </w:t>
      </w:r>
      <w:r w:rsidR="0043688A">
        <w:rPr>
          <w:bCs/>
        </w:rPr>
        <w:t>tofacitinib’s relative effect on disease</w:t>
      </w:r>
      <w:r w:rsidR="007C2230" w:rsidRPr="00B8485B">
        <w:rPr>
          <w:bCs/>
        </w:rPr>
        <w:t xml:space="preserve"> modification and </w:t>
      </w:r>
      <w:r w:rsidR="0043688A">
        <w:rPr>
          <w:bCs/>
        </w:rPr>
        <w:t>tofacitinib’s comparative safety</w:t>
      </w:r>
      <w:r w:rsidR="007C2230" w:rsidRPr="00B8485B">
        <w:rPr>
          <w:bCs/>
        </w:rPr>
        <w:t xml:space="preserve">.  </w:t>
      </w:r>
      <w:r w:rsidR="00135642" w:rsidRPr="00B8485B">
        <w:rPr>
          <w:bCs/>
        </w:rPr>
        <w:t>T</w:t>
      </w:r>
      <w:r w:rsidR="00591C27" w:rsidRPr="00B8485B">
        <w:rPr>
          <w:bCs/>
        </w:rPr>
        <w:t>he clinician</w:t>
      </w:r>
      <w:r w:rsidR="0043688A">
        <w:rPr>
          <w:bCs/>
        </w:rPr>
        <w:t xml:space="preserve">’s view was that </w:t>
      </w:r>
      <w:r w:rsidR="00591C27" w:rsidRPr="00B8485B">
        <w:rPr>
          <w:bCs/>
        </w:rPr>
        <w:t xml:space="preserve">there is </w:t>
      </w:r>
      <w:r w:rsidR="0020635C">
        <w:rPr>
          <w:bCs/>
        </w:rPr>
        <w:t>a</w:t>
      </w:r>
      <w:r w:rsidR="00591C27" w:rsidRPr="00B8485B">
        <w:rPr>
          <w:bCs/>
        </w:rPr>
        <w:t xml:space="preserve"> clinical need for </w:t>
      </w:r>
      <w:r w:rsidR="0020635C">
        <w:rPr>
          <w:bCs/>
        </w:rPr>
        <w:t xml:space="preserve">further </w:t>
      </w:r>
      <w:r w:rsidR="00591C27" w:rsidRPr="00B8485B">
        <w:rPr>
          <w:bCs/>
        </w:rPr>
        <w:t>second line treatment</w:t>
      </w:r>
      <w:r w:rsidR="0020635C">
        <w:rPr>
          <w:bCs/>
        </w:rPr>
        <w:t>s to be available</w:t>
      </w:r>
      <w:r w:rsidR="00135642" w:rsidRPr="00B8485B">
        <w:rPr>
          <w:bCs/>
        </w:rPr>
        <w:t xml:space="preserve"> </w:t>
      </w:r>
      <w:r w:rsidR="0020635C">
        <w:rPr>
          <w:bCs/>
        </w:rPr>
        <w:t>in</w:t>
      </w:r>
      <w:r w:rsidR="00135642" w:rsidRPr="00B8485B">
        <w:rPr>
          <w:bCs/>
        </w:rPr>
        <w:t xml:space="preserve"> RA</w:t>
      </w:r>
      <w:r w:rsidR="0020635C">
        <w:rPr>
          <w:bCs/>
        </w:rPr>
        <w:t>. The clinician emphasised the importance of early treatment</w:t>
      </w:r>
      <w:r w:rsidR="00135642" w:rsidRPr="00B8485B">
        <w:rPr>
          <w:bCs/>
        </w:rPr>
        <w:t xml:space="preserve"> </w:t>
      </w:r>
      <w:r w:rsidR="0020635C">
        <w:rPr>
          <w:bCs/>
        </w:rPr>
        <w:t xml:space="preserve">and an association with better health outcomes with early treatment. </w:t>
      </w:r>
      <w:r w:rsidR="00135642" w:rsidRPr="00B8485B">
        <w:rPr>
          <w:bCs/>
        </w:rPr>
        <w:t xml:space="preserve"> In terms of structural preservation, the clinician </w:t>
      </w:r>
      <w:r w:rsidR="0020635C">
        <w:rPr>
          <w:bCs/>
        </w:rPr>
        <w:t xml:space="preserve">noted the lack of statistical significance in the results of the trials presented in the submission regarding </w:t>
      </w:r>
      <w:r w:rsidR="00442F06" w:rsidRPr="00B8485B">
        <w:rPr>
          <w:bCs/>
          <w:lang w:val="en-US"/>
        </w:rPr>
        <w:t xml:space="preserve">tofacitinib 5 mg </w:t>
      </w:r>
      <w:r w:rsidR="0020635C">
        <w:rPr>
          <w:bCs/>
          <w:lang w:val="en-US"/>
        </w:rPr>
        <w:t>in terms of its effect on</w:t>
      </w:r>
      <w:r w:rsidR="00BD2F4B" w:rsidRPr="00B8485B">
        <w:rPr>
          <w:bCs/>
          <w:lang w:val="en-US"/>
        </w:rPr>
        <w:t xml:space="preserve"> disease modification</w:t>
      </w:r>
      <w:r w:rsidR="0020635C">
        <w:rPr>
          <w:bCs/>
          <w:lang w:val="en-US"/>
        </w:rPr>
        <w:t xml:space="preserve"> outcome measures</w:t>
      </w:r>
      <w:r w:rsidR="00BD2F4B" w:rsidRPr="00B8485B">
        <w:rPr>
          <w:bCs/>
          <w:lang w:val="en-US"/>
        </w:rPr>
        <w:t xml:space="preserve"> </w:t>
      </w:r>
      <w:r w:rsidR="0020635C">
        <w:rPr>
          <w:bCs/>
          <w:lang w:val="en-US"/>
        </w:rPr>
        <w:t xml:space="preserve">but maintained that there is nonetheless a positive benefit achieved with the 5 mg dose and is comparable with other bDMARDs. </w:t>
      </w:r>
      <w:r w:rsidR="00B8485B" w:rsidRPr="00B8485B">
        <w:rPr>
          <w:bCs/>
          <w:lang w:val="en-US"/>
        </w:rPr>
        <w:t xml:space="preserve">With </w:t>
      </w:r>
      <w:r w:rsidR="0020635C">
        <w:rPr>
          <w:bCs/>
          <w:lang w:val="en-US"/>
        </w:rPr>
        <w:t>respect to comparative safety,</w:t>
      </w:r>
      <w:r w:rsidR="0020635C" w:rsidRPr="00B8485B">
        <w:rPr>
          <w:bCs/>
          <w:lang w:val="en-US"/>
        </w:rPr>
        <w:t xml:space="preserve"> </w:t>
      </w:r>
      <w:r w:rsidR="00B8485B" w:rsidRPr="00B8485B">
        <w:rPr>
          <w:bCs/>
          <w:lang w:val="en-US"/>
        </w:rPr>
        <w:t xml:space="preserve">the clinician </w:t>
      </w:r>
      <w:r w:rsidR="0020635C">
        <w:rPr>
          <w:bCs/>
          <w:lang w:val="en-US"/>
        </w:rPr>
        <w:t>contended</w:t>
      </w:r>
      <w:r w:rsidR="0020635C" w:rsidRPr="00B8485B">
        <w:rPr>
          <w:bCs/>
          <w:lang w:val="en-US"/>
        </w:rPr>
        <w:t xml:space="preserve"> </w:t>
      </w:r>
      <w:r w:rsidR="00B8485B" w:rsidRPr="00B8485B">
        <w:rPr>
          <w:bCs/>
          <w:lang w:val="en-US"/>
        </w:rPr>
        <w:t xml:space="preserve">that the adverse event profile of tofacitinib </w:t>
      </w:r>
      <w:r w:rsidR="0020635C">
        <w:rPr>
          <w:bCs/>
          <w:lang w:val="en-US"/>
        </w:rPr>
        <w:t>is</w:t>
      </w:r>
      <w:r w:rsidR="0020635C" w:rsidRPr="00B8485B">
        <w:rPr>
          <w:bCs/>
          <w:lang w:val="en-US"/>
        </w:rPr>
        <w:t xml:space="preserve"> </w:t>
      </w:r>
      <w:r w:rsidR="0020635C">
        <w:rPr>
          <w:bCs/>
          <w:lang w:val="en-US"/>
        </w:rPr>
        <w:t xml:space="preserve">comparable </w:t>
      </w:r>
      <w:r w:rsidR="00B8485B" w:rsidRPr="00B8485B">
        <w:rPr>
          <w:bCs/>
          <w:lang w:val="en-US"/>
        </w:rPr>
        <w:t>to</w:t>
      </w:r>
      <w:r w:rsidR="0020635C">
        <w:rPr>
          <w:bCs/>
          <w:lang w:val="en-US"/>
        </w:rPr>
        <w:t xml:space="preserve"> existing </w:t>
      </w:r>
      <w:r w:rsidR="00B8485B" w:rsidRPr="00B8485B">
        <w:rPr>
          <w:bCs/>
          <w:lang w:val="en-US"/>
        </w:rPr>
        <w:t>bDMARDs</w:t>
      </w:r>
      <w:r w:rsidR="0020635C">
        <w:rPr>
          <w:bCs/>
          <w:lang w:val="en-US"/>
        </w:rPr>
        <w:t>.</w:t>
      </w:r>
      <w:r w:rsidR="00BD2F4B" w:rsidRPr="00B8485B">
        <w:rPr>
          <w:bCs/>
          <w:lang w:val="en-US"/>
        </w:rPr>
        <w:t xml:space="preserve"> </w:t>
      </w:r>
    </w:p>
    <w:p w:rsidR="00B8485B" w:rsidRPr="00B8485B" w:rsidRDefault="00B8485B" w:rsidP="00B8485B">
      <w:pPr>
        <w:ind w:left="720"/>
        <w:rPr>
          <w:bCs/>
        </w:rPr>
      </w:pPr>
    </w:p>
    <w:p w:rsidR="007C2230" w:rsidRPr="00B8485B" w:rsidRDefault="007C2230" w:rsidP="003906EA">
      <w:pPr>
        <w:numPr>
          <w:ilvl w:val="1"/>
          <w:numId w:val="12"/>
        </w:numPr>
        <w:rPr>
          <w:bCs/>
        </w:rPr>
      </w:pPr>
      <w:r w:rsidRPr="00B8485B">
        <w:rPr>
          <w:bCs/>
        </w:rPr>
        <w:lastRenderedPageBreak/>
        <w:t>The PBAC considered t</w:t>
      </w:r>
      <w:r w:rsidR="00B8485B" w:rsidRPr="00B8485B">
        <w:rPr>
          <w:bCs/>
        </w:rPr>
        <w:t>hat the hearing was informative.</w:t>
      </w:r>
      <w:r w:rsidRPr="00B8485B">
        <w:rPr>
          <w:bCs/>
        </w:rPr>
        <w:t xml:space="preserve"> </w:t>
      </w:r>
    </w:p>
    <w:p w:rsidR="003906EA" w:rsidRPr="003906EA" w:rsidRDefault="003906EA" w:rsidP="003906EA">
      <w:pPr>
        <w:rPr>
          <w:bCs/>
          <w:highlight w:val="yellow"/>
        </w:rPr>
      </w:pPr>
    </w:p>
    <w:p w:rsidR="003906EA" w:rsidRPr="007534A9" w:rsidRDefault="003906EA" w:rsidP="003906EA">
      <w:pPr>
        <w:rPr>
          <w:b/>
          <w:bCs/>
          <w:i/>
        </w:rPr>
      </w:pPr>
      <w:r w:rsidRPr="007534A9">
        <w:rPr>
          <w:b/>
          <w:bCs/>
          <w:i/>
        </w:rPr>
        <w:t>Consumer comments</w:t>
      </w:r>
    </w:p>
    <w:p w:rsidR="008000FA" w:rsidRPr="008000FA" w:rsidRDefault="008000FA" w:rsidP="003906EA">
      <w:pPr>
        <w:rPr>
          <w:b/>
          <w:bCs/>
        </w:rPr>
      </w:pPr>
    </w:p>
    <w:p w:rsidR="003906EA" w:rsidRPr="008000FA" w:rsidRDefault="003906EA" w:rsidP="003906EA">
      <w:pPr>
        <w:numPr>
          <w:ilvl w:val="1"/>
          <w:numId w:val="12"/>
        </w:numPr>
        <w:rPr>
          <w:bCs/>
        </w:rPr>
      </w:pPr>
      <w:r w:rsidRPr="008000FA">
        <w:rPr>
          <w:bCs/>
        </w:rPr>
        <w:t>The PBAC noted that no consumer comments were received for this item.</w:t>
      </w:r>
    </w:p>
    <w:p w:rsidR="003906EA" w:rsidRPr="00742273" w:rsidRDefault="003906EA" w:rsidP="004B1CB4"/>
    <w:p w:rsidR="00B60939" w:rsidRPr="007534A9" w:rsidRDefault="00B60939" w:rsidP="002C2775">
      <w:pPr>
        <w:pStyle w:val="Heading2"/>
        <w:rPr>
          <w:i/>
        </w:rPr>
      </w:pPr>
      <w:bookmarkStart w:id="7" w:name="_Toc409100930"/>
      <w:r w:rsidRPr="007534A9">
        <w:rPr>
          <w:i/>
        </w:rPr>
        <w:t>Clinical trials</w:t>
      </w:r>
      <w:bookmarkEnd w:id="7"/>
    </w:p>
    <w:p w:rsidR="00B60939" w:rsidRPr="00742273" w:rsidRDefault="00B60939" w:rsidP="00B60939">
      <w:pPr>
        <w:rPr>
          <w:szCs w:val="22"/>
        </w:rPr>
      </w:pPr>
    </w:p>
    <w:p w:rsidR="007F1017" w:rsidRPr="00742273" w:rsidRDefault="00862502" w:rsidP="00F262A0">
      <w:pPr>
        <w:pStyle w:val="ListParagraph"/>
        <w:widowControl/>
        <w:numPr>
          <w:ilvl w:val="1"/>
          <w:numId w:val="12"/>
        </w:numPr>
        <w:rPr>
          <w:szCs w:val="22"/>
        </w:rPr>
      </w:pPr>
      <w:r w:rsidRPr="00742273">
        <w:t xml:space="preserve">The submission </w:t>
      </w:r>
      <w:r w:rsidR="007534A9">
        <w:t>wa</w:t>
      </w:r>
      <w:r w:rsidRPr="00742273">
        <w:t xml:space="preserve">s based on </w:t>
      </w:r>
      <w:r w:rsidR="00D832C2" w:rsidRPr="00742273">
        <w:t>two</w:t>
      </w:r>
      <w:r w:rsidRPr="00742273">
        <w:t xml:space="preserve"> head-to-head trial</w:t>
      </w:r>
      <w:r w:rsidR="00D832C2" w:rsidRPr="00742273">
        <w:t>s</w:t>
      </w:r>
      <w:r w:rsidRPr="00742273">
        <w:t xml:space="preserve"> comparing </w:t>
      </w:r>
      <w:r w:rsidR="00D832C2" w:rsidRPr="00742273">
        <w:t>tofacitinib</w:t>
      </w:r>
      <w:r w:rsidRPr="00742273">
        <w:t xml:space="preserve"> to </w:t>
      </w:r>
      <w:r w:rsidR="00D832C2" w:rsidRPr="00742273">
        <w:t>adalimumab</w:t>
      </w:r>
      <w:r w:rsidR="000C4E5B" w:rsidRPr="00742273">
        <w:t xml:space="preserve"> in combination with </w:t>
      </w:r>
      <w:r w:rsidR="00D85C2D" w:rsidRPr="00742273">
        <w:t>MTX</w:t>
      </w:r>
      <w:r w:rsidR="00D832C2" w:rsidRPr="00742273">
        <w:t xml:space="preserve"> </w:t>
      </w:r>
      <w:r w:rsidR="000C4E5B" w:rsidRPr="00742273">
        <w:t>(S</w:t>
      </w:r>
      <w:r w:rsidR="00D832C2" w:rsidRPr="00742273">
        <w:t>tudy 1064</w:t>
      </w:r>
      <w:r w:rsidR="000C4E5B" w:rsidRPr="00742273">
        <w:t xml:space="preserve">, </w:t>
      </w:r>
      <w:r w:rsidR="00D832C2" w:rsidRPr="00742273">
        <w:t>n=717</w:t>
      </w:r>
      <w:r w:rsidR="000C4E5B" w:rsidRPr="00742273">
        <w:t>)</w:t>
      </w:r>
      <w:r w:rsidR="00D832C2" w:rsidRPr="00742273">
        <w:t xml:space="preserve"> </w:t>
      </w:r>
      <w:r w:rsidR="000C4E5B" w:rsidRPr="00742273">
        <w:t>or as monotherapy (S</w:t>
      </w:r>
      <w:r w:rsidR="00D832C2" w:rsidRPr="00742273">
        <w:t>tudy 1035</w:t>
      </w:r>
      <w:r w:rsidR="000C4E5B" w:rsidRPr="00742273">
        <w:t xml:space="preserve">, </w:t>
      </w:r>
      <w:r w:rsidR="00D832C2" w:rsidRPr="00742273">
        <w:t>n=386)</w:t>
      </w:r>
      <w:r w:rsidRPr="00742273">
        <w:t>.</w:t>
      </w:r>
      <w:r w:rsidR="00702F8F" w:rsidRPr="00742273">
        <w:t xml:space="preserve">  </w:t>
      </w:r>
      <w:r w:rsidR="008B7D7B" w:rsidRPr="00742273">
        <w:t>In addition, a</w:t>
      </w:r>
      <w:r w:rsidR="00D832C2" w:rsidRPr="00742273">
        <w:t xml:space="preserve">n indirect comparison of tofacitinib versus adalimumab was included in the main body of the submission.  Results from the indirect comparison were considered to be supplementary </w:t>
      </w:r>
      <w:r w:rsidR="00E00435" w:rsidRPr="00742273">
        <w:t xml:space="preserve">given </w:t>
      </w:r>
      <w:r w:rsidR="00D832C2" w:rsidRPr="00742273">
        <w:t xml:space="preserve">the availability of direct evidence.  </w:t>
      </w:r>
    </w:p>
    <w:p w:rsidR="00862502" w:rsidRPr="00742273" w:rsidRDefault="00862502" w:rsidP="00862502">
      <w:pPr>
        <w:widowControl/>
        <w:rPr>
          <w:szCs w:val="22"/>
        </w:rPr>
      </w:pPr>
    </w:p>
    <w:p w:rsidR="00862502" w:rsidRPr="00742273" w:rsidRDefault="00862502" w:rsidP="00862502">
      <w:pPr>
        <w:pStyle w:val="ListParagraph"/>
        <w:widowControl/>
        <w:numPr>
          <w:ilvl w:val="1"/>
          <w:numId w:val="12"/>
        </w:numPr>
        <w:rPr>
          <w:szCs w:val="22"/>
        </w:rPr>
      </w:pPr>
      <w:r w:rsidRPr="00742273">
        <w:rPr>
          <w:szCs w:val="22"/>
        </w:rPr>
        <w:t xml:space="preserve">Details of the </w:t>
      </w:r>
      <w:r w:rsidR="00D832C2" w:rsidRPr="00742273">
        <w:rPr>
          <w:szCs w:val="22"/>
        </w:rPr>
        <w:t xml:space="preserve">head to head </w:t>
      </w:r>
      <w:r w:rsidRPr="00742273">
        <w:rPr>
          <w:szCs w:val="22"/>
        </w:rPr>
        <w:t>trials presented in the submission ar</w:t>
      </w:r>
      <w:r w:rsidR="00154A0F" w:rsidRPr="00742273">
        <w:rPr>
          <w:szCs w:val="22"/>
        </w:rPr>
        <w:t>e provided in the following table.</w:t>
      </w:r>
    </w:p>
    <w:p w:rsidR="00D832C2" w:rsidRPr="00742273" w:rsidRDefault="00D832C2" w:rsidP="00D832C2"/>
    <w:p w:rsidR="008B7D7B" w:rsidRPr="00742273" w:rsidRDefault="008B7D7B" w:rsidP="00154A0F">
      <w:pPr>
        <w:keepNext/>
        <w:ind w:firstLine="720"/>
        <w:rPr>
          <w:rStyle w:val="CommentReference"/>
        </w:rPr>
      </w:pPr>
      <w:r w:rsidRPr="00742273">
        <w:rPr>
          <w:rStyle w:val="CommentReference"/>
        </w:rPr>
        <w:t>Head to head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w:tblPr>
      <w:tblGrid>
        <w:gridCol w:w="1276"/>
        <w:gridCol w:w="4961"/>
        <w:gridCol w:w="2126"/>
      </w:tblGrid>
      <w:tr w:rsidR="00A92C7D" w:rsidRPr="00742273">
        <w:tc>
          <w:tcPr>
            <w:tcW w:w="763" w:type="pct"/>
          </w:tcPr>
          <w:p w:rsidR="00D832C2" w:rsidRPr="00742273" w:rsidRDefault="00D832C2" w:rsidP="00154A0F">
            <w:pPr>
              <w:keepNext/>
              <w:jc w:val="left"/>
              <w:rPr>
                <w:rFonts w:ascii="Arial Narrow" w:hAnsi="Arial Narrow"/>
                <w:b/>
                <w:sz w:val="20"/>
              </w:rPr>
            </w:pPr>
            <w:r w:rsidRPr="00742273">
              <w:rPr>
                <w:rFonts w:ascii="Arial Narrow" w:hAnsi="Arial Narrow"/>
                <w:b/>
                <w:sz w:val="20"/>
              </w:rPr>
              <w:t>Trial ID</w:t>
            </w:r>
            <w:r w:rsidR="00C550F7" w:rsidRPr="00742273">
              <w:rPr>
                <w:rFonts w:ascii="Arial Narrow" w:hAnsi="Arial Narrow"/>
                <w:b/>
                <w:sz w:val="20"/>
              </w:rPr>
              <w:t>/First Author</w:t>
            </w:r>
          </w:p>
        </w:tc>
        <w:tc>
          <w:tcPr>
            <w:tcW w:w="2966" w:type="pct"/>
          </w:tcPr>
          <w:p w:rsidR="00D832C2" w:rsidRPr="00742273" w:rsidRDefault="00D832C2" w:rsidP="00154A0F">
            <w:pPr>
              <w:keepNext/>
              <w:jc w:val="center"/>
              <w:rPr>
                <w:rFonts w:ascii="Arial Narrow" w:hAnsi="Arial Narrow"/>
                <w:b/>
                <w:sz w:val="20"/>
              </w:rPr>
            </w:pPr>
            <w:r w:rsidRPr="00742273">
              <w:rPr>
                <w:rFonts w:ascii="Arial Narrow" w:hAnsi="Arial Narrow"/>
                <w:b/>
                <w:sz w:val="20"/>
              </w:rPr>
              <w:t>Protocol title/ Publication title</w:t>
            </w:r>
          </w:p>
        </w:tc>
        <w:tc>
          <w:tcPr>
            <w:tcW w:w="1271" w:type="pct"/>
          </w:tcPr>
          <w:p w:rsidR="00D832C2" w:rsidRPr="00742273" w:rsidRDefault="00D832C2" w:rsidP="00154A0F">
            <w:pPr>
              <w:keepNext/>
              <w:jc w:val="center"/>
              <w:rPr>
                <w:rFonts w:ascii="Arial Narrow" w:hAnsi="Arial Narrow"/>
                <w:b/>
                <w:sz w:val="20"/>
              </w:rPr>
            </w:pPr>
            <w:r w:rsidRPr="00742273">
              <w:rPr>
                <w:rFonts w:ascii="Arial Narrow" w:hAnsi="Arial Narrow"/>
                <w:b/>
                <w:sz w:val="20"/>
              </w:rPr>
              <w:t>Publication citation</w:t>
            </w:r>
          </w:p>
        </w:tc>
      </w:tr>
      <w:tr w:rsidR="00D832C2" w:rsidRPr="00742273">
        <w:tc>
          <w:tcPr>
            <w:tcW w:w="5000" w:type="pct"/>
            <w:gridSpan w:val="3"/>
            <w:tcBorders>
              <w:bottom w:val="single" w:sz="4" w:space="0" w:color="auto"/>
            </w:tcBorders>
          </w:tcPr>
          <w:p w:rsidR="00D832C2" w:rsidRPr="00742273" w:rsidRDefault="00D832C2" w:rsidP="00154A0F">
            <w:pPr>
              <w:keepNext/>
              <w:jc w:val="left"/>
              <w:rPr>
                <w:rFonts w:ascii="Arial Narrow" w:hAnsi="Arial Narrow"/>
                <w:b/>
                <w:sz w:val="20"/>
              </w:rPr>
            </w:pPr>
            <w:r w:rsidRPr="00742273">
              <w:rPr>
                <w:rFonts w:ascii="Arial Narrow" w:hAnsi="Arial Narrow"/>
                <w:b/>
                <w:sz w:val="20"/>
              </w:rPr>
              <w:t xml:space="preserve">Direct </w:t>
            </w:r>
            <w:r w:rsidR="00AF35DB" w:rsidRPr="00742273">
              <w:rPr>
                <w:rFonts w:ascii="Arial Narrow" w:hAnsi="Arial Narrow"/>
                <w:b/>
                <w:sz w:val="20"/>
              </w:rPr>
              <w:t>randomised trial</w:t>
            </w:r>
            <w:r w:rsidRPr="00742273">
              <w:rPr>
                <w:rFonts w:ascii="Arial Narrow" w:hAnsi="Arial Narrow"/>
                <w:b/>
                <w:sz w:val="20"/>
              </w:rPr>
              <w:t>s</w:t>
            </w:r>
          </w:p>
        </w:tc>
      </w:tr>
      <w:tr w:rsidR="00A92C7D" w:rsidRPr="00742273">
        <w:tc>
          <w:tcPr>
            <w:tcW w:w="763"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Study 1064</w:t>
            </w:r>
          </w:p>
        </w:tc>
        <w:tc>
          <w:tcPr>
            <w:tcW w:w="2966"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Phase 3 Randomized, Double-Blind, Active Comparator, Placebo-Controlled Study of the Efficacy and Safety of 2 Doses of CP-690,550 in Patients with Active Rheumatoid Arthritis on Background Methotrexate</w:t>
            </w:r>
          </w:p>
          <w:p w:rsidR="00D832C2" w:rsidRPr="00742273" w:rsidRDefault="00D832C2" w:rsidP="00154A0F">
            <w:pPr>
              <w:keepNext/>
              <w:jc w:val="left"/>
              <w:rPr>
                <w:rFonts w:ascii="Arial Narrow" w:hAnsi="Arial Narrow"/>
                <w:b/>
                <w:sz w:val="20"/>
              </w:rPr>
            </w:pPr>
          </w:p>
        </w:tc>
        <w:tc>
          <w:tcPr>
            <w:tcW w:w="1271"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2012</w:t>
            </w:r>
          </w:p>
          <w:p w:rsidR="00D832C2" w:rsidRPr="00742273" w:rsidRDefault="00D832C2" w:rsidP="00154A0F">
            <w:pPr>
              <w:keepNext/>
              <w:jc w:val="left"/>
              <w:rPr>
                <w:rFonts w:ascii="Arial Narrow" w:hAnsi="Arial Narrow"/>
                <w:b/>
                <w:sz w:val="20"/>
              </w:rPr>
            </w:pPr>
          </w:p>
        </w:tc>
      </w:tr>
      <w:tr w:rsidR="00C550F7" w:rsidRPr="00742273">
        <w:trPr>
          <w:trHeight w:val="1157"/>
        </w:trPr>
        <w:tc>
          <w:tcPr>
            <w:tcW w:w="763" w:type="pct"/>
            <w:tcBorders>
              <w:top w:val="nil"/>
              <w:bottom w:val="single" w:sz="4" w:space="0" w:color="auto"/>
            </w:tcBorders>
          </w:tcPr>
          <w:p w:rsidR="00C550F7" w:rsidRPr="00742273" w:rsidRDefault="00C550F7" w:rsidP="00154A0F">
            <w:pPr>
              <w:keepNext/>
              <w:jc w:val="left"/>
              <w:rPr>
                <w:rFonts w:ascii="Arial Narrow" w:hAnsi="Arial Narrow"/>
                <w:sz w:val="20"/>
              </w:rPr>
            </w:pPr>
            <w:r w:rsidRPr="00742273">
              <w:rPr>
                <w:rFonts w:ascii="Arial Narrow" w:hAnsi="Arial Narrow"/>
                <w:sz w:val="20"/>
              </w:rPr>
              <w:t>van Vollenhoven RF</w:t>
            </w:r>
          </w:p>
        </w:tc>
        <w:tc>
          <w:tcPr>
            <w:tcW w:w="2966" w:type="pct"/>
            <w:tcBorders>
              <w:top w:val="nil"/>
              <w:bottom w:val="single" w:sz="4" w:space="0" w:color="auto"/>
            </w:tcBorders>
          </w:tcPr>
          <w:p w:rsidR="00C550F7" w:rsidRPr="00742273" w:rsidRDefault="00C550F7" w:rsidP="00C550F7">
            <w:pPr>
              <w:keepNext/>
              <w:jc w:val="left"/>
              <w:rPr>
                <w:rFonts w:ascii="Arial Narrow" w:hAnsi="Arial Narrow"/>
                <w:sz w:val="20"/>
              </w:rPr>
            </w:pPr>
            <w:r w:rsidRPr="00742273">
              <w:rPr>
                <w:rFonts w:ascii="Arial Narrow" w:hAnsi="Arial Narrow"/>
                <w:sz w:val="20"/>
              </w:rPr>
              <w:t>ORAL Standard Investigators. Tofacitinib or Adalimumab versus Placebo in Rheumatoid Arthritis</w:t>
            </w:r>
          </w:p>
        </w:tc>
        <w:tc>
          <w:tcPr>
            <w:tcW w:w="1271" w:type="pct"/>
            <w:tcBorders>
              <w:top w:val="nil"/>
              <w:bottom w:val="single" w:sz="4" w:space="0" w:color="auto"/>
            </w:tcBorders>
          </w:tcPr>
          <w:p w:rsidR="00C550F7" w:rsidRPr="00742273" w:rsidRDefault="00C550F7" w:rsidP="00154A0F">
            <w:pPr>
              <w:keepNext/>
              <w:jc w:val="left"/>
              <w:rPr>
                <w:rFonts w:ascii="Arial Narrow" w:hAnsi="Arial Narrow"/>
                <w:sz w:val="20"/>
              </w:rPr>
            </w:pPr>
            <w:r w:rsidRPr="0091794C">
              <w:rPr>
                <w:rFonts w:ascii="Arial Narrow" w:hAnsi="Arial Narrow"/>
                <w:i/>
                <w:sz w:val="20"/>
              </w:rPr>
              <w:t>The New England Journal of Medicine</w:t>
            </w:r>
            <w:r w:rsidRPr="00742273">
              <w:rPr>
                <w:rFonts w:ascii="Arial Narrow" w:hAnsi="Arial Narrow"/>
                <w:sz w:val="20"/>
              </w:rPr>
              <w:t xml:space="preserve"> 2012; 367(6):508-519</w:t>
            </w:r>
          </w:p>
        </w:tc>
      </w:tr>
      <w:tr w:rsidR="00A92C7D" w:rsidRPr="00742273">
        <w:tc>
          <w:tcPr>
            <w:tcW w:w="763"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Study 1035</w:t>
            </w:r>
          </w:p>
        </w:tc>
        <w:tc>
          <w:tcPr>
            <w:tcW w:w="2966"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 xml:space="preserve">A Phase 2b, Randomized, Double-Blind, Placebo-Controlled Active Comparator, Multicenter Study to Compare 5 Dose Regiments of CP-690,550 and Adalimumab versus Placebo, Administered for 6 Months in the Treatment of Subjects with Active Rheumatoid Arthritis.  </w:t>
            </w:r>
          </w:p>
          <w:p w:rsidR="00D832C2" w:rsidRPr="00742273" w:rsidRDefault="00D832C2" w:rsidP="00154A0F">
            <w:pPr>
              <w:keepNext/>
              <w:jc w:val="left"/>
              <w:rPr>
                <w:rFonts w:ascii="Arial Narrow" w:hAnsi="Arial Narrow"/>
                <w:sz w:val="20"/>
              </w:rPr>
            </w:pPr>
          </w:p>
        </w:tc>
        <w:tc>
          <w:tcPr>
            <w:tcW w:w="1271" w:type="pct"/>
            <w:tcBorders>
              <w:bottom w:val="nil"/>
            </w:tcBorders>
          </w:tcPr>
          <w:p w:rsidR="00D832C2" w:rsidRPr="00742273" w:rsidRDefault="00D832C2" w:rsidP="00154A0F">
            <w:pPr>
              <w:keepNext/>
              <w:jc w:val="left"/>
              <w:rPr>
                <w:rFonts w:ascii="Arial Narrow" w:hAnsi="Arial Narrow"/>
                <w:sz w:val="20"/>
              </w:rPr>
            </w:pPr>
            <w:r w:rsidRPr="00742273">
              <w:rPr>
                <w:rFonts w:ascii="Arial Narrow" w:hAnsi="Arial Narrow"/>
                <w:sz w:val="20"/>
              </w:rPr>
              <w:t>2010</w:t>
            </w:r>
          </w:p>
        </w:tc>
      </w:tr>
      <w:tr w:rsidR="00C550F7" w:rsidRPr="00742273">
        <w:trPr>
          <w:trHeight w:val="942"/>
        </w:trPr>
        <w:tc>
          <w:tcPr>
            <w:tcW w:w="763" w:type="pct"/>
            <w:tcBorders>
              <w:top w:val="nil"/>
            </w:tcBorders>
          </w:tcPr>
          <w:p w:rsidR="00C550F7" w:rsidRPr="00742273" w:rsidRDefault="00C550F7" w:rsidP="00154A0F">
            <w:pPr>
              <w:keepNext/>
              <w:jc w:val="left"/>
              <w:rPr>
                <w:rFonts w:ascii="Arial Narrow" w:hAnsi="Arial Narrow"/>
                <w:sz w:val="20"/>
              </w:rPr>
            </w:pPr>
            <w:r w:rsidRPr="00742273">
              <w:rPr>
                <w:rFonts w:ascii="Arial Narrow" w:hAnsi="Arial Narrow"/>
                <w:sz w:val="20"/>
              </w:rPr>
              <w:t>Fleischmann R</w:t>
            </w:r>
          </w:p>
        </w:tc>
        <w:tc>
          <w:tcPr>
            <w:tcW w:w="2966" w:type="pct"/>
            <w:tcBorders>
              <w:top w:val="nil"/>
            </w:tcBorders>
          </w:tcPr>
          <w:p w:rsidR="00C550F7" w:rsidRPr="00742273" w:rsidRDefault="00C550F7" w:rsidP="00154A0F">
            <w:pPr>
              <w:keepNext/>
              <w:jc w:val="left"/>
              <w:rPr>
                <w:rFonts w:ascii="Arial Narrow" w:hAnsi="Arial Narrow"/>
                <w:sz w:val="20"/>
              </w:rPr>
            </w:pPr>
            <w:r w:rsidRPr="00742273">
              <w:rPr>
                <w:rFonts w:ascii="Arial Narrow" w:hAnsi="Arial Narrow"/>
                <w:sz w:val="20"/>
              </w:rPr>
              <w:t>Phase IIb Dose-Ranging Study of the Oral JAK Inhibitor Tofacitinib (CP-690,550) or Adalimumab Monotherapy Versus Placebo in Patients with Active Rheumatoid Arthritis With an Inadequate Response to Disease-Modifying Antirheumatic Drugs.</w:t>
            </w:r>
          </w:p>
        </w:tc>
        <w:tc>
          <w:tcPr>
            <w:tcW w:w="1271" w:type="pct"/>
            <w:tcBorders>
              <w:top w:val="nil"/>
            </w:tcBorders>
          </w:tcPr>
          <w:p w:rsidR="00C550F7" w:rsidRPr="00742273" w:rsidRDefault="00C550F7" w:rsidP="00154A0F">
            <w:pPr>
              <w:keepNext/>
              <w:jc w:val="left"/>
              <w:rPr>
                <w:rFonts w:ascii="Arial Narrow" w:hAnsi="Arial Narrow"/>
                <w:sz w:val="20"/>
              </w:rPr>
            </w:pPr>
            <w:r w:rsidRPr="0091794C">
              <w:rPr>
                <w:rFonts w:ascii="Arial Narrow" w:hAnsi="Arial Narrow"/>
                <w:i/>
                <w:sz w:val="20"/>
              </w:rPr>
              <w:t>Arthritis &amp; Rheumatism</w:t>
            </w:r>
            <w:r w:rsidRPr="00742273">
              <w:rPr>
                <w:rFonts w:ascii="Arial Narrow" w:hAnsi="Arial Narrow"/>
                <w:sz w:val="20"/>
              </w:rPr>
              <w:t xml:space="preserve"> 2012; 64(3):617-629</w:t>
            </w:r>
          </w:p>
          <w:p w:rsidR="00C550F7" w:rsidRPr="00742273" w:rsidRDefault="00C550F7" w:rsidP="00154A0F">
            <w:pPr>
              <w:keepNext/>
              <w:jc w:val="left"/>
              <w:rPr>
                <w:rFonts w:ascii="Arial Narrow" w:hAnsi="Arial Narrow"/>
                <w:sz w:val="20"/>
              </w:rPr>
            </w:pPr>
          </w:p>
        </w:tc>
      </w:tr>
    </w:tbl>
    <w:p w:rsidR="00862502" w:rsidRPr="00742273" w:rsidRDefault="00D832C2" w:rsidP="00A92C7D">
      <w:pPr>
        <w:pStyle w:val="TableFooter"/>
        <w:ind w:firstLine="720"/>
      </w:pPr>
      <w:r w:rsidRPr="00742273">
        <w:t>Source: Table 4, pB.17 of the submission</w:t>
      </w:r>
    </w:p>
    <w:p w:rsidR="000C4E5B" w:rsidRPr="00742273" w:rsidRDefault="000C4E5B" w:rsidP="008F120A">
      <w:pPr>
        <w:widowControl/>
        <w:rPr>
          <w:szCs w:val="22"/>
        </w:rPr>
      </w:pPr>
    </w:p>
    <w:p w:rsidR="007F1017" w:rsidRPr="00742273" w:rsidRDefault="008F120A" w:rsidP="007F1017">
      <w:pPr>
        <w:pStyle w:val="ListParagraph"/>
        <w:widowControl/>
        <w:numPr>
          <w:ilvl w:val="1"/>
          <w:numId w:val="12"/>
        </w:numPr>
        <w:rPr>
          <w:szCs w:val="22"/>
        </w:rPr>
      </w:pPr>
      <w:r w:rsidRPr="00742273">
        <w:rPr>
          <w:szCs w:val="22"/>
        </w:rPr>
        <w:t>The key features</w:t>
      </w:r>
      <w:r w:rsidR="008B7D7B" w:rsidRPr="00742273">
        <w:rPr>
          <w:szCs w:val="22"/>
        </w:rPr>
        <w:t xml:space="preserve"> of the direct randomised trial</w:t>
      </w:r>
      <w:r w:rsidRPr="00742273">
        <w:rPr>
          <w:szCs w:val="22"/>
        </w:rPr>
        <w:t xml:space="preserve">s are summarised in the table below.  </w:t>
      </w:r>
    </w:p>
    <w:p w:rsidR="00742273" w:rsidRDefault="00742273" w:rsidP="00742273">
      <w:pPr>
        <w:widowControl/>
        <w:ind w:firstLine="720"/>
        <w:jc w:val="left"/>
        <w:rPr>
          <w:szCs w:val="22"/>
        </w:rPr>
      </w:pPr>
    </w:p>
    <w:p w:rsidR="007F1017" w:rsidRPr="00742273" w:rsidRDefault="007F1017" w:rsidP="00742273">
      <w:pPr>
        <w:widowControl/>
        <w:ind w:firstLine="720"/>
        <w:jc w:val="left"/>
        <w:rPr>
          <w:rStyle w:val="CommentReference"/>
        </w:rPr>
      </w:pPr>
      <w:r w:rsidRPr="00742273">
        <w:rPr>
          <w:rStyle w:val="CommentReference"/>
        </w:rPr>
        <w:t>Key features of the included evidence</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features of the included evidence"/>
      </w:tblPr>
      <w:tblGrid>
        <w:gridCol w:w="707"/>
        <w:gridCol w:w="331"/>
        <w:gridCol w:w="1654"/>
        <w:gridCol w:w="710"/>
        <w:gridCol w:w="1844"/>
        <w:gridCol w:w="2977"/>
      </w:tblGrid>
      <w:tr w:rsidR="000C4E5B" w:rsidRPr="00742273" w:rsidTr="007B2778">
        <w:trPr>
          <w:tblHeader/>
        </w:trPr>
        <w:tc>
          <w:tcPr>
            <w:tcW w:w="430" w:type="pct"/>
            <w:shd w:val="clear" w:color="auto" w:fill="auto"/>
            <w:vAlign w:val="center"/>
          </w:tcPr>
          <w:p w:rsidR="008B7D7B" w:rsidRPr="00742273" w:rsidRDefault="008B7D7B" w:rsidP="007F1017">
            <w:pPr>
              <w:jc w:val="left"/>
              <w:rPr>
                <w:rFonts w:ascii="Arial Narrow" w:hAnsi="Arial Narrow"/>
                <w:b/>
                <w:sz w:val="20"/>
                <w:lang w:val="en-US"/>
              </w:rPr>
            </w:pPr>
            <w:r w:rsidRPr="00742273">
              <w:rPr>
                <w:rFonts w:ascii="Arial Narrow" w:hAnsi="Arial Narrow"/>
                <w:b/>
                <w:sz w:val="20"/>
                <w:lang w:val="en-US"/>
              </w:rPr>
              <w:t>Trial</w:t>
            </w:r>
          </w:p>
        </w:tc>
        <w:tc>
          <w:tcPr>
            <w:tcW w:w="201" w:type="pct"/>
            <w:shd w:val="clear" w:color="auto" w:fill="auto"/>
            <w:vAlign w:val="center"/>
          </w:tcPr>
          <w:p w:rsidR="008B7D7B" w:rsidRPr="00742273" w:rsidRDefault="008B7D7B" w:rsidP="007F1017">
            <w:pPr>
              <w:jc w:val="center"/>
              <w:rPr>
                <w:rFonts w:ascii="Arial Narrow" w:hAnsi="Arial Narrow"/>
                <w:b/>
                <w:sz w:val="20"/>
                <w:lang w:val="en-US"/>
              </w:rPr>
            </w:pPr>
            <w:r w:rsidRPr="00742273">
              <w:rPr>
                <w:rFonts w:ascii="Arial Narrow" w:hAnsi="Arial Narrow"/>
                <w:b/>
                <w:sz w:val="20"/>
                <w:lang w:val="en-US"/>
              </w:rPr>
              <w:t>N</w:t>
            </w:r>
          </w:p>
        </w:tc>
        <w:tc>
          <w:tcPr>
            <w:tcW w:w="1006" w:type="pct"/>
            <w:shd w:val="clear" w:color="auto" w:fill="auto"/>
            <w:vAlign w:val="center"/>
          </w:tcPr>
          <w:p w:rsidR="008B7D7B" w:rsidRPr="00742273" w:rsidRDefault="008B7D7B" w:rsidP="007F1017">
            <w:pPr>
              <w:jc w:val="center"/>
              <w:rPr>
                <w:rFonts w:ascii="Arial Narrow" w:hAnsi="Arial Narrow"/>
                <w:b/>
                <w:sz w:val="20"/>
                <w:lang w:val="en-US"/>
              </w:rPr>
            </w:pPr>
            <w:r w:rsidRPr="00742273">
              <w:rPr>
                <w:rFonts w:ascii="Arial Narrow" w:hAnsi="Arial Narrow"/>
                <w:b/>
                <w:sz w:val="20"/>
                <w:lang w:val="en-US"/>
              </w:rPr>
              <w:t>Design/ duration of direct comparison</w:t>
            </w:r>
          </w:p>
        </w:tc>
        <w:tc>
          <w:tcPr>
            <w:tcW w:w="432" w:type="pct"/>
            <w:shd w:val="clear" w:color="auto" w:fill="auto"/>
            <w:vAlign w:val="center"/>
          </w:tcPr>
          <w:p w:rsidR="008B7D7B" w:rsidRPr="00742273" w:rsidRDefault="008B7D7B" w:rsidP="007F1017">
            <w:pPr>
              <w:jc w:val="center"/>
              <w:rPr>
                <w:rFonts w:ascii="Arial Narrow" w:hAnsi="Arial Narrow"/>
                <w:b/>
                <w:sz w:val="20"/>
                <w:lang w:val="en-US"/>
              </w:rPr>
            </w:pPr>
            <w:r w:rsidRPr="00742273">
              <w:rPr>
                <w:rFonts w:ascii="Arial Narrow" w:hAnsi="Arial Narrow"/>
                <w:b/>
                <w:sz w:val="20"/>
                <w:lang w:val="en-US"/>
              </w:rPr>
              <w:t>Risk of bias</w:t>
            </w:r>
          </w:p>
        </w:tc>
        <w:tc>
          <w:tcPr>
            <w:tcW w:w="1121" w:type="pct"/>
            <w:shd w:val="clear" w:color="auto" w:fill="auto"/>
            <w:vAlign w:val="center"/>
          </w:tcPr>
          <w:p w:rsidR="008B7D7B" w:rsidRPr="00742273" w:rsidRDefault="008B7D7B" w:rsidP="007F1017">
            <w:pPr>
              <w:jc w:val="center"/>
              <w:rPr>
                <w:rFonts w:ascii="Arial Narrow" w:hAnsi="Arial Narrow"/>
                <w:b/>
                <w:sz w:val="20"/>
                <w:lang w:val="en-US"/>
              </w:rPr>
            </w:pPr>
            <w:r w:rsidRPr="00742273">
              <w:rPr>
                <w:rFonts w:ascii="Arial Narrow" w:hAnsi="Arial Narrow"/>
                <w:b/>
                <w:sz w:val="20"/>
                <w:lang w:val="en-US"/>
              </w:rPr>
              <w:t>Patient population</w:t>
            </w:r>
          </w:p>
        </w:tc>
        <w:tc>
          <w:tcPr>
            <w:tcW w:w="1810" w:type="pct"/>
            <w:shd w:val="clear" w:color="auto" w:fill="auto"/>
            <w:vAlign w:val="center"/>
          </w:tcPr>
          <w:p w:rsidR="008B7D7B" w:rsidRPr="00742273" w:rsidRDefault="000C4E5B" w:rsidP="007F1017">
            <w:pPr>
              <w:jc w:val="center"/>
              <w:rPr>
                <w:rFonts w:ascii="Arial Narrow" w:hAnsi="Arial Narrow"/>
                <w:b/>
                <w:sz w:val="20"/>
                <w:lang w:val="en-US"/>
              </w:rPr>
            </w:pPr>
            <w:r w:rsidRPr="00742273">
              <w:rPr>
                <w:rFonts w:ascii="Arial Narrow" w:hAnsi="Arial Narrow"/>
                <w:b/>
                <w:sz w:val="20"/>
                <w:lang w:val="en-US"/>
              </w:rPr>
              <w:t>Primary objective</w:t>
            </w:r>
            <w:r w:rsidR="008B7D7B" w:rsidRPr="00742273">
              <w:rPr>
                <w:rFonts w:ascii="Arial Narrow" w:hAnsi="Arial Narrow"/>
                <w:b/>
                <w:sz w:val="20"/>
                <w:lang w:val="en-US"/>
              </w:rPr>
              <w:t>(s)</w:t>
            </w:r>
          </w:p>
        </w:tc>
      </w:tr>
      <w:tr w:rsidR="000C4E5B" w:rsidRPr="00742273" w:rsidTr="007B2778">
        <w:tc>
          <w:tcPr>
            <w:tcW w:w="430" w:type="pct"/>
            <w:shd w:val="clear" w:color="auto" w:fill="auto"/>
            <w:vAlign w:val="center"/>
          </w:tcPr>
          <w:p w:rsidR="000C4E5B" w:rsidRPr="00742273" w:rsidRDefault="000C4E5B" w:rsidP="007F1017">
            <w:pPr>
              <w:jc w:val="left"/>
              <w:rPr>
                <w:rFonts w:ascii="Arial Narrow" w:hAnsi="Arial Narrow"/>
                <w:sz w:val="20"/>
                <w:lang w:val="en-US"/>
              </w:rPr>
            </w:pPr>
            <w:r w:rsidRPr="00742273">
              <w:rPr>
                <w:rFonts w:ascii="Arial Narrow" w:hAnsi="Arial Narrow"/>
                <w:sz w:val="20"/>
                <w:lang w:val="en-US"/>
              </w:rPr>
              <w:t>Study 1064</w:t>
            </w:r>
          </w:p>
        </w:tc>
        <w:tc>
          <w:tcPr>
            <w:tcW w:w="201"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lang w:val="en-US"/>
              </w:rPr>
              <w:t>717</w:t>
            </w:r>
          </w:p>
        </w:tc>
        <w:tc>
          <w:tcPr>
            <w:tcW w:w="1006"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rPr>
              <w:t>R, DB, AC, MC Phase 3, 12 months</w:t>
            </w:r>
          </w:p>
        </w:tc>
        <w:tc>
          <w:tcPr>
            <w:tcW w:w="432"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lang w:val="en-US"/>
              </w:rPr>
              <w:t>Low</w:t>
            </w:r>
          </w:p>
        </w:tc>
        <w:tc>
          <w:tcPr>
            <w:tcW w:w="1121" w:type="pct"/>
            <w:vMerge w:val="restart"/>
            <w:shd w:val="clear" w:color="auto" w:fill="auto"/>
            <w:vAlign w:val="center"/>
          </w:tcPr>
          <w:p w:rsidR="000C4E5B" w:rsidRPr="00742273" w:rsidRDefault="000C4E5B" w:rsidP="000C4E5B">
            <w:pPr>
              <w:jc w:val="center"/>
              <w:rPr>
                <w:rFonts w:ascii="Arial Narrow" w:hAnsi="Arial Narrow"/>
                <w:sz w:val="20"/>
                <w:lang w:val="en-US"/>
              </w:rPr>
            </w:pPr>
            <w:r w:rsidRPr="00742273">
              <w:rPr>
                <w:rFonts w:ascii="Arial Narrow" w:hAnsi="Arial Narrow"/>
                <w:sz w:val="20"/>
                <w:lang w:val="en-US"/>
              </w:rPr>
              <w:t xml:space="preserve">RA with active disease (≥6 tender/painful joints on motion and ≥6 </w:t>
            </w:r>
            <w:r w:rsidRPr="00742273">
              <w:rPr>
                <w:rFonts w:ascii="Arial Narrow" w:hAnsi="Arial Narrow"/>
                <w:sz w:val="20"/>
                <w:lang w:val="en-US"/>
              </w:rPr>
              <w:lastRenderedPageBreak/>
              <w:t>swollen joints) and elevations in acute phase reactant tests.</w:t>
            </w:r>
          </w:p>
        </w:tc>
        <w:tc>
          <w:tcPr>
            <w:tcW w:w="1810"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rPr>
              <w:lastRenderedPageBreak/>
              <w:t xml:space="preserve">Tofa 5mg &amp; 10mg bd vs PBO (+MTX): ACR20 at 6 months; HAQ-DI at 3 months; DAS28-4&lt;2.6 at 6 months; </w:t>
            </w:r>
            <w:r w:rsidRPr="00742273">
              <w:rPr>
                <w:rFonts w:ascii="Arial Narrow" w:hAnsi="Arial Narrow"/>
                <w:sz w:val="20"/>
              </w:rPr>
              <w:lastRenderedPageBreak/>
              <w:t>safety and tolerability over 12 months</w:t>
            </w:r>
          </w:p>
        </w:tc>
      </w:tr>
      <w:tr w:rsidR="000C4E5B" w:rsidRPr="00742273" w:rsidTr="007B2778">
        <w:tc>
          <w:tcPr>
            <w:tcW w:w="430" w:type="pct"/>
            <w:shd w:val="clear" w:color="auto" w:fill="auto"/>
            <w:vAlign w:val="center"/>
          </w:tcPr>
          <w:p w:rsidR="000C4E5B" w:rsidRPr="00742273" w:rsidRDefault="000C4E5B" w:rsidP="007F1017">
            <w:pPr>
              <w:jc w:val="left"/>
              <w:rPr>
                <w:rFonts w:ascii="Arial Narrow" w:hAnsi="Arial Narrow"/>
                <w:sz w:val="20"/>
                <w:lang w:val="en-US"/>
              </w:rPr>
            </w:pPr>
            <w:r w:rsidRPr="00742273">
              <w:rPr>
                <w:rFonts w:ascii="Arial Narrow" w:hAnsi="Arial Narrow"/>
                <w:sz w:val="20"/>
                <w:lang w:val="en-US"/>
              </w:rPr>
              <w:lastRenderedPageBreak/>
              <w:t>Study 1035</w:t>
            </w:r>
          </w:p>
        </w:tc>
        <w:tc>
          <w:tcPr>
            <w:tcW w:w="201"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lang w:val="en-US"/>
              </w:rPr>
              <w:t>386</w:t>
            </w:r>
          </w:p>
        </w:tc>
        <w:tc>
          <w:tcPr>
            <w:tcW w:w="1006"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rPr>
              <w:t>R, DB, AC, MC, Phase 2b</w:t>
            </w:r>
          </w:p>
        </w:tc>
        <w:tc>
          <w:tcPr>
            <w:tcW w:w="432"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lang w:val="en-US"/>
              </w:rPr>
              <w:t>Low</w:t>
            </w:r>
          </w:p>
        </w:tc>
        <w:tc>
          <w:tcPr>
            <w:tcW w:w="1121" w:type="pct"/>
            <w:vMerge/>
            <w:shd w:val="clear" w:color="auto" w:fill="auto"/>
            <w:vAlign w:val="center"/>
          </w:tcPr>
          <w:p w:rsidR="000C4E5B" w:rsidRPr="00742273" w:rsidRDefault="000C4E5B" w:rsidP="007F1017">
            <w:pPr>
              <w:jc w:val="center"/>
              <w:rPr>
                <w:rFonts w:ascii="Arial Narrow" w:hAnsi="Arial Narrow"/>
                <w:sz w:val="20"/>
                <w:lang w:val="en-US"/>
              </w:rPr>
            </w:pPr>
          </w:p>
        </w:tc>
        <w:tc>
          <w:tcPr>
            <w:tcW w:w="1810" w:type="pct"/>
            <w:shd w:val="clear" w:color="auto" w:fill="auto"/>
            <w:vAlign w:val="center"/>
          </w:tcPr>
          <w:p w:rsidR="000C4E5B" w:rsidRPr="00742273" w:rsidRDefault="000C4E5B" w:rsidP="007F1017">
            <w:pPr>
              <w:jc w:val="center"/>
              <w:rPr>
                <w:rFonts w:ascii="Arial Narrow" w:hAnsi="Arial Narrow"/>
                <w:sz w:val="20"/>
                <w:lang w:val="en-US"/>
              </w:rPr>
            </w:pPr>
            <w:r w:rsidRPr="00742273">
              <w:rPr>
                <w:rFonts w:ascii="Arial Narrow" w:hAnsi="Arial Narrow"/>
                <w:sz w:val="20"/>
              </w:rPr>
              <w:t>Characterise the dose response of tofacitinib over the range of 1-15mg bd on ACR20 response at 12 weeks</w:t>
            </w:r>
          </w:p>
        </w:tc>
      </w:tr>
    </w:tbl>
    <w:p w:rsidR="000C4E5B" w:rsidRPr="00742273" w:rsidRDefault="000C4E5B" w:rsidP="000C4E5B">
      <w:pPr>
        <w:pStyle w:val="TableFooter"/>
        <w:ind w:left="720"/>
      </w:pPr>
      <w:r w:rsidRPr="00742273">
        <w:t>Abbreviations: AC = active control; Ada = adalimumab ACR = American College of Rheuma</w:t>
      </w:r>
      <w:r w:rsidR="00154A0F" w:rsidRPr="00742273">
        <w:t>tology; bd = twice a day; DAS = </w:t>
      </w:r>
      <w:r w:rsidRPr="00742273">
        <w:t>disease activity score; DB = double blind; HAQ-DI = Health Assessment Questionnaire-Disability Index; MC = multicentre; PBO = placebo; q2w: once a fortnight; R = randomised; Tofa = tofacitinib; Source: Table 5, pB.18 of the submission</w:t>
      </w:r>
    </w:p>
    <w:p w:rsidR="007F1017" w:rsidRPr="00742273" w:rsidRDefault="007F1017" w:rsidP="00E22A0D">
      <w:pPr>
        <w:pStyle w:val="TableFooter"/>
        <w:ind w:firstLine="720"/>
      </w:pPr>
      <w:r w:rsidRPr="00742273">
        <w:t>Source: compiled during the evaluation</w:t>
      </w:r>
    </w:p>
    <w:p w:rsidR="007F1017" w:rsidRPr="00742273" w:rsidRDefault="007F1017" w:rsidP="007F1017"/>
    <w:p w:rsidR="007F1017" w:rsidRPr="00742273" w:rsidRDefault="000C4E5B" w:rsidP="000C4E5B">
      <w:pPr>
        <w:pStyle w:val="ListParagraph"/>
        <w:widowControl/>
        <w:numPr>
          <w:ilvl w:val="1"/>
          <w:numId w:val="12"/>
        </w:numPr>
      </w:pPr>
      <w:r w:rsidRPr="00742273">
        <w:t xml:space="preserve">The head to head trials were not designed or powered to definitively compare tofacitinib and adalimumab in severe active RA.  Although both trials were 12 months duration, the direct comparison was limited to 3 months in Study 1035.  </w:t>
      </w:r>
    </w:p>
    <w:p w:rsidR="00F80AE0" w:rsidRPr="00742273" w:rsidRDefault="00F80AE0" w:rsidP="00F80AE0">
      <w:pPr>
        <w:pStyle w:val="ListParagraph"/>
        <w:widowControl/>
      </w:pPr>
    </w:p>
    <w:p w:rsidR="00F80AE0" w:rsidRPr="00742273" w:rsidRDefault="00F80AE0" w:rsidP="000C4E5B">
      <w:pPr>
        <w:pStyle w:val="ListParagraph"/>
        <w:widowControl/>
        <w:numPr>
          <w:ilvl w:val="1"/>
          <w:numId w:val="12"/>
        </w:numPr>
      </w:pPr>
      <w:r w:rsidRPr="00742273">
        <w:t xml:space="preserve">A comparison between the trial eligibility criteria and the </w:t>
      </w:r>
      <w:r w:rsidR="0091794C">
        <w:t>proposed PBS</w:t>
      </w:r>
      <w:r w:rsidR="0091794C" w:rsidRPr="00742273">
        <w:t xml:space="preserve"> </w:t>
      </w:r>
      <w:r w:rsidRPr="00742273">
        <w:t xml:space="preserve">restriction showed that the </w:t>
      </w:r>
      <w:r w:rsidR="0091794C">
        <w:t xml:space="preserve">proposed </w:t>
      </w:r>
      <w:r w:rsidRPr="00742273">
        <w:t xml:space="preserve">PBS </w:t>
      </w:r>
      <w:r w:rsidR="0091794C">
        <w:t>restriction</w:t>
      </w:r>
      <w:r w:rsidRPr="00742273">
        <w:t xml:space="preserve"> </w:t>
      </w:r>
      <w:r w:rsidR="0091794C">
        <w:t>targeted</w:t>
      </w:r>
      <w:r w:rsidR="0091794C" w:rsidRPr="00742273">
        <w:t xml:space="preserve"> </w:t>
      </w:r>
      <w:r w:rsidRPr="00742273">
        <w:t>patients of greater RA severity (swollen/tender joint count and measures of C-reactive protein) when compared to the eligibility criteria used in the randomised trials (Study 1064, Study 1035)).</w:t>
      </w:r>
    </w:p>
    <w:p w:rsidR="009E1922" w:rsidRPr="00742273" w:rsidRDefault="009E1922" w:rsidP="009E1922">
      <w:pPr>
        <w:pStyle w:val="ListParagraph"/>
        <w:widowControl/>
      </w:pPr>
    </w:p>
    <w:p w:rsidR="00B60939" w:rsidRPr="00742273" w:rsidRDefault="00F80AE0" w:rsidP="009E1922">
      <w:pPr>
        <w:pStyle w:val="ListParagraph"/>
        <w:widowControl/>
        <w:numPr>
          <w:ilvl w:val="1"/>
          <w:numId w:val="12"/>
        </w:numPr>
      </w:pPr>
      <w:r w:rsidRPr="00742273">
        <w:t xml:space="preserve">In terms of prior treatment, the requested </w:t>
      </w:r>
      <w:r w:rsidR="00E16749">
        <w:t xml:space="preserve">PBS </w:t>
      </w:r>
      <w:r w:rsidRPr="00742273">
        <w:t xml:space="preserve">restriction </w:t>
      </w:r>
      <w:r w:rsidR="00E00435" w:rsidRPr="00742273">
        <w:t xml:space="preserve">specified </w:t>
      </w:r>
      <w:r w:rsidRPr="00742273">
        <w:t>the failure of intensive treatment with DMARDs (MTX ≥ 20</w:t>
      </w:r>
      <w:r w:rsidR="00DB724F" w:rsidRPr="00742273">
        <w:t xml:space="preserve"> </w:t>
      </w:r>
      <w:r w:rsidRPr="00742273">
        <w:t>mg/week or DMARD for at least 3</w:t>
      </w:r>
      <w:r w:rsidR="009E1922" w:rsidRPr="00742273">
        <w:t> </w:t>
      </w:r>
      <w:r w:rsidRPr="00742273">
        <w:t>continuous months) prior to the commencement of tofacitinib, whereas the head to head trials only required minimal treatment failure (inadequate response to MTX 7-25</w:t>
      </w:r>
      <w:r w:rsidR="00DB724F" w:rsidRPr="00742273">
        <w:t> </w:t>
      </w:r>
      <w:r w:rsidRPr="00742273">
        <w:t xml:space="preserve">mg/week for ≥6 weeks: Study 1064; treatment failure with ≥1 DMARD: Study 1035).  Additionally, participants were excluded from both trials if they had discontinued any previous TNF-inhibitor therapy for lack of efficacy or adverse events.  Given the eligibility criteria for prior DMARD and bDMARD treatment in the head to head trials it would be expected that the utilisation of these agents would be reduced compared to usage in the requested PBS population.  </w:t>
      </w:r>
    </w:p>
    <w:p w:rsidR="009E1922" w:rsidRPr="00742273" w:rsidRDefault="009E1922" w:rsidP="009E1922">
      <w:pPr>
        <w:pStyle w:val="ListParagraph"/>
        <w:widowControl/>
      </w:pPr>
    </w:p>
    <w:p w:rsidR="00B60939" w:rsidRPr="00B8485B" w:rsidRDefault="00B60939" w:rsidP="002C2775">
      <w:pPr>
        <w:pStyle w:val="Heading2"/>
        <w:rPr>
          <w:i/>
        </w:rPr>
      </w:pPr>
      <w:bookmarkStart w:id="8" w:name="_Toc409100931"/>
      <w:r w:rsidRPr="00B8485B">
        <w:rPr>
          <w:i/>
        </w:rPr>
        <w:t>Comparative effectiveness</w:t>
      </w:r>
      <w:bookmarkEnd w:id="8"/>
    </w:p>
    <w:p w:rsidR="00B60939" w:rsidRPr="00742273" w:rsidRDefault="00B60939" w:rsidP="00B60939">
      <w:pPr>
        <w:rPr>
          <w:szCs w:val="22"/>
        </w:rPr>
      </w:pPr>
    </w:p>
    <w:p w:rsidR="002C2775" w:rsidRPr="00742273" w:rsidRDefault="00D85C2D" w:rsidP="007C5CAB">
      <w:pPr>
        <w:pStyle w:val="ListParagraph"/>
        <w:widowControl/>
        <w:numPr>
          <w:ilvl w:val="1"/>
          <w:numId w:val="12"/>
        </w:numPr>
        <w:rPr>
          <w:szCs w:val="22"/>
        </w:rPr>
      </w:pPr>
      <w:r w:rsidRPr="00742273">
        <w:rPr>
          <w:szCs w:val="22"/>
        </w:rPr>
        <w:t>Results of the American College of Rheumatology (ACR) response rates (ACR20, ACR50 and ACR70 at 3 months) from the direct randomised tr</w:t>
      </w:r>
      <w:r w:rsidR="00154A0F" w:rsidRPr="00742273">
        <w:rPr>
          <w:szCs w:val="22"/>
        </w:rPr>
        <w:t>ials and the meta</w:t>
      </w:r>
      <w:r w:rsidR="00154A0F" w:rsidRPr="00742273">
        <w:rPr>
          <w:szCs w:val="22"/>
        </w:rPr>
        <w:noBreakHyphen/>
      </w:r>
      <w:r w:rsidRPr="00742273">
        <w:rPr>
          <w:szCs w:val="22"/>
        </w:rPr>
        <w:t>analyses ar</w:t>
      </w:r>
      <w:r w:rsidR="004728E4" w:rsidRPr="00742273">
        <w:rPr>
          <w:szCs w:val="22"/>
        </w:rPr>
        <w:t>e presented in the table below.</w:t>
      </w:r>
      <w:r w:rsidRPr="00742273">
        <w:rPr>
          <w:szCs w:val="22"/>
        </w:rPr>
        <w:t xml:space="preserve"> </w:t>
      </w:r>
      <w:r w:rsidR="007D02DE" w:rsidRPr="00742273">
        <w:rPr>
          <w:szCs w:val="22"/>
        </w:rPr>
        <w:t>The pooled results indicated a statistically significant advantage for tofacitinib 5</w:t>
      </w:r>
      <w:r w:rsidR="00DB724F" w:rsidRPr="00742273">
        <w:rPr>
          <w:szCs w:val="22"/>
        </w:rPr>
        <w:t xml:space="preserve"> </w:t>
      </w:r>
      <w:r w:rsidR="007D02DE" w:rsidRPr="00742273">
        <w:rPr>
          <w:szCs w:val="22"/>
        </w:rPr>
        <w:t>mg compared to adalimumab 40</w:t>
      </w:r>
      <w:r w:rsidR="00DB724F" w:rsidRPr="00742273">
        <w:rPr>
          <w:szCs w:val="22"/>
        </w:rPr>
        <w:t xml:space="preserve"> </w:t>
      </w:r>
      <w:r w:rsidR="007D02DE" w:rsidRPr="00742273">
        <w:rPr>
          <w:szCs w:val="22"/>
        </w:rPr>
        <w:t xml:space="preserve">mg </w:t>
      </w:r>
      <w:r w:rsidR="0004244D" w:rsidRPr="00742273">
        <w:rPr>
          <w:szCs w:val="22"/>
        </w:rPr>
        <w:t>for</w:t>
      </w:r>
      <w:r w:rsidR="007D02DE" w:rsidRPr="00742273">
        <w:rPr>
          <w:szCs w:val="22"/>
        </w:rPr>
        <w:t xml:space="preserve"> ACR50 at 3 months.</w:t>
      </w:r>
      <w:r w:rsidR="00DB724F" w:rsidRPr="00742273">
        <w:rPr>
          <w:szCs w:val="22"/>
        </w:rPr>
        <w:t xml:space="preserve"> </w:t>
      </w:r>
    </w:p>
    <w:p w:rsidR="007F1017" w:rsidRPr="00742273" w:rsidRDefault="007F1017" w:rsidP="007C5CAB">
      <w:pPr>
        <w:pStyle w:val="ListParagraph"/>
        <w:widowControl/>
        <w:rPr>
          <w:szCs w:val="22"/>
        </w:rPr>
      </w:pPr>
    </w:p>
    <w:p w:rsidR="007F1017" w:rsidRPr="00742273" w:rsidRDefault="007F1017" w:rsidP="00154A0F">
      <w:pPr>
        <w:keepNext/>
        <w:ind w:firstLine="720"/>
        <w:rPr>
          <w:rStyle w:val="CommentReference"/>
        </w:rPr>
      </w:pPr>
      <w:r w:rsidRPr="00742273">
        <w:rPr>
          <w:rStyle w:val="CommentReference"/>
          <w:szCs w:val="22"/>
        </w:rPr>
        <w:lastRenderedPageBreak/>
        <w:t xml:space="preserve">Results of </w:t>
      </w:r>
      <w:r w:rsidR="00D85C2D" w:rsidRPr="00742273">
        <w:rPr>
          <w:rStyle w:val="CommentReference"/>
          <w:szCs w:val="22"/>
        </w:rPr>
        <w:t>ACR20, ACR50 and ACR70 response rates at 3 month</w:t>
      </w:r>
      <w:r w:rsidRPr="00742273">
        <w:rPr>
          <w:rStyle w:val="CommentReference"/>
          <w:szCs w:val="22"/>
        </w:rPr>
        <w:t xml:space="preserve">s </w:t>
      </w:r>
    </w:p>
    <w:tbl>
      <w:tblPr>
        <w:tblStyle w:val="TableGrid"/>
        <w:tblW w:w="0" w:type="auto"/>
        <w:tblInd w:w="737" w:type="dxa"/>
        <w:tblCellMar>
          <w:left w:w="28" w:type="dxa"/>
          <w:right w:w="28" w:type="dxa"/>
        </w:tblCellMar>
        <w:tblLook w:val="04A0" w:firstRow="1" w:lastRow="0" w:firstColumn="1" w:lastColumn="0" w:noHBand="0" w:noVBand="1"/>
        <w:tblCaption w:val="Comparative effectiveness"/>
        <w:tblDescription w:val="Results of ACR20, ACR50 and ACR70 response rates at 3 months "/>
      </w:tblPr>
      <w:tblGrid>
        <w:gridCol w:w="851"/>
        <w:gridCol w:w="992"/>
        <w:gridCol w:w="1625"/>
        <w:gridCol w:w="1626"/>
        <w:gridCol w:w="1625"/>
        <w:gridCol w:w="1626"/>
      </w:tblGrid>
      <w:tr w:rsidR="00D85C2D" w:rsidRPr="00742273">
        <w:tc>
          <w:tcPr>
            <w:tcW w:w="851" w:type="dxa"/>
            <w:vAlign w:val="center"/>
          </w:tcPr>
          <w:p w:rsidR="00D85C2D" w:rsidRPr="00742273" w:rsidRDefault="00D85C2D" w:rsidP="00154A0F">
            <w:pPr>
              <w:keepNext/>
              <w:jc w:val="left"/>
              <w:rPr>
                <w:rFonts w:ascii="Arial Narrow" w:hAnsi="Arial Narrow"/>
                <w:b/>
                <w:sz w:val="20"/>
                <w:szCs w:val="22"/>
              </w:rPr>
            </w:pPr>
            <w:r w:rsidRPr="00742273">
              <w:rPr>
                <w:rFonts w:ascii="Arial Narrow" w:hAnsi="Arial Narrow"/>
                <w:b/>
                <w:sz w:val="20"/>
                <w:szCs w:val="22"/>
              </w:rPr>
              <w:t>Outcome</w:t>
            </w:r>
          </w:p>
        </w:tc>
        <w:tc>
          <w:tcPr>
            <w:tcW w:w="992" w:type="dxa"/>
            <w:vAlign w:val="center"/>
          </w:tcPr>
          <w:p w:rsidR="00D85C2D" w:rsidRPr="00742273" w:rsidRDefault="00D85C2D" w:rsidP="00154A0F">
            <w:pPr>
              <w:keepNext/>
              <w:jc w:val="center"/>
              <w:rPr>
                <w:rFonts w:ascii="Arial Narrow" w:hAnsi="Arial Narrow"/>
                <w:b/>
                <w:sz w:val="20"/>
                <w:szCs w:val="22"/>
              </w:rPr>
            </w:pPr>
            <w:r w:rsidRPr="00742273">
              <w:rPr>
                <w:rFonts w:ascii="Arial Narrow" w:hAnsi="Arial Narrow"/>
                <w:b/>
                <w:sz w:val="20"/>
                <w:szCs w:val="22"/>
              </w:rPr>
              <w:t>Trial</w:t>
            </w:r>
          </w:p>
        </w:tc>
        <w:tc>
          <w:tcPr>
            <w:tcW w:w="1625" w:type="dxa"/>
            <w:vAlign w:val="center"/>
          </w:tcPr>
          <w:p w:rsidR="00D85C2D" w:rsidRPr="00742273" w:rsidRDefault="00D85C2D" w:rsidP="00154A0F">
            <w:pPr>
              <w:keepNext/>
              <w:jc w:val="center"/>
              <w:rPr>
                <w:rFonts w:ascii="Arial Narrow" w:hAnsi="Arial Narrow"/>
                <w:b/>
                <w:sz w:val="20"/>
                <w:szCs w:val="22"/>
              </w:rPr>
            </w:pPr>
            <w:r w:rsidRPr="00742273">
              <w:rPr>
                <w:rFonts w:ascii="Arial Narrow" w:hAnsi="Arial Narrow"/>
                <w:b/>
                <w:sz w:val="20"/>
                <w:szCs w:val="22"/>
              </w:rPr>
              <w:t>Tofa 5mg, n/N (%)</w:t>
            </w:r>
          </w:p>
        </w:tc>
        <w:tc>
          <w:tcPr>
            <w:tcW w:w="1626" w:type="dxa"/>
            <w:vAlign w:val="center"/>
          </w:tcPr>
          <w:p w:rsidR="00D85C2D" w:rsidRPr="00742273" w:rsidRDefault="00D85C2D" w:rsidP="00154A0F">
            <w:pPr>
              <w:keepNext/>
              <w:jc w:val="center"/>
              <w:rPr>
                <w:rFonts w:ascii="Arial Narrow" w:hAnsi="Arial Narrow"/>
                <w:b/>
                <w:sz w:val="20"/>
                <w:szCs w:val="22"/>
              </w:rPr>
            </w:pPr>
            <w:r w:rsidRPr="00742273">
              <w:rPr>
                <w:rFonts w:ascii="Arial Narrow" w:hAnsi="Arial Narrow"/>
                <w:b/>
                <w:sz w:val="20"/>
                <w:szCs w:val="22"/>
              </w:rPr>
              <w:t>Ada 40mg, n/N(%)</w:t>
            </w:r>
          </w:p>
        </w:tc>
        <w:tc>
          <w:tcPr>
            <w:tcW w:w="1625" w:type="dxa"/>
            <w:vAlign w:val="center"/>
          </w:tcPr>
          <w:p w:rsidR="00D85C2D" w:rsidRPr="00742273" w:rsidRDefault="00D85C2D" w:rsidP="00154A0F">
            <w:pPr>
              <w:keepNext/>
              <w:jc w:val="center"/>
              <w:rPr>
                <w:rFonts w:ascii="Arial Narrow" w:hAnsi="Arial Narrow"/>
                <w:b/>
                <w:sz w:val="20"/>
                <w:szCs w:val="22"/>
              </w:rPr>
            </w:pPr>
            <w:r w:rsidRPr="00742273">
              <w:rPr>
                <w:rFonts w:ascii="Arial Narrow" w:hAnsi="Arial Narrow"/>
                <w:b/>
                <w:sz w:val="20"/>
                <w:szCs w:val="22"/>
              </w:rPr>
              <w:t>RD (95% CI)</w:t>
            </w:r>
          </w:p>
        </w:tc>
        <w:tc>
          <w:tcPr>
            <w:tcW w:w="1626" w:type="dxa"/>
            <w:vAlign w:val="center"/>
          </w:tcPr>
          <w:p w:rsidR="00D85C2D" w:rsidRPr="00742273" w:rsidRDefault="00D85C2D" w:rsidP="00154A0F">
            <w:pPr>
              <w:keepNext/>
              <w:jc w:val="center"/>
              <w:rPr>
                <w:rFonts w:ascii="Arial Narrow" w:hAnsi="Arial Narrow"/>
                <w:b/>
                <w:sz w:val="20"/>
                <w:szCs w:val="22"/>
              </w:rPr>
            </w:pPr>
            <w:r w:rsidRPr="00742273">
              <w:rPr>
                <w:rFonts w:ascii="Arial Narrow" w:hAnsi="Arial Narrow"/>
                <w:b/>
                <w:sz w:val="20"/>
                <w:szCs w:val="22"/>
              </w:rPr>
              <w:t>RR (95% CI)</w:t>
            </w:r>
          </w:p>
        </w:tc>
      </w:tr>
      <w:tr w:rsidR="00D85C2D" w:rsidRPr="00742273">
        <w:tc>
          <w:tcPr>
            <w:tcW w:w="851" w:type="dxa"/>
            <w:vMerge w:val="restart"/>
            <w:vAlign w:val="center"/>
          </w:tcPr>
          <w:p w:rsidR="00D85C2D" w:rsidRPr="00742273" w:rsidRDefault="00D85C2D" w:rsidP="00154A0F">
            <w:pPr>
              <w:keepNext/>
              <w:jc w:val="left"/>
              <w:rPr>
                <w:rFonts w:ascii="Arial Narrow" w:hAnsi="Arial Narrow"/>
                <w:sz w:val="20"/>
                <w:szCs w:val="22"/>
              </w:rPr>
            </w:pPr>
            <w:r w:rsidRPr="00742273">
              <w:rPr>
                <w:rFonts w:ascii="Arial Narrow" w:hAnsi="Arial Narrow"/>
                <w:sz w:val="20"/>
                <w:szCs w:val="22"/>
              </w:rPr>
              <w:t>ACR20</w:t>
            </w:r>
          </w:p>
        </w:tc>
        <w:tc>
          <w:tcPr>
            <w:tcW w:w="992"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Study 1065</w:t>
            </w:r>
          </w:p>
        </w:tc>
        <w:tc>
          <w:tcPr>
            <w:tcW w:w="1625"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119/196 (60.7)</w:t>
            </w:r>
          </w:p>
        </w:tc>
        <w:tc>
          <w:tcPr>
            <w:tcW w:w="1626"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112/199 (56.3)</w:t>
            </w:r>
          </w:p>
        </w:tc>
        <w:tc>
          <w:tcPr>
            <w:tcW w:w="1625"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0.04 (-0.05, 0.14)</w:t>
            </w:r>
          </w:p>
        </w:tc>
        <w:tc>
          <w:tcPr>
            <w:tcW w:w="1626"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1.08 (0.91, 1.27)</w:t>
            </w:r>
          </w:p>
        </w:tc>
      </w:tr>
      <w:tr w:rsidR="00D85C2D" w:rsidRPr="00742273">
        <w:tc>
          <w:tcPr>
            <w:tcW w:w="851" w:type="dxa"/>
            <w:vMerge/>
            <w:vAlign w:val="center"/>
          </w:tcPr>
          <w:p w:rsidR="00D85C2D" w:rsidRPr="00742273" w:rsidRDefault="00D85C2D" w:rsidP="00154A0F">
            <w:pPr>
              <w:keepNext/>
              <w:jc w:val="left"/>
              <w:rPr>
                <w:rFonts w:ascii="Arial Narrow" w:hAnsi="Arial Narrow"/>
                <w:sz w:val="20"/>
                <w:szCs w:val="22"/>
              </w:rPr>
            </w:pPr>
          </w:p>
        </w:tc>
        <w:tc>
          <w:tcPr>
            <w:tcW w:w="992"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Study 1035</w:t>
            </w:r>
          </w:p>
        </w:tc>
        <w:tc>
          <w:tcPr>
            <w:tcW w:w="1625"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30/49 (61.2)</w:t>
            </w:r>
          </w:p>
        </w:tc>
        <w:tc>
          <w:tcPr>
            <w:tcW w:w="1626"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sz w:val="20"/>
                <w:szCs w:val="22"/>
              </w:rPr>
              <w:t>21/53 (39.6)</w:t>
            </w:r>
          </w:p>
        </w:tc>
        <w:tc>
          <w:tcPr>
            <w:tcW w:w="1625"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b/>
                <w:sz w:val="20"/>
                <w:szCs w:val="22"/>
              </w:rPr>
              <w:t>0.22 (0.03, 0.41)</w:t>
            </w:r>
          </w:p>
        </w:tc>
        <w:tc>
          <w:tcPr>
            <w:tcW w:w="1626" w:type="dxa"/>
            <w:vAlign w:val="center"/>
          </w:tcPr>
          <w:p w:rsidR="00D85C2D" w:rsidRPr="00742273" w:rsidRDefault="00D85C2D" w:rsidP="00154A0F">
            <w:pPr>
              <w:keepNext/>
              <w:jc w:val="center"/>
              <w:rPr>
                <w:rFonts w:ascii="Arial Narrow" w:hAnsi="Arial Narrow"/>
                <w:sz w:val="20"/>
                <w:szCs w:val="22"/>
              </w:rPr>
            </w:pPr>
            <w:r w:rsidRPr="00742273">
              <w:rPr>
                <w:rFonts w:ascii="Arial Narrow" w:hAnsi="Arial Narrow"/>
                <w:b/>
                <w:sz w:val="20"/>
                <w:szCs w:val="22"/>
              </w:rPr>
              <w:t>1.55 (1.04, 2.31+</w:t>
            </w:r>
          </w:p>
        </w:tc>
      </w:tr>
      <w:tr w:rsidR="00D85C2D" w:rsidRPr="00742273">
        <w:tc>
          <w:tcPr>
            <w:tcW w:w="851" w:type="dxa"/>
            <w:vMerge/>
            <w:vAlign w:val="center"/>
          </w:tcPr>
          <w:p w:rsidR="00D85C2D" w:rsidRPr="00742273" w:rsidRDefault="00D85C2D" w:rsidP="00154A0F">
            <w:pPr>
              <w:keepNext/>
              <w:jc w:val="left"/>
              <w:rPr>
                <w:rFonts w:ascii="Arial Narrow" w:hAnsi="Arial Narrow"/>
                <w:sz w:val="20"/>
                <w:szCs w:val="22"/>
              </w:rPr>
            </w:pPr>
          </w:p>
        </w:tc>
        <w:tc>
          <w:tcPr>
            <w:tcW w:w="4243" w:type="dxa"/>
            <w:gridSpan w:val="3"/>
            <w:vMerge w:val="restart"/>
            <w:vAlign w:val="center"/>
          </w:tcPr>
          <w:p w:rsidR="00D85C2D" w:rsidRPr="00742273" w:rsidRDefault="00D85C2D" w:rsidP="00154A0F">
            <w:pPr>
              <w:keepNext/>
              <w:jc w:val="right"/>
              <w:rPr>
                <w:rFonts w:ascii="Arial Narrow" w:hAnsi="Arial Narrow"/>
                <w:sz w:val="20"/>
                <w:szCs w:val="22"/>
              </w:rPr>
            </w:pPr>
            <w:r w:rsidRPr="00742273">
              <w:rPr>
                <w:rFonts w:ascii="Arial Narrow" w:hAnsi="Arial Narrow"/>
                <w:sz w:val="20"/>
                <w:szCs w:val="22"/>
              </w:rPr>
              <w:t>Meta-analysis</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szCs w:val="22"/>
              </w:rPr>
              <w:t>0.11 (-0.05, 0.</w:t>
            </w:r>
            <w:r w:rsidRPr="00742273">
              <w:rPr>
                <w:rFonts w:ascii="Arial Narrow" w:hAnsi="Arial Narrow"/>
                <w:sz w:val="20"/>
              </w:rPr>
              <w:t>27)</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1.23 (0.88, 1.73)</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4243" w:type="dxa"/>
            <w:gridSpan w:val="3"/>
            <w:vMerge/>
            <w:vAlign w:val="center"/>
          </w:tcPr>
          <w:p w:rsidR="00D85C2D" w:rsidRPr="00742273" w:rsidRDefault="00D85C2D" w:rsidP="00154A0F">
            <w:pPr>
              <w:keepNext/>
              <w:jc w:val="center"/>
              <w:rPr>
                <w:rFonts w:ascii="Arial Narrow" w:hAnsi="Arial Narrow"/>
                <w:sz w:val="20"/>
              </w:rPr>
            </w:pP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60%</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62%</w:t>
            </w:r>
          </w:p>
        </w:tc>
      </w:tr>
      <w:tr w:rsidR="00D85C2D" w:rsidRPr="00742273">
        <w:tc>
          <w:tcPr>
            <w:tcW w:w="851" w:type="dxa"/>
            <w:vMerge w:val="restart"/>
            <w:vAlign w:val="center"/>
          </w:tcPr>
          <w:p w:rsidR="00D85C2D" w:rsidRPr="00742273" w:rsidRDefault="00D85C2D" w:rsidP="00154A0F">
            <w:pPr>
              <w:keepNext/>
              <w:jc w:val="left"/>
              <w:rPr>
                <w:rFonts w:ascii="Arial Narrow" w:hAnsi="Arial Narrow"/>
                <w:sz w:val="20"/>
              </w:rPr>
            </w:pPr>
            <w:r w:rsidRPr="00742273">
              <w:rPr>
                <w:rFonts w:ascii="Arial Narrow" w:hAnsi="Arial Narrow"/>
                <w:sz w:val="20"/>
              </w:rPr>
              <w:t>ACR50</w:t>
            </w:r>
          </w:p>
        </w:tc>
        <w:tc>
          <w:tcPr>
            <w:tcW w:w="992"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Study 1065</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67/196 (34.2)</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47/199 (23.6)</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b/>
                <w:sz w:val="20"/>
              </w:rPr>
              <w:t>0.11 (0.02, 0.19)</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b/>
                <w:sz w:val="20"/>
              </w:rPr>
              <w:t>1.45 (1.05, 1.99)</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992"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Study 1035</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19/49 (38.8)</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11/53 (20.8)</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b/>
                <w:sz w:val="20"/>
              </w:rPr>
              <w:t>0.18 (0.01, 0.35)</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1.87 (0.99, 3.52)</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4243" w:type="dxa"/>
            <w:gridSpan w:val="3"/>
            <w:vMerge w:val="restart"/>
            <w:vAlign w:val="center"/>
          </w:tcPr>
          <w:p w:rsidR="00D85C2D" w:rsidRPr="00742273" w:rsidRDefault="00D85C2D" w:rsidP="00154A0F">
            <w:pPr>
              <w:keepNext/>
              <w:jc w:val="right"/>
              <w:rPr>
                <w:rFonts w:ascii="Arial Narrow" w:hAnsi="Arial Narrow"/>
                <w:sz w:val="20"/>
              </w:rPr>
            </w:pPr>
            <w:r w:rsidRPr="00742273">
              <w:rPr>
                <w:rFonts w:ascii="Arial Narrow" w:hAnsi="Arial Narrow"/>
                <w:sz w:val="20"/>
              </w:rPr>
              <w:t>Meta-analysis</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b/>
                <w:sz w:val="20"/>
              </w:rPr>
              <w:t>0.12 (0.04, 0.20)</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b/>
                <w:sz w:val="20"/>
              </w:rPr>
              <w:t>1.52 (1.15, 2.02)</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4243" w:type="dxa"/>
            <w:gridSpan w:val="3"/>
            <w:vMerge/>
            <w:vAlign w:val="center"/>
          </w:tcPr>
          <w:p w:rsidR="00D85C2D" w:rsidRPr="00742273" w:rsidRDefault="00D85C2D" w:rsidP="00154A0F">
            <w:pPr>
              <w:keepNext/>
              <w:jc w:val="center"/>
              <w:rPr>
                <w:rFonts w:ascii="Arial Narrow" w:hAnsi="Arial Narrow"/>
                <w:sz w:val="20"/>
              </w:rPr>
            </w:pP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=0%</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0%</w:t>
            </w:r>
          </w:p>
        </w:tc>
      </w:tr>
      <w:tr w:rsidR="00D85C2D" w:rsidRPr="00742273">
        <w:tc>
          <w:tcPr>
            <w:tcW w:w="851" w:type="dxa"/>
            <w:vMerge w:val="restart"/>
            <w:vAlign w:val="center"/>
          </w:tcPr>
          <w:p w:rsidR="00D85C2D" w:rsidRPr="00742273" w:rsidRDefault="00D85C2D" w:rsidP="00154A0F">
            <w:pPr>
              <w:keepNext/>
              <w:jc w:val="left"/>
              <w:rPr>
                <w:rFonts w:ascii="Arial Narrow" w:hAnsi="Arial Narrow"/>
                <w:sz w:val="20"/>
              </w:rPr>
            </w:pPr>
            <w:r w:rsidRPr="00742273">
              <w:rPr>
                <w:rFonts w:ascii="Arial Narrow" w:hAnsi="Arial Narrow"/>
                <w:sz w:val="20"/>
              </w:rPr>
              <w:t>ACR70</w:t>
            </w:r>
          </w:p>
        </w:tc>
        <w:tc>
          <w:tcPr>
            <w:tcW w:w="992"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Study 1065</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24/196 (12.2)</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17/199 (8.5)</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0.04 (-0.02, 0.10)</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1.43 (0.80, 2.58)</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992"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Study 1035</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7/49 (14.3)</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2/53 (3.8)</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0.11 (-0.01, 0.22)</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3.79 (0.83, 17.36)</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4243" w:type="dxa"/>
            <w:gridSpan w:val="3"/>
            <w:vMerge w:val="restart"/>
            <w:vAlign w:val="center"/>
          </w:tcPr>
          <w:p w:rsidR="00D85C2D" w:rsidRPr="00742273" w:rsidRDefault="00D85C2D" w:rsidP="00154A0F">
            <w:pPr>
              <w:keepNext/>
              <w:jc w:val="right"/>
              <w:rPr>
                <w:rFonts w:ascii="Arial Narrow" w:hAnsi="Arial Narrow"/>
                <w:sz w:val="20"/>
              </w:rPr>
            </w:pPr>
            <w:r w:rsidRPr="00742273">
              <w:rPr>
                <w:rFonts w:ascii="Arial Narrow" w:hAnsi="Arial Narrow"/>
                <w:sz w:val="20"/>
              </w:rPr>
              <w:t>Meta-analysis</w:t>
            </w: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0.05 (-0.00, 0.11)</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1.79 (0.80, 4.01)</w:t>
            </w:r>
          </w:p>
        </w:tc>
      </w:tr>
      <w:tr w:rsidR="00D85C2D" w:rsidRPr="00742273">
        <w:tc>
          <w:tcPr>
            <w:tcW w:w="851" w:type="dxa"/>
            <w:vMerge/>
            <w:vAlign w:val="center"/>
          </w:tcPr>
          <w:p w:rsidR="00D85C2D" w:rsidRPr="00742273" w:rsidRDefault="00D85C2D" w:rsidP="00154A0F">
            <w:pPr>
              <w:keepNext/>
              <w:jc w:val="left"/>
              <w:rPr>
                <w:rFonts w:ascii="Arial Narrow" w:hAnsi="Arial Narrow"/>
                <w:sz w:val="20"/>
              </w:rPr>
            </w:pPr>
          </w:p>
        </w:tc>
        <w:tc>
          <w:tcPr>
            <w:tcW w:w="4243" w:type="dxa"/>
            <w:gridSpan w:val="3"/>
            <w:vMerge/>
            <w:vAlign w:val="center"/>
          </w:tcPr>
          <w:p w:rsidR="00D85C2D" w:rsidRPr="00742273" w:rsidRDefault="00D85C2D" w:rsidP="00154A0F">
            <w:pPr>
              <w:keepNext/>
              <w:jc w:val="center"/>
              <w:rPr>
                <w:rFonts w:ascii="Arial Narrow" w:hAnsi="Arial Narrow"/>
                <w:sz w:val="20"/>
              </w:rPr>
            </w:pPr>
          </w:p>
        </w:tc>
        <w:tc>
          <w:tcPr>
            <w:tcW w:w="1625"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11%</w:t>
            </w:r>
          </w:p>
        </w:tc>
        <w:tc>
          <w:tcPr>
            <w:tcW w:w="1626" w:type="dxa"/>
            <w:vAlign w:val="center"/>
          </w:tcPr>
          <w:p w:rsidR="00D85C2D" w:rsidRPr="00742273" w:rsidRDefault="00D85C2D" w:rsidP="00154A0F">
            <w:pPr>
              <w:keepNext/>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=27%</w:t>
            </w:r>
          </w:p>
        </w:tc>
      </w:tr>
    </w:tbl>
    <w:p w:rsidR="00D85C2D" w:rsidRPr="00742273" w:rsidRDefault="00A92C7D" w:rsidP="00154A0F">
      <w:pPr>
        <w:keepNext/>
        <w:ind w:left="720"/>
        <w:rPr>
          <w:rStyle w:val="CommentReference"/>
        </w:rPr>
      </w:pPr>
      <w:r w:rsidRPr="00742273">
        <w:rPr>
          <w:rStyle w:val="CommentReference"/>
          <w:b w:val="0"/>
          <w:sz w:val="18"/>
        </w:rPr>
        <w:t xml:space="preserve">Figures in bold indicate results that are statistically significant.  </w:t>
      </w:r>
      <w:r w:rsidR="00D85C2D" w:rsidRPr="00742273">
        <w:rPr>
          <w:rStyle w:val="CommentReference"/>
          <w:b w:val="0"/>
          <w:sz w:val="18"/>
        </w:rPr>
        <w:t>Abbreviations: ACR = American College of Rheumatology; Ada = adalimumab; Tofa = tofacitinib; CI = confidence interval; RD = risk difference; RR = relative risk</w:t>
      </w:r>
      <w:r w:rsidRPr="00742273">
        <w:rPr>
          <w:rStyle w:val="CommentReference"/>
          <w:b w:val="0"/>
          <w:sz w:val="18"/>
        </w:rPr>
        <w:t xml:space="preserve">.  </w:t>
      </w:r>
      <w:r w:rsidR="00D85C2D" w:rsidRPr="00742273">
        <w:rPr>
          <w:rStyle w:val="CommentReference"/>
          <w:b w:val="0"/>
          <w:sz w:val="18"/>
        </w:rPr>
        <w:t>Source: Table 42 43</w:t>
      </w:r>
      <w:r w:rsidRPr="00742273">
        <w:rPr>
          <w:rStyle w:val="CommentReference"/>
          <w:b w:val="0"/>
          <w:sz w:val="18"/>
        </w:rPr>
        <w:t xml:space="preserve"> &amp;</w:t>
      </w:r>
      <w:r w:rsidR="00D85C2D" w:rsidRPr="00742273">
        <w:rPr>
          <w:rStyle w:val="CommentReference"/>
          <w:b w:val="0"/>
          <w:sz w:val="18"/>
        </w:rPr>
        <w:t xml:space="preserve"> 44, ppB.122-B.124 and Table 47, pB.129-B.130 of the submission</w:t>
      </w:r>
    </w:p>
    <w:p w:rsidR="00B60939" w:rsidRPr="00742273" w:rsidRDefault="00B60939" w:rsidP="00B60939">
      <w:pPr>
        <w:rPr>
          <w:szCs w:val="22"/>
        </w:rPr>
      </w:pPr>
    </w:p>
    <w:p w:rsidR="00B37ED5" w:rsidRPr="00742273" w:rsidRDefault="00B37ED5" w:rsidP="00B37ED5">
      <w:pPr>
        <w:pStyle w:val="ListParagraph"/>
        <w:widowControl/>
        <w:numPr>
          <w:ilvl w:val="1"/>
          <w:numId w:val="12"/>
        </w:numPr>
        <w:rPr>
          <w:szCs w:val="22"/>
        </w:rPr>
      </w:pPr>
      <w:r w:rsidRPr="00742273">
        <w:rPr>
          <w:szCs w:val="22"/>
        </w:rPr>
        <w:t>Results of the meta-analyses and indirect comparison for ACR response at 3 months are presented in the table below.  No statistically significant difference was observed for tofacitinib 5</w:t>
      </w:r>
      <w:r w:rsidR="00DB724F" w:rsidRPr="00742273">
        <w:rPr>
          <w:szCs w:val="22"/>
        </w:rPr>
        <w:t xml:space="preserve"> </w:t>
      </w:r>
      <w:r w:rsidRPr="00742273">
        <w:rPr>
          <w:szCs w:val="22"/>
        </w:rPr>
        <w:t>mg and adalimumab 40</w:t>
      </w:r>
      <w:r w:rsidR="00DB724F" w:rsidRPr="00742273">
        <w:rPr>
          <w:szCs w:val="22"/>
        </w:rPr>
        <w:t xml:space="preserve"> </w:t>
      </w:r>
      <w:r w:rsidRPr="00742273">
        <w:rPr>
          <w:szCs w:val="22"/>
        </w:rPr>
        <w:t>mg for ACR20 and ACR50 response at 3</w:t>
      </w:r>
      <w:r w:rsidR="009E1922" w:rsidRPr="00742273">
        <w:rPr>
          <w:szCs w:val="22"/>
        </w:rPr>
        <w:t> </w:t>
      </w:r>
      <w:r w:rsidRPr="00742273">
        <w:rPr>
          <w:szCs w:val="22"/>
        </w:rPr>
        <w:t xml:space="preserve">months.  </w:t>
      </w:r>
      <w:r w:rsidR="00E00435" w:rsidRPr="00742273">
        <w:rPr>
          <w:szCs w:val="22"/>
        </w:rPr>
        <w:t>T</w:t>
      </w:r>
      <w:r w:rsidRPr="00742273">
        <w:rPr>
          <w:szCs w:val="22"/>
        </w:rPr>
        <w:t>he high level of statistical heterogeneity in the meta-analyses of the tofacitinib trials and variation in placebo response rates across the trials</w:t>
      </w:r>
      <w:r w:rsidR="00E00435" w:rsidRPr="00742273">
        <w:rPr>
          <w:szCs w:val="22"/>
        </w:rPr>
        <w:t xml:space="preserve"> compromised the validity of the indirect comparison</w:t>
      </w:r>
      <w:r w:rsidRPr="00742273">
        <w:rPr>
          <w:szCs w:val="22"/>
        </w:rPr>
        <w:t xml:space="preserve">.  </w:t>
      </w:r>
    </w:p>
    <w:p w:rsidR="005F1236" w:rsidRDefault="005F1236" w:rsidP="00B8485B">
      <w:pPr>
        <w:rPr>
          <w:rStyle w:val="CommentReference"/>
        </w:rPr>
      </w:pPr>
    </w:p>
    <w:p w:rsidR="00C04056" w:rsidRPr="00742273" w:rsidRDefault="00C04056" w:rsidP="00C04056">
      <w:pPr>
        <w:ind w:left="720"/>
        <w:rPr>
          <w:rStyle w:val="CommentReference"/>
        </w:rPr>
      </w:pPr>
      <w:r w:rsidRPr="00742273">
        <w:rPr>
          <w:rStyle w:val="CommentReference"/>
        </w:rPr>
        <w:t xml:space="preserve">Summary of results for the indirect comparison for ACR response at 3 months across the combination and monotherapy trials.  </w:t>
      </w:r>
    </w:p>
    <w:tbl>
      <w:tblPr>
        <w:tblStyle w:val="TableGrid"/>
        <w:tblW w:w="0" w:type="auto"/>
        <w:tblInd w:w="737" w:type="dxa"/>
        <w:tblCellMar>
          <w:left w:w="28" w:type="dxa"/>
          <w:right w:w="28" w:type="dxa"/>
        </w:tblCellMar>
        <w:tblLook w:val="04A0" w:firstRow="1" w:lastRow="0" w:firstColumn="1" w:lastColumn="0" w:noHBand="0" w:noVBand="1"/>
        <w:tblCaption w:val="Comparative effectiveness"/>
      </w:tblPr>
      <w:tblGrid>
        <w:gridCol w:w="851"/>
        <w:gridCol w:w="992"/>
        <w:gridCol w:w="1559"/>
        <w:gridCol w:w="1701"/>
        <w:gridCol w:w="1701"/>
        <w:gridCol w:w="1541"/>
      </w:tblGrid>
      <w:tr w:rsidR="00C04056" w:rsidRPr="00742273">
        <w:tc>
          <w:tcPr>
            <w:tcW w:w="851" w:type="dxa"/>
            <w:vAlign w:val="center"/>
          </w:tcPr>
          <w:p w:rsidR="00C04056" w:rsidRPr="00742273" w:rsidRDefault="00C04056" w:rsidP="00725993">
            <w:pPr>
              <w:jc w:val="left"/>
              <w:rPr>
                <w:rFonts w:ascii="Arial Narrow" w:hAnsi="Arial Narrow"/>
                <w:b/>
                <w:sz w:val="20"/>
              </w:rPr>
            </w:pPr>
            <w:r w:rsidRPr="00742273">
              <w:rPr>
                <w:rFonts w:ascii="Arial Narrow" w:hAnsi="Arial Narrow"/>
                <w:b/>
                <w:sz w:val="20"/>
              </w:rPr>
              <w:t>Outcome</w:t>
            </w:r>
          </w:p>
        </w:tc>
        <w:tc>
          <w:tcPr>
            <w:tcW w:w="992"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Tofacitinib, n/N (%)</w:t>
            </w:r>
          </w:p>
        </w:tc>
        <w:tc>
          <w:tcPr>
            <w:tcW w:w="1559"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Placebo, n/N (%)</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Adalimumab, n/N (%)</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RD (95% CI)</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RR (95% CI)</w:t>
            </w:r>
          </w:p>
        </w:tc>
      </w:tr>
      <w:tr w:rsidR="00C04056" w:rsidRPr="00742273">
        <w:tc>
          <w:tcPr>
            <w:tcW w:w="851" w:type="dxa"/>
            <w:vMerge w:val="restart"/>
            <w:vAlign w:val="center"/>
          </w:tcPr>
          <w:p w:rsidR="00C04056" w:rsidRPr="00742273" w:rsidRDefault="00C04056" w:rsidP="00725993">
            <w:pPr>
              <w:jc w:val="left"/>
              <w:rPr>
                <w:rFonts w:ascii="Arial Narrow" w:hAnsi="Arial Narrow"/>
                <w:sz w:val="20"/>
              </w:rPr>
            </w:pPr>
            <w:r w:rsidRPr="00742273">
              <w:rPr>
                <w:rFonts w:ascii="Arial Narrow" w:hAnsi="Arial Narrow"/>
                <w:sz w:val="20"/>
              </w:rPr>
              <w:t>ACR20 at 3 months</w:t>
            </w:r>
          </w:p>
        </w:tc>
        <w:tc>
          <w:tcPr>
            <w:tcW w:w="992"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743/1256 (59.2)</w:t>
            </w:r>
          </w:p>
        </w:tc>
        <w:tc>
          <w:tcPr>
            <w:tcW w:w="1559"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196/745 (26.3)</w:t>
            </w:r>
          </w:p>
        </w:tc>
        <w:tc>
          <w:tcPr>
            <w:tcW w:w="1701"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0.38 (0.29, 0.48)</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2.30 (1.89, 2.80)</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ign w:val="center"/>
          </w:tcPr>
          <w:p w:rsidR="00C04056" w:rsidRPr="00742273" w:rsidRDefault="00C04056" w:rsidP="00725993">
            <w:pPr>
              <w:jc w:val="center"/>
              <w:rPr>
                <w:rFonts w:ascii="Arial Narrow" w:hAnsi="Arial Narrow"/>
                <w:sz w:val="20"/>
              </w:rPr>
            </w:pPr>
          </w:p>
        </w:tc>
        <w:tc>
          <w:tcPr>
            <w:tcW w:w="1559" w:type="dxa"/>
            <w:vMerge/>
            <w:vAlign w:val="center"/>
          </w:tcPr>
          <w:p w:rsidR="00C04056" w:rsidRPr="00742273" w:rsidRDefault="00C04056" w:rsidP="00725993">
            <w:pPr>
              <w:jc w:val="center"/>
              <w:rPr>
                <w:rFonts w:ascii="Arial Narrow" w:hAnsi="Arial Narrow"/>
                <w:sz w:val="20"/>
              </w:rPr>
            </w:pPr>
          </w:p>
        </w:tc>
        <w:tc>
          <w:tcPr>
            <w:tcW w:w="1701" w:type="dxa"/>
            <w:vMerge/>
            <w:vAlign w:val="center"/>
          </w:tcPr>
          <w:p w:rsidR="00C04056" w:rsidRPr="00742273" w:rsidRDefault="00C04056" w:rsidP="00725993">
            <w:pPr>
              <w:jc w:val="center"/>
              <w:rPr>
                <w:rFonts w:ascii="Arial Narrow" w:hAnsi="Arial Narrow"/>
                <w:sz w:val="20"/>
              </w:rPr>
            </w:pP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79%</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51%</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w:t>
            </w:r>
          </w:p>
        </w:tc>
        <w:tc>
          <w:tcPr>
            <w:tcW w:w="1559"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265/1121 (23.6)</w:t>
            </w:r>
          </w:p>
        </w:tc>
        <w:tc>
          <w:tcPr>
            <w:tcW w:w="1701"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720/1393 (51.7)</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0.27 (0.22, 0.33)</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2.07 (1.75, 2.44)</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ign w:val="center"/>
          </w:tcPr>
          <w:p w:rsidR="00C04056" w:rsidRPr="00742273" w:rsidRDefault="00C04056" w:rsidP="00725993">
            <w:pPr>
              <w:jc w:val="center"/>
              <w:rPr>
                <w:rFonts w:ascii="Arial Narrow" w:hAnsi="Arial Narrow"/>
                <w:sz w:val="20"/>
              </w:rPr>
            </w:pPr>
          </w:p>
        </w:tc>
        <w:tc>
          <w:tcPr>
            <w:tcW w:w="1559" w:type="dxa"/>
            <w:vMerge/>
            <w:vAlign w:val="center"/>
          </w:tcPr>
          <w:p w:rsidR="00C04056" w:rsidRPr="00742273" w:rsidRDefault="00C04056" w:rsidP="00725993">
            <w:pPr>
              <w:jc w:val="center"/>
              <w:rPr>
                <w:rFonts w:ascii="Arial Narrow" w:hAnsi="Arial Narrow"/>
                <w:sz w:val="20"/>
              </w:rPr>
            </w:pPr>
          </w:p>
        </w:tc>
        <w:tc>
          <w:tcPr>
            <w:tcW w:w="1701" w:type="dxa"/>
            <w:vMerge/>
            <w:vAlign w:val="center"/>
          </w:tcPr>
          <w:p w:rsidR="00C04056" w:rsidRPr="00742273" w:rsidRDefault="00C04056" w:rsidP="00725993">
            <w:pPr>
              <w:jc w:val="center"/>
              <w:rPr>
                <w:rFonts w:ascii="Arial Narrow" w:hAnsi="Arial Narrow"/>
                <w:sz w:val="20"/>
              </w:rPr>
            </w:pP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47%</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46%</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4252" w:type="dxa"/>
            <w:gridSpan w:val="3"/>
            <w:vAlign w:val="center"/>
          </w:tcPr>
          <w:p w:rsidR="00C04056" w:rsidRPr="00742273" w:rsidRDefault="00C04056" w:rsidP="00725993">
            <w:pPr>
              <w:jc w:val="right"/>
              <w:rPr>
                <w:rFonts w:ascii="Arial Narrow" w:hAnsi="Arial Narrow"/>
                <w:sz w:val="20"/>
              </w:rPr>
            </w:pPr>
            <w:r w:rsidRPr="00742273">
              <w:rPr>
                <w:rFonts w:ascii="Arial Narrow" w:hAnsi="Arial Narrow"/>
                <w:sz w:val="20"/>
              </w:rPr>
              <w:t>Indirect comparison</w:t>
            </w:r>
          </w:p>
        </w:tc>
        <w:tc>
          <w:tcPr>
            <w:tcW w:w="170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0.11 (-0.00, 0.22)</w:t>
            </w:r>
          </w:p>
        </w:tc>
        <w:tc>
          <w:tcPr>
            <w:tcW w:w="154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1.11 (0.86, 1.44)</w:t>
            </w:r>
          </w:p>
        </w:tc>
      </w:tr>
      <w:tr w:rsidR="00C04056" w:rsidRPr="00742273">
        <w:tc>
          <w:tcPr>
            <w:tcW w:w="851" w:type="dxa"/>
            <w:vMerge w:val="restart"/>
            <w:vAlign w:val="center"/>
          </w:tcPr>
          <w:p w:rsidR="00C04056" w:rsidRPr="00742273" w:rsidRDefault="00C04056" w:rsidP="00725993">
            <w:pPr>
              <w:jc w:val="left"/>
              <w:rPr>
                <w:rFonts w:ascii="Arial Narrow" w:hAnsi="Arial Narrow"/>
                <w:sz w:val="20"/>
              </w:rPr>
            </w:pPr>
            <w:r w:rsidRPr="00742273">
              <w:rPr>
                <w:rFonts w:ascii="Arial Narrow" w:hAnsi="Arial Narrow"/>
                <w:sz w:val="20"/>
              </w:rPr>
              <w:t>ACR50 at 3 months</w:t>
            </w:r>
          </w:p>
        </w:tc>
        <w:tc>
          <w:tcPr>
            <w:tcW w:w="992"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404/1256 (32.2)</w:t>
            </w:r>
          </w:p>
        </w:tc>
        <w:tc>
          <w:tcPr>
            <w:tcW w:w="1559"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75/745 (10.1)</w:t>
            </w:r>
          </w:p>
        </w:tc>
        <w:tc>
          <w:tcPr>
            <w:tcW w:w="1701"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0.26 (0.19, 0.32)</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3.25 (2.56, 4.13)</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ign w:val="center"/>
          </w:tcPr>
          <w:p w:rsidR="00C04056" w:rsidRPr="00742273" w:rsidRDefault="00C04056" w:rsidP="00725993">
            <w:pPr>
              <w:jc w:val="center"/>
              <w:rPr>
                <w:rFonts w:ascii="Arial Narrow" w:hAnsi="Arial Narrow"/>
                <w:sz w:val="20"/>
              </w:rPr>
            </w:pPr>
          </w:p>
        </w:tc>
        <w:tc>
          <w:tcPr>
            <w:tcW w:w="1559" w:type="dxa"/>
            <w:vMerge/>
            <w:vAlign w:val="center"/>
          </w:tcPr>
          <w:p w:rsidR="00C04056" w:rsidRPr="00742273" w:rsidRDefault="00C04056" w:rsidP="00725993">
            <w:pPr>
              <w:jc w:val="center"/>
              <w:rPr>
                <w:rFonts w:ascii="Arial Narrow" w:hAnsi="Arial Narrow"/>
                <w:sz w:val="20"/>
              </w:rPr>
            </w:pPr>
          </w:p>
        </w:tc>
        <w:tc>
          <w:tcPr>
            <w:tcW w:w="1701" w:type="dxa"/>
            <w:vMerge/>
            <w:vAlign w:val="center"/>
          </w:tcPr>
          <w:p w:rsidR="00C04056" w:rsidRPr="00742273" w:rsidRDefault="00C04056" w:rsidP="00725993">
            <w:pPr>
              <w:jc w:val="center"/>
              <w:rPr>
                <w:rFonts w:ascii="Arial Narrow" w:hAnsi="Arial Narrow"/>
                <w:sz w:val="20"/>
              </w:rPr>
            </w:pPr>
          </w:p>
        </w:tc>
        <w:tc>
          <w:tcPr>
            <w:tcW w:w="170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66%</w:t>
            </w:r>
          </w:p>
        </w:tc>
        <w:tc>
          <w:tcPr>
            <w:tcW w:w="154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6%</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w:t>
            </w:r>
          </w:p>
        </w:tc>
        <w:tc>
          <w:tcPr>
            <w:tcW w:w="1559"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81/1065 (7.6)</w:t>
            </w:r>
          </w:p>
        </w:tc>
        <w:tc>
          <w:tcPr>
            <w:tcW w:w="1701" w:type="dxa"/>
            <w:vMerge w:val="restart"/>
            <w:vAlign w:val="center"/>
          </w:tcPr>
          <w:p w:rsidR="00C04056" w:rsidRPr="00742273" w:rsidRDefault="00C04056" w:rsidP="00725993">
            <w:pPr>
              <w:jc w:val="center"/>
              <w:rPr>
                <w:rFonts w:ascii="Arial Narrow" w:hAnsi="Arial Narrow"/>
                <w:sz w:val="20"/>
              </w:rPr>
            </w:pPr>
            <w:r w:rsidRPr="00742273">
              <w:rPr>
                <w:rFonts w:ascii="Arial Narrow" w:hAnsi="Arial Narrow"/>
                <w:sz w:val="20"/>
              </w:rPr>
              <w:t>33/1234 (26.9)</w:t>
            </w:r>
          </w:p>
        </w:tc>
        <w:tc>
          <w:tcPr>
            <w:tcW w:w="170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0.19 (0.16, 0.22)</w:t>
            </w:r>
          </w:p>
        </w:tc>
        <w:tc>
          <w:tcPr>
            <w:tcW w:w="1541" w:type="dxa"/>
            <w:vAlign w:val="center"/>
          </w:tcPr>
          <w:p w:rsidR="00C04056" w:rsidRPr="00742273" w:rsidRDefault="00C04056" w:rsidP="00725993">
            <w:pPr>
              <w:jc w:val="center"/>
              <w:rPr>
                <w:rFonts w:ascii="Arial Narrow" w:hAnsi="Arial Narrow"/>
                <w:b/>
                <w:sz w:val="20"/>
              </w:rPr>
            </w:pPr>
            <w:r w:rsidRPr="00742273">
              <w:rPr>
                <w:rFonts w:ascii="Arial Narrow" w:hAnsi="Arial Narrow"/>
                <w:b/>
                <w:sz w:val="20"/>
              </w:rPr>
              <w:t>3.38 (2.68, 4.24)</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992" w:type="dxa"/>
            <w:vMerge/>
            <w:vAlign w:val="center"/>
          </w:tcPr>
          <w:p w:rsidR="00C04056" w:rsidRPr="00742273" w:rsidRDefault="00C04056" w:rsidP="00725993">
            <w:pPr>
              <w:jc w:val="center"/>
              <w:rPr>
                <w:rFonts w:ascii="Arial Narrow" w:hAnsi="Arial Narrow"/>
                <w:sz w:val="20"/>
              </w:rPr>
            </w:pPr>
          </w:p>
        </w:tc>
        <w:tc>
          <w:tcPr>
            <w:tcW w:w="1559" w:type="dxa"/>
            <w:vMerge/>
            <w:vAlign w:val="center"/>
          </w:tcPr>
          <w:p w:rsidR="00C04056" w:rsidRPr="00742273" w:rsidRDefault="00C04056" w:rsidP="00725993">
            <w:pPr>
              <w:jc w:val="center"/>
              <w:rPr>
                <w:rFonts w:ascii="Arial Narrow" w:hAnsi="Arial Narrow"/>
                <w:sz w:val="20"/>
              </w:rPr>
            </w:pPr>
          </w:p>
        </w:tc>
        <w:tc>
          <w:tcPr>
            <w:tcW w:w="1701" w:type="dxa"/>
            <w:vMerge/>
            <w:vAlign w:val="center"/>
          </w:tcPr>
          <w:p w:rsidR="00C04056" w:rsidRPr="00742273" w:rsidRDefault="00C04056" w:rsidP="00725993">
            <w:pPr>
              <w:jc w:val="center"/>
              <w:rPr>
                <w:rFonts w:ascii="Arial Narrow" w:hAnsi="Arial Narrow"/>
                <w:sz w:val="20"/>
              </w:rPr>
            </w:pPr>
          </w:p>
        </w:tc>
        <w:tc>
          <w:tcPr>
            <w:tcW w:w="170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0%</w:t>
            </w:r>
          </w:p>
        </w:tc>
        <w:tc>
          <w:tcPr>
            <w:tcW w:w="154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I</w:t>
            </w:r>
            <w:r w:rsidRPr="00742273">
              <w:rPr>
                <w:rFonts w:ascii="Arial Narrow" w:hAnsi="Arial Narrow"/>
                <w:sz w:val="20"/>
                <w:vertAlign w:val="superscript"/>
              </w:rPr>
              <w:t>2</w:t>
            </w:r>
            <w:r w:rsidRPr="00742273">
              <w:rPr>
                <w:rFonts w:ascii="Arial Narrow" w:hAnsi="Arial Narrow"/>
                <w:sz w:val="20"/>
              </w:rPr>
              <w:t xml:space="preserve"> = 0%</w:t>
            </w:r>
          </w:p>
        </w:tc>
      </w:tr>
      <w:tr w:rsidR="00C04056" w:rsidRPr="00742273">
        <w:tc>
          <w:tcPr>
            <w:tcW w:w="851" w:type="dxa"/>
            <w:vMerge/>
            <w:vAlign w:val="center"/>
          </w:tcPr>
          <w:p w:rsidR="00C04056" w:rsidRPr="00742273" w:rsidRDefault="00C04056" w:rsidP="00725993">
            <w:pPr>
              <w:jc w:val="left"/>
              <w:rPr>
                <w:rFonts w:ascii="Arial Narrow" w:hAnsi="Arial Narrow"/>
                <w:sz w:val="20"/>
              </w:rPr>
            </w:pPr>
          </w:p>
        </w:tc>
        <w:tc>
          <w:tcPr>
            <w:tcW w:w="4252" w:type="dxa"/>
            <w:gridSpan w:val="3"/>
            <w:vAlign w:val="center"/>
          </w:tcPr>
          <w:p w:rsidR="00C04056" w:rsidRPr="00742273" w:rsidRDefault="00C04056" w:rsidP="00725993">
            <w:pPr>
              <w:jc w:val="right"/>
              <w:rPr>
                <w:rFonts w:ascii="Arial Narrow" w:hAnsi="Arial Narrow"/>
                <w:sz w:val="20"/>
              </w:rPr>
            </w:pPr>
            <w:r w:rsidRPr="00742273">
              <w:rPr>
                <w:rFonts w:ascii="Arial Narrow" w:hAnsi="Arial Narrow"/>
                <w:sz w:val="20"/>
              </w:rPr>
              <w:t>Indirect comparison</w:t>
            </w:r>
          </w:p>
        </w:tc>
        <w:tc>
          <w:tcPr>
            <w:tcW w:w="170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0.06 (-0.00, 0.13)</w:t>
            </w:r>
          </w:p>
        </w:tc>
        <w:tc>
          <w:tcPr>
            <w:tcW w:w="1541" w:type="dxa"/>
            <w:vAlign w:val="center"/>
          </w:tcPr>
          <w:p w:rsidR="00C04056" w:rsidRPr="00742273" w:rsidRDefault="00C04056" w:rsidP="00725993">
            <w:pPr>
              <w:jc w:val="center"/>
              <w:rPr>
                <w:rFonts w:ascii="Arial Narrow" w:hAnsi="Arial Narrow"/>
                <w:sz w:val="20"/>
              </w:rPr>
            </w:pPr>
            <w:r w:rsidRPr="00742273">
              <w:rPr>
                <w:rFonts w:ascii="Arial Narrow" w:hAnsi="Arial Narrow"/>
                <w:sz w:val="20"/>
              </w:rPr>
              <w:t>0.96 (0.69, 1.34)</w:t>
            </w:r>
          </w:p>
        </w:tc>
      </w:tr>
    </w:tbl>
    <w:p w:rsidR="00C04056" w:rsidRPr="00742273" w:rsidRDefault="00C04056" w:rsidP="00C04056">
      <w:pPr>
        <w:ind w:firstLine="720"/>
        <w:rPr>
          <w:rStyle w:val="CommentReference"/>
        </w:rPr>
      </w:pPr>
      <w:r w:rsidRPr="00742273">
        <w:rPr>
          <w:rStyle w:val="CommentReference"/>
          <w:b w:val="0"/>
          <w:sz w:val="18"/>
        </w:rPr>
        <w:t>Figures in bold indicate results that are statistically significant</w:t>
      </w:r>
    </w:p>
    <w:p w:rsidR="00C04056" w:rsidRPr="00742273" w:rsidRDefault="00C04056" w:rsidP="00C04056">
      <w:pPr>
        <w:pStyle w:val="TableFooter"/>
        <w:ind w:firstLine="720"/>
      </w:pPr>
      <w:r w:rsidRPr="00742273">
        <w:t>Abbreviations: ACR = American College of Rheumatology; CI = confidence</w:t>
      </w:r>
    </w:p>
    <w:p w:rsidR="00C04056" w:rsidRPr="00742273" w:rsidRDefault="00C04056" w:rsidP="00C04056">
      <w:pPr>
        <w:ind w:left="720"/>
        <w:rPr>
          <w:szCs w:val="22"/>
        </w:rPr>
      </w:pPr>
    </w:p>
    <w:p w:rsidR="007C5CAB" w:rsidRPr="00742273" w:rsidRDefault="007C5CAB" w:rsidP="009560FC">
      <w:pPr>
        <w:pStyle w:val="ListParagraph"/>
        <w:widowControl/>
        <w:numPr>
          <w:ilvl w:val="1"/>
          <w:numId w:val="12"/>
        </w:numPr>
        <w:rPr>
          <w:szCs w:val="22"/>
        </w:rPr>
      </w:pPr>
      <w:r w:rsidRPr="00742273">
        <w:rPr>
          <w:szCs w:val="22"/>
        </w:rPr>
        <w:t xml:space="preserve">A comparison between tofacitinib and placebo in patients who have failed TNF-inhibitor therapy is presented in </w:t>
      </w:r>
      <w:r w:rsidR="00A23840">
        <w:rPr>
          <w:szCs w:val="22"/>
        </w:rPr>
        <w:t>the table</w:t>
      </w:r>
      <w:r w:rsidRPr="00742273">
        <w:rPr>
          <w:szCs w:val="22"/>
        </w:rPr>
        <w:t xml:space="preserve"> below.  Results for ACR response at 3</w:t>
      </w:r>
      <w:r w:rsidR="009E1922" w:rsidRPr="00742273">
        <w:rPr>
          <w:szCs w:val="22"/>
        </w:rPr>
        <w:t> </w:t>
      </w:r>
      <w:r w:rsidRPr="00742273">
        <w:rPr>
          <w:szCs w:val="22"/>
        </w:rPr>
        <w:t>months indicate statistically significant differences in favour of tofacitinib 5</w:t>
      </w:r>
      <w:r w:rsidR="00E440CF" w:rsidRPr="00742273">
        <w:rPr>
          <w:szCs w:val="22"/>
        </w:rPr>
        <w:t xml:space="preserve"> </w:t>
      </w:r>
      <w:r w:rsidRPr="00742273">
        <w:rPr>
          <w:szCs w:val="22"/>
        </w:rPr>
        <w:t xml:space="preserve">mg </w:t>
      </w:r>
      <w:r w:rsidR="009E1922" w:rsidRPr="00742273">
        <w:rPr>
          <w:szCs w:val="22"/>
        </w:rPr>
        <w:t>using</w:t>
      </w:r>
      <w:r w:rsidR="00E440CF" w:rsidRPr="00742273">
        <w:rPr>
          <w:szCs w:val="22"/>
        </w:rPr>
        <w:t xml:space="preserve"> both </w:t>
      </w:r>
      <w:r w:rsidRPr="00742273">
        <w:rPr>
          <w:szCs w:val="22"/>
        </w:rPr>
        <w:t>ACR20 and ACR50</w:t>
      </w:r>
      <w:r w:rsidR="00E440CF" w:rsidRPr="00742273">
        <w:rPr>
          <w:szCs w:val="22"/>
        </w:rPr>
        <w:t xml:space="preserve"> response measures</w:t>
      </w:r>
      <w:r w:rsidRPr="00742273">
        <w:rPr>
          <w:szCs w:val="22"/>
        </w:rPr>
        <w:t xml:space="preserve">.  </w:t>
      </w:r>
    </w:p>
    <w:p w:rsidR="007C5CAB" w:rsidRPr="00742273" w:rsidRDefault="007C5CAB" w:rsidP="009560FC">
      <w:pPr>
        <w:pStyle w:val="ListParagraph"/>
        <w:widowControl/>
      </w:pPr>
    </w:p>
    <w:p w:rsidR="007C5CAB" w:rsidRPr="00742273" w:rsidRDefault="007C5CAB" w:rsidP="007C5CAB">
      <w:pPr>
        <w:keepNext/>
        <w:rPr>
          <w:rStyle w:val="CommentReference"/>
        </w:rPr>
      </w:pPr>
      <w:r w:rsidRPr="00742273">
        <w:rPr>
          <w:szCs w:val="22"/>
        </w:rPr>
        <w:tab/>
      </w:r>
      <w:r w:rsidRPr="00742273">
        <w:rPr>
          <w:rStyle w:val="CommentReference"/>
        </w:rPr>
        <w:t>ACR 20 and ACR 50 response rates at 3 months (Study 1032)</w:t>
      </w:r>
    </w:p>
    <w:tbl>
      <w:tblPr>
        <w:tblStyle w:val="TableGrid"/>
        <w:tblW w:w="4594" w:type="pct"/>
        <w:tblInd w:w="737" w:type="dxa"/>
        <w:tblCellMar>
          <w:left w:w="28" w:type="dxa"/>
          <w:right w:w="28" w:type="dxa"/>
        </w:tblCellMar>
        <w:tblLook w:val="04A0" w:firstRow="1" w:lastRow="0" w:firstColumn="1" w:lastColumn="0" w:noHBand="0" w:noVBand="1"/>
        <w:tblCaption w:val="Comparative effectiveness"/>
      </w:tblPr>
      <w:tblGrid>
        <w:gridCol w:w="1701"/>
        <w:gridCol w:w="1984"/>
        <w:gridCol w:w="1561"/>
        <w:gridCol w:w="1562"/>
        <w:gridCol w:w="1537"/>
      </w:tblGrid>
      <w:tr w:rsidR="007C5CAB" w:rsidRPr="00742273">
        <w:tc>
          <w:tcPr>
            <w:tcW w:w="1019" w:type="pct"/>
            <w:vAlign w:val="center"/>
          </w:tcPr>
          <w:p w:rsidR="007C5CAB" w:rsidRPr="00742273" w:rsidRDefault="007C5CAB" w:rsidP="003D764F">
            <w:pPr>
              <w:keepNext/>
              <w:jc w:val="left"/>
              <w:rPr>
                <w:rFonts w:ascii="Arial Narrow" w:hAnsi="Arial Narrow"/>
                <w:b/>
                <w:sz w:val="20"/>
              </w:rPr>
            </w:pPr>
            <w:r w:rsidRPr="00742273">
              <w:rPr>
                <w:rFonts w:ascii="Arial Narrow" w:hAnsi="Arial Narrow"/>
                <w:b/>
                <w:sz w:val="20"/>
              </w:rPr>
              <w:t>Outcome</w:t>
            </w:r>
          </w:p>
        </w:tc>
        <w:tc>
          <w:tcPr>
            <w:tcW w:w="1189" w:type="pct"/>
            <w:vAlign w:val="center"/>
          </w:tcPr>
          <w:p w:rsidR="007C5CAB" w:rsidRPr="00742273" w:rsidRDefault="007C5CAB" w:rsidP="003D764F">
            <w:pPr>
              <w:keepNext/>
              <w:jc w:val="center"/>
              <w:rPr>
                <w:rFonts w:ascii="Arial Narrow" w:hAnsi="Arial Narrow"/>
                <w:b/>
                <w:sz w:val="20"/>
              </w:rPr>
            </w:pPr>
            <w:r w:rsidRPr="00742273">
              <w:rPr>
                <w:rFonts w:ascii="Arial Narrow" w:hAnsi="Arial Narrow"/>
                <w:b/>
                <w:sz w:val="20"/>
              </w:rPr>
              <w:t>Tofa 5mg, n/N (%)</w:t>
            </w:r>
          </w:p>
        </w:tc>
        <w:tc>
          <w:tcPr>
            <w:tcW w:w="935" w:type="pct"/>
            <w:vAlign w:val="center"/>
          </w:tcPr>
          <w:p w:rsidR="007C5CAB" w:rsidRPr="00742273" w:rsidRDefault="007C5CAB" w:rsidP="003D764F">
            <w:pPr>
              <w:keepNext/>
              <w:jc w:val="center"/>
              <w:rPr>
                <w:rFonts w:ascii="Arial Narrow" w:hAnsi="Arial Narrow"/>
                <w:b/>
                <w:sz w:val="20"/>
              </w:rPr>
            </w:pPr>
            <w:r w:rsidRPr="00742273">
              <w:rPr>
                <w:rFonts w:ascii="Arial Narrow" w:hAnsi="Arial Narrow"/>
                <w:b/>
                <w:sz w:val="20"/>
              </w:rPr>
              <w:t>Placebo, n/N(%)</w:t>
            </w:r>
          </w:p>
        </w:tc>
        <w:tc>
          <w:tcPr>
            <w:tcW w:w="936" w:type="pct"/>
            <w:vAlign w:val="center"/>
          </w:tcPr>
          <w:p w:rsidR="007C5CAB" w:rsidRPr="00742273" w:rsidRDefault="007C5CAB" w:rsidP="003D764F">
            <w:pPr>
              <w:keepNext/>
              <w:jc w:val="center"/>
              <w:rPr>
                <w:rFonts w:ascii="Arial Narrow" w:hAnsi="Arial Narrow"/>
                <w:b/>
                <w:sz w:val="20"/>
              </w:rPr>
            </w:pPr>
            <w:r w:rsidRPr="00742273">
              <w:rPr>
                <w:rFonts w:ascii="Arial Narrow" w:hAnsi="Arial Narrow"/>
                <w:b/>
                <w:sz w:val="20"/>
              </w:rPr>
              <w:t>RD (95% CI)</w:t>
            </w:r>
          </w:p>
        </w:tc>
        <w:tc>
          <w:tcPr>
            <w:tcW w:w="921" w:type="pct"/>
            <w:vAlign w:val="center"/>
          </w:tcPr>
          <w:p w:rsidR="007C5CAB" w:rsidRPr="00742273" w:rsidRDefault="007C5CAB" w:rsidP="003D764F">
            <w:pPr>
              <w:keepNext/>
              <w:jc w:val="center"/>
              <w:rPr>
                <w:rFonts w:ascii="Arial Narrow" w:hAnsi="Arial Narrow"/>
                <w:b/>
                <w:sz w:val="20"/>
              </w:rPr>
            </w:pPr>
            <w:r w:rsidRPr="00742273">
              <w:rPr>
                <w:rFonts w:ascii="Arial Narrow" w:hAnsi="Arial Narrow"/>
                <w:b/>
                <w:sz w:val="20"/>
              </w:rPr>
              <w:t>RR (95% CI)</w:t>
            </w:r>
          </w:p>
        </w:tc>
      </w:tr>
      <w:tr w:rsidR="007C5CAB" w:rsidRPr="00742273">
        <w:tc>
          <w:tcPr>
            <w:tcW w:w="1019" w:type="pct"/>
            <w:vAlign w:val="center"/>
          </w:tcPr>
          <w:p w:rsidR="007C5CAB" w:rsidRPr="00742273" w:rsidRDefault="007C5CAB" w:rsidP="003D764F">
            <w:pPr>
              <w:keepNext/>
              <w:jc w:val="left"/>
              <w:rPr>
                <w:rFonts w:ascii="Arial Narrow" w:hAnsi="Arial Narrow"/>
                <w:sz w:val="20"/>
              </w:rPr>
            </w:pPr>
            <w:r w:rsidRPr="00742273">
              <w:rPr>
                <w:rFonts w:ascii="Arial Narrow" w:hAnsi="Arial Narrow"/>
                <w:sz w:val="20"/>
              </w:rPr>
              <w:t>ACR20 at 3 months</w:t>
            </w:r>
          </w:p>
        </w:tc>
        <w:tc>
          <w:tcPr>
            <w:tcW w:w="1189" w:type="pct"/>
            <w:vAlign w:val="center"/>
          </w:tcPr>
          <w:p w:rsidR="007C5CAB" w:rsidRPr="00742273" w:rsidRDefault="007C5CAB" w:rsidP="003D764F">
            <w:pPr>
              <w:keepNext/>
              <w:jc w:val="center"/>
              <w:rPr>
                <w:rFonts w:ascii="Arial Narrow" w:hAnsi="Arial Narrow"/>
                <w:sz w:val="20"/>
              </w:rPr>
            </w:pPr>
            <w:r w:rsidRPr="00742273">
              <w:rPr>
                <w:rFonts w:ascii="Arial Narrow" w:hAnsi="Arial Narrow"/>
                <w:sz w:val="20"/>
              </w:rPr>
              <w:t>55/132 (41.7)</w:t>
            </w:r>
          </w:p>
        </w:tc>
        <w:tc>
          <w:tcPr>
            <w:tcW w:w="935" w:type="pct"/>
            <w:vAlign w:val="center"/>
          </w:tcPr>
          <w:p w:rsidR="007C5CAB" w:rsidRPr="00742273" w:rsidRDefault="007C5CAB" w:rsidP="003D764F">
            <w:pPr>
              <w:keepNext/>
              <w:jc w:val="center"/>
              <w:rPr>
                <w:rFonts w:ascii="Arial Narrow" w:hAnsi="Arial Narrow"/>
                <w:sz w:val="20"/>
              </w:rPr>
            </w:pPr>
            <w:r w:rsidRPr="00742273">
              <w:rPr>
                <w:rFonts w:ascii="Arial Narrow" w:hAnsi="Arial Narrow"/>
                <w:sz w:val="20"/>
              </w:rPr>
              <w:t>32/131 (24.4)</w:t>
            </w:r>
          </w:p>
        </w:tc>
        <w:tc>
          <w:tcPr>
            <w:tcW w:w="936" w:type="pct"/>
          </w:tcPr>
          <w:p w:rsidR="007C5CAB" w:rsidRPr="00742273" w:rsidRDefault="007C5CAB" w:rsidP="003D764F">
            <w:pPr>
              <w:keepNext/>
              <w:jc w:val="center"/>
              <w:rPr>
                <w:rFonts w:ascii="Arial Narrow" w:hAnsi="Arial Narrow"/>
                <w:b/>
                <w:sz w:val="20"/>
              </w:rPr>
            </w:pPr>
            <w:r w:rsidRPr="00742273">
              <w:rPr>
                <w:rFonts w:ascii="Arial Narrow" w:hAnsi="Arial Narrow"/>
                <w:b/>
                <w:sz w:val="20"/>
              </w:rPr>
              <w:t>0.17 (0.06, 0.28)</w:t>
            </w:r>
          </w:p>
        </w:tc>
        <w:tc>
          <w:tcPr>
            <w:tcW w:w="921" w:type="pct"/>
          </w:tcPr>
          <w:p w:rsidR="007C5CAB" w:rsidRPr="00742273" w:rsidRDefault="007C5CAB" w:rsidP="003D764F">
            <w:pPr>
              <w:keepNext/>
              <w:jc w:val="center"/>
              <w:rPr>
                <w:rFonts w:ascii="Arial Narrow" w:hAnsi="Arial Narrow"/>
                <w:b/>
                <w:sz w:val="20"/>
              </w:rPr>
            </w:pPr>
            <w:r w:rsidRPr="00742273">
              <w:rPr>
                <w:rFonts w:ascii="Arial Narrow" w:hAnsi="Arial Narrow"/>
                <w:b/>
                <w:sz w:val="20"/>
              </w:rPr>
              <w:t>1.71 (1.19, 2.45)</w:t>
            </w:r>
          </w:p>
        </w:tc>
      </w:tr>
      <w:tr w:rsidR="007C5CAB" w:rsidRPr="00742273">
        <w:tc>
          <w:tcPr>
            <w:tcW w:w="1019" w:type="pct"/>
            <w:vAlign w:val="center"/>
          </w:tcPr>
          <w:p w:rsidR="007C5CAB" w:rsidRPr="00742273" w:rsidRDefault="007C5CAB" w:rsidP="003D764F">
            <w:pPr>
              <w:keepNext/>
              <w:jc w:val="left"/>
              <w:rPr>
                <w:rFonts w:ascii="Arial Narrow" w:hAnsi="Arial Narrow"/>
                <w:sz w:val="20"/>
              </w:rPr>
            </w:pPr>
            <w:r w:rsidRPr="00742273">
              <w:rPr>
                <w:rFonts w:ascii="Arial Narrow" w:hAnsi="Arial Narrow"/>
                <w:sz w:val="20"/>
              </w:rPr>
              <w:t>ACR50 at 3 months</w:t>
            </w:r>
          </w:p>
        </w:tc>
        <w:tc>
          <w:tcPr>
            <w:tcW w:w="1189" w:type="pct"/>
            <w:vAlign w:val="center"/>
          </w:tcPr>
          <w:p w:rsidR="007C5CAB" w:rsidRPr="00742273" w:rsidRDefault="007C5CAB" w:rsidP="003D764F">
            <w:pPr>
              <w:keepNext/>
              <w:jc w:val="center"/>
              <w:rPr>
                <w:rFonts w:ascii="Arial Narrow" w:hAnsi="Arial Narrow"/>
                <w:sz w:val="20"/>
              </w:rPr>
            </w:pPr>
            <w:r w:rsidRPr="00742273">
              <w:rPr>
                <w:rFonts w:ascii="Arial Narrow" w:hAnsi="Arial Narrow"/>
                <w:sz w:val="20"/>
              </w:rPr>
              <w:t>35/132 (26.5)</w:t>
            </w:r>
          </w:p>
        </w:tc>
        <w:tc>
          <w:tcPr>
            <w:tcW w:w="935" w:type="pct"/>
            <w:vAlign w:val="center"/>
          </w:tcPr>
          <w:p w:rsidR="007C5CAB" w:rsidRPr="00742273" w:rsidRDefault="007C5CAB" w:rsidP="003D764F">
            <w:pPr>
              <w:keepNext/>
              <w:jc w:val="center"/>
              <w:rPr>
                <w:rFonts w:ascii="Arial Narrow" w:hAnsi="Arial Narrow"/>
                <w:sz w:val="20"/>
              </w:rPr>
            </w:pPr>
            <w:r w:rsidRPr="00742273">
              <w:rPr>
                <w:rFonts w:ascii="Arial Narrow" w:hAnsi="Arial Narrow"/>
                <w:sz w:val="20"/>
              </w:rPr>
              <w:t>11/131 (8.4)</w:t>
            </w:r>
          </w:p>
        </w:tc>
        <w:tc>
          <w:tcPr>
            <w:tcW w:w="936" w:type="pct"/>
          </w:tcPr>
          <w:p w:rsidR="007C5CAB" w:rsidRPr="00742273" w:rsidRDefault="007C5CAB" w:rsidP="003D764F">
            <w:pPr>
              <w:keepNext/>
              <w:jc w:val="center"/>
              <w:rPr>
                <w:rFonts w:ascii="Arial Narrow" w:hAnsi="Arial Narrow"/>
                <w:b/>
                <w:sz w:val="20"/>
              </w:rPr>
            </w:pPr>
            <w:r w:rsidRPr="00742273">
              <w:rPr>
                <w:rFonts w:ascii="Arial Narrow" w:hAnsi="Arial Narrow"/>
                <w:b/>
                <w:sz w:val="20"/>
              </w:rPr>
              <w:t>0.18 (0.09, 0.27)</w:t>
            </w:r>
          </w:p>
        </w:tc>
        <w:tc>
          <w:tcPr>
            <w:tcW w:w="921" w:type="pct"/>
          </w:tcPr>
          <w:p w:rsidR="007C5CAB" w:rsidRPr="00742273" w:rsidRDefault="007C5CAB" w:rsidP="003D764F">
            <w:pPr>
              <w:keepNext/>
              <w:jc w:val="center"/>
              <w:rPr>
                <w:rFonts w:ascii="Arial Narrow" w:hAnsi="Arial Narrow"/>
                <w:b/>
                <w:sz w:val="20"/>
              </w:rPr>
            </w:pPr>
            <w:r w:rsidRPr="00742273">
              <w:rPr>
                <w:rFonts w:ascii="Arial Narrow" w:hAnsi="Arial Narrow"/>
                <w:b/>
                <w:sz w:val="20"/>
              </w:rPr>
              <w:t>3.16 (1.68, 5.95)</w:t>
            </w:r>
          </w:p>
        </w:tc>
      </w:tr>
    </w:tbl>
    <w:p w:rsidR="007C5CAB" w:rsidRPr="00742273" w:rsidRDefault="007C5CAB" w:rsidP="007C5CAB">
      <w:pPr>
        <w:keepNext/>
        <w:ind w:left="720"/>
        <w:rPr>
          <w:rStyle w:val="CommentReference"/>
        </w:rPr>
      </w:pPr>
      <w:r w:rsidRPr="00742273">
        <w:rPr>
          <w:rStyle w:val="CommentReference"/>
          <w:b w:val="0"/>
          <w:sz w:val="18"/>
        </w:rPr>
        <w:t>Figures in bold indicate results that are statistically significant</w:t>
      </w:r>
    </w:p>
    <w:p w:rsidR="007C5CAB" w:rsidRPr="00742273" w:rsidRDefault="007C5CAB" w:rsidP="007C5CAB">
      <w:pPr>
        <w:pStyle w:val="TableFooter"/>
        <w:keepNext/>
        <w:ind w:left="720"/>
      </w:pPr>
      <w:r w:rsidRPr="00742273">
        <w:t xml:space="preserve">Abbreviations: ACR = American College of Rheumatology; CI = confidence interval; RD = risk difference; RR = relative risk; </w:t>
      </w:r>
      <w:r w:rsidRPr="00742273">
        <w:lastRenderedPageBreak/>
        <w:t xml:space="preserve">Tofa = tofacitinib.  Source: Table 54, pB.144 and Table 57, pB.149 of the submission </w:t>
      </w:r>
    </w:p>
    <w:p w:rsidR="007C5CAB" w:rsidRPr="00742273" w:rsidRDefault="007C5CAB" w:rsidP="00B60939">
      <w:pPr>
        <w:rPr>
          <w:szCs w:val="22"/>
        </w:rPr>
      </w:pPr>
    </w:p>
    <w:p w:rsidR="00DC6012" w:rsidRPr="00742273" w:rsidRDefault="009C243B" w:rsidP="009C243B">
      <w:pPr>
        <w:pStyle w:val="ListParagraph"/>
        <w:widowControl/>
        <w:numPr>
          <w:ilvl w:val="1"/>
          <w:numId w:val="12"/>
        </w:numPr>
        <w:rPr>
          <w:szCs w:val="22"/>
        </w:rPr>
      </w:pPr>
      <w:r w:rsidRPr="00742273">
        <w:rPr>
          <w:szCs w:val="22"/>
        </w:rPr>
        <w:t>T</w:t>
      </w:r>
      <w:r w:rsidR="00DC6012" w:rsidRPr="00742273">
        <w:rPr>
          <w:szCs w:val="22"/>
        </w:rPr>
        <w:t>he ESC noted a published study by Van der Heijde et al (201</w:t>
      </w:r>
      <w:r w:rsidRPr="00742273">
        <w:rPr>
          <w:szCs w:val="22"/>
        </w:rPr>
        <w:t>3</w:t>
      </w:r>
      <w:r w:rsidR="00DC6012" w:rsidRPr="00742273">
        <w:rPr>
          <w:szCs w:val="22"/>
        </w:rPr>
        <w:t>)</w:t>
      </w:r>
      <w:r w:rsidR="00D03C32" w:rsidRPr="00742273">
        <w:rPr>
          <w:rStyle w:val="FootnoteReference"/>
          <w:szCs w:val="22"/>
        </w:rPr>
        <w:footnoteReference w:id="2"/>
      </w:r>
      <w:r w:rsidR="00DC6012" w:rsidRPr="00742273">
        <w:rPr>
          <w:szCs w:val="22"/>
        </w:rPr>
        <w:t xml:space="preserve"> where tofacitinib 5</w:t>
      </w:r>
      <w:r w:rsidR="009E1922" w:rsidRPr="00742273">
        <w:rPr>
          <w:szCs w:val="22"/>
        </w:rPr>
        <w:t> </w:t>
      </w:r>
      <w:r w:rsidR="00DC6012" w:rsidRPr="00742273">
        <w:rPr>
          <w:szCs w:val="22"/>
        </w:rPr>
        <w:t xml:space="preserve">mg </w:t>
      </w:r>
      <w:r w:rsidR="00BD7235" w:rsidRPr="00742273">
        <w:rPr>
          <w:szCs w:val="22"/>
        </w:rPr>
        <w:t xml:space="preserve">twice daily </w:t>
      </w:r>
      <w:r w:rsidR="00DC6012" w:rsidRPr="00742273">
        <w:rPr>
          <w:szCs w:val="22"/>
        </w:rPr>
        <w:t>and 10 mg</w:t>
      </w:r>
      <w:r w:rsidR="00BD7235" w:rsidRPr="00742273">
        <w:rPr>
          <w:szCs w:val="22"/>
        </w:rPr>
        <w:t xml:space="preserve"> twice</w:t>
      </w:r>
      <w:r w:rsidR="00DC6012" w:rsidRPr="00742273">
        <w:rPr>
          <w:szCs w:val="22"/>
        </w:rPr>
        <w:t xml:space="preserve"> w</w:t>
      </w:r>
      <w:r w:rsidR="00BD7235" w:rsidRPr="00742273">
        <w:rPr>
          <w:szCs w:val="22"/>
        </w:rPr>
        <w:t>as</w:t>
      </w:r>
      <w:r w:rsidR="00DC6012" w:rsidRPr="00742273">
        <w:rPr>
          <w:szCs w:val="22"/>
        </w:rPr>
        <w:t xml:space="preserve"> assessed for efficacy against placebo (</w:t>
      </w:r>
      <w:r w:rsidR="007A113D" w:rsidRPr="00742273">
        <w:rPr>
          <w:szCs w:val="22"/>
        </w:rPr>
        <w:t xml:space="preserve">using </w:t>
      </w:r>
      <w:r w:rsidR="00DC6012" w:rsidRPr="00742273">
        <w:rPr>
          <w:szCs w:val="22"/>
        </w:rPr>
        <w:t>ACR20 response rates).  Results indicated statistically significant response rates for both tofacitinib 5</w:t>
      </w:r>
      <w:r w:rsidR="009E1922" w:rsidRPr="00742273">
        <w:rPr>
          <w:szCs w:val="22"/>
        </w:rPr>
        <w:t> </w:t>
      </w:r>
      <w:r w:rsidR="00DC6012" w:rsidRPr="00742273">
        <w:rPr>
          <w:szCs w:val="22"/>
        </w:rPr>
        <w:t xml:space="preserve">mg and 10 mg (51.5% and 61.8% respectively) over placebo (25.3%).  However, </w:t>
      </w:r>
      <w:r w:rsidRPr="00742273">
        <w:rPr>
          <w:szCs w:val="22"/>
        </w:rPr>
        <w:t xml:space="preserve">with respect to joint damage, </w:t>
      </w:r>
      <w:r w:rsidR="00DC6012" w:rsidRPr="00742273">
        <w:rPr>
          <w:szCs w:val="22"/>
        </w:rPr>
        <w:t>the ESC also noted that the results for radiographic progression</w:t>
      </w:r>
      <w:r w:rsidR="00F50443" w:rsidRPr="00742273">
        <w:rPr>
          <w:szCs w:val="22"/>
        </w:rPr>
        <w:t xml:space="preserve"> and structural preservation</w:t>
      </w:r>
      <w:r w:rsidRPr="00742273">
        <w:rPr>
          <w:szCs w:val="22"/>
        </w:rPr>
        <w:t xml:space="preserve"> in terms of total SHS (Sharp/van der Heijde score)</w:t>
      </w:r>
      <w:r w:rsidR="00DC6012" w:rsidRPr="00742273">
        <w:rPr>
          <w:szCs w:val="22"/>
        </w:rPr>
        <w:t xml:space="preserve"> were not statistically significant for tofacitinib 5 mg</w:t>
      </w:r>
      <w:r w:rsidRPr="00742273">
        <w:rPr>
          <w:szCs w:val="22"/>
        </w:rPr>
        <w:t xml:space="preserve"> twice daily but were for the 10 mg twice daily dose</w:t>
      </w:r>
      <w:r w:rsidR="00DC6012" w:rsidRPr="00742273">
        <w:rPr>
          <w:szCs w:val="22"/>
        </w:rPr>
        <w:t>.</w:t>
      </w:r>
      <w:r w:rsidRPr="00742273">
        <w:rPr>
          <w:szCs w:val="22"/>
        </w:rPr>
        <w:t xml:space="preserve"> As the submission proposes only listing the 5 mg dose, the ESC advised that further consideration of the importance of joint preservation would be needed. </w:t>
      </w:r>
    </w:p>
    <w:p w:rsidR="00DC6012" w:rsidRPr="00742273" w:rsidRDefault="00DC6012" w:rsidP="00B60939">
      <w:pPr>
        <w:rPr>
          <w:szCs w:val="22"/>
        </w:rPr>
      </w:pPr>
    </w:p>
    <w:p w:rsidR="00B60939" w:rsidRPr="00B8485B" w:rsidRDefault="00B60939" w:rsidP="002C2775">
      <w:pPr>
        <w:pStyle w:val="Heading2"/>
        <w:rPr>
          <w:i/>
        </w:rPr>
      </w:pPr>
      <w:bookmarkStart w:id="9" w:name="_Toc409100932"/>
      <w:r w:rsidRPr="00B8485B">
        <w:rPr>
          <w:i/>
        </w:rPr>
        <w:t>Comparative harms</w:t>
      </w:r>
      <w:bookmarkEnd w:id="9"/>
    </w:p>
    <w:p w:rsidR="00B60939" w:rsidRPr="00742273" w:rsidRDefault="00B60939" w:rsidP="00B60939">
      <w:pPr>
        <w:ind w:left="720" w:hanging="720"/>
        <w:rPr>
          <w:szCs w:val="22"/>
        </w:rPr>
      </w:pPr>
    </w:p>
    <w:p w:rsidR="00B60939" w:rsidRPr="00742273" w:rsidRDefault="006A105B" w:rsidP="00C343D9">
      <w:pPr>
        <w:pStyle w:val="ListParagraph"/>
        <w:widowControl/>
        <w:numPr>
          <w:ilvl w:val="1"/>
          <w:numId w:val="12"/>
        </w:numPr>
        <w:rPr>
          <w:szCs w:val="22"/>
        </w:rPr>
      </w:pPr>
      <w:r w:rsidRPr="00742273">
        <w:t xml:space="preserve">A summary of the key overall safety outcomes at 3 months (meta-analysis of Study 1035 and Study 1064) and 6 months (Study 1064) is presented in the table below.  </w:t>
      </w:r>
      <w:r w:rsidR="00C343D9" w:rsidRPr="00742273">
        <w:t xml:space="preserve">No statistically significant differences were observed across the overall safety outcomes at 3 months.  For the six month results from Study 1064, a statistically significant difference in favour of adalimumab was demonstrated for patients with serious adverse events.  </w:t>
      </w:r>
    </w:p>
    <w:p w:rsidR="006A105B" w:rsidRDefault="006A105B" w:rsidP="006A105B">
      <w:pPr>
        <w:widowControl/>
        <w:rPr>
          <w:szCs w:val="22"/>
        </w:rPr>
      </w:pPr>
    </w:p>
    <w:p w:rsidR="00A773A2" w:rsidRPr="00742273" w:rsidRDefault="00A773A2" w:rsidP="006A105B">
      <w:pPr>
        <w:widowControl/>
        <w:rPr>
          <w:szCs w:val="22"/>
        </w:rPr>
      </w:pPr>
    </w:p>
    <w:p w:rsidR="006A105B" w:rsidRPr="00742273" w:rsidRDefault="006A105B" w:rsidP="00C343D9">
      <w:pPr>
        <w:ind w:firstLine="720"/>
        <w:rPr>
          <w:rStyle w:val="CommentReference"/>
        </w:rPr>
      </w:pPr>
      <w:r w:rsidRPr="00742273">
        <w:rPr>
          <w:rStyle w:val="CommentReference"/>
        </w:rPr>
        <w:t>Key overall safety outcomes at 3 and 6 months</w:t>
      </w:r>
    </w:p>
    <w:tbl>
      <w:tblPr>
        <w:tblStyle w:val="TableGrid"/>
        <w:tblW w:w="4594" w:type="pct"/>
        <w:tblInd w:w="737" w:type="dxa"/>
        <w:tblCellMar>
          <w:left w:w="28" w:type="dxa"/>
          <w:right w:w="28" w:type="dxa"/>
        </w:tblCellMar>
        <w:tblLook w:val="04A0" w:firstRow="1" w:lastRow="0" w:firstColumn="1" w:lastColumn="0" w:noHBand="0" w:noVBand="1"/>
        <w:tblCaption w:val="Comparative harms"/>
        <w:tblDescription w:val="Key overall safety outcomes"/>
      </w:tblPr>
      <w:tblGrid>
        <w:gridCol w:w="2267"/>
        <w:gridCol w:w="1519"/>
        <w:gridCol w:w="1520"/>
        <w:gridCol w:w="1519"/>
        <w:gridCol w:w="1520"/>
      </w:tblGrid>
      <w:tr w:rsidR="006A105B" w:rsidRPr="00742273">
        <w:tc>
          <w:tcPr>
            <w:tcW w:w="1358" w:type="pct"/>
            <w:vMerge w:val="restart"/>
            <w:vAlign w:val="center"/>
          </w:tcPr>
          <w:p w:rsidR="006A105B" w:rsidRPr="00742273" w:rsidRDefault="006A105B" w:rsidP="00725993">
            <w:pPr>
              <w:jc w:val="left"/>
              <w:rPr>
                <w:rFonts w:ascii="Arial Narrow" w:hAnsi="Arial Narrow"/>
                <w:sz w:val="20"/>
              </w:rPr>
            </w:pPr>
          </w:p>
        </w:tc>
        <w:tc>
          <w:tcPr>
            <w:tcW w:w="1821" w:type="pct"/>
            <w:gridSpan w:val="2"/>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Study 1035 and Study 1064: 3 months</w:t>
            </w:r>
          </w:p>
        </w:tc>
        <w:tc>
          <w:tcPr>
            <w:tcW w:w="1821" w:type="pct"/>
            <w:gridSpan w:val="2"/>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Study 1064: 6 months</w:t>
            </w:r>
          </w:p>
        </w:tc>
      </w:tr>
      <w:tr w:rsidR="006A105B" w:rsidRPr="00742273">
        <w:tc>
          <w:tcPr>
            <w:tcW w:w="1358" w:type="pct"/>
            <w:vMerge/>
            <w:vAlign w:val="center"/>
          </w:tcPr>
          <w:p w:rsidR="006A105B" w:rsidRPr="00742273" w:rsidRDefault="006A105B" w:rsidP="00725993">
            <w:pPr>
              <w:jc w:val="left"/>
              <w:rPr>
                <w:rFonts w:ascii="Arial Narrow" w:hAnsi="Arial Narrow"/>
                <w:sz w:val="20"/>
              </w:rPr>
            </w:pPr>
          </w:p>
        </w:tc>
        <w:tc>
          <w:tcPr>
            <w:tcW w:w="910"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RR (95% CI)</w:t>
            </w:r>
          </w:p>
        </w:tc>
        <w:tc>
          <w:tcPr>
            <w:tcW w:w="911"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RD (95% CI)</w:t>
            </w:r>
          </w:p>
        </w:tc>
        <w:tc>
          <w:tcPr>
            <w:tcW w:w="910"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RR (95% CI)</w:t>
            </w:r>
          </w:p>
        </w:tc>
        <w:tc>
          <w:tcPr>
            <w:tcW w:w="911"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RD (95% CI)</w:t>
            </w:r>
          </w:p>
        </w:tc>
      </w:tr>
      <w:tr w:rsidR="006A105B" w:rsidRPr="00742273">
        <w:tc>
          <w:tcPr>
            <w:tcW w:w="1358" w:type="pct"/>
            <w:vAlign w:val="center"/>
          </w:tcPr>
          <w:p w:rsidR="006A105B" w:rsidRPr="00742273" w:rsidRDefault="006A105B" w:rsidP="00725993">
            <w:pPr>
              <w:jc w:val="left"/>
              <w:rPr>
                <w:rFonts w:ascii="Arial Narrow" w:hAnsi="Arial Narrow"/>
                <w:sz w:val="20"/>
              </w:rPr>
            </w:pPr>
            <w:r w:rsidRPr="00742273">
              <w:rPr>
                <w:rFonts w:ascii="Arial Narrow" w:hAnsi="Arial Narrow"/>
                <w:sz w:val="20"/>
              </w:rPr>
              <w:t>Patients with AEs</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1.00 (0.84, 1.18)</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0.00 (-0.09, 0.09)</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1.02 (0.87, 1.19)</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0.01 (-0.08, 0.10)</w:t>
            </w:r>
          </w:p>
        </w:tc>
      </w:tr>
      <w:tr w:rsidR="006A105B" w:rsidRPr="00742273">
        <w:trPr>
          <w:trHeight w:val="102"/>
        </w:trPr>
        <w:tc>
          <w:tcPr>
            <w:tcW w:w="1358" w:type="pct"/>
            <w:vAlign w:val="center"/>
          </w:tcPr>
          <w:p w:rsidR="006A105B" w:rsidRPr="00742273" w:rsidRDefault="006A105B" w:rsidP="003E6F8A">
            <w:pPr>
              <w:jc w:val="left"/>
              <w:rPr>
                <w:rFonts w:ascii="Arial Narrow" w:hAnsi="Arial Narrow"/>
                <w:sz w:val="20"/>
              </w:rPr>
            </w:pPr>
            <w:r w:rsidRPr="00742273">
              <w:rPr>
                <w:rFonts w:ascii="Arial Narrow" w:hAnsi="Arial Narrow"/>
                <w:sz w:val="20"/>
              </w:rPr>
              <w:t xml:space="preserve">Patients with </w:t>
            </w:r>
            <w:r w:rsidR="003E6F8A" w:rsidRPr="00742273">
              <w:rPr>
                <w:rFonts w:ascii="Arial Narrow" w:hAnsi="Arial Narrow"/>
                <w:sz w:val="20"/>
              </w:rPr>
              <w:t xml:space="preserve">serious </w:t>
            </w:r>
            <w:r w:rsidRPr="00742273">
              <w:rPr>
                <w:rFonts w:ascii="Arial Narrow" w:hAnsi="Arial Narrow"/>
                <w:sz w:val="20"/>
              </w:rPr>
              <w:t>AEs</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1.73 (0.42, 7.08)</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0.01 (-0.04, 0.06)</w:t>
            </w:r>
          </w:p>
        </w:tc>
        <w:tc>
          <w:tcPr>
            <w:tcW w:w="910"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2.00 (1.00, 4.02)</w:t>
            </w:r>
          </w:p>
        </w:tc>
        <w:tc>
          <w:tcPr>
            <w:tcW w:w="911" w:type="pct"/>
            <w:vAlign w:val="center"/>
          </w:tcPr>
          <w:p w:rsidR="006A105B" w:rsidRPr="00742273" w:rsidRDefault="006A105B" w:rsidP="00725993">
            <w:pPr>
              <w:jc w:val="center"/>
              <w:rPr>
                <w:rFonts w:ascii="Arial Narrow" w:hAnsi="Arial Narrow"/>
                <w:b/>
                <w:sz w:val="20"/>
              </w:rPr>
            </w:pPr>
            <w:r w:rsidRPr="00742273">
              <w:rPr>
                <w:rFonts w:ascii="Arial Narrow" w:hAnsi="Arial Narrow"/>
                <w:b/>
                <w:sz w:val="20"/>
              </w:rPr>
              <w:t>0.05 (0.00, 0.11)</w:t>
            </w:r>
          </w:p>
        </w:tc>
      </w:tr>
      <w:tr w:rsidR="006A105B" w:rsidRPr="00742273">
        <w:trPr>
          <w:trHeight w:val="70"/>
        </w:trPr>
        <w:tc>
          <w:tcPr>
            <w:tcW w:w="1358" w:type="pct"/>
            <w:vAlign w:val="center"/>
          </w:tcPr>
          <w:p w:rsidR="006A105B" w:rsidRPr="00742273" w:rsidRDefault="006A105B" w:rsidP="003E6F8A">
            <w:pPr>
              <w:jc w:val="left"/>
              <w:rPr>
                <w:rFonts w:ascii="Arial Narrow" w:hAnsi="Arial Narrow"/>
                <w:sz w:val="20"/>
              </w:rPr>
            </w:pPr>
            <w:r w:rsidRPr="00742273">
              <w:rPr>
                <w:rFonts w:ascii="Arial Narrow" w:hAnsi="Arial Narrow"/>
                <w:sz w:val="20"/>
              </w:rPr>
              <w:t xml:space="preserve">Patients with </w:t>
            </w:r>
            <w:r w:rsidR="003E6F8A" w:rsidRPr="00742273">
              <w:rPr>
                <w:rFonts w:ascii="Arial Narrow" w:hAnsi="Arial Narrow"/>
                <w:sz w:val="20"/>
              </w:rPr>
              <w:t xml:space="preserve">severe </w:t>
            </w:r>
            <w:r w:rsidRPr="00742273">
              <w:rPr>
                <w:rFonts w:ascii="Arial Narrow" w:hAnsi="Arial Narrow"/>
                <w:sz w:val="20"/>
              </w:rPr>
              <w:t>AEs</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2.17 (0.84, 5.59)</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0.02 (-0.02, 0.06)</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0.93 (0.45, 1.93)</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-0.00 (-0.05, 0.04)</w:t>
            </w:r>
          </w:p>
        </w:tc>
      </w:tr>
      <w:tr w:rsidR="006A105B" w:rsidRPr="00742273">
        <w:tc>
          <w:tcPr>
            <w:tcW w:w="1358" w:type="pct"/>
            <w:vAlign w:val="center"/>
          </w:tcPr>
          <w:p w:rsidR="006A105B" w:rsidRPr="00742273" w:rsidRDefault="00C343D9" w:rsidP="00725993">
            <w:pPr>
              <w:jc w:val="left"/>
              <w:rPr>
                <w:rFonts w:ascii="Arial Narrow" w:hAnsi="Arial Narrow"/>
                <w:sz w:val="20"/>
              </w:rPr>
            </w:pPr>
            <w:r w:rsidRPr="00742273">
              <w:rPr>
                <w:rFonts w:ascii="Arial Narrow" w:hAnsi="Arial Narrow"/>
                <w:sz w:val="20"/>
              </w:rPr>
              <w:t>D</w:t>
            </w:r>
            <w:r w:rsidR="006A105B" w:rsidRPr="00742273">
              <w:rPr>
                <w:rFonts w:ascii="Arial Narrow" w:hAnsi="Arial Narrow"/>
                <w:sz w:val="20"/>
              </w:rPr>
              <w:t>iscontinuation due to AEs</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0.60 (0.06, 6.35)</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-0.02 (-0.12, 0.07)</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1.00 (0.55, 1.83)</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0.00 (-0.06, 0.06)</w:t>
            </w:r>
          </w:p>
        </w:tc>
      </w:tr>
      <w:tr w:rsidR="006A105B" w:rsidRPr="00742273">
        <w:tc>
          <w:tcPr>
            <w:tcW w:w="1358" w:type="pct"/>
            <w:vAlign w:val="center"/>
          </w:tcPr>
          <w:p w:rsidR="006A105B" w:rsidRPr="00742273" w:rsidRDefault="00C343D9" w:rsidP="00725993">
            <w:pPr>
              <w:jc w:val="left"/>
              <w:rPr>
                <w:rFonts w:ascii="Arial Narrow" w:hAnsi="Arial Narrow"/>
                <w:sz w:val="20"/>
              </w:rPr>
            </w:pPr>
            <w:r w:rsidRPr="00742273">
              <w:rPr>
                <w:rFonts w:ascii="Arial Narrow" w:hAnsi="Arial Narrow"/>
                <w:sz w:val="20"/>
              </w:rPr>
              <w:t>D</w:t>
            </w:r>
            <w:r w:rsidR="006A105B" w:rsidRPr="00742273">
              <w:rPr>
                <w:rFonts w:ascii="Arial Narrow" w:hAnsi="Arial Narrow"/>
                <w:sz w:val="20"/>
              </w:rPr>
              <w:t>ose reduction or temporary discontinuation due to AEs</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1.12 (0.58, 2.17)</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0.01 (-0.02, 0.05)</w:t>
            </w:r>
          </w:p>
        </w:tc>
        <w:tc>
          <w:tcPr>
            <w:tcW w:w="910"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1.35 (0.81, 2.23)</w:t>
            </w:r>
          </w:p>
        </w:tc>
        <w:tc>
          <w:tcPr>
            <w:tcW w:w="911" w:type="pct"/>
            <w:vAlign w:val="center"/>
          </w:tcPr>
          <w:p w:rsidR="006A105B" w:rsidRPr="00742273" w:rsidRDefault="006A105B" w:rsidP="00725993">
            <w:pPr>
              <w:jc w:val="center"/>
              <w:rPr>
                <w:rFonts w:ascii="Arial Narrow" w:hAnsi="Arial Narrow"/>
                <w:sz w:val="20"/>
              </w:rPr>
            </w:pPr>
            <w:r w:rsidRPr="00742273">
              <w:rPr>
                <w:rFonts w:ascii="Arial Narrow" w:hAnsi="Arial Narrow"/>
                <w:sz w:val="20"/>
              </w:rPr>
              <w:t>0.04 (-0.03, 0.10)</w:t>
            </w:r>
          </w:p>
        </w:tc>
      </w:tr>
    </w:tbl>
    <w:p w:rsidR="006A105B" w:rsidRPr="00742273" w:rsidRDefault="006A105B" w:rsidP="00C343D9">
      <w:pPr>
        <w:ind w:left="720"/>
        <w:rPr>
          <w:rFonts w:ascii="Arial Narrow" w:hAnsi="Arial Narrow"/>
          <w:sz w:val="18"/>
        </w:rPr>
      </w:pPr>
      <w:r w:rsidRPr="00742273">
        <w:rPr>
          <w:rStyle w:val="CommentReference"/>
          <w:b w:val="0"/>
          <w:sz w:val="18"/>
        </w:rPr>
        <w:t>Figures in bold indicate results that are statistically significant</w:t>
      </w:r>
      <w:r w:rsidR="00C343D9" w:rsidRPr="00742273">
        <w:rPr>
          <w:rStyle w:val="CommentReference"/>
          <w:b w:val="0"/>
          <w:sz w:val="18"/>
        </w:rPr>
        <w:t xml:space="preserve">.  </w:t>
      </w:r>
      <w:r w:rsidRPr="00742273">
        <w:rPr>
          <w:rFonts w:ascii="Arial Narrow" w:hAnsi="Arial Narrow"/>
          <w:sz w:val="18"/>
        </w:rPr>
        <w:t>Abbreviations: AEs = adverse events; CI = confidence interval; RD = risk difference; RR = relative risk</w:t>
      </w:r>
      <w:r w:rsidR="00C343D9" w:rsidRPr="00742273">
        <w:rPr>
          <w:rFonts w:ascii="Arial Narrow" w:hAnsi="Arial Narrow"/>
          <w:sz w:val="18"/>
        </w:rPr>
        <w:t xml:space="preserve">.  </w:t>
      </w:r>
      <w:r w:rsidRPr="00742273">
        <w:rPr>
          <w:rFonts w:ascii="Arial Narrow" w:hAnsi="Arial Narrow"/>
          <w:sz w:val="18"/>
        </w:rPr>
        <w:t xml:space="preserve">Source: Table 64 and Table 65, ppB.160-B.162 of the submission.  </w:t>
      </w:r>
    </w:p>
    <w:p w:rsidR="006A105B" w:rsidRPr="00742273" w:rsidRDefault="006A105B" w:rsidP="006A105B">
      <w:pPr>
        <w:widowControl/>
        <w:rPr>
          <w:szCs w:val="22"/>
        </w:rPr>
      </w:pPr>
    </w:p>
    <w:p w:rsidR="006A105B" w:rsidRPr="00742273" w:rsidRDefault="00C343D9" w:rsidP="00C343D9">
      <w:pPr>
        <w:pStyle w:val="ListParagraph"/>
        <w:widowControl/>
        <w:numPr>
          <w:ilvl w:val="1"/>
          <w:numId w:val="12"/>
        </w:numPr>
        <w:rPr>
          <w:szCs w:val="22"/>
        </w:rPr>
      </w:pPr>
      <w:r w:rsidRPr="00742273">
        <w:rPr>
          <w:szCs w:val="22"/>
        </w:rPr>
        <w:t>In regard to adverse events of special interest</w:t>
      </w:r>
      <w:r w:rsidR="0004244D" w:rsidRPr="00742273">
        <w:rPr>
          <w:szCs w:val="22"/>
        </w:rPr>
        <w:t>,</w:t>
      </w:r>
      <w:r w:rsidRPr="00742273">
        <w:rPr>
          <w:szCs w:val="22"/>
        </w:rPr>
        <w:t xml:space="preserve"> changes in haemoglobin were slightly greater for adalimumab compared to tofacitinib while increases in liver enzymes were similar across the two drugs.  While the submission did not report results of any statistical analyses for change in lipid parameters, the trial report for Study 1064 indicated that increases for tofacitinib were statistically significantly greater than adalimumab (</w:t>
      </w:r>
      <w:r w:rsidR="00D91CE5">
        <w:rPr>
          <w:szCs w:val="22"/>
        </w:rPr>
        <w:t xml:space="preserve">see </w:t>
      </w:r>
      <w:r w:rsidR="00EB7CC8">
        <w:rPr>
          <w:szCs w:val="22"/>
        </w:rPr>
        <w:t>t</w:t>
      </w:r>
      <w:r w:rsidRPr="00742273">
        <w:rPr>
          <w:szCs w:val="22"/>
        </w:rPr>
        <w:t>able</w:t>
      </w:r>
      <w:r w:rsidR="00EB7CC8">
        <w:rPr>
          <w:szCs w:val="22"/>
        </w:rPr>
        <w:t xml:space="preserve"> </w:t>
      </w:r>
      <w:r w:rsidR="00B10FE7" w:rsidRPr="00742273">
        <w:rPr>
          <w:szCs w:val="22"/>
        </w:rPr>
        <w:t>below</w:t>
      </w:r>
      <w:r w:rsidR="00D91CE5">
        <w:rPr>
          <w:szCs w:val="22"/>
        </w:rPr>
        <w:t xml:space="preserve"> and benefits/harms table in para 6.17</w:t>
      </w:r>
      <w:r w:rsidR="00B37ED5" w:rsidRPr="00742273">
        <w:rPr>
          <w:szCs w:val="22"/>
        </w:rPr>
        <w:t>)</w:t>
      </w:r>
      <w:r w:rsidRPr="00742273">
        <w:rPr>
          <w:szCs w:val="22"/>
        </w:rPr>
        <w:t xml:space="preserve">.  </w:t>
      </w:r>
    </w:p>
    <w:p w:rsidR="00742273" w:rsidRDefault="00742273" w:rsidP="00742273">
      <w:pPr>
        <w:widowControl/>
        <w:ind w:firstLine="720"/>
        <w:jc w:val="left"/>
        <w:rPr>
          <w:szCs w:val="22"/>
        </w:rPr>
      </w:pPr>
    </w:p>
    <w:p w:rsidR="00B37ED5" w:rsidRPr="00742273" w:rsidRDefault="00B37ED5" w:rsidP="00742273">
      <w:pPr>
        <w:widowControl/>
        <w:ind w:firstLine="720"/>
        <w:jc w:val="left"/>
        <w:rPr>
          <w:szCs w:val="22"/>
        </w:rPr>
      </w:pPr>
      <w:r w:rsidRPr="00742273">
        <w:rPr>
          <w:rFonts w:ascii="Arial Narrow" w:hAnsi="Arial Narrow"/>
          <w:b/>
          <w:sz w:val="20"/>
        </w:rPr>
        <w:t>Statistical analysis of change from baseline in lipid parameters (Study 1064)</w:t>
      </w:r>
    </w:p>
    <w:tbl>
      <w:tblPr>
        <w:tblStyle w:val="TableGrid"/>
        <w:tblW w:w="0" w:type="auto"/>
        <w:tblInd w:w="737" w:type="dxa"/>
        <w:tblLayout w:type="fixed"/>
        <w:tblCellMar>
          <w:left w:w="28" w:type="dxa"/>
          <w:right w:w="28" w:type="dxa"/>
        </w:tblCellMar>
        <w:tblLook w:val="04A0" w:firstRow="1" w:lastRow="0" w:firstColumn="1" w:lastColumn="0" w:noHBand="0" w:noVBand="1"/>
        <w:tblCaption w:val="Comparative harms"/>
        <w:tblDescription w:val="Statistical analysis (Study 1064)"/>
      </w:tblPr>
      <w:tblGrid>
        <w:gridCol w:w="1843"/>
        <w:gridCol w:w="850"/>
        <w:gridCol w:w="851"/>
        <w:gridCol w:w="1276"/>
        <w:gridCol w:w="708"/>
        <w:gridCol w:w="1276"/>
        <w:gridCol w:w="1541"/>
      </w:tblGrid>
      <w:tr w:rsidR="00B37ED5" w:rsidRPr="00742273">
        <w:trPr>
          <w:tblHeader/>
        </w:trPr>
        <w:tc>
          <w:tcPr>
            <w:tcW w:w="2693" w:type="dxa"/>
            <w:gridSpan w:val="2"/>
            <w:vMerge w:val="restart"/>
            <w:vAlign w:val="center"/>
          </w:tcPr>
          <w:p w:rsidR="00B37ED5" w:rsidRPr="00742273" w:rsidRDefault="00B37ED5" w:rsidP="00725993">
            <w:pPr>
              <w:jc w:val="left"/>
              <w:rPr>
                <w:rFonts w:ascii="Arial Narrow" w:hAnsi="Arial Narrow"/>
                <w:b/>
                <w:sz w:val="20"/>
              </w:rPr>
            </w:pPr>
            <w:r w:rsidRPr="00742273">
              <w:rPr>
                <w:rFonts w:ascii="Arial Narrow" w:hAnsi="Arial Narrow"/>
                <w:b/>
                <w:sz w:val="20"/>
              </w:rPr>
              <w:t>Lipid parameter</w:t>
            </w:r>
          </w:p>
        </w:tc>
        <w:tc>
          <w:tcPr>
            <w:tcW w:w="2127" w:type="dxa"/>
            <w:gridSpan w:val="2"/>
            <w:vAlign w:val="center"/>
          </w:tcPr>
          <w:p w:rsidR="00B37ED5" w:rsidRPr="00742273" w:rsidRDefault="00B37ED5" w:rsidP="004E6916">
            <w:pPr>
              <w:jc w:val="center"/>
              <w:rPr>
                <w:rFonts w:ascii="Arial Narrow" w:hAnsi="Arial Narrow"/>
                <w:b/>
                <w:sz w:val="20"/>
              </w:rPr>
            </w:pPr>
            <w:r w:rsidRPr="00742273">
              <w:rPr>
                <w:rFonts w:ascii="Arial Narrow" w:hAnsi="Arial Narrow"/>
                <w:b/>
                <w:sz w:val="20"/>
              </w:rPr>
              <w:t>Tofacitinib 5mg</w:t>
            </w:r>
          </w:p>
        </w:tc>
        <w:tc>
          <w:tcPr>
            <w:tcW w:w="1984" w:type="dxa"/>
            <w:gridSpan w:val="2"/>
            <w:vAlign w:val="center"/>
          </w:tcPr>
          <w:p w:rsidR="00B37ED5" w:rsidRPr="00742273" w:rsidRDefault="00B37ED5" w:rsidP="004E6916">
            <w:pPr>
              <w:jc w:val="center"/>
              <w:rPr>
                <w:rFonts w:ascii="Arial Narrow" w:hAnsi="Arial Narrow"/>
                <w:b/>
                <w:sz w:val="20"/>
              </w:rPr>
            </w:pPr>
            <w:r w:rsidRPr="00742273">
              <w:rPr>
                <w:rFonts w:ascii="Arial Narrow" w:hAnsi="Arial Narrow"/>
                <w:b/>
                <w:sz w:val="20"/>
              </w:rPr>
              <w:t>Adalimumab 40mg</w:t>
            </w:r>
          </w:p>
        </w:tc>
        <w:tc>
          <w:tcPr>
            <w:tcW w:w="1541" w:type="dxa"/>
            <w:vMerge w:val="restart"/>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MD, 95% CI</w:t>
            </w:r>
          </w:p>
        </w:tc>
      </w:tr>
      <w:tr w:rsidR="00B37ED5" w:rsidRPr="00742273">
        <w:trPr>
          <w:tblHeader/>
        </w:trPr>
        <w:tc>
          <w:tcPr>
            <w:tcW w:w="2693" w:type="dxa"/>
            <w:gridSpan w:val="2"/>
            <w:vMerge/>
            <w:vAlign w:val="center"/>
          </w:tcPr>
          <w:p w:rsidR="00B37ED5" w:rsidRPr="00742273" w:rsidRDefault="00B37ED5" w:rsidP="00725993">
            <w:pPr>
              <w:jc w:val="left"/>
              <w:rPr>
                <w:rFonts w:ascii="Arial Narrow" w:hAnsi="Arial Narrow"/>
                <w:b/>
                <w:sz w:val="20"/>
              </w:rPr>
            </w:pPr>
          </w:p>
        </w:tc>
        <w:tc>
          <w:tcPr>
            <w:tcW w:w="85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n</w:t>
            </w:r>
          </w:p>
        </w:tc>
        <w:tc>
          <w:tcPr>
            <w:tcW w:w="1276"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LS mean (SE)</w:t>
            </w:r>
          </w:p>
        </w:tc>
        <w:tc>
          <w:tcPr>
            <w:tcW w:w="708"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n</w:t>
            </w:r>
          </w:p>
        </w:tc>
        <w:tc>
          <w:tcPr>
            <w:tcW w:w="1276"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LS Mean (SE)</w:t>
            </w:r>
          </w:p>
        </w:tc>
        <w:tc>
          <w:tcPr>
            <w:tcW w:w="1541" w:type="dxa"/>
            <w:vMerge/>
            <w:vAlign w:val="center"/>
          </w:tcPr>
          <w:p w:rsidR="00B37ED5" w:rsidRPr="00742273" w:rsidRDefault="00B37ED5" w:rsidP="00725993">
            <w:pPr>
              <w:jc w:val="center"/>
              <w:rPr>
                <w:rFonts w:ascii="Arial Narrow" w:hAnsi="Arial Narrow"/>
                <w:b/>
                <w:sz w:val="20"/>
              </w:rPr>
            </w:pPr>
          </w:p>
        </w:tc>
      </w:tr>
      <w:tr w:rsidR="00B37ED5" w:rsidRPr="00742273">
        <w:tc>
          <w:tcPr>
            <w:tcW w:w="1843" w:type="dxa"/>
            <w:vMerge w:val="restart"/>
            <w:vAlign w:val="center"/>
          </w:tcPr>
          <w:p w:rsidR="00B37ED5" w:rsidRPr="00742273" w:rsidRDefault="00B37ED5" w:rsidP="00725993">
            <w:pPr>
              <w:jc w:val="left"/>
              <w:rPr>
                <w:rFonts w:ascii="Arial Narrow" w:hAnsi="Arial Narrow"/>
                <w:sz w:val="20"/>
              </w:rPr>
            </w:pPr>
            <w:r w:rsidRPr="00742273">
              <w:rPr>
                <w:rFonts w:ascii="Arial Narrow" w:hAnsi="Arial Narrow"/>
                <w:sz w:val="20"/>
              </w:rPr>
              <w:t>Total cholesterol (mg/dL)</w:t>
            </w: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1</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192</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9.90 (1.10)</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196</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3.75 (1.09)</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6.15 (3.26, 9.04)</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3</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185</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11.05 (1.11)</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190</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3.36 (1.10)</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7.69 (4.76, 10.62)</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6</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127</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11.70 (1.25)</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126</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1.30 (1.25)</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10.41 (7.06, 13.76)</w:t>
            </w:r>
          </w:p>
        </w:tc>
      </w:tr>
      <w:tr w:rsidR="00B37ED5" w:rsidRPr="00742273">
        <w:tc>
          <w:tcPr>
            <w:tcW w:w="1843" w:type="dxa"/>
            <w:vMerge w:val="restart"/>
            <w:vAlign w:val="center"/>
          </w:tcPr>
          <w:p w:rsidR="00B37ED5" w:rsidRPr="00742273" w:rsidRDefault="00B37ED5" w:rsidP="00725993">
            <w:pPr>
              <w:jc w:val="left"/>
              <w:rPr>
                <w:rFonts w:ascii="Arial Narrow" w:hAnsi="Arial Narrow"/>
                <w:sz w:val="20"/>
              </w:rPr>
            </w:pPr>
            <w:r w:rsidRPr="00742273">
              <w:rPr>
                <w:rFonts w:ascii="Arial Narrow" w:hAnsi="Arial Narrow"/>
                <w:sz w:val="20"/>
              </w:rPr>
              <w:t>HDL-C (mg/dL)</w:t>
            </w: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1</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192</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12.03 (1.46)</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196</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4.62 (1.45)</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7.41 (3.57, 11.25)</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3</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185</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12.17 (1.48)</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190</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5.64 (1.47)</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6.52 (2.64, 10.41)</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6</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126</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10.87 (1.67)</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126</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2.39 (1.67)</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8.47 (4.01, 12.93)</w:t>
            </w:r>
          </w:p>
        </w:tc>
      </w:tr>
      <w:tr w:rsidR="00B37ED5" w:rsidRPr="00742273">
        <w:tc>
          <w:tcPr>
            <w:tcW w:w="1843" w:type="dxa"/>
            <w:vMerge w:val="restart"/>
            <w:vAlign w:val="center"/>
          </w:tcPr>
          <w:p w:rsidR="00B37ED5" w:rsidRPr="00742273" w:rsidRDefault="00B37ED5" w:rsidP="00725993">
            <w:pPr>
              <w:jc w:val="left"/>
              <w:rPr>
                <w:rFonts w:ascii="Arial Narrow" w:hAnsi="Arial Narrow"/>
                <w:sz w:val="20"/>
              </w:rPr>
            </w:pPr>
            <w:r w:rsidRPr="00742273">
              <w:rPr>
                <w:rFonts w:ascii="Arial Narrow" w:hAnsi="Arial Narrow"/>
                <w:sz w:val="20"/>
              </w:rPr>
              <w:t>LDL-C (mg/dL)</w:t>
            </w: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1</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189</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10.97 (1.91)</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194</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4.13 (1.89)</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6.84 (1.82, 11.85)</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3</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181</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12.18 (1.94)</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187</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3.62 (1.91)</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8.56 (3.48, 13.64)</w:t>
            </w:r>
          </w:p>
        </w:tc>
      </w:tr>
      <w:tr w:rsidR="00B37ED5" w:rsidRPr="00742273">
        <w:tc>
          <w:tcPr>
            <w:tcW w:w="1843" w:type="dxa"/>
            <w:vMerge/>
            <w:vAlign w:val="center"/>
          </w:tcPr>
          <w:p w:rsidR="00B37ED5" w:rsidRPr="00742273" w:rsidRDefault="00B37ED5" w:rsidP="00725993">
            <w:pPr>
              <w:jc w:val="left"/>
              <w:rPr>
                <w:rFonts w:ascii="Arial Narrow" w:hAnsi="Arial Narrow"/>
                <w:sz w:val="20"/>
              </w:rPr>
            </w:pPr>
          </w:p>
        </w:tc>
        <w:tc>
          <w:tcPr>
            <w:tcW w:w="850" w:type="dxa"/>
            <w:vAlign w:val="center"/>
          </w:tcPr>
          <w:p w:rsidR="00B37ED5" w:rsidRPr="00742273" w:rsidRDefault="00B37ED5" w:rsidP="00725993">
            <w:pPr>
              <w:jc w:val="left"/>
              <w:rPr>
                <w:rFonts w:ascii="Arial Narrow" w:hAnsi="Arial Narrow"/>
                <w:sz w:val="20"/>
              </w:rPr>
            </w:pPr>
            <w:r w:rsidRPr="00742273">
              <w:rPr>
                <w:rFonts w:ascii="Arial Narrow" w:hAnsi="Arial Narrow"/>
                <w:sz w:val="20"/>
              </w:rPr>
              <w:t>Month 6</w:t>
            </w:r>
          </w:p>
        </w:tc>
        <w:tc>
          <w:tcPr>
            <w:tcW w:w="851"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125</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14.16 (2.15)</w:t>
            </w:r>
          </w:p>
        </w:tc>
        <w:tc>
          <w:tcPr>
            <w:tcW w:w="708" w:type="dxa"/>
            <w:vAlign w:val="center"/>
          </w:tcPr>
          <w:p w:rsidR="00B37ED5" w:rsidRPr="00742273" w:rsidRDefault="00B37ED5" w:rsidP="004E6916">
            <w:pPr>
              <w:jc w:val="center"/>
              <w:rPr>
                <w:rFonts w:ascii="Arial Narrow" w:hAnsi="Arial Narrow"/>
                <w:sz w:val="20"/>
              </w:rPr>
            </w:pPr>
            <w:r w:rsidRPr="00742273">
              <w:rPr>
                <w:rFonts w:ascii="Arial Narrow" w:hAnsi="Arial Narrow"/>
                <w:sz w:val="20"/>
              </w:rPr>
              <w:t>125</w:t>
            </w:r>
          </w:p>
        </w:tc>
        <w:tc>
          <w:tcPr>
            <w:tcW w:w="1276" w:type="dxa"/>
            <w:vAlign w:val="center"/>
          </w:tcPr>
          <w:p w:rsidR="00B37ED5" w:rsidRPr="00742273" w:rsidRDefault="00B37ED5" w:rsidP="00725993">
            <w:pPr>
              <w:jc w:val="center"/>
              <w:rPr>
                <w:rFonts w:ascii="Arial Narrow" w:hAnsi="Arial Narrow"/>
                <w:sz w:val="20"/>
              </w:rPr>
            </w:pPr>
            <w:r w:rsidRPr="00742273">
              <w:rPr>
                <w:rFonts w:ascii="Arial Narrow" w:hAnsi="Arial Narrow"/>
                <w:sz w:val="20"/>
              </w:rPr>
              <w:t>1.76 (2.13)</w:t>
            </w:r>
          </w:p>
        </w:tc>
        <w:tc>
          <w:tcPr>
            <w:tcW w:w="1541" w:type="dxa"/>
            <w:vAlign w:val="center"/>
          </w:tcPr>
          <w:p w:rsidR="00B37ED5" w:rsidRPr="00742273" w:rsidRDefault="00B37ED5" w:rsidP="00725993">
            <w:pPr>
              <w:jc w:val="center"/>
              <w:rPr>
                <w:rFonts w:ascii="Arial Narrow" w:hAnsi="Arial Narrow"/>
                <w:b/>
                <w:sz w:val="20"/>
              </w:rPr>
            </w:pPr>
            <w:r w:rsidRPr="00742273">
              <w:rPr>
                <w:rFonts w:ascii="Arial Narrow" w:hAnsi="Arial Narrow"/>
                <w:b/>
                <w:sz w:val="20"/>
              </w:rPr>
              <w:t>12.40 (6.70, 18.11)</w:t>
            </w:r>
          </w:p>
        </w:tc>
      </w:tr>
    </w:tbl>
    <w:p w:rsidR="00B37ED5" w:rsidRPr="00742273" w:rsidRDefault="00B37ED5" w:rsidP="00B37ED5">
      <w:pPr>
        <w:ind w:firstLine="720"/>
        <w:rPr>
          <w:rStyle w:val="CommentReference"/>
        </w:rPr>
      </w:pPr>
      <w:r w:rsidRPr="00742273">
        <w:rPr>
          <w:rStyle w:val="CommentReference"/>
          <w:b w:val="0"/>
          <w:sz w:val="18"/>
        </w:rPr>
        <w:t>Figures in bold indicate results that are statistically significant</w:t>
      </w:r>
    </w:p>
    <w:p w:rsidR="00B37ED5" w:rsidRPr="00742273" w:rsidRDefault="00B37ED5" w:rsidP="00B37ED5">
      <w:pPr>
        <w:ind w:left="720"/>
        <w:rPr>
          <w:rFonts w:ascii="Arial Narrow" w:hAnsi="Arial Narrow"/>
          <w:sz w:val="18"/>
          <w:szCs w:val="18"/>
        </w:rPr>
      </w:pPr>
      <w:r w:rsidRPr="00742273">
        <w:rPr>
          <w:rFonts w:ascii="Arial Narrow" w:hAnsi="Arial Narrow"/>
          <w:sz w:val="18"/>
          <w:szCs w:val="18"/>
        </w:rPr>
        <w:t xml:space="preserve">Abbreviations: HDL = high density lipoprotein; LDL = low density lipoprotein; LS = least square; MD = mean difference; SE = standard error.  </w:t>
      </w:r>
    </w:p>
    <w:p w:rsidR="00B37ED5" w:rsidRPr="00742273" w:rsidRDefault="00B37ED5" w:rsidP="00B37ED5">
      <w:pPr>
        <w:ind w:firstLine="720"/>
        <w:rPr>
          <w:rFonts w:ascii="Arial Narrow" w:hAnsi="Arial Narrow"/>
          <w:sz w:val="18"/>
          <w:szCs w:val="18"/>
        </w:rPr>
      </w:pPr>
      <w:r w:rsidRPr="00742273">
        <w:rPr>
          <w:rFonts w:ascii="Arial Narrow" w:hAnsi="Arial Narrow"/>
          <w:sz w:val="18"/>
          <w:szCs w:val="18"/>
        </w:rPr>
        <w:t>Source: Table 14.3.4.1.10.7; Table 14.3.4.1.11.5, Table 14.3.4.1.12.5 of the clinical study report for Study 1064</w:t>
      </w:r>
    </w:p>
    <w:p w:rsidR="00B37ED5" w:rsidRPr="00742273" w:rsidRDefault="00B37ED5" w:rsidP="00B37ED5">
      <w:pPr>
        <w:pStyle w:val="ListParagraph"/>
        <w:rPr>
          <w:szCs w:val="22"/>
        </w:rPr>
      </w:pPr>
    </w:p>
    <w:p w:rsidR="000465C2" w:rsidRPr="00742273" w:rsidRDefault="00542640" w:rsidP="00542640">
      <w:pPr>
        <w:pStyle w:val="ListParagraph"/>
        <w:widowControl/>
        <w:numPr>
          <w:ilvl w:val="1"/>
          <w:numId w:val="12"/>
        </w:numPr>
        <w:rPr>
          <w:szCs w:val="22"/>
        </w:rPr>
      </w:pPr>
      <w:r w:rsidRPr="00742273">
        <w:rPr>
          <w:szCs w:val="22"/>
        </w:rPr>
        <w:t>In the extended assessment of comparative harms, the periodic safety update report</w:t>
      </w:r>
      <w:r w:rsidR="003E6F8A" w:rsidRPr="00742273">
        <w:rPr>
          <w:szCs w:val="22"/>
        </w:rPr>
        <w:t xml:space="preserve"> (PSUR)</w:t>
      </w:r>
      <w:r w:rsidRPr="00742273">
        <w:rPr>
          <w:szCs w:val="22"/>
        </w:rPr>
        <w:t xml:space="preserve"> listed the following important identified risks for tofacitinib: opportunistic infections, lymphoma and malignancy, gastrointestinal perforations, alterations in liver enzymes and non-melanoma skin cancer.  </w:t>
      </w:r>
      <w:r w:rsidR="00515C3F" w:rsidRPr="00742273">
        <w:rPr>
          <w:szCs w:val="22"/>
        </w:rPr>
        <w:t>S</w:t>
      </w:r>
      <w:r w:rsidRPr="00742273">
        <w:rPr>
          <w:szCs w:val="22"/>
        </w:rPr>
        <w:t xml:space="preserve">imilar adverse events have been reported with </w:t>
      </w:r>
      <w:r w:rsidR="00301208">
        <w:rPr>
          <w:szCs w:val="22"/>
        </w:rPr>
        <w:t xml:space="preserve">existing </w:t>
      </w:r>
      <w:r w:rsidRPr="00742273">
        <w:rPr>
          <w:szCs w:val="22"/>
        </w:rPr>
        <w:t>bDMARDs</w:t>
      </w:r>
      <w:r w:rsidR="00515C3F" w:rsidRPr="00742273">
        <w:rPr>
          <w:szCs w:val="22"/>
        </w:rPr>
        <w:t xml:space="preserve">. Currently, there is </w:t>
      </w:r>
      <w:r w:rsidRPr="00742273">
        <w:rPr>
          <w:szCs w:val="22"/>
        </w:rPr>
        <w:t>insufficient evidence to determine whether any relative difference</w:t>
      </w:r>
      <w:r w:rsidR="00515C3F" w:rsidRPr="00742273">
        <w:rPr>
          <w:szCs w:val="22"/>
        </w:rPr>
        <w:t>s</w:t>
      </w:r>
      <w:r w:rsidRPr="00742273">
        <w:rPr>
          <w:szCs w:val="22"/>
        </w:rPr>
        <w:t xml:space="preserve"> </w:t>
      </w:r>
      <w:r w:rsidR="00515C3F" w:rsidRPr="00742273">
        <w:rPr>
          <w:szCs w:val="22"/>
        </w:rPr>
        <w:t>in adverse events are</w:t>
      </w:r>
      <w:r w:rsidRPr="00742273">
        <w:rPr>
          <w:szCs w:val="22"/>
        </w:rPr>
        <w:t xml:space="preserve"> apparent across the therapies. </w:t>
      </w:r>
    </w:p>
    <w:p w:rsidR="00542640" w:rsidRPr="00742273" w:rsidRDefault="00542640" w:rsidP="007F1017">
      <w:pPr>
        <w:pStyle w:val="ListParagraph"/>
        <w:ind w:left="0"/>
        <w:rPr>
          <w:szCs w:val="22"/>
        </w:rPr>
      </w:pPr>
    </w:p>
    <w:p w:rsidR="007F1017" w:rsidRPr="00B8485B" w:rsidRDefault="007F1017" w:rsidP="002C2775">
      <w:pPr>
        <w:pStyle w:val="Heading2"/>
        <w:rPr>
          <w:i/>
          <w:szCs w:val="22"/>
        </w:rPr>
      </w:pPr>
      <w:bookmarkStart w:id="10" w:name="_Toc409100933"/>
      <w:r w:rsidRPr="00B8485B">
        <w:rPr>
          <w:i/>
        </w:rPr>
        <w:t>Benefits/harms</w:t>
      </w:r>
      <w:bookmarkEnd w:id="10"/>
    </w:p>
    <w:p w:rsidR="007F1017" w:rsidRPr="00742273" w:rsidRDefault="007F1017" w:rsidP="007F1017">
      <w:pPr>
        <w:pStyle w:val="ListParagraph"/>
        <w:ind w:left="0"/>
        <w:rPr>
          <w:szCs w:val="22"/>
        </w:rPr>
      </w:pPr>
    </w:p>
    <w:p w:rsidR="00EC00C9" w:rsidRPr="00742273" w:rsidRDefault="00EC00C9" w:rsidP="00F262A0">
      <w:pPr>
        <w:pStyle w:val="ListParagraph"/>
        <w:widowControl/>
        <w:numPr>
          <w:ilvl w:val="1"/>
          <w:numId w:val="12"/>
        </w:numPr>
        <w:rPr>
          <w:szCs w:val="22"/>
        </w:rPr>
      </w:pPr>
      <w:r w:rsidRPr="00742273">
        <w:rPr>
          <w:szCs w:val="22"/>
        </w:rPr>
        <w:t>A summary of the comparative benefits and harms for</w:t>
      </w:r>
      <w:r w:rsidR="00726F45" w:rsidRPr="00742273">
        <w:rPr>
          <w:szCs w:val="22"/>
        </w:rPr>
        <w:t xml:space="preserve"> tofacitinib versus adalimumab</w:t>
      </w:r>
      <w:r w:rsidRPr="00742273">
        <w:rPr>
          <w:szCs w:val="22"/>
        </w:rPr>
        <w:t xml:space="preserve"> is presented in the table below.</w:t>
      </w:r>
      <w:r w:rsidR="00410708" w:rsidRPr="00742273">
        <w:rPr>
          <w:szCs w:val="22"/>
        </w:rPr>
        <w:t xml:space="preserve"> </w:t>
      </w:r>
    </w:p>
    <w:p w:rsidR="00162913" w:rsidRDefault="00162913" w:rsidP="004B1CB4"/>
    <w:p w:rsidR="00B62715" w:rsidRPr="00742273" w:rsidRDefault="00B62715" w:rsidP="00552BD3">
      <w:pPr>
        <w:ind w:firstLine="720"/>
        <w:rPr>
          <w:rStyle w:val="CommentReference"/>
        </w:rPr>
      </w:pPr>
      <w:r w:rsidRPr="00742273">
        <w:rPr>
          <w:rStyle w:val="CommentReference"/>
        </w:rPr>
        <w:t xml:space="preserve">Summary of comparative benefits and harms for </w:t>
      </w:r>
      <w:r w:rsidR="00C343D9" w:rsidRPr="00742273">
        <w:rPr>
          <w:rStyle w:val="CommentReference"/>
        </w:rPr>
        <w:t>tofacitinib</w:t>
      </w:r>
      <w:r w:rsidRPr="00742273">
        <w:rPr>
          <w:rStyle w:val="CommentReference"/>
        </w:rPr>
        <w:t xml:space="preserve"> and </w:t>
      </w:r>
      <w:r w:rsidR="00C343D9" w:rsidRPr="00742273">
        <w:rPr>
          <w:rStyle w:val="CommentReference"/>
        </w:rPr>
        <w:t>adalimumab</w:t>
      </w:r>
    </w:p>
    <w:tbl>
      <w:tblPr>
        <w:tblStyle w:val="TableGrid"/>
        <w:tblW w:w="4596" w:type="pct"/>
        <w:tblInd w:w="698" w:type="dxa"/>
        <w:tblLayout w:type="fixed"/>
        <w:tblCellMar>
          <w:left w:w="28" w:type="dxa"/>
          <w:right w:w="28" w:type="dxa"/>
        </w:tblCellMar>
        <w:tblLook w:val="04A0" w:firstRow="1" w:lastRow="0" w:firstColumn="1" w:lastColumn="0" w:noHBand="0" w:noVBand="1"/>
        <w:tblCaption w:val="Benefits/harms"/>
        <w:tblDescription w:val="Summary of comparative benefits and harms"/>
      </w:tblPr>
      <w:tblGrid>
        <w:gridCol w:w="1161"/>
        <w:gridCol w:w="721"/>
        <w:gridCol w:w="447"/>
        <w:gridCol w:w="549"/>
        <w:gridCol w:w="583"/>
        <w:gridCol w:w="265"/>
        <w:gridCol w:w="850"/>
        <w:gridCol w:w="237"/>
        <w:gridCol w:w="736"/>
        <w:gridCol w:w="257"/>
        <w:gridCol w:w="740"/>
        <w:gridCol w:w="396"/>
        <w:gridCol w:w="1406"/>
      </w:tblGrid>
      <w:tr w:rsidR="00552BD3" w:rsidRPr="00742273">
        <w:trPr>
          <w:trHeight w:val="70"/>
        </w:trPr>
        <w:tc>
          <w:tcPr>
            <w:tcW w:w="695" w:type="pct"/>
            <w:vMerge w:val="restart"/>
            <w:shd w:val="clear" w:color="auto" w:fill="auto"/>
            <w:vAlign w:val="center"/>
          </w:tcPr>
          <w:p w:rsidR="00B62715" w:rsidRPr="00742273" w:rsidRDefault="00B62715" w:rsidP="00EC00C9">
            <w:pPr>
              <w:rPr>
                <w:rFonts w:ascii="Arial Narrow" w:hAnsi="Arial Narrow"/>
                <w:b/>
                <w:color w:val="000000"/>
                <w:sz w:val="20"/>
                <w:szCs w:val="18"/>
              </w:rPr>
            </w:pPr>
            <w:r w:rsidRPr="00742273">
              <w:rPr>
                <w:rFonts w:ascii="Arial Narrow" w:hAnsi="Arial Narrow"/>
                <w:b/>
                <w:color w:val="000000"/>
                <w:sz w:val="20"/>
                <w:szCs w:val="18"/>
              </w:rPr>
              <w:t>Trial</w:t>
            </w:r>
          </w:p>
        </w:tc>
        <w:tc>
          <w:tcPr>
            <w:tcW w:w="700" w:type="pct"/>
            <w:gridSpan w:val="2"/>
            <w:vMerge w:val="restart"/>
            <w:vAlign w:val="center"/>
          </w:tcPr>
          <w:p w:rsidR="00B62715" w:rsidRPr="00742273" w:rsidRDefault="00B238D6" w:rsidP="00EC00C9">
            <w:pPr>
              <w:jc w:val="center"/>
              <w:rPr>
                <w:rFonts w:ascii="Arial Narrow" w:hAnsi="Arial Narrow"/>
                <w:b/>
                <w:color w:val="000000"/>
                <w:sz w:val="20"/>
                <w:szCs w:val="18"/>
              </w:rPr>
            </w:pPr>
            <w:r w:rsidRPr="00742273">
              <w:rPr>
                <w:rFonts w:ascii="Arial Narrow" w:hAnsi="Arial Narrow"/>
                <w:b/>
                <w:color w:val="000000"/>
                <w:sz w:val="20"/>
                <w:szCs w:val="18"/>
              </w:rPr>
              <w:t>Tofacitinib</w:t>
            </w:r>
          </w:p>
        </w:tc>
        <w:tc>
          <w:tcPr>
            <w:tcW w:w="678" w:type="pct"/>
            <w:gridSpan w:val="2"/>
            <w:vMerge w:val="restart"/>
            <w:vAlign w:val="center"/>
          </w:tcPr>
          <w:p w:rsidR="00B62715" w:rsidRPr="00742273" w:rsidRDefault="00B238D6" w:rsidP="00EC00C9">
            <w:pPr>
              <w:jc w:val="center"/>
              <w:rPr>
                <w:rFonts w:ascii="Arial Narrow" w:hAnsi="Arial Narrow"/>
                <w:b/>
                <w:color w:val="000000"/>
                <w:sz w:val="20"/>
                <w:szCs w:val="18"/>
              </w:rPr>
            </w:pPr>
            <w:r w:rsidRPr="00742273">
              <w:rPr>
                <w:rFonts w:ascii="Arial Narrow" w:hAnsi="Arial Narrow"/>
                <w:b/>
                <w:color w:val="000000"/>
                <w:sz w:val="20"/>
                <w:szCs w:val="18"/>
              </w:rPr>
              <w:t>Adalimumab</w:t>
            </w:r>
          </w:p>
        </w:tc>
        <w:tc>
          <w:tcPr>
            <w:tcW w:w="810" w:type="pct"/>
            <w:gridSpan w:val="3"/>
            <w:vMerge w:val="restart"/>
            <w:vAlign w:val="center"/>
          </w:tcPr>
          <w:p w:rsidR="00B62715" w:rsidRPr="00742273" w:rsidRDefault="00B62715" w:rsidP="00B238D6">
            <w:pPr>
              <w:jc w:val="center"/>
              <w:rPr>
                <w:rFonts w:ascii="Arial Narrow" w:hAnsi="Arial Narrow"/>
                <w:b/>
                <w:color w:val="000000"/>
                <w:sz w:val="20"/>
                <w:szCs w:val="18"/>
              </w:rPr>
            </w:pPr>
            <w:r w:rsidRPr="00742273">
              <w:rPr>
                <w:rFonts w:ascii="Arial Narrow" w:hAnsi="Arial Narrow"/>
                <w:b/>
                <w:color w:val="000000"/>
                <w:sz w:val="20"/>
                <w:szCs w:val="18"/>
              </w:rPr>
              <w:t>RR</w:t>
            </w:r>
            <w:r w:rsidR="00B238D6" w:rsidRPr="00742273">
              <w:rPr>
                <w:rFonts w:ascii="Arial Narrow" w:hAnsi="Arial Narrow"/>
                <w:b/>
                <w:color w:val="000000"/>
                <w:sz w:val="20"/>
                <w:szCs w:val="18"/>
              </w:rPr>
              <w:t xml:space="preserve"> </w:t>
            </w:r>
            <w:r w:rsidRPr="00742273">
              <w:rPr>
                <w:rFonts w:ascii="Arial Narrow" w:hAnsi="Arial Narrow"/>
                <w:b/>
                <w:color w:val="000000"/>
                <w:sz w:val="20"/>
                <w:szCs w:val="18"/>
              </w:rPr>
              <w:t>(95% CI)</w:t>
            </w:r>
          </w:p>
        </w:tc>
        <w:tc>
          <w:tcPr>
            <w:tcW w:w="1275" w:type="pct"/>
            <w:gridSpan w:val="4"/>
            <w:vAlign w:val="center"/>
          </w:tcPr>
          <w:p w:rsidR="00B62715" w:rsidRPr="00742273" w:rsidRDefault="00B62715" w:rsidP="00607DE3">
            <w:pPr>
              <w:jc w:val="center"/>
              <w:rPr>
                <w:rFonts w:ascii="Arial Narrow" w:hAnsi="Arial Narrow"/>
                <w:b/>
                <w:color w:val="000000"/>
                <w:sz w:val="20"/>
                <w:szCs w:val="18"/>
              </w:rPr>
            </w:pPr>
            <w:r w:rsidRPr="00742273">
              <w:rPr>
                <w:rFonts w:ascii="Arial Narrow" w:hAnsi="Arial Narrow"/>
                <w:b/>
                <w:color w:val="000000"/>
                <w:sz w:val="20"/>
                <w:szCs w:val="18"/>
              </w:rPr>
              <w:t xml:space="preserve">Event rate/100 patients </w:t>
            </w:r>
          </w:p>
        </w:tc>
        <w:tc>
          <w:tcPr>
            <w:tcW w:w="843" w:type="pct"/>
            <w:vMerge w:val="restart"/>
            <w:vAlign w:val="center"/>
          </w:tcPr>
          <w:p w:rsidR="00B62715" w:rsidRPr="00742273" w:rsidRDefault="00B62715" w:rsidP="00B238D6">
            <w:pPr>
              <w:jc w:val="center"/>
              <w:rPr>
                <w:rFonts w:ascii="Arial Narrow" w:hAnsi="Arial Narrow"/>
                <w:b/>
                <w:color w:val="000000"/>
                <w:sz w:val="20"/>
                <w:szCs w:val="18"/>
              </w:rPr>
            </w:pPr>
            <w:r w:rsidRPr="00742273">
              <w:rPr>
                <w:rFonts w:ascii="Arial Narrow" w:hAnsi="Arial Narrow"/>
                <w:b/>
                <w:color w:val="000000"/>
                <w:sz w:val="20"/>
                <w:szCs w:val="18"/>
              </w:rPr>
              <w:t>RD</w:t>
            </w:r>
            <w:r w:rsidR="00B238D6" w:rsidRPr="00742273">
              <w:rPr>
                <w:rFonts w:ascii="Arial Narrow" w:hAnsi="Arial Narrow"/>
                <w:b/>
                <w:color w:val="000000"/>
                <w:sz w:val="20"/>
                <w:szCs w:val="18"/>
              </w:rPr>
              <w:t xml:space="preserve"> </w:t>
            </w:r>
            <w:r w:rsidRPr="00742273">
              <w:rPr>
                <w:rFonts w:ascii="Arial Narrow" w:hAnsi="Arial Narrow"/>
                <w:b/>
                <w:color w:val="000000"/>
                <w:sz w:val="20"/>
                <w:szCs w:val="18"/>
              </w:rPr>
              <w:t>(95% CI)</w:t>
            </w:r>
          </w:p>
        </w:tc>
      </w:tr>
      <w:tr w:rsidR="00615D2E" w:rsidRPr="00742273">
        <w:trPr>
          <w:trHeight w:val="70"/>
        </w:trPr>
        <w:tc>
          <w:tcPr>
            <w:tcW w:w="695" w:type="pct"/>
            <w:vMerge/>
            <w:shd w:val="clear" w:color="auto" w:fill="auto"/>
            <w:vAlign w:val="center"/>
          </w:tcPr>
          <w:p w:rsidR="00B62715" w:rsidRPr="00742273" w:rsidRDefault="00B62715" w:rsidP="00EC00C9">
            <w:pPr>
              <w:rPr>
                <w:rFonts w:ascii="Arial Narrow" w:hAnsi="Arial Narrow"/>
                <w:b/>
                <w:color w:val="000000"/>
                <w:sz w:val="20"/>
                <w:szCs w:val="18"/>
              </w:rPr>
            </w:pPr>
          </w:p>
        </w:tc>
        <w:tc>
          <w:tcPr>
            <w:tcW w:w="700" w:type="pct"/>
            <w:gridSpan w:val="2"/>
            <w:vMerge/>
            <w:vAlign w:val="center"/>
          </w:tcPr>
          <w:p w:rsidR="00B62715" w:rsidRPr="00742273" w:rsidRDefault="00B62715" w:rsidP="00EC00C9">
            <w:pPr>
              <w:jc w:val="center"/>
              <w:rPr>
                <w:rFonts w:ascii="Arial Narrow" w:hAnsi="Arial Narrow"/>
                <w:b/>
                <w:color w:val="000000"/>
                <w:sz w:val="20"/>
                <w:szCs w:val="18"/>
              </w:rPr>
            </w:pPr>
          </w:p>
        </w:tc>
        <w:tc>
          <w:tcPr>
            <w:tcW w:w="678" w:type="pct"/>
            <w:gridSpan w:val="2"/>
            <w:vMerge/>
            <w:vAlign w:val="center"/>
          </w:tcPr>
          <w:p w:rsidR="00B62715" w:rsidRPr="00742273" w:rsidRDefault="00B62715" w:rsidP="00EC00C9">
            <w:pPr>
              <w:jc w:val="center"/>
              <w:rPr>
                <w:rFonts w:ascii="Arial Narrow" w:hAnsi="Arial Narrow"/>
                <w:b/>
                <w:color w:val="000000"/>
                <w:sz w:val="20"/>
                <w:szCs w:val="18"/>
              </w:rPr>
            </w:pPr>
          </w:p>
        </w:tc>
        <w:tc>
          <w:tcPr>
            <w:tcW w:w="810" w:type="pct"/>
            <w:gridSpan w:val="3"/>
            <w:vMerge/>
            <w:vAlign w:val="center"/>
          </w:tcPr>
          <w:p w:rsidR="00B62715" w:rsidRPr="00742273" w:rsidRDefault="00B62715" w:rsidP="00EC00C9">
            <w:pPr>
              <w:jc w:val="center"/>
              <w:rPr>
                <w:rFonts w:ascii="Arial Narrow" w:hAnsi="Arial Narrow"/>
                <w:b/>
                <w:color w:val="000000"/>
                <w:sz w:val="20"/>
                <w:szCs w:val="18"/>
              </w:rPr>
            </w:pPr>
          </w:p>
        </w:tc>
        <w:tc>
          <w:tcPr>
            <w:tcW w:w="595" w:type="pct"/>
            <w:gridSpan w:val="2"/>
            <w:vAlign w:val="center"/>
          </w:tcPr>
          <w:p w:rsidR="00B62715" w:rsidRPr="00742273" w:rsidRDefault="00B238D6" w:rsidP="00EC00C9">
            <w:pPr>
              <w:jc w:val="center"/>
              <w:rPr>
                <w:rFonts w:ascii="Arial Narrow" w:hAnsi="Arial Narrow"/>
                <w:b/>
                <w:color w:val="000000"/>
                <w:sz w:val="20"/>
                <w:szCs w:val="18"/>
              </w:rPr>
            </w:pPr>
            <w:r w:rsidRPr="00742273">
              <w:rPr>
                <w:rFonts w:ascii="Arial Narrow" w:hAnsi="Arial Narrow"/>
                <w:b/>
                <w:color w:val="000000"/>
                <w:sz w:val="20"/>
                <w:szCs w:val="18"/>
              </w:rPr>
              <w:t>Tofacitinib</w:t>
            </w:r>
          </w:p>
        </w:tc>
        <w:tc>
          <w:tcPr>
            <w:tcW w:w="680" w:type="pct"/>
            <w:gridSpan w:val="2"/>
            <w:vAlign w:val="center"/>
          </w:tcPr>
          <w:p w:rsidR="00B62715" w:rsidRPr="00742273" w:rsidRDefault="00B238D6" w:rsidP="00EC00C9">
            <w:pPr>
              <w:jc w:val="center"/>
              <w:rPr>
                <w:rFonts w:ascii="Arial Narrow" w:hAnsi="Arial Narrow"/>
                <w:b/>
                <w:color w:val="000000"/>
                <w:sz w:val="20"/>
                <w:szCs w:val="18"/>
              </w:rPr>
            </w:pPr>
            <w:r w:rsidRPr="00742273">
              <w:rPr>
                <w:rFonts w:ascii="Arial Narrow" w:hAnsi="Arial Narrow"/>
                <w:b/>
                <w:color w:val="000000"/>
                <w:sz w:val="20"/>
                <w:szCs w:val="18"/>
              </w:rPr>
              <w:t>Adalimumab</w:t>
            </w:r>
          </w:p>
        </w:tc>
        <w:tc>
          <w:tcPr>
            <w:tcW w:w="843" w:type="pct"/>
            <w:vMerge/>
            <w:vAlign w:val="center"/>
          </w:tcPr>
          <w:p w:rsidR="00B62715" w:rsidRPr="00742273" w:rsidRDefault="00B62715" w:rsidP="00EC00C9">
            <w:pPr>
              <w:jc w:val="center"/>
              <w:rPr>
                <w:rFonts w:ascii="Arial Narrow" w:hAnsi="Arial Narrow"/>
                <w:b/>
                <w:color w:val="000000"/>
                <w:sz w:val="20"/>
                <w:szCs w:val="18"/>
              </w:rPr>
            </w:pPr>
          </w:p>
        </w:tc>
      </w:tr>
      <w:tr w:rsidR="00B62715" w:rsidRPr="00742273">
        <w:tc>
          <w:tcPr>
            <w:tcW w:w="5000" w:type="pct"/>
            <w:gridSpan w:val="13"/>
            <w:shd w:val="clear" w:color="auto" w:fill="auto"/>
            <w:vAlign w:val="center"/>
          </w:tcPr>
          <w:p w:rsidR="00B62715" w:rsidRPr="00742273" w:rsidRDefault="00B62715" w:rsidP="00EC00C9">
            <w:pPr>
              <w:rPr>
                <w:rFonts w:ascii="Arial Narrow" w:hAnsi="Arial Narrow"/>
                <w:b/>
                <w:color w:val="000000"/>
                <w:sz w:val="20"/>
                <w:szCs w:val="18"/>
              </w:rPr>
            </w:pPr>
            <w:r w:rsidRPr="00742273">
              <w:rPr>
                <w:rFonts w:ascii="Arial Narrow" w:hAnsi="Arial Narrow"/>
                <w:b/>
                <w:color w:val="000000"/>
                <w:sz w:val="20"/>
                <w:szCs w:val="18"/>
              </w:rPr>
              <w:t>Benefits</w:t>
            </w:r>
          </w:p>
        </w:tc>
      </w:tr>
      <w:tr w:rsidR="00B62715" w:rsidRPr="00742273">
        <w:tc>
          <w:tcPr>
            <w:tcW w:w="5000" w:type="pct"/>
            <w:gridSpan w:val="13"/>
            <w:shd w:val="clear" w:color="auto" w:fill="auto"/>
            <w:vAlign w:val="center"/>
          </w:tcPr>
          <w:p w:rsidR="00B62715" w:rsidRPr="00742273" w:rsidRDefault="00B238D6" w:rsidP="00B238D6">
            <w:pPr>
              <w:rPr>
                <w:rFonts w:ascii="Arial Narrow" w:hAnsi="Arial Narrow"/>
                <w:b/>
                <w:color w:val="000000"/>
                <w:sz w:val="20"/>
                <w:szCs w:val="18"/>
              </w:rPr>
            </w:pPr>
            <w:r w:rsidRPr="00742273">
              <w:rPr>
                <w:rFonts w:ascii="Arial Narrow" w:hAnsi="Arial Narrow"/>
                <w:b/>
                <w:color w:val="000000"/>
                <w:sz w:val="20"/>
                <w:szCs w:val="18"/>
              </w:rPr>
              <w:t>ACR20 at 3 months</w:t>
            </w:r>
          </w:p>
        </w:tc>
      </w:tr>
      <w:tr w:rsidR="00615D2E" w:rsidRPr="00742273">
        <w:tc>
          <w:tcPr>
            <w:tcW w:w="695" w:type="pct"/>
            <w:shd w:val="clear" w:color="auto" w:fill="auto"/>
            <w:vAlign w:val="center"/>
          </w:tcPr>
          <w:p w:rsidR="00615D2E" w:rsidRPr="00742273" w:rsidRDefault="00615D2E" w:rsidP="00B238D6">
            <w:pPr>
              <w:rPr>
                <w:rFonts w:ascii="Arial Narrow" w:hAnsi="Arial Narrow"/>
                <w:color w:val="000000"/>
                <w:sz w:val="20"/>
                <w:szCs w:val="18"/>
              </w:rPr>
            </w:pPr>
            <w:r w:rsidRPr="00742273">
              <w:rPr>
                <w:rFonts w:ascii="Arial Narrow" w:hAnsi="Arial Narrow"/>
                <w:color w:val="000000"/>
                <w:sz w:val="20"/>
                <w:szCs w:val="18"/>
              </w:rPr>
              <w:t>Meta-analysis</w:t>
            </w:r>
          </w:p>
        </w:tc>
        <w:tc>
          <w:tcPr>
            <w:tcW w:w="70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149/245</w:t>
            </w:r>
          </w:p>
        </w:tc>
        <w:tc>
          <w:tcPr>
            <w:tcW w:w="678"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133/252</w:t>
            </w:r>
          </w:p>
        </w:tc>
        <w:tc>
          <w:tcPr>
            <w:tcW w:w="810" w:type="pct"/>
            <w:gridSpan w:val="3"/>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1.23 (0.88, 1.73)</w:t>
            </w:r>
          </w:p>
        </w:tc>
        <w:tc>
          <w:tcPr>
            <w:tcW w:w="595"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60.8</w:t>
            </w:r>
          </w:p>
        </w:tc>
        <w:tc>
          <w:tcPr>
            <w:tcW w:w="68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52.8</w:t>
            </w:r>
          </w:p>
        </w:tc>
        <w:tc>
          <w:tcPr>
            <w:tcW w:w="843" w:type="pct"/>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0.11 (-0.05, 0.27)</w:t>
            </w:r>
          </w:p>
        </w:tc>
      </w:tr>
      <w:tr w:rsidR="00615D2E" w:rsidRPr="00742273">
        <w:tc>
          <w:tcPr>
            <w:tcW w:w="5000" w:type="pct"/>
            <w:gridSpan w:val="13"/>
            <w:shd w:val="clear" w:color="auto" w:fill="auto"/>
            <w:vAlign w:val="center"/>
          </w:tcPr>
          <w:p w:rsidR="00615D2E" w:rsidRPr="00742273" w:rsidRDefault="00615D2E" w:rsidP="00B238D6">
            <w:pPr>
              <w:jc w:val="left"/>
              <w:rPr>
                <w:rFonts w:ascii="Arial Narrow" w:hAnsi="Arial Narrow"/>
                <w:b/>
                <w:color w:val="000000"/>
                <w:sz w:val="20"/>
                <w:szCs w:val="18"/>
              </w:rPr>
            </w:pPr>
            <w:r w:rsidRPr="00742273">
              <w:rPr>
                <w:rFonts w:ascii="Arial Narrow" w:hAnsi="Arial Narrow"/>
                <w:b/>
                <w:color w:val="000000"/>
                <w:sz w:val="20"/>
                <w:szCs w:val="18"/>
              </w:rPr>
              <w:t>ACR50 at 3 months</w:t>
            </w:r>
          </w:p>
        </w:tc>
      </w:tr>
      <w:tr w:rsidR="00615D2E" w:rsidRPr="00742273">
        <w:tc>
          <w:tcPr>
            <w:tcW w:w="695" w:type="pct"/>
            <w:shd w:val="clear" w:color="auto" w:fill="auto"/>
            <w:vAlign w:val="center"/>
          </w:tcPr>
          <w:p w:rsidR="00615D2E" w:rsidRPr="00742273" w:rsidRDefault="00615D2E" w:rsidP="00EC00C9">
            <w:pPr>
              <w:rPr>
                <w:rFonts w:ascii="Arial Narrow" w:hAnsi="Arial Narrow"/>
                <w:color w:val="000000"/>
                <w:sz w:val="20"/>
                <w:szCs w:val="18"/>
              </w:rPr>
            </w:pPr>
            <w:r w:rsidRPr="00742273">
              <w:rPr>
                <w:rFonts w:ascii="Arial Narrow" w:hAnsi="Arial Narrow"/>
                <w:color w:val="000000"/>
                <w:sz w:val="20"/>
                <w:szCs w:val="18"/>
              </w:rPr>
              <w:t>Meta-analysis</w:t>
            </w:r>
          </w:p>
        </w:tc>
        <w:tc>
          <w:tcPr>
            <w:tcW w:w="70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86/245</w:t>
            </w:r>
          </w:p>
        </w:tc>
        <w:tc>
          <w:tcPr>
            <w:tcW w:w="678"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58/252</w:t>
            </w:r>
          </w:p>
        </w:tc>
        <w:tc>
          <w:tcPr>
            <w:tcW w:w="810" w:type="pct"/>
            <w:gridSpan w:val="3"/>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1.52 (1.15, 2.02)</w:t>
            </w:r>
          </w:p>
        </w:tc>
        <w:tc>
          <w:tcPr>
            <w:tcW w:w="595"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35.1</w:t>
            </w:r>
          </w:p>
        </w:tc>
        <w:tc>
          <w:tcPr>
            <w:tcW w:w="68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23.0</w:t>
            </w:r>
          </w:p>
        </w:tc>
        <w:tc>
          <w:tcPr>
            <w:tcW w:w="843" w:type="pct"/>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0.12 (0.04, 0.20)</w:t>
            </w:r>
          </w:p>
        </w:tc>
      </w:tr>
      <w:tr w:rsidR="00615D2E" w:rsidRPr="00742273">
        <w:tc>
          <w:tcPr>
            <w:tcW w:w="5000" w:type="pct"/>
            <w:gridSpan w:val="13"/>
            <w:shd w:val="clear" w:color="auto" w:fill="auto"/>
            <w:vAlign w:val="center"/>
          </w:tcPr>
          <w:p w:rsidR="00615D2E" w:rsidRPr="00742273" w:rsidRDefault="00615D2E" w:rsidP="00B238D6">
            <w:pPr>
              <w:jc w:val="left"/>
              <w:rPr>
                <w:rFonts w:ascii="Arial Narrow" w:hAnsi="Arial Narrow"/>
                <w:b/>
                <w:color w:val="000000"/>
                <w:sz w:val="20"/>
                <w:szCs w:val="18"/>
              </w:rPr>
            </w:pPr>
            <w:r w:rsidRPr="00742273">
              <w:rPr>
                <w:rFonts w:ascii="Arial Narrow" w:hAnsi="Arial Narrow"/>
                <w:b/>
                <w:color w:val="000000"/>
                <w:sz w:val="20"/>
                <w:szCs w:val="18"/>
              </w:rPr>
              <w:t>ACR70 at 3 months</w:t>
            </w:r>
          </w:p>
        </w:tc>
      </w:tr>
      <w:tr w:rsidR="00615D2E" w:rsidRPr="00742273">
        <w:tc>
          <w:tcPr>
            <w:tcW w:w="695" w:type="pct"/>
            <w:shd w:val="clear" w:color="auto" w:fill="auto"/>
            <w:vAlign w:val="center"/>
          </w:tcPr>
          <w:p w:rsidR="00615D2E" w:rsidRPr="00742273" w:rsidRDefault="00615D2E" w:rsidP="00EC00C9">
            <w:pPr>
              <w:rPr>
                <w:rFonts w:ascii="Arial Narrow" w:hAnsi="Arial Narrow"/>
                <w:color w:val="000000"/>
                <w:sz w:val="20"/>
                <w:szCs w:val="18"/>
              </w:rPr>
            </w:pPr>
            <w:r w:rsidRPr="00742273">
              <w:rPr>
                <w:rFonts w:ascii="Arial Narrow" w:hAnsi="Arial Narrow"/>
                <w:color w:val="000000"/>
                <w:sz w:val="20"/>
                <w:szCs w:val="18"/>
              </w:rPr>
              <w:t>Meta-analysis</w:t>
            </w:r>
          </w:p>
        </w:tc>
        <w:tc>
          <w:tcPr>
            <w:tcW w:w="70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31/245</w:t>
            </w:r>
          </w:p>
        </w:tc>
        <w:tc>
          <w:tcPr>
            <w:tcW w:w="678"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19/252</w:t>
            </w:r>
          </w:p>
        </w:tc>
        <w:tc>
          <w:tcPr>
            <w:tcW w:w="810" w:type="pct"/>
            <w:gridSpan w:val="3"/>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1.79 (0.80, 4.01)</w:t>
            </w:r>
          </w:p>
        </w:tc>
        <w:tc>
          <w:tcPr>
            <w:tcW w:w="595"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12.7</w:t>
            </w:r>
          </w:p>
        </w:tc>
        <w:tc>
          <w:tcPr>
            <w:tcW w:w="680" w:type="pct"/>
            <w:gridSpan w:val="2"/>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color w:val="000000"/>
                <w:sz w:val="20"/>
                <w:szCs w:val="18"/>
              </w:rPr>
              <w:t>7.5</w:t>
            </w:r>
          </w:p>
        </w:tc>
        <w:tc>
          <w:tcPr>
            <w:tcW w:w="843" w:type="pct"/>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sz w:val="20"/>
              </w:rPr>
              <w:t>0.05 (-0.00, 0.11)</w:t>
            </w:r>
          </w:p>
        </w:tc>
      </w:tr>
      <w:tr w:rsidR="00615D2E" w:rsidRPr="00742273">
        <w:tc>
          <w:tcPr>
            <w:tcW w:w="5000" w:type="pct"/>
            <w:gridSpan w:val="13"/>
            <w:tcBorders>
              <w:top w:val="double" w:sz="4" w:space="0" w:color="auto"/>
            </w:tcBorders>
            <w:shd w:val="clear" w:color="auto" w:fill="auto"/>
            <w:vAlign w:val="center"/>
          </w:tcPr>
          <w:p w:rsidR="00615D2E" w:rsidRPr="00742273" w:rsidRDefault="00615D2E" w:rsidP="00B238D6">
            <w:pPr>
              <w:rPr>
                <w:rFonts w:ascii="Arial Narrow" w:hAnsi="Arial Narrow"/>
                <w:b/>
                <w:color w:val="000000"/>
                <w:sz w:val="20"/>
                <w:szCs w:val="18"/>
              </w:rPr>
            </w:pPr>
            <w:r w:rsidRPr="00742273">
              <w:rPr>
                <w:rFonts w:ascii="Arial Narrow" w:hAnsi="Arial Narrow"/>
                <w:b/>
                <w:color w:val="000000"/>
                <w:sz w:val="20"/>
                <w:szCs w:val="18"/>
              </w:rPr>
              <w:t>Harms: change from baseline in lipid parameters at month 6</w:t>
            </w:r>
          </w:p>
        </w:tc>
      </w:tr>
      <w:tr w:rsidR="00615D2E" w:rsidRPr="00742273">
        <w:trPr>
          <w:trHeight w:val="225"/>
        </w:trPr>
        <w:tc>
          <w:tcPr>
            <w:tcW w:w="695" w:type="pct"/>
            <w:vMerge w:val="restart"/>
            <w:shd w:val="clear" w:color="auto" w:fill="auto"/>
            <w:vAlign w:val="center"/>
          </w:tcPr>
          <w:p w:rsidR="00615D2E" w:rsidRPr="00742273" w:rsidRDefault="00615D2E" w:rsidP="00EC00C9">
            <w:pPr>
              <w:rPr>
                <w:rFonts w:ascii="Arial Narrow" w:hAnsi="Arial Narrow"/>
                <w:color w:val="000000"/>
                <w:sz w:val="20"/>
                <w:szCs w:val="18"/>
              </w:rPr>
            </w:pPr>
          </w:p>
        </w:tc>
        <w:tc>
          <w:tcPr>
            <w:tcW w:w="1537" w:type="pct"/>
            <w:gridSpan w:val="5"/>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b/>
                <w:color w:val="000000"/>
                <w:sz w:val="20"/>
                <w:szCs w:val="18"/>
              </w:rPr>
              <w:t>Tofacitinib</w:t>
            </w:r>
          </w:p>
        </w:tc>
        <w:tc>
          <w:tcPr>
            <w:tcW w:w="1688" w:type="pct"/>
            <w:gridSpan w:val="5"/>
            <w:vAlign w:val="center"/>
          </w:tcPr>
          <w:p w:rsidR="00615D2E" w:rsidRPr="00742273" w:rsidRDefault="00615D2E" w:rsidP="00EC00C9">
            <w:pPr>
              <w:jc w:val="center"/>
              <w:rPr>
                <w:rFonts w:ascii="Arial Narrow" w:hAnsi="Arial Narrow"/>
                <w:color w:val="000000"/>
                <w:sz w:val="20"/>
                <w:szCs w:val="18"/>
              </w:rPr>
            </w:pPr>
            <w:r w:rsidRPr="00742273">
              <w:rPr>
                <w:rFonts w:ascii="Arial Narrow" w:hAnsi="Arial Narrow"/>
                <w:b/>
                <w:color w:val="000000"/>
                <w:sz w:val="20"/>
                <w:szCs w:val="18"/>
              </w:rPr>
              <w:t>Adalimumab</w:t>
            </w:r>
          </w:p>
        </w:tc>
        <w:tc>
          <w:tcPr>
            <w:tcW w:w="1079" w:type="pct"/>
            <w:gridSpan w:val="2"/>
            <w:vMerge w:val="restart"/>
            <w:vAlign w:val="center"/>
          </w:tcPr>
          <w:p w:rsidR="00615D2E" w:rsidRPr="00742273" w:rsidRDefault="00615D2E" w:rsidP="00EC00C9">
            <w:pPr>
              <w:jc w:val="center"/>
              <w:rPr>
                <w:rFonts w:ascii="Arial Narrow" w:hAnsi="Arial Narrow"/>
                <w:b/>
                <w:sz w:val="20"/>
                <w:szCs w:val="18"/>
              </w:rPr>
            </w:pPr>
            <w:r w:rsidRPr="00742273">
              <w:rPr>
                <w:rFonts w:ascii="Arial Narrow" w:hAnsi="Arial Narrow"/>
                <w:b/>
                <w:sz w:val="20"/>
                <w:szCs w:val="18"/>
              </w:rPr>
              <w:t xml:space="preserve">Mean difference: </w:t>
            </w:r>
          </w:p>
          <w:p w:rsidR="00615D2E" w:rsidRPr="00742273" w:rsidRDefault="004833A3" w:rsidP="00B238D6">
            <w:pPr>
              <w:jc w:val="center"/>
              <w:rPr>
                <w:rFonts w:ascii="Arial Narrow" w:hAnsi="Arial Narrow"/>
                <w:b/>
                <w:sz w:val="20"/>
                <w:szCs w:val="18"/>
              </w:rPr>
            </w:pPr>
            <w:r w:rsidRPr="00742273">
              <w:rPr>
                <w:rFonts w:ascii="Arial Narrow" w:hAnsi="Arial Narrow"/>
                <w:b/>
                <w:sz w:val="20"/>
                <w:szCs w:val="18"/>
              </w:rPr>
              <w:t>Tofacitinib vs Adalimu</w:t>
            </w:r>
            <w:r w:rsidR="00615D2E" w:rsidRPr="00742273">
              <w:rPr>
                <w:rFonts w:ascii="Arial Narrow" w:hAnsi="Arial Narrow"/>
                <w:b/>
                <w:sz w:val="20"/>
                <w:szCs w:val="18"/>
              </w:rPr>
              <w:t>m</w:t>
            </w:r>
            <w:r w:rsidRPr="00742273">
              <w:rPr>
                <w:rFonts w:ascii="Arial Narrow" w:hAnsi="Arial Narrow"/>
                <w:b/>
                <w:sz w:val="20"/>
                <w:szCs w:val="18"/>
              </w:rPr>
              <w:t>a</w:t>
            </w:r>
            <w:r w:rsidR="00615D2E" w:rsidRPr="00742273">
              <w:rPr>
                <w:rFonts w:ascii="Arial Narrow" w:hAnsi="Arial Narrow"/>
                <w:b/>
                <w:sz w:val="20"/>
                <w:szCs w:val="18"/>
              </w:rPr>
              <w:t>b (95% CI)</w:t>
            </w:r>
          </w:p>
        </w:tc>
      </w:tr>
      <w:tr w:rsidR="00615D2E" w:rsidRPr="00742273">
        <w:trPr>
          <w:trHeight w:val="225"/>
        </w:trPr>
        <w:tc>
          <w:tcPr>
            <w:tcW w:w="695" w:type="pct"/>
            <w:vMerge/>
            <w:shd w:val="clear" w:color="auto" w:fill="auto"/>
            <w:vAlign w:val="center"/>
          </w:tcPr>
          <w:p w:rsidR="00615D2E" w:rsidRPr="00742273" w:rsidRDefault="00615D2E" w:rsidP="00EC00C9">
            <w:pPr>
              <w:rPr>
                <w:rFonts w:ascii="Arial Narrow" w:hAnsi="Arial Narrow"/>
                <w:color w:val="000000"/>
                <w:sz w:val="20"/>
                <w:szCs w:val="18"/>
              </w:rPr>
            </w:pPr>
          </w:p>
        </w:tc>
        <w:tc>
          <w:tcPr>
            <w:tcW w:w="432" w:type="pct"/>
            <w:vAlign w:val="center"/>
          </w:tcPr>
          <w:p w:rsidR="00615D2E" w:rsidRPr="00742273" w:rsidRDefault="00615D2E" w:rsidP="00EC00C9">
            <w:pPr>
              <w:jc w:val="center"/>
              <w:rPr>
                <w:rFonts w:ascii="Arial Narrow" w:hAnsi="Arial Narrow"/>
                <w:b/>
                <w:color w:val="000000"/>
                <w:sz w:val="20"/>
                <w:szCs w:val="18"/>
              </w:rPr>
            </w:pPr>
            <w:r w:rsidRPr="00742273">
              <w:rPr>
                <w:rFonts w:ascii="Arial Narrow" w:hAnsi="Arial Narrow"/>
                <w:b/>
                <w:color w:val="000000"/>
                <w:sz w:val="20"/>
                <w:szCs w:val="18"/>
              </w:rPr>
              <w:t>n</w:t>
            </w:r>
          </w:p>
        </w:tc>
        <w:tc>
          <w:tcPr>
            <w:tcW w:w="597" w:type="pct"/>
            <w:gridSpan w:val="2"/>
            <w:vAlign w:val="center"/>
          </w:tcPr>
          <w:p w:rsidR="00615D2E" w:rsidRPr="00742273" w:rsidRDefault="00615D2E" w:rsidP="00B238D6">
            <w:pPr>
              <w:jc w:val="center"/>
              <w:rPr>
                <w:rFonts w:ascii="Arial Narrow" w:hAnsi="Arial Narrow"/>
                <w:b/>
                <w:sz w:val="20"/>
                <w:szCs w:val="18"/>
              </w:rPr>
            </w:pPr>
            <w:r w:rsidRPr="00742273">
              <w:rPr>
                <w:rFonts w:ascii="Arial Narrow" w:hAnsi="Arial Narrow"/>
                <w:b/>
                <w:sz w:val="20"/>
                <w:szCs w:val="18"/>
              </w:rPr>
              <w:t>LS mean ∆ baseline</w:t>
            </w:r>
          </w:p>
        </w:tc>
        <w:tc>
          <w:tcPr>
            <w:tcW w:w="508" w:type="pct"/>
            <w:gridSpan w:val="2"/>
            <w:vAlign w:val="center"/>
          </w:tcPr>
          <w:p w:rsidR="00615D2E" w:rsidRPr="00742273" w:rsidRDefault="00615D2E" w:rsidP="00EC00C9">
            <w:pPr>
              <w:jc w:val="center"/>
              <w:rPr>
                <w:rFonts w:ascii="Arial Narrow" w:hAnsi="Arial Narrow"/>
                <w:b/>
                <w:sz w:val="20"/>
                <w:szCs w:val="18"/>
              </w:rPr>
            </w:pPr>
            <w:r w:rsidRPr="00742273">
              <w:rPr>
                <w:rFonts w:ascii="Arial Narrow" w:hAnsi="Arial Narrow"/>
                <w:b/>
                <w:sz w:val="20"/>
                <w:szCs w:val="18"/>
              </w:rPr>
              <w:t>SE</w:t>
            </w:r>
          </w:p>
        </w:tc>
        <w:tc>
          <w:tcPr>
            <w:tcW w:w="509" w:type="pct"/>
            <w:vAlign w:val="center"/>
          </w:tcPr>
          <w:p w:rsidR="00615D2E" w:rsidRPr="00742273" w:rsidRDefault="00615D2E" w:rsidP="00EC00C9">
            <w:pPr>
              <w:jc w:val="center"/>
              <w:rPr>
                <w:rFonts w:ascii="Arial Narrow" w:hAnsi="Arial Narrow"/>
                <w:b/>
                <w:color w:val="000000"/>
                <w:sz w:val="20"/>
                <w:szCs w:val="18"/>
              </w:rPr>
            </w:pPr>
            <w:r w:rsidRPr="00742273">
              <w:rPr>
                <w:rFonts w:ascii="Arial Narrow" w:hAnsi="Arial Narrow"/>
                <w:b/>
                <w:color w:val="000000"/>
                <w:sz w:val="20"/>
                <w:szCs w:val="18"/>
              </w:rPr>
              <w:t>n</w:t>
            </w:r>
          </w:p>
        </w:tc>
        <w:tc>
          <w:tcPr>
            <w:tcW w:w="583" w:type="pct"/>
            <w:gridSpan w:val="2"/>
            <w:vAlign w:val="center"/>
          </w:tcPr>
          <w:p w:rsidR="00615D2E" w:rsidRPr="00742273" w:rsidRDefault="00615D2E" w:rsidP="00B238D6">
            <w:pPr>
              <w:jc w:val="center"/>
              <w:rPr>
                <w:rFonts w:ascii="Arial Narrow" w:hAnsi="Arial Narrow"/>
                <w:b/>
                <w:sz w:val="20"/>
                <w:szCs w:val="18"/>
              </w:rPr>
            </w:pPr>
            <w:r w:rsidRPr="00742273">
              <w:rPr>
                <w:rFonts w:ascii="Arial Narrow" w:hAnsi="Arial Narrow"/>
                <w:b/>
                <w:sz w:val="20"/>
                <w:szCs w:val="18"/>
              </w:rPr>
              <w:t>LS mean ∆ baseline</w:t>
            </w:r>
          </w:p>
        </w:tc>
        <w:tc>
          <w:tcPr>
            <w:tcW w:w="597" w:type="pct"/>
            <w:gridSpan w:val="2"/>
            <w:vAlign w:val="center"/>
          </w:tcPr>
          <w:p w:rsidR="00615D2E" w:rsidRPr="00742273" w:rsidRDefault="00615D2E" w:rsidP="00EC00C9">
            <w:pPr>
              <w:jc w:val="center"/>
              <w:rPr>
                <w:rFonts w:ascii="Arial Narrow" w:hAnsi="Arial Narrow"/>
                <w:b/>
                <w:sz w:val="20"/>
                <w:szCs w:val="18"/>
              </w:rPr>
            </w:pPr>
            <w:r w:rsidRPr="00742273">
              <w:rPr>
                <w:rFonts w:ascii="Arial Narrow" w:hAnsi="Arial Narrow"/>
                <w:b/>
                <w:sz w:val="20"/>
                <w:szCs w:val="18"/>
              </w:rPr>
              <w:t>SE</w:t>
            </w:r>
          </w:p>
        </w:tc>
        <w:tc>
          <w:tcPr>
            <w:tcW w:w="1079" w:type="pct"/>
            <w:gridSpan w:val="2"/>
            <w:vMerge/>
            <w:vAlign w:val="center"/>
          </w:tcPr>
          <w:p w:rsidR="00615D2E" w:rsidRPr="00742273" w:rsidRDefault="00615D2E" w:rsidP="00EC00C9">
            <w:pPr>
              <w:jc w:val="center"/>
              <w:rPr>
                <w:rFonts w:ascii="Arial Narrow" w:hAnsi="Arial Narrow"/>
                <w:b/>
                <w:sz w:val="20"/>
                <w:szCs w:val="18"/>
              </w:rPr>
            </w:pPr>
          </w:p>
        </w:tc>
      </w:tr>
      <w:tr w:rsidR="00615D2E" w:rsidRPr="00742273">
        <w:tc>
          <w:tcPr>
            <w:tcW w:w="5000" w:type="pct"/>
            <w:gridSpan w:val="13"/>
            <w:shd w:val="clear" w:color="auto" w:fill="auto"/>
            <w:vAlign w:val="center"/>
          </w:tcPr>
          <w:p w:rsidR="00615D2E" w:rsidRPr="00742273" w:rsidRDefault="00615D2E" w:rsidP="00B238D6">
            <w:pPr>
              <w:jc w:val="left"/>
              <w:rPr>
                <w:rFonts w:ascii="Arial Narrow" w:hAnsi="Arial Narrow"/>
                <w:b/>
                <w:sz w:val="20"/>
                <w:szCs w:val="18"/>
              </w:rPr>
            </w:pPr>
            <w:r w:rsidRPr="00742273">
              <w:rPr>
                <w:rFonts w:ascii="Arial Narrow" w:hAnsi="Arial Narrow"/>
                <w:b/>
                <w:sz w:val="20"/>
                <w:szCs w:val="18"/>
              </w:rPr>
              <w:t>HDL-C</w:t>
            </w:r>
            <w:r w:rsidR="000C57FA" w:rsidRPr="00742273">
              <w:rPr>
                <w:rFonts w:ascii="Arial Narrow" w:hAnsi="Arial Narrow"/>
                <w:b/>
                <w:sz w:val="20"/>
                <w:szCs w:val="18"/>
              </w:rPr>
              <w:t xml:space="preserve"> (mg/dL)</w:t>
            </w:r>
          </w:p>
        </w:tc>
      </w:tr>
      <w:tr w:rsidR="00615D2E" w:rsidRPr="00742273">
        <w:tc>
          <w:tcPr>
            <w:tcW w:w="695" w:type="pct"/>
            <w:shd w:val="clear" w:color="auto" w:fill="auto"/>
            <w:vAlign w:val="center"/>
          </w:tcPr>
          <w:p w:rsidR="00615D2E" w:rsidRPr="00742273" w:rsidRDefault="00615D2E" w:rsidP="00EC00C9">
            <w:pPr>
              <w:rPr>
                <w:rFonts w:ascii="Arial Narrow" w:hAnsi="Arial Narrow"/>
                <w:color w:val="000000"/>
                <w:sz w:val="20"/>
                <w:szCs w:val="18"/>
              </w:rPr>
            </w:pPr>
            <w:r w:rsidRPr="00742273">
              <w:rPr>
                <w:rFonts w:ascii="Arial Narrow" w:hAnsi="Arial Narrow"/>
                <w:color w:val="000000"/>
                <w:sz w:val="20"/>
                <w:szCs w:val="18"/>
              </w:rPr>
              <w:t>Study 1064</w:t>
            </w:r>
          </w:p>
        </w:tc>
        <w:tc>
          <w:tcPr>
            <w:tcW w:w="432" w:type="pct"/>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126</w:t>
            </w:r>
          </w:p>
        </w:tc>
        <w:tc>
          <w:tcPr>
            <w:tcW w:w="597" w:type="pct"/>
            <w:gridSpan w:val="2"/>
            <w:vAlign w:val="center"/>
          </w:tcPr>
          <w:p w:rsidR="00615D2E" w:rsidRPr="00742273" w:rsidRDefault="00607DE3" w:rsidP="00607DE3">
            <w:pPr>
              <w:jc w:val="center"/>
              <w:rPr>
                <w:rFonts w:ascii="Arial Narrow" w:hAnsi="Arial Narrow"/>
                <w:color w:val="000000"/>
                <w:sz w:val="20"/>
                <w:szCs w:val="18"/>
              </w:rPr>
            </w:pPr>
            <w:r w:rsidRPr="00742273">
              <w:rPr>
                <w:rFonts w:ascii="Arial Narrow" w:hAnsi="Arial Narrow"/>
                <w:color w:val="000000"/>
                <w:sz w:val="20"/>
                <w:szCs w:val="18"/>
              </w:rPr>
              <w:t>10.87</w:t>
            </w:r>
          </w:p>
        </w:tc>
        <w:tc>
          <w:tcPr>
            <w:tcW w:w="508" w:type="pct"/>
            <w:gridSpan w:val="2"/>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1.67</w:t>
            </w:r>
          </w:p>
        </w:tc>
        <w:tc>
          <w:tcPr>
            <w:tcW w:w="509" w:type="pct"/>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126</w:t>
            </w:r>
          </w:p>
        </w:tc>
        <w:tc>
          <w:tcPr>
            <w:tcW w:w="583" w:type="pct"/>
            <w:gridSpan w:val="2"/>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2.39</w:t>
            </w:r>
          </w:p>
        </w:tc>
        <w:tc>
          <w:tcPr>
            <w:tcW w:w="597" w:type="pct"/>
            <w:gridSpan w:val="2"/>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1.67</w:t>
            </w:r>
          </w:p>
        </w:tc>
        <w:tc>
          <w:tcPr>
            <w:tcW w:w="1079" w:type="pct"/>
            <w:gridSpan w:val="2"/>
            <w:vAlign w:val="center"/>
          </w:tcPr>
          <w:p w:rsidR="00615D2E" w:rsidRPr="00742273" w:rsidRDefault="00607DE3" w:rsidP="00EC00C9">
            <w:pPr>
              <w:jc w:val="center"/>
              <w:rPr>
                <w:rFonts w:ascii="Arial Narrow" w:hAnsi="Arial Narrow"/>
                <w:sz w:val="20"/>
                <w:szCs w:val="18"/>
              </w:rPr>
            </w:pPr>
            <w:r w:rsidRPr="00742273">
              <w:rPr>
                <w:rFonts w:ascii="Arial Narrow" w:hAnsi="Arial Narrow"/>
                <w:sz w:val="20"/>
                <w:szCs w:val="18"/>
              </w:rPr>
              <w:t>8.47 (4.01, 12.93)</w:t>
            </w:r>
          </w:p>
        </w:tc>
      </w:tr>
      <w:tr w:rsidR="00615D2E" w:rsidRPr="00742273">
        <w:tc>
          <w:tcPr>
            <w:tcW w:w="5000" w:type="pct"/>
            <w:gridSpan w:val="13"/>
            <w:shd w:val="clear" w:color="auto" w:fill="auto"/>
            <w:vAlign w:val="center"/>
          </w:tcPr>
          <w:p w:rsidR="00615D2E" w:rsidRPr="00742273" w:rsidRDefault="00615D2E" w:rsidP="00B238D6">
            <w:pPr>
              <w:jc w:val="left"/>
              <w:rPr>
                <w:rFonts w:ascii="Arial Narrow" w:hAnsi="Arial Narrow"/>
                <w:b/>
                <w:sz w:val="20"/>
                <w:szCs w:val="18"/>
              </w:rPr>
            </w:pPr>
            <w:r w:rsidRPr="00742273">
              <w:rPr>
                <w:rFonts w:ascii="Arial Narrow" w:hAnsi="Arial Narrow"/>
                <w:b/>
                <w:sz w:val="20"/>
                <w:szCs w:val="18"/>
              </w:rPr>
              <w:t>LDL-C</w:t>
            </w:r>
            <w:r w:rsidR="000C57FA" w:rsidRPr="00742273">
              <w:rPr>
                <w:rFonts w:ascii="Arial Narrow" w:hAnsi="Arial Narrow"/>
                <w:b/>
                <w:sz w:val="20"/>
                <w:szCs w:val="18"/>
              </w:rPr>
              <w:t xml:space="preserve"> (mg/dL)</w:t>
            </w:r>
          </w:p>
        </w:tc>
      </w:tr>
      <w:tr w:rsidR="00615D2E" w:rsidRPr="00742273">
        <w:tc>
          <w:tcPr>
            <w:tcW w:w="695" w:type="pct"/>
            <w:tcBorders>
              <w:bottom w:val="double" w:sz="4" w:space="0" w:color="auto"/>
            </w:tcBorders>
            <w:shd w:val="clear" w:color="auto" w:fill="auto"/>
            <w:vAlign w:val="center"/>
          </w:tcPr>
          <w:p w:rsidR="00615D2E" w:rsidRPr="00742273" w:rsidRDefault="00615D2E" w:rsidP="00EC00C9">
            <w:pPr>
              <w:rPr>
                <w:rFonts w:ascii="Arial Narrow" w:hAnsi="Arial Narrow"/>
                <w:color w:val="000000"/>
                <w:sz w:val="20"/>
                <w:szCs w:val="18"/>
              </w:rPr>
            </w:pPr>
            <w:r w:rsidRPr="00742273">
              <w:rPr>
                <w:rFonts w:ascii="Arial Narrow" w:hAnsi="Arial Narrow"/>
                <w:color w:val="000000"/>
                <w:sz w:val="20"/>
                <w:szCs w:val="18"/>
              </w:rPr>
              <w:t>Study 1064</w:t>
            </w:r>
          </w:p>
        </w:tc>
        <w:tc>
          <w:tcPr>
            <w:tcW w:w="432" w:type="pct"/>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125</w:t>
            </w:r>
          </w:p>
        </w:tc>
        <w:tc>
          <w:tcPr>
            <w:tcW w:w="597" w:type="pct"/>
            <w:gridSpan w:val="2"/>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14.16</w:t>
            </w:r>
          </w:p>
        </w:tc>
        <w:tc>
          <w:tcPr>
            <w:tcW w:w="508" w:type="pct"/>
            <w:gridSpan w:val="2"/>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2.15</w:t>
            </w:r>
          </w:p>
        </w:tc>
        <w:tc>
          <w:tcPr>
            <w:tcW w:w="509" w:type="pct"/>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125</w:t>
            </w:r>
          </w:p>
        </w:tc>
        <w:tc>
          <w:tcPr>
            <w:tcW w:w="583" w:type="pct"/>
            <w:gridSpan w:val="2"/>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1.76</w:t>
            </w:r>
          </w:p>
        </w:tc>
        <w:tc>
          <w:tcPr>
            <w:tcW w:w="597" w:type="pct"/>
            <w:gridSpan w:val="2"/>
            <w:tcBorders>
              <w:bottom w:val="double" w:sz="4" w:space="0" w:color="auto"/>
            </w:tcBorders>
            <w:vAlign w:val="center"/>
          </w:tcPr>
          <w:p w:rsidR="00615D2E" w:rsidRPr="00742273" w:rsidRDefault="00607DE3" w:rsidP="00EC00C9">
            <w:pPr>
              <w:jc w:val="center"/>
              <w:rPr>
                <w:rFonts w:ascii="Arial Narrow" w:hAnsi="Arial Narrow"/>
                <w:color w:val="000000"/>
                <w:sz w:val="20"/>
                <w:szCs w:val="18"/>
              </w:rPr>
            </w:pPr>
            <w:r w:rsidRPr="00742273">
              <w:rPr>
                <w:rFonts w:ascii="Arial Narrow" w:hAnsi="Arial Narrow"/>
                <w:color w:val="000000"/>
                <w:sz w:val="20"/>
                <w:szCs w:val="18"/>
              </w:rPr>
              <w:t>2.13</w:t>
            </w:r>
          </w:p>
        </w:tc>
        <w:tc>
          <w:tcPr>
            <w:tcW w:w="1079" w:type="pct"/>
            <w:gridSpan w:val="2"/>
            <w:tcBorders>
              <w:bottom w:val="double" w:sz="4" w:space="0" w:color="auto"/>
            </w:tcBorders>
            <w:vAlign w:val="center"/>
          </w:tcPr>
          <w:p w:rsidR="00615D2E" w:rsidRPr="00742273" w:rsidRDefault="00607DE3" w:rsidP="00EC00C9">
            <w:pPr>
              <w:jc w:val="center"/>
              <w:rPr>
                <w:rFonts w:ascii="Arial Narrow" w:hAnsi="Arial Narrow"/>
                <w:sz w:val="20"/>
                <w:szCs w:val="18"/>
              </w:rPr>
            </w:pPr>
            <w:r w:rsidRPr="00742273">
              <w:rPr>
                <w:rFonts w:ascii="Arial Narrow" w:hAnsi="Arial Narrow"/>
                <w:sz w:val="20"/>
                <w:szCs w:val="18"/>
              </w:rPr>
              <w:t>12.40 (6.70, 18.11)</w:t>
            </w:r>
          </w:p>
        </w:tc>
      </w:tr>
    </w:tbl>
    <w:p w:rsidR="00B62715" w:rsidRPr="00742273" w:rsidRDefault="00B62715" w:rsidP="00607DE3">
      <w:pPr>
        <w:pStyle w:val="TableFooter"/>
        <w:ind w:left="720"/>
      </w:pPr>
      <w:r w:rsidRPr="00742273">
        <w:t xml:space="preserve">Abbreviations: </w:t>
      </w:r>
      <w:r w:rsidR="000F7B11" w:rsidRPr="00742273">
        <w:t xml:space="preserve">American College of Rheumatology = ACR; </w:t>
      </w:r>
      <w:r w:rsidR="00607DE3" w:rsidRPr="00742273">
        <w:t xml:space="preserve">HDL = high density lipoprotein; LDL </w:t>
      </w:r>
      <w:r w:rsidR="004728E4" w:rsidRPr="00742273">
        <w:t>= low density lipoprotein; LS = </w:t>
      </w:r>
      <w:r w:rsidR="00607DE3" w:rsidRPr="00742273">
        <w:t>least square; MD = mean difference; PBO = placebo SE = standard error</w:t>
      </w:r>
      <w:r w:rsidRPr="00742273">
        <w:t>; RD = risk difference; RR = risk ratio</w:t>
      </w:r>
      <w:r w:rsidR="00607DE3" w:rsidRPr="00742273">
        <w:t xml:space="preserve">.  </w:t>
      </w:r>
      <w:r w:rsidRPr="00742273">
        <w:t>Source: Compiled during the evaluation</w:t>
      </w:r>
      <w:r w:rsidR="00607DE3" w:rsidRPr="00742273">
        <w:t xml:space="preserve">.  </w:t>
      </w:r>
    </w:p>
    <w:p w:rsidR="00B60939" w:rsidRPr="00742273" w:rsidRDefault="00B60939" w:rsidP="004B1CB4"/>
    <w:p w:rsidR="00FC1884" w:rsidRPr="00742273" w:rsidRDefault="00EC00C9" w:rsidP="00F262A0">
      <w:pPr>
        <w:pStyle w:val="ListParagraph"/>
        <w:widowControl/>
        <w:numPr>
          <w:ilvl w:val="1"/>
          <w:numId w:val="12"/>
        </w:numPr>
        <w:rPr>
          <w:szCs w:val="22"/>
        </w:rPr>
      </w:pPr>
      <w:r w:rsidRPr="00742273">
        <w:t xml:space="preserve">On the basis of </w:t>
      </w:r>
      <w:r w:rsidR="00607DE3" w:rsidRPr="00742273">
        <w:t>direct</w:t>
      </w:r>
      <w:r w:rsidRPr="00742273">
        <w:t xml:space="preserve"> evidence presented by the submission, for every 100 patients treated with </w:t>
      </w:r>
      <w:r w:rsidR="00607DE3" w:rsidRPr="00742273">
        <w:t>tofacitinib</w:t>
      </w:r>
      <w:r w:rsidRPr="00742273">
        <w:t xml:space="preserve"> in comparison to </w:t>
      </w:r>
      <w:r w:rsidR="00607DE3" w:rsidRPr="00742273">
        <w:t>adalimumab</w:t>
      </w:r>
      <w:r w:rsidR="00301208">
        <w:t>:</w:t>
      </w:r>
    </w:p>
    <w:p w:rsidR="00FC1884" w:rsidRPr="00742273" w:rsidRDefault="00FC1884" w:rsidP="00F262A0">
      <w:pPr>
        <w:pStyle w:val="ListParagraph"/>
        <w:widowControl/>
        <w:numPr>
          <w:ilvl w:val="0"/>
          <w:numId w:val="11"/>
        </w:numPr>
        <w:ind w:left="993" w:hanging="284"/>
      </w:pPr>
      <w:r w:rsidRPr="00742273">
        <w:t>Approximately 1</w:t>
      </w:r>
      <w:r w:rsidR="00607DE3" w:rsidRPr="00742273">
        <w:t>2</w:t>
      </w:r>
      <w:r w:rsidRPr="00742273">
        <w:t xml:space="preserve"> additional patients would have </w:t>
      </w:r>
      <w:r w:rsidR="00607DE3" w:rsidRPr="00742273">
        <w:t>ACR50 response</w:t>
      </w:r>
      <w:r w:rsidRPr="00742273">
        <w:t xml:space="preserve"> </w:t>
      </w:r>
      <w:r w:rsidR="00607DE3" w:rsidRPr="00742273">
        <w:t>at 3 months</w:t>
      </w:r>
      <w:r w:rsidR="00767797" w:rsidRPr="00742273">
        <w:t>.</w:t>
      </w:r>
    </w:p>
    <w:p w:rsidR="00FC1884" w:rsidRPr="00742273" w:rsidRDefault="00607DE3" w:rsidP="00F262A0">
      <w:pPr>
        <w:pStyle w:val="ListParagraph"/>
        <w:widowControl/>
        <w:numPr>
          <w:ilvl w:val="0"/>
          <w:numId w:val="11"/>
        </w:numPr>
        <w:ind w:left="993" w:hanging="284"/>
      </w:pPr>
      <w:r w:rsidRPr="00742273">
        <w:lastRenderedPageBreak/>
        <w:t>No significant differences were observed fo</w:t>
      </w:r>
      <w:r w:rsidR="004728E4" w:rsidRPr="00742273">
        <w:t>r ACR20 and ACR70 response at 3 </w:t>
      </w:r>
      <w:r w:rsidRPr="00742273">
        <w:t>months</w:t>
      </w:r>
      <w:r w:rsidR="00767797" w:rsidRPr="00742273">
        <w:t>.</w:t>
      </w:r>
    </w:p>
    <w:p w:rsidR="00607DE3" w:rsidRPr="00742273" w:rsidRDefault="00607DE3" w:rsidP="0014015A">
      <w:pPr>
        <w:autoSpaceDE w:val="0"/>
        <w:autoSpaceDN w:val="0"/>
        <w:adjustRightInd w:val="0"/>
        <w:ind w:left="709"/>
        <w:rPr>
          <w:lang w:val="en-US"/>
        </w:rPr>
      </w:pPr>
    </w:p>
    <w:p w:rsidR="00FC1884" w:rsidRPr="00742273" w:rsidRDefault="00FC1884" w:rsidP="00607DE3">
      <w:pPr>
        <w:pStyle w:val="ListParagraph"/>
        <w:widowControl/>
        <w:numPr>
          <w:ilvl w:val="1"/>
          <w:numId w:val="12"/>
        </w:numPr>
        <w:rPr>
          <w:lang w:val="en-US"/>
        </w:rPr>
      </w:pPr>
      <w:r w:rsidRPr="00742273">
        <w:rPr>
          <w:lang w:val="en-US"/>
        </w:rPr>
        <w:t xml:space="preserve">On the basis of direct evidence presented by the submission, the comparison of </w:t>
      </w:r>
      <w:r w:rsidR="000C57FA" w:rsidRPr="00742273">
        <w:rPr>
          <w:lang w:val="en-US"/>
        </w:rPr>
        <w:t>tofacitinib</w:t>
      </w:r>
      <w:r w:rsidRPr="00742273">
        <w:rPr>
          <w:lang w:val="en-US"/>
        </w:rPr>
        <w:t xml:space="preserve"> and </w:t>
      </w:r>
      <w:r w:rsidR="000C57FA" w:rsidRPr="00742273">
        <w:rPr>
          <w:lang w:val="en-US"/>
        </w:rPr>
        <w:t>adalimumab</w:t>
      </w:r>
      <w:r w:rsidRPr="00742273">
        <w:rPr>
          <w:lang w:val="en-US"/>
        </w:rPr>
        <w:t xml:space="preserve"> resulted in:</w:t>
      </w:r>
    </w:p>
    <w:p w:rsidR="000C57FA" w:rsidRPr="00742273" w:rsidRDefault="000C57FA" w:rsidP="00F262A0">
      <w:pPr>
        <w:pStyle w:val="ListParagraph"/>
        <w:numPr>
          <w:ilvl w:val="0"/>
          <w:numId w:val="11"/>
        </w:numPr>
        <w:autoSpaceDE w:val="0"/>
        <w:autoSpaceDN w:val="0"/>
        <w:adjustRightInd w:val="0"/>
        <w:ind w:left="993" w:hanging="284"/>
        <w:rPr>
          <w:lang w:val="en-US"/>
        </w:rPr>
      </w:pPr>
      <w:r w:rsidRPr="00742273">
        <w:rPr>
          <w:lang w:val="en-US"/>
        </w:rPr>
        <w:t>Approximately a 8.47 mg/dL increase in high density lipoprotein chol</w:t>
      </w:r>
      <w:r w:rsidR="004728E4" w:rsidRPr="00742273">
        <w:rPr>
          <w:lang w:val="en-US"/>
        </w:rPr>
        <w:t>esterol (HDL</w:t>
      </w:r>
      <w:r w:rsidR="004728E4" w:rsidRPr="00742273">
        <w:rPr>
          <w:lang w:val="en-US"/>
        </w:rPr>
        <w:noBreakHyphen/>
      </w:r>
      <w:r w:rsidRPr="00742273">
        <w:rPr>
          <w:lang w:val="en-US"/>
        </w:rPr>
        <w:t>C) over a 6 month period</w:t>
      </w:r>
      <w:r w:rsidR="004D3D43" w:rsidRPr="00742273">
        <w:rPr>
          <w:lang w:val="en-US"/>
        </w:rPr>
        <w:t>.</w:t>
      </w:r>
    </w:p>
    <w:p w:rsidR="000C57FA" w:rsidRPr="00742273" w:rsidRDefault="000C57FA" w:rsidP="00F262A0">
      <w:pPr>
        <w:pStyle w:val="ListParagraph"/>
        <w:numPr>
          <w:ilvl w:val="0"/>
          <w:numId w:val="11"/>
        </w:numPr>
        <w:autoSpaceDE w:val="0"/>
        <w:autoSpaceDN w:val="0"/>
        <w:adjustRightInd w:val="0"/>
        <w:ind w:left="993" w:hanging="284"/>
        <w:rPr>
          <w:lang w:val="en-US"/>
        </w:rPr>
      </w:pPr>
      <w:r w:rsidRPr="00742273">
        <w:rPr>
          <w:lang w:val="en-US"/>
        </w:rPr>
        <w:t>Approximately a 12.40 mg/dL increase in low densi</w:t>
      </w:r>
      <w:r w:rsidR="004728E4" w:rsidRPr="00742273">
        <w:rPr>
          <w:lang w:val="en-US"/>
        </w:rPr>
        <w:t>ty lipoprotein cholesterol (LDL</w:t>
      </w:r>
      <w:r w:rsidR="004728E4" w:rsidRPr="00742273">
        <w:rPr>
          <w:lang w:val="en-US"/>
        </w:rPr>
        <w:noBreakHyphen/>
      </w:r>
      <w:r w:rsidRPr="00742273">
        <w:rPr>
          <w:lang w:val="en-US"/>
        </w:rPr>
        <w:t>C) over a 6 month period</w:t>
      </w:r>
      <w:r w:rsidR="004D3D43" w:rsidRPr="00742273">
        <w:rPr>
          <w:lang w:val="en-US"/>
        </w:rPr>
        <w:t>.</w:t>
      </w:r>
    </w:p>
    <w:p w:rsidR="00B60939" w:rsidRPr="00742273" w:rsidRDefault="000C57FA" w:rsidP="000C57FA">
      <w:pPr>
        <w:pStyle w:val="ListParagraph"/>
        <w:numPr>
          <w:ilvl w:val="0"/>
          <w:numId w:val="11"/>
        </w:numPr>
        <w:autoSpaceDE w:val="0"/>
        <w:autoSpaceDN w:val="0"/>
        <w:adjustRightInd w:val="0"/>
        <w:ind w:left="993" w:hanging="284"/>
        <w:rPr>
          <w:szCs w:val="22"/>
        </w:rPr>
      </w:pPr>
      <w:r w:rsidRPr="00742273">
        <w:rPr>
          <w:lang w:val="en-US"/>
        </w:rPr>
        <w:t>The submission claimed the clinical significance of differences in lipid levels was uncertain since higher LDL-C levels are known to increase cardiovascular risk and higher HDL-C levels have a cardio-protective effect</w:t>
      </w:r>
      <w:r w:rsidR="004D3D43" w:rsidRPr="00742273">
        <w:rPr>
          <w:lang w:val="en-US"/>
        </w:rPr>
        <w:t>.</w:t>
      </w:r>
    </w:p>
    <w:p w:rsidR="009B773F" w:rsidRPr="00742273" w:rsidRDefault="009B773F" w:rsidP="000C57FA">
      <w:pPr>
        <w:pStyle w:val="ListParagraph"/>
        <w:numPr>
          <w:ilvl w:val="0"/>
          <w:numId w:val="11"/>
        </w:numPr>
        <w:autoSpaceDE w:val="0"/>
        <w:autoSpaceDN w:val="0"/>
        <w:adjustRightInd w:val="0"/>
        <w:ind w:left="993" w:hanging="284"/>
        <w:rPr>
          <w:szCs w:val="22"/>
        </w:rPr>
      </w:pPr>
      <w:r w:rsidRPr="00742273">
        <w:rPr>
          <w:lang w:val="en-US"/>
        </w:rPr>
        <w:t>Increased risk with either agent of opportunistic infection, lymphoma and malignancy, elevated liver function tests and anaemia, which will be further evaluated for tofacitinib through a planned pharmacovigilance study.</w:t>
      </w:r>
    </w:p>
    <w:p w:rsidR="00B60939" w:rsidRPr="00742273" w:rsidRDefault="00B60939" w:rsidP="00FC1884"/>
    <w:p w:rsidR="00B60939" w:rsidRPr="00B8485B" w:rsidRDefault="00B60939" w:rsidP="002C2775">
      <w:pPr>
        <w:pStyle w:val="Heading2"/>
        <w:rPr>
          <w:i/>
        </w:rPr>
      </w:pPr>
      <w:bookmarkStart w:id="11" w:name="_Toc409100934"/>
      <w:r w:rsidRPr="00B8485B">
        <w:rPr>
          <w:i/>
        </w:rPr>
        <w:t>Clinical claim</w:t>
      </w:r>
      <w:bookmarkEnd w:id="11"/>
    </w:p>
    <w:p w:rsidR="00B60939" w:rsidRPr="00742273" w:rsidRDefault="00B60939" w:rsidP="00B60939">
      <w:pPr>
        <w:ind w:left="720" w:hanging="720"/>
        <w:rPr>
          <w:szCs w:val="22"/>
        </w:rPr>
      </w:pPr>
    </w:p>
    <w:p w:rsidR="000C57FA" w:rsidRPr="00742273" w:rsidRDefault="000C57FA" w:rsidP="000C57FA">
      <w:pPr>
        <w:pStyle w:val="ListParagraph"/>
        <w:widowControl/>
        <w:numPr>
          <w:ilvl w:val="1"/>
          <w:numId w:val="12"/>
        </w:numPr>
        <w:rPr>
          <w:szCs w:val="22"/>
        </w:rPr>
      </w:pPr>
      <w:r w:rsidRPr="00742273">
        <w:t xml:space="preserve">The submission described tofacitinib as non-inferior to adalimumab with regard to efficacy and safety.  </w:t>
      </w:r>
    </w:p>
    <w:p w:rsidR="000C57FA" w:rsidRPr="00742273" w:rsidRDefault="000C57FA" w:rsidP="000C57FA">
      <w:pPr>
        <w:pStyle w:val="ListParagraph"/>
        <w:widowControl/>
        <w:rPr>
          <w:szCs w:val="22"/>
        </w:rPr>
      </w:pPr>
    </w:p>
    <w:p w:rsidR="00B60939" w:rsidRPr="00742273" w:rsidRDefault="000C57FA" w:rsidP="00BA4A78">
      <w:pPr>
        <w:pStyle w:val="ListParagraph"/>
        <w:widowControl/>
        <w:numPr>
          <w:ilvl w:val="1"/>
          <w:numId w:val="12"/>
        </w:numPr>
        <w:rPr>
          <w:szCs w:val="22"/>
        </w:rPr>
      </w:pPr>
      <w:r w:rsidRPr="00742273">
        <w:t>The claim of non-inferior efficacy was adequately supported by the evidence</w:t>
      </w:r>
      <w:r w:rsidR="00542640" w:rsidRPr="00742273">
        <w:t xml:space="preserve">.  No significant differences in ACR response at 3 months (ACR20, ACR70) was observed in the meta-analysis of the direct randomised trials.  Results from the indirect comparison were considered to support the efficacy claim, although the analysis was compromised by a high level of statistical heterogeneity and variation of placebo response rates across the trials.  </w:t>
      </w:r>
      <w:r w:rsidR="00BA4A78" w:rsidRPr="00742273">
        <w:t>As noted earlier, with respect to joint damage, the ESC observed that the results for radiographic progression and structural preservation in terms of total SHS (Sharp/van der Heijde score) were not statistically significant for tofacitinib 5 mg twice daily but were for the 10 mg twice daily dose. As the submission proposes only listing the 5 mg dose, the ESC advised that comparative efficacy measured by extent of joint preservation was not adequately supported.</w:t>
      </w:r>
    </w:p>
    <w:p w:rsidR="000C57FA" w:rsidRPr="00742273" w:rsidRDefault="000C57FA" w:rsidP="000C57FA">
      <w:pPr>
        <w:pStyle w:val="ListParagraph"/>
        <w:widowControl/>
        <w:rPr>
          <w:szCs w:val="22"/>
        </w:rPr>
      </w:pPr>
    </w:p>
    <w:p w:rsidR="000C57FA" w:rsidRPr="00742273" w:rsidRDefault="00542640" w:rsidP="00542640">
      <w:pPr>
        <w:pStyle w:val="ListParagraph"/>
        <w:numPr>
          <w:ilvl w:val="1"/>
          <w:numId w:val="12"/>
        </w:numPr>
        <w:rPr>
          <w:szCs w:val="22"/>
        </w:rPr>
      </w:pPr>
      <w:r w:rsidRPr="00742273">
        <w:rPr>
          <w:szCs w:val="22"/>
        </w:rPr>
        <w:t xml:space="preserve">The claim of non-inferior </w:t>
      </w:r>
      <w:r w:rsidR="00B41005" w:rsidRPr="00742273">
        <w:rPr>
          <w:szCs w:val="22"/>
        </w:rPr>
        <w:t xml:space="preserve">safety </w:t>
      </w:r>
      <w:r w:rsidRPr="00742273">
        <w:rPr>
          <w:szCs w:val="22"/>
        </w:rPr>
        <w:t>was not adequately supported by the evidence.  Statistically significant increases in total cholesterol, LDL-C and HDL-C were reported for the comparison of tofacitinib 5</w:t>
      </w:r>
      <w:r w:rsidR="004D3D43" w:rsidRPr="00742273">
        <w:rPr>
          <w:szCs w:val="22"/>
        </w:rPr>
        <w:t xml:space="preserve"> </w:t>
      </w:r>
      <w:r w:rsidRPr="00742273">
        <w:rPr>
          <w:szCs w:val="22"/>
        </w:rPr>
        <w:t>mg and adalimumab 40</w:t>
      </w:r>
      <w:r w:rsidR="004D3D43" w:rsidRPr="00742273">
        <w:rPr>
          <w:szCs w:val="22"/>
        </w:rPr>
        <w:t xml:space="preserve"> </w:t>
      </w:r>
      <w:r w:rsidRPr="00742273">
        <w:rPr>
          <w:szCs w:val="22"/>
        </w:rPr>
        <w:t>mg in Study 1064.  While it is accepted that increases to HDL-C are associated with cardio-protective effects, there are potential long term cardiovascular risks associated with elevated LDL-C and total cholesterol.</w:t>
      </w:r>
      <w:r w:rsidR="009B773F" w:rsidRPr="00742273">
        <w:rPr>
          <w:szCs w:val="22"/>
        </w:rPr>
        <w:t xml:space="preserve">  The ESC considered that relative prevalence and severity of other adverse events, such as opportunistic infection</w:t>
      </w:r>
      <w:r w:rsidR="00326553" w:rsidRPr="00742273">
        <w:rPr>
          <w:szCs w:val="22"/>
        </w:rPr>
        <w:t xml:space="preserve"> cannot be accurately determined</w:t>
      </w:r>
      <w:r w:rsidR="000901C9">
        <w:rPr>
          <w:szCs w:val="22"/>
        </w:rPr>
        <w:t xml:space="preserve"> from the data presented</w:t>
      </w:r>
      <w:r w:rsidR="00B41BEB" w:rsidRPr="00742273">
        <w:rPr>
          <w:szCs w:val="22"/>
        </w:rPr>
        <w:t>.</w:t>
      </w:r>
      <w:r w:rsidRPr="00742273">
        <w:rPr>
          <w:szCs w:val="22"/>
        </w:rPr>
        <w:t xml:space="preserve">  </w:t>
      </w:r>
    </w:p>
    <w:p w:rsidR="00B60939" w:rsidRDefault="00B60939" w:rsidP="00B60939">
      <w:pPr>
        <w:ind w:left="720" w:hanging="720"/>
        <w:rPr>
          <w:szCs w:val="22"/>
        </w:rPr>
      </w:pPr>
    </w:p>
    <w:p w:rsidR="005B4F4F" w:rsidRPr="00742273" w:rsidRDefault="005B4F4F" w:rsidP="005B4F4F">
      <w:pPr>
        <w:pStyle w:val="ListParagraph"/>
        <w:rPr>
          <w:i/>
          <w:szCs w:val="22"/>
        </w:rPr>
      </w:pPr>
      <w:r w:rsidRPr="00940696">
        <w:rPr>
          <w:i/>
          <w:szCs w:val="22"/>
        </w:rPr>
        <w:t>For more detail on PBAC’s view, see section 7 “PBAC outcome”</w:t>
      </w:r>
    </w:p>
    <w:p w:rsidR="00934F0C" w:rsidRPr="007534A9" w:rsidRDefault="00934F0C" w:rsidP="005B4F4F">
      <w:pPr>
        <w:pStyle w:val="ListParagraph"/>
        <w:rPr>
          <w:szCs w:val="22"/>
        </w:rPr>
      </w:pPr>
    </w:p>
    <w:p w:rsidR="00934F0C" w:rsidRPr="00742273" w:rsidRDefault="00934F0C" w:rsidP="00B60939">
      <w:pPr>
        <w:ind w:left="720" w:hanging="720"/>
        <w:rPr>
          <w:szCs w:val="22"/>
        </w:rPr>
      </w:pPr>
    </w:p>
    <w:p w:rsidR="00B60939" w:rsidRPr="00286F14" w:rsidRDefault="00B60939" w:rsidP="002C2775">
      <w:pPr>
        <w:pStyle w:val="Heading2"/>
        <w:rPr>
          <w:i/>
        </w:rPr>
      </w:pPr>
      <w:bookmarkStart w:id="12" w:name="_Toc409100935"/>
      <w:r w:rsidRPr="00286F14">
        <w:rPr>
          <w:i/>
        </w:rPr>
        <w:t>Economic analysis</w:t>
      </w:r>
      <w:bookmarkEnd w:id="12"/>
      <w:r w:rsidR="00491B3A" w:rsidRPr="00286F14">
        <w:rPr>
          <w:i/>
        </w:rPr>
        <w:t xml:space="preserve"> </w:t>
      </w:r>
    </w:p>
    <w:p w:rsidR="00B60939" w:rsidRPr="00742273" w:rsidRDefault="00B60939" w:rsidP="00B60939">
      <w:pPr>
        <w:ind w:left="720" w:hanging="720"/>
        <w:rPr>
          <w:szCs w:val="22"/>
        </w:rPr>
      </w:pPr>
    </w:p>
    <w:p w:rsidR="004D3D43" w:rsidRPr="00742273" w:rsidRDefault="00F80AE0" w:rsidP="00F262A0">
      <w:pPr>
        <w:pStyle w:val="ListParagraph"/>
        <w:widowControl/>
        <w:numPr>
          <w:ilvl w:val="1"/>
          <w:numId w:val="12"/>
        </w:numPr>
        <w:rPr>
          <w:szCs w:val="22"/>
        </w:rPr>
      </w:pPr>
      <w:r w:rsidRPr="00742273">
        <w:t>The submission presented a cost-minimisation analysis against adalimumab</w:t>
      </w:r>
      <w:r w:rsidR="00833B05" w:rsidRPr="00742273">
        <w:t>.</w:t>
      </w:r>
    </w:p>
    <w:p w:rsidR="004D3D43" w:rsidRPr="00742273" w:rsidRDefault="004D3D43" w:rsidP="004D3D43">
      <w:pPr>
        <w:pStyle w:val="ListParagraph"/>
        <w:widowControl/>
        <w:rPr>
          <w:szCs w:val="22"/>
        </w:rPr>
      </w:pPr>
    </w:p>
    <w:p w:rsidR="00BE30F7" w:rsidRPr="00742273" w:rsidRDefault="00A86E8B" w:rsidP="00F262A0">
      <w:pPr>
        <w:pStyle w:val="ListParagraph"/>
        <w:widowControl/>
        <w:numPr>
          <w:ilvl w:val="1"/>
          <w:numId w:val="12"/>
        </w:numPr>
        <w:rPr>
          <w:szCs w:val="22"/>
        </w:rPr>
      </w:pPr>
      <w:r w:rsidRPr="00742273">
        <w:lastRenderedPageBreak/>
        <w:t>The equi-ef</w:t>
      </w:r>
      <w:r w:rsidR="00567880" w:rsidRPr="00742273">
        <w:t xml:space="preserve">fective doses </w:t>
      </w:r>
      <w:r w:rsidR="000901C9">
        <w:t>we</w:t>
      </w:r>
      <w:r w:rsidR="00567880" w:rsidRPr="00742273">
        <w:t>re estimated as tofacitinib 5</w:t>
      </w:r>
      <w:r w:rsidR="004D3D43" w:rsidRPr="00742273">
        <w:t xml:space="preserve"> </w:t>
      </w:r>
      <w:r w:rsidR="00567880" w:rsidRPr="00742273">
        <w:t>mg twice a day and adalimumab 40</w:t>
      </w:r>
      <w:r w:rsidR="004D3D43" w:rsidRPr="00742273">
        <w:t xml:space="preserve"> </w:t>
      </w:r>
      <w:r w:rsidR="00567880" w:rsidRPr="00742273">
        <w:t>mg every fortnight</w:t>
      </w:r>
      <w:r w:rsidRPr="00742273">
        <w:t xml:space="preserve">.  </w:t>
      </w:r>
      <w:r w:rsidR="00567880" w:rsidRPr="00742273">
        <w:t xml:space="preserve">The doses </w:t>
      </w:r>
      <w:r w:rsidR="000901C9">
        <w:t>we</w:t>
      </w:r>
      <w:r w:rsidR="00567880" w:rsidRPr="00742273">
        <w:t xml:space="preserve">re consistent with the treatment regimens used </w:t>
      </w:r>
      <w:r w:rsidR="000901C9">
        <w:t xml:space="preserve">in </w:t>
      </w:r>
      <w:r w:rsidR="00567880" w:rsidRPr="00742273">
        <w:t xml:space="preserve">the head to head and indirect comparisons. </w:t>
      </w:r>
    </w:p>
    <w:p w:rsidR="00BE30F7" w:rsidRPr="00742273" w:rsidRDefault="00BE30F7" w:rsidP="00BE30F7">
      <w:pPr>
        <w:pStyle w:val="ListParagraph"/>
        <w:widowControl/>
        <w:rPr>
          <w:szCs w:val="22"/>
        </w:rPr>
      </w:pPr>
    </w:p>
    <w:p w:rsidR="00A86E8B" w:rsidRPr="00742273" w:rsidRDefault="00BE30F7" w:rsidP="004D3D43">
      <w:pPr>
        <w:pStyle w:val="ListParagraph"/>
        <w:numPr>
          <w:ilvl w:val="1"/>
          <w:numId w:val="12"/>
        </w:numPr>
        <w:rPr>
          <w:szCs w:val="22"/>
        </w:rPr>
      </w:pPr>
      <w:r w:rsidRPr="00742273">
        <w:t>The submission proposed an effective price of $</w:t>
      </w:r>
      <w:r w:rsidR="00583CFA">
        <w:rPr>
          <w:noProof/>
          <w:color w:val="000000"/>
          <w:highlight w:val="black"/>
        </w:rPr>
        <w:t>''''''''''''''''''''''</w:t>
      </w:r>
      <w:r w:rsidRPr="00742273">
        <w:t xml:space="preserve"> for tofacitinib 5</w:t>
      </w:r>
      <w:r w:rsidR="004D3D43" w:rsidRPr="00742273">
        <w:t xml:space="preserve"> </w:t>
      </w:r>
      <w:r w:rsidRPr="00742273">
        <w:t>mg. The requested effective price is the same as that for etanercept, given the sponsor’s knowledge of the special pricing arrangement (SPA) with the Commonwealth (</w:t>
      </w:r>
      <w:r w:rsidR="00583CFA">
        <w:rPr>
          <w:noProof/>
          <w:color w:val="000000"/>
          <w:highlight w:val="black"/>
        </w:rPr>
        <w:t>''''''</w:t>
      </w:r>
      <w:r w:rsidRPr="00742273">
        <w:t>% rebate, post adjustment for average co-payments).</w:t>
      </w:r>
    </w:p>
    <w:p w:rsidR="00A86E8B" w:rsidRPr="00742273" w:rsidRDefault="00A86E8B" w:rsidP="00A86E8B">
      <w:pPr>
        <w:widowControl/>
        <w:rPr>
          <w:szCs w:val="22"/>
        </w:rPr>
      </w:pPr>
    </w:p>
    <w:p w:rsidR="003F155C" w:rsidRPr="00742273" w:rsidRDefault="003F155C" w:rsidP="00567880">
      <w:pPr>
        <w:pStyle w:val="ListParagraph"/>
        <w:widowControl/>
        <w:numPr>
          <w:ilvl w:val="1"/>
          <w:numId w:val="12"/>
        </w:numPr>
      </w:pPr>
      <w:r w:rsidRPr="00742273">
        <w:t xml:space="preserve">The suitability of the </w:t>
      </w:r>
      <w:r w:rsidR="00726F45" w:rsidRPr="00742273">
        <w:t>CMA</w:t>
      </w:r>
      <w:r w:rsidRPr="00742273">
        <w:t xml:space="preserve"> </w:t>
      </w:r>
      <w:r w:rsidR="00FA1CBD" w:rsidRPr="00742273">
        <w:t>was</w:t>
      </w:r>
      <w:r w:rsidRPr="00742273">
        <w:t xml:space="preserve"> </w:t>
      </w:r>
      <w:r w:rsidR="00BA4A78" w:rsidRPr="00742273">
        <w:t xml:space="preserve">compromised </w:t>
      </w:r>
      <w:r w:rsidRPr="00742273">
        <w:t>by the following factors:</w:t>
      </w:r>
    </w:p>
    <w:p w:rsidR="003F155C" w:rsidRPr="00742273" w:rsidRDefault="003F155C" w:rsidP="003F155C">
      <w:pPr>
        <w:pStyle w:val="ListParagraph"/>
        <w:widowControl/>
        <w:numPr>
          <w:ilvl w:val="0"/>
          <w:numId w:val="33"/>
        </w:numPr>
      </w:pPr>
      <w:r w:rsidRPr="00742273">
        <w:t>Non-inferiority in terms of comparative safety was not adequately supported by the evidence, given the significant increases in lipid parameters and the limited long term safety profile for tofacitinib</w:t>
      </w:r>
      <w:r w:rsidR="008F7436" w:rsidRPr="00742273">
        <w:t>.</w:t>
      </w:r>
    </w:p>
    <w:p w:rsidR="003F155C" w:rsidRPr="00742273" w:rsidRDefault="003F155C" w:rsidP="003F155C">
      <w:pPr>
        <w:pStyle w:val="ListParagraph"/>
        <w:widowControl/>
        <w:numPr>
          <w:ilvl w:val="0"/>
          <w:numId w:val="33"/>
        </w:numPr>
      </w:pPr>
      <w:r w:rsidRPr="00742273">
        <w:t>The cost minimisation approach was reliant upon the acceptance of adalimumab as t</w:t>
      </w:r>
      <w:r w:rsidR="004728E4" w:rsidRPr="00742273">
        <w:t>he appropriate main comparator.</w:t>
      </w:r>
      <w:r w:rsidRPr="00742273">
        <w:t xml:space="preserve"> </w:t>
      </w:r>
      <w:r w:rsidR="00BA4A78" w:rsidRPr="00742273">
        <w:t>As noted above, c</w:t>
      </w:r>
      <w:r w:rsidRPr="00742273">
        <w:t>urrent treatment guidelines for RA (Smolen 2014, Upto</w:t>
      </w:r>
      <w:r w:rsidR="009E1922" w:rsidRPr="00742273">
        <w:t>D</w:t>
      </w:r>
      <w:r w:rsidRPr="00742273">
        <w:t>ate</w:t>
      </w:r>
      <w:r w:rsidRPr="00742273">
        <w:rPr>
          <w:vertAlign w:val="superscript"/>
        </w:rPr>
        <w:t>®</w:t>
      </w:r>
      <w:r w:rsidRPr="00742273">
        <w:t xml:space="preserve">) designate tofacitinib as a third line therapy following bDMARD/TNF-inhibitor failure (refer to section 4 and 5 above).  </w:t>
      </w:r>
    </w:p>
    <w:p w:rsidR="0004244D" w:rsidRPr="00742273" w:rsidRDefault="0004244D" w:rsidP="0004244D">
      <w:pPr>
        <w:pStyle w:val="ListParagraph"/>
        <w:widowControl/>
        <w:ind w:left="1080"/>
      </w:pPr>
    </w:p>
    <w:p w:rsidR="00C04056" w:rsidRPr="00742273" w:rsidRDefault="002C76E9" w:rsidP="00BA4A78">
      <w:pPr>
        <w:pStyle w:val="ListParagraph"/>
        <w:widowControl/>
        <w:numPr>
          <w:ilvl w:val="1"/>
          <w:numId w:val="12"/>
        </w:numPr>
      </w:pPr>
      <w:r w:rsidRPr="00742273">
        <w:t>T</w:t>
      </w:r>
      <w:r w:rsidR="0004244D" w:rsidRPr="00742273">
        <w:t xml:space="preserve">he submission assumed cost equivalence between </w:t>
      </w:r>
      <w:r w:rsidRPr="00742273">
        <w:t>administration</w:t>
      </w:r>
      <w:r w:rsidR="0083657F" w:rsidRPr="00742273">
        <w:t xml:space="preserve"> (adalimumab: subcutaneous injection) and adverse event costs (tofacitinib: hypercholesterolaemia)</w:t>
      </w:r>
      <w:r w:rsidR="00726F45" w:rsidRPr="00742273">
        <w:t xml:space="preserve">, with no </w:t>
      </w:r>
      <w:r w:rsidRPr="00742273">
        <w:t>adjustments</w:t>
      </w:r>
      <w:r w:rsidR="00726F45" w:rsidRPr="00742273">
        <w:t xml:space="preserve"> being applied in the CMA or financial estimates.  </w:t>
      </w:r>
      <w:r w:rsidR="0083657F" w:rsidRPr="00742273">
        <w:t>This conclusion was unjustified as no quantitative analysis was presented</w:t>
      </w:r>
      <w:r w:rsidR="00726F45" w:rsidRPr="00742273">
        <w:t xml:space="preserve"> to determine whether costs relating from hypercholesterolemia were equivalent to administration costs.</w:t>
      </w:r>
      <w:r w:rsidR="00C04056" w:rsidRPr="00742273">
        <w:t xml:space="preserve">  The ESC agreed with the evaluation that it was unreasonable to assume cost-equivalence, given the apparent differences in characteristics</w:t>
      </w:r>
      <w:r w:rsidR="00BA4A78" w:rsidRPr="00742273">
        <w:t xml:space="preserve"> of resource use</w:t>
      </w:r>
      <w:r w:rsidR="00C04056" w:rsidRPr="00742273">
        <w:t>:</w:t>
      </w:r>
    </w:p>
    <w:p w:rsidR="00C04056" w:rsidRPr="00742273" w:rsidRDefault="00C04056" w:rsidP="00C04056">
      <w:pPr>
        <w:pStyle w:val="ListParagraph"/>
        <w:widowControl/>
        <w:numPr>
          <w:ilvl w:val="0"/>
          <w:numId w:val="27"/>
        </w:numPr>
        <w:ind w:left="993" w:hanging="284"/>
      </w:pPr>
      <w:r w:rsidRPr="00742273">
        <w:t xml:space="preserve">Costs resulting from hypercholesterolemia (monitoring, statin treatment, costs resulting from cardiovascular morbidity) are likely to be ongoing as treatment with tofacitinib is intended to be long term. </w:t>
      </w:r>
    </w:p>
    <w:p w:rsidR="00C04056" w:rsidRPr="00742273" w:rsidRDefault="00C04056" w:rsidP="00C04056">
      <w:pPr>
        <w:pStyle w:val="ListParagraph"/>
        <w:widowControl/>
        <w:numPr>
          <w:ilvl w:val="0"/>
          <w:numId w:val="27"/>
        </w:numPr>
        <w:ind w:left="993" w:hanging="284"/>
      </w:pPr>
      <w:r w:rsidRPr="00742273">
        <w:t xml:space="preserve">Costs of monitoring for other serious adverse effects </w:t>
      </w:r>
      <w:r w:rsidR="004D3D43" w:rsidRPr="00742273">
        <w:t>(</w:t>
      </w:r>
      <w:r w:rsidRPr="00742273">
        <w:t>e</w:t>
      </w:r>
      <w:r w:rsidR="004D3D43" w:rsidRPr="00742273">
        <w:t>.</w:t>
      </w:r>
      <w:r w:rsidRPr="00742273">
        <w:t>g</w:t>
      </w:r>
      <w:r w:rsidR="004D3D43" w:rsidRPr="00742273">
        <w:t>.</w:t>
      </w:r>
      <w:r w:rsidRPr="00742273">
        <w:t xml:space="preserve"> </w:t>
      </w:r>
      <w:r w:rsidR="004D3D43" w:rsidRPr="00742273">
        <w:t>full blood count,</w:t>
      </w:r>
      <w:r w:rsidRPr="00742273">
        <w:t xml:space="preserve"> skin checks, and of treating serious infections and malignancies</w:t>
      </w:r>
      <w:r w:rsidR="007E578E">
        <w:t>)</w:t>
      </w:r>
      <w:r w:rsidRPr="00742273">
        <w:t xml:space="preserve">, may vary between the agents and this cannot be assessed without knowledge of the relevant prevalence or severity of these events.  </w:t>
      </w:r>
    </w:p>
    <w:p w:rsidR="00C04056" w:rsidRPr="00742273" w:rsidRDefault="00C04056" w:rsidP="00C04056">
      <w:pPr>
        <w:pStyle w:val="ListParagraph"/>
        <w:widowControl/>
        <w:numPr>
          <w:ilvl w:val="0"/>
          <w:numId w:val="27"/>
        </w:numPr>
        <w:ind w:left="993" w:hanging="284"/>
      </w:pPr>
      <w:r w:rsidRPr="00742273">
        <w:t xml:space="preserve">For the majority of bDMARDs, administration costs are likely to be relevant during the initiation of treatment where a nurse educator may be involved.  Ongoing assistance with subcutaneous administration would only be expected in the minority of circumstances.  </w:t>
      </w:r>
    </w:p>
    <w:p w:rsidR="00FA1CBD" w:rsidRPr="00742273" w:rsidRDefault="00FA1CBD" w:rsidP="00C04056">
      <w:pPr>
        <w:widowControl/>
      </w:pPr>
    </w:p>
    <w:p w:rsidR="005B4F4F" w:rsidRDefault="00FA1CBD" w:rsidP="00FA1CBD">
      <w:pPr>
        <w:pStyle w:val="ListParagraph"/>
        <w:widowControl/>
        <w:numPr>
          <w:ilvl w:val="1"/>
          <w:numId w:val="12"/>
        </w:numPr>
      </w:pPr>
      <w:r w:rsidRPr="00742273">
        <w:t>The ESC noted that although the clinical evidence indicated an equi-effective dose of tofacitinib 5</w:t>
      </w:r>
      <w:r w:rsidR="004D3D43" w:rsidRPr="00742273">
        <w:t xml:space="preserve"> </w:t>
      </w:r>
      <w:r w:rsidRPr="00742273">
        <w:t xml:space="preserve">mg </w:t>
      </w:r>
      <w:r w:rsidR="004D3D43" w:rsidRPr="00742273">
        <w:t>twice daily</w:t>
      </w:r>
      <w:r w:rsidRPr="00742273">
        <w:t xml:space="preserve"> and adalimumab 40</w:t>
      </w:r>
      <w:r w:rsidR="004D3D43" w:rsidRPr="00742273">
        <w:t xml:space="preserve"> </w:t>
      </w:r>
      <w:r w:rsidRPr="00742273">
        <w:t xml:space="preserve">mg subcutaneously every fortnight, the submission calculated treatment costs based on etanercept.  As etanercept </w:t>
      </w:r>
      <w:r w:rsidR="00795AB8" w:rsidRPr="00742273">
        <w:t>i</w:t>
      </w:r>
      <w:r w:rsidRPr="00742273">
        <w:t xml:space="preserve">s also licensed by the sponsor, the </w:t>
      </w:r>
      <w:r w:rsidR="00795AB8" w:rsidRPr="00742273">
        <w:t>sponsor i</w:t>
      </w:r>
      <w:r w:rsidRPr="00742273">
        <w:t xml:space="preserve">s aware of the associated </w:t>
      </w:r>
      <w:r w:rsidR="00795AB8" w:rsidRPr="00742273">
        <w:t>special pricing arrangements</w:t>
      </w:r>
      <w:r w:rsidRPr="00742273">
        <w:t>.  According to the therapeutic relativity sheet, adalimumab for use in RA was recommended for listing on a cost minimisation basis versus etanercept with the equi-effective doses being 40</w:t>
      </w:r>
      <w:r w:rsidR="004D3D43" w:rsidRPr="00742273">
        <w:t xml:space="preserve"> </w:t>
      </w:r>
      <w:r w:rsidRPr="00742273">
        <w:t>mg adalimumab every second week = 25</w:t>
      </w:r>
      <w:r w:rsidR="004D3D43" w:rsidRPr="00742273">
        <w:t xml:space="preserve"> </w:t>
      </w:r>
      <w:r w:rsidRPr="00742273">
        <w:t>mg etanercept twice weekly. By inference, the submission concluded equi-effective doses of tofacitinib 5</w:t>
      </w:r>
      <w:r w:rsidR="004D3D43" w:rsidRPr="00742273">
        <w:t xml:space="preserve"> </w:t>
      </w:r>
      <w:r w:rsidRPr="00742273">
        <w:t xml:space="preserve">mg </w:t>
      </w:r>
      <w:r w:rsidR="004D3D43" w:rsidRPr="00742273">
        <w:t>twice daily</w:t>
      </w:r>
      <w:r w:rsidRPr="00742273">
        <w:t xml:space="preserve"> and etanercept 50</w:t>
      </w:r>
      <w:r w:rsidR="004D3D43" w:rsidRPr="00742273">
        <w:t xml:space="preserve"> </w:t>
      </w:r>
      <w:r w:rsidRPr="00742273">
        <w:t xml:space="preserve">mg subcutaneously every </w:t>
      </w:r>
      <w:r w:rsidR="004D3D43" w:rsidRPr="00742273">
        <w:t xml:space="preserve">second </w:t>
      </w:r>
      <w:r w:rsidRPr="00742273">
        <w:t>week</w:t>
      </w:r>
      <w:r w:rsidRPr="00742273">
        <w:rPr>
          <w:vertAlign w:val="superscript"/>
        </w:rPr>
        <w:footnoteReference w:id="3"/>
      </w:r>
      <w:r w:rsidRPr="00742273">
        <w:t>.  Although this approach was reasonable, the</w:t>
      </w:r>
      <w:r w:rsidR="00486C43" w:rsidRPr="00742273">
        <w:t xml:space="preserve"> ESC agreed with the </w:t>
      </w:r>
      <w:r w:rsidR="00486C43" w:rsidRPr="00742273">
        <w:lastRenderedPageBreak/>
        <w:t>evaluation that the</w:t>
      </w:r>
      <w:r w:rsidRPr="00742273">
        <w:t xml:space="preserve"> clinical evidence </w:t>
      </w:r>
      <w:r w:rsidR="00795AB8" w:rsidRPr="00742273">
        <w:t xml:space="preserve">may </w:t>
      </w:r>
      <w:r w:rsidRPr="00742273">
        <w:t>not adequately support a claim of non-inferiority f</w:t>
      </w:r>
      <w:r w:rsidR="00486C43" w:rsidRPr="00742273">
        <w:t>or safety</w:t>
      </w:r>
      <w:r w:rsidR="004D3D43" w:rsidRPr="00742273">
        <w:t xml:space="preserve"> </w:t>
      </w:r>
      <w:r w:rsidR="00795AB8" w:rsidRPr="00742273">
        <w:t>so</w:t>
      </w:r>
      <w:r w:rsidR="004D3D43" w:rsidRPr="00742273">
        <w:t xml:space="preserve"> a</w:t>
      </w:r>
      <w:r w:rsidR="00795AB8" w:rsidRPr="00742273">
        <w:t xml:space="preserve"> basis for performing a</w:t>
      </w:r>
      <w:r w:rsidR="004D3D43" w:rsidRPr="00742273">
        <w:t xml:space="preserve"> cost-minimisation analysis</w:t>
      </w:r>
      <w:r w:rsidR="00795AB8" w:rsidRPr="00742273">
        <w:t xml:space="preserve"> was yet to be clearly established</w:t>
      </w:r>
      <w:r w:rsidRPr="00742273">
        <w:t xml:space="preserve">. </w:t>
      </w:r>
    </w:p>
    <w:p w:rsidR="005B4F4F" w:rsidRDefault="005B4F4F" w:rsidP="005B4F4F">
      <w:pPr>
        <w:pStyle w:val="ListParagraph"/>
        <w:widowControl/>
      </w:pPr>
    </w:p>
    <w:p w:rsidR="005B4F4F" w:rsidRPr="00742273" w:rsidRDefault="005B4F4F" w:rsidP="005B4F4F">
      <w:pPr>
        <w:pStyle w:val="ListParagraph"/>
        <w:rPr>
          <w:i/>
          <w:szCs w:val="22"/>
        </w:rPr>
      </w:pPr>
      <w:r w:rsidRPr="00940696">
        <w:rPr>
          <w:i/>
          <w:szCs w:val="22"/>
        </w:rPr>
        <w:t>For more detail on PBAC’s view, see section 7 “PBAC outcome”</w:t>
      </w:r>
    </w:p>
    <w:p w:rsidR="00C25D9C" w:rsidRPr="00742273" w:rsidRDefault="00FA1CBD" w:rsidP="005B4F4F">
      <w:pPr>
        <w:pStyle w:val="ListParagraph"/>
        <w:widowControl/>
      </w:pPr>
      <w:r w:rsidRPr="00742273">
        <w:t xml:space="preserve"> </w:t>
      </w:r>
    </w:p>
    <w:p w:rsidR="008175C7" w:rsidRPr="00286F14" w:rsidRDefault="00C25D9C" w:rsidP="002C2775">
      <w:pPr>
        <w:pStyle w:val="Heading2"/>
        <w:rPr>
          <w:i/>
        </w:rPr>
      </w:pPr>
      <w:bookmarkStart w:id="13" w:name="_Toc409100936"/>
      <w:r w:rsidRPr="00286F14">
        <w:rPr>
          <w:i/>
        </w:rPr>
        <w:t>Drug cost/patient/year</w:t>
      </w:r>
    </w:p>
    <w:p w:rsidR="008175C7" w:rsidRPr="00742273" w:rsidRDefault="008175C7" w:rsidP="002C2775">
      <w:pPr>
        <w:pStyle w:val="Heading2"/>
      </w:pPr>
    </w:p>
    <w:p w:rsidR="00A86E8B" w:rsidRPr="00742273" w:rsidRDefault="008175C7" w:rsidP="008175C7">
      <w:pPr>
        <w:pStyle w:val="ListParagraph"/>
        <w:widowControl/>
        <w:numPr>
          <w:ilvl w:val="1"/>
          <w:numId w:val="12"/>
        </w:numPr>
      </w:pPr>
      <w:r w:rsidRPr="00742273">
        <w:t xml:space="preserve">The drug cost/patient/year was estimated to be </w:t>
      </w:r>
      <w:r w:rsidR="00C25D9C" w:rsidRPr="00742273">
        <w:t>$</w:t>
      </w:r>
      <w:bookmarkEnd w:id="13"/>
      <w:r w:rsidR="00583CFA">
        <w:rPr>
          <w:noProof/>
          <w:color w:val="000000"/>
          <w:highlight w:val="black"/>
        </w:rPr>
        <w:t>''''''''''''''''''''''''''</w:t>
      </w:r>
      <w:r w:rsidRPr="00742273">
        <w:t xml:space="preserve">. </w:t>
      </w:r>
      <w:r w:rsidR="00862A04" w:rsidRPr="00742273">
        <w:t>Tofacitinib is intended</w:t>
      </w:r>
      <w:r w:rsidR="00A773A2">
        <w:t xml:space="preserve"> to be long term treatment. </w:t>
      </w:r>
      <w:r w:rsidR="00862A04" w:rsidRPr="00742273">
        <w:t>Drug cost/patient/year is based on an effective daily treatment cost of $</w:t>
      </w:r>
      <w:r w:rsidR="00583CFA">
        <w:rPr>
          <w:noProof/>
          <w:color w:val="000000"/>
          <w:highlight w:val="black"/>
        </w:rPr>
        <w:t>''''''''''''''</w:t>
      </w:r>
      <w:r w:rsidR="00862A04" w:rsidRPr="00742273">
        <w:t xml:space="preserve"> over 365.25 days.  </w:t>
      </w:r>
    </w:p>
    <w:p w:rsidR="008175C7" w:rsidRPr="00742273" w:rsidRDefault="008175C7" w:rsidP="001456B0">
      <w:pPr>
        <w:rPr>
          <w:szCs w:val="22"/>
        </w:rPr>
      </w:pPr>
    </w:p>
    <w:p w:rsidR="00B60939" w:rsidRPr="00742273" w:rsidRDefault="00B60939" w:rsidP="002C2775">
      <w:pPr>
        <w:pStyle w:val="Heading2"/>
      </w:pPr>
      <w:bookmarkStart w:id="14" w:name="_Toc409100937"/>
      <w:r w:rsidRPr="00742273">
        <w:t>Estimated PBS usage &amp; financial implications</w:t>
      </w:r>
      <w:bookmarkEnd w:id="14"/>
    </w:p>
    <w:p w:rsidR="00B60939" w:rsidRPr="00742273" w:rsidRDefault="00B60939" w:rsidP="00B60939">
      <w:pPr>
        <w:ind w:left="720" w:hanging="720"/>
        <w:rPr>
          <w:b/>
          <w:szCs w:val="22"/>
        </w:rPr>
      </w:pPr>
    </w:p>
    <w:p w:rsidR="00615818" w:rsidRPr="00BF5B9C" w:rsidRDefault="00BF5B9C" w:rsidP="00BF5B9C">
      <w:pPr>
        <w:pStyle w:val="ListParagraph"/>
        <w:widowControl/>
        <w:numPr>
          <w:ilvl w:val="1"/>
          <w:numId w:val="12"/>
        </w:numPr>
        <w:rPr>
          <w:szCs w:val="22"/>
        </w:rPr>
      </w:pPr>
      <w:r>
        <w:rPr>
          <w:bCs/>
        </w:rPr>
        <w:t>The submission used</w:t>
      </w:r>
      <w:r w:rsidRPr="00BF5B9C">
        <w:rPr>
          <w:bCs/>
        </w:rPr>
        <w:t xml:space="preserve"> a market share approach to estimate the utilisation and financial implications associated with the requested PBS listing of tofacitinib</w:t>
      </w:r>
      <w:r w:rsidR="00645C26">
        <w:rPr>
          <w:bCs/>
        </w:rPr>
        <w:t xml:space="preserve"> </w:t>
      </w:r>
      <w:r w:rsidR="00645C26" w:rsidRPr="00645C26">
        <w:t>on the PBS for severe rheumatoid arthritis (RA)</w:t>
      </w:r>
      <w:r w:rsidRPr="00BF5B9C">
        <w:rPr>
          <w:bCs/>
        </w:rPr>
        <w:t>.</w:t>
      </w:r>
      <w:r>
        <w:rPr>
          <w:bCs/>
        </w:rPr>
        <w:t xml:space="preserve"> </w:t>
      </w:r>
    </w:p>
    <w:p w:rsidR="00BF5B9C" w:rsidRDefault="00BF5B9C" w:rsidP="00BF5B9C">
      <w:pPr>
        <w:pStyle w:val="ListParagraph"/>
        <w:widowControl/>
        <w:rPr>
          <w:szCs w:val="22"/>
        </w:rPr>
      </w:pPr>
    </w:p>
    <w:p w:rsidR="00341281" w:rsidRPr="00BF5B9C" w:rsidRDefault="00341281" w:rsidP="00BF5B9C">
      <w:pPr>
        <w:pStyle w:val="ListParagraph"/>
        <w:widowControl/>
        <w:rPr>
          <w:szCs w:val="22"/>
        </w:rPr>
      </w:pPr>
    </w:p>
    <w:p w:rsidR="00BF5B9C" w:rsidRPr="00A93C21" w:rsidRDefault="00BF5B9C" w:rsidP="00BF5B9C">
      <w:pPr>
        <w:keepNext/>
        <w:keepLines/>
        <w:rPr>
          <w:rFonts w:ascii="Arial Narrow" w:hAnsi="Arial Narrow"/>
          <w:b/>
          <w:sz w:val="20"/>
          <w:szCs w:val="16"/>
        </w:rPr>
      </w:pPr>
      <w:r w:rsidRPr="00A93C21">
        <w:rPr>
          <w:rFonts w:ascii="Arial Narrow" w:hAnsi="Arial Narrow"/>
          <w:b/>
          <w:sz w:val="20"/>
          <w:szCs w:val="16"/>
        </w:rPr>
        <w:t xml:space="preserve">Estimated use and financial implications of listing </w:t>
      </w:r>
      <w:r>
        <w:rPr>
          <w:rFonts w:ascii="Arial Narrow" w:hAnsi="Arial Narrow"/>
          <w:b/>
          <w:sz w:val="20"/>
          <w:szCs w:val="16"/>
        </w:rPr>
        <w:t>tofacitinib in the first five years</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PBS usage &amp; financial implications"/>
      </w:tblPr>
      <w:tblGrid>
        <w:gridCol w:w="1080"/>
        <w:gridCol w:w="921"/>
        <w:gridCol w:w="1119"/>
        <w:gridCol w:w="1193"/>
        <w:gridCol w:w="1193"/>
        <w:gridCol w:w="1193"/>
        <w:gridCol w:w="1193"/>
        <w:gridCol w:w="1190"/>
      </w:tblGrid>
      <w:tr w:rsidR="00BF5B9C" w:rsidRPr="004E2ADC" w:rsidTr="00C26C41">
        <w:trPr>
          <w:tblHeader/>
        </w:trPr>
        <w:tc>
          <w:tcPr>
            <w:tcW w:w="1717" w:type="pct"/>
            <w:gridSpan w:val="3"/>
            <w:shd w:val="clear" w:color="auto" w:fill="auto"/>
            <w:vAlign w:val="center"/>
          </w:tcPr>
          <w:p w:rsidR="00BF5B9C" w:rsidRPr="004E2ADC" w:rsidRDefault="00BF5B9C" w:rsidP="00C26C41">
            <w:pPr>
              <w:tabs>
                <w:tab w:val="left" w:pos="142"/>
              </w:tabs>
              <w:jc w:val="left"/>
              <w:rPr>
                <w:rFonts w:ascii="Arial Narrow" w:hAnsi="Arial Narrow"/>
                <w:b/>
                <w:sz w:val="20"/>
              </w:rPr>
            </w:pPr>
          </w:p>
        </w:tc>
        <w:tc>
          <w:tcPr>
            <w:tcW w:w="657" w:type="pct"/>
            <w:shd w:val="clear" w:color="auto" w:fill="auto"/>
            <w:vAlign w:val="center"/>
          </w:tcPr>
          <w:p w:rsidR="00BF5B9C" w:rsidRPr="004E2ADC" w:rsidRDefault="00BF5B9C" w:rsidP="00C26C41">
            <w:pPr>
              <w:jc w:val="center"/>
              <w:rPr>
                <w:rFonts w:ascii="Arial Narrow" w:hAnsi="Arial Narrow"/>
                <w:b/>
                <w:sz w:val="20"/>
              </w:rPr>
            </w:pPr>
            <w:r w:rsidRPr="004E2ADC">
              <w:rPr>
                <w:rFonts w:ascii="Arial Narrow" w:hAnsi="Arial Narrow"/>
                <w:b/>
                <w:sz w:val="20"/>
              </w:rPr>
              <w:t>Year 1</w:t>
            </w:r>
          </w:p>
        </w:tc>
        <w:tc>
          <w:tcPr>
            <w:tcW w:w="657" w:type="pct"/>
            <w:shd w:val="clear" w:color="auto" w:fill="auto"/>
            <w:vAlign w:val="center"/>
          </w:tcPr>
          <w:p w:rsidR="00BF5B9C" w:rsidRPr="004E2ADC" w:rsidRDefault="00BF5B9C" w:rsidP="00C26C41">
            <w:pPr>
              <w:jc w:val="center"/>
              <w:rPr>
                <w:rFonts w:ascii="Arial Narrow" w:hAnsi="Arial Narrow"/>
                <w:b/>
                <w:sz w:val="20"/>
              </w:rPr>
            </w:pPr>
            <w:r w:rsidRPr="004E2ADC">
              <w:rPr>
                <w:rFonts w:ascii="Arial Narrow" w:hAnsi="Arial Narrow"/>
                <w:b/>
                <w:sz w:val="20"/>
              </w:rPr>
              <w:t>Year 2</w:t>
            </w:r>
          </w:p>
        </w:tc>
        <w:tc>
          <w:tcPr>
            <w:tcW w:w="657" w:type="pct"/>
            <w:shd w:val="clear" w:color="auto" w:fill="auto"/>
            <w:vAlign w:val="center"/>
          </w:tcPr>
          <w:p w:rsidR="00BF5B9C" w:rsidRPr="004E2ADC" w:rsidRDefault="00BF5B9C" w:rsidP="00C26C41">
            <w:pPr>
              <w:jc w:val="center"/>
              <w:rPr>
                <w:rFonts w:ascii="Arial Narrow" w:hAnsi="Arial Narrow"/>
                <w:b/>
                <w:sz w:val="20"/>
              </w:rPr>
            </w:pPr>
            <w:r w:rsidRPr="004E2ADC">
              <w:rPr>
                <w:rFonts w:ascii="Arial Narrow" w:hAnsi="Arial Narrow"/>
                <w:b/>
                <w:sz w:val="20"/>
              </w:rPr>
              <w:t>Year 3</w:t>
            </w:r>
          </w:p>
        </w:tc>
        <w:tc>
          <w:tcPr>
            <w:tcW w:w="657" w:type="pct"/>
            <w:shd w:val="clear" w:color="auto" w:fill="auto"/>
            <w:vAlign w:val="center"/>
          </w:tcPr>
          <w:p w:rsidR="00BF5B9C" w:rsidRPr="004E2ADC" w:rsidRDefault="00BF5B9C" w:rsidP="00C26C41">
            <w:pPr>
              <w:jc w:val="center"/>
              <w:rPr>
                <w:rFonts w:ascii="Arial Narrow" w:hAnsi="Arial Narrow"/>
                <w:b/>
                <w:sz w:val="20"/>
              </w:rPr>
            </w:pPr>
            <w:r w:rsidRPr="004E2ADC">
              <w:rPr>
                <w:rFonts w:ascii="Arial Narrow" w:hAnsi="Arial Narrow"/>
                <w:b/>
                <w:sz w:val="20"/>
              </w:rPr>
              <w:t>Year 4</w:t>
            </w:r>
          </w:p>
        </w:tc>
        <w:tc>
          <w:tcPr>
            <w:tcW w:w="655" w:type="pct"/>
            <w:shd w:val="clear" w:color="auto" w:fill="auto"/>
            <w:vAlign w:val="center"/>
          </w:tcPr>
          <w:p w:rsidR="00BF5B9C" w:rsidRPr="004E2ADC" w:rsidRDefault="00BF5B9C" w:rsidP="00C26C41">
            <w:pPr>
              <w:jc w:val="center"/>
              <w:rPr>
                <w:rFonts w:ascii="Arial Narrow" w:hAnsi="Arial Narrow"/>
                <w:b/>
                <w:sz w:val="20"/>
              </w:rPr>
            </w:pPr>
            <w:r w:rsidRPr="004E2ADC">
              <w:rPr>
                <w:rFonts w:ascii="Arial Narrow" w:hAnsi="Arial Narrow"/>
                <w:b/>
                <w:sz w:val="20"/>
              </w:rPr>
              <w:t>Year 5</w:t>
            </w:r>
          </w:p>
        </w:tc>
      </w:tr>
      <w:tr w:rsidR="00BF5B9C" w:rsidRPr="004E2ADC" w:rsidTr="00C26C41">
        <w:tc>
          <w:tcPr>
            <w:tcW w:w="5000" w:type="pct"/>
            <w:gridSpan w:val="8"/>
            <w:shd w:val="clear" w:color="auto" w:fill="auto"/>
            <w:vAlign w:val="center"/>
          </w:tcPr>
          <w:p w:rsidR="00BF5B9C" w:rsidRPr="004E2ADC" w:rsidRDefault="00BF5B9C" w:rsidP="00C26C41">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BF5B9C" w:rsidRPr="004E2ADC" w:rsidTr="00C26C41">
        <w:tc>
          <w:tcPr>
            <w:tcW w:w="594" w:type="pct"/>
            <w:vMerge w:val="restart"/>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 xml:space="preserve">Tofacitinib </w:t>
            </w:r>
          </w:p>
        </w:tc>
        <w:tc>
          <w:tcPr>
            <w:tcW w:w="1123" w:type="pct"/>
            <w:gridSpan w:val="2"/>
            <w:shd w:val="clear" w:color="auto" w:fill="auto"/>
            <w:vAlign w:val="center"/>
          </w:tcPr>
          <w:p w:rsidR="00BF5B9C" w:rsidRDefault="00BF5B9C" w:rsidP="00C26C41">
            <w:pPr>
              <w:tabs>
                <w:tab w:val="left" w:pos="142"/>
              </w:tabs>
              <w:jc w:val="left"/>
              <w:rPr>
                <w:rFonts w:ascii="Arial Narrow" w:hAnsi="Arial Narrow"/>
                <w:sz w:val="20"/>
              </w:rPr>
            </w:pPr>
            <w:r>
              <w:rPr>
                <w:rFonts w:ascii="Arial Narrow" w:hAnsi="Arial Narrow"/>
                <w:sz w:val="20"/>
              </w:rPr>
              <w:t xml:space="preserve">Treatment months </w:t>
            </w:r>
          </w:p>
          <w:p w:rsidR="00BF5B9C" w:rsidRPr="004E2ADC" w:rsidRDefault="00BF5B9C" w:rsidP="00C26C41">
            <w:pPr>
              <w:tabs>
                <w:tab w:val="left" w:pos="142"/>
              </w:tabs>
              <w:jc w:val="left"/>
              <w:rPr>
                <w:rFonts w:ascii="Arial Narrow" w:hAnsi="Arial Narrow"/>
                <w:sz w:val="20"/>
              </w:rPr>
            </w:pPr>
            <w:r>
              <w:rPr>
                <w:rFonts w:ascii="Arial Narrow" w:hAnsi="Arial Narrow"/>
                <w:sz w:val="20"/>
              </w:rPr>
              <w:t>(market share, %)</w:t>
            </w:r>
          </w:p>
        </w:tc>
        <w:tc>
          <w:tcPr>
            <w:tcW w:w="657" w:type="pct"/>
            <w:shd w:val="clear" w:color="auto" w:fill="auto"/>
            <w:vAlign w:val="center"/>
          </w:tcPr>
          <w:p w:rsidR="00BF5B9C" w:rsidRPr="004E2ADC" w:rsidRDefault="00583CFA" w:rsidP="00C26C41">
            <w:pPr>
              <w:jc w:val="right"/>
              <w:rPr>
                <w:rFonts w:ascii="Arial Narrow" w:hAnsi="Arial Narrow"/>
                <w:bCs/>
                <w:color w:val="000000"/>
                <w:sz w:val="20"/>
              </w:rPr>
            </w:pPr>
            <w:r>
              <w:rPr>
                <w:rFonts w:ascii="Arial Narrow" w:hAnsi="Arial Narrow"/>
                <w:noProof/>
                <w:color w:val="000000"/>
                <w:sz w:val="20"/>
                <w:highlight w:val="black"/>
              </w:rPr>
              <w:t>'''''''''''''''</w:t>
            </w:r>
            <w:r w:rsidR="00BF5B9C">
              <w:rPr>
                <w:rFonts w:ascii="Arial Narrow" w:hAnsi="Arial Narrow"/>
                <w:sz w:val="20"/>
              </w:rPr>
              <w:t xml:space="preserve"> (</w:t>
            </w:r>
            <w:r>
              <w:rPr>
                <w:rFonts w:ascii="Arial Narrow" w:hAnsi="Arial Narrow"/>
                <w:noProof/>
                <w:color w:val="000000"/>
                <w:sz w:val="20"/>
                <w:highlight w:val="black"/>
              </w:rPr>
              <w:t>'''''''''</w:t>
            </w:r>
            <w:r w:rsidR="00BF5B9C">
              <w:rPr>
                <w:rFonts w:ascii="Arial Narrow" w:hAnsi="Arial Narrow"/>
                <w:sz w:val="20"/>
              </w:rPr>
              <w:t>%)</w:t>
            </w:r>
          </w:p>
        </w:tc>
        <w:tc>
          <w:tcPr>
            <w:tcW w:w="657" w:type="pct"/>
            <w:shd w:val="clear" w:color="auto" w:fill="auto"/>
            <w:vAlign w:val="center"/>
          </w:tcPr>
          <w:p w:rsidR="00BF5B9C" w:rsidRPr="004E2ADC" w:rsidRDefault="00583CFA" w:rsidP="00C26C41">
            <w:pPr>
              <w:jc w:val="right"/>
              <w:rPr>
                <w:rFonts w:ascii="Arial Narrow" w:hAnsi="Arial Narrow"/>
                <w:bCs/>
                <w:color w:val="000000"/>
                <w:sz w:val="20"/>
              </w:rPr>
            </w:pPr>
            <w:r>
              <w:rPr>
                <w:rFonts w:ascii="Arial Narrow" w:hAnsi="Arial Narrow"/>
                <w:noProof/>
                <w:color w:val="000000"/>
                <w:sz w:val="20"/>
                <w:highlight w:val="black"/>
              </w:rPr>
              <w:t>''''''''''''''''</w:t>
            </w:r>
            <w:r w:rsidR="00BF5B9C">
              <w:rPr>
                <w:rFonts w:ascii="Arial Narrow" w:hAnsi="Arial Narrow"/>
                <w:sz w:val="20"/>
              </w:rPr>
              <w:t xml:space="preserve"> (</w:t>
            </w:r>
            <w:r>
              <w:rPr>
                <w:rFonts w:ascii="Arial Narrow" w:hAnsi="Arial Narrow"/>
                <w:noProof/>
                <w:color w:val="000000"/>
                <w:sz w:val="20"/>
                <w:highlight w:val="black"/>
              </w:rPr>
              <w:t>''''''''</w:t>
            </w:r>
            <w:r w:rsidR="00BF5B9C">
              <w:rPr>
                <w:rFonts w:ascii="Arial Narrow" w:hAnsi="Arial Narrow"/>
                <w:sz w:val="20"/>
              </w:rPr>
              <w:t>%)</w:t>
            </w:r>
          </w:p>
        </w:tc>
        <w:tc>
          <w:tcPr>
            <w:tcW w:w="657" w:type="pct"/>
            <w:shd w:val="clear" w:color="auto" w:fill="auto"/>
            <w:vAlign w:val="center"/>
          </w:tcPr>
          <w:p w:rsidR="00BF5B9C" w:rsidRPr="004E2ADC" w:rsidRDefault="00583CFA" w:rsidP="00C26C41">
            <w:pPr>
              <w:jc w:val="right"/>
              <w:rPr>
                <w:rFonts w:ascii="Arial Narrow" w:hAnsi="Arial Narrow"/>
                <w:bCs/>
                <w:color w:val="000000"/>
                <w:sz w:val="20"/>
              </w:rPr>
            </w:pPr>
            <w:r>
              <w:rPr>
                <w:rFonts w:ascii="Arial Narrow" w:hAnsi="Arial Narrow"/>
                <w:noProof/>
                <w:color w:val="000000"/>
                <w:sz w:val="20"/>
                <w:highlight w:val="black"/>
              </w:rPr>
              <w:t>''''''''''''''''</w:t>
            </w:r>
            <w:r w:rsidR="00BF5B9C">
              <w:rPr>
                <w:rFonts w:ascii="Arial Narrow" w:hAnsi="Arial Narrow"/>
                <w:sz w:val="20"/>
              </w:rPr>
              <w:t xml:space="preserve"> (</w:t>
            </w:r>
            <w:r>
              <w:rPr>
                <w:rFonts w:ascii="Arial Narrow" w:hAnsi="Arial Narrow"/>
                <w:noProof/>
                <w:color w:val="000000"/>
                <w:sz w:val="20"/>
                <w:highlight w:val="black"/>
              </w:rPr>
              <w:t>'''''''</w:t>
            </w:r>
            <w:r w:rsidR="00BF5B9C">
              <w:rPr>
                <w:rFonts w:ascii="Arial Narrow" w:hAnsi="Arial Narrow"/>
                <w:sz w:val="20"/>
              </w:rPr>
              <w:t>%)</w:t>
            </w:r>
          </w:p>
        </w:tc>
        <w:tc>
          <w:tcPr>
            <w:tcW w:w="657" w:type="pct"/>
            <w:shd w:val="clear" w:color="auto" w:fill="auto"/>
            <w:vAlign w:val="center"/>
          </w:tcPr>
          <w:p w:rsidR="00BF5B9C" w:rsidRPr="004E2ADC" w:rsidRDefault="00583CFA" w:rsidP="00C26C41">
            <w:pPr>
              <w:jc w:val="right"/>
              <w:rPr>
                <w:rFonts w:ascii="Arial Narrow" w:hAnsi="Arial Narrow"/>
                <w:bCs/>
                <w:color w:val="000000"/>
                <w:sz w:val="20"/>
              </w:rPr>
            </w:pPr>
            <w:r>
              <w:rPr>
                <w:rFonts w:ascii="Arial Narrow" w:hAnsi="Arial Narrow"/>
                <w:noProof/>
                <w:color w:val="000000"/>
                <w:sz w:val="20"/>
                <w:highlight w:val="black"/>
              </w:rPr>
              <w:t>''''''''''''''''</w:t>
            </w:r>
            <w:r w:rsidR="00BF5B9C">
              <w:rPr>
                <w:rFonts w:ascii="Arial Narrow" w:hAnsi="Arial Narrow"/>
                <w:sz w:val="20"/>
              </w:rPr>
              <w:t xml:space="preserve"> (</w:t>
            </w:r>
            <w:r>
              <w:rPr>
                <w:rFonts w:ascii="Arial Narrow" w:hAnsi="Arial Narrow"/>
                <w:noProof/>
                <w:color w:val="000000"/>
                <w:sz w:val="20"/>
                <w:highlight w:val="black"/>
              </w:rPr>
              <w:t>''''''''''</w:t>
            </w:r>
            <w:r w:rsidR="00BF5B9C">
              <w:rPr>
                <w:rFonts w:ascii="Arial Narrow" w:hAnsi="Arial Narrow"/>
                <w:sz w:val="20"/>
              </w:rPr>
              <w:t>%)</w:t>
            </w:r>
          </w:p>
        </w:tc>
        <w:tc>
          <w:tcPr>
            <w:tcW w:w="655" w:type="pct"/>
            <w:shd w:val="clear" w:color="auto" w:fill="auto"/>
            <w:vAlign w:val="center"/>
          </w:tcPr>
          <w:p w:rsidR="00BF5B9C" w:rsidRPr="004E2ADC" w:rsidRDefault="00583CFA" w:rsidP="00C26C41">
            <w:pPr>
              <w:jc w:val="right"/>
              <w:rPr>
                <w:rFonts w:ascii="Arial Narrow" w:hAnsi="Arial Narrow"/>
                <w:bCs/>
                <w:color w:val="000000"/>
                <w:sz w:val="20"/>
              </w:rPr>
            </w:pPr>
            <w:r>
              <w:rPr>
                <w:rFonts w:ascii="Arial Narrow" w:hAnsi="Arial Narrow"/>
                <w:noProof/>
                <w:color w:val="000000"/>
                <w:sz w:val="20"/>
                <w:highlight w:val="black"/>
              </w:rPr>
              <w:t>'''''''''''''''''</w:t>
            </w:r>
            <w:r w:rsidR="00BF5B9C">
              <w:rPr>
                <w:rFonts w:ascii="Arial Narrow" w:hAnsi="Arial Narrow"/>
                <w:sz w:val="20"/>
              </w:rPr>
              <w:t xml:space="preserve"> (</w:t>
            </w:r>
            <w:r>
              <w:rPr>
                <w:rFonts w:ascii="Arial Narrow" w:hAnsi="Arial Narrow"/>
                <w:noProof/>
                <w:color w:val="000000"/>
                <w:sz w:val="20"/>
                <w:highlight w:val="black"/>
              </w:rPr>
              <w:t>''''''''''</w:t>
            </w:r>
            <w:r w:rsidR="00BF5B9C">
              <w:rPr>
                <w:rFonts w:ascii="Arial Narrow" w:hAnsi="Arial Narrow"/>
                <w:sz w:val="20"/>
              </w:rPr>
              <w:t>%)</w:t>
            </w:r>
          </w:p>
        </w:tc>
      </w:tr>
      <w:tr w:rsidR="00BF5B9C" w:rsidRPr="004E2ADC" w:rsidTr="00C26C41">
        <w:tc>
          <w:tcPr>
            <w:tcW w:w="594"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1123" w:type="pct"/>
            <w:gridSpan w:val="2"/>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Net costs</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5"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r>
      <w:tr w:rsidR="00BF5B9C" w:rsidRPr="004E2ADC" w:rsidTr="00C26C41">
        <w:tc>
          <w:tcPr>
            <w:tcW w:w="594" w:type="pct"/>
            <w:vMerge w:val="restart"/>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bDMARDs substituted by tofacitinib</w:t>
            </w:r>
          </w:p>
        </w:tc>
        <w:tc>
          <w:tcPr>
            <w:tcW w:w="507" w:type="pct"/>
            <w:vMerge w:val="restart"/>
            <w:shd w:val="clear" w:color="auto" w:fill="auto"/>
            <w:vAlign w:val="center"/>
          </w:tcPr>
          <w:p w:rsidR="00BF5B9C" w:rsidRDefault="00BF5B9C" w:rsidP="00C26C41">
            <w:pPr>
              <w:tabs>
                <w:tab w:val="left" w:pos="142"/>
              </w:tabs>
              <w:jc w:val="left"/>
              <w:rPr>
                <w:rFonts w:ascii="Arial Narrow" w:hAnsi="Arial Narrow"/>
                <w:sz w:val="20"/>
              </w:rPr>
            </w:pPr>
            <w:r>
              <w:rPr>
                <w:rFonts w:ascii="Arial Narrow" w:hAnsi="Arial Narrow"/>
                <w:sz w:val="20"/>
              </w:rPr>
              <w:t>Treatment months</w:t>
            </w:r>
          </w:p>
          <w:p w:rsidR="00BF5B9C" w:rsidRPr="004E2ADC" w:rsidRDefault="00BF5B9C" w:rsidP="00C26C41">
            <w:pPr>
              <w:tabs>
                <w:tab w:val="left" w:pos="142"/>
              </w:tabs>
              <w:jc w:val="left"/>
              <w:rPr>
                <w:rFonts w:ascii="Arial Narrow" w:hAnsi="Arial Narrow"/>
                <w:sz w:val="20"/>
              </w:rPr>
            </w:pPr>
            <w:r>
              <w:rPr>
                <w:rFonts w:ascii="Arial Narrow" w:hAnsi="Arial Narrow"/>
                <w:sz w:val="20"/>
              </w:rPr>
              <w:t>(market share, %)</w:t>
            </w:r>
          </w:p>
        </w:tc>
        <w:tc>
          <w:tcPr>
            <w:tcW w:w="616" w:type="pct"/>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Etanercept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61,986</w:t>
            </w:r>
            <w:r>
              <w:rPr>
                <w:rFonts w:ascii="Arial Narrow" w:hAnsi="Arial Narrow"/>
                <w:sz w:val="20"/>
              </w:rPr>
              <w:t xml:space="preserve"> (22.5%)</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65,889</w:t>
            </w:r>
            <w:r>
              <w:rPr>
                <w:rFonts w:ascii="Arial Narrow" w:hAnsi="Arial Narrow"/>
                <w:sz w:val="20"/>
              </w:rPr>
              <w:t xml:space="preserve"> (21.7%)</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70,298</w:t>
            </w:r>
            <w:r>
              <w:rPr>
                <w:rFonts w:ascii="Arial Narrow" w:hAnsi="Arial Narrow"/>
                <w:sz w:val="20"/>
              </w:rPr>
              <w:t xml:space="preserve"> (21.2%)</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74,586</w:t>
            </w:r>
            <w:r>
              <w:rPr>
                <w:rFonts w:ascii="Arial Narrow" w:hAnsi="Arial Narrow"/>
                <w:sz w:val="20"/>
              </w:rPr>
              <w:t xml:space="preserve"> (20.8%)</w:t>
            </w:r>
          </w:p>
        </w:tc>
        <w:tc>
          <w:tcPr>
            <w:tcW w:w="655"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78,477</w:t>
            </w:r>
            <w:r>
              <w:rPr>
                <w:rFonts w:ascii="Arial Narrow" w:hAnsi="Arial Narrow"/>
                <w:sz w:val="20"/>
              </w:rPr>
              <w:t xml:space="preserve"> (20.3%)</w:t>
            </w:r>
          </w:p>
        </w:tc>
      </w:tr>
      <w:tr w:rsidR="00BF5B9C" w:rsidRPr="004E2ADC" w:rsidTr="00C26C41">
        <w:tc>
          <w:tcPr>
            <w:tcW w:w="594"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507"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616" w:type="pct"/>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Adalimumab</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69,536</w:t>
            </w:r>
            <w:r>
              <w:rPr>
                <w:rFonts w:ascii="Arial Narrow" w:hAnsi="Arial Narrow"/>
                <w:sz w:val="20"/>
              </w:rPr>
              <w:t xml:space="preserve"> (25.2%)</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74,195</w:t>
            </w:r>
            <w:r>
              <w:rPr>
                <w:rFonts w:ascii="Arial Narrow" w:hAnsi="Arial Narrow"/>
                <w:sz w:val="20"/>
              </w:rPr>
              <w:t xml:space="preserve"> (24.5%)</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79,361</w:t>
            </w:r>
            <w:r>
              <w:rPr>
                <w:rFonts w:ascii="Arial Narrow" w:hAnsi="Arial Narrow"/>
                <w:sz w:val="20"/>
              </w:rPr>
              <w:t xml:space="preserve"> (24.0%)</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84,405</w:t>
            </w:r>
            <w:r>
              <w:rPr>
                <w:rFonts w:ascii="Arial Narrow" w:hAnsi="Arial Narrow"/>
                <w:sz w:val="20"/>
              </w:rPr>
              <w:t xml:space="preserve"> (23.5%)</w:t>
            </w:r>
          </w:p>
        </w:tc>
        <w:tc>
          <w:tcPr>
            <w:tcW w:w="655"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89,052</w:t>
            </w:r>
            <w:r>
              <w:rPr>
                <w:rFonts w:ascii="Arial Narrow" w:hAnsi="Arial Narrow"/>
                <w:sz w:val="20"/>
              </w:rPr>
              <w:t xml:space="preserve"> (23.1%)</w:t>
            </w:r>
          </w:p>
        </w:tc>
      </w:tr>
      <w:tr w:rsidR="00BF5B9C" w:rsidRPr="004E2ADC" w:rsidTr="00C26C41">
        <w:tc>
          <w:tcPr>
            <w:tcW w:w="594"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507"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616" w:type="pct"/>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Other bDMARDs</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125,988</w:t>
            </w:r>
            <w:r>
              <w:rPr>
                <w:rFonts w:ascii="Arial Narrow" w:hAnsi="Arial Narrow"/>
                <w:sz w:val="20"/>
              </w:rPr>
              <w:t xml:space="preserve"> (45.7%)</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137,453</w:t>
            </w:r>
            <w:r>
              <w:rPr>
                <w:rFonts w:ascii="Arial Narrow" w:hAnsi="Arial Narrow"/>
                <w:sz w:val="20"/>
              </w:rPr>
              <w:t xml:space="preserve"> (45.3%)</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149,172</w:t>
            </w:r>
            <w:r>
              <w:rPr>
                <w:rFonts w:ascii="Arial Narrow" w:hAnsi="Arial Narrow"/>
                <w:sz w:val="20"/>
              </w:rPr>
              <w:t xml:space="preserve"> (45.1%)</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160,830</w:t>
            </w:r>
            <w:r>
              <w:rPr>
                <w:rFonts w:ascii="Arial Narrow" w:hAnsi="Arial Narrow"/>
                <w:sz w:val="20"/>
              </w:rPr>
              <w:t xml:space="preserve"> (44.9%)</w:t>
            </w:r>
          </w:p>
        </w:tc>
        <w:tc>
          <w:tcPr>
            <w:tcW w:w="655" w:type="pct"/>
            <w:shd w:val="clear" w:color="auto" w:fill="auto"/>
            <w:vAlign w:val="center"/>
          </w:tcPr>
          <w:p w:rsidR="00BF5B9C" w:rsidRPr="004E2ADC" w:rsidRDefault="00BF5B9C" w:rsidP="00C26C41">
            <w:pPr>
              <w:jc w:val="right"/>
              <w:rPr>
                <w:rFonts w:ascii="Arial Narrow" w:hAnsi="Arial Narrow"/>
                <w:bCs/>
                <w:color w:val="000000"/>
                <w:sz w:val="20"/>
              </w:rPr>
            </w:pPr>
            <w:r w:rsidRPr="006C73FB">
              <w:rPr>
                <w:rFonts w:ascii="Arial Narrow" w:hAnsi="Arial Narrow"/>
                <w:sz w:val="20"/>
              </w:rPr>
              <w:t>172,289</w:t>
            </w:r>
            <w:r>
              <w:rPr>
                <w:rFonts w:ascii="Arial Narrow" w:hAnsi="Arial Narrow"/>
                <w:sz w:val="20"/>
              </w:rPr>
              <w:t xml:space="preserve"> (44.6%)</w:t>
            </w:r>
          </w:p>
        </w:tc>
      </w:tr>
      <w:tr w:rsidR="00BF5B9C" w:rsidRPr="004E2ADC" w:rsidTr="00C26C41">
        <w:tc>
          <w:tcPr>
            <w:tcW w:w="594" w:type="pct"/>
            <w:vMerge/>
            <w:shd w:val="clear" w:color="auto" w:fill="auto"/>
            <w:vAlign w:val="center"/>
          </w:tcPr>
          <w:p w:rsidR="00BF5B9C" w:rsidRPr="004E2ADC" w:rsidRDefault="00BF5B9C" w:rsidP="00C26C41">
            <w:pPr>
              <w:tabs>
                <w:tab w:val="left" w:pos="142"/>
              </w:tabs>
              <w:jc w:val="left"/>
              <w:rPr>
                <w:rFonts w:ascii="Arial Narrow" w:hAnsi="Arial Narrow"/>
                <w:sz w:val="20"/>
              </w:rPr>
            </w:pPr>
          </w:p>
        </w:tc>
        <w:tc>
          <w:tcPr>
            <w:tcW w:w="1123" w:type="pct"/>
            <w:gridSpan w:val="2"/>
            <w:shd w:val="clear" w:color="auto" w:fill="auto"/>
            <w:vAlign w:val="center"/>
          </w:tcPr>
          <w:p w:rsidR="00BF5B9C" w:rsidRPr="004E2ADC" w:rsidRDefault="00BF5B9C" w:rsidP="00C26C41">
            <w:pPr>
              <w:tabs>
                <w:tab w:val="left" w:pos="142"/>
              </w:tabs>
              <w:jc w:val="left"/>
              <w:rPr>
                <w:rFonts w:ascii="Arial Narrow" w:hAnsi="Arial Narrow"/>
                <w:sz w:val="20"/>
              </w:rPr>
            </w:pPr>
            <w:r>
              <w:rPr>
                <w:rFonts w:ascii="Arial Narrow" w:hAnsi="Arial Narrow"/>
                <w:sz w:val="20"/>
              </w:rPr>
              <w:t>Net costs</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7"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c>
          <w:tcPr>
            <w:tcW w:w="655" w:type="pct"/>
            <w:shd w:val="clear" w:color="auto" w:fill="auto"/>
            <w:vAlign w:val="center"/>
          </w:tcPr>
          <w:p w:rsidR="00BF5B9C" w:rsidRPr="004E2ADC" w:rsidRDefault="00BF5B9C" w:rsidP="00C26C41">
            <w:pPr>
              <w:jc w:val="right"/>
              <w:rPr>
                <w:rFonts w:ascii="Arial Narrow" w:hAnsi="Arial Narrow"/>
                <w:bCs/>
                <w:color w:val="000000"/>
                <w:sz w:val="20"/>
              </w:rPr>
            </w:pPr>
            <w:r w:rsidRPr="00775549">
              <w:rPr>
                <w:rFonts w:ascii="Arial Narrow" w:hAnsi="Arial Narrow"/>
                <w:bCs/>
                <w:sz w:val="20"/>
              </w:rPr>
              <w:t>$</w:t>
            </w:r>
            <w:r w:rsidR="00583CFA">
              <w:rPr>
                <w:rFonts w:ascii="Arial Narrow" w:hAnsi="Arial Narrow"/>
                <w:bCs/>
                <w:noProof/>
                <w:color w:val="000000"/>
                <w:sz w:val="20"/>
                <w:highlight w:val="black"/>
              </w:rPr>
              <w:t>''''''''''''''''''''''''</w:t>
            </w:r>
          </w:p>
        </w:tc>
      </w:tr>
      <w:tr w:rsidR="00BF5B9C" w:rsidRPr="004E2ADC" w:rsidTr="00C26C41">
        <w:tc>
          <w:tcPr>
            <w:tcW w:w="5000" w:type="pct"/>
            <w:gridSpan w:val="8"/>
            <w:shd w:val="clear" w:color="auto" w:fill="auto"/>
            <w:vAlign w:val="center"/>
          </w:tcPr>
          <w:p w:rsidR="00BF5B9C" w:rsidRPr="004E2ADC" w:rsidRDefault="00BF5B9C" w:rsidP="00C26C41">
            <w:pPr>
              <w:jc w:val="left"/>
              <w:rPr>
                <w:rFonts w:ascii="Arial Narrow" w:hAnsi="Arial Narrow"/>
                <w:b/>
                <w:bCs/>
                <w:color w:val="000000"/>
                <w:sz w:val="20"/>
              </w:rPr>
            </w:pPr>
            <w:r w:rsidRPr="004E2ADC">
              <w:rPr>
                <w:rFonts w:ascii="Arial Narrow" w:hAnsi="Arial Narrow"/>
                <w:b/>
                <w:bCs/>
                <w:color w:val="000000"/>
                <w:sz w:val="20"/>
              </w:rPr>
              <w:t>Es</w:t>
            </w:r>
            <w:r>
              <w:rPr>
                <w:rFonts w:ascii="Arial Narrow" w:hAnsi="Arial Narrow"/>
                <w:b/>
                <w:bCs/>
                <w:color w:val="000000"/>
                <w:sz w:val="20"/>
              </w:rPr>
              <w:t>timated net cost to PBS/RPBS</w:t>
            </w:r>
          </w:p>
        </w:tc>
      </w:tr>
      <w:tr w:rsidR="00BF5B9C" w:rsidRPr="00336DE5" w:rsidTr="00C26C41">
        <w:tc>
          <w:tcPr>
            <w:tcW w:w="1717" w:type="pct"/>
            <w:gridSpan w:val="3"/>
            <w:shd w:val="clear" w:color="auto" w:fill="auto"/>
            <w:vAlign w:val="center"/>
          </w:tcPr>
          <w:p w:rsidR="00BF5B9C" w:rsidRPr="00336DE5" w:rsidRDefault="00BF5B9C" w:rsidP="00C26C41">
            <w:pPr>
              <w:tabs>
                <w:tab w:val="left" w:pos="142"/>
              </w:tabs>
              <w:jc w:val="left"/>
              <w:rPr>
                <w:rFonts w:ascii="Arial Narrow" w:hAnsi="Arial Narrow"/>
                <w:sz w:val="20"/>
              </w:rPr>
            </w:pPr>
            <w:r w:rsidRPr="00336DE5">
              <w:rPr>
                <w:rFonts w:ascii="Arial Narrow" w:hAnsi="Arial Narrow"/>
                <w:sz w:val="20"/>
              </w:rPr>
              <w:t>Net cost to PBS/RPBS</w:t>
            </w:r>
          </w:p>
        </w:tc>
        <w:tc>
          <w:tcPr>
            <w:tcW w:w="657" w:type="pct"/>
            <w:shd w:val="clear" w:color="auto" w:fill="auto"/>
            <w:vAlign w:val="center"/>
          </w:tcPr>
          <w:p w:rsidR="00BF5B9C" w:rsidRPr="00583CFA" w:rsidRDefault="00583CFA" w:rsidP="00C26C41">
            <w:pPr>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57" w:type="pct"/>
            <w:shd w:val="clear" w:color="auto" w:fill="auto"/>
            <w:vAlign w:val="center"/>
          </w:tcPr>
          <w:p w:rsidR="00BF5B9C" w:rsidRPr="00583CFA" w:rsidRDefault="00583CFA" w:rsidP="00C26C41">
            <w:pPr>
              <w:jc w:val="right"/>
              <w:rPr>
                <w:rFonts w:ascii="Arial Narrow" w:hAnsi="Arial Narrow"/>
                <w:b/>
                <w:bCs/>
                <w:color w:val="000000"/>
                <w:sz w:val="20"/>
                <w:highlight w:val="black"/>
              </w:rPr>
            </w:pPr>
            <w:r>
              <w:rPr>
                <w:rFonts w:ascii="Arial Narrow" w:hAnsi="Arial Narrow"/>
                <w:bCs/>
                <w:noProof/>
                <w:color w:val="000000"/>
                <w:sz w:val="20"/>
                <w:highlight w:val="black"/>
              </w:rPr>
              <w:t>'''''</w:t>
            </w:r>
          </w:p>
        </w:tc>
        <w:tc>
          <w:tcPr>
            <w:tcW w:w="657" w:type="pct"/>
            <w:shd w:val="clear" w:color="auto" w:fill="auto"/>
            <w:vAlign w:val="center"/>
          </w:tcPr>
          <w:p w:rsidR="00BF5B9C" w:rsidRPr="00583CFA" w:rsidRDefault="00583CFA" w:rsidP="00C26C41">
            <w:pPr>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57" w:type="pct"/>
            <w:shd w:val="clear" w:color="auto" w:fill="auto"/>
            <w:vAlign w:val="center"/>
          </w:tcPr>
          <w:p w:rsidR="00BF5B9C" w:rsidRPr="00583CFA" w:rsidRDefault="00583CFA" w:rsidP="00C26C41">
            <w:pPr>
              <w:jc w:val="right"/>
              <w:rPr>
                <w:rFonts w:ascii="Arial Narrow" w:hAnsi="Arial Narrow"/>
                <w:bCs/>
                <w:color w:val="000000"/>
                <w:sz w:val="20"/>
                <w:highlight w:val="black"/>
              </w:rPr>
            </w:pPr>
            <w:r>
              <w:rPr>
                <w:rFonts w:ascii="Arial Narrow" w:hAnsi="Arial Narrow"/>
                <w:bCs/>
                <w:noProof/>
                <w:color w:val="000000"/>
                <w:sz w:val="20"/>
                <w:highlight w:val="black"/>
              </w:rPr>
              <w:t>'''''''</w:t>
            </w:r>
          </w:p>
        </w:tc>
        <w:tc>
          <w:tcPr>
            <w:tcW w:w="655" w:type="pct"/>
            <w:shd w:val="clear" w:color="auto" w:fill="auto"/>
            <w:vAlign w:val="center"/>
          </w:tcPr>
          <w:p w:rsidR="00BF5B9C" w:rsidRPr="00583CFA" w:rsidRDefault="00583CFA" w:rsidP="00C26C41">
            <w:pPr>
              <w:jc w:val="right"/>
              <w:rPr>
                <w:rFonts w:ascii="Arial Narrow" w:hAnsi="Arial Narrow"/>
                <w:bCs/>
                <w:color w:val="000000"/>
                <w:sz w:val="20"/>
                <w:highlight w:val="black"/>
              </w:rPr>
            </w:pPr>
            <w:r>
              <w:rPr>
                <w:rFonts w:ascii="Arial Narrow" w:hAnsi="Arial Narrow"/>
                <w:bCs/>
                <w:noProof/>
                <w:color w:val="000000"/>
                <w:sz w:val="20"/>
                <w:highlight w:val="black"/>
              </w:rPr>
              <w:t>''''''</w:t>
            </w:r>
          </w:p>
        </w:tc>
      </w:tr>
    </w:tbl>
    <w:p w:rsidR="00BF5B9C" w:rsidRPr="006D40DC" w:rsidRDefault="00BF5B9C" w:rsidP="00BF5B9C">
      <w:pPr>
        <w:rPr>
          <w:rFonts w:ascii="Arial Narrow" w:hAnsi="Arial Narrow"/>
          <w:sz w:val="18"/>
          <w:szCs w:val="18"/>
        </w:rPr>
      </w:pPr>
      <w:r>
        <w:rPr>
          <w:rFonts w:ascii="Arial Narrow" w:hAnsi="Arial Narrow"/>
          <w:sz w:val="18"/>
          <w:szCs w:val="18"/>
        </w:rPr>
        <w:t xml:space="preserve">Abbreviations: bDMARDSs = biological disease modifying antirheumatic drugs.  </w:t>
      </w:r>
      <w:r w:rsidRPr="006D40DC">
        <w:rPr>
          <w:rFonts w:ascii="Arial Narrow" w:hAnsi="Arial Narrow"/>
          <w:sz w:val="18"/>
          <w:szCs w:val="18"/>
        </w:rPr>
        <w:t xml:space="preserve">Source: </w:t>
      </w:r>
      <w:r>
        <w:rPr>
          <w:rFonts w:ascii="Arial Narrow" w:hAnsi="Arial Narrow"/>
          <w:sz w:val="18"/>
          <w:szCs w:val="18"/>
        </w:rPr>
        <w:t>Table 9, pE12 of the submission</w:t>
      </w:r>
    </w:p>
    <w:p w:rsidR="00BF5B9C" w:rsidRDefault="00BF5B9C" w:rsidP="00BF5B9C">
      <w:pPr>
        <w:widowControl/>
        <w:jc w:val="left"/>
        <w:rPr>
          <w:szCs w:val="22"/>
        </w:rPr>
      </w:pPr>
    </w:p>
    <w:p w:rsidR="00BF5B9C" w:rsidRDefault="00BF5B9C" w:rsidP="00645C26">
      <w:pPr>
        <w:pStyle w:val="ListParagraph"/>
        <w:widowControl/>
        <w:numPr>
          <w:ilvl w:val="1"/>
          <w:numId w:val="12"/>
        </w:numPr>
      </w:pPr>
      <w:r w:rsidRPr="00645C26">
        <w:t xml:space="preserve">Based on an analysis of online Medicare data for currently listed biological disease modifying anti-rheumatic drugs (bDMARDs) (October 2009 </w:t>
      </w:r>
      <w:r w:rsidRPr="00EB7CC8">
        <w:t>to September 20</w:t>
      </w:r>
      <w:r w:rsidR="00EB7CC8" w:rsidRPr="00EB7CC8">
        <w:t>14</w:t>
      </w:r>
      <w:r w:rsidRPr="00EB7CC8">
        <w:t>),</w:t>
      </w:r>
      <w:r w:rsidRPr="00645C26">
        <w:t xml:space="preserve"> the submission noted an overall steady, near linear increase in annual services (y = 1725.8x + 21467).  It was assumed that future market growth was to continue in a linear fashion with historical market growth. The submission assumed that the listing of tofacitinib would not add to market growth with a neutral effect upon the overall budget, with direct substitution for other bDMARDs at the effective price of $</w:t>
      </w:r>
      <w:r w:rsidR="00583CFA">
        <w:rPr>
          <w:noProof/>
          <w:color w:val="000000"/>
          <w:highlight w:val="black"/>
        </w:rPr>
        <w:t>''''''''''''''''''''</w:t>
      </w:r>
      <w:r w:rsidRPr="00645C26">
        <w:t xml:space="preserve"> per treatment month. DUSC agreed with the commentary that the submission’s approach to the calculation of the bDMARD market was reasonable, but considered there is likely to be additional market growth due to the addition of an oral treatment for RA. </w:t>
      </w:r>
    </w:p>
    <w:p w:rsidR="007A1D10" w:rsidRDefault="007A1D10" w:rsidP="007A1D10">
      <w:pPr>
        <w:pStyle w:val="ListParagraph"/>
        <w:widowControl/>
      </w:pPr>
    </w:p>
    <w:p w:rsidR="007A1D10" w:rsidRDefault="007A1D10" w:rsidP="002F52F9">
      <w:pPr>
        <w:pStyle w:val="ListParagraph"/>
        <w:widowControl/>
        <w:numPr>
          <w:ilvl w:val="1"/>
          <w:numId w:val="12"/>
        </w:numPr>
      </w:pPr>
      <w:r w:rsidRPr="007A1D10">
        <w:t>DUSC noted the sensitivity analyses included in the commentary of a 5% and 10% expansion of the market, and that under the assumption of a 10% market expansion, the submission estimated ne</w:t>
      </w:r>
      <w:r w:rsidR="003F135B">
        <w:t xml:space="preserve">t cost to the PBS of </w:t>
      </w:r>
      <w:r w:rsidR="002F52F9" w:rsidRPr="002F52F9">
        <w:t xml:space="preserve">$30 – $60 million </w:t>
      </w:r>
      <w:r w:rsidR="003F135B">
        <w:t xml:space="preserve">in Year 1 and </w:t>
      </w:r>
      <w:r w:rsidR="002F52F9" w:rsidRPr="002F52F9">
        <w:t xml:space="preserve">$30 – $60 million </w:t>
      </w:r>
      <w:r w:rsidRPr="007A1D10">
        <w:t>in Year 5.  DUSC commented this represents a large increase in the cost to the PBS.</w:t>
      </w:r>
    </w:p>
    <w:p w:rsidR="00645C26" w:rsidRDefault="00645C26" w:rsidP="00645C26">
      <w:pPr>
        <w:pStyle w:val="ListParagraph"/>
        <w:widowControl/>
      </w:pPr>
    </w:p>
    <w:p w:rsidR="00645C26" w:rsidRDefault="00645C26" w:rsidP="00645C26">
      <w:pPr>
        <w:pStyle w:val="ListParagraph"/>
        <w:widowControl/>
        <w:numPr>
          <w:ilvl w:val="1"/>
          <w:numId w:val="12"/>
        </w:numPr>
      </w:pPr>
      <w:r>
        <w:t>DUSC consider</w:t>
      </w:r>
      <w:r w:rsidR="00B23C3D">
        <w:t>ed</w:t>
      </w:r>
      <w:r>
        <w:t xml:space="preserve"> the estimates presented in the submission to be underestimated </w:t>
      </w:r>
      <w:r w:rsidR="00D4423D">
        <w:t>for the following reasons</w:t>
      </w:r>
      <w:r>
        <w:t>:</w:t>
      </w:r>
    </w:p>
    <w:p w:rsidR="00645C26" w:rsidRDefault="00645C26" w:rsidP="00645C26">
      <w:pPr>
        <w:pStyle w:val="ListParagraph"/>
        <w:widowControl/>
        <w:numPr>
          <w:ilvl w:val="0"/>
          <w:numId w:val="46"/>
        </w:numPr>
        <w:ind w:left="993" w:hanging="284"/>
      </w:pPr>
      <w:r>
        <w:t>There is likely to be additional market growth due to the addition of an oral treatment in the bDMARD phase of the treatment for rheumatoid arthritis (RA).</w:t>
      </w:r>
    </w:p>
    <w:p w:rsidR="00645C26" w:rsidRDefault="00645C26" w:rsidP="00645C26">
      <w:pPr>
        <w:pStyle w:val="ListParagraph"/>
        <w:widowControl/>
        <w:numPr>
          <w:ilvl w:val="0"/>
          <w:numId w:val="46"/>
        </w:numPr>
        <w:ind w:left="993" w:hanging="284"/>
      </w:pPr>
      <w:r>
        <w:t>The submission’s estimate of 6% uptake within the RA market is a large underestimate.</w:t>
      </w:r>
    </w:p>
    <w:p w:rsidR="00645C26" w:rsidRDefault="00645C26" w:rsidP="00645C26">
      <w:pPr>
        <w:pStyle w:val="ListParagraph"/>
        <w:widowControl/>
        <w:numPr>
          <w:ilvl w:val="0"/>
          <w:numId w:val="46"/>
        </w:numPr>
        <w:ind w:left="993" w:hanging="284"/>
      </w:pPr>
      <w:r>
        <w:t xml:space="preserve">The price requested by the sponsor may not be reasonable as tofacitinib is not disease-modifying in the same way as the biological disease-modifying anti-rheumatic drugs. </w:t>
      </w:r>
      <w:r w:rsidR="00D4423D">
        <w:t xml:space="preserve">DUSC advised that </w:t>
      </w:r>
      <w:r w:rsidR="00D4423D" w:rsidRPr="00D4423D">
        <w:t>i</w:t>
      </w:r>
      <w:r w:rsidRPr="00D4423D">
        <w:t>t is not reasonable to offset the costs of increased statin use</w:t>
      </w:r>
      <w:r w:rsidR="00D4423D">
        <w:t xml:space="preserve"> </w:t>
      </w:r>
      <w:r w:rsidRPr="00D4423D">
        <w:t>with reduced injection costs due to oral treatment.</w:t>
      </w:r>
    </w:p>
    <w:p w:rsidR="00BF5B9C" w:rsidRPr="00645C26" w:rsidRDefault="00645C26" w:rsidP="007A1D10">
      <w:pPr>
        <w:pStyle w:val="ListParagraph"/>
        <w:widowControl/>
        <w:numPr>
          <w:ilvl w:val="0"/>
          <w:numId w:val="46"/>
        </w:numPr>
        <w:ind w:left="993" w:hanging="284"/>
      </w:pPr>
      <w:r>
        <w:t>The costs of treating infections resulting from tofacitinib use should be included in the estimates.</w:t>
      </w:r>
    </w:p>
    <w:p w:rsidR="00576972" w:rsidRPr="00963B60" w:rsidRDefault="00576972" w:rsidP="00576972">
      <w:pPr>
        <w:widowControl/>
        <w:rPr>
          <w:szCs w:val="22"/>
        </w:rPr>
      </w:pPr>
    </w:p>
    <w:p w:rsidR="005B4F4F" w:rsidRPr="00742273" w:rsidRDefault="005B4F4F" w:rsidP="005B4F4F">
      <w:pPr>
        <w:pStyle w:val="ListParagraph"/>
        <w:rPr>
          <w:i/>
          <w:szCs w:val="22"/>
        </w:rPr>
      </w:pPr>
      <w:r w:rsidRPr="00940696">
        <w:rPr>
          <w:i/>
          <w:szCs w:val="22"/>
        </w:rPr>
        <w:t>For more detail on PBAC’s view, see section 7 “PBAC outcome”</w:t>
      </w:r>
    </w:p>
    <w:p w:rsidR="00742273" w:rsidRDefault="00742273" w:rsidP="00742273">
      <w:pPr>
        <w:widowControl/>
        <w:rPr>
          <w:szCs w:val="22"/>
        </w:rPr>
      </w:pPr>
    </w:p>
    <w:p w:rsidR="00341281" w:rsidRPr="00742273" w:rsidRDefault="00341281" w:rsidP="00742273">
      <w:pPr>
        <w:widowControl/>
        <w:rPr>
          <w:szCs w:val="22"/>
        </w:rPr>
      </w:pPr>
    </w:p>
    <w:p w:rsidR="00AE6964" w:rsidRDefault="00AE6964" w:rsidP="00AE6964">
      <w:pPr>
        <w:pStyle w:val="PBACHeading1"/>
      </w:pPr>
      <w:r w:rsidRPr="00AE6964">
        <w:t>PBAC Outcome</w:t>
      </w:r>
    </w:p>
    <w:p w:rsidR="00FE0AA9" w:rsidRDefault="00FE0AA9" w:rsidP="00FE0AA9">
      <w:pPr>
        <w:pStyle w:val="PBACHeading1"/>
        <w:numPr>
          <w:ilvl w:val="0"/>
          <w:numId w:val="0"/>
        </w:numPr>
        <w:ind w:left="720"/>
      </w:pPr>
    </w:p>
    <w:p w:rsidR="0025455F" w:rsidRDefault="00286F14" w:rsidP="00B23C3D">
      <w:pPr>
        <w:pStyle w:val="ListParagraph"/>
        <w:numPr>
          <w:ilvl w:val="1"/>
          <w:numId w:val="12"/>
        </w:numPr>
        <w:rPr>
          <w:bCs/>
          <w:szCs w:val="22"/>
          <w:lang w:val="en-GB"/>
        </w:rPr>
      </w:pPr>
      <w:r w:rsidRPr="00CB63D6">
        <w:rPr>
          <w:bCs/>
          <w:szCs w:val="22"/>
          <w:lang w:val="en-GB"/>
        </w:rPr>
        <w:t>The PBAC recommended listin</w:t>
      </w:r>
      <w:r w:rsidR="00CB63D6" w:rsidRPr="00CB63D6">
        <w:rPr>
          <w:bCs/>
          <w:szCs w:val="22"/>
          <w:lang w:val="en-GB"/>
        </w:rPr>
        <w:t>g</w:t>
      </w:r>
      <w:r w:rsidRPr="00CB63D6">
        <w:rPr>
          <w:bCs/>
          <w:szCs w:val="22"/>
          <w:lang w:val="en-GB"/>
        </w:rPr>
        <w:t xml:space="preserve"> tofacitinib </w:t>
      </w:r>
      <w:r w:rsidR="00CB63D6" w:rsidRPr="00CB63D6">
        <w:rPr>
          <w:bCs/>
          <w:szCs w:val="22"/>
          <w:lang w:val="en-GB"/>
        </w:rPr>
        <w:t xml:space="preserve">as an Authority Required listing </w:t>
      </w:r>
      <w:r w:rsidRPr="00CB63D6">
        <w:rPr>
          <w:bCs/>
          <w:szCs w:val="22"/>
          <w:lang w:val="en-GB"/>
        </w:rPr>
        <w:t>for the treatment of</w:t>
      </w:r>
      <w:r w:rsidR="00963B60" w:rsidRPr="00CB63D6">
        <w:rPr>
          <w:bCs/>
          <w:szCs w:val="22"/>
          <w:lang w:val="en-GB"/>
        </w:rPr>
        <w:t xml:space="preserve"> severe active</w:t>
      </w:r>
      <w:r w:rsidRPr="00CB63D6">
        <w:rPr>
          <w:bCs/>
          <w:szCs w:val="22"/>
          <w:lang w:val="en-GB"/>
        </w:rPr>
        <w:t xml:space="preserve"> rheumatoid arthritis</w:t>
      </w:r>
      <w:r w:rsidR="00801155" w:rsidRPr="00CB63D6">
        <w:rPr>
          <w:bCs/>
          <w:szCs w:val="22"/>
          <w:lang w:val="en-GB"/>
        </w:rPr>
        <w:t xml:space="preserve"> </w:t>
      </w:r>
      <w:r w:rsidR="00CB63D6" w:rsidRPr="00CB63D6">
        <w:rPr>
          <w:bCs/>
          <w:szCs w:val="22"/>
          <w:lang w:val="en-GB"/>
        </w:rPr>
        <w:t>in patients meeting certain criteria on a cost-minim</w:t>
      </w:r>
      <w:r w:rsidR="00CB63D6">
        <w:rPr>
          <w:bCs/>
          <w:szCs w:val="22"/>
          <w:lang w:val="en-GB"/>
        </w:rPr>
        <w:t>isation basis with adalimumab.</w:t>
      </w:r>
      <w:r w:rsidR="0025455F">
        <w:rPr>
          <w:bCs/>
          <w:szCs w:val="22"/>
          <w:lang w:val="en-GB"/>
        </w:rPr>
        <w:t xml:space="preserve"> </w:t>
      </w:r>
      <w:r w:rsidR="00CB63D6" w:rsidRPr="00CB63D6">
        <w:rPr>
          <w:bCs/>
          <w:szCs w:val="22"/>
          <w:lang w:val="en-GB"/>
        </w:rPr>
        <w:t xml:space="preserve">The equi-effective doses </w:t>
      </w:r>
      <w:r w:rsidR="00CB63D6">
        <w:rPr>
          <w:bCs/>
          <w:szCs w:val="22"/>
          <w:lang w:val="en-GB"/>
        </w:rPr>
        <w:t xml:space="preserve">were determined to be </w:t>
      </w:r>
      <w:r w:rsidR="00CB63D6" w:rsidRPr="00CB63D6">
        <w:rPr>
          <w:bCs/>
          <w:szCs w:val="22"/>
          <w:lang w:val="en-GB"/>
        </w:rPr>
        <w:t xml:space="preserve">tofacitinib 5 mg twice daily </w:t>
      </w:r>
      <w:r w:rsidR="00CB63D6">
        <w:rPr>
          <w:bCs/>
          <w:szCs w:val="22"/>
          <w:lang w:val="en-GB"/>
        </w:rPr>
        <w:t>and</w:t>
      </w:r>
      <w:r w:rsidR="00CB63D6" w:rsidRPr="00CB63D6">
        <w:rPr>
          <w:bCs/>
          <w:szCs w:val="22"/>
          <w:lang w:val="en-GB"/>
        </w:rPr>
        <w:t xml:space="preserve"> adalimumab 40 mg subcutaneously every fortnight.</w:t>
      </w:r>
    </w:p>
    <w:p w:rsidR="00D90F49" w:rsidRPr="00B23C3D" w:rsidRDefault="00CB63D6" w:rsidP="0025455F">
      <w:pPr>
        <w:pStyle w:val="ListParagraph"/>
        <w:rPr>
          <w:bCs/>
          <w:szCs w:val="22"/>
          <w:lang w:val="en-GB"/>
        </w:rPr>
      </w:pPr>
      <w:r w:rsidRPr="00CB63D6">
        <w:rPr>
          <w:bCs/>
          <w:szCs w:val="22"/>
          <w:lang w:val="en-GB"/>
        </w:rPr>
        <w:t xml:space="preserve">  </w:t>
      </w:r>
    </w:p>
    <w:p w:rsidR="00C26C41" w:rsidRDefault="00C26C41" w:rsidP="00357666">
      <w:pPr>
        <w:numPr>
          <w:ilvl w:val="1"/>
          <w:numId w:val="12"/>
        </w:numPr>
        <w:contextualSpacing/>
        <w:rPr>
          <w:bCs/>
          <w:szCs w:val="22"/>
          <w:lang w:val="en-GB"/>
        </w:rPr>
      </w:pPr>
      <w:r>
        <w:rPr>
          <w:bCs/>
          <w:szCs w:val="22"/>
          <w:lang w:val="en-GB"/>
        </w:rPr>
        <w:t>The</w:t>
      </w:r>
      <w:r w:rsidR="00A50BBA">
        <w:rPr>
          <w:bCs/>
          <w:szCs w:val="22"/>
          <w:lang w:val="en-GB"/>
        </w:rPr>
        <w:t xml:space="preserve"> submission’s </w:t>
      </w:r>
      <w:r w:rsidR="00940696">
        <w:rPr>
          <w:bCs/>
          <w:szCs w:val="22"/>
          <w:lang w:val="en-GB"/>
        </w:rPr>
        <w:t xml:space="preserve">clinical </w:t>
      </w:r>
      <w:r w:rsidR="00A50BBA">
        <w:rPr>
          <w:bCs/>
          <w:szCs w:val="22"/>
          <w:lang w:val="en-GB"/>
        </w:rPr>
        <w:t xml:space="preserve">positioning of tofacitinib </w:t>
      </w:r>
      <w:r w:rsidR="00A50BBA" w:rsidRPr="00742273">
        <w:t xml:space="preserve">as </w:t>
      </w:r>
      <w:r w:rsidR="00A50BBA">
        <w:t xml:space="preserve">an alternative </w:t>
      </w:r>
      <w:r w:rsidR="00A50BBA" w:rsidRPr="00742273">
        <w:t xml:space="preserve">second line therapy </w:t>
      </w:r>
      <w:r w:rsidR="00A50BBA">
        <w:t xml:space="preserve">to existing PBS-listed bDMARDS </w:t>
      </w:r>
      <w:r w:rsidR="00357666">
        <w:t xml:space="preserve">was </w:t>
      </w:r>
      <w:r w:rsidR="00A50BBA">
        <w:t>in line with the</w:t>
      </w:r>
      <w:r w:rsidR="00357666">
        <w:t xml:space="preserve"> final</w:t>
      </w:r>
      <w:r w:rsidR="00A50BBA">
        <w:t xml:space="preserve"> TGA registered indication but was in </w:t>
      </w:r>
      <w:r w:rsidR="00357666">
        <w:t>contrast to the TGA’s Delegate’s proposal to register tofacitnib to third-line therapy</w:t>
      </w:r>
      <w:r w:rsidR="00357666" w:rsidRPr="00357666">
        <w:t xml:space="preserve"> </w:t>
      </w:r>
      <w:r w:rsidR="00357666">
        <w:t>and</w:t>
      </w:r>
      <w:r w:rsidR="00357666" w:rsidRPr="00357666">
        <w:t xml:space="preserve"> recent update</w:t>
      </w:r>
      <w:r w:rsidR="00357666">
        <w:t>s</w:t>
      </w:r>
      <w:r w:rsidR="00357666" w:rsidRPr="00357666">
        <w:t xml:space="preserve"> to the European League against Rheumatism (E</w:t>
      </w:r>
      <w:r w:rsidR="00357666">
        <w:t xml:space="preserve">ULAR) (Smolen 2014) and </w:t>
      </w:r>
      <w:r w:rsidR="00357666" w:rsidRPr="00357666">
        <w:t>UptoDate</w:t>
      </w:r>
      <w:r w:rsidR="00357666" w:rsidRPr="00357666">
        <w:rPr>
          <w:vertAlign w:val="superscript"/>
        </w:rPr>
        <w:t>®</w:t>
      </w:r>
      <w:r w:rsidR="00357666" w:rsidRPr="00357666">
        <w:t xml:space="preserve"> </w:t>
      </w:r>
      <w:r w:rsidR="00357666">
        <w:t>guidelines which recommend using to</w:t>
      </w:r>
      <w:r w:rsidR="00357666" w:rsidRPr="00357666">
        <w:t xml:space="preserve">facitinib </w:t>
      </w:r>
      <w:r w:rsidR="00357666">
        <w:t>as third line therapy</w:t>
      </w:r>
      <w:r>
        <w:rPr>
          <w:bCs/>
          <w:szCs w:val="22"/>
          <w:lang w:val="en-GB"/>
        </w:rPr>
        <w:t>. The PBAC noted that tofacitinib belonged to a new class of bDMARDs, being a Janus kinase (JAK) selective inhibitor</w:t>
      </w:r>
      <w:r w:rsidR="00357666">
        <w:rPr>
          <w:bCs/>
          <w:szCs w:val="22"/>
          <w:lang w:val="en-GB"/>
        </w:rPr>
        <w:t xml:space="preserve"> and would be the first oral bDMARD therapy. The PBAC considered that given that the final TGA registered indication permits use of tofacitinib as second line therapy, </w:t>
      </w:r>
      <w:r w:rsidR="00940696">
        <w:rPr>
          <w:bCs/>
          <w:szCs w:val="22"/>
          <w:lang w:val="en-GB"/>
        </w:rPr>
        <w:t>the submission’s nominated main comparator of adalimumab was considered to be acceptable</w:t>
      </w:r>
      <w:r>
        <w:rPr>
          <w:bCs/>
          <w:szCs w:val="22"/>
          <w:lang w:val="en-GB"/>
        </w:rPr>
        <w:t>.</w:t>
      </w:r>
      <w:r w:rsidR="00A50BBA">
        <w:rPr>
          <w:bCs/>
          <w:szCs w:val="22"/>
          <w:lang w:val="en-GB"/>
        </w:rPr>
        <w:t xml:space="preserve"> </w:t>
      </w:r>
    </w:p>
    <w:p w:rsidR="00C26C41" w:rsidRDefault="00C26C41" w:rsidP="00C26C41">
      <w:pPr>
        <w:pStyle w:val="ListParagraph"/>
        <w:rPr>
          <w:bCs/>
          <w:szCs w:val="22"/>
          <w:lang w:val="en-GB"/>
        </w:rPr>
      </w:pPr>
    </w:p>
    <w:p w:rsidR="00CD736B" w:rsidRDefault="00CC76E4" w:rsidP="002841C4">
      <w:pPr>
        <w:numPr>
          <w:ilvl w:val="1"/>
          <w:numId w:val="12"/>
        </w:numPr>
        <w:contextualSpacing/>
        <w:rPr>
          <w:bCs/>
          <w:szCs w:val="22"/>
          <w:lang w:val="en-GB"/>
        </w:rPr>
      </w:pPr>
      <w:r>
        <w:rPr>
          <w:bCs/>
          <w:szCs w:val="22"/>
          <w:lang w:val="en-GB"/>
        </w:rPr>
        <w:t xml:space="preserve">The PBAC noted the potential applicability issues concerning the characteristics of the trial subjects and the proposed PBS population for treatment as identified by the evaluation and that the trials presented in the submission </w:t>
      </w:r>
      <w:r w:rsidRPr="00CC76E4">
        <w:rPr>
          <w:bCs/>
          <w:szCs w:val="22"/>
        </w:rPr>
        <w:t xml:space="preserve">were not designed or powered to definitively compare tofacitinib and adalimumab in severe active </w:t>
      </w:r>
      <w:r>
        <w:rPr>
          <w:bCs/>
          <w:szCs w:val="22"/>
        </w:rPr>
        <w:t>rheumatoid arthritis. However, the PBAC</w:t>
      </w:r>
      <w:r w:rsidRPr="00CC76E4">
        <w:rPr>
          <w:bCs/>
          <w:szCs w:val="22"/>
          <w:lang w:val="en-GB"/>
        </w:rPr>
        <w:t xml:space="preserve"> </w:t>
      </w:r>
      <w:r>
        <w:rPr>
          <w:bCs/>
          <w:szCs w:val="22"/>
          <w:lang w:val="en-GB"/>
        </w:rPr>
        <w:t xml:space="preserve">noted that the trial evidence </w:t>
      </w:r>
      <w:r w:rsidR="001B286E">
        <w:rPr>
          <w:bCs/>
          <w:szCs w:val="22"/>
          <w:lang w:val="en-GB"/>
        </w:rPr>
        <w:t>contained</w:t>
      </w:r>
      <w:r>
        <w:rPr>
          <w:bCs/>
          <w:szCs w:val="22"/>
          <w:lang w:val="en-GB"/>
        </w:rPr>
        <w:t xml:space="preserve"> </w:t>
      </w:r>
      <w:r w:rsidRPr="00CC76E4">
        <w:rPr>
          <w:bCs/>
          <w:szCs w:val="22"/>
        </w:rPr>
        <w:t xml:space="preserve">head-to-head trials comparing tofacitinib to adalimumab in combination with </w:t>
      </w:r>
      <w:r>
        <w:rPr>
          <w:bCs/>
          <w:szCs w:val="22"/>
        </w:rPr>
        <w:t>methotrexate</w:t>
      </w:r>
      <w:r w:rsidRPr="00CC76E4">
        <w:rPr>
          <w:bCs/>
          <w:szCs w:val="22"/>
        </w:rPr>
        <w:t xml:space="preserve"> (Study 1064, n=717) or as monotherapy (Study 1035, n=386)</w:t>
      </w:r>
      <w:r>
        <w:rPr>
          <w:bCs/>
          <w:szCs w:val="22"/>
        </w:rPr>
        <w:t xml:space="preserve"> and that there was a reasonably large enough study sample size for the PBAC to consider the clinical trial data to be sufficiently reliable.</w:t>
      </w:r>
    </w:p>
    <w:p w:rsidR="00CD736B" w:rsidRDefault="00CD736B" w:rsidP="00CD736B">
      <w:pPr>
        <w:ind w:left="720"/>
        <w:contextualSpacing/>
        <w:rPr>
          <w:bCs/>
          <w:szCs w:val="22"/>
          <w:lang w:val="en-GB"/>
        </w:rPr>
      </w:pPr>
    </w:p>
    <w:p w:rsidR="004D447E" w:rsidRDefault="001B286E" w:rsidP="004D447E">
      <w:pPr>
        <w:numPr>
          <w:ilvl w:val="1"/>
          <w:numId w:val="12"/>
        </w:numPr>
        <w:contextualSpacing/>
        <w:rPr>
          <w:bCs/>
          <w:szCs w:val="22"/>
          <w:lang w:val="en-GB"/>
        </w:rPr>
      </w:pPr>
      <w:r>
        <w:rPr>
          <w:bCs/>
          <w:szCs w:val="22"/>
          <w:lang w:val="en-GB"/>
        </w:rPr>
        <w:t>P</w:t>
      </w:r>
      <w:r w:rsidRPr="001B286E">
        <w:rPr>
          <w:bCs/>
          <w:szCs w:val="22"/>
          <w:lang w:val="en-GB"/>
        </w:rPr>
        <w:t>ooled results</w:t>
      </w:r>
      <w:r>
        <w:rPr>
          <w:bCs/>
          <w:szCs w:val="22"/>
          <w:lang w:val="en-GB"/>
        </w:rPr>
        <w:t xml:space="preserve"> of </w:t>
      </w:r>
      <w:r w:rsidRPr="001B286E">
        <w:rPr>
          <w:bCs/>
          <w:szCs w:val="22"/>
          <w:lang w:val="en-GB"/>
        </w:rPr>
        <w:t>the American College of Rheumatology (ACR) response rates (ACR20, ACR50 and ACR70 at 3 months) from the direct</w:t>
      </w:r>
      <w:r>
        <w:rPr>
          <w:bCs/>
          <w:szCs w:val="22"/>
          <w:lang w:val="en-GB"/>
        </w:rPr>
        <w:t xml:space="preserve"> randomised head to head trials and the meta-</w:t>
      </w:r>
      <w:r w:rsidRPr="001B286E">
        <w:rPr>
          <w:bCs/>
          <w:szCs w:val="22"/>
          <w:lang w:val="en-GB"/>
        </w:rPr>
        <w:t>analyses</w:t>
      </w:r>
      <w:r>
        <w:rPr>
          <w:bCs/>
          <w:szCs w:val="22"/>
          <w:lang w:val="en-GB"/>
        </w:rPr>
        <w:t xml:space="preserve"> of these trials</w:t>
      </w:r>
      <w:r w:rsidRPr="001B286E">
        <w:rPr>
          <w:bCs/>
          <w:szCs w:val="22"/>
          <w:lang w:val="en-GB"/>
        </w:rPr>
        <w:t xml:space="preserve"> indicated a statistically significant </w:t>
      </w:r>
      <w:r w:rsidRPr="001B286E">
        <w:rPr>
          <w:bCs/>
          <w:szCs w:val="22"/>
          <w:lang w:val="en-GB"/>
        </w:rPr>
        <w:lastRenderedPageBreak/>
        <w:t>advantage for tofacitinib 5 mg compared to adalimumab 40 mg for ACR50 at 3 months</w:t>
      </w:r>
      <w:r>
        <w:rPr>
          <w:bCs/>
          <w:szCs w:val="22"/>
          <w:lang w:val="en-GB"/>
        </w:rPr>
        <w:t xml:space="preserve">. In contrast, </w:t>
      </w:r>
      <w:r>
        <w:rPr>
          <w:bCs/>
          <w:szCs w:val="22"/>
        </w:rPr>
        <w:t>r</w:t>
      </w:r>
      <w:r w:rsidRPr="001B286E">
        <w:rPr>
          <w:bCs/>
          <w:szCs w:val="22"/>
        </w:rPr>
        <w:t>esults of the indirect comparis</w:t>
      </w:r>
      <w:r>
        <w:rPr>
          <w:bCs/>
          <w:szCs w:val="22"/>
        </w:rPr>
        <w:t>on for ACR response at 3 months showed n</w:t>
      </w:r>
      <w:r w:rsidRPr="001B286E">
        <w:rPr>
          <w:bCs/>
          <w:szCs w:val="22"/>
        </w:rPr>
        <w:t>o statistic</w:t>
      </w:r>
      <w:r>
        <w:rPr>
          <w:bCs/>
          <w:szCs w:val="22"/>
        </w:rPr>
        <w:t xml:space="preserve">ally significant difference </w:t>
      </w:r>
      <w:r w:rsidRPr="001B286E">
        <w:rPr>
          <w:bCs/>
          <w:szCs w:val="22"/>
        </w:rPr>
        <w:t>observed for tofacitinib 5 mg and adalimumab 40 mg for ACR20 and ACR50 response at 3 months.  The</w:t>
      </w:r>
      <w:r w:rsidR="004D447E">
        <w:rPr>
          <w:bCs/>
          <w:szCs w:val="22"/>
        </w:rPr>
        <w:t xml:space="preserve"> PBAC noted the </w:t>
      </w:r>
      <w:r w:rsidRPr="001B286E">
        <w:rPr>
          <w:bCs/>
          <w:szCs w:val="22"/>
        </w:rPr>
        <w:t xml:space="preserve">high level of statistical heterogeneity in the meta-analyses of the tofacitinib trials and variation in placebo response rates across the trials </w:t>
      </w:r>
      <w:r w:rsidR="004D447E">
        <w:rPr>
          <w:bCs/>
          <w:szCs w:val="22"/>
        </w:rPr>
        <w:t>may have reduced the reliability</w:t>
      </w:r>
      <w:r w:rsidRPr="001B286E">
        <w:rPr>
          <w:bCs/>
          <w:szCs w:val="22"/>
        </w:rPr>
        <w:t xml:space="preserve"> of the indirect comparison.</w:t>
      </w:r>
      <w:r w:rsidR="004D447E">
        <w:rPr>
          <w:bCs/>
          <w:szCs w:val="22"/>
          <w:lang w:val="en-GB"/>
        </w:rPr>
        <w:t xml:space="preserve"> Based on these results, t</w:t>
      </w:r>
      <w:r w:rsidR="00C635A7" w:rsidRPr="004D447E">
        <w:rPr>
          <w:bCs/>
          <w:szCs w:val="22"/>
          <w:lang w:val="en-GB"/>
        </w:rPr>
        <w:t xml:space="preserve">he PBAC accepted the </w:t>
      </w:r>
      <w:r w:rsidR="004D447E">
        <w:rPr>
          <w:bCs/>
          <w:szCs w:val="22"/>
          <w:lang w:val="en-GB"/>
        </w:rPr>
        <w:t xml:space="preserve">submission’s </w:t>
      </w:r>
      <w:r w:rsidR="00C635A7" w:rsidRPr="004D447E">
        <w:rPr>
          <w:bCs/>
          <w:szCs w:val="22"/>
          <w:lang w:val="en-GB"/>
        </w:rPr>
        <w:t>claim of non-inferiority in terms of comparative efficacy</w:t>
      </w:r>
      <w:r w:rsidR="00DB4B40" w:rsidRPr="004D447E">
        <w:rPr>
          <w:bCs/>
          <w:szCs w:val="22"/>
          <w:lang w:val="en-GB"/>
        </w:rPr>
        <w:t xml:space="preserve"> </w:t>
      </w:r>
      <w:r w:rsidR="004D447E">
        <w:rPr>
          <w:bCs/>
          <w:szCs w:val="22"/>
          <w:lang w:val="en-GB"/>
        </w:rPr>
        <w:t xml:space="preserve">to adalimumab </w:t>
      </w:r>
      <w:r w:rsidR="002841C4" w:rsidRPr="004D447E">
        <w:rPr>
          <w:bCs/>
          <w:szCs w:val="22"/>
          <w:lang w:val="en-GB"/>
        </w:rPr>
        <w:t>using</w:t>
      </w:r>
      <w:r w:rsidR="00DB4B40" w:rsidRPr="004D447E">
        <w:rPr>
          <w:bCs/>
          <w:szCs w:val="22"/>
          <w:lang w:val="en-GB"/>
        </w:rPr>
        <w:t xml:space="preserve"> ACR outcome measures</w:t>
      </w:r>
      <w:r w:rsidR="00C635A7" w:rsidRPr="004D447E">
        <w:rPr>
          <w:bCs/>
          <w:szCs w:val="22"/>
          <w:lang w:val="en-GB"/>
        </w:rPr>
        <w:t>.</w:t>
      </w:r>
      <w:r w:rsidR="00DB4B40" w:rsidRPr="004D447E">
        <w:rPr>
          <w:bCs/>
          <w:szCs w:val="22"/>
          <w:lang w:val="en-GB"/>
        </w:rPr>
        <w:t xml:space="preserve"> </w:t>
      </w:r>
    </w:p>
    <w:p w:rsidR="004D447E" w:rsidRDefault="004D447E" w:rsidP="004D447E">
      <w:pPr>
        <w:ind w:left="720"/>
        <w:contextualSpacing/>
        <w:rPr>
          <w:bCs/>
          <w:szCs w:val="22"/>
          <w:lang w:val="en-GB"/>
        </w:rPr>
      </w:pPr>
    </w:p>
    <w:p w:rsidR="002841C4" w:rsidRPr="004D447E" w:rsidRDefault="004D447E" w:rsidP="004D447E">
      <w:pPr>
        <w:numPr>
          <w:ilvl w:val="1"/>
          <w:numId w:val="12"/>
        </w:numPr>
        <w:contextualSpacing/>
        <w:rPr>
          <w:bCs/>
          <w:szCs w:val="22"/>
          <w:lang w:val="en-GB"/>
        </w:rPr>
      </w:pPr>
      <w:r>
        <w:rPr>
          <w:bCs/>
          <w:szCs w:val="22"/>
          <w:lang w:val="en-GB"/>
        </w:rPr>
        <w:t>In relation to concerns raised by the evaluation and ESC regarding tofacitinib 5 mg’s ability to reduce or prevent</w:t>
      </w:r>
      <w:r w:rsidR="002841C4" w:rsidRPr="004D447E">
        <w:rPr>
          <w:bCs/>
          <w:szCs w:val="22"/>
          <w:lang w:val="en-GB"/>
        </w:rPr>
        <w:t xml:space="preserve"> radiographic </w:t>
      </w:r>
      <w:r>
        <w:rPr>
          <w:bCs/>
          <w:szCs w:val="22"/>
          <w:lang w:val="en-GB"/>
        </w:rPr>
        <w:t xml:space="preserve">disease </w:t>
      </w:r>
      <w:r w:rsidR="002841C4" w:rsidRPr="004D447E">
        <w:rPr>
          <w:bCs/>
          <w:szCs w:val="22"/>
          <w:lang w:val="en-GB"/>
        </w:rPr>
        <w:t xml:space="preserve">progression </w:t>
      </w:r>
      <w:r>
        <w:rPr>
          <w:bCs/>
          <w:szCs w:val="22"/>
          <w:lang w:val="en-GB"/>
        </w:rPr>
        <w:t>or maintain</w:t>
      </w:r>
      <w:r w:rsidR="002841C4" w:rsidRPr="004D447E">
        <w:rPr>
          <w:bCs/>
          <w:szCs w:val="22"/>
          <w:lang w:val="en-GB"/>
        </w:rPr>
        <w:t xml:space="preserve"> structural preservation</w:t>
      </w:r>
      <w:r>
        <w:rPr>
          <w:bCs/>
          <w:szCs w:val="22"/>
          <w:lang w:val="en-GB"/>
        </w:rPr>
        <w:t xml:space="preserve">, the PBAC </w:t>
      </w:r>
      <w:r w:rsidR="000C5181">
        <w:rPr>
          <w:bCs/>
          <w:szCs w:val="22"/>
          <w:lang w:val="en-GB"/>
        </w:rPr>
        <w:t xml:space="preserve">was unclear on the reliability and accuracy of the </w:t>
      </w:r>
      <w:r w:rsidR="000C5181">
        <w:rPr>
          <w:bCs/>
          <w:szCs w:val="22"/>
        </w:rPr>
        <w:t xml:space="preserve">Sharp/van der Heijde scoring system to be a predictor of disease modification achieved by a drug. The PBAC noted </w:t>
      </w:r>
      <w:r>
        <w:rPr>
          <w:bCs/>
          <w:szCs w:val="22"/>
          <w:lang w:val="en-GB"/>
        </w:rPr>
        <w:t>the clinician</w:t>
      </w:r>
      <w:r w:rsidR="000C5181">
        <w:rPr>
          <w:bCs/>
          <w:szCs w:val="22"/>
          <w:lang w:val="en-GB"/>
        </w:rPr>
        <w:t xml:space="preserve"> presenting in the hearing was of the </w:t>
      </w:r>
      <w:r>
        <w:rPr>
          <w:bCs/>
          <w:szCs w:val="22"/>
          <w:lang w:val="en-GB"/>
        </w:rPr>
        <w:t xml:space="preserve">view </w:t>
      </w:r>
      <w:r w:rsidR="000C5181">
        <w:rPr>
          <w:bCs/>
          <w:szCs w:val="22"/>
          <w:lang w:val="en-GB"/>
        </w:rPr>
        <w:t>that whilst</w:t>
      </w:r>
      <w:r>
        <w:rPr>
          <w:bCs/>
          <w:szCs w:val="22"/>
          <w:lang w:val="en-GB"/>
        </w:rPr>
        <w:t xml:space="preserve"> the 5 mg </w:t>
      </w:r>
      <w:r w:rsidR="000C5181">
        <w:rPr>
          <w:bCs/>
          <w:szCs w:val="22"/>
          <w:lang w:val="en-GB"/>
        </w:rPr>
        <w:t xml:space="preserve">tofacitinib </w:t>
      </w:r>
      <w:r>
        <w:rPr>
          <w:bCs/>
          <w:szCs w:val="22"/>
          <w:lang w:val="en-GB"/>
        </w:rPr>
        <w:t>dose did not reach statisti</w:t>
      </w:r>
      <w:r w:rsidR="000C5181">
        <w:rPr>
          <w:bCs/>
          <w:szCs w:val="22"/>
          <w:lang w:val="en-GB"/>
        </w:rPr>
        <w:t xml:space="preserve">cal </w:t>
      </w:r>
      <w:r>
        <w:rPr>
          <w:bCs/>
          <w:szCs w:val="22"/>
          <w:lang w:val="en-GB"/>
        </w:rPr>
        <w:t>significance</w:t>
      </w:r>
      <w:r w:rsidR="000C5181">
        <w:rPr>
          <w:bCs/>
          <w:szCs w:val="22"/>
          <w:lang w:val="en-GB"/>
        </w:rPr>
        <w:t xml:space="preserve"> in terms of effect on radiographic disease progression and structural preservation in clinical trials, there</w:t>
      </w:r>
      <w:r>
        <w:rPr>
          <w:bCs/>
          <w:szCs w:val="22"/>
          <w:lang w:val="en-GB"/>
        </w:rPr>
        <w:t xml:space="preserve"> </w:t>
      </w:r>
      <w:r w:rsidR="000C5181">
        <w:rPr>
          <w:bCs/>
          <w:szCs w:val="22"/>
          <w:lang w:val="en-GB"/>
        </w:rPr>
        <w:t xml:space="preserve">are signs of a positive effect in this regard and that tofacitinib is comparable to other bDMARDs in this regard. </w:t>
      </w:r>
      <w:r w:rsidR="002841C4" w:rsidRPr="004D447E">
        <w:rPr>
          <w:bCs/>
          <w:szCs w:val="22"/>
          <w:lang w:val="en-GB"/>
        </w:rPr>
        <w:t xml:space="preserve">The PBAC </w:t>
      </w:r>
      <w:r w:rsidR="000C5181">
        <w:rPr>
          <w:bCs/>
          <w:szCs w:val="22"/>
          <w:lang w:val="en-GB"/>
        </w:rPr>
        <w:t>recalled that its previous considerations of bDMARD submissions</w:t>
      </w:r>
      <w:r w:rsidR="002841C4" w:rsidRPr="004D447E">
        <w:rPr>
          <w:bCs/>
          <w:szCs w:val="22"/>
          <w:lang w:val="en-GB"/>
        </w:rPr>
        <w:t xml:space="preserve"> </w:t>
      </w:r>
      <w:r w:rsidR="000C5181">
        <w:rPr>
          <w:bCs/>
          <w:szCs w:val="22"/>
          <w:lang w:val="en-GB"/>
        </w:rPr>
        <w:t>for</w:t>
      </w:r>
      <w:r w:rsidR="002841C4" w:rsidRPr="004D447E">
        <w:rPr>
          <w:bCs/>
          <w:szCs w:val="22"/>
          <w:lang w:val="en-GB"/>
        </w:rPr>
        <w:t xml:space="preserve"> severe active rheumatoid arthritis have </w:t>
      </w:r>
      <w:r w:rsidR="00536106">
        <w:rPr>
          <w:bCs/>
          <w:szCs w:val="22"/>
          <w:lang w:val="en-GB"/>
        </w:rPr>
        <w:t xml:space="preserve">predominantly </w:t>
      </w:r>
      <w:r w:rsidR="002841C4" w:rsidRPr="004D447E">
        <w:rPr>
          <w:bCs/>
          <w:szCs w:val="22"/>
          <w:lang w:val="en-GB"/>
        </w:rPr>
        <w:t xml:space="preserve">relied on ACR </w:t>
      </w:r>
      <w:r w:rsidR="00536106">
        <w:rPr>
          <w:bCs/>
          <w:szCs w:val="22"/>
          <w:lang w:val="en-GB"/>
        </w:rPr>
        <w:t>response rate outcomes</w:t>
      </w:r>
      <w:r w:rsidR="002841C4" w:rsidRPr="004D447E">
        <w:rPr>
          <w:bCs/>
          <w:szCs w:val="22"/>
          <w:lang w:val="en-GB"/>
        </w:rPr>
        <w:t xml:space="preserve"> </w:t>
      </w:r>
      <w:r w:rsidR="00536106">
        <w:rPr>
          <w:bCs/>
          <w:szCs w:val="22"/>
          <w:lang w:val="en-GB"/>
        </w:rPr>
        <w:t>and so</w:t>
      </w:r>
      <w:r w:rsidR="002841C4" w:rsidRPr="004D447E">
        <w:rPr>
          <w:bCs/>
          <w:szCs w:val="22"/>
          <w:lang w:val="en-GB"/>
        </w:rPr>
        <w:t xml:space="preserve"> </w:t>
      </w:r>
      <w:r w:rsidR="00536106">
        <w:rPr>
          <w:bCs/>
          <w:szCs w:val="22"/>
          <w:lang w:val="en-GB"/>
        </w:rPr>
        <w:t>o</w:t>
      </w:r>
      <w:r w:rsidR="000C5181">
        <w:rPr>
          <w:bCs/>
          <w:szCs w:val="22"/>
          <w:lang w:val="en-GB"/>
        </w:rPr>
        <w:t xml:space="preserve">n balance, </w:t>
      </w:r>
      <w:r w:rsidR="00536106">
        <w:rPr>
          <w:bCs/>
          <w:szCs w:val="22"/>
          <w:lang w:val="en-GB"/>
        </w:rPr>
        <w:t xml:space="preserve">although tofacitinb 5 mg did not clearly establish an effect on disease modification, the PBAC was of the view that this was </w:t>
      </w:r>
      <w:r w:rsidR="000C5181">
        <w:rPr>
          <w:bCs/>
          <w:szCs w:val="22"/>
          <w:lang w:val="en-GB"/>
        </w:rPr>
        <w:t>not a strong enough reason to reject the proposed listing.</w:t>
      </w:r>
      <w:r w:rsidR="002841C4" w:rsidRPr="004D447E">
        <w:rPr>
          <w:bCs/>
          <w:szCs w:val="22"/>
          <w:lang w:val="en-GB"/>
        </w:rPr>
        <w:t xml:space="preserve">     </w:t>
      </w:r>
    </w:p>
    <w:p w:rsidR="004C741B" w:rsidRDefault="004C741B" w:rsidP="004C741B">
      <w:pPr>
        <w:pStyle w:val="ListParagraph"/>
        <w:rPr>
          <w:bCs/>
          <w:szCs w:val="22"/>
          <w:lang w:val="en-GB"/>
        </w:rPr>
      </w:pPr>
    </w:p>
    <w:p w:rsidR="00C316CA" w:rsidRPr="00CE7EA0" w:rsidRDefault="00C316CA" w:rsidP="00CE7EA0">
      <w:pPr>
        <w:pStyle w:val="ListParagraph"/>
        <w:widowControl/>
        <w:numPr>
          <w:ilvl w:val="1"/>
          <w:numId w:val="12"/>
        </w:numPr>
        <w:rPr>
          <w:bCs/>
          <w:szCs w:val="22"/>
        </w:rPr>
      </w:pPr>
      <w:r>
        <w:rPr>
          <w:bCs/>
          <w:szCs w:val="22"/>
          <w:lang w:val="en-GB"/>
        </w:rPr>
        <w:t>In</w:t>
      </w:r>
      <w:r w:rsidR="005F456D">
        <w:rPr>
          <w:bCs/>
          <w:szCs w:val="22"/>
          <w:lang w:val="en-GB"/>
        </w:rPr>
        <w:t xml:space="preserve"> terms of comparative safety, the PBAC noted that n</w:t>
      </w:r>
      <w:r w:rsidR="005F456D" w:rsidRPr="005F456D">
        <w:rPr>
          <w:bCs/>
          <w:szCs w:val="22"/>
          <w:lang w:val="en-GB"/>
        </w:rPr>
        <w:t>o statistically significant differences were observed across the overall safety outcomes at 3 months.  For the six month results from Study 1064, a statistically significant difference in favour of adalimumab was demonstrated for patients with serious adverse events</w:t>
      </w:r>
      <w:r w:rsidR="005F456D">
        <w:rPr>
          <w:bCs/>
          <w:szCs w:val="22"/>
          <w:lang w:val="en-GB"/>
        </w:rPr>
        <w:t>.</w:t>
      </w:r>
      <w:r>
        <w:rPr>
          <w:bCs/>
          <w:szCs w:val="22"/>
          <w:lang w:val="en-GB"/>
        </w:rPr>
        <w:t xml:space="preserve"> </w:t>
      </w:r>
      <w:r w:rsidR="00CE7EA0">
        <w:rPr>
          <w:bCs/>
          <w:szCs w:val="22"/>
        </w:rPr>
        <w:t>T</w:t>
      </w:r>
      <w:r w:rsidR="00CE7EA0" w:rsidRPr="00CE7EA0">
        <w:rPr>
          <w:bCs/>
          <w:szCs w:val="22"/>
        </w:rPr>
        <w:t xml:space="preserve">ofacitinib </w:t>
      </w:r>
      <w:r w:rsidR="00CE7EA0">
        <w:rPr>
          <w:bCs/>
          <w:szCs w:val="22"/>
        </w:rPr>
        <w:t xml:space="preserve">also appeared to </w:t>
      </w:r>
      <w:r w:rsidR="00CE7EA0" w:rsidRPr="00CE7EA0">
        <w:rPr>
          <w:bCs/>
          <w:szCs w:val="22"/>
        </w:rPr>
        <w:t xml:space="preserve">result in an increased risk of infections, including chest </w:t>
      </w:r>
      <w:r w:rsidR="00CE7EA0">
        <w:rPr>
          <w:bCs/>
          <w:szCs w:val="22"/>
        </w:rPr>
        <w:t xml:space="preserve">infections and cellulitis. </w:t>
      </w:r>
      <w:r w:rsidR="00992043" w:rsidRPr="00992043">
        <w:t xml:space="preserve">While the submission did not report results of any statistical analyses for change in lipid parameters, </w:t>
      </w:r>
      <w:r w:rsidR="005F456D">
        <w:t xml:space="preserve">the PBAC noted that </w:t>
      </w:r>
      <w:r w:rsidR="00992043" w:rsidRPr="00992043">
        <w:t>the trial report for Study 1064 indicated that increases for tofacitinib were statistically significantly greater than adalimumab</w:t>
      </w:r>
      <w:r w:rsidR="005F456D">
        <w:t xml:space="preserve">. </w:t>
      </w:r>
      <w:r w:rsidR="002F5DEC" w:rsidRPr="00CE7EA0">
        <w:rPr>
          <w:szCs w:val="22"/>
        </w:rPr>
        <w:t xml:space="preserve">Therefore, the PBAC considered that the claim of non-inferior safety was not fully supported by the evidence. This had resulting consequences for the economic analysis. </w:t>
      </w:r>
    </w:p>
    <w:p w:rsidR="001F4A29" w:rsidRPr="001F4A29" w:rsidRDefault="001F4A29" w:rsidP="001F4A29">
      <w:pPr>
        <w:pStyle w:val="ListParagraph"/>
        <w:rPr>
          <w:szCs w:val="22"/>
        </w:rPr>
      </w:pPr>
    </w:p>
    <w:p w:rsidR="00D4423D" w:rsidRDefault="001F4A29" w:rsidP="00C316CA">
      <w:pPr>
        <w:pStyle w:val="ListParagraph"/>
        <w:widowControl/>
        <w:numPr>
          <w:ilvl w:val="1"/>
          <w:numId w:val="12"/>
        </w:numPr>
        <w:rPr>
          <w:szCs w:val="22"/>
        </w:rPr>
      </w:pPr>
      <w:r>
        <w:rPr>
          <w:szCs w:val="22"/>
        </w:rPr>
        <w:t xml:space="preserve">The </w:t>
      </w:r>
      <w:r w:rsidR="00137140">
        <w:rPr>
          <w:szCs w:val="22"/>
        </w:rPr>
        <w:t xml:space="preserve">PBAC noted that the </w:t>
      </w:r>
      <w:r w:rsidR="002F5DEC">
        <w:rPr>
          <w:szCs w:val="22"/>
        </w:rPr>
        <w:t>submission’s</w:t>
      </w:r>
      <w:r w:rsidR="00407CD5">
        <w:rPr>
          <w:szCs w:val="22"/>
        </w:rPr>
        <w:t xml:space="preserve"> cost-minimisation analysis of tofacitinib against adalimumab</w:t>
      </w:r>
      <w:r w:rsidR="00836907">
        <w:rPr>
          <w:szCs w:val="22"/>
        </w:rPr>
        <w:t xml:space="preserve"> assumed </w:t>
      </w:r>
      <w:r w:rsidR="00836907" w:rsidRPr="00836907">
        <w:rPr>
          <w:szCs w:val="22"/>
        </w:rPr>
        <w:t>cost equivalence between administration</w:t>
      </w:r>
      <w:r w:rsidR="00137140">
        <w:rPr>
          <w:szCs w:val="22"/>
        </w:rPr>
        <w:t xml:space="preserve"> (adalimumab would incur greater administration costs due to its subcutaneous injection route of administration</w:t>
      </w:r>
      <w:r w:rsidR="00836907" w:rsidRPr="00836907">
        <w:rPr>
          <w:szCs w:val="22"/>
        </w:rPr>
        <w:t>) and a</w:t>
      </w:r>
      <w:r w:rsidR="00137140">
        <w:rPr>
          <w:szCs w:val="22"/>
        </w:rPr>
        <w:t>dverse event costs (tofacitinib appeared to have higher rates of</w:t>
      </w:r>
      <w:r w:rsidR="00836907" w:rsidRPr="00836907">
        <w:rPr>
          <w:szCs w:val="22"/>
        </w:rPr>
        <w:t xml:space="preserve"> hypercholesterolaemia)</w:t>
      </w:r>
      <w:r w:rsidR="00137140">
        <w:rPr>
          <w:szCs w:val="22"/>
        </w:rPr>
        <w:t xml:space="preserve"> despite a lack of </w:t>
      </w:r>
      <w:r w:rsidR="00836907" w:rsidRPr="00836907">
        <w:rPr>
          <w:szCs w:val="22"/>
        </w:rPr>
        <w:t xml:space="preserve">quantitative analysis </w:t>
      </w:r>
      <w:r w:rsidR="00137140">
        <w:rPr>
          <w:szCs w:val="22"/>
        </w:rPr>
        <w:t xml:space="preserve">demonstrating that </w:t>
      </w:r>
      <w:r w:rsidR="00836907" w:rsidRPr="00836907">
        <w:rPr>
          <w:szCs w:val="22"/>
        </w:rPr>
        <w:t xml:space="preserve">costs </w:t>
      </w:r>
      <w:r w:rsidR="0083359B">
        <w:rPr>
          <w:szCs w:val="22"/>
        </w:rPr>
        <w:t>arising</w:t>
      </w:r>
      <w:r w:rsidR="00836907" w:rsidRPr="00836907">
        <w:rPr>
          <w:szCs w:val="22"/>
        </w:rPr>
        <w:t xml:space="preserve"> from </w:t>
      </w:r>
      <w:r w:rsidR="0083359B">
        <w:rPr>
          <w:szCs w:val="22"/>
        </w:rPr>
        <w:t xml:space="preserve">increased </w:t>
      </w:r>
      <w:r w:rsidR="00836907" w:rsidRPr="00836907">
        <w:rPr>
          <w:szCs w:val="22"/>
        </w:rPr>
        <w:t xml:space="preserve">hypercholesterolemia were </w:t>
      </w:r>
      <w:r w:rsidR="0083359B">
        <w:rPr>
          <w:szCs w:val="22"/>
        </w:rPr>
        <w:t xml:space="preserve">countered equally by </w:t>
      </w:r>
      <w:r w:rsidR="005B4F4F">
        <w:rPr>
          <w:szCs w:val="22"/>
        </w:rPr>
        <w:t>reduc</w:t>
      </w:r>
      <w:r w:rsidR="0083359B">
        <w:rPr>
          <w:szCs w:val="22"/>
        </w:rPr>
        <w:t xml:space="preserve">ed </w:t>
      </w:r>
      <w:r w:rsidR="00836907" w:rsidRPr="00836907">
        <w:rPr>
          <w:szCs w:val="22"/>
        </w:rPr>
        <w:t>administration costs</w:t>
      </w:r>
      <w:r w:rsidR="0083359B">
        <w:rPr>
          <w:szCs w:val="22"/>
        </w:rPr>
        <w:t xml:space="preserve"> for tofacitinib</w:t>
      </w:r>
      <w:r w:rsidR="00836907" w:rsidRPr="00836907">
        <w:rPr>
          <w:szCs w:val="22"/>
        </w:rPr>
        <w:t xml:space="preserve">.  </w:t>
      </w:r>
      <w:r w:rsidR="0083359B">
        <w:rPr>
          <w:szCs w:val="22"/>
        </w:rPr>
        <w:t>In line with the PBAC’s March 2010 consideration of tocilizumab for rheumatoid arthritis, g</w:t>
      </w:r>
      <w:r w:rsidR="0083359B" w:rsidRPr="0083359B">
        <w:rPr>
          <w:szCs w:val="22"/>
        </w:rPr>
        <w:t xml:space="preserve">iven the evidence </w:t>
      </w:r>
      <w:r w:rsidR="00D952E0">
        <w:rPr>
          <w:szCs w:val="22"/>
        </w:rPr>
        <w:t>regarding</w:t>
      </w:r>
      <w:r w:rsidR="005B4F4F">
        <w:rPr>
          <w:szCs w:val="22"/>
        </w:rPr>
        <w:t xml:space="preserve"> </w:t>
      </w:r>
      <w:r w:rsidR="0083359B">
        <w:rPr>
          <w:szCs w:val="22"/>
        </w:rPr>
        <w:t>statistically significantly greater changes in lipid parameters</w:t>
      </w:r>
      <w:r w:rsidR="005B4F4F">
        <w:rPr>
          <w:szCs w:val="22"/>
        </w:rPr>
        <w:t xml:space="preserve"> resulting from tofacitinib treatment</w:t>
      </w:r>
      <w:r w:rsidR="0083359B">
        <w:rPr>
          <w:szCs w:val="22"/>
        </w:rPr>
        <w:t>,</w:t>
      </w:r>
      <w:r w:rsidR="0083359B" w:rsidRPr="0083359B">
        <w:rPr>
          <w:szCs w:val="22"/>
        </w:rPr>
        <w:t xml:space="preserve"> the PBAC </w:t>
      </w:r>
      <w:r w:rsidR="005B4F4F">
        <w:rPr>
          <w:szCs w:val="22"/>
        </w:rPr>
        <w:t xml:space="preserve">considered </w:t>
      </w:r>
      <w:r w:rsidR="0083359B" w:rsidRPr="0083359B">
        <w:rPr>
          <w:szCs w:val="22"/>
        </w:rPr>
        <w:t xml:space="preserve">that the inclusion of </w:t>
      </w:r>
      <w:r w:rsidR="004400C8" w:rsidRPr="004400C8">
        <w:rPr>
          <w:szCs w:val="22"/>
        </w:rPr>
        <w:t>hypercholesterolemia</w:t>
      </w:r>
      <w:r w:rsidR="004400C8" w:rsidRPr="004400C8" w:rsidDel="004400C8">
        <w:rPr>
          <w:szCs w:val="22"/>
        </w:rPr>
        <w:t xml:space="preserve"> </w:t>
      </w:r>
      <w:r w:rsidR="004400C8">
        <w:rPr>
          <w:szCs w:val="22"/>
        </w:rPr>
        <w:t>management</w:t>
      </w:r>
      <w:r w:rsidR="0083359B" w:rsidRPr="0083359B">
        <w:rPr>
          <w:szCs w:val="22"/>
        </w:rPr>
        <w:t xml:space="preserve"> costs for a proportion of </w:t>
      </w:r>
      <w:r w:rsidR="005B4F4F">
        <w:rPr>
          <w:szCs w:val="22"/>
        </w:rPr>
        <w:t>patients would be</w:t>
      </w:r>
      <w:r w:rsidR="0083359B" w:rsidRPr="0083359B">
        <w:rPr>
          <w:szCs w:val="22"/>
        </w:rPr>
        <w:t xml:space="preserve"> appropriate</w:t>
      </w:r>
      <w:r w:rsidR="005B4F4F">
        <w:rPr>
          <w:szCs w:val="22"/>
        </w:rPr>
        <w:t xml:space="preserve">. </w:t>
      </w:r>
      <w:r w:rsidR="00213EF6">
        <w:rPr>
          <w:szCs w:val="22"/>
        </w:rPr>
        <w:t xml:space="preserve">The PBAC further did not recommend a cost-offset be applied for reduced administration costs, as the PBAC agreed that </w:t>
      </w:r>
      <w:r w:rsidR="00213EF6" w:rsidRPr="00213EF6">
        <w:rPr>
          <w:szCs w:val="22"/>
        </w:rPr>
        <w:t>assistance with subcutaneous administration would only be expected in the minority of circumstances</w:t>
      </w:r>
      <w:r w:rsidR="00213EF6">
        <w:rPr>
          <w:szCs w:val="22"/>
        </w:rPr>
        <w:t>.</w:t>
      </w:r>
    </w:p>
    <w:p w:rsidR="00D4423D" w:rsidRDefault="00D4423D" w:rsidP="00D4423D">
      <w:pPr>
        <w:pStyle w:val="ListParagraph"/>
        <w:widowControl/>
        <w:rPr>
          <w:szCs w:val="22"/>
        </w:rPr>
      </w:pPr>
    </w:p>
    <w:p w:rsidR="001F4A29" w:rsidRPr="00C316CA" w:rsidRDefault="00D4423D" w:rsidP="00C316CA">
      <w:pPr>
        <w:pStyle w:val="ListParagraph"/>
        <w:widowControl/>
        <w:numPr>
          <w:ilvl w:val="1"/>
          <w:numId w:val="12"/>
        </w:numPr>
        <w:rPr>
          <w:szCs w:val="22"/>
        </w:rPr>
      </w:pPr>
      <w:r>
        <w:rPr>
          <w:bCs/>
          <w:szCs w:val="22"/>
          <w:lang w:val="en-GB"/>
        </w:rPr>
        <w:t>E</w:t>
      </w:r>
      <w:r w:rsidRPr="00D4423D">
        <w:rPr>
          <w:bCs/>
          <w:szCs w:val="22"/>
          <w:lang w:val="en-GB"/>
        </w:rPr>
        <w:t xml:space="preserve">qui-effective doses </w:t>
      </w:r>
      <w:r>
        <w:rPr>
          <w:bCs/>
          <w:szCs w:val="22"/>
          <w:lang w:val="en-GB"/>
        </w:rPr>
        <w:t>of</w:t>
      </w:r>
      <w:r w:rsidRPr="00D4423D">
        <w:rPr>
          <w:bCs/>
          <w:szCs w:val="22"/>
          <w:lang w:val="en-GB"/>
        </w:rPr>
        <w:t xml:space="preserve"> tofacitinib 5 mg twice daily and adalimumab 40 mg subcutaneously every fortnight</w:t>
      </w:r>
      <w:r>
        <w:rPr>
          <w:bCs/>
          <w:szCs w:val="22"/>
          <w:lang w:val="en-GB"/>
        </w:rPr>
        <w:t xml:space="preserve"> were accepted by the PBAC.</w:t>
      </w:r>
    </w:p>
    <w:p w:rsidR="007362E1" w:rsidRPr="00286F14" w:rsidRDefault="007362E1" w:rsidP="00D90F49">
      <w:pPr>
        <w:contextualSpacing/>
        <w:rPr>
          <w:bCs/>
          <w:szCs w:val="22"/>
          <w:lang w:val="en-GB"/>
        </w:rPr>
      </w:pPr>
    </w:p>
    <w:p w:rsidR="00D90F49" w:rsidRDefault="007B2E04" w:rsidP="004022CC">
      <w:pPr>
        <w:pStyle w:val="ListParagraph"/>
        <w:numPr>
          <w:ilvl w:val="1"/>
          <w:numId w:val="12"/>
        </w:numPr>
        <w:rPr>
          <w:bCs/>
          <w:szCs w:val="22"/>
          <w:lang w:val="en-GB"/>
        </w:rPr>
      </w:pPr>
      <w:r w:rsidRPr="005B4F4F">
        <w:rPr>
          <w:bCs/>
          <w:szCs w:val="22"/>
          <w:lang w:val="en-GB"/>
        </w:rPr>
        <w:t>The PBAC agreed with the DUSC</w:t>
      </w:r>
      <w:r w:rsidR="00D952E0">
        <w:rPr>
          <w:bCs/>
          <w:szCs w:val="22"/>
          <w:lang w:val="en-GB"/>
        </w:rPr>
        <w:t xml:space="preserve"> advice</w:t>
      </w:r>
      <w:r w:rsidRPr="005B4F4F">
        <w:rPr>
          <w:bCs/>
          <w:szCs w:val="22"/>
          <w:lang w:val="en-GB"/>
        </w:rPr>
        <w:t xml:space="preserve"> </w:t>
      </w:r>
      <w:r w:rsidR="00D952E0">
        <w:rPr>
          <w:bCs/>
          <w:szCs w:val="22"/>
          <w:lang w:val="en-GB"/>
        </w:rPr>
        <w:t>that the submission’s estimates of</w:t>
      </w:r>
      <w:r w:rsidRPr="005B4F4F">
        <w:rPr>
          <w:bCs/>
          <w:szCs w:val="22"/>
          <w:lang w:val="en-GB"/>
        </w:rPr>
        <w:t xml:space="preserve"> the financial </w:t>
      </w:r>
      <w:r w:rsidR="00D952E0">
        <w:rPr>
          <w:bCs/>
          <w:szCs w:val="22"/>
          <w:lang w:val="en-GB"/>
        </w:rPr>
        <w:t>implications of listing tofacitinib</w:t>
      </w:r>
      <w:r w:rsidRPr="005B4F4F">
        <w:rPr>
          <w:bCs/>
          <w:szCs w:val="22"/>
          <w:lang w:val="en-GB"/>
        </w:rPr>
        <w:t xml:space="preserve">, particularly in relation to the estimate of 6% uptake within the RA market. </w:t>
      </w:r>
      <w:r w:rsidR="00D952E0">
        <w:rPr>
          <w:bCs/>
          <w:szCs w:val="22"/>
          <w:lang w:val="en-GB"/>
        </w:rPr>
        <w:t>The PBAC’s view was that tofacitinib’s oral route of administration was likely to make this uptake rate higher th</w:t>
      </w:r>
      <w:r w:rsidR="00CE7EA0">
        <w:rPr>
          <w:bCs/>
          <w:szCs w:val="22"/>
          <w:lang w:val="en-GB"/>
        </w:rPr>
        <w:t>an predicted by the submis</w:t>
      </w:r>
      <w:r w:rsidR="00213EF6">
        <w:rPr>
          <w:bCs/>
          <w:szCs w:val="22"/>
          <w:lang w:val="en-GB"/>
        </w:rPr>
        <w:t>sion.</w:t>
      </w:r>
      <w:r w:rsidR="004022CC">
        <w:rPr>
          <w:bCs/>
          <w:szCs w:val="22"/>
          <w:lang w:val="en-GB"/>
        </w:rPr>
        <w:t xml:space="preserve"> This was not expected to have a financial implication based on a cost-minimisation listing. </w:t>
      </w:r>
      <w:r w:rsidR="00F5643B">
        <w:rPr>
          <w:bCs/>
          <w:szCs w:val="22"/>
          <w:lang w:val="en-GB"/>
        </w:rPr>
        <w:t xml:space="preserve">However, the PBAC agreed with the DUSC advice </w:t>
      </w:r>
      <w:r w:rsidR="004022CC">
        <w:rPr>
          <w:bCs/>
          <w:szCs w:val="22"/>
          <w:lang w:val="en-GB"/>
        </w:rPr>
        <w:t>that the oral rout</w:t>
      </w:r>
      <w:r w:rsidR="00F5643B">
        <w:rPr>
          <w:bCs/>
          <w:szCs w:val="22"/>
          <w:lang w:val="en-GB"/>
        </w:rPr>
        <w:t>e</w:t>
      </w:r>
      <w:r w:rsidR="004022CC">
        <w:rPr>
          <w:bCs/>
          <w:szCs w:val="22"/>
          <w:lang w:val="en-GB"/>
        </w:rPr>
        <w:t xml:space="preserve"> o</w:t>
      </w:r>
      <w:r w:rsidR="00F5643B">
        <w:rPr>
          <w:bCs/>
          <w:szCs w:val="22"/>
          <w:lang w:val="en-GB"/>
        </w:rPr>
        <w:t xml:space="preserve">f administration may </w:t>
      </w:r>
      <w:r w:rsidR="004022CC">
        <w:rPr>
          <w:bCs/>
          <w:szCs w:val="22"/>
          <w:lang w:val="en-GB"/>
        </w:rPr>
        <w:t xml:space="preserve">have the </w:t>
      </w:r>
      <w:r w:rsidR="00F5643B">
        <w:rPr>
          <w:bCs/>
          <w:szCs w:val="22"/>
          <w:lang w:val="en-GB"/>
        </w:rPr>
        <w:t>potential</w:t>
      </w:r>
      <w:r w:rsidR="004022CC">
        <w:rPr>
          <w:bCs/>
          <w:szCs w:val="22"/>
          <w:lang w:val="en-GB"/>
        </w:rPr>
        <w:t xml:space="preserve"> of growing the</w:t>
      </w:r>
      <w:r w:rsidR="00F5643B">
        <w:rPr>
          <w:bCs/>
          <w:szCs w:val="22"/>
          <w:lang w:val="en-GB"/>
        </w:rPr>
        <w:t xml:space="preserve"> RA</w:t>
      </w:r>
      <w:r w:rsidR="004022CC">
        <w:rPr>
          <w:bCs/>
          <w:szCs w:val="22"/>
          <w:lang w:val="en-GB"/>
        </w:rPr>
        <w:t xml:space="preserve"> market</w:t>
      </w:r>
      <w:r w:rsidR="00F5643B">
        <w:rPr>
          <w:bCs/>
          <w:szCs w:val="22"/>
          <w:lang w:val="en-GB"/>
        </w:rPr>
        <w:t xml:space="preserve"> and so</w:t>
      </w:r>
      <w:r w:rsidRPr="005B4F4F">
        <w:rPr>
          <w:bCs/>
          <w:szCs w:val="22"/>
          <w:lang w:val="en-GB"/>
        </w:rPr>
        <w:t xml:space="preserve"> recommended DUSC</w:t>
      </w:r>
      <w:r w:rsidR="00F5643B">
        <w:rPr>
          <w:bCs/>
          <w:szCs w:val="22"/>
          <w:lang w:val="en-GB"/>
        </w:rPr>
        <w:t xml:space="preserve"> </w:t>
      </w:r>
      <w:r w:rsidRPr="005B4F4F">
        <w:rPr>
          <w:bCs/>
          <w:szCs w:val="22"/>
          <w:lang w:val="en-GB"/>
        </w:rPr>
        <w:t xml:space="preserve">review </w:t>
      </w:r>
      <w:r w:rsidR="00F5643B">
        <w:rPr>
          <w:bCs/>
          <w:szCs w:val="22"/>
          <w:lang w:val="en-GB"/>
        </w:rPr>
        <w:t xml:space="preserve">tofacitinb </w:t>
      </w:r>
      <w:r w:rsidRPr="005B4F4F">
        <w:rPr>
          <w:bCs/>
          <w:szCs w:val="22"/>
          <w:lang w:val="en-GB"/>
        </w:rPr>
        <w:t xml:space="preserve">utilisation </w:t>
      </w:r>
      <w:r w:rsidR="00F5643B">
        <w:rPr>
          <w:bCs/>
          <w:szCs w:val="22"/>
          <w:lang w:val="en-GB"/>
        </w:rPr>
        <w:t>following</w:t>
      </w:r>
      <w:r w:rsidRPr="005B4F4F">
        <w:rPr>
          <w:bCs/>
          <w:szCs w:val="22"/>
          <w:lang w:val="en-GB"/>
        </w:rPr>
        <w:t xml:space="preserve"> 12 months</w:t>
      </w:r>
      <w:r w:rsidR="00F5643B">
        <w:rPr>
          <w:bCs/>
          <w:szCs w:val="22"/>
          <w:lang w:val="en-GB"/>
        </w:rPr>
        <w:t xml:space="preserve"> of listing to confirm whether the RA market had grown beyond historical trends</w:t>
      </w:r>
      <w:r w:rsidRPr="005B4F4F">
        <w:rPr>
          <w:bCs/>
          <w:szCs w:val="22"/>
          <w:lang w:val="en-GB"/>
        </w:rPr>
        <w:t>.</w:t>
      </w:r>
      <w:r w:rsidR="004022CC">
        <w:rPr>
          <w:bCs/>
          <w:szCs w:val="22"/>
          <w:lang w:val="en-GB"/>
        </w:rPr>
        <w:t xml:space="preserve"> </w:t>
      </w:r>
      <w:r w:rsidR="004022CC" w:rsidRPr="004022CC">
        <w:rPr>
          <w:bCs/>
          <w:szCs w:val="22"/>
          <w:lang w:val="en-GB"/>
        </w:rPr>
        <w:t>DUSC had</w:t>
      </w:r>
      <w:r w:rsidR="00555E02">
        <w:rPr>
          <w:bCs/>
          <w:szCs w:val="22"/>
          <w:lang w:val="en-GB"/>
        </w:rPr>
        <w:t xml:space="preserve"> also </w:t>
      </w:r>
      <w:r w:rsidR="004022CC" w:rsidRPr="004022CC">
        <w:rPr>
          <w:bCs/>
          <w:szCs w:val="22"/>
          <w:lang w:val="en-GB"/>
        </w:rPr>
        <w:t>advised that the costs of increased infections with tofacitinib should be accounted for in the estimates</w:t>
      </w:r>
      <w:r w:rsidR="00555E02">
        <w:rPr>
          <w:bCs/>
          <w:szCs w:val="22"/>
          <w:lang w:val="en-GB"/>
        </w:rPr>
        <w:t xml:space="preserve"> but</w:t>
      </w:r>
      <w:r w:rsidR="004022CC" w:rsidRPr="004022CC">
        <w:rPr>
          <w:bCs/>
          <w:szCs w:val="22"/>
          <w:lang w:val="en-GB"/>
        </w:rPr>
        <w:t xml:space="preserve"> the PBAC agreed that this would be difficult to estimate, as current RA treatments also cause infections.</w:t>
      </w:r>
    </w:p>
    <w:p w:rsidR="00555E02" w:rsidRDefault="00555E02" w:rsidP="00555E02">
      <w:pPr>
        <w:pStyle w:val="ListParagraph"/>
        <w:rPr>
          <w:bCs/>
          <w:szCs w:val="22"/>
          <w:lang w:val="en-GB"/>
        </w:rPr>
      </w:pPr>
    </w:p>
    <w:p w:rsidR="00555E02" w:rsidRDefault="00555E02" w:rsidP="004022CC">
      <w:pPr>
        <w:pStyle w:val="ListParagraph"/>
        <w:numPr>
          <w:ilvl w:val="1"/>
          <w:numId w:val="12"/>
        </w:numPr>
        <w:rPr>
          <w:bCs/>
          <w:szCs w:val="22"/>
          <w:lang w:val="en-GB"/>
        </w:rPr>
      </w:pPr>
      <w:r>
        <w:rPr>
          <w:bCs/>
          <w:szCs w:val="22"/>
          <w:lang w:val="en-GB"/>
        </w:rPr>
        <w:t>Although the submission had requested a ‘Grandfathering’ clause in the proposed PBS restriction, the PBAC noted that the number and source of such patients (e.g. private treatment, hospital in-patient treatment, sponsor access program, clinical trials) had not been adequately justified by the sponsor. Therefore, unless there was a clear identification of such patients</w:t>
      </w:r>
      <w:r w:rsidR="00A653A5">
        <w:rPr>
          <w:bCs/>
          <w:szCs w:val="22"/>
          <w:lang w:val="en-GB"/>
        </w:rPr>
        <w:t xml:space="preserve"> by the sponsor, the PBAC was not supportive of a grandfather clause. </w:t>
      </w:r>
      <w:r>
        <w:rPr>
          <w:bCs/>
          <w:szCs w:val="22"/>
          <w:lang w:val="en-GB"/>
        </w:rPr>
        <w:t xml:space="preserve"> </w:t>
      </w:r>
    </w:p>
    <w:p w:rsidR="00555E02" w:rsidRDefault="00555E02" w:rsidP="00555E02">
      <w:pPr>
        <w:pStyle w:val="ListParagraph"/>
        <w:rPr>
          <w:bCs/>
          <w:szCs w:val="22"/>
          <w:lang w:val="en-GB"/>
        </w:rPr>
      </w:pPr>
    </w:p>
    <w:p w:rsidR="00555E02" w:rsidRPr="005B4F4F" w:rsidRDefault="00555E02" w:rsidP="004022CC">
      <w:pPr>
        <w:pStyle w:val="ListParagraph"/>
        <w:numPr>
          <w:ilvl w:val="1"/>
          <w:numId w:val="12"/>
        </w:numPr>
        <w:rPr>
          <w:bCs/>
          <w:szCs w:val="22"/>
          <w:lang w:val="en-GB"/>
        </w:rPr>
      </w:pPr>
      <w:r>
        <w:rPr>
          <w:bCs/>
          <w:szCs w:val="22"/>
          <w:lang w:val="en-GB"/>
        </w:rPr>
        <w:t>The PBAC further noted that existing special pricing arrangements apply to existing bDMARDs in the treatment of rheumatoid arthritis and that it would be suitable for the same arrangements to apply to tofacitinib.</w:t>
      </w:r>
    </w:p>
    <w:p w:rsidR="0025455F" w:rsidRDefault="0025455F" w:rsidP="0025455F">
      <w:pPr>
        <w:ind w:left="720"/>
        <w:contextualSpacing/>
        <w:rPr>
          <w:bCs/>
          <w:szCs w:val="22"/>
          <w:lang w:val="en-GB"/>
        </w:rPr>
      </w:pPr>
    </w:p>
    <w:p w:rsidR="0025455F" w:rsidRPr="0025455F" w:rsidRDefault="0025455F" w:rsidP="0025455F">
      <w:pPr>
        <w:numPr>
          <w:ilvl w:val="1"/>
          <w:numId w:val="12"/>
        </w:numPr>
        <w:contextualSpacing/>
        <w:rPr>
          <w:bCs/>
          <w:szCs w:val="22"/>
          <w:lang w:val="en-GB"/>
        </w:rPr>
      </w:pPr>
      <w:r w:rsidRPr="0025455F">
        <w:rPr>
          <w:bCs/>
          <w:szCs w:val="22"/>
          <w:lang w:val="en-GB"/>
        </w:rPr>
        <w:t xml:space="preserve">Consistent with a cost-minimisation recommendation, the PBAC agreed that the listing for tofacitinib should target the same patient population as the current restrictions for the existing bDMARDs for severe active RA and that the interchangeability rules (swapping criteria) should be retained.  </w:t>
      </w:r>
      <w:r w:rsidR="002F5575">
        <w:rPr>
          <w:bCs/>
          <w:szCs w:val="22"/>
          <w:lang w:val="en-GB"/>
        </w:rPr>
        <w:t>This means that</w:t>
      </w:r>
      <w:r w:rsidRPr="0025455F">
        <w:rPr>
          <w:bCs/>
          <w:szCs w:val="22"/>
          <w:lang w:val="en-GB"/>
        </w:rPr>
        <w:t xml:space="preserve"> within the same treatment cycle, a patient cannot trial and fail, or cease to respond to, the same PBS-subsidised bDMARD more than once. Once a patient has either failed or ceased to respond to three therapies, they are deemed to have completed a treatment cycle and they must have a minimum 5 year break. </w:t>
      </w:r>
    </w:p>
    <w:p w:rsidR="0025455F" w:rsidRPr="0025455F" w:rsidRDefault="0025455F" w:rsidP="0025455F">
      <w:pPr>
        <w:ind w:left="720"/>
        <w:contextualSpacing/>
        <w:rPr>
          <w:bCs/>
          <w:szCs w:val="22"/>
          <w:lang w:val="en-GB"/>
        </w:rPr>
      </w:pPr>
    </w:p>
    <w:p w:rsidR="00797728" w:rsidRPr="0025455F" w:rsidRDefault="0025455F" w:rsidP="0025455F">
      <w:pPr>
        <w:numPr>
          <w:ilvl w:val="1"/>
          <w:numId w:val="12"/>
        </w:numPr>
        <w:contextualSpacing/>
        <w:rPr>
          <w:bCs/>
          <w:szCs w:val="22"/>
          <w:lang w:val="en-GB"/>
        </w:rPr>
      </w:pPr>
      <w:r w:rsidRPr="0025455F">
        <w:rPr>
          <w:bCs/>
          <w:szCs w:val="22"/>
          <w:lang w:val="en-GB"/>
        </w:rPr>
        <w:t xml:space="preserve">The PBAC noted the correspondence from the Australian Rheumatology Association (ARA) expressing concern over ambiguity in the use of the term ‘specialist physician with expertise in the management of rheumatoid </w:t>
      </w:r>
      <w:r w:rsidR="00EB7CC8" w:rsidRPr="0025455F">
        <w:rPr>
          <w:bCs/>
          <w:szCs w:val="22"/>
          <w:lang w:val="en-GB"/>
        </w:rPr>
        <w:t>arthritis</w:t>
      </w:r>
      <w:r w:rsidRPr="0025455F">
        <w:rPr>
          <w:bCs/>
          <w:szCs w:val="22"/>
          <w:lang w:val="en-GB"/>
        </w:rPr>
        <w:t xml:space="preserve"> in the TGA registered indication and potential use in any proposed PBS restriction. In reply to this, the sponsor</w:t>
      </w:r>
      <w:r w:rsidR="00C96F01">
        <w:rPr>
          <w:bCs/>
          <w:szCs w:val="22"/>
          <w:lang w:val="en-GB"/>
        </w:rPr>
        <w:t xml:space="preserve"> provided reassurance that it did not intend for tofacitinb to be available to a wider prescriber group than that currently available for the existing bDMARDs for RA.  The PBAC agreed that it would be reasonable to ensure that the prescriber types for tofacitinib and existing PBS-listed bDMARDs used in RA aligned.</w:t>
      </w:r>
    </w:p>
    <w:p w:rsidR="007B2E04" w:rsidRPr="007B2E04" w:rsidRDefault="007B2E04" w:rsidP="007B2E04">
      <w:pPr>
        <w:pStyle w:val="ListParagraph"/>
        <w:rPr>
          <w:bCs/>
          <w:szCs w:val="22"/>
          <w:lang w:val="en-GB"/>
        </w:rPr>
      </w:pPr>
    </w:p>
    <w:p w:rsidR="00A653A5" w:rsidRPr="00A653A5" w:rsidRDefault="00A653A5" w:rsidP="00A653A5">
      <w:pPr>
        <w:numPr>
          <w:ilvl w:val="1"/>
          <w:numId w:val="12"/>
        </w:numPr>
        <w:rPr>
          <w:bCs/>
          <w:szCs w:val="22"/>
          <w:u w:val="single"/>
        </w:rPr>
      </w:pPr>
      <w:r w:rsidRPr="00A653A5">
        <w:rPr>
          <w:bCs/>
          <w:szCs w:val="22"/>
          <w:u w:val="single"/>
        </w:rPr>
        <w:t>Advice to the Minister under subsection 101(3BA) of the Act</w:t>
      </w:r>
    </w:p>
    <w:p w:rsidR="00482699" w:rsidRPr="00797728" w:rsidRDefault="00A653A5" w:rsidP="00A653A5">
      <w:pPr>
        <w:snapToGrid w:val="0"/>
        <w:ind w:left="720"/>
        <w:contextualSpacing/>
        <w:rPr>
          <w:bCs/>
          <w:szCs w:val="22"/>
          <w:lang w:val="en-GB"/>
        </w:rPr>
      </w:pPr>
      <w:r>
        <w:rPr>
          <w:bCs/>
          <w:szCs w:val="22"/>
          <w:lang w:val="en-GB"/>
        </w:rPr>
        <w:t>I</w:t>
      </w:r>
      <w:r w:rsidR="00482699" w:rsidRPr="00797728">
        <w:rPr>
          <w:bCs/>
          <w:szCs w:val="22"/>
          <w:lang w:val="en-GB"/>
        </w:rPr>
        <w:t xml:space="preserve">n accordance </w:t>
      </w:r>
      <w:r w:rsidR="00482699" w:rsidRPr="00797728">
        <w:rPr>
          <w:rFonts w:cs="Times New Roman"/>
          <w:snapToGrid/>
          <w:szCs w:val="22"/>
          <w:lang w:eastAsia="en-AU"/>
        </w:rPr>
        <w:t xml:space="preserve">with subsection 101(3BA) of the Act the PBAC advised that it is of the opinion that, on the basis of the material available to it at its March 2015 meeting, tofacitinib should not be treated as interchangeable on an individual patient basis </w:t>
      </w:r>
      <w:r w:rsidR="00482699" w:rsidRPr="00797728">
        <w:rPr>
          <w:rFonts w:cs="Times New Roman"/>
          <w:snapToGrid/>
          <w:szCs w:val="22"/>
          <w:lang w:eastAsia="en-AU"/>
        </w:rPr>
        <w:lastRenderedPageBreak/>
        <w:t>with any other drugs.</w:t>
      </w:r>
      <w:r w:rsidR="00482699" w:rsidRPr="00797728">
        <w:rPr>
          <w:bCs/>
          <w:szCs w:val="22"/>
          <w:lang w:val="en-GB"/>
        </w:rPr>
        <w:t xml:space="preserve"> </w:t>
      </w:r>
    </w:p>
    <w:p w:rsidR="00482699" w:rsidRPr="00797728" w:rsidRDefault="00482699" w:rsidP="00482699">
      <w:pPr>
        <w:pStyle w:val="ListParagraph"/>
        <w:rPr>
          <w:bCs/>
          <w:szCs w:val="22"/>
          <w:lang w:val="en-GB"/>
        </w:rPr>
      </w:pPr>
    </w:p>
    <w:p w:rsidR="00482699" w:rsidRPr="00797728" w:rsidRDefault="00482699" w:rsidP="00482699">
      <w:pPr>
        <w:numPr>
          <w:ilvl w:val="1"/>
          <w:numId w:val="12"/>
        </w:numPr>
        <w:snapToGrid w:val="0"/>
        <w:contextualSpacing/>
        <w:rPr>
          <w:bCs/>
          <w:szCs w:val="22"/>
          <w:lang w:val="en-GB"/>
        </w:rPr>
      </w:pPr>
      <w:r w:rsidRPr="00797728">
        <w:rPr>
          <w:bCs/>
          <w:szCs w:val="22"/>
          <w:lang w:val="en-GB"/>
        </w:rPr>
        <w:t>The PBAC advised that tofacitinib is not suitable for prescribing by nurse practitioners.</w:t>
      </w:r>
    </w:p>
    <w:p w:rsidR="00482699" w:rsidRPr="00797728" w:rsidRDefault="00482699" w:rsidP="00482699">
      <w:pPr>
        <w:pStyle w:val="ListParagraph"/>
        <w:rPr>
          <w:bCs/>
          <w:szCs w:val="22"/>
          <w:lang w:val="en-GB"/>
        </w:rPr>
      </w:pPr>
    </w:p>
    <w:p w:rsidR="00482699" w:rsidRPr="00797728" w:rsidRDefault="00482699" w:rsidP="00482699">
      <w:pPr>
        <w:numPr>
          <w:ilvl w:val="1"/>
          <w:numId w:val="12"/>
        </w:numPr>
        <w:snapToGrid w:val="0"/>
        <w:contextualSpacing/>
        <w:rPr>
          <w:bCs/>
          <w:szCs w:val="22"/>
          <w:lang w:val="en-GB"/>
        </w:rPr>
      </w:pPr>
      <w:r w:rsidRPr="00797728">
        <w:rPr>
          <w:bCs/>
          <w:szCs w:val="22"/>
          <w:lang w:val="en-GB"/>
        </w:rPr>
        <w:t>The PBAC recommended that the Safety Net 20 Day Rule should apply to tofacitinib.</w:t>
      </w:r>
    </w:p>
    <w:p w:rsidR="00482699" w:rsidRPr="004400C8" w:rsidRDefault="00482699" w:rsidP="00482699">
      <w:pPr>
        <w:rPr>
          <w:bCs/>
          <w:color w:val="FF0000"/>
          <w:szCs w:val="22"/>
          <w:lang w:val="en-GB"/>
        </w:rPr>
      </w:pPr>
    </w:p>
    <w:p w:rsidR="00482699" w:rsidRDefault="00482699" w:rsidP="00F04BDF">
      <w:pPr>
        <w:widowControl/>
        <w:rPr>
          <w:b/>
          <w:szCs w:val="22"/>
        </w:rPr>
      </w:pPr>
    </w:p>
    <w:p w:rsidR="00AE6964" w:rsidRPr="00AE6964" w:rsidRDefault="00AE6964" w:rsidP="00F04BDF">
      <w:pPr>
        <w:widowControl/>
        <w:rPr>
          <w:b/>
          <w:szCs w:val="22"/>
        </w:rPr>
      </w:pPr>
      <w:r w:rsidRPr="00AE6964">
        <w:rPr>
          <w:b/>
          <w:szCs w:val="22"/>
        </w:rPr>
        <w:t>Outcome:</w:t>
      </w:r>
    </w:p>
    <w:p w:rsidR="0025455F" w:rsidRDefault="00AE6964" w:rsidP="00F04BDF">
      <w:pPr>
        <w:widowControl/>
        <w:rPr>
          <w:szCs w:val="22"/>
        </w:rPr>
      </w:pPr>
      <w:r>
        <w:rPr>
          <w:szCs w:val="22"/>
        </w:rPr>
        <w:t>Recommended</w:t>
      </w:r>
    </w:p>
    <w:p w:rsidR="00AE6964" w:rsidRDefault="00AE6964" w:rsidP="00F04BDF">
      <w:pPr>
        <w:widowControl/>
        <w:rPr>
          <w:szCs w:val="22"/>
        </w:rPr>
      </w:pPr>
    </w:p>
    <w:p w:rsidR="00A653A5" w:rsidRDefault="00A653A5" w:rsidP="00F04BDF">
      <w:pPr>
        <w:widowControl/>
        <w:rPr>
          <w:szCs w:val="22"/>
        </w:rPr>
      </w:pPr>
      <w:r w:rsidRPr="00A653A5">
        <w:rPr>
          <w:szCs w:val="22"/>
        </w:rPr>
        <w:t xml:space="preserve">  </w:t>
      </w:r>
    </w:p>
    <w:p w:rsidR="00AE6964" w:rsidRPr="00AE6964" w:rsidRDefault="00AE6964" w:rsidP="00AE6964">
      <w:pPr>
        <w:widowControl/>
        <w:numPr>
          <w:ilvl w:val="0"/>
          <w:numId w:val="12"/>
        </w:numPr>
        <w:rPr>
          <w:b/>
          <w:bCs/>
          <w:i/>
          <w:szCs w:val="22"/>
          <w:lang w:val="en-GB"/>
        </w:rPr>
      </w:pPr>
      <w:r w:rsidRPr="00AE6964">
        <w:rPr>
          <w:b/>
          <w:bCs/>
          <w:szCs w:val="22"/>
          <w:lang w:val="en-GB"/>
        </w:rPr>
        <w:t>Recommended listing</w:t>
      </w:r>
    </w:p>
    <w:p w:rsidR="00AE6964" w:rsidRPr="00AE6964" w:rsidRDefault="00AE6964" w:rsidP="00AE6964">
      <w:pPr>
        <w:widowControl/>
        <w:rPr>
          <w:b/>
          <w:bCs/>
          <w:i/>
          <w:szCs w:val="22"/>
          <w:lang w:val="en-GB"/>
        </w:rPr>
      </w:pPr>
    </w:p>
    <w:p w:rsidR="00AE6964" w:rsidRDefault="00AE6964" w:rsidP="00AE6964">
      <w:pPr>
        <w:widowControl/>
        <w:numPr>
          <w:ilvl w:val="1"/>
          <w:numId w:val="12"/>
        </w:numPr>
        <w:rPr>
          <w:bCs/>
          <w:szCs w:val="22"/>
        </w:rPr>
      </w:pPr>
      <w:r w:rsidRPr="00482699">
        <w:rPr>
          <w:bCs/>
          <w:szCs w:val="22"/>
        </w:rPr>
        <w:t>Add new item:</w:t>
      </w:r>
      <w:r w:rsidR="00482699">
        <w:rPr>
          <w:bCs/>
          <w:szCs w:val="22"/>
        </w:rPr>
        <w:t xml:space="preserve"> </w:t>
      </w:r>
    </w:p>
    <w:p w:rsidR="004400C8" w:rsidRDefault="004400C8" w:rsidP="004400C8">
      <w:pPr>
        <w:widowControl/>
        <w:ind w:left="720"/>
        <w:rPr>
          <w:bCs/>
          <w:szCs w:val="22"/>
        </w:rPr>
      </w:pPr>
    </w:p>
    <w:tbl>
      <w:tblPr>
        <w:tblW w:w="8931" w:type="dxa"/>
        <w:tblInd w:w="108" w:type="dxa"/>
        <w:tblLayout w:type="fixed"/>
        <w:tblLook w:val="0000" w:firstRow="0" w:lastRow="0" w:firstColumn="0" w:lastColumn="0" w:noHBand="0" w:noVBand="0"/>
      </w:tblPr>
      <w:tblGrid>
        <w:gridCol w:w="2127"/>
        <w:gridCol w:w="1134"/>
        <w:gridCol w:w="708"/>
        <w:gridCol w:w="850"/>
        <w:gridCol w:w="1701"/>
        <w:gridCol w:w="1418"/>
        <w:gridCol w:w="993"/>
      </w:tblGrid>
      <w:tr w:rsidR="004400C8" w:rsidRPr="004400C8" w:rsidTr="007E578E">
        <w:trPr>
          <w:cantSplit/>
          <w:trHeight w:val="471"/>
        </w:trPr>
        <w:tc>
          <w:tcPr>
            <w:tcW w:w="3261" w:type="dxa"/>
            <w:gridSpan w:val="2"/>
            <w:tcBorders>
              <w:bottom w:val="single" w:sz="4" w:space="0" w:color="auto"/>
            </w:tcBorders>
          </w:tcPr>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Name, Restriction,</w:t>
            </w:r>
          </w:p>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Manner of administration and form</w:t>
            </w:r>
          </w:p>
        </w:tc>
        <w:tc>
          <w:tcPr>
            <w:tcW w:w="708" w:type="dxa"/>
            <w:tcBorders>
              <w:bottom w:val="single" w:sz="4" w:space="0" w:color="auto"/>
            </w:tcBorders>
          </w:tcPr>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Max.</w:t>
            </w:r>
          </w:p>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Qty (packs)</w:t>
            </w:r>
          </w:p>
        </w:tc>
        <w:tc>
          <w:tcPr>
            <w:tcW w:w="850" w:type="dxa"/>
            <w:tcBorders>
              <w:bottom w:val="single" w:sz="4" w:space="0" w:color="auto"/>
            </w:tcBorders>
          </w:tcPr>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 xml:space="preserve">Max. </w:t>
            </w:r>
          </w:p>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Qty (units)</w:t>
            </w:r>
          </w:p>
        </w:tc>
        <w:tc>
          <w:tcPr>
            <w:tcW w:w="1701" w:type="dxa"/>
            <w:tcBorders>
              <w:bottom w:val="single" w:sz="4" w:space="0" w:color="auto"/>
            </w:tcBorders>
          </w:tcPr>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 xml:space="preserve">No. of </w:t>
            </w:r>
          </w:p>
          <w:p w:rsidR="004400C8" w:rsidRPr="004400C8" w:rsidRDefault="004400C8" w:rsidP="004400C8">
            <w:pPr>
              <w:keepNext/>
              <w:widowControl/>
              <w:ind w:left="-108"/>
              <w:rPr>
                <w:rFonts w:ascii="Arial Narrow" w:hAnsi="Arial Narrow"/>
                <w:snapToGrid/>
                <w:sz w:val="20"/>
                <w:szCs w:val="20"/>
                <w:lang w:eastAsia="en-AU"/>
              </w:rPr>
            </w:pPr>
            <w:r w:rsidRPr="004400C8">
              <w:rPr>
                <w:rFonts w:ascii="Arial Narrow" w:hAnsi="Arial Narrow"/>
                <w:snapToGrid/>
                <w:sz w:val="20"/>
                <w:szCs w:val="20"/>
                <w:lang w:eastAsia="en-AU"/>
              </w:rPr>
              <w:t>Rpts</w:t>
            </w:r>
          </w:p>
        </w:tc>
        <w:tc>
          <w:tcPr>
            <w:tcW w:w="2411" w:type="dxa"/>
            <w:gridSpan w:val="2"/>
            <w:tcBorders>
              <w:bottom w:val="single" w:sz="4" w:space="0" w:color="auto"/>
            </w:tcBorders>
          </w:tcPr>
          <w:p w:rsidR="004400C8" w:rsidRPr="004400C8" w:rsidRDefault="004400C8" w:rsidP="004400C8">
            <w:pPr>
              <w:keepNext/>
              <w:widowControl/>
              <w:jc w:val="left"/>
              <w:rPr>
                <w:rFonts w:ascii="Arial Narrow" w:hAnsi="Arial Narrow"/>
                <w:snapToGrid/>
                <w:sz w:val="20"/>
                <w:szCs w:val="20"/>
                <w:lang w:val="fr-FR" w:eastAsia="en-AU"/>
              </w:rPr>
            </w:pPr>
            <w:r w:rsidRPr="004400C8">
              <w:rPr>
                <w:rFonts w:ascii="Arial Narrow" w:hAnsi="Arial Narrow"/>
                <w:snapToGrid/>
                <w:sz w:val="20"/>
                <w:szCs w:val="20"/>
                <w:lang w:eastAsia="en-AU"/>
              </w:rPr>
              <w:t>Proprietary Name and Manufacturer</w:t>
            </w:r>
          </w:p>
        </w:tc>
      </w:tr>
      <w:tr w:rsidR="004400C8" w:rsidRPr="004400C8" w:rsidTr="007E578E">
        <w:trPr>
          <w:cantSplit/>
          <w:trHeight w:val="577"/>
        </w:trPr>
        <w:tc>
          <w:tcPr>
            <w:tcW w:w="3261" w:type="dxa"/>
            <w:gridSpan w:val="2"/>
          </w:tcPr>
          <w:p w:rsidR="004400C8" w:rsidRPr="004400C8" w:rsidRDefault="002C120E" w:rsidP="004400C8">
            <w:pPr>
              <w:keepNext/>
              <w:widowControl/>
              <w:ind w:left="-108"/>
              <w:rPr>
                <w:rFonts w:ascii="Arial Narrow" w:hAnsi="Arial Narrow"/>
                <w:snapToGrid/>
                <w:sz w:val="20"/>
                <w:szCs w:val="20"/>
                <w:lang w:eastAsia="en-AU"/>
              </w:rPr>
            </w:pPr>
            <w:r>
              <w:rPr>
                <w:rFonts w:ascii="Arial Narrow" w:hAnsi="Arial Narrow"/>
                <w:smallCaps/>
                <w:snapToGrid/>
                <w:sz w:val="20"/>
                <w:szCs w:val="20"/>
                <w:lang w:eastAsia="en-AU"/>
              </w:rPr>
              <w:t>tofacitinib</w:t>
            </w:r>
          </w:p>
          <w:p w:rsidR="004400C8" w:rsidRPr="004400C8" w:rsidRDefault="004400C8" w:rsidP="004400C8">
            <w:pPr>
              <w:keepNext/>
              <w:widowControl/>
              <w:ind w:left="-108" w:right="176"/>
              <w:rPr>
                <w:rFonts w:ascii="Arial Narrow" w:hAnsi="Arial Narrow"/>
                <w:snapToGrid/>
                <w:sz w:val="20"/>
                <w:szCs w:val="20"/>
                <w:lang w:eastAsia="en-AU"/>
              </w:rPr>
            </w:pPr>
            <w:r>
              <w:rPr>
                <w:rFonts w:ascii="Arial Narrow" w:hAnsi="Arial Narrow"/>
                <w:snapToGrid/>
                <w:sz w:val="20"/>
                <w:szCs w:val="20"/>
                <w:lang w:eastAsia="en-AU"/>
              </w:rPr>
              <w:t>Tablet 5 mg, 56</w:t>
            </w:r>
          </w:p>
          <w:p w:rsidR="004400C8" w:rsidRDefault="004400C8" w:rsidP="004400C8">
            <w:pPr>
              <w:keepNext/>
              <w:widowControl/>
              <w:ind w:left="-108" w:right="176"/>
              <w:rPr>
                <w:rFonts w:ascii="Arial Narrow" w:hAnsi="Arial Narrow"/>
                <w:snapToGrid/>
                <w:sz w:val="20"/>
                <w:szCs w:val="20"/>
                <w:lang w:eastAsia="en-AU"/>
              </w:rPr>
            </w:pPr>
          </w:p>
          <w:p w:rsidR="002C120E" w:rsidRDefault="002C120E" w:rsidP="004400C8">
            <w:pPr>
              <w:keepNext/>
              <w:widowControl/>
              <w:ind w:left="-108" w:right="176"/>
              <w:rPr>
                <w:rFonts w:ascii="Arial Narrow" w:hAnsi="Arial Narrow"/>
                <w:snapToGrid/>
                <w:sz w:val="20"/>
                <w:szCs w:val="20"/>
                <w:lang w:eastAsia="en-AU"/>
              </w:rPr>
            </w:pPr>
            <w:r>
              <w:rPr>
                <w:rFonts w:ascii="Arial Narrow" w:hAnsi="Arial Narrow"/>
                <w:snapToGrid/>
                <w:sz w:val="20"/>
                <w:szCs w:val="20"/>
                <w:lang w:eastAsia="en-AU"/>
              </w:rPr>
              <w:t>TBA – to be announced</w:t>
            </w:r>
          </w:p>
          <w:p w:rsidR="002C120E" w:rsidRPr="004400C8" w:rsidRDefault="002C120E" w:rsidP="004400C8">
            <w:pPr>
              <w:keepNext/>
              <w:widowControl/>
              <w:ind w:left="-108" w:right="176"/>
              <w:rPr>
                <w:rFonts w:ascii="Arial Narrow" w:hAnsi="Arial Narrow"/>
                <w:snapToGrid/>
                <w:sz w:val="20"/>
                <w:szCs w:val="20"/>
                <w:lang w:eastAsia="en-AU"/>
              </w:rPr>
            </w:pPr>
          </w:p>
        </w:tc>
        <w:tc>
          <w:tcPr>
            <w:tcW w:w="708" w:type="dxa"/>
          </w:tcPr>
          <w:p w:rsidR="004400C8" w:rsidRPr="004400C8" w:rsidRDefault="004400C8" w:rsidP="004400C8">
            <w:pPr>
              <w:keepNext/>
              <w:widowControl/>
              <w:ind w:left="-108"/>
              <w:rPr>
                <w:rFonts w:ascii="Arial Narrow" w:hAnsi="Arial Narrow"/>
                <w:snapToGrid/>
                <w:sz w:val="20"/>
                <w:szCs w:val="20"/>
                <w:lang w:eastAsia="en-AU"/>
              </w:rPr>
            </w:pPr>
          </w:p>
          <w:p w:rsidR="004400C8" w:rsidRPr="004400C8" w:rsidRDefault="002C120E" w:rsidP="004400C8">
            <w:pPr>
              <w:keepNext/>
              <w:widowControl/>
              <w:ind w:left="-108"/>
              <w:rPr>
                <w:rFonts w:ascii="Arial Narrow" w:hAnsi="Arial Narrow"/>
                <w:snapToGrid/>
                <w:sz w:val="20"/>
                <w:szCs w:val="20"/>
                <w:lang w:eastAsia="en-AU"/>
              </w:rPr>
            </w:pPr>
            <w:r>
              <w:rPr>
                <w:rFonts w:ascii="Arial Narrow" w:hAnsi="Arial Narrow"/>
                <w:snapToGrid/>
                <w:sz w:val="20"/>
                <w:szCs w:val="20"/>
                <w:lang w:eastAsia="en-AU"/>
              </w:rPr>
              <w:t>TBA</w:t>
            </w:r>
          </w:p>
          <w:p w:rsidR="004400C8" w:rsidRPr="004400C8" w:rsidRDefault="004400C8" w:rsidP="002C120E">
            <w:pPr>
              <w:keepNext/>
              <w:widowControl/>
              <w:rPr>
                <w:rFonts w:ascii="Arial Narrow" w:hAnsi="Arial Narrow"/>
                <w:snapToGrid/>
                <w:sz w:val="20"/>
                <w:szCs w:val="20"/>
                <w:lang w:eastAsia="en-AU"/>
              </w:rPr>
            </w:pPr>
          </w:p>
          <w:p w:rsidR="004400C8" w:rsidRPr="004400C8" w:rsidRDefault="004400C8" w:rsidP="004400C8">
            <w:pPr>
              <w:keepNext/>
              <w:widowControl/>
              <w:ind w:left="-108"/>
              <w:rPr>
                <w:rFonts w:ascii="Arial Narrow" w:hAnsi="Arial Narrow"/>
                <w:snapToGrid/>
                <w:sz w:val="20"/>
                <w:szCs w:val="20"/>
                <w:lang w:eastAsia="en-AU"/>
              </w:rPr>
            </w:pPr>
          </w:p>
        </w:tc>
        <w:tc>
          <w:tcPr>
            <w:tcW w:w="850" w:type="dxa"/>
          </w:tcPr>
          <w:p w:rsidR="004400C8" w:rsidRPr="004400C8" w:rsidRDefault="004400C8" w:rsidP="004400C8">
            <w:pPr>
              <w:keepNext/>
              <w:widowControl/>
              <w:ind w:left="-108"/>
              <w:rPr>
                <w:rFonts w:ascii="Arial Narrow" w:hAnsi="Arial Narrow"/>
                <w:snapToGrid/>
                <w:sz w:val="20"/>
                <w:szCs w:val="20"/>
                <w:lang w:eastAsia="en-AU"/>
              </w:rPr>
            </w:pPr>
          </w:p>
          <w:p w:rsidR="004400C8" w:rsidRPr="004400C8" w:rsidRDefault="002C120E" w:rsidP="004400C8">
            <w:pPr>
              <w:keepNext/>
              <w:widowControl/>
              <w:ind w:left="-108"/>
              <w:rPr>
                <w:rFonts w:ascii="Arial Narrow" w:hAnsi="Arial Narrow"/>
                <w:snapToGrid/>
                <w:sz w:val="20"/>
                <w:szCs w:val="20"/>
                <w:lang w:eastAsia="en-AU"/>
              </w:rPr>
            </w:pPr>
            <w:r>
              <w:rPr>
                <w:rFonts w:ascii="Arial Narrow" w:hAnsi="Arial Narrow"/>
                <w:snapToGrid/>
                <w:sz w:val="20"/>
                <w:szCs w:val="20"/>
                <w:lang w:eastAsia="en-AU"/>
              </w:rPr>
              <w:t>TBA</w:t>
            </w:r>
          </w:p>
          <w:p w:rsidR="004400C8" w:rsidRPr="004400C8" w:rsidRDefault="004400C8" w:rsidP="002C120E">
            <w:pPr>
              <w:keepNext/>
              <w:widowControl/>
              <w:rPr>
                <w:rFonts w:ascii="Arial Narrow" w:hAnsi="Arial Narrow"/>
                <w:snapToGrid/>
                <w:sz w:val="20"/>
                <w:szCs w:val="20"/>
                <w:lang w:eastAsia="en-AU"/>
              </w:rPr>
            </w:pPr>
          </w:p>
          <w:p w:rsidR="004400C8" w:rsidRPr="004400C8" w:rsidRDefault="004400C8" w:rsidP="004400C8">
            <w:pPr>
              <w:keepNext/>
              <w:widowControl/>
              <w:ind w:left="-108"/>
              <w:rPr>
                <w:rFonts w:ascii="Arial Narrow" w:hAnsi="Arial Narrow"/>
                <w:snapToGrid/>
                <w:sz w:val="20"/>
                <w:szCs w:val="20"/>
                <w:lang w:eastAsia="en-AU"/>
              </w:rPr>
            </w:pPr>
          </w:p>
        </w:tc>
        <w:tc>
          <w:tcPr>
            <w:tcW w:w="1701" w:type="dxa"/>
          </w:tcPr>
          <w:p w:rsidR="004400C8" w:rsidRPr="004400C8" w:rsidRDefault="004400C8" w:rsidP="004400C8">
            <w:pPr>
              <w:keepNext/>
              <w:widowControl/>
              <w:ind w:left="-108"/>
              <w:rPr>
                <w:rFonts w:ascii="Arial Narrow" w:hAnsi="Arial Narrow"/>
                <w:snapToGrid/>
                <w:sz w:val="20"/>
                <w:szCs w:val="20"/>
                <w:lang w:eastAsia="en-AU"/>
              </w:rPr>
            </w:pPr>
          </w:p>
          <w:p w:rsidR="004400C8" w:rsidRPr="004400C8" w:rsidRDefault="002C120E" w:rsidP="002C120E">
            <w:pPr>
              <w:keepNext/>
              <w:widowControl/>
              <w:ind w:left="-108"/>
              <w:rPr>
                <w:rFonts w:ascii="Arial Narrow" w:hAnsi="Arial Narrow"/>
                <w:snapToGrid/>
                <w:sz w:val="20"/>
                <w:szCs w:val="20"/>
                <w:lang w:eastAsia="en-AU"/>
              </w:rPr>
            </w:pPr>
            <w:r>
              <w:rPr>
                <w:rFonts w:ascii="Arial Narrow" w:hAnsi="Arial Narrow"/>
                <w:snapToGrid/>
                <w:sz w:val="20"/>
                <w:szCs w:val="20"/>
                <w:lang w:eastAsia="en-AU"/>
              </w:rPr>
              <w:t>TBA</w:t>
            </w:r>
          </w:p>
          <w:p w:rsidR="004400C8" w:rsidRPr="004400C8" w:rsidRDefault="004400C8" w:rsidP="004400C8">
            <w:pPr>
              <w:keepNext/>
              <w:widowControl/>
              <w:ind w:left="-108"/>
              <w:rPr>
                <w:rFonts w:ascii="Arial Narrow" w:hAnsi="Arial Narrow"/>
                <w:snapToGrid/>
                <w:sz w:val="20"/>
                <w:szCs w:val="20"/>
                <w:lang w:eastAsia="en-AU"/>
              </w:rPr>
            </w:pPr>
          </w:p>
          <w:p w:rsidR="004400C8" w:rsidRPr="004400C8" w:rsidRDefault="004400C8" w:rsidP="004400C8">
            <w:pPr>
              <w:keepNext/>
              <w:widowControl/>
              <w:rPr>
                <w:rFonts w:ascii="Arial Narrow" w:hAnsi="Arial Narrow"/>
                <w:snapToGrid/>
                <w:sz w:val="20"/>
                <w:szCs w:val="20"/>
                <w:lang w:eastAsia="en-AU"/>
              </w:rPr>
            </w:pPr>
          </w:p>
        </w:tc>
        <w:tc>
          <w:tcPr>
            <w:tcW w:w="1418" w:type="dxa"/>
          </w:tcPr>
          <w:p w:rsidR="004400C8" w:rsidRPr="004400C8" w:rsidRDefault="004400C8" w:rsidP="004400C8">
            <w:pPr>
              <w:keepNext/>
              <w:widowControl/>
              <w:rPr>
                <w:rFonts w:ascii="Arial Narrow" w:hAnsi="Arial Narrow"/>
                <w:snapToGrid/>
                <w:sz w:val="20"/>
                <w:szCs w:val="20"/>
                <w:lang w:eastAsia="en-AU"/>
              </w:rPr>
            </w:pPr>
          </w:p>
          <w:p w:rsidR="004400C8" w:rsidRPr="004400C8" w:rsidRDefault="004400C8" w:rsidP="004400C8">
            <w:pPr>
              <w:keepNext/>
              <w:widowControl/>
              <w:rPr>
                <w:rFonts w:ascii="Arial Narrow" w:hAnsi="Arial Narrow"/>
                <w:snapToGrid/>
                <w:sz w:val="20"/>
                <w:szCs w:val="20"/>
                <w:lang w:eastAsia="en-AU"/>
              </w:rPr>
            </w:pPr>
            <w:r>
              <w:rPr>
                <w:rFonts w:ascii="Arial Narrow" w:hAnsi="Arial Narrow"/>
                <w:snapToGrid/>
                <w:sz w:val="20"/>
                <w:szCs w:val="20"/>
                <w:lang w:eastAsia="en-AU"/>
              </w:rPr>
              <w:t>Xeljanz</w:t>
            </w:r>
          </w:p>
        </w:tc>
        <w:tc>
          <w:tcPr>
            <w:tcW w:w="993" w:type="dxa"/>
          </w:tcPr>
          <w:p w:rsidR="004400C8" w:rsidRPr="004400C8" w:rsidRDefault="004400C8" w:rsidP="004400C8">
            <w:pPr>
              <w:keepNext/>
              <w:widowControl/>
              <w:rPr>
                <w:rFonts w:ascii="Arial Narrow" w:hAnsi="Arial Narrow"/>
                <w:snapToGrid/>
                <w:sz w:val="20"/>
                <w:szCs w:val="20"/>
                <w:lang w:eastAsia="en-AU"/>
              </w:rPr>
            </w:pPr>
          </w:p>
          <w:p w:rsidR="004400C8" w:rsidRPr="004400C8" w:rsidRDefault="004400C8" w:rsidP="004400C8">
            <w:pPr>
              <w:keepNext/>
              <w:widowControl/>
              <w:rPr>
                <w:rFonts w:ascii="Arial Narrow" w:hAnsi="Arial Narrow"/>
                <w:snapToGrid/>
                <w:sz w:val="20"/>
                <w:szCs w:val="20"/>
                <w:lang w:eastAsia="en-AU"/>
              </w:rPr>
            </w:pPr>
            <w:r w:rsidRPr="004400C8">
              <w:rPr>
                <w:rFonts w:ascii="Arial Narrow" w:hAnsi="Arial Narrow"/>
                <w:snapToGrid/>
                <w:sz w:val="20"/>
                <w:szCs w:val="20"/>
                <w:lang w:eastAsia="en-AU"/>
              </w:rPr>
              <w:t>NV</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 xml:space="preserve">Category / </w:t>
            </w:r>
          </w:p>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GENERAL – General Schedule (Code GE)</w:t>
            </w:r>
          </w:p>
          <w:p w:rsidR="004400C8" w:rsidRPr="004400C8" w:rsidRDefault="004400C8" w:rsidP="004400C8">
            <w:pPr>
              <w:widowControl/>
              <w:jc w:val="left"/>
              <w:rPr>
                <w:rFonts w:ascii="Arial Narrow" w:hAnsi="Arial Narrow"/>
                <w:snapToGrid/>
                <w:sz w:val="20"/>
                <w:szCs w:val="20"/>
                <w:lang w:eastAsia="en-AU"/>
              </w:rPr>
            </w:pP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Prescriber type:</w:t>
            </w:r>
          </w:p>
          <w:p w:rsidR="004400C8" w:rsidRPr="004400C8" w:rsidRDefault="004400C8" w:rsidP="004400C8">
            <w:pPr>
              <w:widowControl/>
              <w:rPr>
                <w:rFonts w:ascii="Arial Narrow" w:hAnsi="Arial Narrow"/>
                <w:b/>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fldChar w:fldCharType="begin">
                <w:ffData>
                  <w:name w:val="Check1"/>
                  <w:enabled/>
                  <w:calcOnExit w:val="0"/>
                  <w:checkBox>
                    <w:sizeAuto/>
                    <w:default w:val="0"/>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 xml:space="preserve">Dental  </w:t>
            </w:r>
            <w:r w:rsidRPr="004400C8">
              <w:rPr>
                <w:rFonts w:ascii="Arial Narrow" w:hAnsi="Arial Narrow"/>
                <w:snapToGrid/>
                <w:sz w:val="20"/>
                <w:szCs w:val="20"/>
                <w:lang w:eastAsia="en-AU"/>
              </w:rPr>
              <w:fldChar w:fldCharType="begin">
                <w:ffData>
                  <w:name w:val=""/>
                  <w:enabled/>
                  <w:calcOnExit w:val="0"/>
                  <w:checkBox>
                    <w:sizeAuto/>
                    <w:default w:val="1"/>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 xml:space="preserve">Medical Practitioners  </w:t>
            </w:r>
            <w:r w:rsidRPr="004400C8">
              <w:rPr>
                <w:rFonts w:ascii="Arial Narrow" w:hAnsi="Arial Narrow"/>
                <w:snapToGrid/>
                <w:sz w:val="20"/>
                <w:szCs w:val="20"/>
                <w:lang w:eastAsia="en-AU"/>
              </w:rPr>
              <w:fldChar w:fldCharType="begin">
                <w:ffData>
                  <w:name w:val="Check3"/>
                  <w:enabled/>
                  <w:calcOnExit w:val="0"/>
                  <w:checkBox>
                    <w:sizeAuto/>
                    <w:default w:val="0"/>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 xml:space="preserve">Nurse practitioners  </w:t>
            </w:r>
            <w:r w:rsidRPr="004400C8">
              <w:rPr>
                <w:rFonts w:ascii="Arial Narrow" w:hAnsi="Arial Narrow"/>
                <w:snapToGrid/>
                <w:sz w:val="20"/>
                <w:szCs w:val="20"/>
                <w:lang w:eastAsia="en-AU"/>
              </w:rPr>
              <w:fldChar w:fldCharType="begin">
                <w:ffData>
                  <w:name w:val=""/>
                  <w:enabled/>
                  <w:calcOnExit w:val="0"/>
                  <w:checkBox>
                    <w:sizeAuto/>
                    <w:default w:val="0"/>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 xml:space="preserve">Optometrists  </w:t>
            </w:r>
            <w:r w:rsidRPr="004400C8">
              <w:rPr>
                <w:rFonts w:ascii="Arial Narrow" w:hAnsi="Arial Narrow"/>
                <w:snapToGrid/>
                <w:sz w:val="20"/>
                <w:szCs w:val="20"/>
                <w:lang w:eastAsia="en-AU"/>
              </w:rPr>
              <w:fldChar w:fldCharType="begin">
                <w:ffData>
                  <w:name w:val="Check5"/>
                  <w:enabled/>
                  <w:calcOnExit w:val="0"/>
                  <w:checkBox>
                    <w:sizeAuto/>
                    <w:default w:val="0"/>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Midwives</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2C120E" w:rsidP="004400C8">
            <w:pPr>
              <w:widowControl/>
              <w:jc w:val="left"/>
              <w:rPr>
                <w:rFonts w:ascii="Arial Narrow" w:hAnsi="Arial Narrow"/>
                <w:snapToGrid/>
                <w:sz w:val="20"/>
                <w:szCs w:val="20"/>
                <w:lang w:eastAsia="en-AU"/>
              </w:rPr>
            </w:pPr>
            <w:r>
              <w:rPr>
                <w:rFonts w:ascii="Arial Narrow" w:hAnsi="Arial Narrow"/>
                <w:snapToGrid/>
                <w:sz w:val="20"/>
                <w:szCs w:val="20"/>
                <w:lang w:eastAsia="en-AU"/>
              </w:rPr>
              <w:t>Severe active</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2C120E" w:rsidP="004400C8">
            <w:pPr>
              <w:widowControl/>
              <w:jc w:val="left"/>
              <w:rPr>
                <w:rFonts w:ascii="Arial Narrow" w:hAnsi="Arial Narrow"/>
                <w:snapToGrid/>
                <w:sz w:val="20"/>
                <w:szCs w:val="20"/>
                <w:lang w:eastAsia="en-AU"/>
              </w:rPr>
            </w:pPr>
            <w:r>
              <w:rPr>
                <w:rFonts w:ascii="Arial Narrow" w:hAnsi="Arial Narrow"/>
                <w:snapToGrid/>
                <w:sz w:val="20"/>
                <w:szCs w:val="20"/>
                <w:lang w:eastAsia="en-AU"/>
              </w:rPr>
              <w:t>rheumatoid arthritis</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2C120E" w:rsidP="004400C8">
            <w:pPr>
              <w:widowControl/>
              <w:jc w:val="left"/>
              <w:rPr>
                <w:rFonts w:ascii="Arial Narrow" w:hAnsi="Arial Narrow"/>
                <w:snapToGrid/>
                <w:sz w:val="20"/>
                <w:szCs w:val="20"/>
                <w:lang w:eastAsia="en-AU"/>
              </w:rPr>
            </w:pPr>
            <w:r>
              <w:rPr>
                <w:rFonts w:ascii="Arial Narrow" w:hAnsi="Arial Narrow"/>
                <w:snapToGrid/>
                <w:sz w:val="20"/>
                <w:szCs w:val="20"/>
                <w:lang w:eastAsia="en-AU"/>
              </w:rPr>
              <w:t>Severe active rheumatoid arthritis</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Treatment phase:</w:t>
            </w:r>
          </w:p>
          <w:p w:rsidR="004400C8" w:rsidRPr="004400C8" w:rsidRDefault="004400C8" w:rsidP="004400C8">
            <w:pPr>
              <w:widowControl/>
              <w:rPr>
                <w:rFonts w:ascii="Arial Narrow" w:hAnsi="Arial Narrow"/>
                <w:i/>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Restriction Level / Method:</w:t>
            </w:r>
          </w:p>
          <w:p w:rsidR="004400C8" w:rsidRPr="004400C8" w:rsidRDefault="004400C8" w:rsidP="004400C8">
            <w:pPr>
              <w:widowControl/>
              <w:jc w:val="left"/>
              <w:rPr>
                <w:rFonts w:ascii="Arial Narrow" w:hAnsi="Arial Narrow"/>
                <w:i/>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fldChar w:fldCharType="begin">
                <w:ffData>
                  <w:name w:val=""/>
                  <w:enabled/>
                  <w:calcOnExit w:val="0"/>
                  <w:checkBox>
                    <w:sizeAuto/>
                    <w:default w:val="1"/>
                  </w:checkBox>
                </w:ffData>
              </w:fldChar>
            </w:r>
            <w:r w:rsidRPr="004400C8">
              <w:rPr>
                <w:rFonts w:ascii="Arial Narrow" w:hAnsi="Arial Narrow"/>
                <w:snapToGrid/>
                <w:sz w:val="20"/>
                <w:szCs w:val="20"/>
                <w:lang w:eastAsia="en-AU"/>
              </w:rPr>
              <w:instrText xml:space="preserve"> FORMCHECKBOX </w:instrText>
            </w:r>
            <w:r w:rsidR="00583CFA">
              <w:rPr>
                <w:rFonts w:ascii="Arial Narrow" w:hAnsi="Arial Narrow"/>
                <w:snapToGrid/>
                <w:sz w:val="20"/>
                <w:szCs w:val="20"/>
                <w:lang w:eastAsia="en-AU"/>
              </w:rPr>
            </w:r>
            <w:r w:rsidR="00583CFA">
              <w:rPr>
                <w:rFonts w:ascii="Arial Narrow" w:hAnsi="Arial Narrow"/>
                <w:snapToGrid/>
                <w:sz w:val="20"/>
                <w:szCs w:val="20"/>
                <w:lang w:eastAsia="en-AU"/>
              </w:rPr>
              <w:fldChar w:fldCharType="separate"/>
            </w:r>
            <w:r w:rsidRPr="004400C8">
              <w:rPr>
                <w:rFonts w:ascii="Arial Narrow" w:hAnsi="Arial Narrow"/>
                <w:snapToGrid/>
                <w:sz w:val="20"/>
                <w:szCs w:val="20"/>
                <w:lang w:eastAsia="en-AU"/>
              </w:rPr>
              <w:fldChar w:fldCharType="end"/>
            </w:r>
            <w:r w:rsidRPr="004400C8">
              <w:rPr>
                <w:rFonts w:ascii="Arial Narrow" w:hAnsi="Arial Narrow"/>
                <w:snapToGrid/>
                <w:sz w:val="20"/>
                <w:szCs w:val="20"/>
                <w:lang w:eastAsia="en-AU"/>
              </w:rPr>
              <w:t xml:space="preserve">Authority Required </w:t>
            </w:r>
            <w:r w:rsidR="002C120E">
              <w:rPr>
                <w:rFonts w:ascii="Arial Narrow" w:hAnsi="Arial Narrow"/>
                <w:snapToGrid/>
                <w:sz w:val="20"/>
                <w:szCs w:val="20"/>
                <w:lang w:eastAsia="en-AU"/>
              </w:rPr>
              <w:t>–</w:t>
            </w:r>
            <w:r w:rsidRPr="004400C8">
              <w:rPr>
                <w:rFonts w:ascii="Arial Narrow" w:hAnsi="Arial Narrow"/>
                <w:snapToGrid/>
                <w:sz w:val="20"/>
                <w:szCs w:val="20"/>
                <w:lang w:eastAsia="en-AU"/>
              </w:rPr>
              <w:t xml:space="preserve"> </w:t>
            </w:r>
            <w:r w:rsidR="002C120E">
              <w:rPr>
                <w:rFonts w:ascii="Arial Narrow" w:hAnsi="Arial Narrow"/>
                <w:snapToGrid/>
                <w:sz w:val="20"/>
                <w:szCs w:val="20"/>
                <w:lang w:eastAsia="en-AU"/>
              </w:rPr>
              <w:t>(method to be advised)</w:t>
            </w:r>
          </w:p>
          <w:p w:rsidR="004400C8" w:rsidRPr="004400C8" w:rsidRDefault="004400C8" w:rsidP="002C120E">
            <w:pPr>
              <w:widowControl/>
              <w:jc w:val="left"/>
              <w:rPr>
                <w:rFonts w:ascii="Arial Narrow" w:hAnsi="Arial Narrow"/>
                <w:snapToGrid/>
                <w:sz w:val="20"/>
                <w:szCs w:val="20"/>
                <w:lang w:eastAsia="en-AU"/>
              </w:rPr>
            </w:pP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b/>
                <w:snapToGrid/>
                <w:sz w:val="20"/>
                <w:szCs w:val="20"/>
                <w:lang w:eastAsia="en-AU"/>
              </w:rPr>
            </w:pPr>
            <w:r w:rsidRPr="004400C8">
              <w:rPr>
                <w:rFonts w:ascii="Arial Narrow" w:hAnsi="Arial Narrow"/>
                <w:b/>
                <w:snapToGrid/>
                <w:sz w:val="20"/>
                <w:szCs w:val="20"/>
                <w:lang w:eastAsia="en-AU"/>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To be finalised</w:t>
            </w:r>
          </w:p>
          <w:p w:rsidR="004400C8" w:rsidRPr="004400C8" w:rsidRDefault="004400C8" w:rsidP="004400C8">
            <w:pPr>
              <w:widowControl/>
              <w:jc w:val="left"/>
              <w:rPr>
                <w:rFonts w:ascii="Arial Narrow" w:hAnsi="Arial Narrow"/>
                <w:snapToGrid/>
                <w:sz w:val="20"/>
                <w:szCs w:val="20"/>
                <w:lang w:eastAsia="en-AU"/>
              </w:rPr>
            </w:pP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Clinical criteria:</w:t>
            </w:r>
          </w:p>
          <w:p w:rsidR="004400C8" w:rsidRPr="004400C8" w:rsidRDefault="004400C8" w:rsidP="004400C8">
            <w:pPr>
              <w:widowControl/>
              <w:rPr>
                <w:rFonts w:ascii="Arial Narrow" w:hAnsi="Arial Narrow"/>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Prescriber Instructions:</w:t>
            </w: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Administrative Advice</w:t>
            </w:r>
          </w:p>
          <w:p w:rsidR="004400C8" w:rsidRPr="004400C8" w:rsidRDefault="004400C8" w:rsidP="004400C8">
            <w:pPr>
              <w:widowControl/>
              <w:rPr>
                <w:rFonts w:ascii="Arial Narrow" w:hAnsi="Arial Narrow"/>
                <w:i/>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r w:rsidR="004400C8" w:rsidRPr="004400C8" w:rsidTr="00D4423D">
        <w:trPr>
          <w:cantSplit/>
          <w:trHeight w:val="360"/>
        </w:trPr>
        <w:tc>
          <w:tcPr>
            <w:tcW w:w="2127" w:type="dxa"/>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rPr>
                <w:rFonts w:ascii="Arial Narrow" w:hAnsi="Arial Narrow"/>
                <w:b/>
                <w:snapToGrid/>
                <w:sz w:val="20"/>
                <w:szCs w:val="20"/>
                <w:lang w:eastAsia="en-AU"/>
              </w:rPr>
            </w:pPr>
            <w:r w:rsidRPr="004400C8">
              <w:rPr>
                <w:rFonts w:ascii="Arial Narrow" w:hAnsi="Arial Narrow"/>
                <w:b/>
                <w:snapToGrid/>
                <w:sz w:val="20"/>
                <w:szCs w:val="20"/>
                <w:lang w:eastAsia="en-AU"/>
              </w:rPr>
              <w:t>Cautions</w:t>
            </w:r>
          </w:p>
          <w:p w:rsidR="004400C8" w:rsidRPr="004400C8" w:rsidRDefault="004400C8" w:rsidP="004400C8">
            <w:pPr>
              <w:widowControl/>
              <w:rPr>
                <w:rFonts w:ascii="Arial Narrow" w:hAnsi="Arial Narrow"/>
                <w:i/>
                <w:snapToGrid/>
                <w:sz w:val="20"/>
                <w:szCs w:val="20"/>
                <w:lang w:eastAsia="en-AU"/>
              </w:rPr>
            </w:pPr>
          </w:p>
        </w:tc>
        <w:tc>
          <w:tcPr>
            <w:tcW w:w="6804" w:type="dxa"/>
            <w:gridSpan w:val="6"/>
            <w:tcBorders>
              <w:top w:val="single" w:sz="4" w:space="0" w:color="auto"/>
              <w:left w:val="single" w:sz="4" w:space="0" w:color="auto"/>
              <w:bottom w:val="single" w:sz="4" w:space="0" w:color="auto"/>
              <w:right w:val="single" w:sz="4" w:space="0" w:color="auto"/>
            </w:tcBorders>
          </w:tcPr>
          <w:p w:rsidR="004400C8" w:rsidRPr="004400C8" w:rsidRDefault="004400C8" w:rsidP="004400C8">
            <w:pPr>
              <w:widowControl/>
              <w:jc w:val="left"/>
              <w:rPr>
                <w:rFonts w:ascii="Arial Narrow" w:hAnsi="Arial Narrow"/>
                <w:snapToGrid/>
                <w:sz w:val="20"/>
                <w:szCs w:val="20"/>
                <w:lang w:eastAsia="en-AU"/>
              </w:rPr>
            </w:pPr>
            <w:r w:rsidRPr="004400C8">
              <w:rPr>
                <w:rFonts w:ascii="Arial Narrow" w:hAnsi="Arial Narrow"/>
                <w:snapToGrid/>
                <w:sz w:val="20"/>
                <w:szCs w:val="20"/>
                <w:lang w:eastAsia="en-AU"/>
              </w:rPr>
              <w:t>To be finalised</w:t>
            </w:r>
          </w:p>
        </w:tc>
      </w:tr>
    </w:tbl>
    <w:p w:rsidR="004400C8" w:rsidRPr="00482699" w:rsidRDefault="004400C8" w:rsidP="004400C8">
      <w:pPr>
        <w:widowControl/>
        <w:rPr>
          <w:bCs/>
          <w:szCs w:val="22"/>
        </w:rPr>
      </w:pPr>
    </w:p>
    <w:p w:rsidR="002F52F9" w:rsidRPr="00207D4D" w:rsidRDefault="002F52F9" w:rsidP="002F52F9">
      <w:pPr>
        <w:rPr>
          <w:rFonts w:eastAsia="SimSun"/>
          <w:szCs w:val="22"/>
          <w:lang w:eastAsia="en-AU"/>
        </w:rPr>
      </w:pPr>
    </w:p>
    <w:p w:rsidR="002F52F9" w:rsidRPr="00207D4D" w:rsidRDefault="002F52F9" w:rsidP="002F52F9">
      <w:pPr>
        <w:numPr>
          <w:ilvl w:val="0"/>
          <w:numId w:val="12"/>
        </w:numPr>
        <w:rPr>
          <w:rFonts w:eastAsia="SimSun"/>
          <w:b/>
          <w:szCs w:val="22"/>
        </w:rPr>
      </w:pPr>
      <w:r w:rsidRPr="00207D4D">
        <w:rPr>
          <w:rFonts w:eastAsia="SimSun"/>
          <w:b/>
          <w:szCs w:val="22"/>
        </w:rPr>
        <w:lastRenderedPageBreak/>
        <w:t>Context for Decision</w:t>
      </w:r>
    </w:p>
    <w:p w:rsidR="002F52F9" w:rsidRPr="00207D4D" w:rsidRDefault="002F52F9" w:rsidP="002F52F9">
      <w:pPr>
        <w:ind w:left="720"/>
        <w:contextualSpacing/>
        <w:rPr>
          <w:rFonts w:eastAsia="SimSun"/>
          <w:b/>
          <w:lang w:eastAsia="en-AU"/>
        </w:rPr>
      </w:pPr>
    </w:p>
    <w:p w:rsidR="002F52F9" w:rsidRPr="00207D4D" w:rsidRDefault="002F52F9" w:rsidP="002F52F9">
      <w:pPr>
        <w:ind w:left="720"/>
        <w:rPr>
          <w:rFonts w:eastAsia="SimSun"/>
          <w:bCs/>
          <w:szCs w:val="22"/>
          <w:lang w:eastAsia="en-AU"/>
        </w:rPr>
      </w:pPr>
      <w:r w:rsidRPr="00207D4D">
        <w:rPr>
          <w:rFonts w:eastAsia="SimSun"/>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52F9" w:rsidRPr="00207D4D" w:rsidRDefault="002F52F9" w:rsidP="002F52F9">
      <w:pPr>
        <w:rPr>
          <w:rFonts w:eastAsia="SimSun"/>
          <w:lang w:eastAsia="en-AU"/>
        </w:rPr>
      </w:pPr>
    </w:p>
    <w:p w:rsidR="002F52F9" w:rsidRPr="00207D4D" w:rsidRDefault="002F52F9" w:rsidP="002F52F9">
      <w:pPr>
        <w:numPr>
          <w:ilvl w:val="0"/>
          <w:numId w:val="12"/>
        </w:numPr>
        <w:rPr>
          <w:rFonts w:eastAsia="SimSun"/>
          <w:b/>
          <w:szCs w:val="22"/>
        </w:rPr>
      </w:pPr>
      <w:r w:rsidRPr="00207D4D">
        <w:rPr>
          <w:rFonts w:eastAsia="SimSun"/>
          <w:b/>
          <w:szCs w:val="22"/>
        </w:rPr>
        <w:t>Sponsor’s Comment</w:t>
      </w:r>
    </w:p>
    <w:p w:rsidR="002F52F9" w:rsidRDefault="002F52F9" w:rsidP="002F52F9">
      <w:pPr>
        <w:rPr>
          <w:szCs w:val="22"/>
        </w:rPr>
      </w:pPr>
    </w:p>
    <w:p w:rsidR="00E539FC" w:rsidRDefault="00E539FC" w:rsidP="00E539FC">
      <w:pPr>
        <w:ind w:left="720"/>
        <w:rPr>
          <w:color w:val="000000"/>
          <w:lang w:val="en-US"/>
        </w:rPr>
      </w:pPr>
      <w:r>
        <w:rPr>
          <w:color w:val="000000"/>
          <w:lang w:val="en-US"/>
        </w:rPr>
        <w:t>Pfizer Australia welcomes the PBAC recommendation to list tofacitinib on the PBS for rheumatoid arthritis. Tofacitinib is an oral agent with a unique mechanism of action, providing an important new treatment option for Australian patients.</w:t>
      </w:r>
    </w:p>
    <w:p w:rsidR="002F52F9" w:rsidRDefault="002F52F9" w:rsidP="00E539FC">
      <w:pPr>
        <w:ind w:left="720"/>
        <w:rPr>
          <w:szCs w:val="22"/>
        </w:rPr>
      </w:pPr>
    </w:p>
    <w:p w:rsidR="00D4423D" w:rsidRDefault="00D4423D" w:rsidP="00F04BDF">
      <w:pPr>
        <w:widowControl/>
        <w:rPr>
          <w:bCs/>
          <w:szCs w:val="22"/>
        </w:rPr>
      </w:pPr>
    </w:p>
    <w:p w:rsidR="00D4423D" w:rsidRDefault="00D4423D" w:rsidP="00F04BDF">
      <w:pPr>
        <w:widowControl/>
        <w:rPr>
          <w:bCs/>
          <w:szCs w:val="22"/>
        </w:rPr>
      </w:pPr>
    </w:p>
    <w:p w:rsidR="00D4423D" w:rsidRDefault="00D4423D" w:rsidP="00F04BDF">
      <w:pPr>
        <w:widowControl/>
        <w:rPr>
          <w:bCs/>
          <w:szCs w:val="22"/>
        </w:rPr>
      </w:pPr>
    </w:p>
    <w:p w:rsidR="00D4423D" w:rsidRDefault="00D4423D" w:rsidP="00F04BDF">
      <w:pPr>
        <w:widowControl/>
        <w:rPr>
          <w:bCs/>
          <w:szCs w:val="22"/>
        </w:rPr>
      </w:pPr>
    </w:p>
    <w:p w:rsidR="00742273" w:rsidRPr="00742273" w:rsidRDefault="00742273" w:rsidP="00F04BDF">
      <w:pPr>
        <w:widowControl/>
        <w:rPr>
          <w:szCs w:val="22"/>
        </w:rPr>
      </w:pPr>
    </w:p>
    <w:p w:rsidR="00725993" w:rsidRPr="00742273" w:rsidRDefault="00725993" w:rsidP="00F04BDF">
      <w:pPr>
        <w:widowControl/>
        <w:rPr>
          <w:szCs w:val="22"/>
        </w:rPr>
      </w:pPr>
    </w:p>
    <w:sectPr w:rsidR="00725993" w:rsidRPr="00742273" w:rsidSect="00D6642F">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FA" w:rsidRDefault="00583CFA" w:rsidP="00124A51">
      <w:r>
        <w:separator/>
      </w:r>
    </w:p>
  </w:endnote>
  <w:endnote w:type="continuationSeparator" w:id="0">
    <w:p w:rsidR="00583CFA" w:rsidRDefault="00583CF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78" w:rsidRPr="00742273" w:rsidRDefault="007B2778" w:rsidP="00742273">
    <w:pPr>
      <w:widowControl/>
      <w:tabs>
        <w:tab w:val="center" w:pos="4153"/>
        <w:tab w:val="right" w:pos="8306"/>
      </w:tabs>
      <w:spacing w:after="120"/>
      <w:ind w:left="360"/>
      <w:jc w:val="center"/>
      <w:rPr>
        <w:snapToGrid/>
        <w:sz w:val="20"/>
        <w:szCs w:val="20"/>
      </w:rPr>
    </w:pPr>
    <w:r>
      <w:fldChar w:fldCharType="begin"/>
    </w:r>
    <w:r>
      <w:instrText xml:space="preserve"> PAGE   \* MERGEFORMAT </w:instrText>
    </w:r>
    <w:r>
      <w:fldChar w:fldCharType="separate"/>
    </w:r>
    <w:r w:rsidR="00583CFA" w:rsidRPr="00583CFA">
      <w:rPr>
        <w:noProof/>
        <w:snapToGrid/>
        <w:sz w:val="20"/>
        <w:szCs w:val="20"/>
      </w:rPr>
      <w:t>1</w:t>
    </w:r>
    <w:r>
      <w:rPr>
        <w:noProof/>
        <w:snapToGrid/>
        <w:sz w:val="20"/>
        <w:szCs w:val="20"/>
      </w:rPr>
      <w:fldChar w:fldCharType="end"/>
    </w:r>
  </w:p>
  <w:p w:rsidR="007B2778" w:rsidRDefault="007B2778" w:rsidP="00B064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FA" w:rsidRDefault="00583CFA" w:rsidP="00124A51">
      <w:r>
        <w:separator/>
      </w:r>
    </w:p>
  </w:footnote>
  <w:footnote w:type="continuationSeparator" w:id="0">
    <w:p w:rsidR="00583CFA" w:rsidRDefault="00583CFA" w:rsidP="00124A51">
      <w:r>
        <w:continuationSeparator/>
      </w:r>
    </w:p>
  </w:footnote>
  <w:footnote w:id="1">
    <w:p w:rsidR="007B2778" w:rsidRPr="00154A0F" w:rsidRDefault="007B2778" w:rsidP="00803E0C">
      <w:pPr>
        <w:pStyle w:val="FootnoteText"/>
        <w:rPr>
          <w:rFonts w:ascii="Arial Narrow" w:hAnsi="Arial Narrow" w:cs="Arial"/>
        </w:rPr>
      </w:pPr>
      <w:r w:rsidRPr="00154A0F">
        <w:rPr>
          <w:rStyle w:val="FootnoteReference"/>
          <w:rFonts w:ascii="Arial Narrow" w:hAnsi="Arial Narrow" w:cs="Arial"/>
        </w:rPr>
        <w:footnoteRef/>
      </w:r>
      <w:r w:rsidRPr="00154A0F">
        <w:rPr>
          <w:rFonts w:ascii="Arial Narrow" w:hAnsi="Arial Narrow" w:cs="Arial"/>
        </w:rPr>
        <w:t xml:space="preserve"> Available from: </w:t>
      </w:r>
      <w:hyperlink r:id="rId1" w:history="1">
        <w:r w:rsidRPr="00154A0F">
          <w:rPr>
            <w:rStyle w:val="Hyperlink"/>
            <w:rFonts w:ascii="Arial Narrow" w:hAnsi="Arial Narrow" w:cs="Arial"/>
          </w:rPr>
          <w:t>http://www.uptodate.com/contents/treatment-of-rheumatoid-arthritis-resistant-to-initial-dmard-therapy-in-adults?source=search_result&amp;search=tofacitinib&amp;selectedTitle=4~19</w:t>
        </w:r>
      </w:hyperlink>
      <w:r w:rsidRPr="00154A0F">
        <w:rPr>
          <w:rFonts w:ascii="Arial Narrow" w:hAnsi="Arial Narrow" w:cs="Arial"/>
        </w:rPr>
        <w:t>. Last accessed: 15 December 2014</w:t>
      </w:r>
      <w:r>
        <w:rPr>
          <w:rFonts w:ascii="Arial Narrow" w:hAnsi="Arial Narrow" w:cs="Arial"/>
        </w:rPr>
        <w:t>.</w:t>
      </w:r>
    </w:p>
  </w:footnote>
  <w:footnote w:id="2">
    <w:p w:rsidR="007B2778" w:rsidRPr="00D03C32" w:rsidRDefault="007B2778">
      <w:pPr>
        <w:pStyle w:val="FootnoteText"/>
        <w:rPr>
          <w:rFonts w:ascii="Arial Narrow" w:hAnsi="Arial Narrow"/>
        </w:rPr>
      </w:pPr>
      <w:r w:rsidRPr="00D03C32">
        <w:rPr>
          <w:rStyle w:val="FootnoteReference"/>
          <w:rFonts w:ascii="Arial Narrow" w:hAnsi="Arial Narrow"/>
        </w:rPr>
        <w:footnoteRef/>
      </w:r>
      <w:r w:rsidRPr="00D03C32">
        <w:rPr>
          <w:rFonts w:ascii="Arial Narrow" w:hAnsi="Arial Narrow"/>
        </w:rPr>
        <w:t xml:space="preserve"> Van der Heijde, D et al. Tofacitinib (CP-690,550) in Patients With Rheumatoid Arthritis Receiving Methotrexate, </w:t>
      </w:r>
      <w:r w:rsidRPr="00D03C32">
        <w:rPr>
          <w:rFonts w:ascii="Arial Narrow" w:hAnsi="Arial Narrow"/>
          <w:i/>
        </w:rPr>
        <w:t>A</w:t>
      </w:r>
      <w:r>
        <w:rPr>
          <w:rFonts w:ascii="Arial Narrow" w:hAnsi="Arial Narrow"/>
          <w:i/>
        </w:rPr>
        <w:t>rthritis &amp; Rheumatism</w:t>
      </w:r>
      <w:r w:rsidRPr="00D03C32">
        <w:rPr>
          <w:rFonts w:ascii="Arial Narrow" w:hAnsi="Arial Narrow"/>
          <w:i/>
        </w:rPr>
        <w:t>.</w:t>
      </w:r>
      <w:r w:rsidRPr="00D03C32">
        <w:rPr>
          <w:rFonts w:ascii="Arial Narrow" w:hAnsi="Arial Narrow"/>
        </w:rPr>
        <w:t xml:space="preserve"> 2013;65</w:t>
      </w:r>
      <w:r>
        <w:rPr>
          <w:rFonts w:ascii="Arial Narrow" w:hAnsi="Arial Narrow"/>
        </w:rPr>
        <w:t>(</w:t>
      </w:r>
      <w:r w:rsidRPr="00D03C32">
        <w:rPr>
          <w:rFonts w:ascii="Arial Narrow" w:hAnsi="Arial Narrow"/>
        </w:rPr>
        <w:t>3</w:t>
      </w:r>
      <w:r>
        <w:rPr>
          <w:rFonts w:ascii="Arial Narrow" w:hAnsi="Arial Narrow"/>
        </w:rPr>
        <w:t>)</w:t>
      </w:r>
      <w:r w:rsidRPr="00D03C32">
        <w:rPr>
          <w:rFonts w:ascii="Arial Narrow" w:hAnsi="Arial Narrow"/>
        </w:rPr>
        <w:t>:559-570</w:t>
      </w:r>
    </w:p>
    <w:p w:rsidR="007B2778" w:rsidRDefault="007B2778">
      <w:pPr>
        <w:pStyle w:val="FootnoteText"/>
      </w:pPr>
    </w:p>
  </w:footnote>
  <w:footnote w:id="3">
    <w:p w:rsidR="007B2778" w:rsidRPr="006328CF" w:rsidRDefault="007B2778" w:rsidP="00FA1CBD">
      <w:pPr>
        <w:pStyle w:val="FootnoteText"/>
        <w:rPr>
          <w:rFonts w:ascii="Arial Narrow" w:hAnsi="Arial Narrow" w:cs="Arial"/>
        </w:rPr>
      </w:pPr>
      <w:r w:rsidRPr="006328CF">
        <w:rPr>
          <w:rStyle w:val="FootnoteReference"/>
          <w:rFonts w:ascii="Arial Narrow" w:hAnsi="Arial Narrow" w:cs="Arial"/>
        </w:rPr>
        <w:footnoteRef/>
      </w:r>
      <w:r w:rsidRPr="006328CF">
        <w:rPr>
          <w:rFonts w:ascii="Arial Narrow" w:hAnsi="Arial Narrow" w:cs="Arial"/>
        </w:rPr>
        <w:t xml:space="preserve"> In practice etanercept is most commonly used as a 50 mg subcutaneous injection once weekly as opposed to 25 mg twice weekly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78" w:rsidRPr="00742273" w:rsidRDefault="007B2778" w:rsidP="00742273">
    <w:pPr>
      <w:widowControl/>
      <w:tabs>
        <w:tab w:val="center" w:pos="4153"/>
        <w:tab w:val="right" w:pos="8306"/>
      </w:tabs>
      <w:spacing w:after="120"/>
      <w:ind w:left="360"/>
      <w:jc w:val="center"/>
      <w:rPr>
        <w:i/>
        <w:snapToGrid/>
        <w:color w:val="808080"/>
      </w:rPr>
    </w:pPr>
    <w:r w:rsidRPr="003F0173">
      <w:rPr>
        <w:i/>
        <w:color w:val="808080"/>
      </w:rPr>
      <w:t>Public Summary Document</w:t>
    </w:r>
    <w:r>
      <w:rPr>
        <w:i/>
        <w:color w:val="808080"/>
      </w:rPr>
      <w:t xml:space="preserve"> </w:t>
    </w:r>
    <w:r w:rsidRPr="00742273">
      <w:rPr>
        <w:i/>
        <w:snapToGrid/>
        <w:color w:val="808080"/>
      </w:rPr>
      <w:t>– March 2015 PBAC Meeting</w:t>
    </w:r>
  </w:p>
  <w:p w:rsidR="007B2778" w:rsidRDefault="007B2778" w:rsidP="007422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A09E9"/>
    <w:multiLevelType w:val="hybridMultilevel"/>
    <w:tmpl w:val="CE2AC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AF394E"/>
    <w:multiLevelType w:val="hybridMultilevel"/>
    <w:tmpl w:val="1DA6E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3B412D"/>
    <w:multiLevelType w:val="hybridMultilevel"/>
    <w:tmpl w:val="775CA3D4"/>
    <w:lvl w:ilvl="0" w:tplc="921E3354">
      <w:numFmt w:val="bullet"/>
      <w:lvlText w:val="-"/>
      <w:lvlJc w:val="left"/>
      <w:pPr>
        <w:ind w:left="360" w:hanging="360"/>
      </w:pPr>
      <w:rPr>
        <w:rFonts w:ascii="Arial" w:eastAsia="MS Mincho" w:hAnsi="Arial" w:hint="default"/>
      </w:rPr>
    </w:lvl>
    <w:lvl w:ilvl="1" w:tplc="921E3354">
      <w:numFmt w:val="bullet"/>
      <w:lvlText w:val="-"/>
      <w:lvlJc w:val="left"/>
      <w:pPr>
        <w:ind w:left="1080" w:hanging="360"/>
      </w:pPr>
      <w:rPr>
        <w:rFonts w:ascii="Arial" w:eastAsia="MS Mincho"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D65C8"/>
    <w:multiLevelType w:val="hybridMultilevel"/>
    <w:tmpl w:val="DE6A0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Arial"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Arial"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Arial"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1">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Arial"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Arial"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Arial"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2">
    <w:nsid w:val="30951026"/>
    <w:multiLevelType w:val="hybridMultilevel"/>
    <w:tmpl w:val="727EBC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Arial"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Arial"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33DA761C"/>
    <w:multiLevelType w:val="hybridMultilevel"/>
    <w:tmpl w:val="04464596"/>
    <w:lvl w:ilvl="0" w:tplc="0C090001">
      <w:start w:val="1"/>
      <w:numFmt w:val="bullet"/>
      <w:lvlText w:val=""/>
      <w:lvlJc w:val="left"/>
      <w:pPr>
        <w:ind w:left="360" w:hanging="360"/>
      </w:pPr>
      <w:rPr>
        <w:rFonts w:ascii="Symbol" w:hAnsi="Symbol" w:hint="default"/>
      </w:rPr>
    </w:lvl>
    <w:lvl w:ilvl="1" w:tplc="EDBCF570">
      <w:start w:val="1"/>
      <w:numFmt w:val="decimal"/>
      <w:lvlText w:val="%2."/>
      <w:lvlJc w:val="left"/>
      <w:pPr>
        <w:ind w:left="1080" w:hanging="360"/>
      </w:pPr>
      <w:rPr>
        <w:rFonts w:hint="default"/>
        <w:i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B237FF9"/>
    <w:multiLevelType w:val="hybridMultilevel"/>
    <w:tmpl w:val="66622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7C34E2"/>
    <w:multiLevelType w:val="hybridMultilevel"/>
    <w:tmpl w:val="8A5A2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3B53663"/>
    <w:multiLevelType w:val="hybridMultilevel"/>
    <w:tmpl w:val="436C1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930883"/>
    <w:multiLevelType w:val="hybridMultilevel"/>
    <w:tmpl w:val="4FCA6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417A93"/>
    <w:multiLevelType w:val="hybridMultilevel"/>
    <w:tmpl w:val="65B42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50896A41"/>
    <w:multiLevelType w:val="hybridMultilevel"/>
    <w:tmpl w:val="0C022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1FD22B0"/>
    <w:multiLevelType w:val="hybridMultilevel"/>
    <w:tmpl w:val="C1985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0516C7"/>
    <w:multiLevelType w:val="hybridMultilevel"/>
    <w:tmpl w:val="0694B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333180"/>
    <w:multiLevelType w:val="hybridMultilevel"/>
    <w:tmpl w:val="76FE5EEE"/>
    <w:lvl w:ilvl="0" w:tplc="EDBCF570">
      <w:start w:val="1"/>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7E3620"/>
    <w:multiLevelType w:val="hybridMultilevel"/>
    <w:tmpl w:val="32E02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0461BA2"/>
    <w:multiLevelType w:val="hybridMultilevel"/>
    <w:tmpl w:val="80802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5BD4B9E"/>
    <w:multiLevelType w:val="hybridMultilevel"/>
    <w:tmpl w:val="AD84264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7FD3186"/>
    <w:multiLevelType w:val="hybridMultilevel"/>
    <w:tmpl w:val="59F0D5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81075C0"/>
    <w:multiLevelType w:val="hybridMultilevel"/>
    <w:tmpl w:val="24CAD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AB57236"/>
    <w:multiLevelType w:val="hybridMultilevel"/>
    <w:tmpl w:val="8E862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C1F3942"/>
    <w:multiLevelType w:val="hybridMultilevel"/>
    <w:tmpl w:val="8EE69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DDF5021"/>
    <w:multiLevelType w:val="hybridMultilevel"/>
    <w:tmpl w:val="10B69D12"/>
    <w:lvl w:ilvl="0" w:tplc="F488CFD6">
      <w:numFmt w:val="bullet"/>
      <w:lvlText w:val="-"/>
      <w:lvlJc w:val="left"/>
      <w:pPr>
        <w:ind w:left="360" w:hanging="360"/>
      </w:pPr>
      <w:rPr>
        <w:rFonts w:ascii="Times New Roman" w:eastAsia="Times New Roman" w:hAnsi="Times New Roman" w:cs="Times New Roman"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DF23A7F"/>
    <w:multiLevelType w:val="hybridMultilevel"/>
    <w:tmpl w:val="B7F24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EB57273"/>
    <w:multiLevelType w:val="hybridMultilevel"/>
    <w:tmpl w:val="04709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0B63E8"/>
    <w:multiLevelType w:val="hybridMultilevel"/>
    <w:tmpl w:val="9B98B18A"/>
    <w:lvl w:ilvl="0" w:tplc="FFFFFFFF">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3334EF1"/>
    <w:multiLevelType w:val="hybridMultilevel"/>
    <w:tmpl w:val="4F828D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3B113F6"/>
    <w:multiLevelType w:val="hybridMultilevel"/>
    <w:tmpl w:val="FBE41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67C396D"/>
    <w:multiLevelType w:val="hybridMultilevel"/>
    <w:tmpl w:val="B85AE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84D033C"/>
    <w:multiLevelType w:val="multilevel"/>
    <w:tmpl w:val="5BFC2E6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8CD1B01"/>
    <w:multiLevelType w:val="hybridMultilevel"/>
    <w:tmpl w:val="88442546"/>
    <w:lvl w:ilvl="0" w:tplc="0C09001B">
      <w:start w:val="1"/>
      <w:numFmt w:val="lowerRoman"/>
      <w:lvlText w:val="%1."/>
      <w:lvlJc w:val="righ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5">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28"/>
  </w:num>
  <w:num w:numId="4">
    <w:abstractNumId w:val="16"/>
  </w:num>
  <w:num w:numId="5">
    <w:abstractNumId w:val="11"/>
  </w:num>
  <w:num w:numId="6">
    <w:abstractNumId w:val="10"/>
  </w:num>
  <w:num w:numId="7">
    <w:abstractNumId w:val="6"/>
  </w:num>
  <w:num w:numId="8">
    <w:abstractNumId w:val="45"/>
  </w:num>
  <w:num w:numId="9">
    <w:abstractNumId w:val="21"/>
  </w:num>
  <w:num w:numId="10">
    <w:abstractNumId w:val="15"/>
  </w:num>
  <w:num w:numId="11">
    <w:abstractNumId w:val="1"/>
  </w:num>
  <w:num w:numId="12">
    <w:abstractNumId w:val="43"/>
  </w:num>
  <w:num w:numId="13">
    <w:abstractNumId w:val="30"/>
  </w:num>
  <w:num w:numId="14">
    <w:abstractNumId w:val="44"/>
  </w:num>
  <w:num w:numId="15">
    <w:abstractNumId w:val="5"/>
  </w:num>
  <w:num w:numId="16">
    <w:abstractNumId w:val="39"/>
  </w:num>
  <w:num w:numId="17">
    <w:abstractNumId w:val="20"/>
  </w:num>
  <w:num w:numId="18">
    <w:abstractNumId w:val="22"/>
  </w:num>
  <w:num w:numId="19">
    <w:abstractNumId w:val="41"/>
  </w:num>
  <w:num w:numId="20">
    <w:abstractNumId w:val="36"/>
  </w:num>
  <w:num w:numId="21">
    <w:abstractNumId w:val="19"/>
  </w:num>
  <w:num w:numId="22">
    <w:abstractNumId w:val="23"/>
  </w:num>
  <w:num w:numId="23">
    <w:abstractNumId w:val="26"/>
  </w:num>
  <w:num w:numId="24">
    <w:abstractNumId w:val="37"/>
  </w:num>
  <w:num w:numId="25">
    <w:abstractNumId w:val="34"/>
  </w:num>
  <w:num w:numId="26">
    <w:abstractNumId w:val="17"/>
  </w:num>
  <w:num w:numId="27">
    <w:abstractNumId w:val="42"/>
  </w:num>
  <w:num w:numId="28">
    <w:abstractNumId w:val="40"/>
  </w:num>
  <w:num w:numId="29">
    <w:abstractNumId w:val="29"/>
  </w:num>
  <w:num w:numId="30">
    <w:abstractNumId w:val="35"/>
  </w:num>
  <w:num w:numId="31">
    <w:abstractNumId w:val="2"/>
  </w:num>
  <w:num w:numId="32">
    <w:abstractNumId w:val="4"/>
  </w:num>
  <w:num w:numId="33">
    <w:abstractNumId w:val="33"/>
  </w:num>
  <w:num w:numId="34">
    <w:abstractNumId w:val="38"/>
  </w:num>
  <w:num w:numId="35">
    <w:abstractNumId w:val="31"/>
  </w:num>
  <w:num w:numId="36">
    <w:abstractNumId w:val="9"/>
  </w:num>
  <w:num w:numId="37">
    <w:abstractNumId w:val="13"/>
  </w:num>
  <w:num w:numId="38">
    <w:abstractNumId w:val="14"/>
  </w:num>
  <w:num w:numId="39">
    <w:abstractNumId w:val="12"/>
  </w:num>
  <w:num w:numId="40">
    <w:abstractNumId w:val="43"/>
  </w:num>
  <w:num w:numId="41">
    <w:abstractNumId w:val="24"/>
  </w:num>
  <w:num w:numId="42">
    <w:abstractNumId w:val="3"/>
  </w:num>
  <w:num w:numId="43">
    <w:abstractNumId w:val="0"/>
  </w:num>
  <w:num w:numId="44">
    <w:abstractNumId w:val="8"/>
  </w:num>
  <w:num w:numId="45">
    <w:abstractNumId w:val="25"/>
  </w:num>
  <w:num w:numId="46">
    <w:abstractNumId w:val="32"/>
  </w:num>
  <w:num w:numId="47">
    <w:abstractNumId w:val="27"/>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651A"/>
    <w:rsid w:val="00007B39"/>
    <w:rsid w:val="00010088"/>
    <w:rsid w:val="00013247"/>
    <w:rsid w:val="00015886"/>
    <w:rsid w:val="000162EF"/>
    <w:rsid w:val="0002225F"/>
    <w:rsid w:val="00023763"/>
    <w:rsid w:val="00026AD3"/>
    <w:rsid w:val="00030854"/>
    <w:rsid w:val="000316BC"/>
    <w:rsid w:val="000358BC"/>
    <w:rsid w:val="00037CCE"/>
    <w:rsid w:val="00040895"/>
    <w:rsid w:val="0004244D"/>
    <w:rsid w:val="000427A2"/>
    <w:rsid w:val="00043C37"/>
    <w:rsid w:val="000465C2"/>
    <w:rsid w:val="00052CA7"/>
    <w:rsid w:val="00053B74"/>
    <w:rsid w:val="000546D7"/>
    <w:rsid w:val="000556FF"/>
    <w:rsid w:val="00060565"/>
    <w:rsid w:val="00061562"/>
    <w:rsid w:val="000700B3"/>
    <w:rsid w:val="000709C5"/>
    <w:rsid w:val="00071248"/>
    <w:rsid w:val="00071E1A"/>
    <w:rsid w:val="000720B9"/>
    <w:rsid w:val="000812CA"/>
    <w:rsid w:val="00083ABD"/>
    <w:rsid w:val="00083CA7"/>
    <w:rsid w:val="000901C9"/>
    <w:rsid w:val="00090BFD"/>
    <w:rsid w:val="00090C7E"/>
    <w:rsid w:val="00091909"/>
    <w:rsid w:val="000A058B"/>
    <w:rsid w:val="000A0E49"/>
    <w:rsid w:val="000A18F0"/>
    <w:rsid w:val="000A5904"/>
    <w:rsid w:val="000B798E"/>
    <w:rsid w:val="000C160F"/>
    <w:rsid w:val="000C4E5B"/>
    <w:rsid w:val="000C5181"/>
    <w:rsid w:val="000C57FA"/>
    <w:rsid w:val="000C735C"/>
    <w:rsid w:val="000D0D01"/>
    <w:rsid w:val="000D1BFC"/>
    <w:rsid w:val="000D5B2C"/>
    <w:rsid w:val="000D619D"/>
    <w:rsid w:val="000E00E4"/>
    <w:rsid w:val="000E0A69"/>
    <w:rsid w:val="000F4BB8"/>
    <w:rsid w:val="000F7127"/>
    <w:rsid w:val="000F7B11"/>
    <w:rsid w:val="00100F8A"/>
    <w:rsid w:val="001021DE"/>
    <w:rsid w:val="0011032E"/>
    <w:rsid w:val="0011348B"/>
    <w:rsid w:val="001177BF"/>
    <w:rsid w:val="00121799"/>
    <w:rsid w:val="001222FC"/>
    <w:rsid w:val="00123C33"/>
    <w:rsid w:val="00124A51"/>
    <w:rsid w:val="00126621"/>
    <w:rsid w:val="001301E9"/>
    <w:rsid w:val="00131A55"/>
    <w:rsid w:val="00132864"/>
    <w:rsid w:val="00135642"/>
    <w:rsid w:val="00137140"/>
    <w:rsid w:val="00137645"/>
    <w:rsid w:val="00137694"/>
    <w:rsid w:val="0014015A"/>
    <w:rsid w:val="00140E99"/>
    <w:rsid w:val="001437BE"/>
    <w:rsid w:val="00145540"/>
    <w:rsid w:val="001456B0"/>
    <w:rsid w:val="00152D06"/>
    <w:rsid w:val="00154A0F"/>
    <w:rsid w:val="00157130"/>
    <w:rsid w:val="00162913"/>
    <w:rsid w:val="00162D5C"/>
    <w:rsid w:val="00163EFF"/>
    <w:rsid w:val="00165EB9"/>
    <w:rsid w:val="001661FB"/>
    <w:rsid w:val="00166CC1"/>
    <w:rsid w:val="0017087D"/>
    <w:rsid w:val="00171ACF"/>
    <w:rsid w:val="001742DA"/>
    <w:rsid w:val="00177672"/>
    <w:rsid w:val="00180683"/>
    <w:rsid w:val="0018157E"/>
    <w:rsid w:val="00181D8E"/>
    <w:rsid w:val="0018279A"/>
    <w:rsid w:val="00184C1C"/>
    <w:rsid w:val="0018752F"/>
    <w:rsid w:val="00192EFB"/>
    <w:rsid w:val="00195222"/>
    <w:rsid w:val="00197566"/>
    <w:rsid w:val="001975D8"/>
    <w:rsid w:val="00197A5D"/>
    <w:rsid w:val="001B286E"/>
    <w:rsid w:val="001B3443"/>
    <w:rsid w:val="001C6E66"/>
    <w:rsid w:val="001E238E"/>
    <w:rsid w:val="001E2B1E"/>
    <w:rsid w:val="001E4587"/>
    <w:rsid w:val="001E52EB"/>
    <w:rsid w:val="001E740C"/>
    <w:rsid w:val="001F024B"/>
    <w:rsid w:val="001F0EAB"/>
    <w:rsid w:val="001F0EDA"/>
    <w:rsid w:val="001F1235"/>
    <w:rsid w:val="001F198D"/>
    <w:rsid w:val="001F1CB3"/>
    <w:rsid w:val="001F3C1C"/>
    <w:rsid w:val="001F4A29"/>
    <w:rsid w:val="001F619B"/>
    <w:rsid w:val="001F7361"/>
    <w:rsid w:val="0020180C"/>
    <w:rsid w:val="0020385F"/>
    <w:rsid w:val="0020635C"/>
    <w:rsid w:val="00207021"/>
    <w:rsid w:val="00207D00"/>
    <w:rsid w:val="002105C1"/>
    <w:rsid w:val="00211EDF"/>
    <w:rsid w:val="00212747"/>
    <w:rsid w:val="00212A4E"/>
    <w:rsid w:val="00213EF6"/>
    <w:rsid w:val="002156EE"/>
    <w:rsid w:val="00221F37"/>
    <w:rsid w:val="00222B13"/>
    <w:rsid w:val="00223B49"/>
    <w:rsid w:val="00224DD4"/>
    <w:rsid w:val="00225A01"/>
    <w:rsid w:val="002309CC"/>
    <w:rsid w:val="0023132B"/>
    <w:rsid w:val="002331E9"/>
    <w:rsid w:val="002430C5"/>
    <w:rsid w:val="002454DE"/>
    <w:rsid w:val="0024663A"/>
    <w:rsid w:val="002501BC"/>
    <w:rsid w:val="0025331B"/>
    <w:rsid w:val="0025455F"/>
    <w:rsid w:val="00254DCF"/>
    <w:rsid w:val="0025534B"/>
    <w:rsid w:val="0025560A"/>
    <w:rsid w:val="00255BB7"/>
    <w:rsid w:val="00262A87"/>
    <w:rsid w:val="00263A3A"/>
    <w:rsid w:val="0027102E"/>
    <w:rsid w:val="002753B9"/>
    <w:rsid w:val="00275C5A"/>
    <w:rsid w:val="00281014"/>
    <w:rsid w:val="002841C4"/>
    <w:rsid w:val="00286F14"/>
    <w:rsid w:val="00290F17"/>
    <w:rsid w:val="002948FE"/>
    <w:rsid w:val="002A14AB"/>
    <w:rsid w:val="002A522D"/>
    <w:rsid w:val="002A6912"/>
    <w:rsid w:val="002B1C1F"/>
    <w:rsid w:val="002B432F"/>
    <w:rsid w:val="002B61EA"/>
    <w:rsid w:val="002B6CCE"/>
    <w:rsid w:val="002C120E"/>
    <w:rsid w:val="002C1362"/>
    <w:rsid w:val="002C2775"/>
    <w:rsid w:val="002C27C1"/>
    <w:rsid w:val="002C350F"/>
    <w:rsid w:val="002C76E9"/>
    <w:rsid w:val="002D2B9F"/>
    <w:rsid w:val="002D66C4"/>
    <w:rsid w:val="002E4212"/>
    <w:rsid w:val="002E644F"/>
    <w:rsid w:val="002F52F9"/>
    <w:rsid w:val="002F5575"/>
    <w:rsid w:val="002F5DEC"/>
    <w:rsid w:val="00301017"/>
    <w:rsid w:val="00301208"/>
    <w:rsid w:val="003012CC"/>
    <w:rsid w:val="003013DF"/>
    <w:rsid w:val="00301778"/>
    <w:rsid w:val="0030528B"/>
    <w:rsid w:val="0030786C"/>
    <w:rsid w:val="0031031A"/>
    <w:rsid w:val="00310981"/>
    <w:rsid w:val="00310B63"/>
    <w:rsid w:val="00315498"/>
    <w:rsid w:val="00316837"/>
    <w:rsid w:val="003179EA"/>
    <w:rsid w:val="00322921"/>
    <w:rsid w:val="003262B3"/>
    <w:rsid w:val="00326553"/>
    <w:rsid w:val="00326B48"/>
    <w:rsid w:val="003366C9"/>
    <w:rsid w:val="003371B0"/>
    <w:rsid w:val="00341281"/>
    <w:rsid w:val="00346C1F"/>
    <w:rsid w:val="0035305E"/>
    <w:rsid w:val="0035620E"/>
    <w:rsid w:val="00357666"/>
    <w:rsid w:val="00357CA9"/>
    <w:rsid w:val="00371BCB"/>
    <w:rsid w:val="003730E9"/>
    <w:rsid w:val="0038365C"/>
    <w:rsid w:val="003906EA"/>
    <w:rsid w:val="003916ED"/>
    <w:rsid w:val="00391A54"/>
    <w:rsid w:val="00392B92"/>
    <w:rsid w:val="0039422A"/>
    <w:rsid w:val="00396FD0"/>
    <w:rsid w:val="003A1626"/>
    <w:rsid w:val="003A1A7A"/>
    <w:rsid w:val="003A4E92"/>
    <w:rsid w:val="003B093B"/>
    <w:rsid w:val="003B710A"/>
    <w:rsid w:val="003D1828"/>
    <w:rsid w:val="003D2422"/>
    <w:rsid w:val="003D3144"/>
    <w:rsid w:val="003D33BE"/>
    <w:rsid w:val="003D6577"/>
    <w:rsid w:val="003D764F"/>
    <w:rsid w:val="003E0667"/>
    <w:rsid w:val="003E3BD5"/>
    <w:rsid w:val="003E6E1A"/>
    <w:rsid w:val="003E6F8A"/>
    <w:rsid w:val="003F0853"/>
    <w:rsid w:val="003F135B"/>
    <w:rsid w:val="003F155C"/>
    <w:rsid w:val="003F29A5"/>
    <w:rsid w:val="003F3DE8"/>
    <w:rsid w:val="003F4156"/>
    <w:rsid w:val="003F5DEF"/>
    <w:rsid w:val="004009EF"/>
    <w:rsid w:val="00401B6F"/>
    <w:rsid w:val="004022CC"/>
    <w:rsid w:val="004027C7"/>
    <w:rsid w:val="0040648E"/>
    <w:rsid w:val="00407CD5"/>
    <w:rsid w:val="00410708"/>
    <w:rsid w:val="00410EC7"/>
    <w:rsid w:val="00414476"/>
    <w:rsid w:val="004145E5"/>
    <w:rsid w:val="00417CEB"/>
    <w:rsid w:val="00420B9F"/>
    <w:rsid w:val="004314F2"/>
    <w:rsid w:val="004319F8"/>
    <w:rsid w:val="00433044"/>
    <w:rsid w:val="004342C0"/>
    <w:rsid w:val="0043688A"/>
    <w:rsid w:val="004400C8"/>
    <w:rsid w:val="00442F06"/>
    <w:rsid w:val="004443A7"/>
    <w:rsid w:val="004449A6"/>
    <w:rsid w:val="0044580B"/>
    <w:rsid w:val="004458D6"/>
    <w:rsid w:val="004464EB"/>
    <w:rsid w:val="00446F39"/>
    <w:rsid w:val="00452593"/>
    <w:rsid w:val="0045289A"/>
    <w:rsid w:val="00453910"/>
    <w:rsid w:val="00455D45"/>
    <w:rsid w:val="0046266A"/>
    <w:rsid w:val="00464595"/>
    <w:rsid w:val="00464C6B"/>
    <w:rsid w:val="004661C3"/>
    <w:rsid w:val="0047120B"/>
    <w:rsid w:val="00471E59"/>
    <w:rsid w:val="004728E4"/>
    <w:rsid w:val="00482699"/>
    <w:rsid w:val="004833A3"/>
    <w:rsid w:val="00485674"/>
    <w:rsid w:val="004867E2"/>
    <w:rsid w:val="00486C43"/>
    <w:rsid w:val="00490CAA"/>
    <w:rsid w:val="00491B3A"/>
    <w:rsid w:val="00492CFD"/>
    <w:rsid w:val="00495F60"/>
    <w:rsid w:val="004962D2"/>
    <w:rsid w:val="00496D7D"/>
    <w:rsid w:val="004A00A0"/>
    <w:rsid w:val="004A0DA1"/>
    <w:rsid w:val="004A1B32"/>
    <w:rsid w:val="004A6597"/>
    <w:rsid w:val="004B1950"/>
    <w:rsid w:val="004B1CB4"/>
    <w:rsid w:val="004B20C8"/>
    <w:rsid w:val="004B2F18"/>
    <w:rsid w:val="004B3DDB"/>
    <w:rsid w:val="004B44FD"/>
    <w:rsid w:val="004B521F"/>
    <w:rsid w:val="004B5CFC"/>
    <w:rsid w:val="004C4AED"/>
    <w:rsid w:val="004C6757"/>
    <w:rsid w:val="004C70D6"/>
    <w:rsid w:val="004C741B"/>
    <w:rsid w:val="004D320D"/>
    <w:rsid w:val="004D3D43"/>
    <w:rsid w:val="004D447E"/>
    <w:rsid w:val="004D7B41"/>
    <w:rsid w:val="004E0EB8"/>
    <w:rsid w:val="004E2418"/>
    <w:rsid w:val="004E2ADC"/>
    <w:rsid w:val="004E43B2"/>
    <w:rsid w:val="004E6916"/>
    <w:rsid w:val="004F1304"/>
    <w:rsid w:val="004F1D02"/>
    <w:rsid w:val="004F2679"/>
    <w:rsid w:val="004F7865"/>
    <w:rsid w:val="005010BE"/>
    <w:rsid w:val="00501389"/>
    <w:rsid w:val="00506928"/>
    <w:rsid w:val="005152B5"/>
    <w:rsid w:val="00515C3F"/>
    <w:rsid w:val="00517746"/>
    <w:rsid w:val="00521319"/>
    <w:rsid w:val="00523C28"/>
    <w:rsid w:val="0052407E"/>
    <w:rsid w:val="005242B2"/>
    <w:rsid w:val="00531CCD"/>
    <w:rsid w:val="00536106"/>
    <w:rsid w:val="00542640"/>
    <w:rsid w:val="00543BA0"/>
    <w:rsid w:val="00545DDB"/>
    <w:rsid w:val="00546F0E"/>
    <w:rsid w:val="005525DC"/>
    <w:rsid w:val="00552BD3"/>
    <w:rsid w:val="005543A0"/>
    <w:rsid w:val="00555109"/>
    <w:rsid w:val="00555E02"/>
    <w:rsid w:val="0056696F"/>
    <w:rsid w:val="00567880"/>
    <w:rsid w:val="005701BD"/>
    <w:rsid w:val="005703B2"/>
    <w:rsid w:val="00574B75"/>
    <w:rsid w:val="00575363"/>
    <w:rsid w:val="00575D8D"/>
    <w:rsid w:val="00576972"/>
    <w:rsid w:val="00582699"/>
    <w:rsid w:val="00583699"/>
    <w:rsid w:val="00583CFA"/>
    <w:rsid w:val="00586F9D"/>
    <w:rsid w:val="00591C27"/>
    <w:rsid w:val="0059516A"/>
    <w:rsid w:val="005A30E8"/>
    <w:rsid w:val="005A4929"/>
    <w:rsid w:val="005A6006"/>
    <w:rsid w:val="005B2B8D"/>
    <w:rsid w:val="005B4F4F"/>
    <w:rsid w:val="005B5857"/>
    <w:rsid w:val="005B748E"/>
    <w:rsid w:val="005C1B83"/>
    <w:rsid w:val="005C346B"/>
    <w:rsid w:val="005C588E"/>
    <w:rsid w:val="005D044D"/>
    <w:rsid w:val="005D18AD"/>
    <w:rsid w:val="005D4124"/>
    <w:rsid w:val="005E0526"/>
    <w:rsid w:val="005E1862"/>
    <w:rsid w:val="005E46BD"/>
    <w:rsid w:val="005E73C0"/>
    <w:rsid w:val="005F1236"/>
    <w:rsid w:val="005F15E0"/>
    <w:rsid w:val="005F2706"/>
    <w:rsid w:val="005F2AD5"/>
    <w:rsid w:val="005F34A3"/>
    <w:rsid w:val="005F456D"/>
    <w:rsid w:val="005F6A8F"/>
    <w:rsid w:val="006010B1"/>
    <w:rsid w:val="00606984"/>
    <w:rsid w:val="00606BAD"/>
    <w:rsid w:val="00607669"/>
    <w:rsid w:val="00607DE3"/>
    <w:rsid w:val="006108CD"/>
    <w:rsid w:val="00612F97"/>
    <w:rsid w:val="006135C3"/>
    <w:rsid w:val="00615818"/>
    <w:rsid w:val="00615D2E"/>
    <w:rsid w:val="00616802"/>
    <w:rsid w:val="00617E12"/>
    <w:rsid w:val="00617ED8"/>
    <w:rsid w:val="00621477"/>
    <w:rsid w:val="006221A9"/>
    <w:rsid w:val="00626669"/>
    <w:rsid w:val="006266C7"/>
    <w:rsid w:val="00627981"/>
    <w:rsid w:val="006301C9"/>
    <w:rsid w:val="00631D6B"/>
    <w:rsid w:val="006328CF"/>
    <w:rsid w:val="0063479F"/>
    <w:rsid w:val="006364A1"/>
    <w:rsid w:val="00637BFD"/>
    <w:rsid w:val="006417D0"/>
    <w:rsid w:val="00645C26"/>
    <w:rsid w:val="006471CC"/>
    <w:rsid w:val="0065079F"/>
    <w:rsid w:val="0065265F"/>
    <w:rsid w:val="0065311F"/>
    <w:rsid w:val="00671768"/>
    <w:rsid w:val="00673903"/>
    <w:rsid w:val="0067398F"/>
    <w:rsid w:val="00674E42"/>
    <w:rsid w:val="00680CBD"/>
    <w:rsid w:val="00682112"/>
    <w:rsid w:val="006872BA"/>
    <w:rsid w:val="006917D7"/>
    <w:rsid w:val="00693D2A"/>
    <w:rsid w:val="00694F44"/>
    <w:rsid w:val="00697CB7"/>
    <w:rsid w:val="006A105B"/>
    <w:rsid w:val="006A2F3B"/>
    <w:rsid w:val="006A510D"/>
    <w:rsid w:val="006A71AC"/>
    <w:rsid w:val="006B134E"/>
    <w:rsid w:val="006B188F"/>
    <w:rsid w:val="006B6A49"/>
    <w:rsid w:val="006C0715"/>
    <w:rsid w:val="006C1560"/>
    <w:rsid w:val="006C1E44"/>
    <w:rsid w:val="006C2A8E"/>
    <w:rsid w:val="006C4D66"/>
    <w:rsid w:val="006C64F0"/>
    <w:rsid w:val="006D2345"/>
    <w:rsid w:val="006D3C7D"/>
    <w:rsid w:val="006D5D5F"/>
    <w:rsid w:val="006E7B28"/>
    <w:rsid w:val="006F48AE"/>
    <w:rsid w:val="006F63A5"/>
    <w:rsid w:val="006F7E53"/>
    <w:rsid w:val="00700253"/>
    <w:rsid w:val="007005F4"/>
    <w:rsid w:val="0070276E"/>
    <w:rsid w:val="00702F8F"/>
    <w:rsid w:val="00711A36"/>
    <w:rsid w:val="00713726"/>
    <w:rsid w:val="00713AB6"/>
    <w:rsid w:val="00713B03"/>
    <w:rsid w:val="007172AD"/>
    <w:rsid w:val="0072416F"/>
    <w:rsid w:val="00725993"/>
    <w:rsid w:val="00726F45"/>
    <w:rsid w:val="00727E4E"/>
    <w:rsid w:val="007337B0"/>
    <w:rsid w:val="00735328"/>
    <w:rsid w:val="007362E1"/>
    <w:rsid w:val="0073685B"/>
    <w:rsid w:val="00741F47"/>
    <w:rsid w:val="00742273"/>
    <w:rsid w:val="00745AFF"/>
    <w:rsid w:val="007534A9"/>
    <w:rsid w:val="007534E6"/>
    <w:rsid w:val="00754150"/>
    <w:rsid w:val="00762D36"/>
    <w:rsid w:val="00767797"/>
    <w:rsid w:val="00773DB1"/>
    <w:rsid w:val="00780680"/>
    <w:rsid w:val="00780736"/>
    <w:rsid w:val="00785890"/>
    <w:rsid w:val="00786F32"/>
    <w:rsid w:val="00786FAD"/>
    <w:rsid w:val="0078792A"/>
    <w:rsid w:val="00787FD1"/>
    <w:rsid w:val="00790BB4"/>
    <w:rsid w:val="00795AB8"/>
    <w:rsid w:val="00797728"/>
    <w:rsid w:val="007A0A12"/>
    <w:rsid w:val="007A113D"/>
    <w:rsid w:val="007A1D10"/>
    <w:rsid w:val="007A64DD"/>
    <w:rsid w:val="007B1828"/>
    <w:rsid w:val="007B1967"/>
    <w:rsid w:val="007B251D"/>
    <w:rsid w:val="007B2778"/>
    <w:rsid w:val="007B2E04"/>
    <w:rsid w:val="007B7389"/>
    <w:rsid w:val="007B77D1"/>
    <w:rsid w:val="007C2230"/>
    <w:rsid w:val="007C2E5C"/>
    <w:rsid w:val="007C361D"/>
    <w:rsid w:val="007C419A"/>
    <w:rsid w:val="007C5CAB"/>
    <w:rsid w:val="007C675B"/>
    <w:rsid w:val="007D02DE"/>
    <w:rsid w:val="007D0B38"/>
    <w:rsid w:val="007D57FD"/>
    <w:rsid w:val="007E1402"/>
    <w:rsid w:val="007E3649"/>
    <w:rsid w:val="007E578E"/>
    <w:rsid w:val="007E5B30"/>
    <w:rsid w:val="007E616E"/>
    <w:rsid w:val="007F1017"/>
    <w:rsid w:val="007F13A4"/>
    <w:rsid w:val="007F4A3F"/>
    <w:rsid w:val="008000FA"/>
    <w:rsid w:val="00801155"/>
    <w:rsid w:val="00803E0C"/>
    <w:rsid w:val="00805142"/>
    <w:rsid w:val="00807A8B"/>
    <w:rsid w:val="00811345"/>
    <w:rsid w:val="00812149"/>
    <w:rsid w:val="00812A13"/>
    <w:rsid w:val="00815719"/>
    <w:rsid w:val="008166EF"/>
    <w:rsid w:val="008175C7"/>
    <w:rsid w:val="00822C6F"/>
    <w:rsid w:val="008264EB"/>
    <w:rsid w:val="00830495"/>
    <w:rsid w:val="00832889"/>
    <w:rsid w:val="0083359B"/>
    <w:rsid w:val="00833B05"/>
    <w:rsid w:val="0083657F"/>
    <w:rsid w:val="00836907"/>
    <w:rsid w:val="00840CA2"/>
    <w:rsid w:val="0084589B"/>
    <w:rsid w:val="00847CFE"/>
    <w:rsid w:val="00851CA4"/>
    <w:rsid w:val="00856E9A"/>
    <w:rsid w:val="008600D2"/>
    <w:rsid w:val="00861409"/>
    <w:rsid w:val="00862432"/>
    <w:rsid w:val="00862502"/>
    <w:rsid w:val="00862A04"/>
    <w:rsid w:val="00865A7E"/>
    <w:rsid w:val="00867938"/>
    <w:rsid w:val="008728EF"/>
    <w:rsid w:val="00877C1E"/>
    <w:rsid w:val="00881BA4"/>
    <w:rsid w:val="00881ECB"/>
    <w:rsid w:val="00882874"/>
    <w:rsid w:val="00883787"/>
    <w:rsid w:val="00885CC0"/>
    <w:rsid w:val="00894489"/>
    <w:rsid w:val="008963A5"/>
    <w:rsid w:val="008971CE"/>
    <w:rsid w:val="008A3C3E"/>
    <w:rsid w:val="008A79DE"/>
    <w:rsid w:val="008B2E13"/>
    <w:rsid w:val="008B7D7B"/>
    <w:rsid w:val="008B7D7E"/>
    <w:rsid w:val="008C5411"/>
    <w:rsid w:val="008C6A0B"/>
    <w:rsid w:val="008C7288"/>
    <w:rsid w:val="008C7ECB"/>
    <w:rsid w:val="008D2312"/>
    <w:rsid w:val="008D2473"/>
    <w:rsid w:val="008D7AF3"/>
    <w:rsid w:val="008E1B9E"/>
    <w:rsid w:val="008F120A"/>
    <w:rsid w:val="008F3C8B"/>
    <w:rsid w:val="008F48EB"/>
    <w:rsid w:val="008F4CED"/>
    <w:rsid w:val="008F4F0B"/>
    <w:rsid w:val="008F7436"/>
    <w:rsid w:val="009024D4"/>
    <w:rsid w:val="009035A2"/>
    <w:rsid w:val="009062A5"/>
    <w:rsid w:val="00911272"/>
    <w:rsid w:val="0091794C"/>
    <w:rsid w:val="0092151A"/>
    <w:rsid w:val="00921D89"/>
    <w:rsid w:val="00931557"/>
    <w:rsid w:val="00931A13"/>
    <w:rsid w:val="00933260"/>
    <w:rsid w:val="00934A7F"/>
    <w:rsid w:val="00934F0C"/>
    <w:rsid w:val="009379AF"/>
    <w:rsid w:val="00940696"/>
    <w:rsid w:val="0095374D"/>
    <w:rsid w:val="009560FC"/>
    <w:rsid w:val="00962CB9"/>
    <w:rsid w:val="00963B60"/>
    <w:rsid w:val="00963ED8"/>
    <w:rsid w:val="00964312"/>
    <w:rsid w:val="00977096"/>
    <w:rsid w:val="00980EE2"/>
    <w:rsid w:val="00983E57"/>
    <w:rsid w:val="00992043"/>
    <w:rsid w:val="009927E3"/>
    <w:rsid w:val="00992CA3"/>
    <w:rsid w:val="00996B1A"/>
    <w:rsid w:val="00997B18"/>
    <w:rsid w:val="009A089C"/>
    <w:rsid w:val="009A19B9"/>
    <w:rsid w:val="009B0A4B"/>
    <w:rsid w:val="009B3E26"/>
    <w:rsid w:val="009B5F61"/>
    <w:rsid w:val="009B773F"/>
    <w:rsid w:val="009C1148"/>
    <w:rsid w:val="009C2286"/>
    <w:rsid w:val="009C243B"/>
    <w:rsid w:val="009D5B91"/>
    <w:rsid w:val="009E0BA2"/>
    <w:rsid w:val="009E1922"/>
    <w:rsid w:val="009E4A20"/>
    <w:rsid w:val="009E4C07"/>
    <w:rsid w:val="009E4CF5"/>
    <w:rsid w:val="009E7DD9"/>
    <w:rsid w:val="009F378F"/>
    <w:rsid w:val="009F3E43"/>
    <w:rsid w:val="009F53FE"/>
    <w:rsid w:val="00A00381"/>
    <w:rsid w:val="00A010E3"/>
    <w:rsid w:val="00A02803"/>
    <w:rsid w:val="00A03D43"/>
    <w:rsid w:val="00A04380"/>
    <w:rsid w:val="00A06419"/>
    <w:rsid w:val="00A13948"/>
    <w:rsid w:val="00A23840"/>
    <w:rsid w:val="00A27AEC"/>
    <w:rsid w:val="00A35D16"/>
    <w:rsid w:val="00A37B6E"/>
    <w:rsid w:val="00A41094"/>
    <w:rsid w:val="00A41B66"/>
    <w:rsid w:val="00A43C59"/>
    <w:rsid w:val="00A50BBA"/>
    <w:rsid w:val="00A50ECD"/>
    <w:rsid w:val="00A51661"/>
    <w:rsid w:val="00A52729"/>
    <w:rsid w:val="00A53675"/>
    <w:rsid w:val="00A53905"/>
    <w:rsid w:val="00A55E6F"/>
    <w:rsid w:val="00A56B6A"/>
    <w:rsid w:val="00A578DC"/>
    <w:rsid w:val="00A60E7B"/>
    <w:rsid w:val="00A61F48"/>
    <w:rsid w:val="00A64872"/>
    <w:rsid w:val="00A653A5"/>
    <w:rsid w:val="00A6725B"/>
    <w:rsid w:val="00A73EF7"/>
    <w:rsid w:val="00A773A2"/>
    <w:rsid w:val="00A77DE5"/>
    <w:rsid w:val="00A80536"/>
    <w:rsid w:val="00A82DE4"/>
    <w:rsid w:val="00A84992"/>
    <w:rsid w:val="00A85CD1"/>
    <w:rsid w:val="00A86E8B"/>
    <w:rsid w:val="00A8764C"/>
    <w:rsid w:val="00A87C0D"/>
    <w:rsid w:val="00A9174F"/>
    <w:rsid w:val="00A91A76"/>
    <w:rsid w:val="00A92C7D"/>
    <w:rsid w:val="00A93072"/>
    <w:rsid w:val="00A93DFC"/>
    <w:rsid w:val="00A959D8"/>
    <w:rsid w:val="00AB042A"/>
    <w:rsid w:val="00AB2612"/>
    <w:rsid w:val="00AB2D34"/>
    <w:rsid w:val="00AB3430"/>
    <w:rsid w:val="00AB7CFA"/>
    <w:rsid w:val="00AC177C"/>
    <w:rsid w:val="00AC73C9"/>
    <w:rsid w:val="00AC7FA2"/>
    <w:rsid w:val="00AE410D"/>
    <w:rsid w:val="00AE43C7"/>
    <w:rsid w:val="00AE4DA0"/>
    <w:rsid w:val="00AE5DE2"/>
    <w:rsid w:val="00AE6964"/>
    <w:rsid w:val="00AF1D1B"/>
    <w:rsid w:val="00AF35DB"/>
    <w:rsid w:val="00AF47BD"/>
    <w:rsid w:val="00B064EF"/>
    <w:rsid w:val="00B07586"/>
    <w:rsid w:val="00B10FE7"/>
    <w:rsid w:val="00B14D49"/>
    <w:rsid w:val="00B15114"/>
    <w:rsid w:val="00B15C49"/>
    <w:rsid w:val="00B238D6"/>
    <w:rsid w:val="00B23C3D"/>
    <w:rsid w:val="00B255D1"/>
    <w:rsid w:val="00B312D1"/>
    <w:rsid w:val="00B34DC5"/>
    <w:rsid w:val="00B37ED5"/>
    <w:rsid w:val="00B41005"/>
    <w:rsid w:val="00B41B1B"/>
    <w:rsid w:val="00B41BEB"/>
    <w:rsid w:val="00B42851"/>
    <w:rsid w:val="00B42AA5"/>
    <w:rsid w:val="00B45548"/>
    <w:rsid w:val="00B45560"/>
    <w:rsid w:val="00B50DB8"/>
    <w:rsid w:val="00B51708"/>
    <w:rsid w:val="00B53905"/>
    <w:rsid w:val="00B54B5B"/>
    <w:rsid w:val="00B5562E"/>
    <w:rsid w:val="00B56410"/>
    <w:rsid w:val="00B57000"/>
    <w:rsid w:val="00B60939"/>
    <w:rsid w:val="00B60AFD"/>
    <w:rsid w:val="00B60C32"/>
    <w:rsid w:val="00B62715"/>
    <w:rsid w:val="00B660C6"/>
    <w:rsid w:val="00B75185"/>
    <w:rsid w:val="00B767ED"/>
    <w:rsid w:val="00B818A4"/>
    <w:rsid w:val="00B831DE"/>
    <w:rsid w:val="00B8485B"/>
    <w:rsid w:val="00B85057"/>
    <w:rsid w:val="00B8649C"/>
    <w:rsid w:val="00B92D0B"/>
    <w:rsid w:val="00B94945"/>
    <w:rsid w:val="00BA4A78"/>
    <w:rsid w:val="00BB1EBF"/>
    <w:rsid w:val="00BB7405"/>
    <w:rsid w:val="00BD2F4B"/>
    <w:rsid w:val="00BD6CF3"/>
    <w:rsid w:val="00BD7235"/>
    <w:rsid w:val="00BE17D5"/>
    <w:rsid w:val="00BE2180"/>
    <w:rsid w:val="00BE30F7"/>
    <w:rsid w:val="00BE4275"/>
    <w:rsid w:val="00BE4528"/>
    <w:rsid w:val="00BF1BE7"/>
    <w:rsid w:val="00BF1FDF"/>
    <w:rsid w:val="00BF2433"/>
    <w:rsid w:val="00BF2E36"/>
    <w:rsid w:val="00BF3675"/>
    <w:rsid w:val="00BF5B9C"/>
    <w:rsid w:val="00BF61C9"/>
    <w:rsid w:val="00BF7F7A"/>
    <w:rsid w:val="00C04056"/>
    <w:rsid w:val="00C107D4"/>
    <w:rsid w:val="00C14BF0"/>
    <w:rsid w:val="00C17726"/>
    <w:rsid w:val="00C25418"/>
    <w:rsid w:val="00C25D9C"/>
    <w:rsid w:val="00C26C41"/>
    <w:rsid w:val="00C302F4"/>
    <w:rsid w:val="00C31649"/>
    <w:rsid w:val="00C316CA"/>
    <w:rsid w:val="00C343D9"/>
    <w:rsid w:val="00C40385"/>
    <w:rsid w:val="00C40992"/>
    <w:rsid w:val="00C40E57"/>
    <w:rsid w:val="00C42F8F"/>
    <w:rsid w:val="00C550F7"/>
    <w:rsid w:val="00C635A7"/>
    <w:rsid w:val="00C638F3"/>
    <w:rsid w:val="00C64FB3"/>
    <w:rsid w:val="00C652AC"/>
    <w:rsid w:val="00C65576"/>
    <w:rsid w:val="00C66165"/>
    <w:rsid w:val="00C668D1"/>
    <w:rsid w:val="00C72CD9"/>
    <w:rsid w:val="00C750C8"/>
    <w:rsid w:val="00C76689"/>
    <w:rsid w:val="00C8213F"/>
    <w:rsid w:val="00C8797A"/>
    <w:rsid w:val="00C9235E"/>
    <w:rsid w:val="00C938CF"/>
    <w:rsid w:val="00C943E3"/>
    <w:rsid w:val="00C948DF"/>
    <w:rsid w:val="00C96F01"/>
    <w:rsid w:val="00CA5245"/>
    <w:rsid w:val="00CA77F4"/>
    <w:rsid w:val="00CA7B09"/>
    <w:rsid w:val="00CB5B1A"/>
    <w:rsid w:val="00CB63D6"/>
    <w:rsid w:val="00CC14F2"/>
    <w:rsid w:val="00CC76E4"/>
    <w:rsid w:val="00CD6ADC"/>
    <w:rsid w:val="00CD736B"/>
    <w:rsid w:val="00CE6274"/>
    <w:rsid w:val="00CE7EA0"/>
    <w:rsid w:val="00CF182B"/>
    <w:rsid w:val="00CF456B"/>
    <w:rsid w:val="00CF5385"/>
    <w:rsid w:val="00CF5A22"/>
    <w:rsid w:val="00CF6839"/>
    <w:rsid w:val="00CF70D7"/>
    <w:rsid w:val="00D022C7"/>
    <w:rsid w:val="00D0262E"/>
    <w:rsid w:val="00D03C32"/>
    <w:rsid w:val="00D045BF"/>
    <w:rsid w:val="00D061F9"/>
    <w:rsid w:val="00D110BD"/>
    <w:rsid w:val="00D11E04"/>
    <w:rsid w:val="00D12ECA"/>
    <w:rsid w:val="00D17D6C"/>
    <w:rsid w:val="00D23348"/>
    <w:rsid w:val="00D2708F"/>
    <w:rsid w:val="00D278A6"/>
    <w:rsid w:val="00D27C51"/>
    <w:rsid w:val="00D27D49"/>
    <w:rsid w:val="00D33456"/>
    <w:rsid w:val="00D357FF"/>
    <w:rsid w:val="00D37974"/>
    <w:rsid w:val="00D417A9"/>
    <w:rsid w:val="00D41E5C"/>
    <w:rsid w:val="00D4423D"/>
    <w:rsid w:val="00D51B15"/>
    <w:rsid w:val="00D524E3"/>
    <w:rsid w:val="00D6642F"/>
    <w:rsid w:val="00D73036"/>
    <w:rsid w:val="00D76A44"/>
    <w:rsid w:val="00D832C2"/>
    <w:rsid w:val="00D848B3"/>
    <w:rsid w:val="00D85C2D"/>
    <w:rsid w:val="00D90F49"/>
    <w:rsid w:val="00D91CE5"/>
    <w:rsid w:val="00D93753"/>
    <w:rsid w:val="00D952E0"/>
    <w:rsid w:val="00DA17B2"/>
    <w:rsid w:val="00DA6242"/>
    <w:rsid w:val="00DA77A5"/>
    <w:rsid w:val="00DB2996"/>
    <w:rsid w:val="00DB4B40"/>
    <w:rsid w:val="00DB724F"/>
    <w:rsid w:val="00DC5501"/>
    <w:rsid w:val="00DC5C96"/>
    <w:rsid w:val="00DC5EB4"/>
    <w:rsid w:val="00DC6012"/>
    <w:rsid w:val="00DD0651"/>
    <w:rsid w:val="00DD275F"/>
    <w:rsid w:val="00DD3F28"/>
    <w:rsid w:val="00DD4537"/>
    <w:rsid w:val="00DD4E15"/>
    <w:rsid w:val="00DD5A58"/>
    <w:rsid w:val="00DE4FCB"/>
    <w:rsid w:val="00DE7D35"/>
    <w:rsid w:val="00DE7E3B"/>
    <w:rsid w:val="00DF00D6"/>
    <w:rsid w:val="00DF5D2B"/>
    <w:rsid w:val="00DF792F"/>
    <w:rsid w:val="00E00435"/>
    <w:rsid w:val="00E019BA"/>
    <w:rsid w:val="00E02D56"/>
    <w:rsid w:val="00E06DC9"/>
    <w:rsid w:val="00E07ABC"/>
    <w:rsid w:val="00E10149"/>
    <w:rsid w:val="00E10C61"/>
    <w:rsid w:val="00E129A6"/>
    <w:rsid w:val="00E12A88"/>
    <w:rsid w:val="00E14EE5"/>
    <w:rsid w:val="00E16372"/>
    <w:rsid w:val="00E16749"/>
    <w:rsid w:val="00E20ED6"/>
    <w:rsid w:val="00E21358"/>
    <w:rsid w:val="00E2249B"/>
    <w:rsid w:val="00E22A0D"/>
    <w:rsid w:val="00E243F9"/>
    <w:rsid w:val="00E2771E"/>
    <w:rsid w:val="00E37569"/>
    <w:rsid w:val="00E41E30"/>
    <w:rsid w:val="00E421C4"/>
    <w:rsid w:val="00E43D70"/>
    <w:rsid w:val="00E440CF"/>
    <w:rsid w:val="00E47B2C"/>
    <w:rsid w:val="00E51560"/>
    <w:rsid w:val="00E534BC"/>
    <w:rsid w:val="00E539FC"/>
    <w:rsid w:val="00E55424"/>
    <w:rsid w:val="00E55BB5"/>
    <w:rsid w:val="00E57205"/>
    <w:rsid w:val="00E64765"/>
    <w:rsid w:val="00E65E79"/>
    <w:rsid w:val="00E67416"/>
    <w:rsid w:val="00E7068B"/>
    <w:rsid w:val="00E718B6"/>
    <w:rsid w:val="00E73581"/>
    <w:rsid w:val="00E83BDF"/>
    <w:rsid w:val="00E87D65"/>
    <w:rsid w:val="00E929D7"/>
    <w:rsid w:val="00E946F5"/>
    <w:rsid w:val="00E94ABB"/>
    <w:rsid w:val="00E975DC"/>
    <w:rsid w:val="00EA0E1F"/>
    <w:rsid w:val="00EA209C"/>
    <w:rsid w:val="00EA29E4"/>
    <w:rsid w:val="00EA3864"/>
    <w:rsid w:val="00EB15B6"/>
    <w:rsid w:val="00EB4916"/>
    <w:rsid w:val="00EB73FB"/>
    <w:rsid w:val="00EB7CC8"/>
    <w:rsid w:val="00EC00C9"/>
    <w:rsid w:val="00EC2263"/>
    <w:rsid w:val="00EC30AD"/>
    <w:rsid w:val="00ED5F76"/>
    <w:rsid w:val="00ED6446"/>
    <w:rsid w:val="00EE0785"/>
    <w:rsid w:val="00EE07D3"/>
    <w:rsid w:val="00EE3C63"/>
    <w:rsid w:val="00EF3DD7"/>
    <w:rsid w:val="00EF3F14"/>
    <w:rsid w:val="00EF535C"/>
    <w:rsid w:val="00F019EC"/>
    <w:rsid w:val="00F04828"/>
    <w:rsid w:val="00F04BDF"/>
    <w:rsid w:val="00F067A2"/>
    <w:rsid w:val="00F12275"/>
    <w:rsid w:val="00F12489"/>
    <w:rsid w:val="00F247E6"/>
    <w:rsid w:val="00F24837"/>
    <w:rsid w:val="00F2575F"/>
    <w:rsid w:val="00F262A0"/>
    <w:rsid w:val="00F2722D"/>
    <w:rsid w:val="00F33DE9"/>
    <w:rsid w:val="00F3619A"/>
    <w:rsid w:val="00F41052"/>
    <w:rsid w:val="00F440D9"/>
    <w:rsid w:val="00F44CB8"/>
    <w:rsid w:val="00F45293"/>
    <w:rsid w:val="00F46CB6"/>
    <w:rsid w:val="00F50443"/>
    <w:rsid w:val="00F50F77"/>
    <w:rsid w:val="00F51DCC"/>
    <w:rsid w:val="00F52927"/>
    <w:rsid w:val="00F52DFC"/>
    <w:rsid w:val="00F55E73"/>
    <w:rsid w:val="00F560B0"/>
    <w:rsid w:val="00F5643B"/>
    <w:rsid w:val="00F60092"/>
    <w:rsid w:val="00F636CE"/>
    <w:rsid w:val="00F66F02"/>
    <w:rsid w:val="00F73F6E"/>
    <w:rsid w:val="00F75C5F"/>
    <w:rsid w:val="00F76A91"/>
    <w:rsid w:val="00F76BA9"/>
    <w:rsid w:val="00F80AE0"/>
    <w:rsid w:val="00F80E5D"/>
    <w:rsid w:val="00F851CE"/>
    <w:rsid w:val="00F90D49"/>
    <w:rsid w:val="00F97A78"/>
    <w:rsid w:val="00FA0BF1"/>
    <w:rsid w:val="00FA1CBD"/>
    <w:rsid w:val="00FA24E7"/>
    <w:rsid w:val="00FA5045"/>
    <w:rsid w:val="00FB2FCB"/>
    <w:rsid w:val="00FC0ADC"/>
    <w:rsid w:val="00FC1074"/>
    <w:rsid w:val="00FC1884"/>
    <w:rsid w:val="00FC19CF"/>
    <w:rsid w:val="00FC1DD9"/>
    <w:rsid w:val="00FC26BC"/>
    <w:rsid w:val="00FC345A"/>
    <w:rsid w:val="00FD2100"/>
    <w:rsid w:val="00FD446D"/>
    <w:rsid w:val="00FE0AA9"/>
    <w:rsid w:val="00FE14B0"/>
    <w:rsid w:val="00FE3BFA"/>
    <w:rsid w:val="00FE40BE"/>
    <w:rsid w:val="00FF3DCF"/>
    <w:rsid w:val="00FF4A9B"/>
    <w:rsid w:val="00FF5790"/>
    <w:rsid w:val="00FF5AA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List Paragraph" w:uiPriority="7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H2,Heading h2,h2,Heading 2x,p2 Char"/>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7B2778"/>
    <w:rPr>
      <w:sz w:val="28"/>
    </w:rPr>
  </w:style>
  <w:style w:type="character" w:customStyle="1" w:styleId="TitleChar">
    <w:name w:val="Title Char"/>
    <w:basedOn w:val="DefaultParagraphFont"/>
    <w:link w:val="Title"/>
    <w:rsid w:val="007B277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styleId="FootnoteText">
    <w:name w:val="footnote text"/>
    <w:basedOn w:val="Normal"/>
    <w:link w:val="FootnoteTextChar"/>
    <w:rsid w:val="00AE4DA0"/>
    <w:rPr>
      <w:rFonts w:ascii="Times New Roman" w:hAnsi="Times New Roman" w:cs="Times New Roman"/>
      <w:sz w:val="20"/>
    </w:rPr>
  </w:style>
  <w:style w:type="character" w:customStyle="1" w:styleId="FootnoteTextChar">
    <w:name w:val="Footnote Text Char"/>
    <w:basedOn w:val="DefaultParagraphFont"/>
    <w:link w:val="FootnoteText"/>
    <w:rsid w:val="00AE4DA0"/>
    <w:rPr>
      <w:snapToGrid w:val="0"/>
      <w:lang w:eastAsia="en-US"/>
    </w:rPr>
  </w:style>
  <w:style w:type="character" w:styleId="FootnoteReference">
    <w:name w:val="footnote reference"/>
    <w:rsid w:val="00AE4DA0"/>
    <w:rPr>
      <w:vertAlign w:val="superscript"/>
    </w:rPr>
  </w:style>
  <w:style w:type="character" w:styleId="FollowedHyperlink">
    <w:name w:val="FollowedHyperlink"/>
    <w:basedOn w:val="DefaultParagraphFont"/>
    <w:semiHidden/>
    <w:unhideWhenUsed/>
    <w:rsid w:val="00AE4DA0"/>
    <w:rPr>
      <w:color w:val="800080" w:themeColor="followedHyperlink"/>
      <w:u w:val="single"/>
    </w:rPr>
  </w:style>
  <w:style w:type="paragraph" w:customStyle="1" w:styleId="TableText1">
    <w:name w:val="Table Text"/>
    <w:basedOn w:val="Normal"/>
    <w:qFormat/>
    <w:rsid w:val="00485674"/>
    <w:pPr>
      <w:widowControl/>
      <w:spacing w:before="80" w:after="80"/>
      <w:jc w:val="left"/>
    </w:pPr>
    <w:rPr>
      <w:rFonts w:cs="Times New Roman"/>
      <w:snapToGrid/>
      <w:sz w:val="20"/>
      <w:szCs w:val="22"/>
      <w:lang w:eastAsia="en-AU"/>
    </w:rPr>
  </w:style>
  <w:style w:type="paragraph" w:customStyle="1" w:styleId="PBACheading10">
    <w:name w:val="PBAC heading 1"/>
    <w:uiPriority w:val="99"/>
    <w:qFormat/>
    <w:rsid w:val="00A653A5"/>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List Paragraph" w:uiPriority="7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H2,Heading h2,h2,Heading 2x,p2 Char"/>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7B2778"/>
    <w:rPr>
      <w:sz w:val="28"/>
    </w:rPr>
  </w:style>
  <w:style w:type="character" w:customStyle="1" w:styleId="TitleChar">
    <w:name w:val="Title Char"/>
    <w:basedOn w:val="DefaultParagraphFont"/>
    <w:link w:val="Title"/>
    <w:rsid w:val="007B277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styleId="FootnoteText">
    <w:name w:val="footnote text"/>
    <w:basedOn w:val="Normal"/>
    <w:link w:val="FootnoteTextChar"/>
    <w:rsid w:val="00AE4DA0"/>
    <w:rPr>
      <w:rFonts w:ascii="Times New Roman" w:hAnsi="Times New Roman" w:cs="Times New Roman"/>
      <w:sz w:val="20"/>
    </w:rPr>
  </w:style>
  <w:style w:type="character" w:customStyle="1" w:styleId="FootnoteTextChar">
    <w:name w:val="Footnote Text Char"/>
    <w:basedOn w:val="DefaultParagraphFont"/>
    <w:link w:val="FootnoteText"/>
    <w:rsid w:val="00AE4DA0"/>
    <w:rPr>
      <w:snapToGrid w:val="0"/>
      <w:lang w:eastAsia="en-US"/>
    </w:rPr>
  </w:style>
  <w:style w:type="character" w:styleId="FootnoteReference">
    <w:name w:val="footnote reference"/>
    <w:rsid w:val="00AE4DA0"/>
    <w:rPr>
      <w:vertAlign w:val="superscript"/>
    </w:rPr>
  </w:style>
  <w:style w:type="character" w:styleId="FollowedHyperlink">
    <w:name w:val="FollowedHyperlink"/>
    <w:basedOn w:val="DefaultParagraphFont"/>
    <w:semiHidden/>
    <w:unhideWhenUsed/>
    <w:rsid w:val="00AE4DA0"/>
    <w:rPr>
      <w:color w:val="800080" w:themeColor="followedHyperlink"/>
      <w:u w:val="single"/>
    </w:rPr>
  </w:style>
  <w:style w:type="paragraph" w:customStyle="1" w:styleId="TableText1">
    <w:name w:val="Table Text"/>
    <w:basedOn w:val="Normal"/>
    <w:qFormat/>
    <w:rsid w:val="00485674"/>
    <w:pPr>
      <w:widowControl/>
      <w:spacing w:before="80" w:after="80"/>
      <w:jc w:val="left"/>
    </w:pPr>
    <w:rPr>
      <w:rFonts w:cs="Times New Roman"/>
      <w:snapToGrid/>
      <w:sz w:val="20"/>
      <w:szCs w:val="22"/>
      <w:lang w:eastAsia="en-AU"/>
    </w:rPr>
  </w:style>
  <w:style w:type="paragraph" w:customStyle="1" w:styleId="PBACheading10">
    <w:name w:val="PBAC heading 1"/>
    <w:uiPriority w:val="99"/>
    <w:qFormat/>
    <w:rsid w:val="00A653A5"/>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777">
      <w:bodyDiv w:val="1"/>
      <w:marLeft w:val="0"/>
      <w:marRight w:val="0"/>
      <w:marTop w:val="0"/>
      <w:marBottom w:val="0"/>
      <w:divBdr>
        <w:top w:val="none" w:sz="0" w:space="0" w:color="auto"/>
        <w:left w:val="none" w:sz="0" w:space="0" w:color="auto"/>
        <w:bottom w:val="none" w:sz="0" w:space="0" w:color="auto"/>
        <w:right w:val="none" w:sz="0" w:space="0" w:color="auto"/>
      </w:divBdr>
    </w:div>
    <w:div w:id="13316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ptodate.com/contents/treatment-of-rheumatoid-arthritis-resistant-to-initial-dmard-therapy-in-adults?source=search_result&amp;search=tofacitinib&amp;selectedTitle=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1275-BEB3-43AC-9243-AF78BEB4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6312</Words>
  <Characters>35979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5.24 Tofacitinib</vt:lpstr>
    </vt:vector>
  </TitlesOfParts>
  <LinksUpToDate>false</LinksUpToDate>
  <CharactersWithSpaces>42207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 Tofacitinib</dc:title>
  <dc:creator/>
  <cp:lastModifiedBy/>
  <cp:revision>1</cp:revision>
  <dcterms:created xsi:type="dcterms:W3CDTF">2015-07-12T22:48:00Z</dcterms:created>
  <dcterms:modified xsi:type="dcterms:W3CDTF">2015-07-12T22:48:00Z</dcterms:modified>
</cp:coreProperties>
</file>