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6F" w:rsidRDefault="002E6F6F" w:rsidP="002E6F6F">
      <w:pPr>
        <w:pStyle w:val="Title"/>
      </w:pPr>
      <w:bookmarkStart w:id="0" w:name="_Toc409097575"/>
      <w:r w:rsidRPr="002E6F6F">
        <w:t xml:space="preserve">  </w:t>
      </w:r>
      <w:r w:rsidR="000C181F" w:rsidRPr="002E6F6F">
        <w:t>5.25</w:t>
      </w:r>
      <w:r w:rsidRPr="002E6F6F">
        <w:t xml:space="preserve"> </w:t>
      </w:r>
      <w:r w:rsidR="00B60939" w:rsidRPr="002E6F6F">
        <w:tab/>
      </w:r>
      <w:r w:rsidR="00D24C72" w:rsidRPr="002E6F6F">
        <w:t>VEDOLIZUMAB</w:t>
      </w:r>
    </w:p>
    <w:p w:rsidR="002E6F6F" w:rsidRPr="002E6F6F" w:rsidRDefault="002E6F6F" w:rsidP="002E6F6F">
      <w:pPr>
        <w:ind w:left="720" w:firstLine="720"/>
        <w:rPr>
          <w:b/>
          <w:sz w:val="28"/>
          <w:szCs w:val="28"/>
        </w:rPr>
      </w:pPr>
      <w:r w:rsidRPr="002E6F6F">
        <w:rPr>
          <w:b/>
          <w:sz w:val="28"/>
          <w:szCs w:val="28"/>
        </w:rPr>
        <w:t>300mg vial;</w:t>
      </w:r>
    </w:p>
    <w:p w:rsidR="00B60939" w:rsidRPr="002E6F6F" w:rsidRDefault="00D24C72" w:rsidP="002E6F6F">
      <w:pPr>
        <w:rPr>
          <w:b/>
          <w:sz w:val="28"/>
          <w:szCs w:val="28"/>
        </w:rPr>
      </w:pPr>
      <w:r w:rsidRPr="002E6F6F">
        <w:rPr>
          <w:b/>
          <w:sz w:val="28"/>
          <w:szCs w:val="28"/>
        </w:rPr>
        <w:t xml:space="preserve"> </w:t>
      </w:r>
      <w:r w:rsidR="002E6F6F">
        <w:rPr>
          <w:b/>
          <w:sz w:val="28"/>
          <w:szCs w:val="28"/>
        </w:rPr>
        <w:tab/>
      </w:r>
      <w:r w:rsidR="002E6F6F">
        <w:rPr>
          <w:b/>
          <w:sz w:val="28"/>
          <w:szCs w:val="28"/>
        </w:rPr>
        <w:tab/>
      </w:r>
      <w:proofErr w:type="spellStart"/>
      <w:proofErr w:type="gramStart"/>
      <w:r w:rsidRPr="002E6F6F">
        <w:rPr>
          <w:b/>
          <w:sz w:val="28"/>
          <w:szCs w:val="28"/>
        </w:rPr>
        <w:t>Entyvio</w:t>
      </w:r>
      <w:proofErr w:type="spellEnd"/>
      <w:r w:rsidRPr="002E6F6F">
        <w:rPr>
          <w:b/>
          <w:sz w:val="28"/>
          <w:szCs w:val="28"/>
        </w:rPr>
        <w:t>®</w:t>
      </w:r>
      <w:r w:rsidR="002E6F6F" w:rsidRPr="002E6F6F">
        <w:rPr>
          <w:b/>
          <w:sz w:val="28"/>
          <w:szCs w:val="28"/>
        </w:rPr>
        <w:t>;</w:t>
      </w:r>
      <w:r w:rsidRPr="002E6F6F">
        <w:rPr>
          <w:b/>
          <w:sz w:val="28"/>
          <w:szCs w:val="28"/>
        </w:rPr>
        <w:t xml:space="preserve"> Takeda Pharmaceuticals Australia</w:t>
      </w:r>
      <w:bookmarkEnd w:id="0"/>
      <w:r w:rsidR="00786C79" w:rsidRPr="002E6F6F">
        <w:rPr>
          <w:b/>
          <w:sz w:val="28"/>
          <w:szCs w:val="28"/>
        </w:rPr>
        <w:t>.</w:t>
      </w:r>
      <w:proofErr w:type="gramEnd"/>
    </w:p>
    <w:p w:rsidR="00433044" w:rsidRDefault="00433044" w:rsidP="00281014">
      <w:pPr>
        <w:pStyle w:val="BodyText"/>
      </w:pPr>
    </w:p>
    <w:p w:rsidR="0005097C" w:rsidRDefault="0005097C" w:rsidP="00E54A0A">
      <w:pPr>
        <w:pStyle w:val="PBACHeading1"/>
        <w:numPr>
          <w:ilvl w:val="0"/>
          <w:numId w:val="0"/>
        </w:numPr>
      </w:pPr>
      <w:bookmarkStart w:id="1" w:name="_Toc409097577"/>
    </w:p>
    <w:p w:rsidR="00B60939" w:rsidRPr="00984C78" w:rsidRDefault="00B50DB8" w:rsidP="00B60939">
      <w:pPr>
        <w:pStyle w:val="PBACHeading1"/>
      </w:pPr>
      <w:r w:rsidRPr="00984C78">
        <w:t>Purpose of Application</w:t>
      </w:r>
      <w:bookmarkEnd w:id="1"/>
    </w:p>
    <w:p w:rsidR="006C5584" w:rsidRPr="00984C78" w:rsidRDefault="006C5584" w:rsidP="006C5584">
      <w:pPr>
        <w:pStyle w:val="PBACHeading1"/>
        <w:numPr>
          <w:ilvl w:val="0"/>
          <w:numId w:val="0"/>
        </w:numPr>
        <w:ind w:left="720"/>
      </w:pPr>
    </w:p>
    <w:p w:rsidR="002C2775" w:rsidRPr="00984C78" w:rsidRDefault="00423CFB" w:rsidP="006B764E">
      <w:pPr>
        <w:pStyle w:val="ListParagraph"/>
        <w:widowControl/>
        <w:numPr>
          <w:ilvl w:val="1"/>
          <w:numId w:val="3"/>
        </w:numPr>
        <w:rPr>
          <w:szCs w:val="22"/>
        </w:rPr>
      </w:pPr>
      <w:r>
        <w:t xml:space="preserve">The submission requested a </w:t>
      </w:r>
      <w:r w:rsidR="001E238E" w:rsidRPr="00984C78">
        <w:t xml:space="preserve">Section 100, Authority </w:t>
      </w:r>
      <w:proofErr w:type="gramStart"/>
      <w:r w:rsidR="001E238E" w:rsidRPr="00984C78">
        <w:t>Required</w:t>
      </w:r>
      <w:proofErr w:type="gramEnd"/>
      <w:r w:rsidR="00D24C72" w:rsidRPr="00984C78">
        <w:t xml:space="preserve"> </w:t>
      </w:r>
      <w:r w:rsidR="001E238E" w:rsidRPr="00984C78">
        <w:t xml:space="preserve">listing for </w:t>
      </w:r>
      <w:proofErr w:type="spellStart"/>
      <w:r w:rsidR="00D24C72" w:rsidRPr="00984C78">
        <w:t>vedolizumab</w:t>
      </w:r>
      <w:proofErr w:type="spellEnd"/>
      <w:r w:rsidR="001E238E" w:rsidRPr="00984C78">
        <w:t xml:space="preserve"> for </w:t>
      </w:r>
      <w:r w:rsidR="00786C79">
        <w:t xml:space="preserve">the </w:t>
      </w:r>
      <w:r w:rsidR="001E238E" w:rsidRPr="00984C78">
        <w:t xml:space="preserve">treatment of </w:t>
      </w:r>
      <w:r w:rsidR="00D24C72" w:rsidRPr="00984C78">
        <w:t xml:space="preserve">moderate to severe </w:t>
      </w:r>
      <w:r w:rsidR="00D73962">
        <w:t>Crohn’s</w:t>
      </w:r>
      <w:r w:rsidR="00D24C72" w:rsidRPr="00984C78">
        <w:t xml:space="preserve"> disease</w:t>
      </w:r>
      <w:r w:rsidR="001E238E" w:rsidRPr="00984C78">
        <w:t>.</w:t>
      </w:r>
    </w:p>
    <w:p w:rsidR="004E43B2" w:rsidRPr="00984C78" w:rsidRDefault="004E43B2" w:rsidP="004B1CB4"/>
    <w:p w:rsidR="00941813" w:rsidRPr="00984C78" w:rsidRDefault="00941813" w:rsidP="004B1CB4"/>
    <w:p w:rsidR="00B60939" w:rsidRPr="00984C78" w:rsidRDefault="00B50DB8" w:rsidP="004B1CB4">
      <w:pPr>
        <w:pStyle w:val="PBACHeading1"/>
      </w:pPr>
      <w:bookmarkStart w:id="2" w:name="_Toc409097578"/>
      <w:r w:rsidRPr="00984C78">
        <w:t>Requested listing</w:t>
      </w:r>
      <w:bookmarkEnd w:id="2"/>
    </w:p>
    <w:p w:rsidR="006C5584" w:rsidRPr="00984C78" w:rsidRDefault="006C5584" w:rsidP="006C5584">
      <w:pPr>
        <w:pStyle w:val="PBACHeading1"/>
        <w:numPr>
          <w:ilvl w:val="0"/>
          <w:numId w:val="0"/>
        </w:numPr>
        <w:ind w:left="720"/>
      </w:pPr>
    </w:p>
    <w:p w:rsidR="00617E12" w:rsidRPr="00984C78" w:rsidRDefault="00320462" w:rsidP="006B764E">
      <w:pPr>
        <w:pStyle w:val="ListParagraph"/>
        <w:widowControl/>
        <w:numPr>
          <w:ilvl w:val="1"/>
          <w:numId w:val="3"/>
        </w:numPr>
        <w:rPr>
          <w:szCs w:val="22"/>
        </w:rPr>
      </w:pPr>
      <w:r w:rsidRPr="00984C78">
        <w:rPr>
          <w:szCs w:val="22"/>
        </w:rPr>
        <w:t>T</w:t>
      </w:r>
      <w:r w:rsidR="00122E30" w:rsidRPr="00984C78">
        <w:rPr>
          <w:szCs w:val="22"/>
        </w:rPr>
        <w:t>he proposed restriction</w:t>
      </w:r>
      <w:r w:rsidRPr="00984C78">
        <w:rPr>
          <w:szCs w:val="22"/>
        </w:rPr>
        <w:t xml:space="preserve"> is presented below</w:t>
      </w:r>
      <w:r w:rsidR="00122E30" w:rsidRPr="00984C78">
        <w:rPr>
          <w:szCs w:val="22"/>
        </w:rPr>
        <w:t xml:space="preserve">. </w:t>
      </w:r>
    </w:p>
    <w:p w:rsidR="00617E12" w:rsidRPr="00984C78" w:rsidRDefault="00617E12" w:rsidP="00617E12"/>
    <w:tbl>
      <w:tblPr>
        <w:tblW w:w="4604" w:type="pct"/>
        <w:tblInd w:w="737" w:type="dxa"/>
        <w:tblCellMar>
          <w:left w:w="28" w:type="dxa"/>
          <w:right w:w="28" w:type="dxa"/>
        </w:tblCellMar>
        <w:tblLook w:val="0000" w:firstRow="0" w:lastRow="0" w:firstColumn="0" w:lastColumn="0" w:noHBand="0" w:noVBand="0"/>
      </w:tblPr>
      <w:tblGrid>
        <w:gridCol w:w="3096"/>
        <w:gridCol w:w="685"/>
        <w:gridCol w:w="828"/>
        <w:gridCol w:w="1507"/>
        <w:gridCol w:w="712"/>
        <w:gridCol w:w="1535"/>
      </w:tblGrid>
      <w:tr w:rsidR="00B50DB8" w:rsidRPr="00984C78">
        <w:trPr>
          <w:cantSplit/>
          <w:trHeight w:val="463"/>
        </w:trPr>
        <w:tc>
          <w:tcPr>
            <w:tcW w:w="1865" w:type="pct"/>
            <w:tcBorders>
              <w:bottom w:val="single" w:sz="4" w:space="0" w:color="auto"/>
            </w:tcBorders>
            <w:vAlign w:val="center"/>
          </w:tcPr>
          <w:p w:rsidR="00617E12" w:rsidRPr="00984C78" w:rsidRDefault="00617E12" w:rsidP="00617E12">
            <w:pPr>
              <w:keepNext/>
              <w:jc w:val="left"/>
              <w:rPr>
                <w:sz w:val="20"/>
              </w:rPr>
            </w:pPr>
            <w:r w:rsidRPr="00984C78">
              <w:rPr>
                <w:sz w:val="20"/>
              </w:rPr>
              <w:t>Name, Restriction,</w:t>
            </w:r>
          </w:p>
          <w:p w:rsidR="00617E12" w:rsidRPr="00984C78" w:rsidRDefault="00617E12" w:rsidP="00617E12">
            <w:pPr>
              <w:keepNext/>
              <w:jc w:val="left"/>
              <w:rPr>
                <w:sz w:val="20"/>
              </w:rPr>
            </w:pPr>
            <w:r w:rsidRPr="00984C78">
              <w:rPr>
                <w:sz w:val="20"/>
              </w:rPr>
              <w:t>Manner of administration and form</w:t>
            </w:r>
          </w:p>
        </w:tc>
        <w:tc>
          <w:tcPr>
            <w:tcW w:w="423" w:type="pct"/>
            <w:tcBorders>
              <w:bottom w:val="single" w:sz="4" w:space="0" w:color="auto"/>
            </w:tcBorders>
            <w:vAlign w:val="center"/>
          </w:tcPr>
          <w:p w:rsidR="00617E12" w:rsidRPr="00984C78" w:rsidRDefault="00617E12" w:rsidP="00617E12">
            <w:pPr>
              <w:keepNext/>
              <w:jc w:val="center"/>
              <w:rPr>
                <w:sz w:val="20"/>
              </w:rPr>
            </w:pPr>
            <w:r w:rsidRPr="00984C78">
              <w:rPr>
                <w:sz w:val="20"/>
              </w:rPr>
              <w:t>Max.</w:t>
            </w:r>
          </w:p>
          <w:p w:rsidR="00617E12" w:rsidRPr="00984C78" w:rsidRDefault="00617E12" w:rsidP="00617E12">
            <w:pPr>
              <w:keepNext/>
              <w:jc w:val="center"/>
              <w:rPr>
                <w:sz w:val="20"/>
              </w:rPr>
            </w:pPr>
            <w:proofErr w:type="spellStart"/>
            <w:r w:rsidRPr="00984C78">
              <w:rPr>
                <w:sz w:val="20"/>
              </w:rPr>
              <w:t>Qty</w:t>
            </w:r>
            <w:proofErr w:type="spellEnd"/>
          </w:p>
        </w:tc>
        <w:tc>
          <w:tcPr>
            <w:tcW w:w="509" w:type="pct"/>
            <w:tcBorders>
              <w:bottom w:val="single" w:sz="4" w:space="0" w:color="auto"/>
            </w:tcBorders>
            <w:vAlign w:val="center"/>
          </w:tcPr>
          <w:p w:rsidR="00617E12" w:rsidRPr="00984C78" w:rsidRDefault="00617E12" w:rsidP="00617E12">
            <w:pPr>
              <w:keepNext/>
              <w:jc w:val="center"/>
              <w:rPr>
                <w:sz w:val="20"/>
              </w:rPr>
            </w:pPr>
            <w:r w:rsidRPr="00984C78">
              <w:rPr>
                <w:sz w:val="20"/>
              </w:rPr>
              <w:t>№.of</w:t>
            </w:r>
          </w:p>
          <w:p w:rsidR="00617E12" w:rsidRPr="00984C78" w:rsidRDefault="00617E12" w:rsidP="00617E12">
            <w:pPr>
              <w:keepNext/>
              <w:jc w:val="center"/>
              <w:rPr>
                <w:sz w:val="20"/>
              </w:rPr>
            </w:pPr>
            <w:proofErr w:type="spellStart"/>
            <w:r w:rsidRPr="00984C78">
              <w:rPr>
                <w:sz w:val="20"/>
              </w:rPr>
              <w:t>Rpts</w:t>
            </w:r>
            <w:proofErr w:type="spellEnd"/>
          </w:p>
        </w:tc>
        <w:tc>
          <w:tcPr>
            <w:tcW w:w="914" w:type="pct"/>
            <w:tcBorders>
              <w:bottom w:val="single" w:sz="4" w:space="0" w:color="auto"/>
            </w:tcBorders>
            <w:vAlign w:val="center"/>
          </w:tcPr>
          <w:p w:rsidR="00617E12" w:rsidRPr="00984C78" w:rsidRDefault="00617E12" w:rsidP="00617E12">
            <w:pPr>
              <w:keepNext/>
              <w:jc w:val="center"/>
              <w:rPr>
                <w:sz w:val="20"/>
              </w:rPr>
            </w:pPr>
            <w:r w:rsidRPr="00984C78">
              <w:rPr>
                <w:sz w:val="20"/>
              </w:rPr>
              <w:t xml:space="preserve">Dispensed Price for Max. </w:t>
            </w:r>
            <w:proofErr w:type="spellStart"/>
            <w:r w:rsidRPr="00984C78">
              <w:rPr>
                <w:sz w:val="20"/>
              </w:rPr>
              <w:t>Qty</w:t>
            </w:r>
            <w:proofErr w:type="spellEnd"/>
          </w:p>
        </w:tc>
        <w:tc>
          <w:tcPr>
            <w:tcW w:w="1289" w:type="pct"/>
            <w:gridSpan w:val="2"/>
            <w:tcBorders>
              <w:bottom w:val="single" w:sz="4" w:space="0" w:color="auto"/>
            </w:tcBorders>
            <w:vAlign w:val="center"/>
          </w:tcPr>
          <w:p w:rsidR="00617E12" w:rsidRPr="00984C78" w:rsidRDefault="00617E12" w:rsidP="00617E12">
            <w:pPr>
              <w:keepNext/>
              <w:jc w:val="center"/>
              <w:rPr>
                <w:sz w:val="20"/>
              </w:rPr>
            </w:pPr>
            <w:r w:rsidRPr="00984C78">
              <w:rPr>
                <w:sz w:val="20"/>
              </w:rPr>
              <w:t>Proprietary Name and Manufacturer</w:t>
            </w:r>
          </w:p>
        </w:tc>
      </w:tr>
      <w:tr w:rsidR="00C54996" w:rsidRPr="00984C78">
        <w:trPr>
          <w:cantSplit/>
          <w:trHeight w:val="567"/>
        </w:trPr>
        <w:tc>
          <w:tcPr>
            <w:tcW w:w="1865" w:type="pct"/>
          </w:tcPr>
          <w:p w:rsidR="00C54996" w:rsidRPr="00984C78" w:rsidRDefault="00C54996" w:rsidP="000F52B6">
            <w:pPr>
              <w:keepNext/>
              <w:rPr>
                <w:sz w:val="20"/>
              </w:rPr>
            </w:pPr>
            <w:proofErr w:type="spellStart"/>
            <w:r w:rsidRPr="00984C78">
              <w:rPr>
                <w:smallCaps/>
                <w:sz w:val="20"/>
              </w:rPr>
              <w:t>Vedolizumab</w:t>
            </w:r>
            <w:proofErr w:type="spellEnd"/>
          </w:p>
          <w:p w:rsidR="00C54996" w:rsidRPr="00984C78" w:rsidRDefault="00C54996" w:rsidP="00617E12">
            <w:pPr>
              <w:keepNext/>
              <w:jc w:val="left"/>
              <w:rPr>
                <w:sz w:val="20"/>
              </w:rPr>
            </w:pPr>
            <w:r w:rsidRPr="00984C78">
              <w:rPr>
                <w:sz w:val="20"/>
              </w:rPr>
              <w:t>300mg injection, 1 x 300 mg vial</w:t>
            </w:r>
          </w:p>
        </w:tc>
        <w:tc>
          <w:tcPr>
            <w:tcW w:w="423" w:type="pct"/>
          </w:tcPr>
          <w:p w:rsidR="00C54996" w:rsidRPr="00984C78" w:rsidRDefault="00C54996" w:rsidP="000F52B6">
            <w:pPr>
              <w:keepNext/>
              <w:jc w:val="center"/>
              <w:rPr>
                <w:sz w:val="20"/>
              </w:rPr>
            </w:pPr>
          </w:p>
          <w:p w:rsidR="00C54996" w:rsidRPr="00984C78" w:rsidRDefault="00C54996" w:rsidP="00617E12">
            <w:pPr>
              <w:keepNext/>
              <w:jc w:val="center"/>
              <w:rPr>
                <w:sz w:val="20"/>
              </w:rPr>
            </w:pPr>
            <w:r w:rsidRPr="00984C78">
              <w:rPr>
                <w:sz w:val="20"/>
              </w:rPr>
              <w:t>1</w:t>
            </w:r>
          </w:p>
        </w:tc>
        <w:tc>
          <w:tcPr>
            <w:tcW w:w="509" w:type="pct"/>
          </w:tcPr>
          <w:p w:rsidR="00C54996" w:rsidRPr="00984C78" w:rsidRDefault="00C54996" w:rsidP="000F52B6">
            <w:pPr>
              <w:keepNext/>
              <w:jc w:val="center"/>
              <w:rPr>
                <w:sz w:val="20"/>
              </w:rPr>
            </w:pPr>
          </w:p>
          <w:p w:rsidR="00C54996" w:rsidRPr="00984C78" w:rsidRDefault="00C54996" w:rsidP="00617E12">
            <w:pPr>
              <w:keepNext/>
              <w:jc w:val="center"/>
              <w:rPr>
                <w:sz w:val="20"/>
              </w:rPr>
            </w:pPr>
            <w:r w:rsidRPr="00984C78">
              <w:rPr>
                <w:sz w:val="20"/>
              </w:rPr>
              <w:t>0</w:t>
            </w:r>
          </w:p>
        </w:tc>
        <w:tc>
          <w:tcPr>
            <w:tcW w:w="914" w:type="pct"/>
          </w:tcPr>
          <w:p w:rsidR="00C54996" w:rsidRPr="00984C78" w:rsidRDefault="00C54996" w:rsidP="000F52B6">
            <w:pPr>
              <w:keepNext/>
              <w:jc w:val="center"/>
              <w:rPr>
                <w:sz w:val="20"/>
              </w:rPr>
            </w:pPr>
          </w:p>
          <w:p w:rsidR="00C54996" w:rsidRPr="00984C78" w:rsidRDefault="00C54996" w:rsidP="00617E12">
            <w:pPr>
              <w:keepNext/>
              <w:jc w:val="center"/>
              <w:rPr>
                <w:sz w:val="20"/>
              </w:rPr>
            </w:pPr>
            <w:r w:rsidRPr="00984C78">
              <w:rPr>
                <w:sz w:val="20"/>
              </w:rPr>
              <w:t>$</w:t>
            </w:r>
            <w:r w:rsidR="004165CE">
              <w:rPr>
                <w:noProof/>
                <w:color w:val="000000"/>
                <w:sz w:val="20"/>
                <w:highlight w:val="black"/>
              </w:rPr>
              <w:t>'''''''''''''''''''''</w:t>
            </w:r>
          </w:p>
        </w:tc>
        <w:tc>
          <w:tcPr>
            <w:tcW w:w="393" w:type="pct"/>
          </w:tcPr>
          <w:p w:rsidR="00C54996" w:rsidRPr="00984C78" w:rsidRDefault="00C54996" w:rsidP="00617E12">
            <w:pPr>
              <w:keepNext/>
              <w:jc w:val="center"/>
              <w:rPr>
                <w:sz w:val="20"/>
              </w:rPr>
            </w:pPr>
            <w:proofErr w:type="spellStart"/>
            <w:r w:rsidRPr="00984C78">
              <w:rPr>
                <w:sz w:val="20"/>
              </w:rPr>
              <w:t>Entyvio</w:t>
            </w:r>
            <w:proofErr w:type="spellEnd"/>
          </w:p>
        </w:tc>
        <w:tc>
          <w:tcPr>
            <w:tcW w:w="896" w:type="pct"/>
          </w:tcPr>
          <w:p w:rsidR="00C54996" w:rsidRPr="00984C78" w:rsidRDefault="00C54996" w:rsidP="00617E12">
            <w:pPr>
              <w:keepNext/>
              <w:jc w:val="center"/>
              <w:rPr>
                <w:sz w:val="20"/>
              </w:rPr>
            </w:pPr>
            <w:r w:rsidRPr="00984C78">
              <w:rPr>
                <w:sz w:val="20"/>
              </w:rPr>
              <w:t>Takeda Pharmaceuticals</w:t>
            </w:r>
          </w:p>
        </w:tc>
      </w:tr>
      <w:tr w:rsidR="00617E12" w:rsidRPr="00984C78">
        <w:trPr>
          <w:cantSplit/>
          <w:trHeight w:val="354"/>
        </w:trPr>
        <w:tc>
          <w:tcPr>
            <w:tcW w:w="5000" w:type="pct"/>
            <w:gridSpan w:val="6"/>
            <w:vAlign w:val="center"/>
          </w:tcPr>
          <w:p w:rsidR="00617E12" w:rsidRPr="00984C78" w:rsidRDefault="00C54996" w:rsidP="00617E12">
            <w:pPr>
              <w:jc w:val="left"/>
              <w:rPr>
                <w:sz w:val="20"/>
              </w:rPr>
            </w:pPr>
            <w:r w:rsidRPr="00984C78">
              <w:rPr>
                <w:b/>
                <w:sz w:val="20"/>
                <w:u w:val="single"/>
              </w:rPr>
              <w:t>Section 100 Highly Specialised Drugs Program, public hospitals</w:t>
            </w:r>
          </w:p>
        </w:tc>
      </w:tr>
    </w:tbl>
    <w:p w:rsidR="00B60939" w:rsidRPr="00984C78" w:rsidRDefault="00B60939" w:rsidP="004B1CB4"/>
    <w:tbl>
      <w:tblPr>
        <w:tblW w:w="4604" w:type="pct"/>
        <w:tblInd w:w="737" w:type="dxa"/>
        <w:tblCellMar>
          <w:left w:w="28" w:type="dxa"/>
          <w:right w:w="28" w:type="dxa"/>
        </w:tblCellMar>
        <w:tblLook w:val="0000" w:firstRow="0" w:lastRow="0" w:firstColumn="0" w:lastColumn="0" w:noHBand="0" w:noVBand="0"/>
      </w:tblPr>
      <w:tblGrid>
        <w:gridCol w:w="3094"/>
        <w:gridCol w:w="686"/>
        <w:gridCol w:w="828"/>
        <w:gridCol w:w="1507"/>
        <w:gridCol w:w="713"/>
        <w:gridCol w:w="1535"/>
      </w:tblGrid>
      <w:tr w:rsidR="00C54996" w:rsidRPr="00984C78">
        <w:trPr>
          <w:cantSplit/>
          <w:trHeight w:val="463"/>
        </w:trPr>
        <w:tc>
          <w:tcPr>
            <w:tcW w:w="1850" w:type="pct"/>
            <w:tcBorders>
              <w:bottom w:val="single" w:sz="4" w:space="0" w:color="auto"/>
            </w:tcBorders>
            <w:vAlign w:val="center"/>
          </w:tcPr>
          <w:p w:rsidR="00C54996" w:rsidRPr="00984C78" w:rsidRDefault="00C54996" w:rsidP="000F52B6">
            <w:pPr>
              <w:keepNext/>
              <w:jc w:val="left"/>
              <w:rPr>
                <w:sz w:val="20"/>
              </w:rPr>
            </w:pPr>
            <w:r w:rsidRPr="00984C78">
              <w:rPr>
                <w:sz w:val="20"/>
              </w:rPr>
              <w:t>Name, Restriction,</w:t>
            </w:r>
          </w:p>
          <w:p w:rsidR="00C54996" w:rsidRPr="00984C78" w:rsidRDefault="00C54996" w:rsidP="000F52B6">
            <w:pPr>
              <w:keepNext/>
              <w:jc w:val="left"/>
              <w:rPr>
                <w:sz w:val="20"/>
              </w:rPr>
            </w:pPr>
            <w:r w:rsidRPr="00984C78">
              <w:rPr>
                <w:sz w:val="20"/>
              </w:rPr>
              <w:t>Manner of administration and form</w:t>
            </w:r>
          </w:p>
        </w:tc>
        <w:tc>
          <w:tcPr>
            <w:tcW w:w="410" w:type="pct"/>
            <w:tcBorders>
              <w:bottom w:val="single" w:sz="4" w:space="0" w:color="auto"/>
            </w:tcBorders>
            <w:vAlign w:val="center"/>
          </w:tcPr>
          <w:p w:rsidR="00C54996" w:rsidRPr="00984C78" w:rsidRDefault="00C54996" w:rsidP="000F52B6">
            <w:pPr>
              <w:keepNext/>
              <w:jc w:val="center"/>
              <w:rPr>
                <w:sz w:val="20"/>
              </w:rPr>
            </w:pPr>
            <w:r w:rsidRPr="00984C78">
              <w:rPr>
                <w:sz w:val="20"/>
              </w:rPr>
              <w:t>Max.</w:t>
            </w:r>
          </w:p>
          <w:p w:rsidR="00C54996" w:rsidRPr="00984C78" w:rsidRDefault="00C54996" w:rsidP="000F52B6">
            <w:pPr>
              <w:keepNext/>
              <w:jc w:val="center"/>
              <w:rPr>
                <w:sz w:val="20"/>
              </w:rPr>
            </w:pPr>
            <w:proofErr w:type="spellStart"/>
            <w:r w:rsidRPr="00984C78">
              <w:rPr>
                <w:sz w:val="20"/>
              </w:rPr>
              <w:t>Qty</w:t>
            </w:r>
            <w:proofErr w:type="spellEnd"/>
          </w:p>
        </w:tc>
        <w:tc>
          <w:tcPr>
            <w:tcW w:w="495" w:type="pct"/>
            <w:tcBorders>
              <w:bottom w:val="single" w:sz="4" w:space="0" w:color="auto"/>
            </w:tcBorders>
            <w:vAlign w:val="center"/>
          </w:tcPr>
          <w:p w:rsidR="00C54996" w:rsidRPr="00984C78" w:rsidRDefault="00C54996" w:rsidP="000F52B6">
            <w:pPr>
              <w:keepNext/>
              <w:jc w:val="center"/>
              <w:rPr>
                <w:sz w:val="20"/>
              </w:rPr>
            </w:pPr>
            <w:r w:rsidRPr="00984C78">
              <w:rPr>
                <w:sz w:val="20"/>
              </w:rPr>
              <w:t>№.of</w:t>
            </w:r>
          </w:p>
          <w:p w:rsidR="00C54996" w:rsidRPr="00984C78" w:rsidRDefault="00C54996" w:rsidP="000F52B6">
            <w:pPr>
              <w:keepNext/>
              <w:jc w:val="center"/>
              <w:rPr>
                <w:sz w:val="20"/>
              </w:rPr>
            </w:pPr>
            <w:proofErr w:type="spellStart"/>
            <w:r w:rsidRPr="00984C78">
              <w:rPr>
                <w:sz w:val="20"/>
              </w:rPr>
              <w:t>Rpts</w:t>
            </w:r>
            <w:proofErr w:type="spellEnd"/>
          </w:p>
        </w:tc>
        <w:tc>
          <w:tcPr>
            <w:tcW w:w="901" w:type="pct"/>
            <w:tcBorders>
              <w:bottom w:val="single" w:sz="4" w:space="0" w:color="auto"/>
            </w:tcBorders>
            <w:vAlign w:val="center"/>
          </w:tcPr>
          <w:p w:rsidR="00C54996" w:rsidRPr="00984C78" w:rsidRDefault="00C54996" w:rsidP="000F52B6">
            <w:pPr>
              <w:keepNext/>
              <w:jc w:val="center"/>
              <w:rPr>
                <w:sz w:val="20"/>
              </w:rPr>
            </w:pPr>
            <w:r w:rsidRPr="00984C78">
              <w:rPr>
                <w:sz w:val="20"/>
              </w:rPr>
              <w:t xml:space="preserve">Dispensed Price for Max. </w:t>
            </w:r>
            <w:proofErr w:type="spellStart"/>
            <w:r w:rsidRPr="00984C78">
              <w:rPr>
                <w:sz w:val="20"/>
              </w:rPr>
              <w:t>Qty</w:t>
            </w:r>
            <w:proofErr w:type="spellEnd"/>
          </w:p>
        </w:tc>
        <w:tc>
          <w:tcPr>
            <w:tcW w:w="1344" w:type="pct"/>
            <w:gridSpan w:val="2"/>
            <w:tcBorders>
              <w:bottom w:val="single" w:sz="4" w:space="0" w:color="auto"/>
            </w:tcBorders>
            <w:vAlign w:val="center"/>
          </w:tcPr>
          <w:p w:rsidR="00C54996" w:rsidRPr="00984C78" w:rsidRDefault="00C54996" w:rsidP="000F52B6">
            <w:pPr>
              <w:keepNext/>
              <w:jc w:val="center"/>
              <w:rPr>
                <w:sz w:val="20"/>
              </w:rPr>
            </w:pPr>
            <w:r w:rsidRPr="00984C78">
              <w:rPr>
                <w:sz w:val="20"/>
              </w:rPr>
              <w:t>Proprietary Name and Manufacturer</w:t>
            </w:r>
          </w:p>
        </w:tc>
      </w:tr>
      <w:tr w:rsidR="00C54996" w:rsidRPr="00984C78">
        <w:trPr>
          <w:cantSplit/>
          <w:trHeight w:val="567"/>
        </w:trPr>
        <w:tc>
          <w:tcPr>
            <w:tcW w:w="1850" w:type="pct"/>
          </w:tcPr>
          <w:p w:rsidR="00C54996" w:rsidRPr="00984C78" w:rsidRDefault="00C54996" w:rsidP="000F52B6">
            <w:pPr>
              <w:keepNext/>
              <w:rPr>
                <w:sz w:val="20"/>
              </w:rPr>
            </w:pPr>
            <w:proofErr w:type="spellStart"/>
            <w:r w:rsidRPr="00984C78">
              <w:rPr>
                <w:smallCaps/>
                <w:sz w:val="20"/>
              </w:rPr>
              <w:t>Vedolizumab</w:t>
            </w:r>
            <w:proofErr w:type="spellEnd"/>
          </w:p>
          <w:p w:rsidR="00C54996" w:rsidRPr="00984C78" w:rsidRDefault="00C54996" w:rsidP="000F52B6">
            <w:pPr>
              <w:keepNext/>
              <w:jc w:val="left"/>
              <w:rPr>
                <w:sz w:val="20"/>
              </w:rPr>
            </w:pPr>
            <w:r w:rsidRPr="00984C78">
              <w:rPr>
                <w:sz w:val="20"/>
              </w:rPr>
              <w:t>300mg injection, 1 x 300 mg vial</w:t>
            </w:r>
          </w:p>
        </w:tc>
        <w:tc>
          <w:tcPr>
            <w:tcW w:w="410" w:type="pct"/>
          </w:tcPr>
          <w:p w:rsidR="00C54996" w:rsidRPr="00984C78" w:rsidRDefault="00C54996" w:rsidP="000F52B6">
            <w:pPr>
              <w:keepNext/>
              <w:jc w:val="center"/>
              <w:rPr>
                <w:sz w:val="20"/>
              </w:rPr>
            </w:pPr>
          </w:p>
          <w:p w:rsidR="00C54996" w:rsidRPr="00984C78" w:rsidRDefault="00C54996" w:rsidP="000F52B6">
            <w:pPr>
              <w:keepNext/>
              <w:jc w:val="center"/>
              <w:rPr>
                <w:sz w:val="20"/>
              </w:rPr>
            </w:pPr>
            <w:r w:rsidRPr="00984C78">
              <w:rPr>
                <w:sz w:val="20"/>
              </w:rPr>
              <w:t>1</w:t>
            </w:r>
          </w:p>
        </w:tc>
        <w:tc>
          <w:tcPr>
            <w:tcW w:w="495" w:type="pct"/>
          </w:tcPr>
          <w:p w:rsidR="00C54996" w:rsidRPr="00984C78" w:rsidRDefault="00C54996" w:rsidP="000F52B6">
            <w:pPr>
              <w:keepNext/>
              <w:jc w:val="center"/>
              <w:rPr>
                <w:sz w:val="20"/>
              </w:rPr>
            </w:pPr>
          </w:p>
          <w:p w:rsidR="00C54996" w:rsidRPr="00984C78" w:rsidRDefault="00C54996" w:rsidP="000F52B6">
            <w:pPr>
              <w:keepNext/>
              <w:jc w:val="center"/>
              <w:rPr>
                <w:sz w:val="20"/>
              </w:rPr>
            </w:pPr>
            <w:r w:rsidRPr="00984C78">
              <w:rPr>
                <w:sz w:val="20"/>
              </w:rPr>
              <w:t>0</w:t>
            </w:r>
          </w:p>
        </w:tc>
        <w:tc>
          <w:tcPr>
            <w:tcW w:w="901" w:type="pct"/>
          </w:tcPr>
          <w:p w:rsidR="00C54996" w:rsidRPr="00984C78" w:rsidRDefault="00C54996" w:rsidP="000F52B6">
            <w:pPr>
              <w:keepNext/>
              <w:jc w:val="center"/>
              <w:rPr>
                <w:sz w:val="20"/>
              </w:rPr>
            </w:pPr>
          </w:p>
          <w:p w:rsidR="00C54996" w:rsidRPr="00984C78" w:rsidRDefault="00C54996" w:rsidP="000F52B6">
            <w:pPr>
              <w:keepNext/>
              <w:jc w:val="center"/>
              <w:rPr>
                <w:sz w:val="20"/>
              </w:rPr>
            </w:pPr>
            <w:r w:rsidRPr="00984C78">
              <w:rPr>
                <w:sz w:val="20"/>
              </w:rPr>
              <w:t>$</w:t>
            </w:r>
            <w:r w:rsidR="004165CE">
              <w:rPr>
                <w:noProof/>
                <w:color w:val="000000"/>
                <w:sz w:val="20"/>
                <w:highlight w:val="black"/>
              </w:rPr>
              <w:t>''''''''''''''''''''</w:t>
            </w:r>
          </w:p>
        </w:tc>
        <w:tc>
          <w:tcPr>
            <w:tcW w:w="426" w:type="pct"/>
          </w:tcPr>
          <w:p w:rsidR="00C54996" w:rsidRPr="00984C78" w:rsidRDefault="00C54996" w:rsidP="000F52B6">
            <w:pPr>
              <w:keepNext/>
              <w:jc w:val="center"/>
              <w:rPr>
                <w:sz w:val="20"/>
              </w:rPr>
            </w:pPr>
            <w:proofErr w:type="spellStart"/>
            <w:r w:rsidRPr="00984C78">
              <w:rPr>
                <w:sz w:val="20"/>
              </w:rPr>
              <w:t>Entyvio</w:t>
            </w:r>
            <w:proofErr w:type="spellEnd"/>
          </w:p>
        </w:tc>
        <w:tc>
          <w:tcPr>
            <w:tcW w:w="918" w:type="pct"/>
          </w:tcPr>
          <w:p w:rsidR="00C54996" w:rsidRPr="00984C78" w:rsidRDefault="00C54996" w:rsidP="000F52B6">
            <w:pPr>
              <w:keepNext/>
              <w:jc w:val="center"/>
              <w:rPr>
                <w:sz w:val="20"/>
              </w:rPr>
            </w:pPr>
            <w:r w:rsidRPr="00984C78">
              <w:rPr>
                <w:sz w:val="20"/>
              </w:rPr>
              <w:t>Takeda Pharmaceuticals</w:t>
            </w:r>
          </w:p>
        </w:tc>
      </w:tr>
      <w:tr w:rsidR="00C54996" w:rsidRPr="00984C78">
        <w:trPr>
          <w:cantSplit/>
          <w:trHeight w:val="354"/>
        </w:trPr>
        <w:tc>
          <w:tcPr>
            <w:tcW w:w="5000" w:type="pct"/>
            <w:gridSpan w:val="6"/>
            <w:vAlign w:val="center"/>
          </w:tcPr>
          <w:p w:rsidR="00C54996" w:rsidRPr="00984C78" w:rsidRDefault="00C54996" w:rsidP="00C54996">
            <w:pPr>
              <w:jc w:val="left"/>
              <w:rPr>
                <w:sz w:val="20"/>
              </w:rPr>
            </w:pPr>
            <w:r w:rsidRPr="00984C78">
              <w:rPr>
                <w:b/>
                <w:sz w:val="20"/>
                <w:u w:val="single"/>
              </w:rPr>
              <w:t>Section 100 Highly Specialised Drugs Program, private hospitals</w:t>
            </w:r>
          </w:p>
        </w:tc>
      </w:tr>
    </w:tbl>
    <w:p w:rsidR="00122E30" w:rsidRPr="00984C78" w:rsidRDefault="00122E30" w:rsidP="00B9057E">
      <w:pPr>
        <w:widowControl/>
        <w:rPr>
          <w:szCs w:val="22"/>
        </w:rPr>
      </w:pPr>
    </w:p>
    <w:tbl>
      <w:tblPr>
        <w:tblW w:w="4594" w:type="pct"/>
        <w:tblInd w:w="700" w:type="dxa"/>
        <w:tblCellMar>
          <w:left w:w="28" w:type="dxa"/>
          <w:right w:w="28" w:type="dxa"/>
        </w:tblCellMar>
        <w:tblLook w:val="0000" w:firstRow="0" w:lastRow="0" w:firstColumn="0" w:lastColumn="0" w:noHBand="0" w:noVBand="0"/>
      </w:tblPr>
      <w:tblGrid>
        <w:gridCol w:w="8345"/>
      </w:tblGrid>
      <w:tr w:rsidR="00122E30" w:rsidRPr="00984C78">
        <w:trPr>
          <w:trHeight w:val="360"/>
        </w:trPr>
        <w:tc>
          <w:tcPr>
            <w:tcW w:w="5000" w:type="pct"/>
          </w:tcPr>
          <w:p w:rsidR="00122E30" w:rsidRPr="00984C78" w:rsidRDefault="00122E30" w:rsidP="00D25424">
            <w:pPr>
              <w:rPr>
                <w:rFonts w:ascii="Arial Narrow" w:hAnsi="Arial Narrow"/>
                <w:b/>
                <w:sz w:val="20"/>
              </w:rPr>
            </w:pPr>
            <w:r w:rsidRPr="00984C78">
              <w:rPr>
                <w:rFonts w:ascii="Arial Narrow" w:hAnsi="Arial Narrow"/>
                <w:b/>
                <w:sz w:val="20"/>
              </w:rPr>
              <w:t>Authority Required</w:t>
            </w:r>
          </w:p>
          <w:p w:rsidR="00122E30" w:rsidRPr="00984C78" w:rsidRDefault="00122E30" w:rsidP="00D25424">
            <w:pPr>
              <w:rPr>
                <w:rFonts w:ascii="Arial Narrow" w:hAnsi="Arial Narrow"/>
                <w:sz w:val="20"/>
              </w:rPr>
            </w:pPr>
            <w:r w:rsidRPr="00984C78">
              <w:rPr>
                <w:rFonts w:ascii="Arial Narrow" w:hAnsi="Arial Narrow"/>
                <w:sz w:val="20"/>
              </w:rPr>
              <w:t xml:space="preserve">Initial treatment of </w:t>
            </w:r>
            <w:r w:rsidR="00634535">
              <w:rPr>
                <w:rFonts w:ascii="Arial Narrow" w:hAnsi="Arial Narrow"/>
                <w:sz w:val="20"/>
              </w:rPr>
              <w:t>Crohn’s</w:t>
            </w:r>
            <w:r w:rsidRPr="00984C78">
              <w:rPr>
                <w:rFonts w:ascii="Arial Narrow" w:hAnsi="Arial Narrow"/>
                <w:sz w:val="20"/>
              </w:rPr>
              <w:t xml:space="preserve"> disease in a patient assessed by </w:t>
            </w:r>
            <w:r w:rsidR="00634535">
              <w:rPr>
                <w:rFonts w:ascii="Arial Narrow" w:hAnsi="Arial Narrow"/>
                <w:sz w:val="20"/>
              </w:rPr>
              <w:t>Crohn’s</w:t>
            </w:r>
            <w:r w:rsidRPr="00984C78">
              <w:rPr>
                <w:rFonts w:ascii="Arial Narrow" w:hAnsi="Arial Narrow"/>
                <w:sz w:val="20"/>
              </w:rPr>
              <w:t xml:space="preserve"> Disease Activity Index (CDAI). </w:t>
            </w:r>
          </w:p>
          <w:p w:rsidR="00122E30" w:rsidRPr="00984C78" w:rsidRDefault="00122E30" w:rsidP="00D25424">
            <w:pPr>
              <w:rPr>
                <w:rFonts w:ascii="Arial Narrow" w:hAnsi="Arial Narrow"/>
                <w:sz w:val="20"/>
              </w:rPr>
            </w:pPr>
            <w:r w:rsidRPr="00984C78">
              <w:rPr>
                <w:rFonts w:ascii="Arial Narrow" w:hAnsi="Arial Narrow"/>
                <w:sz w:val="20"/>
              </w:rPr>
              <w:t xml:space="preserve">Initial PBS-subsidised treatment with </w:t>
            </w:r>
            <w:r w:rsidRPr="00984C78">
              <w:rPr>
                <w:rFonts w:ascii="Arial Narrow" w:hAnsi="Arial Narrow"/>
                <w:strike/>
                <w:sz w:val="20"/>
              </w:rPr>
              <w:t>infliximab</w:t>
            </w:r>
            <w:r w:rsidRPr="00984C78">
              <w:rPr>
                <w:rFonts w:ascii="Arial Narrow" w:hAnsi="Arial Narrow"/>
                <w:sz w:val="20"/>
              </w:rPr>
              <w:t xml:space="preserve"> </w:t>
            </w:r>
            <w:proofErr w:type="spellStart"/>
            <w:r w:rsidRPr="00984C78">
              <w:rPr>
                <w:rFonts w:ascii="Arial Narrow" w:hAnsi="Arial Narrow"/>
                <w:sz w:val="20"/>
              </w:rPr>
              <w:t>vedolizumab</w:t>
            </w:r>
            <w:proofErr w:type="spellEnd"/>
            <w:r w:rsidRPr="00984C78">
              <w:rPr>
                <w:rFonts w:ascii="Arial Narrow" w:hAnsi="Arial Narrow"/>
                <w:sz w:val="20"/>
              </w:rPr>
              <w:t xml:space="preserve"> by a gastroenterologist or a consultant physician, of a patient with severe refractory </w:t>
            </w:r>
            <w:r w:rsidR="00634535">
              <w:rPr>
                <w:rFonts w:ascii="Arial Narrow" w:hAnsi="Arial Narrow"/>
                <w:sz w:val="20"/>
              </w:rPr>
              <w:t>Crohn’s</w:t>
            </w:r>
            <w:r w:rsidRPr="00984C78">
              <w:rPr>
                <w:rFonts w:ascii="Arial Narrow" w:hAnsi="Arial Narrow"/>
                <w:sz w:val="20"/>
              </w:rPr>
              <w:t xml:space="preserve"> disease who satisfies the following criteria:</w:t>
            </w:r>
          </w:p>
          <w:p w:rsidR="00122E30" w:rsidRPr="00984C78" w:rsidRDefault="00122E30" w:rsidP="00D25424">
            <w:pPr>
              <w:ind w:left="142"/>
              <w:rPr>
                <w:rFonts w:ascii="Arial Narrow" w:hAnsi="Arial Narrow"/>
                <w:sz w:val="20"/>
              </w:rPr>
            </w:pPr>
            <w:r w:rsidRPr="00984C78">
              <w:rPr>
                <w:rFonts w:ascii="Arial Narrow" w:hAnsi="Arial Narrow"/>
                <w:sz w:val="20"/>
              </w:rPr>
              <w:t xml:space="preserve">(a) has confirmed </w:t>
            </w:r>
            <w:r w:rsidR="00634535">
              <w:rPr>
                <w:rFonts w:ascii="Arial Narrow" w:hAnsi="Arial Narrow"/>
                <w:sz w:val="20"/>
              </w:rPr>
              <w:t>Crohn’s</w:t>
            </w:r>
            <w:r w:rsidRPr="00984C78">
              <w:rPr>
                <w:rFonts w:ascii="Arial Narrow" w:hAnsi="Arial Narrow"/>
                <w:sz w:val="20"/>
              </w:rPr>
              <w:t xml:space="preserve"> disease, defined by standard clinical, endoscopic and/or imaging features, including histological evidence, with the diagnosis confirmed by a gastroenterologist or a consultant physician; and</w:t>
            </w:r>
          </w:p>
          <w:p w:rsidR="00122E30" w:rsidRPr="00984C78" w:rsidRDefault="00122E30" w:rsidP="00D25424">
            <w:pPr>
              <w:ind w:left="142"/>
              <w:rPr>
                <w:rFonts w:ascii="Arial Narrow" w:hAnsi="Arial Narrow"/>
                <w:sz w:val="20"/>
              </w:rPr>
            </w:pPr>
            <w:r w:rsidRPr="00984C78">
              <w:rPr>
                <w:rFonts w:ascii="Arial Narrow" w:hAnsi="Arial Narrow"/>
                <w:sz w:val="20"/>
              </w:rPr>
              <w:t>(b) has signed a patient acknowledgement indicating they understand and acknowledge that PBS-subsidised treatment will cease if they do not meet the predetermined response criterion for ongoing PBS-subsidised treatment, as outlined in the restriction for continuing treatment; and</w:t>
            </w:r>
          </w:p>
          <w:p w:rsidR="00122E30" w:rsidRPr="00984C78" w:rsidRDefault="00122E30" w:rsidP="00D25424">
            <w:pPr>
              <w:ind w:left="142"/>
              <w:rPr>
                <w:rFonts w:ascii="Arial Narrow" w:hAnsi="Arial Narrow"/>
                <w:sz w:val="20"/>
              </w:rPr>
            </w:pPr>
            <w:r w:rsidRPr="00984C78">
              <w:rPr>
                <w:rFonts w:ascii="Arial Narrow" w:hAnsi="Arial Narrow"/>
                <w:sz w:val="20"/>
              </w:rPr>
              <w:t>(c) has failed to achieve an adequate response to prior systemic therapy including:</w:t>
            </w:r>
          </w:p>
          <w:p w:rsidR="00122E30" w:rsidRPr="00984C78" w:rsidRDefault="00122E30" w:rsidP="00D25424">
            <w:pPr>
              <w:ind w:left="426"/>
              <w:rPr>
                <w:rFonts w:ascii="Arial Narrow" w:hAnsi="Arial Narrow"/>
                <w:sz w:val="20"/>
              </w:rPr>
            </w:pPr>
            <w:r w:rsidRPr="00984C78">
              <w:rPr>
                <w:rFonts w:ascii="Arial Narrow" w:hAnsi="Arial Narrow"/>
                <w:sz w:val="20"/>
              </w:rPr>
              <w:t>(</w:t>
            </w:r>
            <w:proofErr w:type="spellStart"/>
            <w:r w:rsidRPr="00984C78">
              <w:rPr>
                <w:rFonts w:ascii="Arial Narrow" w:hAnsi="Arial Narrow"/>
                <w:sz w:val="20"/>
              </w:rPr>
              <w:t>i</w:t>
            </w:r>
            <w:proofErr w:type="spellEnd"/>
            <w:r w:rsidRPr="00984C78">
              <w:rPr>
                <w:rFonts w:ascii="Arial Narrow" w:hAnsi="Arial Narrow"/>
                <w:sz w:val="20"/>
              </w:rPr>
              <w:t xml:space="preserve">) a tapered course of steroids, starting at a dose of at least 40 mg prednisolone (or equivalent), over a 6 week period; and </w:t>
            </w:r>
          </w:p>
          <w:p w:rsidR="00122E30" w:rsidRPr="00984C78" w:rsidRDefault="00122E30" w:rsidP="00D25424">
            <w:pPr>
              <w:ind w:left="426"/>
              <w:rPr>
                <w:rFonts w:ascii="Arial Narrow" w:hAnsi="Arial Narrow"/>
                <w:sz w:val="20"/>
              </w:rPr>
            </w:pPr>
            <w:r w:rsidRPr="00984C78">
              <w:rPr>
                <w:rFonts w:ascii="Arial Narrow" w:hAnsi="Arial Narrow"/>
                <w:sz w:val="20"/>
              </w:rPr>
              <w:t>(ii) immunosuppressive therapy including:</w:t>
            </w:r>
          </w:p>
          <w:p w:rsidR="00122E30" w:rsidRPr="00984C78" w:rsidRDefault="00122E30" w:rsidP="00D25424">
            <w:pPr>
              <w:ind w:left="426"/>
              <w:rPr>
                <w:rFonts w:ascii="Arial Narrow" w:hAnsi="Arial Narrow"/>
                <w:sz w:val="20"/>
              </w:rPr>
            </w:pPr>
            <w:r w:rsidRPr="00984C78">
              <w:rPr>
                <w:rFonts w:ascii="Arial Narrow" w:hAnsi="Arial Narrow"/>
                <w:sz w:val="20"/>
              </w:rPr>
              <w:t>— azathioprine at a dose of at least 2 mg per kg daily for 3 or more months; or</w:t>
            </w:r>
          </w:p>
          <w:p w:rsidR="00122E30" w:rsidRPr="00984C78" w:rsidRDefault="00122E30" w:rsidP="00D25424">
            <w:pPr>
              <w:ind w:left="426"/>
              <w:rPr>
                <w:rFonts w:ascii="Arial Narrow" w:hAnsi="Arial Narrow"/>
                <w:sz w:val="20"/>
              </w:rPr>
            </w:pPr>
            <w:r w:rsidRPr="00984C78">
              <w:rPr>
                <w:rFonts w:ascii="Arial Narrow" w:hAnsi="Arial Narrow"/>
                <w:sz w:val="20"/>
              </w:rPr>
              <w:t>— 6-mercaptopurine at a dose of at least 1 mg per kg daily for 3 or more months; or</w:t>
            </w:r>
          </w:p>
          <w:p w:rsidR="00122E30" w:rsidRPr="00984C78" w:rsidRDefault="00122E30" w:rsidP="00D25424">
            <w:pPr>
              <w:ind w:left="426"/>
              <w:rPr>
                <w:rFonts w:ascii="Arial Narrow" w:hAnsi="Arial Narrow"/>
                <w:sz w:val="20"/>
              </w:rPr>
            </w:pPr>
            <w:r w:rsidRPr="00984C78">
              <w:rPr>
                <w:rFonts w:ascii="Arial Narrow" w:hAnsi="Arial Narrow"/>
                <w:sz w:val="20"/>
              </w:rPr>
              <w:t xml:space="preserve">— </w:t>
            </w:r>
            <w:proofErr w:type="gramStart"/>
            <w:r w:rsidRPr="00984C78">
              <w:rPr>
                <w:rFonts w:ascii="Arial Narrow" w:hAnsi="Arial Narrow"/>
                <w:sz w:val="20"/>
              </w:rPr>
              <w:t>methotrexate</w:t>
            </w:r>
            <w:proofErr w:type="gramEnd"/>
            <w:r w:rsidRPr="00984C78">
              <w:rPr>
                <w:rFonts w:ascii="Arial Narrow" w:hAnsi="Arial Narrow"/>
                <w:sz w:val="20"/>
              </w:rPr>
              <w:t xml:space="preserve"> at a dose of at least 15 mg weekly for 3 or more months.</w:t>
            </w:r>
          </w:p>
          <w:p w:rsidR="00122E30" w:rsidRPr="00984C78" w:rsidRDefault="00122E30" w:rsidP="00D25424">
            <w:pPr>
              <w:rPr>
                <w:rFonts w:ascii="Arial Narrow" w:hAnsi="Arial Narrow"/>
                <w:sz w:val="20"/>
              </w:rPr>
            </w:pPr>
            <w:r w:rsidRPr="00984C78">
              <w:rPr>
                <w:rFonts w:ascii="Arial Narrow" w:hAnsi="Arial Narrow"/>
                <w:sz w:val="20"/>
              </w:rPr>
              <w:t xml:space="preserve">The following initiation criterion indicates failure to achieve an adequate response and must be demonstrated in all patients at the time of the application: </w:t>
            </w:r>
          </w:p>
          <w:p w:rsidR="00122E30" w:rsidRPr="00984C78" w:rsidRDefault="00122E30" w:rsidP="00D25424">
            <w:pPr>
              <w:ind w:left="142"/>
              <w:rPr>
                <w:rFonts w:ascii="Arial Narrow" w:hAnsi="Arial Narrow"/>
                <w:sz w:val="20"/>
              </w:rPr>
            </w:pPr>
            <w:r w:rsidRPr="00984C78">
              <w:rPr>
                <w:rFonts w:ascii="Arial Narrow" w:hAnsi="Arial Narrow"/>
                <w:sz w:val="20"/>
              </w:rPr>
              <w:t xml:space="preserve">(a) </w:t>
            </w:r>
            <w:proofErr w:type="gramStart"/>
            <w:r w:rsidRPr="00984C78">
              <w:rPr>
                <w:rFonts w:ascii="Arial Narrow" w:hAnsi="Arial Narrow"/>
                <w:sz w:val="20"/>
              </w:rPr>
              <w:t>have</w:t>
            </w:r>
            <w:proofErr w:type="gramEnd"/>
            <w:r w:rsidRPr="00984C78">
              <w:rPr>
                <w:rFonts w:ascii="Arial Narrow" w:hAnsi="Arial Narrow"/>
                <w:sz w:val="20"/>
              </w:rPr>
              <w:t xml:space="preserve"> a severity of disease activity which results in a CDAI Score greater than or equal to 300 as assessed.</w:t>
            </w:r>
          </w:p>
          <w:p w:rsidR="00122E30" w:rsidRPr="00984C78" w:rsidRDefault="00122E30" w:rsidP="00D25424">
            <w:pPr>
              <w:rPr>
                <w:rFonts w:ascii="Arial Narrow" w:hAnsi="Arial Narrow"/>
                <w:sz w:val="20"/>
              </w:rPr>
            </w:pPr>
            <w:r w:rsidRPr="00984C78">
              <w:rPr>
                <w:rFonts w:ascii="Arial Narrow" w:hAnsi="Arial Narrow"/>
                <w:sz w:val="20"/>
              </w:rPr>
              <w:t xml:space="preserve">A maximum quantity and number of repeats to provide for an initial course of </w:t>
            </w:r>
            <w:proofErr w:type="spellStart"/>
            <w:r w:rsidRPr="00984C78">
              <w:rPr>
                <w:rFonts w:ascii="Arial Narrow" w:hAnsi="Arial Narrow"/>
                <w:sz w:val="20"/>
              </w:rPr>
              <w:t>vedolizumab</w:t>
            </w:r>
            <w:proofErr w:type="spellEnd"/>
            <w:r w:rsidRPr="00984C78">
              <w:rPr>
                <w:rFonts w:ascii="Arial Narrow" w:hAnsi="Arial Narrow"/>
                <w:sz w:val="20"/>
              </w:rPr>
              <w:t xml:space="preserve"> consisting of 3 doses to be administered at weeks 0, 2 and 6, will be authorised.</w:t>
            </w:r>
          </w:p>
          <w:p w:rsidR="00122E30" w:rsidRPr="00984C78" w:rsidRDefault="00122E30" w:rsidP="00D25424">
            <w:pPr>
              <w:rPr>
                <w:rFonts w:ascii="Arial Narrow" w:hAnsi="Arial Narrow"/>
                <w:sz w:val="20"/>
              </w:rPr>
            </w:pPr>
            <w:r w:rsidRPr="00984C78">
              <w:rPr>
                <w:rFonts w:ascii="Arial Narrow" w:hAnsi="Arial Narrow"/>
                <w:sz w:val="20"/>
              </w:rPr>
              <w:t xml:space="preserve">NOTE: </w:t>
            </w:r>
            <w:proofErr w:type="spellStart"/>
            <w:r w:rsidRPr="00984C78">
              <w:rPr>
                <w:rFonts w:ascii="Arial Narrow" w:hAnsi="Arial Narrow"/>
                <w:sz w:val="20"/>
              </w:rPr>
              <w:t>vedolizumab</w:t>
            </w:r>
            <w:proofErr w:type="spellEnd"/>
            <w:r w:rsidRPr="00984C78">
              <w:rPr>
                <w:rFonts w:ascii="Arial Narrow" w:hAnsi="Arial Narrow"/>
                <w:sz w:val="20"/>
              </w:rPr>
              <w:t xml:space="preserve"> is not reimbursed for complex refractory Fistulising </w:t>
            </w:r>
            <w:r w:rsidR="00634535">
              <w:rPr>
                <w:rFonts w:ascii="Arial Narrow" w:hAnsi="Arial Narrow"/>
                <w:sz w:val="20"/>
              </w:rPr>
              <w:t>Crohn’s</w:t>
            </w:r>
            <w:r w:rsidRPr="00984C78">
              <w:rPr>
                <w:rFonts w:ascii="Arial Narrow" w:hAnsi="Arial Narrow"/>
                <w:sz w:val="20"/>
              </w:rPr>
              <w:t xml:space="preserve"> Disease.</w:t>
            </w:r>
          </w:p>
          <w:p w:rsidR="00122E30" w:rsidRPr="00984C78" w:rsidRDefault="00122E30" w:rsidP="00D25424">
            <w:pPr>
              <w:rPr>
                <w:rFonts w:ascii="Arial Narrow" w:hAnsi="Arial Narrow"/>
                <w:sz w:val="12"/>
              </w:rPr>
            </w:pPr>
          </w:p>
          <w:p w:rsidR="00122E30" w:rsidRPr="00984C78" w:rsidRDefault="00122E30" w:rsidP="00D25424">
            <w:pPr>
              <w:keepNext/>
              <w:keepLines/>
              <w:rPr>
                <w:rFonts w:ascii="Arial Narrow" w:hAnsi="Arial Narrow"/>
                <w:b/>
                <w:sz w:val="20"/>
              </w:rPr>
            </w:pPr>
            <w:r w:rsidRPr="00984C78">
              <w:rPr>
                <w:rFonts w:ascii="Arial Narrow" w:hAnsi="Arial Narrow"/>
                <w:b/>
                <w:sz w:val="20"/>
              </w:rPr>
              <w:lastRenderedPageBreak/>
              <w:t>Authority required</w:t>
            </w:r>
          </w:p>
          <w:p w:rsidR="00122E30" w:rsidRPr="00984C78" w:rsidRDefault="00122E30" w:rsidP="00D25424">
            <w:pPr>
              <w:keepNext/>
              <w:keepLines/>
              <w:rPr>
                <w:rFonts w:ascii="Arial Narrow" w:hAnsi="Arial Narrow"/>
                <w:sz w:val="20"/>
              </w:rPr>
            </w:pPr>
            <w:r w:rsidRPr="00984C78">
              <w:rPr>
                <w:rFonts w:ascii="Arial Narrow" w:hAnsi="Arial Narrow"/>
                <w:sz w:val="20"/>
              </w:rPr>
              <w:t xml:space="preserve">Continuing treatment of </w:t>
            </w:r>
            <w:r w:rsidR="00634535">
              <w:rPr>
                <w:rFonts w:ascii="Arial Narrow" w:hAnsi="Arial Narrow"/>
                <w:sz w:val="20"/>
              </w:rPr>
              <w:t>Crohn’s</w:t>
            </w:r>
            <w:r w:rsidRPr="00984C78">
              <w:rPr>
                <w:rFonts w:ascii="Arial Narrow" w:hAnsi="Arial Narrow"/>
                <w:sz w:val="20"/>
              </w:rPr>
              <w:t xml:space="preserve"> disease in a patient assessed by CDAI.</w:t>
            </w:r>
          </w:p>
          <w:p w:rsidR="00122E30" w:rsidRPr="00984C78" w:rsidRDefault="00122E30" w:rsidP="00D25424">
            <w:pPr>
              <w:rPr>
                <w:rFonts w:ascii="Arial Narrow" w:hAnsi="Arial Narrow"/>
                <w:sz w:val="20"/>
              </w:rPr>
            </w:pPr>
            <w:r w:rsidRPr="00984C78">
              <w:rPr>
                <w:rFonts w:ascii="Arial Narrow" w:hAnsi="Arial Narrow"/>
                <w:sz w:val="20"/>
              </w:rPr>
              <w:t xml:space="preserve">Continuing PBS-subsidised treatment with </w:t>
            </w:r>
            <w:proofErr w:type="spellStart"/>
            <w:r w:rsidRPr="00984C78">
              <w:rPr>
                <w:rFonts w:ascii="Arial Narrow" w:hAnsi="Arial Narrow"/>
                <w:sz w:val="20"/>
              </w:rPr>
              <w:t>vedolizumab</w:t>
            </w:r>
            <w:proofErr w:type="spellEnd"/>
            <w:r w:rsidRPr="00984C78">
              <w:rPr>
                <w:rFonts w:ascii="Arial Narrow" w:hAnsi="Arial Narrow"/>
                <w:sz w:val="20"/>
              </w:rPr>
              <w:t xml:space="preserve"> by a gastroenterologist, a consultant physician or other consultant physician in consultation with a gastroenterologist, of a patient who: </w:t>
            </w:r>
          </w:p>
          <w:p w:rsidR="00122E30" w:rsidRPr="00984C78" w:rsidRDefault="00122E30" w:rsidP="00D25424">
            <w:pPr>
              <w:ind w:left="142"/>
              <w:rPr>
                <w:rFonts w:ascii="Arial Narrow" w:hAnsi="Arial Narrow"/>
                <w:sz w:val="20"/>
              </w:rPr>
            </w:pPr>
            <w:r w:rsidRPr="00984C78">
              <w:rPr>
                <w:rFonts w:ascii="Arial Narrow" w:hAnsi="Arial Narrow"/>
                <w:sz w:val="20"/>
              </w:rPr>
              <w:t xml:space="preserve">(a) has a documented history of severe refractory </w:t>
            </w:r>
            <w:r w:rsidR="00634535">
              <w:rPr>
                <w:rFonts w:ascii="Arial Narrow" w:hAnsi="Arial Narrow"/>
                <w:sz w:val="20"/>
              </w:rPr>
              <w:t>Crohn’s</w:t>
            </w:r>
            <w:r w:rsidRPr="00984C78">
              <w:rPr>
                <w:rFonts w:ascii="Arial Narrow" w:hAnsi="Arial Narrow"/>
                <w:sz w:val="20"/>
              </w:rPr>
              <w:t xml:space="preserve"> disease; and</w:t>
            </w:r>
          </w:p>
          <w:p w:rsidR="00122E30" w:rsidRPr="00984C78" w:rsidRDefault="00122E30" w:rsidP="00D25424">
            <w:pPr>
              <w:ind w:left="142"/>
              <w:rPr>
                <w:rFonts w:ascii="Arial Narrow" w:hAnsi="Arial Narrow"/>
                <w:sz w:val="20"/>
              </w:rPr>
            </w:pPr>
            <w:r w:rsidRPr="00984C78">
              <w:rPr>
                <w:rFonts w:ascii="Arial Narrow" w:hAnsi="Arial Narrow"/>
                <w:sz w:val="20"/>
              </w:rPr>
              <w:t xml:space="preserve">(b) </w:t>
            </w:r>
            <w:proofErr w:type="gramStart"/>
            <w:r w:rsidRPr="00984C78">
              <w:rPr>
                <w:rFonts w:ascii="Arial Narrow" w:hAnsi="Arial Narrow"/>
                <w:sz w:val="20"/>
              </w:rPr>
              <w:t>has</w:t>
            </w:r>
            <w:proofErr w:type="gramEnd"/>
            <w:r w:rsidRPr="00984C78">
              <w:rPr>
                <w:rFonts w:ascii="Arial Narrow" w:hAnsi="Arial Narrow"/>
                <w:sz w:val="20"/>
              </w:rPr>
              <w:t xml:space="preserve"> demonstrated or sustained an adequate response to treatment with </w:t>
            </w:r>
            <w:proofErr w:type="spellStart"/>
            <w:r w:rsidRPr="00984C78">
              <w:rPr>
                <w:rFonts w:ascii="Arial Narrow" w:hAnsi="Arial Narrow"/>
                <w:sz w:val="20"/>
              </w:rPr>
              <w:t>vedolizumab</w:t>
            </w:r>
            <w:proofErr w:type="spellEnd"/>
            <w:r w:rsidRPr="00984C78">
              <w:rPr>
                <w:rFonts w:ascii="Arial Narrow" w:hAnsi="Arial Narrow"/>
                <w:sz w:val="20"/>
              </w:rPr>
              <w:t>.</w:t>
            </w:r>
          </w:p>
          <w:p w:rsidR="00122E30" w:rsidRPr="00984C78" w:rsidRDefault="00122E30" w:rsidP="00D25424">
            <w:pPr>
              <w:rPr>
                <w:rFonts w:ascii="Arial Narrow" w:hAnsi="Arial Narrow"/>
                <w:sz w:val="20"/>
              </w:rPr>
            </w:pPr>
            <w:r w:rsidRPr="00984C78">
              <w:rPr>
                <w:rFonts w:ascii="Arial Narrow" w:hAnsi="Arial Narrow"/>
                <w:sz w:val="20"/>
              </w:rPr>
              <w:t xml:space="preserve">An adequate response to </w:t>
            </w:r>
            <w:r w:rsidRPr="00984C78">
              <w:rPr>
                <w:rFonts w:ascii="Arial Narrow" w:hAnsi="Arial Narrow"/>
                <w:strike/>
                <w:sz w:val="20"/>
              </w:rPr>
              <w:t>infliximab</w:t>
            </w:r>
            <w:r w:rsidRPr="00984C78">
              <w:rPr>
                <w:rFonts w:ascii="Arial Narrow" w:hAnsi="Arial Narrow"/>
                <w:sz w:val="20"/>
              </w:rPr>
              <w:t xml:space="preserve"> </w:t>
            </w:r>
            <w:proofErr w:type="spellStart"/>
            <w:r w:rsidRPr="00984C78">
              <w:rPr>
                <w:rFonts w:ascii="Arial Narrow" w:hAnsi="Arial Narrow"/>
                <w:sz w:val="20"/>
              </w:rPr>
              <w:t>vedolizumab</w:t>
            </w:r>
            <w:proofErr w:type="spellEnd"/>
            <w:r w:rsidRPr="00984C78">
              <w:rPr>
                <w:rFonts w:ascii="Arial Narrow" w:hAnsi="Arial Narrow"/>
                <w:sz w:val="20"/>
              </w:rPr>
              <w:t xml:space="preserve"> treatment is defined as a reduction in </w:t>
            </w:r>
            <w:r w:rsidR="00634535">
              <w:rPr>
                <w:rFonts w:ascii="Arial Narrow" w:hAnsi="Arial Narrow"/>
                <w:sz w:val="20"/>
              </w:rPr>
              <w:t>Crohn’s</w:t>
            </w:r>
            <w:r w:rsidRPr="00984C78">
              <w:rPr>
                <w:rFonts w:ascii="Arial Narrow" w:hAnsi="Arial Narrow"/>
                <w:sz w:val="20"/>
              </w:rPr>
              <w:t xml:space="preserve"> Disease Activity Index (CDAI) Score to a level no greater than 150.</w:t>
            </w:r>
          </w:p>
          <w:p w:rsidR="00122E30" w:rsidRPr="00984C78" w:rsidRDefault="00122E30" w:rsidP="00D25424">
            <w:pPr>
              <w:rPr>
                <w:rFonts w:ascii="Arial Narrow" w:hAnsi="Arial Narrow"/>
                <w:sz w:val="20"/>
              </w:rPr>
            </w:pPr>
            <w:r w:rsidRPr="00984C78">
              <w:rPr>
                <w:rFonts w:ascii="Arial Narrow" w:hAnsi="Arial Narrow"/>
                <w:sz w:val="20"/>
              </w:rPr>
              <w:t xml:space="preserve">If the application is the first application for continuing treatment with </w:t>
            </w:r>
            <w:r w:rsidRPr="00984C78">
              <w:rPr>
                <w:rFonts w:ascii="Arial Narrow" w:hAnsi="Arial Narrow"/>
                <w:strike/>
                <w:sz w:val="20"/>
              </w:rPr>
              <w:t>infliximab</w:t>
            </w:r>
            <w:r w:rsidRPr="00984C78">
              <w:rPr>
                <w:rFonts w:ascii="Arial Narrow" w:hAnsi="Arial Narrow"/>
                <w:sz w:val="20"/>
              </w:rPr>
              <w:t xml:space="preserve"> </w:t>
            </w:r>
            <w:proofErr w:type="spellStart"/>
            <w:r w:rsidRPr="00984C78">
              <w:rPr>
                <w:rFonts w:ascii="Arial Narrow" w:hAnsi="Arial Narrow"/>
                <w:sz w:val="20"/>
              </w:rPr>
              <w:t>vedolizumab</w:t>
            </w:r>
            <w:proofErr w:type="spellEnd"/>
            <w:r w:rsidRPr="00984C78">
              <w:rPr>
                <w:rFonts w:ascii="Arial Narrow" w:hAnsi="Arial Narrow"/>
                <w:sz w:val="20"/>
              </w:rPr>
              <w:t>, a CDAI assessment of the patient's response must be made up to 12 weeks after the first dose so that there is adequate time for a response to be demonstrated.</w:t>
            </w:r>
          </w:p>
          <w:p w:rsidR="00122E30" w:rsidRPr="00984C78" w:rsidRDefault="00122E30" w:rsidP="00D25424">
            <w:pPr>
              <w:rPr>
                <w:rFonts w:ascii="Arial Narrow" w:hAnsi="Arial Narrow"/>
                <w:sz w:val="20"/>
              </w:rPr>
            </w:pPr>
            <w:r w:rsidRPr="00984C78">
              <w:rPr>
                <w:rFonts w:ascii="Arial Narrow" w:hAnsi="Arial Narrow"/>
                <w:sz w:val="20"/>
              </w:rPr>
              <w:t xml:space="preserve">Patients are eligible to receive continuing </w:t>
            </w:r>
            <w:r w:rsidRPr="00984C78">
              <w:rPr>
                <w:rFonts w:ascii="Arial Narrow" w:hAnsi="Arial Narrow"/>
                <w:strike/>
                <w:sz w:val="20"/>
              </w:rPr>
              <w:t>infliximab</w:t>
            </w:r>
            <w:r w:rsidRPr="00984C78">
              <w:rPr>
                <w:rFonts w:ascii="Arial Narrow" w:hAnsi="Arial Narrow"/>
                <w:sz w:val="20"/>
              </w:rPr>
              <w:t xml:space="preserve"> </w:t>
            </w:r>
            <w:proofErr w:type="spellStart"/>
            <w:r w:rsidRPr="00984C78">
              <w:rPr>
                <w:rFonts w:ascii="Arial Narrow" w:hAnsi="Arial Narrow"/>
                <w:sz w:val="20"/>
              </w:rPr>
              <w:t>vedolizumab</w:t>
            </w:r>
            <w:proofErr w:type="spellEnd"/>
            <w:r w:rsidRPr="00984C78">
              <w:rPr>
                <w:rFonts w:ascii="Arial Narrow" w:hAnsi="Arial Narrow"/>
                <w:sz w:val="20"/>
              </w:rPr>
              <w:t xml:space="preserve"> treatment in courses of up to 24 weeks providing they continue to sustain the response.</w:t>
            </w:r>
          </w:p>
          <w:p w:rsidR="00122E30" w:rsidRPr="00984C78" w:rsidRDefault="00122E30" w:rsidP="00D25424">
            <w:pPr>
              <w:rPr>
                <w:sz w:val="20"/>
              </w:rPr>
            </w:pPr>
            <w:r w:rsidRPr="00984C78">
              <w:rPr>
                <w:rFonts w:ascii="Arial Narrow" w:hAnsi="Arial Narrow"/>
                <w:sz w:val="20"/>
              </w:rPr>
              <w:t xml:space="preserve">NOTE: </w:t>
            </w:r>
            <w:proofErr w:type="spellStart"/>
            <w:r w:rsidRPr="00984C78">
              <w:rPr>
                <w:rFonts w:ascii="Arial Narrow" w:hAnsi="Arial Narrow"/>
                <w:sz w:val="20"/>
              </w:rPr>
              <w:t>vedolizumab</w:t>
            </w:r>
            <w:proofErr w:type="spellEnd"/>
            <w:r w:rsidRPr="00984C78">
              <w:rPr>
                <w:rFonts w:ascii="Arial Narrow" w:hAnsi="Arial Narrow"/>
                <w:sz w:val="20"/>
              </w:rPr>
              <w:t xml:space="preserve"> is not reimbursed for complex refractory Fistulising </w:t>
            </w:r>
            <w:r w:rsidR="00634535">
              <w:rPr>
                <w:rFonts w:ascii="Arial Narrow" w:hAnsi="Arial Narrow"/>
                <w:sz w:val="20"/>
              </w:rPr>
              <w:t>Crohn’s</w:t>
            </w:r>
            <w:r w:rsidRPr="00984C78">
              <w:rPr>
                <w:rFonts w:ascii="Arial Narrow" w:hAnsi="Arial Narrow"/>
                <w:sz w:val="20"/>
              </w:rPr>
              <w:t xml:space="preserve"> Disease.</w:t>
            </w:r>
          </w:p>
        </w:tc>
      </w:tr>
    </w:tbl>
    <w:p w:rsidR="00122E30" w:rsidRPr="00984C78" w:rsidRDefault="00122E30" w:rsidP="00B9057E">
      <w:pPr>
        <w:widowControl/>
        <w:rPr>
          <w:szCs w:val="22"/>
        </w:rPr>
      </w:pPr>
    </w:p>
    <w:p w:rsidR="00B9057E" w:rsidRPr="00984C78" w:rsidRDefault="00B9057E" w:rsidP="006B764E">
      <w:pPr>
        <w:pStyle w:val="ListParagraph"/>
        <w:widowControl/>
        <w:numPr>
          <w:ilvl w:val="1"/>
          <w:numId w:val="3"/>
        </w:numPr>
        <w:rPr>
          <w:szCs w:val="22"/>
        </w:rPr>
      </w:pPr>
      <w:r w:rsidRPr="00984C78">
        <w:rPr>
          <w:szCs w:val="22"/>
        </w:rPr>
        <w:t xml:space="preserve">The requested PBS restriction is similar to that for infliximab for the treatment of </w:t>
      </w:r>
      <w:r w:rsidR="00634535">
        <w:rPr>
          <w:szCs w:val="22"/>
        </w:rPr>
        <w:t>Crohn’s</w:t>
      </w:r>
      <w:r w:rsidRPr="00984C78">
        <w:rPr>
          <w:szCs w:val="22"/>
        </w:rPr>
        <w:t xml:space="preserve"> disease</w:t>
      </w:r>
      <w:r w:rsidR="00320462" w:rsidRPr="00984C78">
        <w:rPr>
          <w:szCs w:val="22"/>
        </w:rPr>
        <w:t>,</w:t>
      </w:r>
      <w:r w:rsidRPr="00984C78">
        <w:rPr>
          <w:szCs w:val="22"/>
        </w:rPr>
        <w:t xml:space="preserve"> although the following</w:t>
      </w:r>
      <w:r w:rsidR="00320462" w:rsidRPr="00984C78">
        <w:rPr>
          <w:szCs w:val="22"/>
        </w:rPr>
        <w:t xml:space="preserve"> details are</w:t>
      </w:r>
      <w:r w:rsidRPr="00984C78">
        <w:rPr>
          <w:szCs w:val="22"/>
        </w:rPr>
        <w:t xml:space="preserve"> missing:</w:t>
      </w:r>
    </w:p>
    <w:p w:rsidR="00B9057E" w:rsidRPr="00984C78" w:rsidRDefault="00B9057E" w:rsidP="006B764E">
      <w:pPr>
        <w:pStyle w:val="ListParagraph"/>
        <w:widowControl/>
        <w:numPr>
          <w:ilvl w:val="0"/>
          <w:numId w:val="8"/>
        </w:numPr>
        <w:ind w:left="993" w:hanging="284"/>
        <w:rPr>
          <w:szCs w:val="22"/>
        </w:rPr>
      </w:pPr>
      <w:r w:rsidRPr="00984C78">
        <w:rPr>
          <w:szCs w:val="22"/>
        </w:rPr>
        <w:t xml:space="preserve">For initial treatment: “All tests and assessments should be performed preferably whilst still on treatment, but no longer than 1 month following cessation of the most recent prior treatment. The most recent </w:t>
      </w:r>
      <w:r w:rsidR="00634535">
        <w:rPr>
          <w:szCs w:val="22"/>
        </w:rPr>
        <w:t>Crohn’s</w:t>
      </w:r>
      <w:r w:rsidRPr="00984C78">
        <w:rPr>
          <w:szCs w:val="22"/>
        </w:rPr>
        <w:t xml:space="preserve"> Disease Activity Index (CDAI) assessment must be no more than 1 month old at the time of application.”</w:t>
      </w:r>
    </w:p>
    <w:p w:rsidR="00B9057E" w:rsidRPr="00984C78" w:rsidRDefault="00B9057E" w:rsidP="006B764E">
      <w:pPr>
        <w:pStyle w:val="ListParagraph"/>
        <w:widowControl/>
        <w:numPr>
          <w:ilvl w:val="0"/>
          <w:numId w:val="8"/>
        </w:numPr>
        <w:ind w:left="993" w:hanging="284"/>
        <w:rPr>
          <w:szCs w:val="22"/>
        </w:rPr>
      </w:pPr>
      <w:r w:rsidRPr="00984C78">
        <w:rPr>
          <w:szCs w:val="22"/>
        </w:rPr>
        <w:t xml:space="preserve">For continuing treatment: “The assessment of the patient's response to a continuing course of therapy must be made within the 4 weeks prior to completion of that course and posted to Medicare Australia no less than 2 weeks prior to the date the next dose is scheduled, in order to ensure continuity of treatment for those patients who meet the continuation criterion. Where an assessment is not submitted to Medicare Australia within these timeframes, patients will be deemed to have failed to respond, or to have failed to sustain a response, to treatment with </w:t>
      </w:r>
      <w:proofErr w:type="spellStart"/>
      <w:r w:rsidRPr="00984C78">
        <w:rPr>
          <w:szCs w:val="22"/>
        </w:rPr>
        <w:t>vedolizumab</w:t>
      </w:r>
      <w:proofErr w:type="spellEnd"/>
      <w:r w:rsidRPr="00984C78">
        <w:rPr>
          <w:szCs w:val="22"/>
        </w:rPr>
        <w:t>.”</w:t>
      </w:r>
    </w:p>
    <w:p w:rsidR="00B9057E" w:rsidRPr="00984C78" w:rsidRDefault="00B9057E" w:rsidP="00B9057E">
      <w:pPr>
        <w:pStyle w:val="ListParagraph"/>
        <w:widowControl/>
        <w:rPr>
          <w:szCs w:val="22"/>
        </w:rPr>
      </w:pPr>
      <w:r w:rsidRPr="00984C78">
        <w:rPr>
          <w:szCs w:val="22"/>
        </w:rPr>
        <w:t>The PBAC consider</w:t>
      </w:r>
      <w:r w:rsidR="007E1274">
        <w:rPr>
          <w:szCs w:val="22"/>
        </w:rPr>
        <w:t>ed</w:t>
      </w:r>
      <w:r w:rsidRPr="00984C78">
        <w:rPr>
          <w:szCs w:val="22"/>
        </w:rPr>
        <w:t xml:space="preserve"> these restrictions should also be included.</w:t>
      </w:r>
    </w:p>
    <w:p w:rsidR="00B9057E" w:rsidRPr="00984C78" w:rsidRDefault="00B9057E" w:rsidP="00B9057E">
      <w:pPr>
        <w:pStyle w:val="ListParagraph"/>
        <w:widowControl/>
        <w:rPr>
          <w:szCs w:val="22"/>
        </w:rPr>
      </w:pPr>
    </w:p>
    <w:p w:rsidR="002C2775" w:rsidRPr="00E753B0" w:rsidRDefault="00857E59" w:rsidP="006B764E">
      <w:pPr>
        <w:pStyle w:val="ListParagraph"/>
        <w:widowControl/>
        <w:numPr>
          <w:ilvl w:val="1"/>
          <w:numId w:val="3"/>
        </w:numPr>
        <w:rPr>
          <w:szCs w:val="22"/>
        </w:rPr>
      </w:pPr>
      <w:r w:rsidRPr="00984C78">
        <w:rPr>
          <w:szCs w:val="22"/>
        </w:rPr>
        <w:t xml:space="preserve">The requested PBS restriction </w:t>
      </w:r>
      <w:r w:rsidR="00173DDB" w:rsidRPr="00984C78">
        <w:rPr>
          <w:szCs w:val="22"/>
        </w:rPr>
        <w:t>i</w:t>
      </w:r>
      <w:r w:rsidRPr="00984C78">
        <w:rPr>
          <w:szCs w:val="22"/>
        </w:rPr>
        <w:t>s</w:t>
      </w:r>
      <w:r w:rsidR="00A169D4" w:rsidRPr="00984C78">
        <w:rPr>
          <w:szCs w:val="22"/>
        </w:rPr>
        <w:t xml:space="preserve"> </w:t>
      </w:r>
      <w:r w:rsidR="00A169D4" w:rsidRPr="00984C78">
        <w:rPr>
          <w:szCs w:val="22"/>
          <w:u w:val="single"/>
        </w:rPr>
        <w:t>not</w:t>
      </w:r>
      <w:r w:rsidR="00A169D4" w:rsidRPr="00984C78">
        <w:rPr>
          <w:szCs w:val="22"/>
        </w:rPr>
        <w:t xml:space="preserve"> </w:t>
      </w:r>
      <w:r w:rsidR="009B2662">
        <w:rPr>
          <w:szCs w:val="22"/>
        </w:rPr>
        <w:t>in line with the TGA indication as</w:t>
      </w:r>
      <w:r w:rsidR="00A169D4" w:rsidRPr="00984C78">
        <w:rPr>
          <w:szCs w:val="22"/>
        </w:rPr>
        <w:t xml:space="preserve"> t</w:t>
      </w:r>
      <w:r w:rsidRPr="00984C78">
        <w:rPr>
          <w:szCs w:val="22"/>
        </w:rPr>
        <w:t>he PBS restriction also allows</w:t>
      </w:r>
      <w:r w:rsidR="00A169D4" w:rsidRPr="00984C78">
        <w:rPr>
          <w:szCs w:val="22"/>
        </w:rPr>
        <w:t xml:space="preserve"> for the treatment of</w:t>
      </w:r>
      <w:r w:rsidR="006C5C01" w:rsidRPr="00984C78">
        <w:rPr>
          <w:rStyle w:val="CommentReference"/>
          <w:rFonts w:cs="Times New Roman"/>
        </w:rPr>
        <w:t xml:space="preserve"> </w:t>
      </w:r>
      <w:r w:rsidR="006C5C01" w:rsidRPr="00984C78">
        <w:t>children aged 0 to 17</w:t>
      </w:r>
      <w:r w:rsidR="00A169D4" w:rsidRPr="00984C78">
        <w:rPr>
          <w:szCs w:val="22"/>
        </w:rPr>
        <w:t>, while the TGA ind</w:t>
      </w:r>
      <w:r w:rsidRPr="00984C78">
        <w:rPr>
          <w:szCs w:val="22"/>
        </w:rPr>
        <w:t>ication restricts</w:t>
      </w:r>
      <w:r w:rsidR="00A169D4" w:rsidRPr="00984C78">
        <w:rPr>
          <w:szCs w:val="22"/>
        </w:rPr>
        <w:t xml:space="preserve"> treatment to adults</w:t>
      </w:r>
      <w:r w:rsidR="00C32EC9">
        <w:rPr>
          <w:szCs w:val="22"/>
        </w:rPr>
        <w:t>.</w:t>
      </w:r>
      <w:r w:rsidRPr="00984C78">
        <w:rPr>
          <w:szCs w:val="22"/>
        </w:rPr>
        <w:t xml:space="preserve"> </w:t>
      </w:r>
      <w:r w:rsidRPr="00984C78">
        <w:t>The ESC noted</w:t>
      </w:r>
      <w:r w:rsidR="00725694" w:rsidRPr="00984C78">
        <w:t xml:space="preserve"> the TGA indication suggest</w:t>
      </w:r>
      <w:r w:rsidR="00136747" w:rsidRPr="00984C78">
        <w:t>s</w:t>
      </w:r>
      <w:r w:rsidR="00C24A50" w:rsidRPr="00984C78">
        <w:t xml:space="preserve"> </w:t>
      </w:r>
      <w:proofErr w:type="spellStart"/>
      <w:r w:rsidR="00C24A50" w:rsidRPr="00984C78">
        <w:t>vedolizumab</w:t>
      </w:r>
      <w:proofErr w:type="spellEnd"/>
      <w:r w:rsidR="00C24A50" w:rsidRPr="00984C78">
        <w:t xml:space="preserve"> could be used as second line</w:t>
      </w:r>
      <w:r w:rsidR="00CE7785">
        <w:t xml:space="preserve"> therapy</w:t>
      </w:r>
      <w:r w:rsidR="00725694" w:rsidRPr="00984C78">
        <w:t xml:space="preserve">.  </w:t>
      </w:r>
      <w:r w:rsidR="00725694" w:rsidRPr="00E753B0">
        <w:rPr>
          <w:szCs w:val="22"/>
        </w:rPr>
        <w:t xml:space="preserve">The ESC considered that the clinical place of </w:t>
      </w:r>
      <w:proofErr w:type="spellStart"/>
      <w:r w:rsidR="00725694" w:rsidRPr="00E753B0">
        <w:rPr>
          <w:szCs w:val="22"/>
        </w:rPr>
        <w:t>vedolizumab</w:t>
      </w:r>
      <w:proofErr w:type="spellEnd"/>
      <w:r w:rsidR="00725694" w:rsidRPr="00E753B0">
        <w:rPr>
          <w:szCs w:val="22"/>
        </w:rPr>
        <w:t xml:space="preserve"> needs to be defined and whether ‘adults’ and ‘failure of a TNF-α antagonist’ </w:t>
      </w:r>
      <w:r w:rsidR="00CE7785">
        <w:rPr>
          <w:szCs w:val="22"/>
        </w:rPr>
        <w:t>should</w:t>
      </w:r>
      <w:r w:rsidR="007F2FBE">
        <w:rPr>
          <w:szCs w:val="22"/>
        </w:rPr>
        <w:t xml:space="preserve"> be</w:t>
      </w:r>
      <w:r w:rsidR="007F2FBE" w:rsidRPr="00E753B0">
        <w:rPr>
          <w:szCs w:val="22"/>
        </w:rPr>
        <w:t xml:space="preserve"> </w:t>
      </w:r>
      <w:r w:rsidR="00725694" w:rsidRPr="00E753B0">
        <w:rPr>
          <w:szCs w:val="22"/>
        </w:rPr>
        <w:t>added to the proposed PBS restriction.</w:t>
      </w:r>
      <w:r w:rsidR="00725694" w:rsidRPr="00E753B0">
        <w:t xml:space="preserve">  </w:t>
      </w:r>
      <w:r w:rsidRPr="00E753B0">
        <w:t xml:space="preserve"> </w:t>
      </w:r>
    </w:p>
    <w:p w:rsidR="0002007E" w:rsidRPr="00984C78" w:rsidRDefault="0002007E" w:rsidP="0002007E">
      <w:pPr>
        <w:pStyle w:val="ListParagraph"/>
        <w:widowControl/>
        <w:rPr>
          <w:szCs w:val="22"/>
        </w:rPr>
      </w:pPr>
    </w:p>
    <w:p w:rsidR="00EA7FA1" w:rsidRPr="00984C78" w:rsidRDefault="00EA7FA1" w:rsidP="006B764E">
      <w:pPr>
        <w:pStyle w:val="ListParagraph"/>
        <w:numPr>
          <w:ilvl w:val="1"/>
          <w:numId w:val="3"/>
        </w:numPr>
        <w:rPr>
          <w:szCs w:val="22"/>
        </w:rPr>
      </w:pPr>
      <w:r w:rsidRPr="00984C78">
        <w:rPr>
          <w:szCs w:val="22"/>
        </w:rPr>
        <w:t xml:space="preserve">The submission requested </w:t>
      </w:r>
      <w:r w:rsidR="00014C98" w:rsidRPr="00984C78">
        <w:rPr>
          <w:szCs w:val="22"/>
        </w:rPr>
        <w:t xml:space="preserve">the PBAC </w:t>
      </w:r>
      <w:r w:rsidR="009B2662">
        <w:rPr>
          <w:szCs w:val="22"/>
        </w:rPr>
        <w:t xml:space="preserve">to </w:t>
      </w:r>
      <w:r w:rsidR="00014C98" w:rsidRPr="00984C78">
        <w:rPr>
          <w:szCs w:val="22"/>
        </w:rPr>
        <w:t xml:space="preserve">consider </w:t>
      </w:r>
      <w:r w:rsidRPr="00984C78">
        <w:rPr>
          <w:szCs w:val="22"/>
        </w:rPr>
        <w:t>w</w:t>
      </w:r>
      <w:r w:rsidR="0002007E" w:rsidRPr="00984C78">
        <w:rPr>
          <w:szCs w:val="22"/>
        </w:rPr>
        <w:t xml:space="preserve">hether patients with short gut syndrome, or an ostomy or extensive small intestine disease should be included in the restriction for </w:t>
      </w:r>
      <w:proofErr w:type="spellStart"/>
      <w:r w:rsidR="0002007E" w:rsidRPr="00984C78">
        <w:rPr>
          <w:szCs w:val="22"/>
        </w:rPr>
        <w:t>vedolizumab</w:t>
      </w:r>
      <w:proofErr w:type="spellEnd"/>
      <w:r w:rsidR="0002007E" w:rsidRPr="00984C78">
        <w:rPr>
          <w:szCs w:val="22"/>
        </w:rPr>
        <w:t>, given that the restrictions for infliximab and adalimumab include these patients. The GEMINI II and II</w:t>
      </w:r>
      <w:r w:rsidR="00AD2758">
        <w:rPr>
          <w:szCs w:val="22"/>
        </w:rPr>
        <w:t>I</w:t>
      </w:r>
      <w:r w:rsidR="0002007E" w:rsidRPr="00984C78">
        <w:rPr>
          <w:szCs w:val="22"/>
        </w:rPr>
        <w:t xml:space="preserve"> trials excluded these patients.</w:t>
      </w:r>
    </w:p>
    <w:p w:rsidR="00EA7FA1" w:rsidRPr="00984C78" w:rsidRDefault="00EA7FA1" w:rsidP="00EA7FA1">
      <w:pPr>
        <w:pStyle w:val="ListParagraph"/>
        <w:rPr>
          <w:szCs w:val="22"/>
        </w:rPr>
      </w:pPr>
    </w:p>
    <w:p w:rsidR="0002007E" w:rsidRPr="00984C78" w:rsidRDefault="00EA7FA1" w:rsidP="006B764E">
      <w:pPr>
        <w:pStyle w:val="ListParagraph"/>
        <w:numPr>
          <w:ilvl w:val="1"/>
          <w:numId w:val="3"/>
        </w:numPr>
        <w:rPr>
          <w:szCs w:val="22"/>
        </w:rPr>
      </w:pPr>
      <w:r w:rsidRPr="00984C78">
        <w:t xml:space="preserve">The submission also requested </w:t>
      </w:r>
      <w:r w:rsidR="00014C98" w:rsidRPr="00984C78">
        <w:t xml:space="preserve">the PBAC </w:t>
      </w:r>
      <w:r w:rsidR="00BC6B17">
        <w:t xml:space="preserve">to </w:t>
      </w:r>
      <w:r w:rsidR="00014C98" w:rsidRPr="00984C78">
        <w:t xml:space="preserve">consider </w:t>
      </w:r>
      <w:r w:rsidRPr="00984C78">
        <w:t xml:space="preserve">whether a grandfathering provision be included to allow for patients who have started treatment with </w:t>
      </w:r>
      <w:proofErr w:type="spellStart"/>
      <w:r w:rsidRPr="00984C78">
        <w:t>vedolizumab</w:t>
      </w:r>
      <w:proofErr w:type="spellEnd"/>
      <w:r w:rsidRPr="00984C78">
        <w:t xml:space="preserve"> prior to it being available on the PBS, to continue with subsidised treatment with </w:t>
      </w:r>
      <w:proofErr w:type="spellStart"/>
      <w:r w:rsidRPr="00984C78">
        <w:t>vedolizumab</w:t>
      </w:r>
      <w:proofErr w:type="spellEnd"/>
      <w:r w:rsidRPr="00984C78">
        <w:t xml:space="preserve"> (N=53). The submission proposed that patients are required to also meet the PBS restrictions (i.e. CDAI≥300 prior to commencing treatment, and have demonstrated or sustained an adequate response to treatment with </w:t>
      </w:r>
      <w:proofErr w:type="spellStart"/>
      <w:r w:rsidRPr="00984C78">
        <w:t>vedolizumab</w:t>
      </w:r>
      <w:proofErr w:type="spellEnd"/>
      <w:r w:rsidRPr="00984C78">
        <w:t>, defined as a reduction in CDAI to ≤ 150).</w:t>
      </w:r>
    </w:p>
    <w:p w:rsidR="00EA7FA1" w:rsidRPr="00984C78" w:rsidRDefault="00EA7FA1" w:rsidP="00A169D4">
      <w:pPr>
        <w:pStyle w:val="ListParagraph"/>
        <w:widowControl/>
        <w:rPr>
          <w:szCs w:val="22"/>
        </w:rPr>
      </w:pPr>
    </w:p>
    <w:p w:rsidR="00EA7FA1" w:rsidRPr="00984C78" w:rsidRDefault="00B9057E" w:rsidP="006B764E">
      <w:pPr>
        <w:pStyle w:val="ListParagraph"/>
        <w:widowControl/>
        <w:numPr>
          <w:ilvl w:val="1"/>
          <w:numId w:val="3"/>
        </w:numPr>
        <w:rPr>
          <w:szCs w:val="22"/>
        </w:rPr>
      </w:pPr>
      <w:r w:rsidRPr="00984C78">
        <w:rPr>
          <w:szCs w:val="22"/>
        </w:rPr>
        <w:lastRenderedPageBreak/>
        <w:t xml:space="preserve">The requested basis for listing is cost-minimisation against two comparators, infliximab and adalimumab. </w:t>
      </w:r>
    </w:p>
    <w:p w:rsidR="00786E62" w:rsidRPr="00984C78" w:rsidRDefault="00786E62" w:rsidP="00786E62">
      <w:pPr>
        <w:widowControl/>
        <w:rPr>
          <w:szCs w:val="22"/>
        </w:rPr>
      </w:pPr>
    </w:p>
    <w:p w:rsidR="00EA7FA1" w:rsidRPr="00984C78" w:rsidRDefault="00151405" w:rsidP="006B764E">
      <w:pPr>
        <w:pStyle w:val="ListParagraph"/>
        <w:widowControl/>
        <w:numPr>
          <w:ilvl w:val="1"/>
          <w:numId w:val="3"/>
        </w:numPr>
        <w:rPr>
          <w:szCs w:val="22"/>
        </w:rPr>
      </w:pPr>
      <w:r w:rsidRPr="00984C78">
        <w:rPr>
          <w:szCs w:val="22"/>
        </w:rPr>
        <w:t>The submission stated that the restriction includes a requirement for patients to undergo screening and ongoing monitoring f</w:t>
      </w:r>
      <w:r w:rsidR="00F02414" w:rsidRPr="00984C78">
        <w:rPr>
          <w:szCs w:val="22"/>
        </w:rPr>
        <w:t xml:space="preserve">or </w:t>
      </w:r>
      <w:r w:rsidR="008B17F2">
        <w:rPr>
          <w:szCs w:val="22"/>
        </w:rPr>
        <w:t>progressive multifocal leukoencephalopathy (</w:t>
      </w:r>
      <w:r w:rsidR="00F02414" w:rsidRPr="00984C78">
        <w:rPr>
          <w:szCs w:val="22"/>
        </w:rPr>
        <w:t>PML</w:t>
      </w:r>
      <w:r w:rsidR="008B17F2">
        <w:rPr>
          <w:szCs w:val="22"/>
        </w:rPr>
        <w:t>)</w:t>
      </w:r>
      <w:r w:rsidR="00F02414" w:rsidRPr="00984C78">
        <w:rPr>
          <w:szCs w:val="22"/>
        </w:rPr>
        <w:t xml:space="preserve"> </w:t>
      </w:r>
      <w:proofErr w:type="gramStart"/>
      <w:r w:rsidRPr="00984C78">
        <w:rPr>
          <w:szCs w:val="22"/>
        </w:rPr>
        <w:t>however</w:t>
      </w:r>
      <w:r w:rsidR="00F02414" w:rsidRPr="00984C78">
        <w:rPr>
          <w:szCs w:val="22"/>
        </w:rPr>
        <w:t>,</w:t>
      </w:r>
      <w:proofErr w:type="gramEnd"/>
      <w:r w:rsidRPr="00984C78">
        <w:rPr>
          <w:szCs w:val="22"/>
        </w:rPr>
        <w:t xml:space="preserve"> this was not included in the restriction,</w:t>
      </w:r>
      <w:r w:rsidR="00F02414" w:rsidRPr="00984C78">
        <w:rPr>
          <w:szCs w:val="22"/>
        </w:rPr>
        <w:t xml:space="preserve"> economic evaluation and financial implications</w:t>
      </w:r>
      <w:r w:rsidRPr="00984C78">
        <w:rPr>
          <w:szCs w:val="22"/>
        </w:rPr>
        <w:t xml:space="preserve">. </w:t>
      </w:r>
      <w:r w:rsidR="00604214">
        <w:rPr>
          <w:szCs w:val="22"/>
        </w:rPr>
        <w:t>The</w:t>
      </w:r>
      <w:r w:rsidR="009736D7">
        <w:rPr>
          <w:szCs w:val="22"/>
        </w:rPr>
        <w:t xml:space="preserve"> sponsor in its</w:t>
      </w:r>
      <w:r w:rsidR="00604214">
        <w:rPr>
          <w:szCs w:val="22"/>
        </w:rPr>
        <w:t xml:space="preserve"> Pre-PBAC Response stated that </w:t>
      </w:r>
      <w:r w:rsidR="009736D7">
        <w:rPr>
          <w:szCs w:val="22"/>
        </w:rPr>
        <w:t xml:space="preserve">it </w:t>
      </w:r>
      <w:r w:rsidR="00604214">
        <w:rPr>
          <w:szCs w:val="22"/>
        </w:rPr>
        <w:t>is willing to incl</w:t>
      </w:r>
      <w:r w:rsidR="009736D7">
        <w:rPr>
          <w:szCs w:val="22"/>
        </w:rPr>
        <w:t>ude</w:t>
      </w:r>
      <w:r w:rsidR="00604214">
        <w:rPr>
          <w:szCs w:val="22"/>
        </w:rPr>
        <w:t xml:space="preserve"> the cost of managing screening and monitoring for PML (estimated $</w:t>
      </w:r>
      <w:r w:rsidR="004165CE">
        <w:rPr>
          <w:noProof/>
          <w:color w:val="000000"/>
          <w:szCs w:val="22"/>
          <w:highlight w:val="black"/>
        </w:rPr>
        <w:t>'''''''''''''</w:t>
      </w:r>
      <w:r w:rsidR="00604214">
        <w:rPr>
          <w:szCs w:val="22"/>
        </w:rPr>
        <w:t xml:space="preserve">/patient) in </w:t>
      </w:r>
      <w:r w:rsidR="00E92F4F">
        <w:rPr>
          <w:szCs w:val="22"/>
        </w:rPr>
        <w:t>the price of</w:t>
      </w:r>
      <w:r w:rsidR="00604214">
        <w:rPr>
          <w:szCs w:val="22"/>
        </w:rPr>
        <w:t xml:space="preserve"> </w:t>
      </w:r>
      <w:proofErr w:type="spellStart"/>
      <w:r w:rsidR="00604214">
        <w:rPr>
          <w:szCs w:val="22"/>
        </w:rPr>
        <w:t>vedolizumab</w:t>
      </w:r>
      <w:proofErr w:type="spellEnd"/>
      <w:r w:rsidR="00E92F4F">
        <w:rPr>
          <w:szCs w:val="22"/>
        </w:rPr>
        <w:t>.  The calculated price will be used in</w:t>
      </w:r>
      <w:r w:rsidR="00E37500">
        <w:rPr>
          <w:szCs w:val="22"/>
        </w:rPr>
        <w:t xml:space="preserve"> the cost-minimisation analysis against infliximab and adalimumab. </w:t>
      </w:r>
    </w:p>
    <w:p w:rsidR="004E43B2" w:rsidRPr="00984C78" w:rsidRDefault="004E43B2" w:rsidP="004B1CB4"/>
    <w:p w:rsidR="00984C78" w:rsidRDefault="00984C78" w:rsidP="00984C78">
      <w:pPr>
        <w:tabs>
          <w:tab w:val="left" w:pos="1125"/>
        </w:tabs>
      </w:pPr>
      <w:r>
        <w:t xml:space="preserve">            </w:t>
      </w:r>
      <w:r w:rsidRPr="00890789">
        <w:rPr>
          <w:i/>
          <w:szCs w:val="22"/>
        </w:rPr>
        <w:t>For more detail on PBAC’s view, see section 7 “PBAC outcome”</w:t>
      </w:r>
    </w:p>
    <w:p w:rsidR="00F02414" w:rsidRDefault="00984C78" w:rsidP="00984C78">
      <w:pPr>
        <w:tabs>
          <w:tab w:val="left" w:pos="1125"/>
        </w:tabs>
      </w:pPr>
      <w:r>
        <w:tab/>
      </w:r>
    </w:p>
    <w:p w:rsidR="00CF0D2C" w:rsidRPr="00984C78" w:rsidRDefault="00CF0D2C" w:rsidP="00984C78">
      <w:pPr>
        <w:tabs>
          <w:tab w:val="left" w:pos="1125"/>
        </w:tabs>
      </w:pPr>
    </w:p>
    <w:p w:rsidR="00B50DB8" w:rsidRPr="00984C78" w:rsidRDefault="00B50DB8" w:rsidP="00BD6CF3">
      <w:pPr>
        <w:pStyle w:val="PBACHeading1"/>
      </w:pPr>
      <w:bookmarkStart w:id="3" w:name="_Toc409097579"/>
      <w:r w:rsidRPr="00984C78">
        <w:t>Background</w:t>
      </w:r>
      <w:bookmarkEnd w:id="3"/>
    </w:p>
    <w:p w:rsidR="0005097C" w:rsidRPr="00984C78" w:rsidRDefault="0005097C" w:rsidP="0005097C">
      <w:pPr>
        <w:pStyle w:val="PBACHeading1"/>
        <w:numPr>
          <w:ilvl w:val="0"/>
          <w:numId w:val="0"/>
        </w:numPr>
        <w:ind w:left="720"/>
      </w:pPr>
    </w:p>
    <w:p w:rsidR="00B60939" w:rsidRPr="00984C78" w:rsidRDefault="00F268E1" w:rsidP="006B764E">
      <w:pPr>
        <w:pStyle w:val="ListParagraph"/>
        <w:widowControl/>
        <w:numPr>
          <w:ilvl w:val="1"/>
          <w:numId w:val="3"/>
        </w:numPr>
        <w:rPr>
          <w:szCs w:val="22"/>
        </w:rPr>
      </w:pPr>
      <w:proofErr w:type="spellStart"/>
      <w:r w:rsidRPr="00984C78">
        <w:rPr>
          <w:szCs w:val="22"/>
        </w:rPr>
        <w:t>Vedolizumab</w:t>
      </w:r>
      <w:proofErr w:type="spellEnd"/>
      <w:r w:rsidRPr="00984C78">
        <w:rPr>
          <w:szCs w:val="22"/>
        </w:rPr>
        <w:t xml:space="preserve"> </w:t>
      </w:r>
      <w:r w:rsidR="00786E62" w:rsidRPr="00984C78">
        <w:rPr>
          <w:szCs w:val="22"/>
        </w:rPr>
        <w:t>i</w:t>
      </w:r>
      <w:r w:rsidR="00B60939" w:rsidRPr="00984C78">
        <w:rPr>
          <w:szCs w:val="22"/>
        </w:rPr>
        <w:t xml:space="preserve">s TGA registered </w:t>
      </w:r>
      <w:r w:rsidR="00C54996" w:rsidRPr="00984C78">
        <w:rPr>
          <w:szCs w:val="22"/>
        </w:rPr>
        <w:t>for</w:t>
      </w:r>
      <w:r w:rsidR="00D24C72" w:rsidRPr="00984C78">
        <w:rPr>
          <w:szCs w:val="22"/>
        </w:rPr>
        <w:t xml:space="preserve"> </w:t>
      </w:r>
      <w:r w:rsidR="00C54996" w:rsidRPr="00984C78">
        <w:rPr>
          <w:szCs w:val="22"/>
        </w:rPr>
        <w:t xml:space="preserve">the treatment of adult patients with moderate to severe </w:t>
      </w:r>
      <w:r w:rsidR="00D73962">
        <w:rPr>
          <w:szCs w:val="22"/>
        </w:rPr>
        <w:t>Crohn’s</w:t>
      </w:r>
      <w:r w:rsidR="00C54996" w:rsidRPr="00984C78">
        <w:rPr>
          <w:szCs w:val="22"/>
        </w:rPr>
        <w:t xml:space="preserve"> disease who have had an inadequate response with, lost response to, or are intolerant to either conventional therapy or a tumour necrosis factor-alpha (</w:t>
      </w:r>
      <w:r w:rsidR="00320AD7" w:rsidRPr="00984C78">
        <w:rPr>
          <w:szCs w:val="22"/>
        </w:rPr>
        <w:t>TNF-α</w:t>
      </w:r>
      <w:r w:rsidR="00C54996" w:rsidRPr="00984C78">
        <w:rPr>
          <w:szCs w:val="22"/>
        </w:rPr>
        <w:t>) antagonist.</w:t>
      </w:r>
      <w:r w:rsidRPr="00984C78">
        <w:rPr>
          <w:szCs w:val="22"/>
        </w:rPr>
        <w:t xml:space="preserve">  </w:t>
      </w:r>
    </w:p>
    <w:p w:rsidR="00D01D8B" w:rsidRPr="00984C78" w:rsidRDefault="00D01D8B" w:rsidP="00D01D8B">
      <w:pPr>
        <w:pStyle w:val="ListParagraph"/>
        <w:widowControl/>
        <w:rPr>
          <w:szCs w:val="22"/>
        </w:rPr>
      </w:pPr>
    </w:p>
    <w:p w:rsidR="002C2775" w:rsidRPr="00984C78" w:rsidRDefault="00F268E1" w:rsidP="006B764E">
      <w:pPr>
        <w:pStyle w:val="ListParagraph"/>
        <w:widowControl/>
        <w:numPr>
          <w:ilvl w:val="1"/>
          <w:numId w:val="3"/>
        </w:numPr>
        <w:rPr>
          <w:szCs w:val="22"/>
        </w:rPr>
      </w:pPr>
      <w:r w:rsidRPr="00984C78">
        <w:rPr>
          <w:szCs w:val="22"/>
        </w:rPr>
        <w:t>The PBAC ha</w:t>
      </w:r>
      <w:r w:rsidR="00D17DA6">
        <w:rPr>
          <w:szCs w:val="22"/>
        </w:rPr>
        <w:t>d</w:t>
      </w:r>
      <w:r w:rsidRPr="00984C78">
        <w:rPr>
          <w:szCs w:val="22"/>
        </w:rPr>
        <w:t xml:space="preserve"> not previously considered </w:t>
      </w:r>
      <w:proofErr w:type="spellStart"/>
      <w:r w:rsidRPr="00984C78">
        <w:rPr>
          <w:szCs w:val="22"/>
        </w:rPr>
        <w:t>vedolizumab</w:t>
      </w:r>
      <w:proofErr w:type="spellEnd"/>
      <w:r w:rsidR="006C5C01" w:rsidRPr="00984C78">
        <w:rPr>
          <w:szCs w:val="22"/>
        </w:rPr>
        <w:t xml:space="preserve"> for the indication of </w:t>
      </w:r>
      <w:r w:rsidR="00D73962">
        <w:rPr>
          <w:szCs w:val="22"/>
        </w:rPr>
        <w:t>Crohn’s</w:t>
      </w:r>
      <w:r w:rsidR="006C5C01" w:rsidRPr="00984C78">
        <w:rPr>
          <w:szCs w:val="22"/>
        </w:rPr>
        <w:t xml:space="preserve"> disease</w:t>
      </w:r>
      <w:r w:rsidRPr="00984C78">
        <w:rPr>
          <w:szCs w:val="22"/>
        </w:rPr>
        <w:t xml:space="preserve">. </w:t>
      </w:r>
    </w:p>
    <w:p w:rsidR="00F268E1" w:rsidRPr="00984C78" w:rsidRDefault="00F268E1">
      <w:pPr>
        <w:widowControl/>
        <w:snapToGrid/>
        <w:jc w:val="left"/>
      </w:pPr>
    </w:p>
    <w:p w:rsidR="00984C78" w:rsidRPr="00984C78" w:rsidRDefault="00984C78" w:rsidP="00E54A0A">
      <w:pPr>
        <w:widowControl/>
        <w:snapToGrid/>
        <w:jc w:val="left"/>
      </w:pPr>
    </w:p>
    <w:p w:rsidR="00B60939" w:rsidRPr="00984C78" w:rsidRDefault="00B50DB8" w:rsidP="00B60939">
      <w:pPr>
        <w:pStyle w:val="PBACHeading1"/>
      </w:pPr>
      <w:bookmarkStart w:id="4" w:name="_Toc409097580"/>
      <w:r w:rsidRPr="00984C78">
        <w:t>Clinical place for the proposed therapy</w:t>
      </w:r>
      <w:bookmarkEnd w:id="4"/>
    </w:p>
    <w:p w:rsidR="0005097C" w:rsidRPr="00984C78" w:rsidRDefault="0005097C" w:rsidP="0005097C">
      <w:pPr>
        <w:pStyle w:val="PBACHeading1"/>
        <w:numPr>
          <w:ilvl w:val="0"/>
          <w:numId w:val="0"/>
        </w:numPr>
        <w:ind w:left="720"/>
      </w:pPr>
    </w:p>
    <w:p w:rsidR="00B60939" w:rsidRPr="00984C78" w:rsidRDefault="006643D9" w:rsidP="006B764E">
      <w:pPr>
        <w:pStyle w:val="ListParagraph"/>
        <w:widowControl/>
        <w:numPr>
          <w:ilvl w:val="1"/>
          <w:numId w:val="3"/>
        </w:numPr>
        <w:rPr>
          <w:szCs w:val="22"/>
        </w:rPr>
      </w:pPr>
      <w:r w:rsidRPr="00984C78">
        <w:t xml:space="preserve">The submission proposed </w:t>
      </w:r>
      <w:proofErr w:type="spellStart"/>
      <w:r w:rsidRPr="00984C78">
        <w:t>vedolizumab</w:t>
      </w:r>
      <w:proofErr w:type="spellEnd"/>
      <w:r w:rsidRPr="00984C78">
        <w:t xml:space="preserve"> for the t</w:t>
      </w:r>
      <w:r w:rsidR="00063609" w:rsidRPr="00984C78">
        <w:t xml:space="preserve">reatment of moderate to severe </w:t>
      </w:r>
      <w:r w:rsidR="00D73962">
        <w:t>Crohn’s</w:t>
      </w:r>
      <w:r w:rsidR="00063609" w:rsidRPr="00984C78">
        <w:t xml:space="preserve"> disease after </w:t>
      </w:r>
      <w:r w:rsidR="00531F28" w:rsidRPr="00984C78">
        <w:t xml:space="preserve">failure of </w:t>
      </w:r>
      <w:r w:rsidR="00063609" w:rsidRPr="00984C78">
        <w:t xml:space="preserve">the conventional agents (5-ASAs, corticosteroids, and </w:t>
      </w:r>
      <w:proofErr w:type="spellStart"/>
      <w:r w:rsidR="00063609" w:rsidRPr="00984C78">
        <w:t>immunomodulators</w:t>
      </w:r>
      <w:proofErr w:type="spellEnd"/>
      <w:r w:rsidR="00063609" w:rsidRPr="00984C78">
        <w:t xml:space="preserve">), </w:t>
      </w:r>
      <w:r w:rsidR="00531F28" w:rsidRPr="00984C78">
        <w:t xml:space="preserve">as </w:t>
      </w:r>
      <w:r w:rsidR="00063609" w:rsidRPr="00984C78">
        <w:t>for infliximab and adalimumab</w:t>
      </w:r>
      <w:r w:rsidR="00B01597" w:rsidRPr="00984C78">
        <w:t xml:space="preserve"> (i.e. f</w:t>
      </w:r>
      <w:r w:rsidR="00063609" w:rsidRPr="00984C78">
        <w:rPr>
          <w:szCs w:val="22"/>
        </w:rPr>
        <w:t>irst line biologic therapy</w:t>
      </w:r>
      <w:r w:rsidR="00B01597" w:rsidRPr="00984C78">
        <w:rPr>
          <w:szCs w:val="22"/>
        </w:rPr>
        <w:t>)</w:t>
      </w:r>
      <w:r w:rsidR="00063609" w:rsidRPr="00984C78">
        <w:rPr>
          <w:szCs w:val="22"/>
        </w:rPr>
        <w:t>.</w:t>
      </w:r>
    </w:p>
    <w:p w:rsidR="006C5C01" w:rsidRDefault="006C5C01" w:rsidP="00E678E3">
      <w:pPr>
        <w:widowControl/>
        <w:snapToGrid/>
        <w:jc w:val="left"/>
        <w:rPr>
          <w:szCs w:val="22"/>
        </w:rPr>
      </w:pPr>
    </w:p>
    <w:p w:rsidR="00984C78" w:rsidRDefault="00984C78" w:rsidP="00984C78">
      <w:pPr>
        <w:widowControl/>
        <w:snapToGrid/>
        <w:ind w:left="720"/>
        <w:jc w:val="left"/>
        <w:rPr>
          <w:i/>
          <w:szCs w:val="22"/>
        </w:rPr>
      </w:pPr>
      <w:r w:rsidRPr="00890789">
        <w:rPr>
          <w:i/>
          <w:szCs w:val="22"/>
        </w:rPr>
        <w:t>For more detail on PBAC’s view, see section 7 “PBAC outcome”</w:t>
      </w:r>
    </w:p>
    <w:p w:rsidR="00984C78" w:rsidRDefault="00984C78" w:rsidP="00984C78">
      <w:pPr>
        <w:widowControl/>
        <w:snapToGrid/>
        <w:ind w:left="720"/>
        <w:jc w:val="left"/>
        <w:rPr>
          <w:szCs w:val="22"/>
        </w:rPr>
      </w:pPr>
    </w:p>
    <w:p w:rsidR="00984C78" w:rsidRPr="00984C78" w:rsidRDefault="00984C78" w:rsidP="00E678E3">
      <w:pPr>
        <w:widowControl/>
        <w:snapToGrid/>
        <w:jc w:val="left"/>
        <w:rPr>
          <w:szCs w:val="22"/>
        </w:rPr>
      </w:pPr>
    </w:p>
    <w:p w:rsidR="00B60939" w:rsidRPr="00984C78" w:rsidRDefault="00B50DB8" w:rsidP="006C5C01">
      <w:pPr>
        <w:pStyle w:val="PBACHeading1"/>
      </w:pPr>
      <w:r w:rsidRPr="00984C78">
        <w:t>Comparator</w:t>
      </w:r>
    </w:p>
    <w:p w:rsidR="0005097C" w:rsidRPr="00984C78" w:rsidRDefault="0005097C" w:rsidP="0005097C">
      <w:pPr>
        <w:pStyle w:val="Header"/>
        <w:widowControl/>
        <w:tabs>
          <w:tab w:val="clear" w:pos="4513"/>
          <w:tab w:val="clear" w:pos="9026"/>
        </w:tabs>
        <w:ind w:left="720"/>
        <w:rPr>
          <w:b/>
          <w:szCs w:val="22"/>
        </w:rPr>
      </w:pPr>
    </w:p>
    <w:p w:rsidR="002C2775" w:rsidRPr="00984C78" w:rsidRDefault="00D24C72" w:rsidP="006B764E">
      <w:pPr>
        <w:pStyle w:val="ListParagraph"/>
        <w:widowControl/>
        <w:numPr>
          <w:ilvl w:val="1"/>
          <w:numId w:val="3"/>
        </w:numPr>
        <w:rPr>
          <w:szCs w:val="22"/>
        </w:rPr>
      </w:pPr>
      <w:r w:rsidRPr="00984C78">
        <w:t xml:space="preserve">Infliximab and adalimumab. </w:t>
      </w:r>
      <w:r w:rsidR="00B4718F" w:rsidRPr="00984C78">
        <w:t>The</w:t>
      </w:r>
      <w:r w:rsidR="006643D9" w:rsidRPr="00984C78">
        <w:t xml:space="preserve"> ESC agreed these </w:t>
      </w:r>
      <w:r w:rsidR="00B4718F" w:rsidRPr="00984C78">
        <w:t xml:space="preserve">comparators </w:t>
      </w:r>
      <w:r w:rsidR="006643D9" w:rsidRPr="00984C78">
        <w:t>we</w:t>
      </w:r>
      <w:r w:rsidR="00B4718F" w:rsidRPr="00984C78">
        <w:t>re appropriate</w:t>
      </w:r>
      <w:r w:rsidR="006643D9" w:rsidRPr="00984C78">
        <w:t>.</w:t>
      </w:r>
      <w:r w:rsidR="00B4718F" w:rsidRPr="00984C78">
        <w:t xml:space="preserve"> </w:t>
      </w:r>
      <w:r w:rsidR="004C5361" w:rsidRPr="00984C78">
        <w:t xml:space="preserve">However, the ESC also considered </w:t>
      </w:r>
      <w:r w:rsidR="00B4718F" w:rsidRPr="00984C78">
        <w:t xml:space="preserve">given that </w:t>
      </w:r>
      <w:proofErr w:type="spellStart"/>
      <w:r w:rsidR="00B4718F" w:rsidRPr="00984C78">
        <w:t>vedolizumab</w:t>
      </w:r>
      <w:proofErr w:type="spellEnd"/>
      <w:r w:rsidR="00B4718F" w:rsidRPr="00984C78">
        <w:t xml:space="preserve"> was inferior to a </w:t>
      </w:r>
      <w:r w:rsidR="00320AD7" w:rsidRPr="00984C78">
        <w:t>TNF-α</w:t>
      </w:r>
      <w:r w:rsidR="00B4718F" w:rsidRPr="00984C78">
        <w:t xml:space="preserve"> antagonist on </w:t>
      </w:r>
      <w:r w:rsidR="006643D9" w:rsidRPr="00984C78">
        <w:t xml:space="preserve">many </w:t>
      </w:r>
      <w:r w:rsidR="00B4718F" w:rsidRPr="00984C78">
        <w:t xml:space="preserve">outcome measures and that 50% to 76% of patients in the key clinical trials provided had received prior treatment with </w:t>
      </w:r>
      <w:r w:rsidR="00320AD7" w:rsidRPr="00984C78">
        <w:t>TNF-α</w:t>
      </w:r>
      <w:r w:rsidR="00B4718F" w:rsidRPr="00984C78">
        <w:t xml:space="preserve"> antagonist therapy, the PBAC should consider whether </w:t>
      </w:r>
      <w:proofErr w:type="spellStart"/>
      <w:r w:rsidR="00B4718F" w:rsidRPr="00984C78">
        <w:t>vedolizumab</w:t>
      </w:r>
      <w:proofErr w:type="spellEnd"/>
      <w:r w:rsidR="00B4718F" w:rsidRPr="00984C78">
        <w:t xml:space="preserve"> would be used as second-line or third-line therapy and thus whether </w:t>
      </w:r>
      <w:r w:rsidR="00A91B92">
        <w:t>best supportive care (</w:t>
      </w:r>
      <w:r w:rsidR="00B4718F" w:rsidRPr="00984C78">
        <w:t>BSC</w:t>
      </w:r>
      <w:r w:rsidR="00A91B92">
        <w:t>)</w:t>
      </w:r>
      <w:r w:rsidR="00B4718F" w:rsidRPr="00984C78">
        <w:t xml:space="preserve"> would </w:t>
      </w:r>
      <w:r w:rsidR="00E2305A" w:rsidRPr="00984C78">
        <w:t xml:space="preserve">also </w:t>
      </w:r>
      <w:r w:rsidR="00B4718F" w:rsidRPr="00984C78">
        <w:t xml:space="preserve">be </w:t>
      </w:r>
      <w:r w:rsidR="00E2305A" w:rsidRPr="00984C78">
        <w:t>an</w:t>
      </w:r>
      <w:r w:rsidR="00B4718F" w:rsidRPr="00984C78">
        <w:t xml:space="preserve"> appropriate comparator in this patient population.</w:t>
      </w:r>
    </w:p>
    <w:p w:rsidR="006C5584" w:rsidRDefault="006C5584" w:rsidP="006C5584">
      <w:pPr>
        <w:widowControl/>
        <w:snapToGrid/>
        <w:jc w:val="left"/>
        <w:rPr>
          <w:szCs w:val="22"/>
        </w:rPr>
      </w:pPr>
    </w:p>
    <w:p w:rsidR="00984C78" w:rsidRDefault="00984C78" w:rsidP="00984C78">
      <w:pPr>
        <w:widowControl/>
        <w:snapToGrid/>
        <w:ind w:left="720"/>
        <w:jc w:val="left"/>
        <w:rPr>
          <w:i/>
          <w:szCs w:val="22"/>
        </w:rPr>
      </w:pPr>
      <w:r w:rsidRPr="00890789">
        <w:rPr>
          <w:i/>
          <w:szCs w:val="22"/>
        </w:rPr>
        <w:t>For more detail on PBAC’s view, see section 7 “PBAC outcome”</w:t>
      </w:r>
    </w:p>
    <w:p w:rsidR="00984C78" w:rsidRPr="00984C78" w:rsidRDefault="00984C78" w:rsidP="00984C78">
      <w:pPr>
        <w:widowControl/>
        <w:snapToGrid/>
        <w:ind w:left="720"/>
        <w:jc w:val="left"/>
        <w:rPr>
          <w:szCs w:val="22"/>
        </w:rPr>
      </w:pPr>
    </w:p>
    <w:p w:rsidR="00F02414" w:rsidRPr="00984C78" w:rsidRDefault="00F02414" w:rsidP="006C5584">
      <w:pPr>
        <w:widowControl/>
        <w:snapToGrid/>
        <w:jc w:val="left"/>
        <w:rPr>
          <w:szCs w:val="22"/>
        </w:rPr>
      </w:pPr>
    </w:p>
    <w:p w:rsidR="00B50DB8" w:rsidRPr="00984C78" w:rsidRDefault="00BD6CF3" w:rsidP="00BD6CF3">
      <w:pPr>
        <w:pStyle w:val="PBACHeading1"/>
      </w:pPr>
      <w:bookmarkStart w:id="5" w:name="_Toc409097581"/>
      <w:r w:rsidRPr="00984C78">
        <w:t>C</w:t>
      </w:r>
      <w:r w:rsidR="00B50DB8" w:rsidRPr="00984C78">
        <w:t>onsideration of the evidence</w:t>
      </w:r>
      <w:bookmarkEnd w:id="5"/>
    </w:p>
    <w:p w:rsidR="00B60939" w:rsidRDefault="00B60939" w:rsidP="004B1CB4"/>
    <w:p w:rsidR="002D30A9" w:rsidRDefault="002D30A9">
      <w:pPr>
        <w:widowControl/>
        <w:snapToGrid/>
        <w:jc w:val="left"/>
        <w:rPr>
          <w:b/>
          <w:bCs/>
        </w:rPr>
      </w:pPr>
      <w:r>
        <w:rPr>
          <w:b/>
          <w:bCs/>
        </w:rPr>
        <w:br w:type="page"/>
      </w:r>
    </w:p>
    <w:p w:rsidR="00EA097C" w:rsidRPr="00BD529B" w:rsidRDefault="00EA097C" w:rsidP="00EA097C">
      <w:pPr>
        <w:rPr>
          <w:b/>
          <w:bCs/>
        </w:rPr>
      </w:pPr>
      <w:r w:rsidRPr="00BD529B">
        <w:rPr>
          <w:b/>
          <w:bCs/>
        </w:rPr>
        <w:lastRenderedPageBreak/>
        <w:t>Sponsor hearing</w:t>
      </w:r>
    </w:p>
    <w:p w:rsidR="00EA097C" w:rsidRPr="00BD529B" w:rsidRDefault="00EA097C" w:rsidP="00EA097C">
      <w:pPr>
        <w:rPr>
          <w:b/>
          <w:bCs/>
        </w:rPr>
      </w:pPr>
    </w:p>
    <w:p w:rsidR="00BD529B" w:rsidRDefault="00C22232" w:rsidP="006B764E">
      <w:pPr>
        <w:numPr>
          <w:ilvl w:val="1"/>
          <w:numId w:val="3"/>
        </w:numPr>
        <w:rPr>
          <w:bCs/>
        </w:rPr>
      </w:pPr>
      <w:r w:rsidRPr="00BD529B">
        <w:rPr>
          <w:bCs/>
        </w:rPr>
        <w:t xml:space="preserve">The sponsor requested a hearing for this item.  The clinician </w:t>
      </w:r>
      <w:r w:rsidR="0086342B" w:rsidRPr="00BD529B">
        <w:rPr>
          <w:bCs/>
        </w:rPr>
        <w:t xml:space="preserve">addressed the main issues raised by ESC regarding the clinical place of </w:t>
      </w:r>
      <w:proofErr w:type="spellStart"/>
      <w:r w:rsidR="0086342B" w:rsidRPr="00BD529B">
        <w:rPr>
          <w:bCs/>
        </w:rPr>
        <w:t>vedolizumab</w:t>
      </w:r>
      <w:proofErr w:type="spellEnd"/>
      <w:r w:rsidR="0086342B" w:rsidRPr="00BD529B">
        <w:rPr>
          <w:bCs/>
        </w:rPr>
        <w:t xml:space="preserve"> in the treatment of </w:t>
      </w:r>
      <w:r w:rsidR="00D73962">
        <w:rPr>
          <w:bCs/>
        </w:rPr>
        <w:t>Crohn’s</w:t>
      </w:r>
      <w:r w:rsidR="0086342B" w:rsidRPr="00BD529B">
        <w:rPr>
          <w:bCs/>
        </w:rPr>
        <w:t xml:space="preserve"> disease</w:t>
      </w:r>
      <w:r w:rsidR="008D0C05" w:rsidRPr="00BD529B">
        <w:rPr>
          <w:bCs/>
        </w:rPr>
        <w:t>, relevance of clinical response v</w:t>
      </w:r>
      <w:r w:rsidR="00BD529B" w:rsidRPr="00BD529B">
        <w:rPr>
          <w:bCs/>
        </w:rPr>
        <w:t>ersus clinical remission, concerns around the non-inferiority claim and theoretical risk for PML.</w:t>
      </w:r>
      <w:r w:rsidR="00442964">
        <w:rPr>
          <w:bCs/>
        </w:rPr>
        <w:t xml:space="preserve"> The clinician advised that clinical remission is a more relevant outcome than clinical re</w:t>
      </w:r>
      <w:r w:rsidR="00D2324E">
        <w:rPr>
          <w:bCs/>
        </w:rPr>
        <w:t>sponse</w:t>
      </w:r>
      <w:r w:rsidR="00442964">
        <w:rPr>
          <w:bCs/>
        </w:rPr>
        <w:t xml:space="preserve"> as the continuation rules for treatment will depend more on remission</w:t>
      </w:r>
      <w:r w:rsidR="00D2324E">
        <w:rPr>
          <w:bCs/>
        </w:rPr>
        <w:t xml:space="preserve"> in clinical practice</w:t>
      </w:r>
      <w:r w:rsidR="00442964">
        <w:rPr>
          <w:bCs/>
        </w:rPr>
        <w:t xml:space="preserve">.  </w:t>
      </w:r>
      <w:r w:rsidR="00BD529B">
        <w:rPr>
          <w:bCs/>
        </w:rPr>
        <w:t xml:space="preserve">  </w:t>
      </w:r>
    </w:p>
    <w:p w:rsidR="00A97C69" w:rsidRDefault="00A97C69" w:rsidP="00A97C69">
      <w:pPr>
        <w:ind w:left="720"/>
        <w:rPr>
          <w:bCs/>
        </w:rPr>
      </w:pPr>
    </w:p>
    <w:p w:rsidR="00C22232" w:rsidRPr="00BD529B" w:rsidRDefault="00BD529B" w:rsidP="006B764E">
      <w:pPr>
        <w:numPr>
          <w:ilvl w:val="1"/>
          <w:numId w:val="3"/>
        </w:numPr>
        <w:rPr>
          <w:bCs/>
        </w:rPr>
      </w:pPr>
      <w:r>
        <w:rPr>
          <w:bCs/>
        </w:rPr>
        <w:t>The PBAC considered that the hearing was informati</w:t>
      </w:r>
      <w:r w:rsidR="006A064E">
        <w:rPr>
          <w:bCs/>
        </w:rPr>
        <w:t xml:space="preserve">ve as it provided </w:t>
      </w:r>
      <w:r w:rsidR="00BC6B17">
        <w:rPr>
          <w:bCs/>
        </w:rPr>
        <w:t xml:space="preserve">a </w:t>
      </w:r>
      <w:r w:rsidR="006A064E">
        <w:rPr>
          <w:bCs/>
        </w:rPr>
        <w:t xml:space="preserve">clinical perspective on treating this condition. </w:t>
      </w:r>
      <w:r w:rsidRPr="00BD529B">
        <w:rPr>
          <w:bCs/>
        </w:rPr>
        <w:t xml:space="preserve">  </w:t>
      </w:r>
      <w:r w:rsidR="008D0C05" w:rsidRPr="00BD529B">
        <w:rPr>
          <w:bCs/>
        </w:rPr>
        <w:t xml:space="preserve"> </w:t>
      </w:r>
      <w:r w:rsidR="0086342B" w:rsidRPr="00BD529B">
        <w:rPr>
          <w:bCs/>
        </w:rPr>
        <w:t xml:space="preserve">   </w:t>
      </w:r>
    </w:p>
    <w:p w:rsidR="00EA097C" w:rsidRPr="00EA097C" w:rsidRDefault="00EA097C" w:rsidP="00EA097C">
      <w:pPr>
        <w:rPr>
          <w:bCs/>
          <w:highlight w:val="yellow"/>
        </w:rPr>
      </w:pPr>
    </w:p>
    <w:p w:rsidR="00EA097C" w:rsidRPr="00F615D2" w:rsidRDefault="00EA097C" w:rsidP="00EA097C">
      <w:pPr>
        <w:rPr>
          <w:b/>
          <w:bCs/>
        </w:rPr>
      </w:pPr>
      <w:r w:rsidRPr="00F615D2">
        <w:rPr>
          <w:b/>
          <w:bCs/>
        </w:rPr>
        <w:t>Consumer comments</w:t>
      </w:r>
    </w:p>
    <w:p w:rsidR="00EA097C" w:rsidRPr="00F615D2" w:rsidRDefault="00EA097C" w:rsidP="00EA097C">
      <w:pPr>
        <w:rPr>
          <w:b/>
          <w:bCs/>
        </w:rPr>
      </w:pPr>
    </w:p>
    <w:p w:rsidR="005B5DEF" w:rsidRPr="00F615D2" w:rsidRDefault="00C22232" w:rsidP="006B764E">
      <w:pPr>
        <w:numPr>
          <w:ilvl w:val="1"/>
          <w:numId w:val="3"/>
        </w:numPr>
        <w:rPr>
          <w:bCs/>
        </w:rPr>
      </w:pPr>
      <w:r w:rsidRPr="00F615D2">
        <w:rPr>
          <w:bCs/>
        </w:rPr>
        <w:t>The</w:t>
      </w:r>
      <w:r w:rsidR="000751F3" w:rsidRPr="00F615D2">
        <w:rPr>
          <w:bCs/>
        </w:rPr>
        <w:t xml:space="preserve"> PBAC noted and </w:t>
      </w:r>
      <w:r w:rsidRPr="00F615D2">
        <w:rPr>
          <w:bCs/>
        </w:rPr>
        <w:t>welcomed the</w:t>
      </w:r>
      <w:r w:rsidR="000751F3" w:rsidRPr="00F615D2">
        <w:rPr>
          <w:bCs/>
        </w:rPr>
        <w:t xml:space="preserve"> input from individuals (</w:t>
      </w:r>
      <w:r w:rsidR="005B5DEF" w:rsidRPr="00F615D2">
        <w:rPr>
          <w:bCs/>
        </w:rPr>
        <w:t xml:space="preserve">98), health care professionals (11) and organisations (2) via the Consumer Comments facility on the PBS website. The comments described a range of benefits of treatment with </w:t>
      </w:r>
      <w:proofErr w:type="spellStart"/>
      <w:r w:rsidR="005B5DEF" w:rsidRPr="00F615D2">
        <w:rPr>
          <w:bCs/>
        </w:rPr>
        <w:t>vedolizumab</w:t>
      </w:r>
      <w:proofErr w:type="spellEnd"/>
      <w:r w:rsidR="007D695B" w:rsidRPr="00F615D2">
        <w:rPr>
          <w:bCs/>
        </w:rPr>
        <w:t xml:space="preserve"> for </w:t>
      </w:r>
      <w:r w:rsidR="00D73962">
        <w:rPr>
          <w:bCs/>
        </w:rPr>
        <w:t>Crohn’s</w:t>
      </w:r>
      <w:r w:rsidR="007D695B" w:rsidRPr="00F615D2">
        <w:rPr>
          <w:bCs/>
        </w:rPr>
        <w:t xml:space="preserve"> and ulcerative colitis </w:t>
      </w:r>
      <w:r w:rsidR="00076B10" w:rsidRPr="00F615D2">
        <w:rPr>
          <w:bCs/>
        </w:rPr>
        <w:t xml:space="preserve">indication </w:t>
      </w:r>
      <w:r w:rsidR="007D695B" w:rsidRPr="00F615D2">
        <w:rPr>
          <w:bCs/>
        </w:rPr>
        <w:t xml:space="preserve">(item 7.6 refers) </w:t>
      </w:r>
      <w:r w:rsidR="005B5DEF" w:rsidRPr="00F615D2">
        <w:rPr>
          <w:bCs/>
        </w:rPr>
        <w:t>including</w:t>
      </w:r>
      <w:r w:rsidR="00024F7C" w:rsidRPr="00F615D2">
        <w:rPr>
          <w:bCs/>
        </w:rPr>
        <w:t xml:space="preserve"> the following</w:t>
      </w:r>
      <w:r w:rsidR="005B5DEF" w:rsidRPr="00F615D2">
        <w:rPr>
          <w:bCs/>
        </w:rPr>
        <w:t>:</w:t>
      </w:r>
    </w:p>
    <w:p w:rsidR="00024F7C" w:rsidRPr="00F615D2" w:rsidRDefault="009D4C9F" w:rsidP="006B764E">
      <w:pPr>
        <w:pStyle w:val="ListParagraph"/>
        <w:numPr>
          <w:ilvl w:val="0"/>
          <w:numId w:val="9"/>
        </w:numPr>
        <w:ind w:left="993" w:hanging="284"/>
        <w:rPr>
          <w:bCs/>
        </w:rPr>
      </w:pPr>
      <w:r w:rsidRPr="00F615D2">
        <w:rPr>
          <w:bCs/>
        </w:rPr>
        <w:t>potential alternative if infliximab becomes ineffective;</w:t>
      </w:r>
    </w:p>
    <w:p w:rsidR="009D4C9F" w:rsidRPr="00F615D2" w:rsidRDefault="009D4C9F" w:rsidP="006B764E">
      <w:pPr>
        <w:pStyle w:val="ListParagraph"/>
        <w:numPr>
          <w:ilvl w:val="0"/>
          <w:numId w:val="9"/>
        </w:numPr>
        <w:ind w:left="993" w:hanging="284"/>
        <w:rPr>
          <w:bCs/>
        </w:rPr>
      </w:pPr>
      <w:r w:rsidRPr="00F615D2">
        <w:rPr>
          <w:bCs/>
        </w:rPr>
        <w:t>preferable alternative treatment than surgery</w:t>
      </w:r>
      <w:r w:rsidR="00A17883" w:rsidRPr="00F615D2">
        <w:rPr>
          <w:bCs/>
        </w:rPr>
        <w:t xml:space="preserve"> i.e. side effects of this drug is more preferable than surgery</w:t>
      </w:r>
      <w:r w:rsidRPr="00F615D2">
        <w:rPr>
          <w:bCs/>
        </w:rPr>
        <w:t>;</w:t>
      </w:r>
    </w:p>
    <w:p w:rsidR="009D4C9F" w:rsidRPr="00F615D2" w:rsidRDefault="009D4C9F" w:rsidP="006B764E">
      <w:pPr>
        <w:pStyle w:val="ListParagraph"/>
        <w:numPr>
          <w:ilvl w:val="0"/>
          <w:numId w:val="9"/>
        </w:numPr>
        <w:ind w:left="993" w:hanging="284"/>
        <w:rPr>
          <w:bCs/>
        </w:rPr>
      </w:pPr>
      <w:r w:rsidRPr="00F615D2">
        <w:rPr>
          <w:bCs/>
        </w:rPr>
        <w:t>reduced hospital costs;</w:t>
      </w:r>
    </w:p>
    <w:p w:rsidR="00E4163A" w:rsidRPr="00F615D2" w:rsidRDefault="00E4163A" w:rsidP="006B764E">
      <w:pPr>
        <w:pStyle w:val="ListParagraph"/>
        <w:numPr>
          <w:ilvl w:val="0"/>
          <w:numId w:val="9"/>
        </w:numPr>
        <w:ind w:left="993" w:hanging="284"/>
        <w:rPr>
          <w:bCs/>
        </w:rPr>
      </w:pPr>
      <w:r w:rsidRPr="00F615D2">
        <w:rPr>
          <w:bCs/>
        </w:rPr>
        <w:t>shorter time of administration compared with infliximab;</w:t>
      </w:r>
      <w:r w:rsidR="00A17883" w:rsidRPr="00F615D2">
        <w:rPr>
          <w:bCs/>
        </w:rPr>
        <w:t xml:space="preserve"> and</w:t>
      </w:r>
    </w:p>
    <w:p w:rsidR="00E4163A" w:rsidRPr="00F615D2" w:rsidRDefault="00E4163A" w:rsidP="006B764E">
      <w:pPr>
        <w:pStyle w:val="ListParagraph"/>
        <w:numPr>
          <w:ilvl w:val="0"/>
          <w:numId w:val="9"/>
        </w:numPr>
        <w:ind w:left="993" w:hanging="284"/>
        <w:rPr>
          <w:bCs/>
        </w:rPr>
      </w:pPr>
      <w:proofErr w:type="gramStart"/>
      <w:r w:rsidRPr="00F615D2">
        <w:rPr>
          <w:bCs/>
        </w:rPr>
        <w:t>equity</w:t>
      </w:r>
      <w:proofErr w:type="gramEnd"/>
      <w:r w:rsidRPr="00F615D2">
        <w:rPr>
          <w:bCs/>
        </w:rPr>
        <w:t xml:space="preserve"> of access</w:t>
      </w:r>
      <w:r w:rsidR="007D695B" w:rsidRPr="00F615D2">
        <w:rPr>
          <w:bCs/>
        </w:rPr>
        <w:t xml:space="preserve"> and affordability</w:t>
      </w:r>
      <w:r w:rsidR="00A17883" w:rsidRPr="00F615D2">
        <w:rPr>
          <w:bCs/>
        </w:rPr>
        <w:t>.</w:t>
      </w:r>
    </w:p>
    <w:p w:rsidR="00EA097C" w:rsidRDefault="00EA097C" w:rsidP="004B1CB4"/>
    <w:p w:rsidR="00116301" w:rsidRDefault="00BD57B1" w:rsidP="006B764E">
      <w:pPr>
        <w:numPr>
          <w:ilvl w:val="1"/>
          <w:numId w:val="3"/>
        </w:numPr>
        <w:snapToGrid/>
        <w:contextualSpacing/>
        <w:rPr>
          <w:bCs/>
          <w:snapToGrid w:val="0"/>
          <w:szCs w:val="22"/>
          <w:lang w:val="en-GB"/>
        </w:rPr>
      </w:pPr>
      <w:bookmarkStart w:id="6" w:name="_GoBack"/>
      <w:bookmarkEnd w:id="6"/>
      <w:r>
        <w:rPr>
          <w:bCs/>
          <w:snapToGrid w:val="0"/>
          <w:szCs w:val="22"/>
          <w:lang w:val="en-GB"/>
        </w:rPr>
        <w:t xml:space="preserve">Representatives of the PBAC met with </w:t>
      </w:r>
      <w:r w:rsidR="00116301">
        <w:rPr>
          <w:bCs/>
          <w:snapToGrid w:val="0"/>
          <w:szCs w:val="22"/>
          <w:lang w:val="en-GB"/>
        </w:rPr>
        <w:t>Crohn’s and Colitis Australia</w:t>
      </w:r>
      <w:r>
        <w:rPr>
          <w:bCs/>
          <w:snapToGrid w:val="0"/>
          <w:szCs w:val="22"/>
          <w:lang w:val="en-GB"/>
        </w:rPr>
        <w:t xml:space="preserve"> prior to the PBAC meeting, and reported the following key points to the PBAC in relation to the agenda items for Crohn’s disease and ulcerative colitis</w:t>
      </w:r>
      <w:r w:rsidR="00A94D7F">
        <w:rPr>
          <w:bCs/>
          <w:snapToGrid w:val="0"/>
          <w:szCs w:val="22"/>
          <w:lang w:val="en-GB"/>
        </w:rPr>
        <w:t xml:space="preserve"> </w:t>
      </w:r>
      <w:r w:rsidR="00116301">
        <w:rPr>
          <w:bCs/>
          <w:snapToGrid w:val="0"/>
          <w:szCs w:val="22"/>
          <w:lang w:val="en-GB"/>
        </w:rPr>
        <w:t xml:space="preserve">: </w:t>
      </w:r>
    </w:p>
    <w:p w:rsidR="00403CA2" w:rsidRPr="00E54A0A" w:rsidRDefault="00D73962" w:rsidP="00E54A0A">
      <w:pPr>
        <w:pStyle w:val="ListParagraph"/>
        <w:numPr>
          <w:ilvl w:val="0"/>
          <w:numId w:val="9"/>
        </w:numPr>
        <w:ind w:left="993" w:hanging="284"/>
        <w:rPr>
          <w:bCs/>
        </w:rPr>
      </w:pPr>
      <w:r>
        <w:rPr>
          <w:bCs/>
        </w:rPr>
        <w:t>Crohn’s</w:t>
      </w:r>
      <w:r w:rsidR="00403CA2" w:rsidRPr="00E54A0A">
        <w:rPr>
          <w:bCs/>
        </w:rPr>
        <w:t xml:space="preserve"> disease severely affects the quality of life of patients and their families in psychological, social and economic terms.  This is in the context of a primarily younger patient population that believes there are few treatment options prior to surgery.  Patients are willing to tolerate significant hardship in order to postpone or avoid surgery.</w:t>
      </w:r>
    </w:p>
    <w:p w:rsidR="00403CA2" w:rsidRPr="00E54A0A" w:rsidRDefault="00403CA2" w:rsidP="00E54A0A">
      <w:pPr>
        <w:pStyle w:val="ListParagraph"/>
        <w:numPr>
          <w:ilvl w:val="0"/>
          <w:numId w:val="9"/>
        </w:numPr>
        <w:ind w:left="993" w:hanging="284"/>
        <w:rPr>
          <w:bCs/>
        </w:rPr>
      </w:pPr>
      <w:r w:rsidRPr="00E54A0A">
        <w:rPr>
          <w:bCs/>
        </w:rPr>
        <w:t>Patients place a high value on maximising possible treatment alternatives, as this provides a sense of empowerment and possibility in managing their disease.</w:t>
      </w:r>
    </w:p>
    <w:p w:rsidR="00403CA2" w:rsidRPr="00E54A0A" w:rsidRDefault="00403CA2" w:rsidP="00E54A0A">
      <w:pPr>
        <w:pStyle w:val="ListParagraph"/>
        <w:numPr>
          <w:ilvl w:val="0"/>
          <w:numId w:val="9"/>
        </w:numPr>
        <w:ind w:left="993" w:hanging="284"/>
        <w:rPr>
          <w:bCs/>
        </w:rPr>
      </w:pPr>
      <w:r w:rsidRPr="00E54A0A">
        <w:rPr>
          <w:bCs/>
        </w:rPr>
        <w:t xml:space="preserve">When weighing the treatment alternatives, the patient perception may not necessarily be that the risks and benefits of </w:t>
      </w:r>
      <w:proofErr w:type="spellStart"/>
      <w:r w:rsidRPr="00E54A0A">
        <w:rPr>
          <w:bCs/>
        </w:rPr>
        <w:t>vedolizumab</w:t>
      </w:r>
      <w:proofErr w:type="spellEnd"/>
      <w:r w:rsidRPr="00E54A0A">
        <w:rPr>
          <w:bCs/>
        </w:rPr>
        <w:t xml:space="preserve"> </w:t>
      </w:r>
      <w:proofErr w:type="gramStart"/>
      <w:r w:rsidRPr="00E54A0A">
        <w:rPr>
          <w:bCs/>
        </w:rPr>
        <w:t>is</w:t>
      </w:r>
      <w:proofErr w:type="gramEnd"/>
      <w:r w:rsidRPr="00E54A0A">
        <w:rPr>
          <w:bCs/>
        </w:rPr>
        <w:t xml:space="preserve"> compared with the risks and benefits of another drug.  Rather, patients may be comparing the risks and benefits of </w:t>
      </w:r>
      <w:proofErr w:type="spellStart"/>
      <w:r w:rsidRPr="00E54A0A">
        <w:rPr>
          <w:bCs/>
        </w:rPr>
        <w:t>vedolizumab</w:t>
      </w:r>
      <w:proofErr w:type="spellEnd"/>
      <w:r w:rsidRPr="00E54A0A">
        <w:rPr>
          <w:bCs/>
        </w:rPr>
        <w:t xml:space="preserve"> against the risks and benefits of surgery.</w:t>
      </w:r>
    </w:p>
    <w:p w:rsidR="00116301" w:rsidRPr="00E54A0A" w:rsidRDefault="00403CA2" w:rsidP="00E54A0A">
      <w:pPr>
        <w:pStyle w:val="ListParagraph"/>
        <w:numPr>
          <w:ilvl w:val="0"/>
          <w:numId w:val="9"/>
        </w:numPr>
        <w:ind w:left="993" w:hanging="284"/>
        <w:rPr>
          <w:bCs/>
        </w:rPr>
      </w:pPr>
      <w:r w:rsidRPr="00E54A0A">
        <w:rPr>
          <w:bCs/>
        </w:rPr>
        <w:t xml:space="preserve">The perception of the group of patients that have had access to </w:t>
      </w:r>
      <w:proofErr w:type="spellStart"/>
      <w:r w:rsidRPr="00E54A0A">
        <w:rPr>
          <w:bCs/>
        </w:rPr>
        <w:t>vedolizumab</w:t>
      </w:r>
      <w:proofErr w:type="spellEnd"/>
      <w:r w:rsidRPr="00E54A0A">
        <w:rPr>
          <w:bCs/>
        </w:rPr>
        <w:t xml:space="preserve"> for </w:t>
      </w:r>
      <w:r w:rsidR="00D73962">
        <w:rPr>
          <w:bCs/>
        </w:rPr>
        <w:t>Crohn’s</w:t>
      </w:r>
      <w:r w:rsidRPr="00E54A0A">
        <w:rPr>
          <w:bCs/>
        </w:rPr>
        <w:t xml:space="preserve"> disease in clinical trials is that the adverse events are less than alternatives.</w:t>
      </w:r>
    </w:p>
    <w:p w:rsidR="00E54A0A" w:rsidRPr="00BD57B1" w:rsidRDefault="00BD57B1" w:rsidP="00162852">
      <w:pPr>
        <w:pStyle w:val="Heading2"/>
      </w:pPr>
      <w:bookmarkStart w:id="7" w:name="_Toc409097582"/>
      <w:r w:rsidRPr="00BD57B1">
        <w:t xml:space="preserve">The </w:t>
      </w:r>
      <w:r>
        <w:t>PBAC noted and welcomed this input.</w:t>
      </w:r>
    </w:p>
    <w:p w:rsidR="00BD57B1" w:rsidRPr="00BD57B1" w:rsidRDefault="00BD57B1" w:rsidP="00BD57B1"/>
    <w:p w:rsidR="00B60939" w:rsidRPr="00116301" w:rsidRDefault="00B60939" w:rsidP="00162852">
      <w:pPr>
        <w:pStyle w:val="Heading2"/>
      </w:pPr>
      <w:r w:rsidRPr="00116301">
        <w:t>Clinical trials</w:t>
      </w:r>
      <w:bookmarkEnd w:id="7"/>
    </w:p>
    <w:p w:rsidR="00B64E8D" w:rsidRPr="00984C78" w:rsidRDefault="00B64E8D" w:rsidP="00B64E8D"/>
    <w:p w:rsidR="008D15E4" w:rsidRPr="00984C78" w:rsidRDefault="00862502" w:rsidP="006B764E">
      <w:pPr>
        <w:pStyle w:val="ListParagraph"/>
        <w:widowControl/>
        <w:numPr>
          <w:ilvl w:val="1"/>
          <w:numId w:val="3"/>
        </w:numPr>
        <w:rPr>
          <w:szCs w:val="22"/>
        </w:rPr>
      </w:pPr>
      <w:r w:rsidRPr="00984C78">
        <w:t xml:space="preserve">The submission </w:t>
      </w:r>
      <w:r w:rsidR="008D15E4" w:rsidRPr="00984C78">
        <w:t>was</w:t>
      </w:r>
      <w:r w:rsidRPr="00984C78">
        <w:t xml:space="preserve"> based on</w:t>
      </w:r>
      <w:r w:rsidR="008D15E4" w:rsidRPr="00984C78">
        <w:t>:</w:t>
      </w:r>
    </w:p>
    <w:p w:rsidR="008D15E4" w:rsidRPr="00984C78" w:rsidRDefault="008D15E4" w:rsidP="006B764E">
      <w:pPr>
        <w:pStyle w:val="ListParagraph"/>
        <w:numPr>
          <w:ilvl w:val="0"/>
          <w:numId w:val="7"/>
        </w:numPr>
        <w:ind w:left="1134"/>
      </w:pPr>
      <w:r w:rsidRPr="00984C78">
        <w:t xml:space="preserve">Two head-to-head trials comparing </w:t>
      </w:r>
      <w:proofErr w:type="spellStart"/>
      <w:r w:rsidRPr="00984C78">
        <w:t>vedolizumab</w:t>
      </w:r>
      <w:proofErr w:type="spellEnd"/>
      <w:r w:rsidRPr="00984C78">
        <w:t xml:space="preserve"> to placebo: GEMINI II and GEMINI III</w:t>
      </w:r>
    </w:p>
    <w:p w:rsidR="008D15E4" w:rsidRPr="00984C78" w:rsidRDefault="00D0598B" w:rsidP="006B764E">
      <w:pPr>
        <w:pStyle w:val="ListParagraph"/>
        <w:numPr>
          <w:ilvl w:val="0"/>
          <w:numId w:val="7"/>
        </w:numPr>
        <w:ind w:left="1134"/>
      </w:pPr>
      <w:r w:rsidRPr="00984C78">
        <w:t>An indirect comparison to infliximab, based on t</w:t>
      </w:r>
      <w:r w:rsidR="008D15E4" w:rsidRPr="00984C78">
        <w:t xml:space="preserve">wo head-to-head trials comparing </w:t>
      </w:r>
      <w:r w:rsidR="008D15E4" w:rsidRPr="00984C78">
        <w:lastRenderedPageBreak/>
        <w:t>infliximab to placebo: T16 and ACCENT I</w:t>
      </w:r>
    </w:p>
    <w:p w:rsidR="008D15E4" w:rsidRPr="00984C78" w:rsidRDefault="00D0598B" w:rsidP="006B764E">
      <w:pPr>
        <w:pStyle w:val="ListParagraph"/>
        <w:numPr>
          <w:ilvl w:val="0"/>
          <w:numId w:val="7"/>
        </w:numPr>
        <w:ind w:left="1134"/>
      </w:pPr>
      <w:r w:rsidRPr="00984C78">
        <w:t>An indirect comparison to adalimumab, based on f</w:t>
      </w:r>
      <w:r w:rsidR="008D15E4" w:rsidRPr="00984C78">
        <w:t>ive head-to-head trials comparing adalimumab to placebo: CLASSIC I, CLASSIC II, GAIN, Watanabe, CHARM</w:t>
      </w:r>
    </w:p>
    <w:p w:rsidR="00804338" w:rsidRPr="00984C78" w:rsidRDefault="00804338" w:rsidP="00804338">
      <w:pPr>
        <w:pStyle w:val="ListParagraph"/>
        <w:ind w:left="1134"/>
      </w:pPr>
    </w:p>
    <w:p w:rsidR="00862502" w:rsidRPr="00984C78" w:rsidRDefault="00862502" w:rsidP="006B764E">
      <w:pPr>
        <w:pStyle w:val="ListParagraph"/>
        <w:widowControl/>
        <w:numPr>
          <w:ilvl w:val="1"/>
          <w:numId w:val="3"/>
        </w:numPr>
        <w:rPr>
          <w:szCs w:val="22"/>
        </w:rPr>
      </w:pPr>
      <w:r w:rsidRPr="00984C78">
        <w:rPr>
          <w:szCs w:val="22"/>
        </w:rPr>
        <w:t>Details of the trials presented in the submission are provided in the table below.</w:t>
      </w:r>
      <w:r w:rsidR="00E2712E" w:rsidRPr="00984C78">
        <w:rPr>
          <w:szCs w:val="22"/>
        </w:rPr>
        <w:t xml:space="preserve"> </w:t>
      </w:r>
    </w:p>
    <w:p w:rsidR="00862502" w:rsidRPr="00984C78" w:rsidRDefault="00862502" w:rsidP="00862502">
      <w:pPr>
        <w:widowControl/>
        <w:rPr>
          <w:szCs w:val="22"/>
        </w:rPr>
      </w:pPr>
    </w:p>
    <w:p w:rsidR="008F120A" w:rsidRPr="00984C78" w:rsidRDefault="008F120A" w:rsidP="008D15E4">
      <w:pPr>
        <w:keepNext/>
        <w:ind w:firstLine="720"/>
        <w:rPr>
          <w:rStyle w:val="CommentReference"/>
        </w:rPr>
      </w:pPr>
      <w:r w:rsidRPr="00984C78">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and associated reports"/>
      </w:tblPr>
      <w:tblGrid>
        <w:gridCol w:w="852"/>
        <w:gridCol w:w="5953"/>
        <w:gridCol w:w="1540"/>
      </w:tblGrid>
      <w:tr w:rsidR="008F120A" w:rsidRPr="00984C78" w:rsidTr="002E6F6F">
        <w:trPr>
          <w:tblHeader/>
        </w:trPr>
        <w:tc>
          <w:tcPr>
            <w:tcW w:w="510" w:type="pct"/>
          </w:tcPr>
          <w:p w:rsidR="008F120A" w:rsidRPr="00984C78" w:rsidRDefault="008F120A" w:rsidP="008D15E4">
            <w:pPr>
              <w:keepNext/>
              <w:jc w:val="left"/>
              <w:rPr>
                <w:rFonts w:ascii="Arial Narrow" w:hAnsi="Arial Narrow"/>
                <w:b/>
                <w:sz w:val="20"/>
              </w:rPr>
            </w:pPr>
            <w:r w:rsidRPr="00984C78">
              <w:rPr>
                <w:rFonts w:ascii="Arial Narrow" w:hAnsi="Arial Narrow"/>
                <w:b/>
                <w:sz w:val="20"/>
              </w:rPr>
              <w:t>Trial ID</w:t>
            </w:r>
            <w:r w:rsidR="00E22A0D" w:rsidRPr="00984C78">
              <w:rPr>
                <w:rFonts w:ascii="Arial Narrow" w:hAnsi="Arial Narrow"/>
                <w:b/>
                <w:sz w:val="20"/>
              </w:rPr>
              <w:t>/First Author</w:t>
            </w:r>
          </w:p>
        </w:tc>
        <w:tc>
          <w:tcPr>
            <w:tcW w:w="3567" w:type="pct"/>
          </w:tcPr>
          <w:p w:rsidR="008F120A" w:rsidRPr="00984C78" w:rsidRDefault="008F120A" w:rsidP="008D15E4">
            <w:pPr>
              <w:keepNext/>
              <w:jc w:val="center"/>
              <w:rPr>
                <w:rFonts w:ascii="Arial Narrow" w:hAnsi="Arial Narrow"/>
                <w:b/>
                <w:sz w:val="20"/>
              </w:rPr>
            </w:pPr>
            <w:r w:rsidRPr="00984C78">
              <w:rPr>
                <w:rFonts w:ascii="Arial Narrow" w:hAnsi="Arial Narrow"/>
                <w:b/>
                <w:sz w:val="20"/>
              </w:rPr>
              <w:t>Protocol title/ Publication title</w:t>
            </w:r>
          </w:p>
        </w:tc>
        <w:tc>
          <w:tcPr>
            <w:tcW w:w="923" w:type="pct"/>
          </w:tcPr>
          <w:p w:rsidR="008F120A" w:rsidRPr="00984C78" w:rsidRDefault="008F120A" w:rsidP="008D15E4">
            <w:pPr>
              <w:keepNext/>
              <w:jc w:val="center"/>
              <w:rPr>
                <w:rFonts w:ascii="Arial Narrow" w:hAnsi="Arial Narrow"/>
                <w:b/>
                <w:sz w:val="20"/>
              </w:rPr>
            </w:pPr>
            <w:r w:rsidRPr="00984C78">
              <w:rPr>
                <w:rFonts w:ascii="Arial Narrow" w:hAnsi="Arial Narrow"/>
                <w:b/>
                <w:sz w:val="20"/>
              </w:rPr>
              <w:t>Publication citation</w:t>
            </w:r>
          </w:p>
        </w:tc>
      </w:tr>
      <w:tr w:rsidR="008F120A" w:rsidRPr="00984C78" w:rsidTr="002E6F6F">
        <w:tc>
          <w:tcPr>
            <w:tcW w:w="5000" w:type="pct"/>
            <w:gridSpan w:val="3"/>
          </w:tcPr>
          <w:p w:rsidR="008F120A" w:rsidRPr="00984C78" w:rsidRDefault="00D24C72" w:rsidP="008D15E4">
            <w:pPr>
              <w:keepNext/>
              <w:jc w:val="left"/>
              <w:rPr>
                <w:rFonts w:ascii="Arial Narrow" w:hAnsi="Arial Narrow"/>
                <w:b/>
                <w:sz w:val="20"/>
              </w:rPr>
            </w:pPr>
            <w:r w:rsidRPr="00984C78">
              <w:rPr>
                <w:rFonts w:ascii="Arial Narrow" w:hAnsi="Arial Narrow"/>
                <w:b/>
                <w:sz w:val="20"/>
              </w:rPr>
              <w:t xml:space="preserve">Direct randomised trials of </w:t>
            </w:r>
            <w:proofErr w:type="spellStart"/>
            <w:r w:rsidRPr="00984C78">
              <w:rPr>
                <w:rFonts w:ascii="Arial Narrow" w:hAnsi="Arial Narrow"/>
                <w:b/>
                <w:sz w:val="20"/>
              </w:rPr>
              <w:t>vedolizumab</w:t>
            </w:r>
            <w:proofErr w:type="spellEnd"/>
            <w:r w:rsidRPr="00984C78">
              <w:rPr>
                <w:rFonts w:ascii="Arial Narrow" w:hAnsi="Arial Narrow"/>
                <w:b/>
                <w:sz w:val="20"/>
              </w:rPr>
              <w:t xml:space="preserve"> versus placebo</w:t>
            </w:r>
          </w:p>
        </w:tc>
      </w:tr>
      <w:tr w:rsidR="00A17883" w:rsidRPr="00984C78" w:rsidTr="002E6F6F">
        <w:trPr>
          <w:trHeight w:val="1084"/>
        </w:trPr>
        <w:tc>
          <w:tcPr>
            <w:tcW w:w="510" w:type="pct"/>
            <w:tcBorders>
              <w:bottom w:val="nil"/>
            </w:tcBorders>
          </w:tcPr>
          <w:p w:rsidR="00A17883" w:rsidRPr="00984C78" w:rsidRDefault="00A17883" w:rsidP="0018752F">
            <w:pPr>
              <w:jc w:val="left"/>
              <w:rPr>
                <w:rFonts w:ascii="Arial Narrow" w:hAnsi="Arial Narrow"/>
                <w:sz w:val="20"/>
                <w:lang w:eastAsia="en-AU"/>
              </w:rPr>
            </w:pPr>
            <w:r w:rsidRPr="00984C78">
              <w:rPr>
                <w:rFonts w:ascii="Arial Narrow" w:hAnsi="Arial Narrow"/>
                <w:sz w:val="20"/>
                <w:lang w:eastAsia="en-AU"/>
              </w:rPr>
              <w:t>GEMINI II</w:t>
            </w:r>
          </w:p>
        </w:tc>
        <w:tc>
          <w:tcPr>
            <w:tcW w:w="3567" w:type="pct"/>
            <w:tcBorders>
              <w:bottom w:val="nil"/>
            </w:tcBorders>
          </w:tcPr>
          <w:p w:rsidR="00A17883" w:rsidRPr="00984C78" w:rsidRDefault="00A17883" w:rsidP="00D24C72">
            <w:pPr>
              <w:rPr>
                <w:rFonts w:ascii="Arial Narrow" w:hAnsi="Arial Narrow"/>
                <w:sz w:val="20"/>
              </w:rPr>
            </w:pPr>
            <w:r w:rsidRPr="00984C78">
              <w:rPr>
                <w:rFonts w:ascii="Arial Narrow" w:hAnsi="Arial Narrow"/>
                <w:sz w:val="20"/>
              </w:rPr>
              <w:t xml:space="preserve">Clinical Study Report C13007. A Phase 3, Randomized, Placebo-Controlled, Blinded, </w:t>
            </w:r>
            <w:proofErr w:type="spellStart"/>
            <w:r w:rsidRPr="00984C78">
              <w:rPr>
                <w:rFonts w:ascii="Arial Narrow" w:hAnsi="Arial Narrow"/>
                <w:sz w:val="20"/>
              </w:rPr>
              <w:t>Multicenter</w:t>
            </w:r>
            <w:proofErr w:type="spellEnd"/>
            <w:r w:rsidRPr="00984C78">
              <w:rPr>
                <w:rFonts w:ascii="Arial Narrow" w:hAnsi="Arial Narrow"/>
                <w:sz w:val="20"/>
              </w:rPr>
              <w:t xml:space="preserve"> Study of the Induction and Maintenance of Clinical Response and Remission by </w:t>
            </w:r>
            <w:proofErr w:type="spellStart"/>
            <w:r w:rsidRPr="00984C78">
              <w:rPr>
                <w:rFonts w:ascii="Arial Narrow" w:hAnsi="Arial Narrow"/>
                <w:sz w:val="20"/>
              </w:rPr>
              <w:t>Vedolizumab</w:t>
            </w:r>
            <w:proofErr w:type="spellEnd"/>
            <w:r w:rsidRPr="00984C78">
              <w:rPr>
                <w:rFonts w:ascii="Arial Narrow" w:hAnsi="Arial Narrow"/>
                <w:sz w:val="20"/>
              </w:rPr>
              <w:t xml:space="preserve"> (MLN0002) in Patients With Moderate to Severe Crohn’s Disease</w:t>
            </w:r>
          </w:p>
          <w:p w:rsidR="00A17883" w:rsidRPr="00984C78" w:rsidRDefault="00A17883" w:rsidP="00D24C72">
            <w:pPr>
              <w:jc w:val="left"/>
              <w:rPr>
                <w:rFonts w:ascii="Arial Narrow" w:hAnsi="Arial Narrow"/>
                <w:b/>
                <w:sz w:val="20"/>
              </w:rPr>
            </w:pPr>
          </w:p>
        </w:tc>
        <w:tc>
          <w:tcPr>
            <w:tcW w:w="923" w:type="pct"/>
            <w:tcBorders>
              <w:bottom w:val="nil"/>
            </w:tcBorders>
          </w:tcPr>
          <w:p w:rsidR="00A17883" w:rsidRPr="00984C78" w:rsidRDefault="00A17883" w:rsidP="0018752F">
            <w:pPr>
              <w:jc w:val="left"/>
              <w:rPr>
                <w:rFonts w:ascii="Arial Narrow" w:hAnsi="Arial Narrow"/>
                <w:sz w:val="20"/>
              </w:rPr>
            </w:pPr>
            <w:r w:rsidRPr="00984C78">
              <w:rPr>
                <w:rFonts w:ascii="Arial Narrow" w:hAnsi="Arial Narrow"/>
                <w:sz w:val="20"/>
              </w:rPr>
              <w:t>2012</w:t>
            </w:r>
          </w:p>
          <w:p w:rsidR="00A17883" w:rsidRPr="00984C78" w:rsidRDefault="00A17883" w:rsidP="0018752F">
            <w:pPr>
              <w:jc w:val="left"/>
              <w:rPr>
                <w:rFonts w:ascii="Arial Narrow" w:hAnsi="Arial Narrow"/>
                <w:sz w:val="20"/>
              </w:rPr>
            </w:pPr>
          </w:p>
          <w:p w:rsidR="00A17883" w:rsidRPr="00984C78" w:rsidRDefault="00A17883" w:rsidP="0018752F">
            <w:pPr>
              <w:jc w:val="left"/>
              <w:rPr>
                <w:rFonts w:ascii="Arial Narrow" w:hAnsi="Arial Narrow"/>
                <w:sz w:val="20"/>
              </w:rPr>
            </w:pPr>
          </w:p>
          <w:p w:rsidR="00A17883" w:rsidRPr="00984C78" w:rsidRDefault="00A17883" w:rsidP="0018752F">
            <w:pPr>
              <w:jc w:val="left"/>
              <w:rPr>
                <w:rFonts w:ascii="Arial Narrow" w:hAnsi="Arial Narrow"/>
                <w:sz w:val="20"/>
              </w:rPr>
            </w:pPr>
          </w:p>
          <w:p w:rsidR="00A17883" w:rsidRPr="00984C78" w:rsidRDefault="00A17883" w:rsidP="0018752F">
            <w:pPr>
              <w:jc w:val="left"/>
              <w:rPr>
                <w:rFonts w:ascii="Arial Narrow" w:hAnsi="Arial Narrow"/>
                <w:sz w:val="20"/>
              </w:rPr>
            </w:pPr>
          </w:p>
        </w:tc>
      </w:tr>
      <w:tr w:rsidR="00A17883" w:rsidRPr="00984C78" w:rsidTr="002E6F6F">
        <w:trPr>
          <w:trHeight w:val="1035"/>
        </w:trPr>
        <w:tc>
          <w:tcPr>
            <w:tcW w:w="510" w:type="pct"/>
            <w:tcBorders>
              <w:top w:val="nil"/>
            </w:tcBorders>
          </w:tcPr>
          <w:p w:rsidR="00A17883" w:rsidRPr="00984C78" w:rsidRDefault="00A17883" w:rsidP="0018752F">
            <w:pPr>
              <w:jc w:val="left"/>
              <w:rPr>
                <w:rFonts w:ascii="Arial Narrow" w:hAnsi="Arial Narrow"/>
                <w:sz w:val="20"/>
                <w:lang w:eastAsia="en-AU"/>
              </w:rPr>
            </w:pPr>
          </w:p>
        </w:tc>
        <w:tc>
          <w:tcPr>
            <w:tcW w:w="3567" w:type="pct"/>
            <w:tcBorders>
              <w:top w:val="nil"/>
            </w:tcBorders>
          </w:tcPr>
          <w:p w:rsidR="00A17883" w:rsidRPr="00984C78" w:rsidRDefault="00A17883" w:rsidP="00D24C72">
            <w:pPr>
              <w:rPr>
                <w:rFonts w:ascii="Arial Narrow" w:hAnsi="Arial Narrow"/>
                <w:sz w:val="20"/>
              </w:rPr>
            </w:pP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Feagan</w:t>
            </w:r>
            <w:proofErr w:type="spellEnd"/>
            <w:r w:rsidRPr="00984C78">
              <w:rPr>
                <w:rFonts w:ascii="Arial Narrow" w:hAnsi="Arial Narrow"/>
                <w:sz w:val="20"/>
              </w:rPr>
              <w:t xml:space="preserve">, B. G., </w:t>
            </w:r>
            <w:proofErr w:type="spellStart"/>
            <w:r w:rsidRPr="00984C78">
              <w:rPr>
                <w:rFonts w:ascii="Arial Narrow" w:hAnsi="Arial Narrow"/>
                <w:sz w:val="20"/>
              </w:rPr>
              <w:t>Rutgeerts</w:t>
            </w:r>
            <w:proofErr w:type="spellEnd"/>
            <w:r w:rsidRPr="00984C78">
              <w:rPr>
                <w:rFonts w:ascii="Arial Narrow" w:hAnsi="Arial Narrow"/>
                <w:sz w:val="20"/>
              </w:rPr>
              <w:t xml:space="preserve">, P., </w:t>
            </w:r>
            <w:proofErr w:type="spellStart"/>
            <w:r w:rsidRPr="00984C78">
              <w:rPr>
                <w:rFonts w:ascii="Arial Narrow" w:hAnsi="Arial Narrow"/>
                <w:sz w:val="20"/>
              </w:rPr>
              <w:t>Hanauer</w:t>
            </w:r>
            <w:proofErr w:type="spellEnd"/>
            <w:r w:rsidRPr="00984C78">
              <w:rPr>
                <w:rFonts w:ascii="Arial Narrow" w:hAnsi="Arial Narrow"/>
                <w:sz w:val="20"/>
              </w:rPr>
              <w:t xml:space="preserve">, S., </w:t>
            </w:r>
            <w:proofErr w:type="spellStart"/>
            <w:r w:rsidRPr="00984C78">
              <w:rPr>
                <w:rFonts w:ascii="Arial Narrow" w:hAnsi="Arial Narrow"/>
                <w:sz w:val="20"/>
              </w:rPr>
              <w:t>Colombel</w:t>
            </w:r>
            <w:proofErr w:type="spellEnd"/>
            <w:r w:rsidRPr="00984C78">
              <w:rPr>
                <w:rFonts w:ascii="Arial Narrow" w:hAnsi="Arial Narrow"/>
                <w:sz w:val="20"/>
              </w:rPr>
              <w:t xml:space="preserve">, J. F., Sands, B. E., Lukas, M., </w:t>
            </w:r>
            <w:proofErr w:type="spellStart"/>
            <w:r w:rsidRPr="00984C78">
              <w:rPr>
                <w:rFonts w:ascii="Arial Narrow" w:hAnsi="Arial Narrow"/>
                <w:sz w:val="20"/>
              </w:rPr>
              <w:t>Fedorak</w:t>
            </w:r>
            <w:proofErr w:type="spellEnd"/>
            <w:r w:rsidRPr="00984C78">
              <w:rPr>
                <w:rFonts w:ascii="Arial Narrow" w:hAnsi="Arial Narrow"/>
                <w:sz w:val="20"/>
              </w:rPr>
              <w:t xml:space="preserve">, R. N., Lee, S., </w:t>
            </w:r>
            <w:proofErr w:type="spellStart"/>
            <w:r w:rsidRPr="00984C78">
              <w:rPr>
                <w:rFonts w:ascii="Arial Narrow" w:hAnsi="Arial Narrow"/>
                <w:sz w:val="20"/>
              </w:rPr>
              <w:t>Bressler</w:t>
            </w:r>
            <w:proofErr w:type="spellEnd"/>
            <w:r w:rsidRPr="00984C78">
              <w:rPr>
                <w:rFonts w:ascii="Arial Narrow" w:hAnsi="Arial Narrow"/>
                <w:sz w:val="20"/>
              </w:rPr>
              <w:t xml:space="preserve">, B., Fox, I., Rosario, M., </w:t>
            </w:r>
            <w:proofErr w:type="spellStart"/>
            <w:r w:rsidRPr="00984C78">
              <w:rPr>
                <w:rFonts w:ascii="Arial Narrow" w:hAnsi="Arial Narrow"/>
                <w:sz w:val="20"/>
              </w:rPr>
              <w:t>Sankoh</w:t>
            </w:r>
            <w:proofErr w:type="spellEnd"/>
            <w:r w:rsidRPr="00984C78">
              <w:rPr>
                <w:rFonts w:ascii="Arial Narrow" w:hAnsi="Arial Narrow"/>
                <w:sz w:val="20"/>
              </w:rPr>
              <w:t xml:space="preserve">, S., Xu, J., Stephens, K., </w:t>
            </w:r>
            <w:proofErr w:type="spellStart"/>
            <w:r w:rsidRPr="00984C78">
              <w:rPr>
                <w:rFonts w:ascii="Arial Narrow" w:hAnsi="Arial Narrow"/>
                <w:sz w:val="20"/>
              </w:rPr>
              <w:t>Milch</w:t>
            </w:r>
            <w:proofErr w:type="spellEnd"/>
            <w:r w:rsidRPr="00984C78">
              <w:rPr>
                <w:rFonts w:ascii="Arial Narrow" w:hAnsi="Arial Narrow"/>
                <w:sz w:val="20"/>
              </w:rPr>
              <w:t xml:space="preserve">, C., and Parikh, A. </w:t>
            </w:r>
            <w:proofErr w:type="spellStart"/>
            <w:r w:rsidRPr="00984C78">
              <w:rPr>
                <w:rFonts w:ascii="Arial Narrow" w:hAnsi="Arial Narrow"/>
                <w:sz w:val="20"/>
              </w:rPr>
              <w:t>Vedolizumab</w:t>
            </w:r>
            <w:proofErr w:type="spellEnd"/>
            <w:r w:rsidRPr="00984C78">
              <w:rPr>
                <w:rFonts w:ascii="Arial Narrow" w:hAnsi="Arial Narrow"/>
                <w:sz w:val="20"/>
              </w:rPr>
              <w:t xml:space="preserve"> as induction and maintenance therapy for Crohn's disease.</w:t>
            </w:r>
          </w:p>
        </w:tc>
        <w:tc>
          <w:tcPr>
            <w:tcW w:w="923" w:type="pct"/>
            <w:tcBorders>
              <w:top w:val="nil"/>
            </w:tcBorders>
          </w:tcPr>
          <w:p w:rsidR="00A17883" w:rsidRPr="00984C78" w:rsidRDefault="00A17883" w:rsidP="0018752F">
            <w:pPr>
              <w:jc w:val="left"/>
              <w:rPr>
                <w:rFonts w:ascii="Arial Narrow" w:hAnsi="Arial Narrow"/>
                <w:sz w:val="20"/>
              </w:rPr>
            </w:pPr>
            <w:r w:rsidRPr="00984C78">
              <w:rPr>
                <w:rFonts w:ascii="Arial Narrow" w:hAnsi="Arial Narrow"/>
                <w:sz w:val="20"/>
              </w:rPr>
              <w:t>New England Journal of Medicine. 2013; 369 (8): 711-721</w:t>
            </w:r>
          </w:p>
        </w:tc>
      </w:tr>
      <w:tr w:rsidR="00D24C72" w:rsidRPr="00984C78" w:rsidTr="002E6F6F">
        <w:tc>
          <w:tcPr>
            <w:tcW w:w="510" w:type="pct"/>
          </w:tcPr>
          <w:p w:rsidR="00D24C72" w:rsidRPr="00984C78" w:rsidRDefault="00D24C72" w:rsidP="0018752F">
            <w:pPr>
              <w:jc w:val="left"/>
              <w:rPr>
                <w:rFonts w:ascii="Arial Narrow" w:hAnsi="Arial Narrow"/>
                <w:sz w:val="20"/>
                <w:lang w:eastAsia="en-AU"/>
              </w:rPr>
            </w:pPr>
            <w:r w:rsidRPr="00984C78">
              <w:rPr>
                <w:rFonts w:ascii="Arial Narrow" w:hAnsi="Arial Narrow"/>
                <w:sz w:val="20"/>
                <w:lang w:eastAsia="en-AU"/>
              </w:rPr>
              <w:t>GEMINI III</w:t>
            </w:r>
            <w:r w:rsidR="008061CC" w:rsidRPr="00984C78">
              <w:rPr>
                <w:rFonts w:ascii="Arial Narrow" w:hAnsi="Arial Narrow"/>
                <w:sz w:val="20"/>
                <w:lang w:eastAsia="en-AU"/>
              </w:rPr>
              <w:t>*</w:t>
            </w:r>
          </w:p>
        </w:tc>
        <w:tc>
          <w:tcPr>
            <w:tcW w:w="3567" w:type="pct"/>
          </w:tcPr>
          <w:p w:rsidR="00D24C72" w:rsidRPr="00984C78" w:rsidRDefault="00D24C72" w:rsidP="00D0598B">
            <w:pPr>
              <w:jc w:val="left"/>
              <w:rPr>
                <w:rFonts w:ascii="Arial Narrow" w:hAnsi="Arial Narrow"/>
                <w:b/>
                <w:sz w:val="20"/>
              </w:rPr>
            </w:pPr>
            <w:r w:rsidRPr="00984C78">
              <w:rPr>
                <w:rFonts w:ascii="Arial Narrow" w:hAnsi="Arial Narrow"/>
                <w:sz w:val="20"/>
              </w:rPr>
              <w:t xml:space="preserve">Clinical Study Report C13011. A Phase 3, Randomized, Placebo-Controlled, Blinded, </w:t>
            </w:r>
            <w:proofErr w:type="spellStart"/>
            <w:r w:rsidRPr="00984C78">
              <w:rPr>
                <w:rFonts w:ascii="Arial Narrow" w:hAnsi="Arial Narrow"/>
                <w:sz w:val="20"/>
              </w:rPr>
              <w:t>Multicenter</w:t>
            </w:r>
            <w:proofErr w:type="spellEnd"/>
            <w:r w:rsidRPr="00984C78">
              <w:rPr>
                <w:rFonts w:ascii="Arial Narrow" w:hAnsi="Arial Narrow"/>
                <w:sz w:val="20"/>
              </w:rPr>
              <w:t xml:space="preserve"> Study of the Induction of Clinical Response and Remission by </w:t>
            </w:r>
            <w:proofErr w:type="spellStart"/>
            <w:r w:rsidRPr="00984C78">
              <w:rPr>
                <w:rFonts w:ascii="Arial Narrow" w:hAnsi="Arial Narrow"/>
                <w:sz w:val="20"/>
              </w:rPr>
              <w:t>Vedolizumab</w:t>
            </w:r>
            <w:proofErr w:type="spellEnd"/>
            <w:r w:rsidRPr="00984C78">
              <w:rPr>
                <w:rFonts w:ascii="Arial Narrow" w:hAnsi="Arial Narrow"/>
                <w:sz w:val="20"/>
              </w:rPr>
              <w:t xml:space="preserve"> in Patients with Moderate to Severe Crohn’s Disease.</w:t>
            </w:r>
          </w:p>
        </w:tc>
        <w:tc>
          <w:tcPr>
            <w:tcW w:w="923" w:type="pct"/>
          </w:tcPr>
          <w:p w:rsidR="00D24C72" w:rsidRPr="00984C78" w:rsidRDefault="004F5AC0" w:rsidP="0018752F">
            <w:pPr>
              <w:jc w:val="left"/>
              <w:rPr>
                <w:rFonts w:ascii="Arial Narrow" w:hAnsi="Arial Narrow"/>
                <w:sz w:val="20"/>
              </w:rPr>
            </w:pPr>
            <w:r w:rsidRPr="00984C78">
              <w:rPr>
                <w:rFonts w:ascii="Arial Narrow" w:hAnsi="Arial Narrow"/>
                <w:sz w:val="20"/>
              </w:rPr>
              <w:t>2012</w:t>
            </w:r>
          </w:p>
        </w:tc>
      </w:tr>
      <w:tr w:rsidR="008F120A" w:rsidRPr="00984C78" w:rsidTr="002E6F6F">
        <w:tc>
          <w:tcPr>
            <w:tcW w:w="5000" w:type="pct"/>
            <w:gridSpan w:val="3"/>
          </w:tcPr>
          <w:p w:rsidR="008F120A" w:rsidRPr="00984C78" w:rsidRDefault="008F120A" w:rsidP="0018752F">
            <w:pPr>
              <w:jc w:val="left"/>
              <w:rPr>
                <w:rFonts w:ascii="Arial Narrow" w:hAnsi="Arial Narrow"/>
                <w:b/>
                <w:sz w:val="20"/>
              </w:rPr>
            </w:pPr>
            <w:r w:rsidRPr="00984C78">
              <w:rPr>
                <w:rFonts w:ascii="Arial Narrow" w:hAnsi="Arial Narrow"/>
                <w:b/>
                <w:sz w:val="20"/>
              </w:rPr>
              <w:t>S</w:t>
            </w:r>
            <w:r w:rsidR="00D24C72" w:rsidRPr="00984C78">
              <w:rPr>
                <w:rFonts w:ascii="Arial Narrow" w:hAnsi="Arial Narrow"/>
                <w:b/>
                <w:sz w:val="20"/>
              </w:rPr>
              <w:t>upplementary randomised trials: infliximab or adalimumab versus placebo</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rPr>
              <w:t>T16</w:t>
            </w:r>
          </w:p>
        </w:tc>
        <w:tc>
          <w:tcPr>
            <w:tcW w:w="3567" w:type="pct"/>
          </w:tcPr>
          <w:p w:rsidR="00D24C72" w:rsidRPr="00984C78" w:rsidRDefault="00D24C72" w:rsidP="00D24C72">
            <w:pPr>
              <w:jc w:val="left"/>
              <w:rPr>
                <w:rFonts w:ascii="Arial Narrow" w:hAnsi="Arial Narrow"/>
                <w:b/>
                <w:sz w:val="20"/>
              </w:rPr>
            </w:pPr>
            <w:proofErr w:type="spellStart"/>
            <w:r w:rsidRPr="00984C78">
              <w:rPr>
                <w:rFonts w:ascii="Arial Narrow" w:hAnsi="Arial Narrow"/>
                <w:sz w:val="20"/>
              </w:rPr>
              <w:t>Targan</w:t>
            </w:r>
            <w:proofErr w:type="spellEnd"/>
            <w:r w:rsidRPr="00984C78">
              <w:rPr>
                <w:rFonts w:ascii="Arial Narrow" w:hAnsi="Arial Narrow"/>
                <w:sz w:val="20"/>
              </w:rPr>
              <w:t xml:space="preserve">, S. R., </w:t>
            </w:r>
            <w:proofErr w:type="spellStart"/>
            <w:r w:rsidRPr="00984C78">
              <w:rPr>
                <w:rFonts w:ascii="Arial Narrow" w:hAnsi="Arial Narrow"/>
                <w:sz w:val="20"/>
              </w:rPr>
              <w:t>Hanauer</w:t>
            </w:r>
            <w:proofErr w:type="spellEnd"/>
            <w:r w:rsidRPr="00984C78">
              <w:rPr>
                <w:rFonts w:ascii="Arial Narrow" w:hAnsi="Arial Narrow"/>
                <w:sz w:val="20"/>
              </w:rPr>
              <w:t xml:space="preserve">, S. B., van Deventer, S. J. H., Mayer, L., Present, D. H., </w:t>
            </w:r>
            <w:proofErr w:type="spellStart"/>
            <w:r w:rsidRPr="00984C78">
              <w:rPr>
                <w:rFonts w:ascii="Arial Narrow" w:hAnsi="Arial Narrow"/>
                <w:sz w:val="20"/>
              </w:rPr>
              <w:t>Braakman</w:t>
            </w:r>
            <w:proofErr w:type="spellEnd"/>
            <w:r w:rsidRPr="00984C78">
              <w:rPr>
                <w:rFonts w:ascii="Arial Narrow" w:hAnsi="Arial Narrow"/>
                <w:sz w:val="20"/>
              </w:rPr>
              <w:t xml:space="preserve">, T., </w:t>
            </w:r>
            <w:proofErr w:type="spellStart"/>
            <w:r w:rsidRPr="00984C78">
              <w:rPr>
                <w:rFonts w:ascii="Arial Narrow" w:hAnsi="Arial Narrow"/>
                <w:sz w:val="20"/>
              </w:rPr>
              <w:t>DeWoody</w:t>
            </w:r>
            <w:proofErr w:type="spellEnd"/>
            <w:r w:rsidRPr="00984C78">
              <w:rPr>
                <w:rFonts w:ascii="Arial Narrow" w:hAnsi="Arial Narrow"/>
                <w:sz w:val="20"/>
              </w:rPr>
              <w:t xml:space="preserve">, K. L., </w:t>
            </w:r>
            <w:proofErr w:type="spellStart"/>
            <w:r w:rsidRPr="00984C78">
              <w:rPr>
                <w:rFonts w:ascii="Arial Narrow" w:hAnsi="Arial Narrow"/>
                <w:sz w:val="20"/>
              </w:rPr>
              <w:t>Schaible</w:t>
            </w:r>
            <w:proofErr w:type="spellEnd"/>
            <w:r w:rsidRPr="00984C78">
              <w:rPr>
                <w:rFonts w:ascii="Arial Narrow" w:hAnsi="Arial Narrow"/>
                <w:sz w:val="20"/>
              </w:rPr>
              <w:t xml:space="preserve">, T. F., and </w:t>
            </w:r>
            <w:proofErr w:type="spellStart"/>
            <w:r w:rsidRPr="00984C78">
              <w:rPr>
                <w:rFonts w:ascii="Arial Narrow" w:hAnsi="Arial Narrow"/>
                <w:sz w:val="20"/>
              </w:rPr>
              <w:t>Rutgeerts</w:t>
            </w:r>
            <w:proofErr w:type="spellEnd"/>
            <w:r w:rsidRPr="00984C78">
              <w:rPr>
                <w:rFonts w:ascii="Arial Narrow" w:hAnsi="Arial Narrow"/>
                <w:sz w:val="20"/>
              </w:rPr>
              <w:t xml:space="preserve">, P. J. A short-term study of chimeric monoclonal antibody cA2 to </w:t>
            </w:r>
            <w:proofErr w:type="spellStart"/>
            <w:r w:rsidRPr="00984C78">
              <w:rPr>
                <w:rFonts w:ascii="Arial Narrow" w:hAnsi="Arial Narrow"/>
                <w:sz w:val="20"/>
              </w:rPr>
              <w:t>tumor</w:t>
            </w:r>
            <w:proofErr w:type="spellEnd"/>
            <w:r w:rsidRPr="00984C78">
              <w:rPr>
                <w:rFonts w:ascii="Arial Narrow" w:hAnsi="Arial Narrow"/>
                <w:sz w:val="20"/>
              </w:rPr>
              <w:t xml:space="preserve"> necrosis factor (alpha) for Crohn's Disease. </w:t>
            </w:r>
          </w:p>
        </w:tc>
        <w:tc>
          <w:tcPr>
            <w:tcW w:w="923" w:type="pct"/>
          </w:tcPr>
          <w:p w:rsidR="00D24C72" w:rsidRPr="00984C78" w:rsidRDefault="00D24C72" w:rsidP="0018752F">
            <w:pPr>
              <w:jc w:val="left"/>
              <w:rPr>
                <w:rFonts w:ascii="Arial Narrow" w:hAnsi="Arial Narrow"/>
                <w:b/>
                <w:sz w:val="20"/>
              </w:rPr>
            </w:pPr>
            <w:r w:rsidRPr="00984C78">
              <w:rPr>
                <w:rFonts w:ascii="Arial Narrow" w:hAnsi="Arial Narrow"/>
                <w:sz w:val="20"/>
              </w:rPr>
              <w:t>New England Journal of Medicine 1997; 337 (15): 1029-1035</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rPr>
              <w:t>ACCENT I</w:t>
            </w:r>
          </w:p>
        </w:tc>
        <w:tc>
          <w:tcPr>
            <w:tcW w:w="3567" w:type="pct"/>
          </w:tcPr>
          <w:p w:rsidR="00D24C72" w:rsidRPr="00984C78" w:rsidRDefault="00D24C72" w:rsidP="00D24C72">
            <w:pPr>
              <w:jc w:val="left"/>
              <w:rPr>
                <w:rFonts w:ascii="Arial Narrow" w:hAnsi="Arial Narrow"/>
                <w:b/>
                <w:sz w:val="20"/>
              </w:rPr>
            </w:pPr>
            <w:proofErr w:type="spellStart"/>
            <w:r w:rsidRPr="00984C78">
              <w:rPr>
                <w:rFonts w:ascii="Arial Narrow" w:hAnsi="Arial Narrow"/>
                <w:sz w:val="20"/>
              </w:rPr>
              <w:t>Hanauer</w:t>
            </w:r>
            <w:proofErr w:type="spellEnd"/>
            <w:r w:rsidRPr="00984C78">
              <w:rPr>
                <w:rFonts w:ascii="Arial Narrow" w:hAnsi="Arial Narrow"/>
                <w:sz w:val="20"/>
              </w:rPr>
              <w:t xml:space="preserve">, S. B., </w:t>
            </w:r>
            <w:proofErr w:type="spellStart"/>
            <w:r w:rsidRPr="00984C78">
              <w:rPr>
                <w:rFonts w:ascii="Arial Narrow" w:hAnsi="Arial Narrow"/>
                <w:sz w:val="20"/>
              </w:rPr>
              <w:t>Feagan</w:t>
            </w:r>
            <w:proofErr w:type="spellEnd"/>
            <w:r w:rsidRPr="00984C78">
              <w:rPr>
                <w:rFonts w:ascii="Arial Narrow" w:hAnsi="Arial Narrow"/>
                <w:sz w:val="20"/>
              </w:rPr>
              <w:t xml:space="preserve">, B. G., Lichtenstein, G. R., Mayer, L. F., Schreiber, S., </w:t>
            </w:r>
            <w:proofErr w:type="spellStart"/>
            <w:r w:rsidRPr="00984C78">
              <w:rPr>
                <w:rFonts w:ascii="Arial Narrow" w:hAnsi="Arial Narrow"/>
                <w:sz w:val="20"/>
              </w:rPr>
              <w:t>Colombel</w:t>
            </w:r>
            <w:proofErr w:type="spellEnd"/>
            <w:r w:rsidRPr="00984C78">
              <w:rPr>
                <w:rFonts w:ascii="Arial Narrow" w:hAnsi="Arial Narrow"/>
                <w:sz w:val="20"/>
              </w:rPr>
              <w:t xml:space="preserve">, J. F., </w:t>
            </w:r>
            <w:proofErr w:type="spellStart"/>
            <w:r w:rsidRPr="00984C78">
              <w:rPr>
                <w:rFonts w:ascii="Arial Narrow" w:hAnsi="Arial Narrow"/>
                <w:sz w:val="20"/>
              </w:rPr>
              <w:t>Rachmilewitz</w:t>
            </w:r>
            <w:proofErr w:type="spellEnd"/>
            <w:r w:rsidRPr="00984C78">
              <w:rPr>
                <w:rFonts w:ascii="Arial Narrow" w:hAnsi="Arial Narrow"/>
                <w:sz w:val="20"/>
              </w:rPr>
              <w:t xml:space="preserve">, D., Wolf, D. C., Olson, A., </w:t>
            </w:r>
            <w:proofErr w:type="spellStart"/>
            <w:r w:rsidRPr="00984C78">
              <w:rPr>
                <w:rFonts w:ascii="Arial Narrow" w:hAnsi="Arial Narrow"/>
                <w:sz w:val="20"/>
              </w:rPr>
              <w:t>Bao</w:t>
            </w:r>
            <w:proofErr w:type="spellEnd"/>
            <w:r w:rsidRPr="00984C78">
              <w:rPr>
                <w:rFonts w:ascii="Arial Narrow" w:hAnsi="Arial Narrow"/>
                <w:sz w:val="20"/>
              </w:rPr>
              <w:t xml:space="preserve">, W., and </w:t>
            </w:r>
            <w:proofErr w:type="spellStart"/>
            <w:r w:rsidRPr="00984C78">
              <w:rPr>
                <w:rFonts w:ascii="Arial Narrow" w:hAnsi="Arial Narrow"/>
                <w:sz w:val="20"/>
              </w:rPr>
              <w:t>Rutgeerts</w:t>
            </w:r>
            <w:proofErr w:type="spellEnd"/>
            <w:r w:rsidRPr="00984C78">
              <w:rPr>
                <w:rFonts w:ascii="Arial Narrow" w:hAnsi="Arial Narrow"/>
                <w:sz w:val="20"/>
              </w:rPr>
              <w:t xml:space="preserve">, P. Maintenance infliximab for Crohn's disease: The ACCENT I randomised trial </w:t>
            </w:r>
          </w:p>
        </w:tc>
        <w:tc>
          <w:tcPr>
            <w:tcW w:w="923" w:type="pct"/>
          </w:tcPr>
          <w:p w:rsidR="00D24C72" w:rsidRPr="00984C78" w:rsidRDefault="00D24C72" w:rsidP="0018752F">
            <w:pPr>
              <w:jc w:val="left"/>
              <w:rPr>
                <w:rFonts w:ascii="Arial Narrow" w:hAnsi="Arial Narrow"/>
                <w:b/>
                <w:sz w:val="20"/>
              </w:rPr>
            </w:pPr>
            <w:r w:rsidRPr="00984C78">
              <w:rPr>
                <w:rFonts w:ascii="Arial Narrow" w:hAnsi="Arial Narrow"/>
                <w:sz w:val="20"/>
              </w:rPr>
              <w:t>Lancet 2002; 359 (9317): 1541-1549</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rPr>
              <w:t>CLASSIC I</w:t>
            </w:r>
          </w:p>
        </w:tc>
        <w:tc>
          <w:tcPr>
            <w:tcW w:w="3567" w:type="pct"/>
          </w:tcPr>
          <w:p w:rsidR="00D24C72" w:rsidRPr="00984C78" w:rsidRDefault="00D24C72" w:rsidP="00D24C72">
            <w:pPr>
              <w:jc w:val="left"/>
              <w:rPr>
                <w:rFonts w:ascii="Arial Narrow" w:hAnsi="Arial Narrow"/>
                <w:sz w:val="20"/>
              </w:rPr>
            </w:pPr>
            <w:proofErr w:type="spellStart"/>
            <w:r w:rsidRPr="00984C78">
              <w:rPr>
                <w:rFonts w:ascii="Arial Narrow" w:hAnsi="Arial Narrow"/>
                <w:sz w:val="20"/>
              </w:rPr>
              <w:t>Hanauer</w:t>
            </w:r>
            <w:proofErr w:type="spellEnd"/>
            <w:r w:rsidRPr="00984C78">
              <w:rPr>
                <w:rFonts w:ascii="Arial Narrow" w:hAnsi="Arial Narrow"/>
                <w:sz w:val="20"/>
              </w:rPr>
              <w:t xml:space="preserve">, S. B., </w:t>
            </w: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Rutgeerts</w:t>
            </w:r>
            <w:proofErr w:type="spellEnd"/>
            <w:r w:rsidRPr="00984C78">
              <w:rPr>
                <w:rFonts w:ascii="Arial Narrow" w:hAnsi="Arial Narrow"/>
                <w:sz w:val="20"/>
              </w:rPr>
              <w:t xml:space="preserve">, P., </w:t>
            </w:r>
            <w:proofErr w:type="spellStart"/>
            <w:r w:rsidRPr="00984C78">
              <w:rPr>
                <w:rFonts w:ascii="Arial Narrow" w:hAnsi="Arial Narrow"/>
                <w:sz w:val="20"/>
              </w:rPr>
              <w:t>Fedorak</w:t>
            </w:r>
            <w:proofErr w:type="spellEnd"/>
            <w:r w:rsidRPr="00984C78">
              <w:rPr>
                <w:rFonts w:ascii="Arial Narrow" w:hAnsi="Arial Narrow"/>
                <w:sz w:val="20"/>
              </w:rPr>
              <w:t xml:space="preserve">, R. N., Lukas, M., </w:t>
            </w:r>
            <w:proofErr w:type="spellStart"/>
            <w:r w:rsidRPr="00984C78">
              <w:rPr>
                <w:rFonts w:ascii="Arial Narrow" w:hAnsi="Arial Narrow"/>
                <w:sz w:val="20"/>
              </w:rPr>
              <w:t>MacIntosh</w:t>
            </w:r>
            <w:proofErr w:type="spellEnd"/>
            <w:r w:rsidRPr="00984C78">
              <w:rPr>
                <w:rFonts w:ascii="Arial Narrow" w:hAnsi="Arial Narrow"/>
                <w:sz w:val="20"/>
              </w:rPr>
              <w:t xml:space="preserve">, D., </w:t>
            </w:r>
            <w:proofErr w:type="spellStart"/>
            <w:r w:rsidRPr="00984C78">
              <w:rPr>
                <w:rFonts w:ascii="Arial Narrow" w:hAnsi="Arial Narrow"/>
                <w:sz w:val="20"/>
              </w:rPr>
              <w:t>Panaccione</w:t>
            </w:r>
            <w:proofErr w:type="spellEnd"/>
            <w:r w:rsidRPr="00984C78">
              <w:rPr>
                <w:rFonts w:ascii="Arial Narrow" w:hAnsi="Arial Narrow"/>
                <w:sz w:val="20"/>
              </w:rPr>
              <w:t>, R., Wolf, D., and Pollack, P. Human anti-</w:t>
            </w:r>
            <w:proofErr w:type="spellStart"/>
            <w:r w:rsidRPr="00984C78">
              <w:rPr>
                <w:rFonts w:ascii="Arial Narrow" w:hAnsi="Arial Narrow"/>
                <w:sz w:val="20"/>
              </w:rPr>
              <w:t>tumor</w:t>
            </w:r>
            <w:proofErr w:type="spellEnd"/>
            <w:r w:rsidRPr="00984C78">
              <w:rPr>
                <w:rFonts w:ascii="Arial Narrow" w:hAnsi="Arial Narrow"/>
                <w:sz w:val="20"/>
              </w:rPr>
              <w:t xml:space="preserve"> necrosis factor monoclonal antibody (adalimumab) in Crohn's disease: The CLASSIC-I trial </w:t>
            </w:r>
          </w:p>
        </w:tc>
        <w:tc>
          <w:tcPr>
            <w:tcW w:w="923" w:type="pct"/>
          </w:tcPr>
          <w:p w:rsidR="00D24C72" w:rsidRPr="00984C78" w:rsidRDefault="00D24C72" w:rsidP="0018752F">
            <w:pPr>
              <w:jc w:val="left"/>
              <w:rPr>
                <w:rFonts w:ascii="Arial Narrow" w:hAnsi="Arial Narrow"/>
                <w:sz w:val="20"/>
              </w:rPr>
            </w:pPr>
            <w:r w:rsidRPr="00984C78">
              <w:rPr>
                <w:rFonts w:ascii="Arial Narrow" w:hAnsi="Arial Narrow"/>
                <w:sz w:val="20"/>
              </w:rPr>
              <w:t>Gastroenterology 2006; 130 (2): 323-332</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rPr>
              <w:t>CLASSIC II</w:t>
            </w:r>
          </w:p>
        </w:tc>
        <w:tc>
          <w:tcPr>
            <w:tcW w:w="3567" w:type="pct"/>
          </w:tcPr>
          <w:p w:rsidR="00D24C72" w:rsidRPr="00984C78" w:rsidRDefault="00D24C72" w:rsidP="00D24C72">
            <w:pPr>
              <w:jc w:val="left"/>
              <w:rPr>
                <w:rFonts w:ascii="Arial Narrow" w:hAnsi="Arial Narrow"/>
                <w:sz w:val="20"/>
              </w:rPr>
            </w:pP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Hanauer</w:t>
            </w:r>
            <w:proofErr w:type="spellEnd"/>
            <w:r w:rsidRPr="00984C78">
              <w:rPr>
                <w:rFonts w:ascii="Arial Narrow" w:hAnsi="Arial Narrow"/>
                <w:sz w:val="20"/>
              </w:rPr>
              <w:t xml:space="preserve">, S. B., </w:t>
            </w:r>
            <w:proofErr w:type="spellStart"/>
            <w:r w:rsidRPr="00984C78">
              <w:rPr>
                <w:rFonts w:ascii="Arial Narrow" w:hAnsi="Arial Narrow"/>
                <w:sz w:val="20"/>
              </w:rPr>
              <w:t>Rutgeerts</w:t>
            </w:r>
            <w:proofErr w:type="spellEnd"/>
            <w:r w:rsidRPr="00984C78">
              <w:rPr>
                <w:rFonts w:ascii="Arial Narrow" w:hAnsi="Arial Narrow"/>
                <w:sz w:val="20"/>
              </w:rPr>
              <w:t xml:space="preserve">, P., </w:t>
            </w:r>
            <w:proofErr w:type="spellStart"/>
            <w:r w:rsidRPr="00984C78">
              <w:rPr>
                <w:rFonts w:ascii="Arial Narrow" w:hAnsi="Arial Narrow"/>
                <w:sz w:val="20"/>
              </w:rPr>
              <w:t>Fedorak</w:t>
            </w:r>
            <w:proofErr w:type="spellEnd"/>
            <w:r w:rsidRPr="00984C78">
              <w:rPr>
                <w:rFonts w:ascii="Arial Narrow" w:hAnsi="Arial Narrow"/>
                <w:sz w:val="20"/>
              </w:rPr>
              <w:t xml:space="preserve">, R. N., </w:t>
            </w:r>
            <w:proofErr w:type="spellStart"/>
            <w:r w:rsidRPr="00984C78">
              <w:rPr>
                <w:rFonts w:ascii="Arial Narrow" w:hAnsi="Arial Narrow"/>
                <w:sz w:val="20"/>
              </w:rPr>
              <w:t>Lulcas</w:t>
            </w:r>
            <w:proofErr w:type="spellEnd"/>
            <w:r w:rsidRPr="00984C78">
              <w:rPr>
                <w:rFonts w:ascii="Arial Narrow" w:hAnsi="Arial Narrow"/>
                <w:sz w:val="20"/>
              </w:rPr>
              <w:t xml:space="preserve">, M., </w:t>
            </w:r>
            <w:proofErr w:type="spellStart"/>
            <w:r w:rsidRPr="00984C78">
              <w:rPr>
                <w:rFonts w:ascii="Arial Narrow" w:hAnsi="Arial Narrow"/>
                <w:sz w:val="20"/>
              </w:rPr>
              <w:t>MacIntosh</w:t>
            </w:r>
            <w:proofErr w:type="spellEnd"/>
            <w:r w:rsidRPr="00984C78">
              <w:rPr>
                <w:rFonts w:ascii="Arial Narrow" w:hAnsi="Arial Narrow"/>
                <w:sz w:val="20"/>
              </w:rPr>
              <w:t xml:space="preserve">, D. G., </w:t>
            </w:r>
            <w:proofErr w:type="spellStart"/>
            <w:r w:rsidRPr="00984C78">
              <w:rPr>
                <w:rFonts w:ascii="Arial Narrow" w:hAnsi="Arial Narrow"/>
                <w:sz w:val="20"/>
              </w:rPr>
              <w:t>Panaccione</w:t>
            </w:r>
            <w:proofErr w:type="spellEnd"/>
            <w:r w:rsidRPr="00984C78">
              <w:rPr>
                <w:rFonts w:ascii="Arial Narrow" w:hAnsi="Arial Narrow"/>
                <w:sz w:val="20"/>
              </w:rPr>
              <w:t xml:space="preserve">, R., Wolf, D., Kent, J. D., </w:t>
            </w:r>
            <w:proofErr w:type="spellStart"/>
            <w:r w:rsidRPr="00984C78">
              <w:rPr>
                <w:rFonts w:ascii="Arial Narrow" w:hAnsi="Arial Narrow"/>
                <w:sz w:val="20"/>
              </w:rPr>
              <w:t>Bittle</w:t>
            </w:r>
            <w:proofErr w:type="spellEnd"/>
            <w:r w:rsidRPr="00984C78">
              <w:rPr>
                <w:rFonts w:ascii="Arial Narrow" w:hAnsi="Arial Narrow"/>
                <w:sz w:val="20"/>
              </w:rPr>
              <w:t xml:space="preserve">, B., Li, J., and Pollack, P. F. Adalimumab for maintenance treatment of Crohn's disease: Results of the CLASSIC II trial. </w:t>
            </w:r>
          </w:p>
        </w:tc>
        <w:tc>
          <w:tcPr>
            <w:tcW w:w="923" w:type="pct"/>
          </w:tcPr>
          <w:p w:rsidR="00D24C72" w:rsidRPr="00984C78" w:rsidRDefault="00D24C72" w:rsidP="0018752F">
            <w:pPr>
              <w:jc w:val="left"/>
              <w:rPr>
                <w:rFonts w:ascii="Arial Narrow" w:hAnsi="Arial Narrow"/>
                <w:sz w:val="20"/>
              </w:rPr>
            </w:pPr>
            <w:r w:rsidRPr="00984C78">
              <w:rPr>
                <w:rFonts w:ascii="Arial Narrow" w:hAnsi="Arial Narrow"/>
                <w:sz w:val="20"/>
              </w:rPr>
              <w:t>Gut 2007; 56 (9): 1232-1239</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lang w:eastAsia="en-AU"/>
              </w:rPr>
              <w:t>GAIN</w:t>
            </w:r>
          </w:p>
        </w:tc>
        <w:tc>
          <w:tcPr>
            <w:tcW w:w="3567" w:type="pct"/>
          </w:tcPr>
          <w:p w:rsidR="00D24C72" w:rsidRPr="00984C78" w:rsidRDefault="00D24C72" w:rsidP="00D24C72">
            <w:pPr>
              <w:jc w:val="left"/>
              <w:rPr>
                <w:rFonts w:ascii="Arial Narrow" w:hAnsi="Arial Narrow"/>
                <w:sz w:val="20"/>
              </w:rPr>
            </w:pP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Rutgeerts</w:t>
            </w:r>
            <w:proofErr w:type="spellEnd"/>
            <w:r w:rsidRPr="00984C78">
              <w:rPr>
                <w:rFonts w:ascii="Arial Narrow" w:hAnsi="Arial Narrow"/>
                <w:sz w:val="20"/>
              </w:rPr>
              <w:t xml:space="preserve">, P., </w:t>
            </w:r>
            <w:proofErr w:type="spellStart"/>
            <w:r w:rsidRPr="00984C78">
              <w:rPr>
                <w:rFonts w:ascii="Arial Narrow" w:hAnsi="Arial Narrow"/>
                <w:sz w:val="20"/>
              </w:rPr>
              <w:t>Enns</w:t>
            </w:r>
            <w:proofErr w:type="spellEnd"/>
            <w:r w:rsidRPr="00984C78">
              <w:rPr>
                <w:rFonts w:ascii="Arial Narrow" w:hAnsi="Arial Narrow"/>
                <w:sz w:val="20"/>
              </w:rPr>
              <w:t xml:space="preserve">, R., </w:t>
            </w:r>
            <w:proofErr w:type="spellStart"/>
            <w:r w:rsidRPr="00984C78">
              <w:rPr>
                <w:rFonts w:ascii="Arial Narrow" w:hAnsi="Arial Narrow"/>
                <w:sz w:val="20"/>
              </w:rPr>
              <w:t>Hanauer</w:t>
            </w:r>
            <w:proofErr w:type="spellEnd"/>
            <w:r w:rsidRPr="00984C78">
              <w:rPr>
                <w:rFonts w:ascii="Arial Narrow" w:hAnsi="Arial Narrow"/>
                <w:sz w:val="20"/>
              </w:rPr>
              <w:t xml:space="preserve">, S. B., </w:t>
            </w:r>
            <w:proofErr w:type="spellStart"/>
            <w:r w:rsidRPr="00984C78">
              <w:rPr>
                <w:rFonts w:ascii="Arial Narrow" w:hAnsi="Arial Narrow"/>
                <w:sz w:val="20"/>
              </w:rPr>
              <w:t>Colombel</w:t>
            </w:r>
            <w:proofErr w:type="spellEnd"/>
            <w:r w:rsidRPr="00984C78">
              <w:rPr>
                <w:rFonts w:ascii="Arial Narrow" w:hAnsi="Arial Narrow"/>
                <w:sz w:val="20"/>
              </w:rPr>
              <w:t xml:space="preserve">, J. F., </w:t>
            </w:r>
            <w:proofErr w:type="spellStart"/>
            <w:r w:rsidRPr="00984C78">
              <w:rPr>
                <w:rFonts w:ascii="Arial Narrow" w:hAnsi="Arial Narrow"/>
                <w:sz w:val="20"/>
              </w:rPr>
              <w:t>Panaccione</w:t>
            </w:r>
            <w:proofErr w:type="spellEnd"/>
            <w:r w:rsidRPr="00984C78">
              <w:rPr>
                <w:rFonts w:ascii="Arial Narrow" w:hAnsi="Arial Narrow"/>
                <w:sz w:val="20"/>
              </w:rPr>
              <w:t xml:space="preserve">, R., </w:t>
            </w:r>
            <w:proofErr w:type="spellStart"/>
            <w:r w:rsidRPr="00984C78">
              <w:rPr>
                <w:rFonts w:ascii="Arial Narrow" w:hAnsi="Arial Narrow"/>
                <w:sz w:val="20"/>
              </w:rPr>
              <w:t>D'Haens</w:t>
            </w:r>
            <w:proofErr w:type="spellEnd"/>
            <w:r w:rsidRPr="00984C78">
              <w:rPr>
                <w:rFonts w:ascii="Arial Narrow" w:hAnsi="Arial Narrow"/>
                <w:sz w:val="20"/>
              </w:rPr>
              <w:t>, G., Li, J., Rosenfeld, M. R., Kent, J. D., and Pollack, P. F. Adalimumab induction therapy for Crohn</w:t>
            </w:r>
            <w:r w:rsidR="00634535">
              <w:rPr>
                <w:rFonts w:ascii="Arial Narrow" w:hAnsi="Arial Narrow"/>
                <w:sz w:val="20"/>
              </w:rPr>
              <w:t>’s</w:t>
            </w:r>
            <w:r w:rsidRPr="00984C78">
              <w:rPr>
                <w:rFonts w:ascii="Arial Narrow" w:hAnsi="Arial Narrow"/>
                <w:sz w:val="20"/>
              </w:rPr>
              <w:t xml:space="preserve"> disease previously treated with infliximab: A randomized trial </w:t>
            </w:r>
          </w:p>
        </w:tc>
        <w:tc>
          <w:tcPr>
            <w:tcW w:w="923" w:type="pct"/>
          </w:tcPr>
          <w:p w:rsidR="00D24C72" w:rsidRPr="00984C78" w:rsidRDefault="00D24C72" w:rsidP="0018752F">
            <w:pPr>
              <w:jc w:val="left"/>
              <w:rPr>
                <w:rFonts w:ascii="Arial Narrow" w:hAnsi="Arial Narrow"/>
                <w:sz w:val="20"/>
              </w:rPr>
            </w:pPr>
            <w:r w:rsidRPr="00984C78">
              <w:rPr>
                <w:rFonts w:ascii="Arial Narrow" w:hAnsi="Arial Narrow"/>
                <w:sz w:val="20"/>
              </w:rPr>
              <w:t>Annals of Internal Medicine 2007; 146 (12): 829-838</w:t>
            </w:r>
          </w:p>
        </w:tc>
      </w:tr>
      <w:tr w:rsidR="00D24C72" w:rsidRPr="00984C78" w:rsidTr="002E6F6F">
        <w:tc>
          <w:tcPr>
            <w:tcW w:w="510" w:type="pct"/>
          </w:tcPr>
          <w:p w:rsidR="00D24C72" w:rsidRPr="00984C78" w:rsidRDefault="00D24C72" w:rsidP="0018752F">
            <w:pPr>
              <w:jc w:val="left"/>
              <w:rPr>
                <w:rFonts w:ascii="Arial Narrow" w:hAnsi="Arial Narrow"/>
                <w:sz w:val="20"/>
              </w:rPr>
            </w:pPr>
            <w:r w:rsidRPr="00984C78">
              <w:rPr>
                <w:rFonts w:ascii="Arial Narrow" w:hAnsi="Arial Narrow"/>
                <w:sz w:val="20"/>
                <w:lang w:eastAsia="en-AU"/>
              </w:rPr>
              <w:t>Watanabe</w:t>
            </w:r>
          </w:p>
        </w:tc>
        <w:tc>
          <w:tcPr>
            <w:tcW w:w="3567" w:type="pct"/>
          </w:tcPr>
          <w:p w:rsidR="00D24C72" w:rsidRPr="00984C78" w:rsidRDefault="00D24C72" w:rsidP="004C75D0">
            <w:pPr>
              <w:jc w:val="left"/>
              <w:rPr>
                <w:rFonts w:ascii="Arial Narrow" w:hAnsi="Arial Narrow"/>
                <w:sz w:val="20"/>
              </w:rPr>
            </w:pPr>
            <w:r w:rsidRPr="00984C78">
              <w:rPr>
                <w:rFonts w:ascii="Arial Narrow" w:hAnsi="Arial Narrow"/>
                <w:sz w:val="20"/>
              </w:rPr>
              <w:t xml:space="preserve">Watanabe, M., </w:t>
            </w:r>
            <w:proofErr w:type="spellStart"/>
            <w:r w:rsidRPr="00984C78">
              <w:rPr>
                <w:rFonts w:ascii="Arial Narrow" w:hAnsi="Arial Narrow"/>
                <w:sz w:val="20"/>
              </w:rPr>
              <w:t>Hibi</w:t>
            </w:r>
            <w:proofErr w:type="spellEnd"/>
            <w:r w:rsidRPr="00984C78">
              <w:rPr>
                <w:rFonts w:ascii="Arial Narrow" w:hAnsi="Arial Narrow"/>
                <w:sz w:val="20"/>
              </w:rPr>
              <w:t xml:space="preserve">, T., Lomax, K. G., Paulson, S. K., Chao, J., </w:t>
            </w:r>
            <w:proofErr w:type="spellStart"/>
            <w:r w:rsidRPr="00984C78">
              <w:rPr>
                <w:rFonts w:ascii="Arial Narrow" w:hAnsi="Arial Narrow"/>
                <w:sz w:val="20"/>
              </w:rPr>
              <w:t>Alam</w:t>
            </w:r>
            <w:proofErr w:type="spellEnd"/>
            <w:r w:rsidRPr="00984C78">
              <w:rPr>
                <w:rFonts w:ascii="Arial Narrow" w:hAnsi="Arial Narrow"/>
                <w:sz w:val="20"/>
              </w:rPr>
              <w:t xml:space="preserve">, M. S., and </w:t>
            </w:r>
            <w:proofErr w:type="spellStart"/>
            <w:r w:rsidRPr="00984C78">
              <w:rPr>
                <w:rFonts w:ascii="Arial Narrow" w:hAnsi="Arial Narrow"/>
                <w:sz w:val="20"/>
              </w:rPr>
              <w:t>Camez</w:t>
            </w:r>
            <w:proofErr w:type="spellEnd"/>
            <w:r w:rsidRPr="00984C78">
              <w:rPr>
                <w:rFonts w:ascii="Arial Narrow" w:hAnsi="Arial Narrow"/>
                <w:sz w:val="20"/>
              </w:rPr>
              <w:t xml:space="preserve">, A. Adalimumab for the induction and maintenance of clinical remission in Japanese patients with Crohn's disease </w:t>
            </w:r>
          </w:p>
        </w:tc>
        <w:tc>
          <w:tcPr>
            <w:tcW w:w="923" w:type="pct"/>
          </w:tcPr>
          <w:p w:rsidR="00D24C72" w:rsidRPr="00984C78" w:rsidRDefault="004C75D0" w:rsidP="0018752F">
            <w:pPr>
              <w:jc w:val="left"/>
              <w:rPr>
                <w:rFonts w:ascii="Arial Narrow" w:hAnsi="Arial Narrow"/>
                <w:sz w:val="20"/>
              </w:rPr>
            </w:pPr>
            <w:r w:rsidRPr="00984C78">
              <w:rPr>
                <w:rFonts w:ascii="Arial Narrow" w:hAnsi="Arial Narrow"/>
                <w:sz w:val="20"/>
              </w:rPr>
              <w:t>Journal of Crohn's and Colitis 2012; 6 (2): 160-173</w:t>
            </w:r>
          </w:p>
        </w:tc>
      </w:tr>
      <w:tr w:rsidR="00A17883" w:rsidRPr="00984C78" w:rsidTr="002E6F6F">
        <w:trPr>
          <w:trHeight w:val="1225"/>
        </w:trPr>
        <w:tc>
          <w:tcPr>
            <w:tcW w:w="510" w:type="pct"/>
            <w:tcBorders>
              <w:bottom w:val="nil"/>
            </w:tcBorders>
          </w:tcPr>
          <w:p w:rsidR="00A17883" w:rsidRPr="00984C78" w:rsidRDefault="00A17883" w:rsidP="0018752F">
            <w:pPr>
              <w:jc w:val="left"/>
              <w:rPr>
                <w:rFonts w:ascii="Arial Narrow" w:hAnsi="Arial Narrow"/>
                <w:sz w:val="20"/>
                <w:lang w:eastAsia="en-AU"/>
              </w:rPr>
            </w:pPr>
            <w:r w:rsidRPr="00984C78">
              <w:rPr>
                <w:rFonts w:ascii="Arial Narrow" w:hAnsi="Arial Narrow"/>
                <w:sz w:val="20"/>
                <w:lang w:eastAsia="en-AU"/>
              </w:rPr>
              <w:t>CHARM</w:t>
            </w:r>
          </w:p>
        </w:tc>
        <w:tc>
          <w:tcPr>
            <w:tcW w:w="3567" w:type="pct"/>
            <w:tcBorders>
              <w:bottom w:val="nil"/>
            </w:tcBorders>
          </w:tcPr>
          <w:p w:rsidR="00A17883" w:rsidRPr="00984C78" w:rsidRDefault="00A17883" w:rsidP="004C75D0">
            <w:pPr>
              <w:jc w:val="left"/>
              <w:rPr>
                <w:rFonts w:ascii="Arial Narrow" w:hAnsi="Arial Narrow"/>
                <w:sz w:val="20"/>
              </w:rPr>
            </w:pPr>
            <w:proofErr w:type="spellStart"/>
            <w:r w:rsidRPr="00984C78">
              <w:rPr>
                <w:rFonts w:ascii="Arial Narrow" w:hAnsi="Arial Narrow"/>
                <w:sz w:val="20"/>
              </w:rPr>
              <w:t>Colombel</w:t>
            </w:r>
            <w:proofErr w:type="spellEnd"/>
            <w:r w:rsidRPr="00984C78">
              <w:rPr>
                <w:rFonts w:ascii="Arial Narrow" w:hAnsi="Arial Narrow"/>
                <w:sz w:val="20"/>
              </w:rPr>
              <w:t xml:space="preserve">, J., </w:t>
            </w: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Rutgeerts</w:t>
            </w:r>
            <w:proofErr w:type="spellEnd"/>
            <w:r w:rsidRPr="00984C78">
              <w:rPr>
                <w:rFonts w:ascii="Arial Narrow" w:hAnsi="Arial Narrow"/>
                <w:sz w:val="20"/>
              </w:rPr>
              <w:t xml:space="preserve">, P., </w:t>
            </w:r>
            <w:proofErr w:type="spellStart"/>
            <w:r w:rsidRPr="00984C78">
              <w:rPr>
                <w:rFonts w:ascii="Arial Narrow" w:hAnsi="Arial Narrow"/>
                <w:sz w:val="20"/>
              </w:rPr>
              <w:t>Enns</w:t>
            </w:r>
            <w:proofErr w:type="spellEnd"/>
            <w:r w:rsidRPr="00984C78">
              <w:rPr>
                <w:rFonts w:ascii="Arial Narrow" w:hAnsi="Arial Narrow"/>
                <w:sz w:val="20"/>
              </w:rPr>
              <w:t xml:space="preserve">, R., </w:t>
            </w:r>
            <w:proofErr w:type="spellStart"/>
            <w:r w:rsidRPr="00984C78">
              <w:rPr>
                <w:rFonts w:ascii="Arial Narrow" w:hAnsi="Arial Narrow"/>
                <w:sz w:val="20"/>
              </w:rPr>
              <w:t>Hanauer</w:t>
            </w:r>
            <w:proofErr w:type="spellEnd"/>
            <w:r w:rsidRPr="00984C78">
              <w:rPr>
                <w:rFonts w:ascii="Arial Narrow" w:hAnsi="Arial Narrow"/>
                <w:sz w:val="20"/>
              </w:rPr>
              <w:t xml:space="preserve">, S. B., </w:t>
            </w:r>
            <w:proofErr w:type="spellStart"/>
            <w:r w:rsidRPr="00984C78">
              <w:rPr>
                <w:rFonts w:ascii="Arial Narrow" w:hAnsi="Arial Narrow"/>
                <w:sz w:val="20"/>
              </w:rPr>
              <w:t>Panaccione</w:t>
            </w:r>
            <w:proofErr w:type="spellEnd"/>
            <w:r w:rsidRPr="00984C78">
              <w:rPr>
                <w:rFonts w:ascii="Arial Narrow" w:hAnsi="Arial Narrow"/>
                <w:sz w:val="20"/>
              </w:rPr>
              <w:t xml:space="preserve">, R., Schreiber, S., </w:t>
            </w:r>
            <w:proofErr w:type="spellStart"/>
            <w:r w:rsidRPr="00984C78">
              <w:rPr>
                <w:rFonts w:ascii="Arial Narrow" w:hAnsi="Arial Narrow"/>
                <w:sz w:val="20"/>
              </w:rPr>
              <w:t>Byczkowski</w:t>
            </w:r>
            <w:proofErr w:type="spellEnd"/>
            <w:r w:rsidRPr="00984C78">
              <w:rPr>
                <w:rFonts w:ascii="Arial Narrow" w:hAnsi="Arial Narrow"/>
                <w:sz w:val="20"/>
              </w:rPr>
              <w:t xml:space="preserve">, D., Li, J., Kent, J. D., and Pollack, P. F. Adalimumab for Maintenance of Clinical Response and Remission in Patients With Crohn's Disease: The CHARM Trial </w:t>
            </w:r>
          </w:p>
          <w:p w:rsidR="00A17883" w:rsidRPr="00984C78" w:rsidRDefault="00A17883" w:rsidP="004C75D0">
            <w:pPr>
              <w:jc w:val="left"/>
              <w:rPr>
                <w:rFonts w:ascii="Arial Narrow" w:hAnsi="Arial Narrow"/>
                <w:sz w:val="20"/>
              </w:rPr>
            </w:pPr>
          </w:p>
        </w:tc>
        <w:tc>
          <w:tcPr>
            <w:tcW w:w="923" w:type="pct"/>
            <w:tcBorders>
              <w:bottom w:val="nil"/>
            </w:tcBorders>
          </w:tcPr>
          <w:p w:rsidR="00A17883" w:rsidRPr="00984C78" w:rsidRDefault="00A17883" w:rsidP="004C75D0">
            <w:pPr>
              <w:jc w:val="left"/>
              <w:rPr>
                <w:rFonts w:ascii="Arial Narrow" w:hAnsi="Arial Narrow"/>
                <w:sz w:val="20"/>
              </w:rPr>
            </w:pPr>
            <w:r w:rsidRPr="00984C78">
              <w:rPr>
                <w:rFonts w:ascii="Arial Narrow" w:hAnsi="Arial Narrow"/>
                <w:sz w:val="20"/>
              </w:rPr>
              <w:t>Gastroenterology 2007; 132 (1): 52-65</w:t>
            </w:r>
          </w:p>
          <w:p w:rsidR="00A17883" w:rsidRPr="00984C78" w:rsidRDefault="00A17883" w:rsidP="007F550B">
            <w:pPr>
              <w:jc w:val="left"/>
              <w:rPr>
                <w:rFonts w:ascii="Arial Narrow" w:hAnsi="Arial Narrow"/>
                <w:sz w:val="20"/>
              </w:rPr>
            </w:pPr>
          </w:p>
        </w:tc>
      </w:tr>
      <w:tr w:rsidR="00A17883" w:rsidRPr="00984C78" w:rsidTr="002E6F6F">
        <w:trPr>
          <w:trHeight w:val="1225"/>
        </w:trPr>
        <w:tc>
          <w:tcPr>
            <w:tcW w:w="510" w:type="pct"/>
            <w:tcBorders>
              <w:top w:val="nil"/>
              <w:bottom w:val="nil"/>
            </w:tcBorders>
          </w:tcPr>
          <w:p w:rsidR="00A17883" w:rsidRPr="00984C78" w:rsidRDefault="00A17883" w:rsidP="0018752F">
            <w:pPr>
              <w:jc w:val="left"/>
              <w:rPr>
                <w:rFonts w:ascii="Arial Narrow" w:hAnsi="Arial Narrow"/>
                <w:sz w:val="20"/>
                <w:lang w:eastAsia="en-AU"/>
              </w:rPr>
            </w:pPr>
          </w:p>
        </w:tc>
        <w:tc>
          <w:tcPr>
            <w:tcW w:w="3567" w:type="pct"/>
            <w:tcBorders>
              <w:top w:val="nil"/>
              <w:bottom w:val="nil"/>
            </w:tcBorders>
          </w:tcPr>
          <w:p w:rsidR="00A17883" w:rsidRPr="00984C78" w:rsidRDefault="00A17883" w:rsidP="004C75D0">
            <w:pPr>
              <w:jc w:val="left"/>
              <w:rPr>
                <w:rFonts w:ascii="Arial Narrow" w:hAnsi="Arial Narrow"/>
                <w:sz w:val="20"/>
              </w:rPr>
            </w:pPr>
            <w:proofErr w:type="spellStart"/>
            <w:r w:rsidRPr="00984C78">
              <w:rPr>
                <w:rFonts w:ascii="Arial Narrow" w:hAnsi="Arial Narrow"/>
                <w:sz w:val="20"/>
              </w:rPr>
              <w:t>Sandborn</w:t>
            </w:r>
            <w:proofErr w:type="spellEnd"/>
            <w:r w:rsidRPr="00984C78">
              <w:rPr>
                <w:rFonts w:ascii="Arial Narrow" w:hAnsi="Arial Narrow"/>
                <w:sz w:val="20"/>
              </w:rPr>
              <w:t xml:space="preserve">, W. J., </w:t>
            </w:r>
            <w:proofErr w:type="spellStart"/>
            <w:r w:rsidRPr="00984C78">
              <w:rPr>
                <w:rFonts w:ascii="Arial Narrow" w:hAnsi="Arial Narrow"/>
                <w:sz w:val="20"/>
              </w:rPr>
              <w:t>Colombel</w:t>
            </w:r>
            <w:proofErr w:type="spellEnd"/>
            <w:r w:rsidRPr="00984C78">
              <w:rPr>
                <w:rFonts w:ascii="Arial Narrow" w:hAnsi="Arial Narrow"/>
                <w:sz w:val="20"/>
              </w:rPr>
              <w:t xml:space="preserve">, J. F., </w:t>
            </w:r>
            <w:proofErr w:type="spellStart"/>
            <w:r w:rsidRPr="00984C78">
              <w:rPr>
                <w:rFonts w:ascii="Arial Narrow" w:hAnsi="Arial Narrow"/>
                <w:sz w:val="20"/>
              </w:rPr>
              <w:t>D'Haens</w:t>
            </w:r>
            <w:proofErr w:type="spellEnd"/>
            <w:r w:rsidRPr="00984C78">
              <w:rPr>
                <w:rFonts w:ascii="Arial Narrow" w:hAnsi="Arial Narrow"/>
                <w:sz w:val="20"/>
              </w:rPr>
              <w:t xml:space="preserve">, G., </w:t>
            </w:r>
            <w:proofErr w:type="spellStart"/>
            <w:r w:rsidRPr="00984C78">
              <w:rPr>
                <w:rFonts w:ascii="Arial Narrow" w:hAnsi="Arial Narrow"/>
                <w:sz w:val="20"/>
              </w:rPr>
              <w:t>Plevy</w:t>
            </w:r>
            <w:proofErr w:type="spellEnd"/>
            <w:r w:rsidRPr="00984C78">
              <w:rPr>
                <w:rFonts w:ascii="Arial Narrow" w:hAnsi="Arial Narrow"/>
                <w:sz w:val="20"/>
              </w:rPr>
              <w:t>, S. E., Panes, J., Robinson, A. M., Pollack, P. F., Zhou, Q., Castillo, M., and Thakkar, R. B. Association of baseline C-reactive protein and prior anti-</w:t>
            </w:r>
            <w:proofErr w:type="spellStart"/>
            <w:r w:rsidRPr="00984C78">
              <w:rPr>
                <w:rFonts w:ascii="Arial Narrow" w:hAnsi="Arial Narrow"/>
                <w:sz w:val="20"/>
              </w:rPr>
              <w:t>tumor</w:t>
            </w:r>
            <w:proofErr w:type="spellEnd"/>
            <w:r w:rsidRPr="00984C78">
              <w:rPr>
                <w:rFonts w:ascii="Arial Narrow" w:hAnsi="Arial Narrow"/>
                <w:sz w:val="20"/>
              </w:rPr>
              <w:t xml:space="preserve"> necrosis factor therapy with need for weekly dosing during maintenance therapy with adalimumab in patients with moderate to severe Crohn's disease. </w:t>
            </w:r>
          </w:p>
        </w:tc>
        <w:tc>
          <w:tcPr>
            <w:tcW w:w="923" w:type="pct"/>
            <w:tcBorders>
              <w:top w:val="nil"/>
              <w:bottom w:val="nil"/>
            </w:tcBorders>
          </w:tcPr>
          <w:p w:rsidR="00A17883" w:rsidRPr="00984C78" w:rsidRDefault="00A17883" w:rsidP="00A17883">
            <w:pPr>
              <w:jc w:val="left"/>
              <w:rPr>
                <w:rFonts w:ascii="Arial Narrow" w:hAnsi="Arial Narrow"/>
                <w:sz w:val="20"/>
              </w:rPr>
            </w:pPr>
            <w:r w:rsidRPr="00984C78">
              <w:rPr>
                <w:rFonts w:ascii="Arial Narrow" w:hAnsi="Arial Narrow"/>
                <w:sz w:val="20"/>
              </w:rPr>
              <w:t>Current Medical Research and Opinion 2013; 29 (5): 483-493</w:t>
            </w:r>
          </w:p>
          <w:p w:rsidR="00A17883" w:rsidRPr="00984C78" w:rsidRDefault="00A17883" w:rsidP="004C75D0">
            <w:pPr>
              <w:jc w:val="left"/>
              <w:rPr>
                <w:rFonts w:ascii="Arial Narrow" w:hAnsi="Arial Narrow"/>
                <w:sz w:val="20"/>
              </w:rPr>
            </w:pPr>
          </w:p>
        </w:tc>
      </w:tr>
      <w:tr w:rsidR="00A17883" w:rsidRPr="00984C78" w:rsidTr="002E6F6F">
        <w:trPr>
          <w:trHeight w:val="1225"/>
        </w:trPr>
        <w:tc>
          <w:tcPr>
            <w:tcW w:w="510" w:type="pct"/>
            <w:tcBorders>
              <w:top w:val="nil"/>
            </w:tcBorders>
          </w:tcPr>
          <w:p w:rsidR="00A17883" w:rsidRPr="00984C78" w:rsidRDefault="00A17883" w:rsidP="0018752F">
            <w:pPr>
              <w:jc w:val="left"/>
              <w:rPr>
                <w:rFonts w:ascii="Arial Narrow" w:hAnsi="Arial Narrow"/>
                <w:sz w:val="20"/>
                <w:lang w:eastAsia="en-AU"/>
              </w:rPr>
            </w:pPr>
          </w:p>
        </w:tc>
        <w:tc>
          <w:tcPr>
            <w:tcW w:w="3567" w:type="pct"/>
            <w:tcBorders>
              <w:top w:val="nil"/>
            </w:tcBorders>
          </w:tcPr>
          <w:p w:rsidR="00A17883" w:rsidRPr="00984C78" w:rsidRDefault="00A17883" w:rsidP="004C75D0">
            <w:pPr>
              <w:jc w:val="left"/>
              <w:rPr>
                <w:rFonts w:ascii="Arial Narrow" w:hAnsi="Arial Narrow"/>
                <w:sz w:val="20"/>
              </w:rPr>
            </w:pPr>
            <w:r w:rsidRPr="00984C78">
              <w:rPr>
                <w:rFonts w:ascii="Arial Narrow" w:hAnsi="Arial Narrow"/>
                <w:sz w:val="20"/>
              </w:rPr>
              <w:t xml:space="preserve">** Loftus, EV. </w:t>
            </w:r>
            <w:proofErr w:type="spellStart"/>
            <w:r w:rsidRPr="00984C78">
              <w:rPr>
                <w:rFonts w:ascii="Arial Narrow" w:hAnsi="Arial Narrow"/>
                <w:sz w:val="20"/>
              </w:rPr>
              <w:t>Feagan</w:t>
            </w:r>
            <w:proofErr w:type="spellEnd"/>
            <w:r w:rsidRPr="00984C78">
              <w:rPr>
                <w:rFonts w:ascii="Arial Narrow" w:hAnsi="Arial Narrow"/>
                <w:sz w:val="20"/>
              </w:rPr>
              <w:t xml:space="preserve">, B. G., </w:t>
            </w:r>
            <w:proofErr w:type="spellStart"/>
            <w:r w:rsidRPr="00984C78">
              <w:rPr>
                <w:rFonts w:ascii="Arial Narrow" w:hAnsi="Arial Narrow"/>
                <w:sz w:val="20"/>
              </w:rPr>
              <w:t>Colombel</w:t>
            </w:r>
            <w:proofErr w:type="spellEnd"/>
            <w:r w:rsidRPr="00984C78">
              <w:rPr>
                <w:rFonts w:ascii="Arial Narrow" w:hAnsi="Arial Narrow"/>
                <w:sz w:val="20"/>
              </w:rPr>
              <w:t xml:space="preserve">, J. F., Rubin, D.T., Wu, E.Q., Yu, A. P., Pollack, P. F., Chao, J., </w:t>
            </w:r>
            <w:proofErr w:type="spellStart"/>
            <w:r w:rsidRPr="00984C78">
              <w:rPr>
                <w:rFonts w:ascii="Arial Narrow" w:hAnsi="Arial Narrow"/>
                <w:sz w:val="20"/>
              </w:rPr>
              <w:t>Mulani</w:t>
            </w:r>
            <w:proofErr w:type="spellEnd"/>
            <w:r w:rsidRPr="00984C78">
              <w:rPr>
                <w:rFonts w:ascii="Arial Narrow" w:hAnsi="Arial Narrow"/>
                <w:sz w:val="20"/>
              </w:rPr>
              <w:t>, P. Effects of Adalimumab Maintenance Therapy on Health-Related Quality of Life of Patients With Crohn's Disease: Patient-Reported Outcomes of the CHARM Trial Patient-Reported Outcomes with Adalimumab for Crohn's Disease. December 2008.</w:t>
            </w:r>
          </w:p>
        </w:tc>
        <w:tc>
          <w:tcPr>
            <w:tcW w:w="923" w:type="pct"/>
            <w:tcBorders>
              <w:top w:val="nil"/>
            </w:tcBorders>
          </w:tcPr>
          <w:p w:rsidR="00A17883" w:rsidRPr="00984C78" w:rsidRDefault="00A17883" w:rsidP="004C75D0">
            <w:pPr>
              <w:jc w:val="left"/>
              <w:rPr>
                <w:rFonts w:ascii="Arial Narrow" w:hAnsi="Arial Narrow"/>
                <w:sz w:val="20"/>
              </w:rPr>
            </w:pPr>
            <w:r w:rsidRPr="00984C78">
              <w:rPr>
                <w:rFonts w:ascii="Arial Narrow" w:hAnsi="Arial Narrow"/>
                <w:sz w:val="20"/>
              </w:rPr>
              <w:t>The American Journal of Gastroenterology 103, 3132-3141</w:t>
            </w:r>
          </w:p>
        </w:tc>
      </w:tr>
    </w:tbl>
    <w:p w:rsidR="008061CC" w:rsidRPr="00984C78" w:rsidRDefault="008061CC" w:rsidP="008061CC">
      <w:pPr>
        <w:pStyle w:val="TableFooter"/>
        <w:ind w:left="709"/>
      </w:pPr>
      <w:r w:rsidRPr="00984C78">
        <w:t xml:space="preserve">* Since published as: Sands BE, </w:t>
      </w:r>
      <w:proofErr w:type="spellStart"/>
      <w:r w:rsidRPr="00984C78">
        <w:t>Feagan</w:t>
      </w:r>
      <w:proofErr w:type="spellEnd"/>
      <w:r w:rsidRPr="00984C78">
        <w:t xml:space="preserve"> BG, </w:t>
      </w:r>
      <w:proofErr w:type="spellStart"/>
      <w:r w:rsidRPr="00984C78">
        <w:t>Rutgeerts</w:t>
      </w:r>
      <w:proofErr w:type="spellEnd"/>
      <w:r w:rsidRPr="00984C78">
        <w:t xml:space="preserve"> P, </w:t>
      </w:r>
      <w:proofErr w:type="spellStart"/>
      <w:r w:rsidRPr="00984C78">
        <w:t>Colombel</w:t>
      </w:r>
      <w:proofErr w:type="spellEnd"/>
      <w:r w:rsidRPr="00984C78">
        <w:t xml:space="preserve"> JF, </w:t>
      </w:r>
      <w:proofErr w:type="spellStart"/>
      <w:r w:rsidRPr="00984C78">
        <w:t>Sandborn</w:t>
      </w:r>
      <w:proofErr w:type="spellEnd"/>
      <w:r w:rsidRPr="00984C78">
        <w:t xml:space="preserve"> WJ, </w:t>
      </w:r>
      <w:proofErr w:type="spellStart"/>
      <w:r w:rsidRPr="00984C78">
        <w:t>Sy</w:t>
      </w:r>
      <w:proofErr w:type="spellEnd"/>
      <w:r w:rsidRPr="00984C78">
        <w:t xml:space="preserve"> R, </w:t>
      </w:r>
      <w:proofErr w:type="spellStart"/>
      <w:r w:rsidRPr="00984C78">
        <w:t>D'Haens</w:t>
      </w:r>
      <w:proofErr w:type="spellEnd"/>
      <w:r w:rsidRPr="00984C78">
        <w:t xml:space="preserve"> G, Ben-</w:t>
      </w:r>
      <w:proofErr w:type="spellStart"/>
      <w:r w:rsidRPr="00984C78">
        <w:t>Horin</w:t>
      </w:r>
      <w:proofErr w:type="spellEnd"/>
      <w:r w:rsidRPr="00984C78">
        <w:t xml:space="preserve"> S, Xu J, Rosario M, Fox I, Parikh A, </w:t>
      </w:r>
      <w:proofErr w:type="spellStart"/>
      <w:r w:rsidRPr="00984C78">
        <w:t>Milch</w:t>
      </w:r>
      <w:proofErr w:type="spellEnd"/>
      <w:r w:rsidRPr="00984C78">
        <w:t xml:space="preserve"> C, </w:t>
      </w:r>
      <w:proofErr w:type="spellStart"/>
      <w:proofErr w:type="gramStart"/>
      <w:r w:rsidRPr="00984C78">
        <w:t>Hanauer</w:t>
      </w:r>
      <w:proofErr w:type="spellEnd"/>
      <w:proofErr w:type="gramEnd"/>
      <w:r w:rsidRPr="00984C78">
        <w:t xml:space="preserve"> S. Effects of </w:t>
      </w:r>
      <w:proofErr w:type="spellStart"/>
      <w:r w:rsidRPr="00984C78">
        <w:t>vedolizumab</w:t>
      </w:r>
      <w:proofErr w:type="spellEnd"/>
      <w:r w:rsidRPr="00984C78">
        <w:t xml:space="preserve"> induction therapy for patients with Crohn's disease in whom </w:t>
      </w:r>
      <w:proofErr w:type="spellStart"/>
      <w:r w:rsidRPr="00984C78">
        <w:t>tumor</w:t>
      </w:r>
      <w:proofErr w:type="spellEnd"/>
      <w:r w:rsidRPr="00984C78">
        <w:t xml:space="preserve"> necrosis factor antagonist treatment failed. </w:t>
      </w:r>
      <w:proofErr w:type="gramStart"/>
      <w:r w:rsidRPr="00984C78">
        <w:t>Gastroenterology.</w:t>
      </w:r>
      <w:proofErr w:type="gramEnd"/>
      <w:r w:rsidRPr="00984C78">
        <w:t xml:space="preserve"> 2014 Sep</w:t>
      </w:r>
      <w:proofErr w:type="gramStart"/>
      <w:r w:rsidRPr="00984C78">
        <w:t>;147</w:t>
      </w:r>
      <w:proofErr w:type="gramEnd"/>
      <w:r w:rsidRPr="00984C78">
        <w:t xml:space="preserve">(3):618-627.e3.Source: </w:t>
      </w:r>
    </w:p>
    <w:p w:rsidR="00EB1D35" w:rsidRPr="00984C78" w:rsidRDefault="00EB1D35" w:rsidP="00EB1D35">
      <w:pPr>
        <w:pStyle w:val="TableFooter"/>
        <w:ind w:left="709"/>
      </w:pPr>
      <w:r w:rsidRPr="00984C78">
        <w:t xml:space="preserve">** Not originally included in table but referred to in Table </w:t>
      </w:r>
      <w:proofErr w:type="gramStart"/>
      <w:r w:rsidRPr="00984C78">
        <w:t>B(</w:t>
      </w:r>
      <w:proofErr w:type="gramEnd"/>
      <w:r w:rsidRPr="00984C78">
        <w:t>ii).4-3 p187 of the submission.</w:t>
      </w:r>
    </w:p>
    <w:p w:rsidR="00862502" w:rsidRPr="00984C78" w:rsidRDefault="008F120A" w:rsidP="00E22A0D">
      <w:pPr>
        <w:pStyle w:val="TableFooter"/>
        <w:ind w:firstLine="720"/>
        <w:rPr>
          <w:szCs w:val="22"/>
        </w:rPr>
      </w:pPr>
      <w:r w:rsidRPr="00984C78">
        <w:t>Source:</w:t>
      </w:r>
      <w:r w:rsidR="004C75D0" w:rsidRPr="00984C78">
        <w:t xml:space="preserve"> Table </w:t>
      </w:r>
      <w:proofErr w:type="gramStart"/>
      <w:r w:rsidR="004C75D0" w:rsidRPr="00984C78">
        <w:t>B(</w:t>
      </w:r>
      <w:proofErr w:type="spellStart"/>
      <w:proofErr w:type="gramEnd"/>
      <w:r w:rsidR="004C75D0" w:rsidRPr="00984C78">
        <w:t>i</w:t>
      </w:r>
      <w:proofErr w:type="spellEnd"/>
      <w:r w:rsidR="004C75D0" w:rsidRPr="00984C78">
        <w:t>).2-7, p37 and Table B(ii).2-4, p137 of the submission</w:t>
      </w:r>
    </w:p>
    <w:p w:rsidR="00862502" w:rsidRPr="00984C78" w:rsidRDefault="00862502" w:rsidP="008F120A">
      <w:pPr>
        <w:widowControl/>
        <w:rPr>
          <w:szCs w:val="22"/>
        </w:rPr>
      </w:pPr>
    </w:p>
    <w:p w:rsidR="00862502" w:rsidRPr="00984C78" w:rsidRDefault="008F120A" w:rsidP="006B764E">
      <w:pPr>
        <w:pStyle w:val="ListParagraph"/>
        <w:widowControl/>
        <w:numPr>
          <w:ilvl w:val="1"/>
          <w:numId w:val="3"/>
        </w:numPr>
        <w:rPr>
          <w:szCs w:val="22"/>
        </w:rPr>
      </w:pPr>
      <w:r w:rsidRPr="00984C78">
        <w:rPr>
          <w:szCs w:val="22"/>
        </w:rPr>
        <w:t>The key features of the randomised trials are summarised in the table below.</w:t>
      </w:r>
    </w:p>
    <w:p w:rsidR="007F1017" w:rsidRPr="00984C78" w:rsidRDefault="007F1017" w:rsidP="007F1017">
      <w:pPr>
        <w:widowControl/>
        <w:rPr>
          <w:szCs w:val="22"/>
        </w:rPr>
      </w:pPr>
    </w:p>
    <w:p w:rsidR="007F1017" w:rsidRPr="00984C78" w:rsidRDefault="007F1017" w:rsidP="00984C78">
      <w:pPr>
        <w:widowControl/>
        <w:snapToGrid/>
        <w:ind w:firstLine="720"/>
        <w:jc w:val="left"/>
        <w:rPr>
          <w:rStyle w:val="CommentReference"/>
        </w:rPr>
      </w:pPr>
      <w:r w:rsidRPr="00984C78">
        <w:rPr>
          <w:rStyle w:val="CommentReference"/>
        </w:rPr>
        <w:t>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rom randomised trials"/>
      </w:tblPr>
      <w:tblGrid>
        <w:gridCol w:w="851"/>
        <w:gridCol w:w="708"/>
        <w:gridCol w:w="2126"/>
        <w:gridCol w:w="709"/>
        <w:gridCol w:w="1557"/>
        <w:gridCol w:w="1524"/>
        <w:gridCol w:w="870"/>
      </w:tblGrid>
      <w:tr w:rsidR="00D0598B" w:rsidRPr="00984C78">
        <w:trPr>
          <w:tblHeader/>
        </w:trPr>
        <w:tc>
          <w:tcPr>
            <w:tcW w:w="510" w:type="pct"/>
            <w:shd w:val="clear" w:color="auto" w:fill="auto"/>
            <w:vAlign w:val="center"/>
          </w:tcPr>
          <w:p w:rsidR="007F1017" w:rsidRPr="00984C78" w:rsidRDefault="007F1017" w:rsidP="007F1017">
            <w:pPr>
              <w:jc w:val="left"/>
              <w:rPr>
                <w:rFonts w:ascii="Arial Narrow" w:hAnsi="Arial Narrow"/>
                <w:b/>
                <w:sz w:val="20"/>
                <w:szCs w:val="16"/>
              </w:rPr>
            </w:pPr>
            <w:r w:rsidRPr="00984C78">
              <w:rPr>
                <w:rFonts w:ascii="Arial Narrow" w:hAnsi="Arial Narrow"/>
                <w:b/>
                <w:sz w:val="20"/>
                <w:szCs w:val="16"/>
              </w:rPr>
              <w:t>Trial</w:t>
            </w:r>
          </w:p>
        </w:tc>
        <w:tc>
          <w:tcPr>
            <w:tcW w:w="424" w:type="pct"/>
            <w:shd w:val="clear" w:color="auto" w:fill="auto"/>
            <w:vAlign w:val="center"/>
          </w:tcPr>
          <w:p w:rsidR="007F1017" w:rsidRPr="00984C78" w:rsidRDefault="007F1017" w:rsidP="007F1017">
            <w:pPr>
              <w:jc w:val="center"/>
              <w:rPr>
                <w:rFonts w:ascii="Arial Narrow" w:hAnsi="Arial Narrow"/>
                <w:b/>
                <w:sz w:val="20"/>
                <w:szCs w:val="16"/>
              </w:rPr>
            </w:pPr>
            <w:r w:rsidRPr="00984C78">
              <w:rPr>
                <w:rFonts w:ascii="Arial Narrow" w:hAnsi="Arial Narrow"/>
                <w:b/>
                <w:sz w:val="20"/>
                <w:szCs w:val="16"/>
              </w:rPr>
              <w:t>N</w:t>
            </w:r>
          </w:p>
        </w:tc>
        <w:tc>
          <w:tcPr>
            <w:tcW w:w="1274" w:type="pct"/>
            <w:shd w:val="clear" w:color="auto" w:fill="auto"/>
            <w:vAlign w:val="center"/>
          </w:tcPr>
          <w:p w:rsidR="007F1017" w:rsidRPr="00984C78" w:rsidRDefault="007F1017" w:rsidP="000F52B6">
            <w:pPr>
              <w:jc w:val="center"/>
              <w:rPr>
                <w:rFonts w:ascii="Arial Narrow" w:hAnsi="Arial Narrow"/>
                <w:b/>
                <w:sz w:val="20"/>
                <w:szCs w:val="16"/>
              </w:rPr>
            </w:pPr>
            <w:r w:rsidRPr="00984C78">
              <w:rPr>
                <w:rFonts w:ascii="Arial Narrow" w:hAnsi="Arial Narrow"/>
                <w:b/>
                <w:sz w:val="20"/>
                <w:szCs w:val="16"/>
              </w:rPr>
              <w:t>Design/ duration</w:t>
            </w:r>
            <w:r w:rsidR="000F52B6" w:rsidRPr="00984C78">
              <w:rPr>
                <w:rFonts w:ascii="Arial Narrow" w:hAnsi="Arial Narrow"/>
                <w:b/>
                <w:sz w:val="20"/>
                <w:szCs w:val="16"/>
              </w:rPr>
              <w:t>#</w:t>
            </w:r>
          </w:p>
        </w:tc>
        <w:tc>
          <w:tcPr>
            <w:tcW w:w="425" w:type="pct"/>
            <w:shd w:val="clear" w:color="auto" w:fill="auto"/>
            <w:vAlign w:val="center"/>
          </w:tcPr>
          <w:p w:rsidR="007F1017" w:rsidRPr="00984C78" w:rsidRDefault="007F1017" w:rsidP="007F1017">
            <w:pPr>
              <w:jc w:val="center"/>
              <w:rPr>
                <w:rFonts w:ascii="Arial Narrow" w:hAnsi="Arial Narrow"/>
                <w:b/>
                <w:sz w:val="20"/>
                <w:szCs w:val="16"/>
              </w:rPr>
            </w:pPr>
            <w:r w:rsidRPr="00984C78">
              <w:rPr>
                <w:rFonts w:ascii="Arial Narrow" w:hAnsi="Arial Narrow"/>
                <w:b/>
                <w:sz w:val="20"/>
                <w:szCs w:val="16"/>
              </w:rPr>
              <w:t>Risk of bias</w:t>
            </w:r>
          </w:p>
        </w:tc>
        <w:tc>
          <w:tcPr>
            <w:tcW w:w="933" w:type="pct"/>
            <w:shd w:val="clear" w:color="auto" w:fill="auto"/>
            <w:vAlign w:val="center"/>
          </w:tcPr>
          <w:p w:rsidR="007F1017" w:rsidRPr="00984C78" w:rsidRDefault="007F1017" w:rsidP="007F1017">
            <w:pPr>
              <w:jc w:val="center"/>
              <w:rPr>
                <w:rFonts w:ascii="Arial Narrow" w:hAnsi="Arial Narrow"/>
                <w:b/>
                <w:sz w:val="20"/>
                <w:szCs w:val="16"/>
              </w:rPr>
            </w:pPr>
            <w:r w:rsidRPr="00984C78">
              <w:rPr>
                <w:rFonts w:ascii="Arial Narrow" w:hAnsi="Arial Narrow"/>
                <w:b/>
                <w:sz w:val="20"/>
                <w:szCs w:val="16"/>
              </w:rPr>
              <w:t>Patient population</w:t>
            </w:r>
          </w:p>
        </w:tc>
        <w:tc>
          <w:tcPr>
            <w:tcW w:w="913" w:type="pct"/>
            <w:shd w:val="clear" w:color="auto" w:fill="auto"/>
            <w:vAlign w:val="center"/>
          </w:tcPr>
          <w:p w:rsidR="007F1017" w:rsidRPr="00984C78" w:rsidRDefault="007F1017" w:rsidP="007F1017">
            <w:pPr>
              <w:jc w:val="center"/>
              <w:rPr>
                <w:rFonts w:ascii="Arial Narrow" w:hAnsi="Arial Narrow"/>
                <w:b/>
                <w:sz w:val="20"/>
                <w:szCs w:val="16"/>
              </w:rPr>
            </w:pPr>
            <w:r w:rsidRPr="00984C78">
              <w:rPr>
                <w:rFonts w:ascii="Arial Narrow" w:hAnsi="Arial Narrow"/>
                <w:b/>
                <w:sz w:val="20"/>
                <w:szCs w:val="16"/>
              </w:rPr>
              <w:t>Outcome(s)</w:t>
            </w:r>
          </w:p>
        </w:tc>
        <w:tc>
          <w:tcPr>
            <w:tcW w:w="521" w:type="pct"/>
            <w:shd w:val="clear" w:color="auto" w:fill="auto"/>
            <w:vAlign w:val="center"/>
          </w:tcPr>
          <w:p w:rsidR="007F1017" w:rsidRPr="00984C78" w:rsidRDefault="007F1017" w:rsidP="007F1017">
            <w:pPr>
              <w:jc w:val="center"/>
              <w:rPr>
                <w:rFonts w:ascii="Arial Narrow" w:hAnsi="Arial Narrow"/>
                <w:b/>
                <w:sz w:val="20"/>
                <w:szCs w:val="16"/>
              </w:rPr>
            </w:pPr>
            <w:r w:rsidRPr="00984C78">
              <w:rPr>
                <w:rFonts w:ascii="Arial Narrow" w:hAnsi="Arial Narrow"/>
                <w:b/>
                <w:sz w:val="20"/>
                <w:szCs w:val="16"/>
              </w:rPr>
              <w:t>Use in modelled evaluation</w:t>
            </w:r>
          </w:p>
        </w:tc>
      </w:tr>
      <w:tr w:rsidR="007F1017" w:rsidRPr="00984C78">
        <w:tc>
          <w:tcPr>
            <w:tcW w:w="5000" w:type="pct"/>
            <w:gridSpan w:val="7"/>
            <w:shd w:val="clear" w:color="auto" w:fill="auto"/>
            <w:vAlign w:val="center"/>
          </w:tcPr>
          <w:p w:rsidR="007F1017" w:rsidRPr="00984C78" w:rsidRDefault="007F2AD7" w:rsidP="007F2AD7">
            <w:pPr>
              <w:jc w:val="left"/>
              <w:rPr>
                <w:rFonts w:ascii="Arial Narrow" w:hAnsi="Arial Narrow"/>
                <w:b/>
                <w:sz w:val="20"/>
                <w:szCs w:val="16"/>
              </w:rPr>
            </w:pPr>
            <w:proofErr w:type="spellStart"/>
            <w:r w:rsidRPr="00984C78">
              <w:rPr>
                <w:rFonts w:ascii="Arial Narrow" w:hAnsi="Arial Narrow"/>
                <w:b/>
                <w:sz w:val="20"/>
                <w:szCs w:val="16"/>
              </w:rPr>
              <w:t>Vedolizumab</w:t>
            </w:r>
            <w:proofErr w:type="spellEnd"/>
            <w:r w:rsidRPr="00984C78">
              <w:rPr>
                <w:rFonts w:ascii="Arial Narrow" w:hAnsi="Arial Narrow"/>
                <w:b/>
                <w:sz w:val="20"/>
                <w:szCs w:val="16"/>
              </w:rPr>
              <w:t xml:space="preserve"> </w:t>
            </w:r>
            <w:r w:rsidR="007F1017" w:rsidRPr="00984C78">
              <w:rPr>
                <w:rFonts w:ascii="Arial Narrow" w:hAnsi="Arial Narrow"/>
                <w:b/>
                <w:sz w:val="20"/>
                <w:szCs w:val="16"/>
              </w:rPr>
              <w:t xml:space="preserve">vs. </w:t>
            </w:r>
            <w:r w:rsidRPr="00984C78">
              <w:rPr>
                <w:rFonts w:ascii="Arial Narrow" w:hAnsi="Arial Narrow"/>
                <w:b/>
                <w:sz w:val="20"/>
                <w:szCs w:val="16"/>
              </w:rPr>
              <w:t>placebo</w:t>
            </w:r>
          </w:p>
        </w:tc>
      </w:tr>
      <w:tr w:rsidR="00D0598B" w:rsidRPr="00984C78">
        <w:tc>
          <w:tcPr>
            <w:tcW w:w="510" w:type="pct"/>
            <w:shd w:val="clear" w:color="auto" w:fill="auto"/>
            <w:vAlign w:val="center"/>
          </w:tcPr>
          <w:p w:rsidR="001B219C" w:rsidRPr="00984C78" w:rsidRDefault="001B219C" w:rsidP="007F1017">
            <w:pPr>
              <w:jc w:val="left"/>
              <w:rPr>
                <w:rFonts w:ascii="Arial Narrow" w:hAnsi="Arial Narrow"/>
                <w:sz w:val="20"/>
                <w:szCs w:val="16"/>
              </w:rPr>
            </w:pPr>
            <w:r w:rsidRPr="00984C78">
              <w:rPr>
                <w:rFonts w:ascii="Arial Narrow" w:hAnsi="Arial Narrow"/>
                <w:sz w:val="20"/>
                <w:szCs w:val="16"/>
              </w:rPr>
              <w:t>GEMINI II</w:t>
            </w:r>
          </w:p>
        </w:tc>
        <w:tc>
          <w:tcPr>
            <w:tcW w:w="424"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IP: 368</w:t>
            </w:r>
          </w:p>
          <w:p w:rsidR="001B219C" w:rsidRPr="00984C78" w:rsidRDefault="001B219C" w:rsidP="001B219C">
            <w:pPr>
              <w:jc w:val="center"/>
              <w:rPr>
                <w:rFonts w:ascii="Arial Narrow" w:hAnsi="Arial Narrow"/>
                <w:sz w:val="20"/>
                <w:szCs w:val="16"/>
              </w:rPr>
            </w:pPr>
            <w:r w:rsidRPr="00984C78">
              <w:rPr>
                <w:rFonts w:ascii="Arial Narrow" w:hAnsi="Arial Narrow"/>
                <w:sz w:val="20"/>
                <w:szCs w:val="16"/>
              </w:rPr>
              <w:t xml:space="preserve">MP: 461 </w:t>
            </w:r>
          </w:p>
        </w:tc>
        <w:tc>
          <w:tcPr>
            <w:tcW w:w="1274"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R, DB</w:t>
            </w:r>
            <w:r w:rsidR="000F52B6" w:rsidRPr="00984C78">
              <w:rPr>
                <w:rFonts w:ascii="Arial Narrow" w:hAnsi="Arial Narrow"/>
                <w:sz w:val="20"/>
                <w:szCs w:val="16"/>
              </w:rPr>
              <w:t xml:space="preserve"> + OL</w:t>
            </w:r>
          </w:p>
          <w:p w:rsidR="000F52B6" w:rsidRPr="00984C78" w:rsidRDefault="000F52B6" w:rsidP="007F550B">
            <w:pPr>
              <w:jc w:val="center"/>
              <w:rPr>
                <w:rFonts w:ascii="Arial Narrow" w:hAnsi="Arial Narrow"/>
                <w:sz w:val="20"/>
                <w:szCs w:val="16"/>
              </w:rPr>
            </w:pPr>
            <w:r w:rsidRPr="00984C78">
              <w:rPr>
                <w:rFonts w:ascii="Arial Narrow" w:hAnsi="Arial Narrow"/>
                <w:sz w:val="20"/>
                <w:szCs w:val="16"/>
              </w:rPr>
              <w:t>IP: 6 weeks</w:t>
            </w:r>
            <w:r w:rsidR="007F550B" w:rsidRPr="00984C78">
              <w:rPr>
                <w:rFonts w:ascii="Arial Narrow" w:hAnsi="Arial Narrow"/>
                <w:sz w:val="20"/>
                <w:szCs w:val="16"/>
              </w:rPr>
              <w:t xml:space="preserve">, </w:t>
            </w:r>
            <w:r w:rsidRPr="00984C78">
              <w:rPr>
                <w:rFonts w:ascii="Arial Narrow" w:hAnsi="Arial Narrow"/>
                <w:sz w:val="20"/>
                <w:szCs w:val="16"/>
              </w:rPr>
              <w:t>MP: 52 weeks</w:t>
            </w:r>
          </w:p>
        </w:tc>
        <w:tc>
          <w:tcPr>
            <w:tcW w:w="425"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Low</w:t>
            </w:r>
          </w:p>
        </w:tc>
        <w:tc>
          <w:tcPr>
            <w:tcW w:w="933" w:type="pct"/>
            <w:vMerge w:val="restart"/>
            <w:shd w:val="clear" w:color="auto" w:fill="auto"/>
            <w:vAlign w:val="center"/>
          </w:tcPr>
          <w:p w:rsidR="001B219C" w:rsidRPr="00984C78" w:rsidRDefault="000F52B6" w:rsidP="000F52B6">
            <w:pPr>
              <w:jc w:val="center"/>
              <w:rPr>
                <w:rFonts w:ascii="Arial Narrow" w:hAnsi="Arial Narrow"/>
                <w:sz w:val="20"/>
                <w:szCs w:val="16"/>
              </w:rPr>
            </w:pPr>
            <w:r w:rsidRPr="00984C78">
              <w:rPr>
                <w:rFonts w:ascii="Arial Narrow" w:hAnsi="Arial Narrow"/>
                <w:sz w:val="20"/>
                <w:szCs w:val="16"/>
              </w:rPr>
              <w:t xml:space="preserve">Prior treatment with a </w:t>
            </w:r>
            <w:proofErr w:type="spellStart"/>
            <w:r w:rsidRPr="00984C78">
              <w:rPr>
                <w:rFonts w:ascii="Arial Narrow" w:hAnsi="Arial Narrow"/>
                <w:sz w:val="20"/>
                <w:szCs w:val="16"/>
              </w:rPr>
              <w:t>TNF</w:t>
            </w:r>
            <w:r w:rsidRPr="00984C78">
              <w:rPr>
                <w:rFonts w:ascii="Lucida Sans Unicode" w:hAnsi="Lucida Sans Unicode" w:cs="Lucida Sans Unicode"/>
                <w:sz w:val="20"/>
                <w:szCs w:val="16"/>
              </w:rPr>
              <w:t>ɑ</w:t>
            </w:r>
            <w:proofErr w:type="spellEnd"/>
            <w:r w:rsidRPr="00984C78">
              <w:rPr>
                <w:rFonts w:ascii="Arial Narrow" w:hAnsi="Arial Narrow"/>
                <w:sz w:val="20"/>
                <w:szCs w:val="16"/>
              </w:rPr>
              <w:t xml:space="preserve"> antagonist </w:t>
            </w:r>
            <w:r w:rsidRPr="00984C78">
              <w:rPr>
                <w:rFonts w:ascii="Arial Narrow" w:hAnsi="Arial Narrow"/>
                <w:sz w:val="20"/>
                <w:szCs w:val="16"/>
                <w:u w:val="single"/>
              </w:rPr>
              <w:t>allowed</w:t>
            </w:r>
          </w:p>
        </w:tc>
        <w:tc>
          <w:tcPr>
            <w:tcW w:w="913" w:type="pct"/>
            <w:vMerge w:val="restart"/>
            <w:shd w:val="clear" w:color="auto" w:fill="auto"/>
            <w:vAlign w:val="center"/>
          </w:tcPr>
          <w:p w:rsidR="001B219C" w:rsidRPr="00984C78" w:rsidRDefault="001B219C" w:rsidP="00D0598B">
            <w:pPr>
              <w:jc w:val="center"/>
              <w:rPr>
                <w:rFonts w:ascii="Arial Narrow" w:hAnsi="Arial Narrow"/>
                <w:sz w:val="20"/>
                <w:szCs w:val="16"/>
              </w:rPr>
            </w:pPr>
            <w:r w:rsidRPr="00984C78">
              <w:rPr>
                <w:rFonts w:ascii="Arial Narrow" w:hAnsi="Arial Narrow"/>
                <w:sz w:val="20"/>
                <w:szCs w:val="16"/>
              </w:rPr>
              <w:t>Clinical remission</w:t>
            </w:r>
            <w:r w:rsidR="000F52B6" w:rsidRPr="00984C78">
              <w:rPr>
                <w:rFonts w:ascii="Arial Narrow" w:hAnsi="Arial Narrow"/>
                <w:sz w:val="20"/>
                <w:szCs w:val="16"/>
              </w:rPr>
              <w:t>*</w:t>
            </w:r>
            <w:r w:rsidR="00D0598B" w:rsidRPr="00984C78">
              <w:rPr>
                <w:rFonts w:ascii="Arial Narrow" w:hAnsi="Arial Narrow"/>
                <w:sz w:val="20"/>
                <w:szCs w:val="16"/>
              </w:rPr>
              <w:t>,</w:t>
            </w:r>
            <w:r w:rsidRPr="00984C78">
              <w:rPr>
                <w:rFonts w:ascii="Arial Narrow" w:hAnsi="Arial Narrow"/>
                <w:sz w:val="20"/>
                <w:szCs w:val="16"/>
              </w:rPr>
              <w:t xml:space="preserve"> clinical response</w:t>
            </w:r>
            <w:r w:rsidR="000F52B6" w:rsidRPr="00984C78">
              <w:rPr>
                <w:rFonts w:ascii="Arial Narrow" w:hAnsi="Arial Narrow"/>
                <w:sz w:val="20"/>
                <w:szCs w:val="16"/>
              </w:rPr>
              <w:t>**</w:t>
            </w:r>
            <w:r w:rsidR="00D0598B" w:rsidRPr="00984C78">
              <w:rPr>
                <w:rFonts w:ascii="Arial Narrow" w:hAnsi="Arial Narrow"/>
                <w:sz w:val="20"/>
                <w:szCs w:val="16"/>
              </w:rPr>
              <w:t xml:space="preserve"> and enhanced clinical response***</w:t>
            </w:r>
          </w:p>
        </w:tc>
        <w:tc>
          <w:tcPr>
            <w:tcW w:w="521" w:type="pct"/>
            <w:vMerge w:val="restar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Not used</w:t>
            </w:r>
          </w:p>
        </w:tc>
      </w:tr>
      <w:tr w:rsidR="00D0598B" w:rsidRPr="00984C78">
        <w:tc>
          <w:tcPr>
            <w:tcW w:w="510" w:type="pct"/>
            <w:shd w:val="clear" w:color="auto" w:fill="auto"/>
            <w:vAlign w:val="center"/>
          </w:tcPr>
          <w:p w:rsidR="001B219C" w:rsidRPr="00984C78" w:rsidRDefault="001B219C" w:rsidP="007F1017">
            <w:pPr>
              <w:jc w:val="left"/>
              <w:rPr>
                <w:rFonts w:ascii="Arial Narrow" w:hAnsi="Arial Narrow"/>
                <w:sz w:val="20"/>
                <w:szCs w:val="16"/>
              </w:rPr>
            </w:pPr>
            <w:r w:rsidRPr="00984C78">
              <w:rPr>
                <w:rFonts w:ascii="Arial Narrow" w:hAnsi="Arial Narrow"/>
                <w:sz w:val="20"/>
                <w:szCs w:val="16"/>
              </w:rPr>
              <w:t>GEMINI III</w:t>
            </w:r>
          </w:p>
        </w:tc>
        <w:tc>
          <w:tcPr>
            <w:tcW w:w="424"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IP: 416</w:t>
            </w:r>
          </w:p>
        </w:tc>
        <w:tc>
          <w:tcPr>
            <w:tcW w:w="1274"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R, DB</w:t>
            </w:r>
          </w:p>
          <w:p w:rsidR="001B219C" w:rsidRPr="00984C78" w:rsidRDefault="000F52B6" w:rsidP="007F1017">
            <w:pPr>
              <w:jc w:val="center"/>
              <w:rPr>
                <w:rFonts w:ascii="Arial Narrow" w:hAnsi="Arial Narrow"/>
                <w:sz w:val="20"/>
                <w:szCs w:val="16"/>
              </w:rPr>
            </w:pPr>
            <w:r w:rsidRPr="00984C78">
              <w:rPr>
                <w:rFonts w:ascii="Arial Narrow" w:hAnsi="Arial Narrow"/>
                <w:sz w:val="20"/>
                <w:szCs w:val="16"/>
              </w:rPr>
              <w:t>IP: 6 weeks</w:t>
            </w:r>
          </w:p>
        </w:tc>
        <w:tc>
          <w:tcPr>
            <w:tcW w:w="425" w:type="pct"/>
            <w:shd w:val="clear" w:color="auto" w:fill="auto"/>
            <w:vAlign w:val="center"/>
          </w:tcPr>
          <w:p w:rsidR="001B219C" w:rsidRPr="00984C78" w:rsidRDefault="001B219C" w:rsidP="007F1017">
            <w:pPr>
              <w:jc w:val="center"/>
              <w:rPr>
                <w:rFonts w:ascii="Arial Narrow" w:hAnsi="Arial Narrow"/>
                <w:sz w:val="20"/>
                <w:szCs w:val="16"/>
              </w:rPr>
            </w:pPr>
            <w:r w:rsidRPr="00984C78">
              <w:rPr>
                <w:rFonts w:ascii="Arial Narrow" w:hAnsi="Arial Narrow"/>
                <w:sz w:val="20"/>
                <w:szCs w:val="16"/>
              </w:rPr>
              <w:t>Low</w:t>
            </w:r>
          </w:p>
        </w:tc>
        <w:tc>
          <w:tcPr>
            <w:tcW w:w="933" w:type="pct"/>
            <w:vMerge/>
            <w:shd w:val="clear" w:color="auto" w:fill="auto"/>
            <w:vAlign w:val="center"/>
          </w:tcPr>
          <w:p w:rsidR="001B219C" w:rsidRPr="00984C78" w:rsidRDefault="001B219C" w:rsidP="007F1017">
            <w:pPr>
              <w:jc w:val="center"/>
              <w:rPr>
                <w:rFonts w:ascii="Arial Narrow" w:hAnsi="Arial Narrow"/>
                <w:sz w:val="20"/>
                <w:szCs w:val="16"/>
              </w:rPr>
            </w:pPr>
          </w:p>
        </w:tc>
        <w:tc>
          <w:tcPr>
            <w:tcW w:w="913" w:type="pct"/>
            <w:vMerge/>
            <w:shd w:val="clear" w:color="auto" w:fill="auto"/>
            <w:vAlign w:val="center"/>
          </w:tcPr>
          <w:p w:rsidR="001B219C" w:rsidRPr="00984C78" w:rsidRDefault="001B219C" w:rsidP="007F1017">
            <w:pPr>
              <w:jc w:val="center"/>
              <w:rPr>
                <w:rFonts w:ascii="Arial Narrow" w:hAnsi="Arial Narrow"/>
                <w:sz w:val="20"/>
                <w:szCs w:val="16"/>
              </w:rPr>
            </w:pPr>
          </w:p>
        </w:tc>
        <w:tc>
          <w:tcPr>
            <w:tcW w:w="521" w:type="pct"/>
            <w:vMerge/>
            <w:shd w:val="clear" w:color="auto" w:fill="auto"/>
            <w:vAlign w:val="center"/>
          </w:tcPr>
          <w:p w:rsidR="001B219C" w:rsidRPr="00984C78" w:rsidRDefault="001B219C" w:rsidP="007F1017">
            <w:pPr>
              <w:jc w:val="center"/>
              <w:rPr>
                <w:rFonts w:ascii="Arial Narrow" w:hAnsi="Arial Narrow"/>
                <w:sz w:val="20"/>
                <w:szCs w:val="16"/>
              </w:rPr>
            </w:pPr>
          </w:p>
        </w:tc>
      </w:tr>
      <w:tr w:rsidR="007F1017" w:rsidRPr="00984C78">
        <w:tc>
          <w:tcPr>
            <w:tcW w:w="5000" w:type="pct"/>
            <w:gridSpan w:val="7"/>
            <w:shd w:val="clear" w:color="auto" w:fill="auto"/>
            <w:vAlign w:val="center"/>
          </w:tcPr>
          <w:p w:rsidR="007F1017" w:rsidRPr="00984C78" w:rsidRDefault="007F2AD7" w:rsidP="007F2AD7">
            <w:pPr>
              <w:jc w:val="left"/>
              <w:rPr>
                <w:rFonts w:ascii="Arial Narrow" w:hAnsi="Arial Narrow"/>
                <w:b/>
                <w:sz w:val="20"/>
                <w:szCs w:val="16"/>
              </w:rPr>
            </w:pPr>
            <w:r w:rsidRPr="00984C78">
              <w:rPr>
                <w:rFonts w:ascii="Arial Narrow" w:hAnsi="Arial Narrow"/>
                <w:b/>
                <w:sz w:val="20"/>
                <w:szCs w:val="16"/>
              </w:rPr>
              <w:t xml:space="preserve">Infliximab </w:t>
            </w:r>
            <w:r w:rsidR="007F1017" w:rsidRPr="00984C78">
              <w:rPr>
                <w:rFonts w:ascii="Arial Narrow" w:hAnsi="Arial Narrow"/>
                <w:b/>
                <w:sz w:val="20"/>
                <w:szCs w:val="16"/>
              </w:rPr>
              <w:t xml:space="preserve">vs. </w:t>
            </w:r>
            <w:r w:rsidRPr="00984C78">
              <w:rPr>
                <w:rFonts w:ascii="Arial Narrow" w:hAnsi="Arial Narrow"/>
                <w:b/>
                <w:sz w:val="20"/>
                <w:szCs w:val="16"/>
              </w:rPr>
              <w:t>placebo</w:t>
            </w:r>
          </w:p>
        </w:tc>
      </w:tr>
      <w:tr w:rsidR="00D0598B" w:rsidRPr="00984C78">
        <w:tc>
          <w:tcPr>
            <w:tcW w:w="510" w:type="pct"/>
            <w:shd w:val="clear" w:color="auto" w:fill="auto"/>
            <w:vAlign w:val="center"/>
          </w:tcPr>
          <w:p w:rsidR="000F52B6" w:rsidRPr="00984C78" w:rsidRDefault="000F52B6" w:rsidP="007F1017">
            <w:pPr>
              <w:jc w:val="left"/>
              <w:rPr>
                <w:rFonts w:ascii="Arial Narrow" w:hAnsi="Arial Narrow"/>
                <w:sz w:val="20"/>
                <w:szCs w:val="16"/>
              </w:rPr>
            </w:pPr>
            <w:r w:rsidRPr="00984C78">
              <w:rPr>
                <w:rFonts w:ascii="Arial Narrow" w:hAnsi="Arial Narrow"/>
                <w:sz w:val="20"/>
                <w:szCs w:val="16"/>
              </w:rPr>
              <w:t>T16</w:t>
            </w:r>
          </w:p>
        </w:tc>
        <w:tc>
          <w:tcPr>
            <w:tcW w:w="424" w:type="pc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IP: 108</w:t>
            </w:r>
          </w:p>
        </w:tc>
        <w:tc>
          <w:tcPr>
            <w:tcW w:w="1274" w:type="pc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R, DB</w:t>
            </w:r>
          </w:p>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IP: 4 weeks</w:t>
            </w:r>
          </w:p>
        </w:tc>
        <w:tc>
          <w:tcPr>
            <w:tcW w:w="425" w:type="pc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Low</w:t>
            </w:r>
          </w:p>
        </w:tc>
        <w:tc>
          <w:tcPr>
            <w:tcW w:w="933" w:type="pct"/>
            <w:vMerge w:val="restar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 xml:space="preserve">Prior treatment with a </w:t>
            </w:r>
            <w:proofErr w:type="spellStart"/>
            <w:r w:rsidRPr="00984C78">
              <w:rPr>
                <w:rFonts w:ascii="Arial Narrow" w:hAnsi="Arial Narrow"/>
                <w:sz w:val="20"/>
                <w:szCs w:val="16"/>
              </w:rPr>
              <w:t>TNF</w:t>
            </w:r>
            <w:r w:rsidRPr="00984C78">
              <w:rPr>
                <w:rFonts w:ascii="Lucida Sans Unicode" w:hAnsi="Lucida Sans Unicode" w:cs="Lucida Sans Unicode"/>
                <w:sz w:val="20"/>
                <w:szCs w:val="16"/>
              </w:rPr>
              <w:t>ɑ</w:t>
            </w:r>
            <w:proofErr w:type="spellEnd"/>
            <w:r w:rsidRPr="00984C78">
              <w:rPr>
                <w:rFonts w:ascii="Arial Narrow" w:hAnsi="Arial Narrow"/>
                <w:sz w:val="20"/>
                <w:szCs w:val="16"/>
              </w:rPr>
              <w:t xml:space="preserve"> antagonist </w:t>
            </w:r>
            <w:r w:rsidRPr="00984C78">
              <w:rPr>
                <w:rFonts w:ascii="Arial Narrow" w:hAnsi="Arial Narrow"/>
                <w:sz w:val="20"/>
                <w:szCs w:val="16"/>
                <w:u w:val="single"/>
              </w:rPr>
              <w:t>not</w:t>
            </w:r>
            <w:r w:rsidRPr="00984C78">
              <w:rPr>
                <w:rFonts w:ascii="Arial Narrow" w:hAnsi="Arial Narrow"/>
                <w:sz w:val="20"/>
                <w:szCs w:val="16"/>
              </w:rPr>
              <w:t xml:space="preserve"> allowed</w:t>
            </w:r>
          </w:p>
        </w:tc>
        <w:tc>
          <w:tcPr>
            <w:tcW w:w="913" w:type="pct"/>
            <w:vMerge w:val="restar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Clinical remission* and clinical response**</w:t>
            </w:r>
          </w:p>
        </w:tc>
        <w:tc>
          <w:tcPr>
            <w:tcW w:w="521" w:type="pct"/>
            <w:vMerge w:val="restar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Not used</w:t>
            </w:r>
          </w:p>
        </w:tc>
      </w:tr>
      <w:tr w:rsidR="00D0598B" w:rsidRPr="00984C78">
        <w:tc>
          <w:tcPr>
            <w:tcW w:w="510" w:type="pct"/>
            <w:shd w:val="clear" w:color="auto" w:fill="auto"/>
            <w:vAlign w:val="center"/>
          </w:tcPr>
          <w:p w:rsidR="000F52B6" w:rsidRPr="00984C78" w:rsidRDefault="000F52B6" w:rsidP="007F1017">
            <w:pPr>
              <w:jc w:val="left"/>
              <w:rPr>
                <w:rFonts w:ascii="Arial Narrow" w:hAnsi="Arial Narrow"/>
                <w:sz w:val="20"/>
                <w:szCs w:val="16"/>
              </w:rPr>
            </w:pPr>
            <w:r w:rsidRPr="00984C78">
              <w:rPr>
                <w:rFonts w:ascii="Arial Narrow" w:hAnsi="Arial Narrow"/>
                <w:sz w:val="20"/>
                <w:szCs w:val="16"/>
              </w:rPr>
              <w:t>ACCENT I</w:t>
            </w:r>
          </w:p>
        </w:tc>
        <w:tc>
          <w:tcPr>
            <w:tcW w:w="424" w:type="pct"/>
            <w:shd w:val="clear" w:color="auto" w:fill="auto"/>
            <w:vAlign w:val="center"/>
          </w:tcPr>
          <w:p w:rsidR="000F52B6" w:rsidRPr="00984C78" w:rsidRDefault="000F52B6" w:rsidP="001B219C">
            <w:pPr>
              <w:jc w:val="center"/>
              <w:rPr>
                <w:rFonts w:ascii="Arial Narrow" w:hAnsi="Arial Narrow"/>
                <w:sz w:val="20"/>
                <w:szCs w:val="16"/>
              </w:rPr>
            </w:pPr>
            <w:r w:rsidRPr="00984C78">
              <w:rPr>
                <w:rFonts w:ascii="Arial Narrow" w:hAnsi="Arial Narrow"/>
                <w:sz w:val="20"/>
                <w:szCs w:val="16"/>
              </w:rPr>
              <w:t>MP: 335</w:t>
            </w:r>
          </w:p>
        </w:tc>
        <w:tc>
          <w:tcPr>
            <w:tcW w:w="1274" w:type="pc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R, DB + OL</w:t>
            </w:r>
          </w:p>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MP: 54 weeks</w:t>
            </w:r>
          </w:p>
        </w:tc>
        <w:tc>
          <w:tcPr>
            <w:tcW w:w="425" w:type="pct"/>
            <w:shd w:val="clear" w:color="auto" w:fill="auto"/>
            <w:vAlign w:val="center"/>
          </w:tcPr>
          <w:p w:rsidR="000F52B6" w:rsidRPr="00984C78" w:rsidRDefault="000F52B6" w:rsidP="007F1017">
            <w:pPr>
              <w:jc w:val="center"/>
              <w:rPr>
                <w:rFonts w:ascii="Arial Narrow" w:hAnsi="Arial Narrow"/>
                <w:sz w:val="20"/>
                <w:szCs w:val="16"/>
              </w:rPr>
            </w:pPr>
            <w:r w:rsidRPr="00984C78">
              <w:rPr>
                <w:rFonts w:ascii="Arial Narrow" w:hAnsi="Arial Narrow"/>
                <w:sz w:val="20"/>
                <w:szCs w:val="16"/>
              </w:rPr>
              <w:t>Low</w:t>
            </w:r>
          </w:p>
        </w:tc>
        <w:tc>
          <w:tcPr>
            <w:tcW w:w="933" w:type="pct"/>
            <w:vMerge/>
            <w:shd w:val="clear" w:color="auto" w:fill="auto"/>
            <w:vAlign w:val="center"/>
          </w:tcPr>
          <w:p w:rsidR="000F52B6" w:rsidRPr="00984C78" w:rsidRDefault="000F52B6" w:rsidP="007F1017">
            <w:pPr>
              <w:jc w:val="center"/>
              <w:rPr>
                <w:rFonts w:ascii="Arial Narrow" w:hAnsi="Arial Narrow"/>
                <w:sz w:val="20"/>
                <w:szCs w:val="16"/>
              </w:rPr>
            </w:pPr>
          </w:p>
        </w:tc>
        <w:tc>
          <w:tcPr>
            <w:tcW w:w="913" w:type="pct"/>
            <w:vMerge/>
            <w:shd w:val="clear" w:color="auto" w:fill="auto"/>
            <w:vAlign w:val="center"/>
          </w:tcPr>
          <w:p w:rsidR="000F52B6" w:rsidRPr="00984C78" w:rsidRDefault="000F52B6" w:rsidP="007F1017">
            <w:pPr>
              <w:jc w:val="center"/>
              <w:rPr>
                <w:rFonts w:ascii="Arial Narrow" w:hAnsi="Arial Narrow"/>
                <w:sz w:val="20"/>
                <w:szCs w:val="16"/>
              </w:rPr>
            </w:pPr>
          </w:p>
        </w:tc>
        <w:tc>
          <w:tcPr>
            <w:tcW w:w="521" w:type="pct"/>
            <w:vMerge/>
            <w:shd w:val="clear" w:color="auto" w:fill="auto"/>
            <w:vAlign w:val="center"/>
          </w:tcPr>
          <w:p w:rsidR="000F52B6" w:rsidRPr="00984C78" w:rsidRDefault="000F52B6" w:rsidP="007F1017">
            <w:pPr>
              <w:jc w:val="center"/>
              <w:rPr>
                <w:rFonts w:ascii="Arial Narrow" w:hAnsi="Arial Narrow"/>
                <w:sz w:val="20"/>
                <w:szCs w:val="16"/>
              </w:rPr>
            </w:pPr>
          </w:p>
        </w:tc>
      </w:tr>
      <w:tr w:rsidR="008D15E4" w:rsidRPr="00984C78">
        <w:tc>
          <w:tcPr>
            <w:tcW w:w="5000" w:type="pct"/>
            <w:gridSpan w:val="7"/>
            <w:shd w:val="clear" w:color="auto" w:fill="auto"/>
            <w:vAlign w:val="center"/>
          </w:tcPr>
          <w:p w:rsidR="008D15E4" w:rsidRPr="00984C78" w:rsidRDefault="008D15E4" w:rsidP="000F52B6">
            <w:pPr>
              <w:jc w:val="left"/>
              <w:rPr>
                <w:rFonts w:ascii="Arial Narrow" w:hAnsi="Arial Narrow"/>
                <w:b/>
                <w:sz w:val="20"/>
                <w:szCs w:val="16"/>
              </w:rPr>
            </w:pPr>
            <w:r w:rsidRPr="00984C78">
              <w:rPr>
                <w:rFonts w:ascii="Arial Narrow" w:hAnsi="Arial Narrow"/>
                <w:b/>
                <w:sz w:val="20"/>
                <w:szCs w:val="16"/>
              </w:rPr>
              <w:t>Adalimumab vs. placebo</w:t>
            </w:r>
          </w:p>
        </w:tc>
      </w:tr>
      <w:tr w:rsidR="00D0598B" w:rsidRPr="00984C78">
        <w:tc>
          <w:tcPr>
            <w:tcW w:w="510" w:type="pct"/>
            <w:shd w:val="clear" w:color="auto" w:fill="auto"/>
            <w:vAlign w:val="center"/>
          </w:tcPr>
          <w:p w:rsidR="000F52B6" w:rsidRPr="00984C78" w:rsidRDefault="000F52B6" w:rsidP="000F52B6">
            <w:pPr>
              <w:jc w:val="left"/>
              <w:rPr>
                <w:rFonts w:ascii="Arial Narrow" w:hAnsi="Arial Narrow"/>
                <w:sz w:val="20"/>
                <w:szCs w:val="16"/>
              </w:rPr>
            </w:pPr>
            <w:r w:rsidRPr="00984C78">
              <w:rPr>
                <w:rFonts w:ascii="Arial Narrow" w:hAnsi="Arial Narrow"/>
                <w:sz w:val="20"/>
                <w:szCs w:val="16"/>
              </w:rPr>
              <w:t>CLASSIC I</w:t>
            </w:r>
          </w:p>
        </w:tc>
        <w:tc>
          <w:tcPr>
            <w:tcW w:w="42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IP: 299</w:t>
            </w:r>
          </w:p>
        </w:tc>
        <w:tc>
          <w:tcPr>
            <w:tcW w:w="127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R, DB</w:t>
            </w:r>
          </w:p>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IP: 4 weeks</w:t>
            </w:r>
          </w:p>
        </w:tc>
        <w:tc>
          <w:tcPr>
            <w:tcW w:w="425"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Low</w:t>
            </w:r>
          </w:p>
        </w:tc>
        <w:tc>
          <w:tcPr>
            <w:tcW w:w="933" w:type="pct"/>
            <w:vMerge w:val="restart"/>
            <w:shd w:val="clear" w:color="auto" w:fill="auto"/>
            <w:vAlign w:val="center"/>
          </w:tcPr>
          <w:p w:rsidR="000F52B6" w:rsidRPr="00984C78" w:rsidRDefault="000F52B6" w:rsidP="000F52B6">
            <w:pPr>
              <w:jc w:val="center"/>
              <w:rPr>
                <w:rFonts w:ascii="Arial Narrow" w:hAnsi="Arial Narrow"/>
                <w:sz w:val="20"/>
                <w:szCs w:val="16"/>
              </w:rPr>
            </w:pPr>
            <w:bookmarkStart w:id="8" w:name="OLE_LINK6"/>
            <w:r w:rsidRPr="00984C78">
              <w:rPr>
                <w:rFonts w:ascii="Arial Narrow" w:hAnsi="Arial Narrow"/>
                <w:sz w:val="20"/>
                <w:szCs w:val="16"/>
              </w:rPr>
              <w:t xml:space="preserve">Prior treatment with a </w:t>
            </w:r>
            <w:proofErr w:type="spellStart"/>
            <w:r w:rsidRPr="00984C78">
              <w:rPr>
                <w:rFonts w:ascii="Arial Narrow" w:hAnsi="Arial Narrow"/>
                <w:sz w:val="20"/>
                <w:szCs w:val="16"/>
              </w:rPr>
              <w:t>TNF</w:t>
            </w:r>
            <w:r w:rsidRPr="00984C78">
              <w:rPr>
                <w:rFonts w:ascii="Lucida Sans Unicode" w:hAnsi="Lucida Sans Unicode" w:cs="Lucida Sans Unicode"/>
                <w:sz w:val="20"/>
                <w:szCs w:val="16"/>
              </w:rPr>
              <w:t>ɑ</w:t>
            </w:r>
            <w:proofErr w:type="spellEnd"/>
            <w:r w:rsidRPr="00984C78">
              <w:rPr>
                <w:rFonts w:ascii="Arial Narrow" w:hAnsi="Arial Narrow"/>
                <w:sz w:val="20"/>
                <w:szCs w:val="16"/>
              </w:rPr>
              <w:t xml:space="preserve"> antagonist </w:t>
            </w:r>
            <w:r w:rsidRPr="00984C78">
              <w:rPr>
                <w:rFonts w:ascii="Arial Narrow" w:hAnsi="Arial Narrow"/>
                <w:sz w:val="20"/>
                <w:szCs w:val="16"/>
                <w:u w:val="single"/>
              </w:rPr>
              <w:t>not</w:t>
            </w:r>
            <w:r w:rsidRPr="00984C78">
              <w:rPr>
                <w:rFonts w:ascii="Arial Narrow" w:hAnsi="Arial Narrow"/>
                <w:sz w:val="20"/>
                <w:szCs w:val="16"/>
              </w:rPr>
              <w:t xml:space="preserve"> allowed</w:t>
            </w:r>
            <w:bookmarkEnd w:id="8"/>
          </w:p>
        </w:tc>
        <w:tc>
          <w:tcPr>
            <w:tcW w:w="913" w:type="pct"/>
            <w:vMerge w:val="restart"/>
            <w:shd w:val="clear" w:color="auto" w:fill="auto"/>
            <w:vAlign w:val="center"/>
          </w:tcPr>
          <w:p w:rsidR="000F52B6" w:rsidRPr="00984C78" w:rsidRDefault="00D0598B" w:rsidP="000F52B6">
            <w:pPr>
              <w:jc w:val="center"/>
              <w:rPr>
                <w:rFonts w:ascii="Arial Narrow" w:hAnsi="Arial Narrow"/>
                <w:sz w:val="20"/>
                <w:szCs w:val="16"/>
              </w:rPr>
            </w:pPr>
            <w:r w:rsidRPr="00984C78">
              <w:rPr>
                <w:rFonts w:ascii="Arial Narrow" w:hAnsi="Arial Narrow"/>
                <w:sz w:val="20"/>
                <w:szCs w:val="16"/>
              </w:rPr>
              <w:t>Clinical remission*, clinical response** and enhanced clinical response***</w:t>
            </w:r>
          </w:p>
        </w:tc>
        <w:tc>
          <w:tcPr>
            <w:tcW w:w="521" w:type="pct"/>
            <w:vMerge w:val="restar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Not used</w:t>
            </w:r>
          </w:p>
        </w:tc>
      </w:tr>
      <w:tr w:rsidR="00D0598B" w:rsidRPr="00984C78">
        <w:tc>
          <w:tcPr>
            <w:tcW w:w="510" w:type="pct"/>
            <w:shd w:val="clear" w:color="auto" w:fill="auto"/>
            <w:vAlign w:val="center"/>
          </w:tcPr>
          <w:p w:rsidR="000F52B6" w:rsidRPr="00984C78" w:rsidRDefault="000F52B6" w:rsidP="000F52B6">
            <w:pPr>
              <w:jc w:val="left"/>
              <w:rPr>
                <w:rFonts w:ascii="Arial Narrow" w:hAnsi="Arial Narrow"/>
                <w:sz w:val="20"/>
                <w:szCs w:val="16"/>
              </w:rPr>
            </w:pPr>
            <w:r w:rsidRPr="00984C78">
              <w:rPr>
                <w:rFonts w:ascii="Arial Narrow" w:hAnsi="Arial Narrow"/>
                <w:sz w:val="20"/>
                <w:szCs w:val="16"/>
              </w:rPr>
              <w:t>CLASSIC II</w:t>
            </w:r>
          </w:p>
        </w:tc>
        <w:tc>
          <w:tcPr>
            <w:tcW w:w="42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MP: 55</w:t>
            </w:r>
          </w:p>
        </w:tc>
        <w:tc>
          <w:tcPr>
            <w:tcW w:w="127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R, DB + OL</w:t>
            </w:r>
          </w:p>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MP: 60 weeks</w:t>
            </w:r>
          </w:p>
        </w:tc>
        <w:tc>
          <w:tcPr>
            <w:tcW w:w="425"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Low</w:t>
            </w:r>
          </w:p>
        </w:tc>
        <w:tc>
          <w:tcPr>
            <w:tcW w:w="93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91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521" w:type="pct"/>
            <w:vMerge/>
            <w:shd w:val="clear" w:color="auto" w:fill="auto"/>
            <w:vAlign w:val="center"/>
          </w:tcPr>
          <w:p w:rsidR="000F52B6" w:rsidRPr="00984C78" w:rsidRDefault="000F52B6" w:rsidP="000F52B6">
            <w:pPr>
              <w:jc w:val="center"/>
              <w:rPr>
                <w:rFonts w:ascii="Arial Narrow" w:hAnsi="Arial Narrow"/>
                <w:sz w:val="20"/>
                <w:szCs w:val="16"/>
              </w:rPr>
            </w:pPr>
          </w:p>
        </w:tc>
      </w:tr>
      <w:tr w:rsidR="00D0598B" w:rsidRPr="00984C78">
        <w:tc>
          <w:tcPr>
            <w:tcW w:w="510" w:type="pct"/>
            <w:shd w:val="clear" w:color="auto" w:fill="auto"/>
            <w:vAlign w:val="center"/>
          </w:tcPr>
          <w:p w:rsidR="000F52B6" w:rsidRPr="00984C78" w:rsidRDefault="000F52B6" w:rsidP="000F52B6">
            <w:pPr>
              <w:jc w:val="left"/>
              <w:rPr>
                <w:rFonts w:ascii="Arial Narrow" w:hAnsi="Arial Narrow"/>
                <w:sz w:val="20"/>
                <w:szCs w:val="16"/>
              </w:rPr>
            </w:pPr>
            <w:r w:rsidRPr="00984C78">
              <w:rPr>
                <w:rFonts w:ascii="Arial Narrow" w:hAnsi="Arial Narrow"/>
                <w:sz w:val="20"/>
                <w:szCs w:val="16"/>
              </w:rPr>
              <w:t>GAIN</w:t>
            </w:r>
          </w:p>
        </w:tc>
        <w:tc>
          <w:tcPr>
            <w:tcW w:w="42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IP: 325</w:t>
            </w:r>
          </w:p>
        </w:tc>
        <w:tc>
          <w:tcPr>
            <w:tcW w:w="127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R, DB</w:t>
            </w:r>
          </w:p>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IP: 4 weeks</w:t>
            </w:r>
          </w:p>
        </w:tc>
        <w:tc>
          <w:tcPr>
            <w:tcW w:w="425"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Low</w:t>
            </w:r>
          </w:p>
        </w:tc>
        <w:tc>
          <w:tcPr>
            <w:tcW w:w="933"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 xml:space="preserve">Prior treatment with a </w:t>
            </w:r>
            <w:proofErr w:type="spellStart"/>
            <w:r w:rsidRPr="00984C78">
              <w:rPr>
                <w:rFonts w:ascii="Arial Narrow" w:hAnsi="Arial Narrow"/>
                <w:sz w:val="20"/>
                <w:szCs w:val="16"/>
              </w:rPr>
              <w:t>TNF</w:t>
            </w:r>
            <w:r w:rsidRPr="00984C78">
              <w:rPr>
                <w:rFonts w:ascii="Lucida Sans Unicode" w:hAnsi="Lucida Sans Unicode" w:cs="Lucida Sans Unicode"/>
                <w:sz w:val="20"/>
                <w:szCs w:val="16"/>
              </w:rPr>
              <w:t>ɑ</w:t>
            </w:r>
            <w:proofErr w:type="spellEnd"/>
            <w:r w:rsidRPr="00984C78">
              <w:rPr>
                <w:rFonts w:ascii="Arial Narrow" w:hAnsi="Arial Narrow"/>
                <w:sz w:val="20"/>
                <w:szCs w:val="16"/>
              </w:rPr>
              <w:t xml:space="preserve"> antagonist </w:t>
            </w:r>
            <w:r w:rsidRPr="00984C78">
              <w:rPr>
                <w:rFonts w:ascii="Arial Narrow" w:hAnsi="Arial Narrow"/>
                <w:sz w:val="20"/>
                <w:szCs w:val="16"/>
                <w:u w:val="single"/>
              </w:rPr>
              <w:t>required</w:t>
            </w:r>
          </w:p>
        </w:tc>
        <w:tc>
          <w:tcPr>
            <w:tcW w:w="91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521" w:type="pct"/>
            <w:vMerge/>
            <w:shd w:val="clear" w:color="auto" w:fill="auto"/>
            <w:vAlign w:val="center"/>
          </w:tcPr>
          <w:p w:rsidR="000F52B6" w:rsidRPr="00984C78" w:rsidRDefault="000F52B6" w:rsidP="000F52B6">
            <w:pPr>
              <w:jc w:val="center"/>
              <w:rPr>
                <w:rFonts w:ascii="Arial Narrow" w:hAnsi="Arial Narrow"/>
                <w:sz w:val="20"/>
                <w:szCs w:val="16"/>
              </w:rPr>
            </w:pPr>
          </w:p>
        </w:tc>
      </w:tr>
      <w:tr w:rsidR="00D0598B" w:rsidRPr="00984C78">
        <w:tc>
          <w:tcPr>
            <w:tcW w:w="510" w:type="pct"/>
            <w:shd w:val="clear" w:color="auto" w:fill="auto"/>
            <w:vAlign w:val="center"/>
          </w:tcPr>
          <w:p w:rsidR="000F52B6" w:rsidRPr="00984C78" w:rsidRDefault="000F52B6" w:rsidP="000F52B6">
            <w:pPr>
              <w:jc w:val="left"/>
              <w:rPr>
                <w:rFonts w:ascii="Arial Narrow" w:hAnsi="Arial Narrow"/>
                <w:sz w:val="20"/>
                <w:szCs w:val="16"/>
              </w:rPr>
            </w:pPr>
            <w:r w:rsidRPr="00984C78">
              <w:rPr>
                <w:rFonts w:ascii="Arial Narrow" w:hAnsi="Arial Narrow"/>
                <w:sz w:val="20"/>
                <w:szCs w:val="16"/>
              </w:rPr>
              <w:t>CHARM</w:t>
            </w:r>
          </w:p>
        </w:tc>
        <w:tc>
          <w:tcPr>
            <w:tcW w:w="42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MP: 499</w:t>
            </w:r>
          </w:p>
        </w:tc>
        <w:tc>
          <w:tcPr>
            <w:tcW w:w="127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R, DB + OL</w:t>
            </w:r>
          </w:p>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MP: 56 weeks</w:t>
            </w:r>
          </w:p>
        </w:tc>
        <w:tc>
          <w:tcPr>
            <w:tcW w:w="425"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Low</w:t>
            </w:r>
          </w:p>
        </w:tc>
        <w:tc>
          <w:tcPr>
            <w:tcW w:w="933" w:type="pct"/>
            <w:vMerge w:val="restar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 xml:space="preserve">Prior treatment with a </w:t>
            </w:r>
            <w:proofErr w:type="spellStart"/>
            <w:r w:rsidRPr="00984C78">
              <w:rPr>
                <w:rFonts w:ascii="Arial Narrow" w:hAnsi="Arial Narrow"/>
                <w:sz w:val="20"/>
                <w:szCs w:val="16"/>
              </w:rPr>
              <w:t>TNF</w:t>
            </w:r>
            <w:r w:rsidRPr="00984C78">
              <w:rPr>
                <w:rFonts w:ascii="Lucida Sans Unicode" w:hAnsi="Lucida Sans Unicode" w:cs="Lucida Sans Unicode"/>
                <w:sz w:val="20"/>
                <w:szCs w:val="16"/>
              </w:rPr>
              <w:t>ɑ</w:t>
            </w:r>
            <w:proofErr w:type="spellEnd"/>
            <w:r w:rsidRPr="00984C78">
              <w:rPr>
                <w:rFonts w:ascii="Arial Narrow" w:hAnsi="Arial Narrow"/>
                <w:sz w:val="20"/>
                <w:szCs w:val="16"/>
              </w:rPr>
              <w:t xml:space="preserve"> antagonist </w:t>
            </w:r>
            <w:r w:rsidRPr="00984C78">
              <w:rPr>
                <w:rFonts w:ascii="Arial Narrow" w:hAnsi="Arial Narrow"/>
                <w:sz w:val="20"/>
                <w:szCs w:val="16"/>
                <w:u w:val="single"/>
              </w:rPr>
              <w:t>allowed</w:t>
            </w:r>
          </w:p>
        </w:tc>
        <w:tc>
          <w:tcPr>
            <w:tcW w:w="91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521" w:type="pct"/>
            <w:vMerge/>
            <w:shd w:val="clear" w:color="auto" w:fill="auto"/>
            <w:vAlign w:val="center"/>
          </w:tcPr>
          <w:p w:rsidR="000F52B6" w:rsidRPr="00984C78" w:rsidRDefault="000F52B6" w:rsidP="000F52B6">
            <w:pPr>
              <w:jc w:val="center"/>
              <w:rPr>
                <w:rFonts w:ascii="Arial Narrow" w:hAnsi="Arial Narrow"/>
                <w:sz w:val="20"/>
                <w:szCs w:val="16"/>
              </w:rPr>
            </w:pPr>
          </w:p>
        </w:tc>
      </w:tr>
      <w:tr w:rsidR="00D0598B" w:rsidRPr="00984C78">
        <w:tc>
          <w:tcPr>
            <w:tcW w:w="510" w:type="pct"/>
            <w:shd w:val="clear" w:color="auto" w:fill="auto"/>
            <w:vAlign w:val="center"/>
          </w:tcPr>
          <w:p w:rsidR="000F52B6" w:rsidRPr="00984C78" w:rsidRDefault="000F52B6" w:rsidP="000F52B6">
            <w:pPr>
              <w:jc w:val="left"/>
              <w:rPr>
                <w:rFonts w:ascii="Arial Narrow" w:hAnsi="Arial Narrow"/>
                <w:sz w:val="20"/>
                <w:szCs w:val="16"/>
              </w:rPr>
            </w:pPr>
            <w:r w:rsidRPr="00984C78">
              <w:rPr>
                <w:rFonts w:ascii="Arial Narrow" w:hAnsi="Arial Narrow"/>
                <w:sz w:val="20"/>
                <w:szCs w:val="16"/>
              </w:rPr>
              <w:t>Watanabe</w:t>
            </w:r>
          </w:p>
        </w:tc>
        <w:tc>
          <w:tcPr>
            <w:tcW w:w="42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IP: 90</w:t>
            </w:r>
          </w:p>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MP: 43</w:t>
            </w:r>
          </w:p>
        </w:tc>
        <w:tc>
          <w:tcPr>
            <w:tcW w:w="1274"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R, DB</w:t>
            </w:r>
          </w:p>
          <w:p w:rsidR="000F52B6" w:rsidRPr="00984C78" w:rsidRDefault="000F52B6" w:rsidP="007F550B">
            <w:pPr>
              <w:jc w:val="center"/>
              <w:rPr>
                <w:rFonts w:ascii="Arial Narrow" w:hAnsi="Arial Narrow"/>
                <w:sz w:val="20"/>
                <w:szCs w:val="16"/>
              </w:rPr>
            </w:pPr>
            <w:r w:rsidRPr="00984C78">
              <w:rPr>
                <w:rFonts w:ascii="Arial Narrow" w:hAnsi="Arial Narrow"/>
                <w:sz w:val="20"/>
                <w:szCs w:val="16"/>
              </w:rPr>
              <w:t>IP: 4 weeks</w:t>
            </w:r>
            <w:r w:rsidR="007F550B" w:rsidRPr="00984C78">
              <w:rPr>
                <w:rFonts w:ascii="Arial Narrow" w:hAnsi="Arial Narrow"/>
                <w:sz w:val="20"/>
                <w:szCs w:val="16"/>
              </w:rPr>
              <w:t xml:space="preserve">, </w:t>
            </w:r>
            <w:r w:rsidRPr="00984C78">
              <w:rPr>
                <w:rFonts w:ascii="Arial Narrow" w:hAnsi="Arial Narrow"/>
                <w:sz w:val="20"/>
                <w:szCs w:val="16"/>
              </w:rPr>
              <w:t>MP: 56 weeks</w:t>
            </w:r>
          </w:p>
        </w:tc>
        <w:tc>
          <w:tcPr>
            <w:tcW w:w="425" w:type="pct"/>
            <w:shd w:val="clear" w:color="auto" w:fill="auto"/>
            <w:vAlign w:val="center"/>
          </w:tcPr>
          <w:p w:rsidR="000F52B6" w:rsidRPr="00984C78" w:rsidRDefault="000F52B6" w:rsidP="000F52B6">
            <w:pPr>
              <w:jc w:val="center"/>
              <w:rPr>
                <w:rFonts w:ascii="Arial Narrow" w:hAnsi="Arial Narrow"/>
                <w:sz w:val="20"/>
                <w:szCs w:val="16"/>
              </w:rPr>
            </w:pPr>
            <w:r w:rsidRPr="00984C78">
              <w:rPr>
                <w:rFonts w:ascii="Arial Narrow" w:hAnsi="Arial Narrow"/>
                <w:sz w:val="20"/>
                <w:szCs w:val="16"/>
              </w:rPr>
              <w:t>Low</w:t>
            </w:r>
          </w:p>
        </w:tc>
        <w:tc>
          <w:tcPr>
            <w:tcW w:w="93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913" w:type="pct"/>
            <w:vMerge/>
            <w:shd w:val="clear" w:color="auto" w:fill="auto"/>
            <w:vAlign w:val="center"/>
          </w:tcPr>
          <w:p w:rsidR="000F52B6" w:rsidRPr="00984C78" w:rsidRDefault="000F52B6" w:rsidP="000F52B6">
            <w:pPr>
              <w:jc w:val="center"/>
              <w:rPr>
                <w:rFonts w:ascii="Arial Narrow" w:hAnsi="Arial Narrow"/>
                <w:sz w:val="20"/>
                <w:szCs w:val="16"/>
              </w:rPr>
            </w:pPr>
          </w:p>
        </w:tc>
        <w:tc>
          <w:tcPr>
            <w:tcW w:w="521" w:type="pct"/>
            <w:vMerge/>
            <w:shd w:val="clear" w:color="auto" w:fill="auto"/>
            <w:vAlign w:val="center"/>
          </w:tcPr>
          <w:p w:rsidR="000F52B6" w:rsidRPr="00984C78" w:rsidRDefault="000F52B6" w:rsidP="000F52B6">
            <w:pPr>
              <w:jc w:val="center"/>
              <w:rPr>
                <w:rFonts w:ascii="Arial Narrow" w:hAnsi="Arial Narrow"/>
                <w:sz w:val="20"/>
                <w:szCs w:val="16"/>
              </w:rPr>
            </w:pPr>
          </w:p>
        </w:tc>
      </w:tr>
    </w:tbl>
    <w:p w:rsidR="00B60939" w:rsidRPr="00984C78" w:rsidRDefault="007F1017" w:rsidP="000F52B6">
      <w:pPr>
        <w:pStyle w:val="TableFooter"/>
        <w:ind w:left="709"/>
        <w:rPr>
          <w:szCs w:val="18"/>
        </w:rPr>
      </w:pPr>
      <w:r w:rsidRPr="00984C78">
        <w:t xml:space="preserve">DB=double blind; </w:t>
      </w:r>
      <w:r w:rsidR="001B219C" w:rsidRPr="00984C78">
        <w:t xml:space="preserve">IP= induction phase; MP = maintenance phase; </w:t>
      </w:r>
      <w:r w:rsidRPr="00984C78">
        <w:t xml:space="preserve">MC=multi-centre; </w:t>
      </w:r>
      <w:r w:rsidR="000F52B6" w:rsidRPr="00984C78">
        <w:t xml:space="preserve">OL=open-label; </w:t>
      </w:r>
      <w:r w:rsidRPr="00984C78">
        <w:t>R=randomised</w:t>
      </w:r>
      <w:r w:rsidR="000F52B6" w:rsidRPr="00984C78">
        <w:t xml:space="preserve"> #When endpoint for efficacy was measured. * CDAI ≤ 150 ** CDAI ≥ 70 reduction from baseline</w:t>
      </w:r>
      <w:r w:rsidR="00D0598B" w:rsidRPr="00984C78">
        <w:t>, *** CDAI ≥ 100 reduction from baseline</w:t>
      </w:r>
      <w:r w:rsidR="000F52B6" w:rsidRPr="00984C78">
        <w:t xml:space="preserve">. </w:t>
      </w:r>
      <w:r w:rsidRPr="00984C78">
        <w:rPr>
          <w:szCs w:val="18"/>
        </w:rPr>
        <w:t>Source: compiled during the evaluation</w:t>
      </w:r>
    </w:p>
    <w:p w:rsidR="00B60939" w:rsidRPr="00984C78" w:rsidRDefault="00B60939" w:rsidP="00B60939">
      <w:pPr>
        <w:rPr>
          <w:szCs w:val="22"/>
        </w:rPr>
      </w:pPr>
    </w:p>
    <w:p w:rsidR="00A477EE" w:rsidRDefault="00A477EE" w:rsidP="00984C78">
      <w:pPr>
        <w:widowControl/>
        <w:snapToGrid/>
        <w:jc w:val="left"/>
        <w:rPr>
          <w:b/>
          <w:i/>
        </w:rPr>
      </w:pPr>
      <w:bookmarkStart w:id="9" w:name="_Toc409097583"/>
    </w:p>
    <w:p w:rsidR="00A477EE" w:rsidRDefault="00A477EE" w:rsidP="00984C78">
      <w:pPr>
        <w:widowControl/>
        <w:snapToGrid/>
        <w:jc w:val="left"/>
        <w:rPr>
          <w:b/>
          <w:i/>
        </w:rPr>
      </w:pPr>
    </w:p>
    <w:p w:rsidR="00A477EE" w:rsidRDefault="00A477EE" w:rsidP="00984C78">
      <w:pPr>
        <w:widowControl/>
        <w:snapToGrid/>
        <w:jc w:val="left"/>
        <w:rPr>
          <w:b/>
          <w:i/>
        </w:rPr>
      </w:pPr>
    </w:p>
    <w:p w:rsidR="00A477EE" w:rsidRDefault="00A477EE" w:rsidP="00984C78">
      <w:pPr>
        <w:widowControl/>
        <w:snapToGrid/>
        <w:jc w:val="left"/>
        <w:rPr>
          <w:b/>
          <w:i/>
        </w:rPr>
      </w:pPr>
    </w:p>
    <w:p w:rsidR="00984C78" w:rsidRPr="00116301" w:rsidRDefault="00B60939" w:rsidP="00984C78">
      <w:pPr>
        <w:widowControl/>
        <w:snapToGrid/>
        <w:jc w:val="left"/>
        <w:rPr>
          <w:b/>
          <w:i/>
        </w:rPr>
      </w:pPr>
      <w:r w:rsidRPr="00116301">
        <w:rPr>
          <w:b/>
          <w:i/>
        </w:rPr>
        <w:lastRenderedPageBreak/>
        <w:t>Comparative effectiveness</w:t>
      </w:r>
      <w:bookmarkEnd w:id="9"/>
    </w:p>
    <w:p w:rsidR="00984C78" w:rsidRDefault="00984C78" w:rsidP="00984C78">
      <w:pPr>
        <w:widowControl/>
        <w:snapToGrid/>
        <w:jc w:val="left"/>
        <w:rPr>
          <w:b/>
        </w:rPr>
      </w:pPr>
    </w:p>
    <w:p w:rsidR="000F52B6" w:rsidRPr="00984C78" w:rsidRDefault="006A01A9" w:rsidP="006B764E">
      <w:pPr>
        <w:pStyle w:val="ListParagraph"/>
        <w:widowControl/>
        <w:numPr>
          <w:ilvl w:val="1"/>
          <w:numId w:val="3"/>
        </w:numPr>
        <w:rPr>
          <w:b/>
        </w:rPr>
      </w:pPr>
      <w:r>
        <w:rPr>
          <w:szCs w:val="22"/>
        </w:rPr>
        <w:t>The t</w:t>
      </w:r>
      <w:r w:rsidR="003D4EAD" w:rsidRPr="00984C78">
        <w:rPr>
          <w:szCs w:val="22"/>
        </w:rPr>
        <w:t>able</w:t>
      </w:r>
      <w:r w:rsidR="000C7FF1" w:rsidRPr="00984C78">
        <w:rPr>
          <w:szCs w:val="22"/>
        </w:rPr>
        <w:t>s</w:t>
      </w:r>
      <w:r w:rsidR="003D4EAD" w:rsidRPr="00984C78">
        <w:rPr>
          <w:szCs w:val="22"/>
        </w:rPr>
        <w:t xml:space="preserve"> </w:t>
      </w:r>
      <w:r>
        <w:rPr>
          <w:szCs w:val="22"/>
        </w:rPr>
        <w:t>below</w:t>
      </w:r>
      <w:r w:rsidR="00074F80" w:rsidRPr="00984C78">
        <w:rPr>
          <w:szCs w:val="22"/>
        </w:rPr>
        <w:t xml:space="preserve"> present</w:t>
      </w:r>
      <w:r w:rsidR="003D4EAD" w:rsidRPr="00984C78">
        <w:rPr>
          <w:szCs w:val="22"/>
        </w:rPr>
        <w:t xml:space="preserve"> the efficacy from the GEMINI II and GEMINI III </w:t>
      </w:r>
      <w:r w:rsidR="00E668F3" w:rsidRPr="00984C78">
        <w:rPr>
          <w:szCs w:val="22"/>
        </w:rPr>
        <w:t>(</w:t>
      </w:r>
      <w:proofErr w:type="spellStart"/>
      <w:r w:rsidR="00E668F3" w:rsidRPr="00984C78">
        <w:rPr>
          <w:szCs w:val="22"/>
        </w:rPr>
        <w:t>vedolizumab</w:t>
      </w:r>
      <w:proofErr w:type="spellEnd"/>
      <w:r w:rsidR="0094097E" w:rsidRPr="00984C78">
        <w:rPr>
          <w:szCs w:val="22"/>
        </w:rPr>
        <w:t xml:space="preserve"> against placebo</w:t>
      </w:r>
      <w:r w:rsidR="00E668F3" w:rsidRPr="00984C78">
        <w:rPr>
          <w:szCs w:val="22"/>
        </w:rPr>
        <w:t xml:space="preserve">) </w:t>
      </w:r>
      <w:r w:rsidR="003D4EAD" w:rsidRPr="00984C78">
        <w:rPr>
          <w:szCs w:val="22"/>
        </w:rPr>
        <w:t>trials</w:t>
      </w:r>
      <w:r w:rsidR="00074F80" w:rsidRPr="00984C78">
        <w:rPr>
          <w:szCs w:val="22"/>
        </w:rPr>
        <w:t xml:space="preserve"> for the induction and maintenance phase</w:t>
      </w:r>
      <w:r w:rsidR="003D4EAD" w:rsidRPr="00984C78">
        <w:rPr>
          <w:szCs w:val="22"/>
        </w:rPr>
        <w:t>, for the ITT population</w:t>
      </w:r>
      <w:r w:rsidR="003D4EAD" w:rsidRPr="00984C78">
        <w:t xml:space="preserve">. </w:t>
      </w:r>
    </w:p>
    <w:p w:rsidR="003D4EAD" w:rsidRPr="00984C78" w:rsidRDefault="003D4EAD" w:rsidP="003D4EAD">
      <w:pPr>
        <w:pStyle w:val="ListParagraph"/>
        <w:keepNext/>
        <w:keepLines/>
        <w:widowControl/>
        <w:rPr>
          <w:szCs w:val="22"/>
        </w:rPr>
      </w:pPr>
    </w:p>
    <w:p w:rsidR="00BC6395" w:rsidRPr="00984C78" w:rsidRDefault="00BC6395" w:rsidP="009E0745">
      <w:pPr>
        <w:keepNext/>
        <w:keepLines/>
        <w:ind w:left="709"/>
        <w:rPr>
          <w:rStyle w:val="CommentReference"/>
        </w:rPr>
      </w:pPr>
      <w:r w:rsidRPr="00984C78">
        <w:rPr>
          <w:rStyle w:val="CommentReference"/>
        </w:rPr>
        <w:t>Results in induction phase across the direct randomised trials, ITT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ative effectiveness"/>
        <w:tblDescription w:val="Induction phase"/>
      </w:tblPr>
      <w:tblGrid>
        <w:gridCol w:w="1138"/>
        <w:gridCol w:w="1557"/>
        <w:gridCol w:w="1561"/>
        <w:gridCol w:w="1557"/>
        <w:gridCol w:w="1557"/>
        <w:gridCol w:w="975"/>
      </w:tblGrid>
      <w:tr w:rsidR="00BC6395" w:rsidRPr="00984C78">
        <w:tc>
          <w:tcPr>
            <w:tcW w:w="682" w:type="pct"/>
            <w:shd w:val="clear" w:color="auto" w:fill="auto"/>
            <w:vAlign w:val="center"/>
          </w:tcPr>
          <w:p w:rsidR="00BC6395" w:rsidRPr="00984C78" w:rsidRDefault="00BC6395" w:rsidP="009E0745">
            <w:pPr>
              <w:keepNext/>
              <w:keepLines/>
              <w:jc w:val="left"/>
              <w:rPr>
                <w:rFonts w:ascii="Arial Narrow" w:hAnsi="Arial Narrow"/>
                <w:b/>
                <w:sz w:val="20"/>
              </w:rPr>
            </w:pPr>
            <w:r w:rsidRPr="00984C78">
              <w:rPr>
                <w:rFonts w:ascii="Arial Narrow" w:hAnsi="Arial Narrow"/>
                <w:b/>
                <w:sz w:val="20"/>
              </w:rPr>
              <w:t>Trial ID</w:t>
            </w:r>
          </w:p>
        </w:tc>
        <w:tc>
          <w:tcPr>
            <w:tcW w:w="933" w:type="pct"/>
            <w:shd w:val="clear" w:color="auto" w:fill="auto"/>
            <w:vAlign w:val="center"/>
          </w:tcPr>
          <w:p w:rsidR="00BC6395" w:rsidRPr="00984C78" w:rsidRDefault="00BC6395" w:rsidP="009E0745">
            <w:pPr>
              <w:keepNext/>
              <w:keepLines/>
              <w:contextualSpacing/>
              <w:jc w:val="center"/>
              <w:rPr>
                <w:rFonts w:ascii="Arial Narrow" w:hAnsi="Arial Narrow"/>
                <w:b/>
                <w:sz w:val="20"/>
              </w:rPr>
            </w:pPr>
            <w:proofErr w:type="spellStart"/>
            <w:r w:rsidRPr="00984C78">
              <w:rPr>
                <w:rFonts w:ascii="Arial Narrow" w:hAnsi="Arial Narrow"/>
                <w:b/>
                <w:sz w:val="20"/>
              </w:rPr>
              <w:t>Vedolizumab</w:t>
            </w:r>
            <w:proofErr w:type="spellEnd"/>
            <w:r w:rsidR="00B940A4" w:rsidRPr="00984C78">
              <w:rPr>
                <w:rFonts w:ascii="Arial Narrow" w:hAnsi="Arial Narrow"/>
                <w:b/>
                <w:sz w:val="20"/>
              </w:rPr>
              <w:t xml:space="preserve"> </w:t>
            </w:r>
            <w:r w:rsidRPr="00984C78">
              <w:rPr>
                <w:rFonts w:ascii="Arial Narrow" w:hAnsi="Arial Narrow"/>
                <w:b/>
                <w:sz w:val="20"/>
              </w:rPr>
              <w:t>n/N (%)</w:t>
            </w:r>
          </w:p>
        </w:tc>
        <w:tc>
          <w:tcPr>
            <w:tcW w:w="935" w:type="pct"/>
            <w:shd w:val="clear" w:color="auto" w:fill="auto"/>
            <w:vAlign w:val="center"/>
          </w:tcPr>
          <w:p w:rsidR="00BC6395" w:rsidRPr="00984C78" w:rsidRDefault="00BC6395" w:rsidP="009E0745">
            <w:pPr>
              <w:keepNext/>
              <w:keepLines/>
              <w:jc w:val="center"/>
              <w:rPr>
                <w:rFonts w:ascii="Arial Narrow" w:hAnsi="Arial Narrow"/>
                <w:b/>
                <w:sz w:val="20"/>
              </w:rPr>
            </w:pPr>
            <w:r w:rsidRPr="00984C78">
              <w:rPr>
                <w:rFonts w:ascii="Arial Narrow" w:hAnsi="Arial Narrow"/>
                <w:b/>
                <w:sz w:val="20"/>
              </w:rPr>
              <w:t>Placebo n/N (%)</w:t>
            </w:r>
          </w:p>
        </w:tc>
        <w:tc>
          <w:tcPr>
            <w:tcW w:w="933" w:type="pct"/>
            <w:shd w:val="clear" w:color="auto" w:fill="auto"/>
            <w:vAlign w:val="center"/>
          </w:tcPr>
          <w:p w:rsidR="00BC6395" w:rsidRPr="00984C78" w:rsidRDefault="00BC6395" w:rsidP="009E0745">
            <w:pPr>
              <w:keepNext/>
              <w:keepLines/>
              <w:jc w:val="center"/>
              <w:rPr>
                <w:rFonts w:ascii="Arial Narrow" w:hAnsi="Arial Narrow"/>
                <w:b/>
                <w:sz w:val="20"/>
              </w:rPr>
            </w:pPr>
            <w:r w:rsidRPr="00984C78">
              <w:rPr>
                <w:rFonts w:ascii="Arial Narrow" w:hAnsi="Arial Narrow"/>
                <w:b/>
                <w:sz w:val="20"/>
              </w:rPr>
              <w:t>Absolute difference RD</w:t>
            </w:r>
          </w:p>
          <w:p w:rsidR="00BC6395" w:rsidRPr="00984C78" w:rsidRDefault="00BC6395" w:rsidP="009E0745">
            <w:pPr>
              <w:keepNext/>
              <w:keepLines/>
              <w:jc w:val="center"/>
              <w:rPr>
                <w:rFonts w:ascii="Arial Narrow" w:hAnsi="Arial Narrow"/>
                <w:b/>
                <w:sz w:val="20"/>
              </w:rPr>
            </w:pPr>
            <w:r w:rsidRPr="00984C78">
              <w:rPr>
                <w:rFonts w:ascii="Arial Narrow" w:hAnsi="Arial Narrow"/>
                <w:b/>
                <w:sz w:val="20"/>
              </w:rPr>
              <w:t>(95% CI)</w:t>
            </w:r>
          </w:p>
        </w:tc>
        <w:tc>
          <w:tcPr>
            <w:tcW w:w="933" w:type="pct"/>
            <w:shd w:val="clear" w:color="auto" w:fill="auto"/>
            <w:vAlign w:val="center"/>
          </w:tcPr>
          <w:p w:rsidR="00BC6395" w:rsidRPr="00984C78" w:rsidRDefault="00BC6395" w:rsidP="009E0745">
            <w:pPr>
              <w:keepNext/>
              <w:keepLines/>
              <w:jc w:val="center"/>
              <w:rPr>
                <w:rFonts w:ascii="Arial Narrow" w:hAnsi="Arial Narrow"/>
                <w:b/>
                <w:sz w:val="20"/>
              </w:rPr>
            </w:pPr>
            <w:r w:rsidRPr="00984C78">
              <w:rPr>
                <w:rFonts w:ascii="Arial Narrow" w:hAnsi="Arial Narrow"/>
                <w:b/>
                <w:sz w:val="20"/>
              </w:rPr>
              <w:t>Relative difference RR (95% CI)</w:t>
            </w:r>
          </w:p>
        </w:tc>
        <w:tc>
          <w:tcPr>
            <w:tcW w:w="584" w:type="pct"/>
            <w:shd w:val="clear" w:color="auto" w:fill="auto"/>
            <w:vAlign w:val="center"/>
          </w:tcPr>
          <w:p w:rsidR="00BC6395" w:rsidRPr="00984C78" w:rsidRDefault="00BC6395" w:rsidP="009E0745">
            <w:pPr>
              <w:keepNext/>
              <w:keepLines/>
              <w:jc w:val="center"/>
              <w:rPr>
                <w:rFonts w:ascii="Arial Narrow" w:hAnsi="Arial Narrow"/>
                <w:b/>
                <w:sz w:val="20"/>
              </w:rPr>
            </w:pPr>
            <w:r w:rsidRPr="00984C78">
              <w:rPr>
                <w:rFonts w:ascii="Arial Narrow" w:hAnsi="Arial Narrow"/>
                <w:b/>
                <w:sz w:val="20"/>
              </w:rPr>
              <w:t>NNT</w:t>
            </w:r>
          </w:p>
        </w:tc>
      </w:tr>
      <w:tr w:rsidR="004C6220" w:rsidRPr="00984C78">
        <w:trPr>
          <w:trHeight w:val="64"/>
        </w:trPr>
        <w:tc>
          <w:tcPr>
            <w:tcW w:w="5000" w:type="pct"/>
            <w:gridSpan w:val="6"/>
            <w:shd w:val="clear" w:color="auto" w:fill="auto"/>
            <w:vAlign w:val="center"/>
          </w:tcPr>
          <w:p w:rsidR="004C6220" w:rsidRPr="00984C78" w:rsidRDefault="004C6220" w:rsidP="009E0745">
            <w:pPr>
              <w:keepNext/>
              <w:keepLines/>
              <w:jc w:val="left"/>
              <w:rPr>
                <w:rFonts w:ascii="Arial Narrow" w:hAnsi="Arial Narrow"/>
                <w:sz w:val="20"/>
              </w:rPr>
            </w:pPr>
            <w:r w:rsidRPr="00984C78">
              <w:rPr>
                <w:rFonts w:ascii="Arial Narrow" w:hAnsi="Arial Narrow"/>
                <w:b/>
                <w:sz w:val="20"/>
              </w:rPr>
              <w:t>Clinical remission</w:t>
            </w:r>
          </w:p>
        </w:tc>
      </w:tr>
      <w:tr w:rsidR="00BC6395" w:rsidRPr="00984C78">
        <w:trPr>
          <w:trHeight w:val="64"/>
        </w:trPr>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GEMINI II</w:t>
            </w:r>
          </w:p>
        </w:tc>
        <w:tc>
          <w:tcPr>
            <w:tcW w:w="933"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32/220</w:t>
            </w:r>
            <w:r w:rsidR="00B940A4" w:rsidRPr="00057ABE">
              <w:rPr>
                <w:rFonts w:ascii="Arial Narrow" w:hAnsi="Arial Narrow"/>
                <w:sz w:val="20"/>
              </w:rPr>
              <w:t xml:space="preserve"> </w:t>
            </w:r>
            <w:r w:rsidRPr="00057ABE">
              <w:rPr>
                <w:rFonts w:ascii="Arial Narrow" w:hAnsi="Arial Narrow"/>
                <w:sz w:val="20"/>
              </w:rPr>
              <w:t>(14.5)</w:t>
            </w:r>
          </w:p>
        </w:tc>
        <w:tc>
          <w:tcPr>
            <w:tcW w:w="935"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10/148</w:t>
            </w:r>
            <w:r w:rsidR="00B940A4" w:rsidRPr="00057ABE">
              <w:rPr>
                <w:rFonts w:ascii="Arial Narrow" w:hAnsi="Arial Narrow"/>
                <w:sz w:val="20"/>
              </w:rPr>
              <w:t xml:space="preserve"> </w:t>
            </w:r>
            <w:r w:rsidRPr="00057ABE">
              <w:rPr>
                <w:rFonts w:ascii="Arial Narrow" w:hAnsi="Arial Narrow"/>
                <w:sz w:val="20"/>
              </w:rPr>
              <w:t>(6.8)</w:t>
            </w:r>
          </w:p>
        </w:tc>
        <w:tc>
          <w:tcPr>
            <w:tcW w:w="933" w:type="pct"/>
            <w:shd w:val="clear" w:color="auto" w:fill="auto"/>
            <w:vAlign w:val="center"/>
          </w:tcPr>
          <w:p w:rsidR="00BC6395" w:rsidRPr="00057ABE" w:rsidRDefault="00B940A4" w:rsidP="009E0745">
            <w:pPr>
              <w:keepNext/>
              <w:keepLines/>
              <w:jc w:val="center"/>
              <w:rPr>
                <w:rFonts w:ascii="Arial Narrow" w:hAnsi="Arial Narrow"/>
                <w:sz w:val="20"/>
              </w:rPr>
            </w:pPr>
            <w:r w:rsidRPr="00057ABE">
              <w:rPr>
                <w:rFonts w:ascii="Arial Narrow" w:hAnsi="Arial Narrow"/>
                <w:sz w:val="20"/>
              </w:rPr>
              <w:t>7.79 (1.62, 13.96)</w:t>
            </w:r>
          </w:p>
        </w:tc>
        <w:tc>
          <w:tcPr>
            <w:tcW w:w="933"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2.15</w:t>
            </w:r>
            <w:r w:rsidR="00B940A4" w:rsidRPr="00057ABE">
              <w:rPr>
                <w:rFonts w:ascii="Arial Narrow" w:hAnsi="Arial Narrow"/>
                <w:sz w:val="20"/>
              </w:rPr>
              <w:t xml:space="preserve"> </w:t>
            </w:r>
            <w:r w:rsidRPr="00057ABE">
              <w:rPr>
                <w:rFonts w:ascii="Arial Narrow" w:hAnsi="Arial Narrow"/>
                <w:sz w:val="20"/>
              </w:rPr>
              <w:t>(1.09, 4.24)</w:t>
            </w:r>
          </w:p>
        </w:tc>
        <w:tc>
          <w:tcPr>
            <w:tcW w:w="584" w:type="pct"/>
            <w:shd w:val="clear" w:color="auto" w:fill="auto"/>
            <w:vAlign w:val="center"/>
          </w:tcPr>
          <w:p w:rsidR="00BC6395" w:rsidRPr="00057ABE" w:rsidRDefault="00C70C24" w:rsidP="009E0745">
            <w:pPr>
              <w:keepNext/>
              <w:keepLines/>
              <w:jc w:val="center"/>
              <w:rPr>
                <w:rFonts w:ascii="Arial Narrow" w:hAnsi="Arial Narrow"/>
                <w:sz w:val="20"/>
              </w:rPr>
            </w:pPr>
            <w:r w:rsidRPr="00057ABE">
              <w:rPr>
                <w:rFonts w:ascii="Arial Narrow" w:hAnsi="Arial Narrow"/>
                <w:sz w:val="20"/>
              </w:rPr>
              <w:t>13</w:t>
            </w:r>
          </w:p>
        </w:tc>
      </w:tr>
      <w:tr w:rsidR="00BC6395" w:rsidRPr="00984C78">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GEMINI III</w:t>
            </w:r>
          </w:p>
        </w:tc>
        <w:tc>
          <w:tcPr>
            <w:tcW w:w="933"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40/209</w:t>
            </w:r>
            <w:r w:rsidR="00B940A4" w:rsidRPr="00057ABE">
              <w:rPr>
                <w:rFonts w:ascii="Arial Narrow" w:hAnsi="Arial Narrow"/>
                <w:sz w:val="20"/>
              </w:rPr>
              <w:t xml:space="preserve"> </w:t>
            </w:r>
            <w:r w:rsidRPr="00057ABE">
              <w:rPr>
                <w:rFonts w:ascii="Arial Narrow" w:hAnsi="Arial Narrow"/>
                <w:sz w:val="20"/>
              </w:rPr>
              <w:t>(19.1)</w:t>
            </w:r>
          </w:p>
        </w:tc>
        <w:tc>
          <w:tcPr>
            <w:tcW w:w="935"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25/207</w:t>
            </w:r>
            <w:r w:rsidR="00B940A4" w:rsidRPr="00057ABE">
              <w:rPr>
                <w:rFonts w:ascii="Arial Narrow" w:hAnsi="Arial Narrow"/>
                <w:sz w:val="20"/>
              </w:rPr>
              <w:t xml:space="preserve"> </w:t>
            </w:r>
            <w:r w:rsidRPr="00057ABE">
              <w:rPr>
                <w:rFonts w:ascii="Arial Narrow" w:hAnsi="Arial Narrow"/>
                <w:sz w:val="20"/>
              </w:rPr>
              <w:t>(12.1)</w:t>
            </w:r>
          </w:p>
        </w:tc>
        <w:tc>
          <w:tcPr>
            <w:tcW w:w="933" w:type="pct"/>
            <w:shd w:val="clear" w:color="auto" w:fill="auto"/>
            <w:vAlign w:val="center"/>
          </w:tcPr>
          <w:p w:rsidR="00BC6395" w:rsidRPr="00057ABE" w:rsidRDefault="00B940A4" w:rsidP="009E0745">
            <w:pPr>
              <w:keepNext/>
              <w:keepLines/>
              <w:jc w:val="center"/>
              <w:rPr>
                <w:rFonts w:ascii="Arial Narrow" w:hAnsi="Arial Narrow"/>
                <w:sz w:val="20"/>
              </w:rPr>
            </w:pPr>
            <w:r w:rsidRPr="00057ABE">
              <w:rPr>
                <w:rFonts w:ascii="Arial Narrow" w:hAnsi="Arial Narrow"/>
                <w:sz w:val="20"/>
              </w:rPr>
              <w:t>7.06 (0.12, 14.00)</w:t>
            </w:r>
          </w:p>
        </w:tc>
        <w:tc>
          <w:tcPr>
            <w:tcW w:w="933"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1.58</w:t>
            </w:r>
            <w:r w:rsidR="00B940A4" w:rsidRPr="00057ABE">
              <w:rPr>
                <w:rFonts w:ascii="Arial Narrow" w:hAnsi="Arial Narrow"/>
                <w:sz w:val="20"/>
              </w:rPr>
              <w:t xml:space="preserve"> </w:t>
            </w:r>
            <w:r w:rsidRPr="00057ABE">
              <w:rPr>
                <w:rFonts w:ascii="Arial Narrow" w:hAnsi="Arial Narrow"/>
                <w:sz w:val="20"/>
              </w:rPr>
              <w:t>(1.00, 2.51)</w:t>
            </w:r>
          </w:p>
        </w:tc>
        <w:tc>
          <w:tcPr>
            <w:tcW w:w="584" w:type="pct"/>
            <w:shd w:val="clear" w:color="auto" w:fill="auto"/>
            <w:vAlign w:val="center"/>
          </w:tcPr>
          <w:p w:rsidR="00BC6395" w:rsidRPr="00057ABE" w:rsidRDefault="00A041DC" w:rsidP="009E0745">
            <w:pPr>
              <w:keepNext/>
              <w:keepLines/>
              <w:jc w:val="center"/>
              <w:rPr>
                <w:rFonts w:ascii="Arial Narrow" w:hAnsi="Arial Narrow"/>
                <w:sz w:val="20"/>
              </w:rPr>
            </w:pPr>
            <w:r w:rsidRPr="00057ABE">
              <w:rPr>
                <w:rFonts w:ascii="Arial Narrow" w:hAnsi="Arial Narrow"/>
                <w:sz w:val="20"/>
              </w:rPr>
              <w:t>14</w:t>
            </w:r>
          </w:p>
        </w:tc>
      </w:tr>
      <w:tr w:rsidR="00BC6395" w:rsidRPr="00984C78">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Pooled result</w:t>
            </w:r>
          </w:p>
        </w:tc>
        <w:tc>
          <w:tcPr>
            <w:tcW w:w="933" w:type="pct"/>
            <w:shd w:val="clear" w:color="auto" w:fill="auto"/>
            <w:vAlign w:val="center"/>
          </w:tcPr>
          <w:p w:rsidR="00BC6395" w:rsidRPr="00057ABE" w:rsidRDefault="00BC6395" w:rsidP="009E0745">
            <w:pPr>
              <w:keepNext/>
              <w:keepLines/>
              <w:jc w:val="center"/>
              <w:rPr>
                <w:rFonts w:ascii="Arial Narrow" w:hAnsi="Arial Narrow"/>
                <w:sz w:val="20"/>
              </w:rPr>
            </w:pPr>
          </w:p>
        </w:tc>
        <w:tc>
          <w:tcPr>
            <w:tcW w:w="935" w:type="pct"/>
            <w:shd w:val="clear" w:color="auto" w:fill="auto"/>
            <w:vAlign w:val="center"/>
          </w:tcPr>
          <w:p w:rsidR="00BC6395" w:rsidRPr="00057ABE" w:rsidRDefault="00BC6395" w:rsidP="009E0745">
            <w:pPr>
              <w:keepNext/>
              <w:keepLines/>
              <w:jc w:val="center"/>
              <w:rPr>
                <w:rFonts w:ascii="Arial Narrow" w:hAnsi="Arial Narrow"/>
                <w:sz w:val="20"/>
              </w:rPr>
            </w:pPr>
          </w:p>
        </w:tc>
        <w:tc>
          <w:tcPr>
            <w:tcW w:w="933" w:type="pct"/>
            <w:shd w:val="clear" w:color="auto" w:fill="auto"/>
            <w:vAlign w:val="center"/>
          </w:tcPr>
          <w:p w:rsidR="00BC6395" w:rsidRPr="00057ABE" w:rsidRDefault="00B940A4" w:rsidP="009E0745">
            <w:pPr>
              <w:keepNext/>
              <w:keepLines/>
              <w:jc w:val="center"/>
              <w:rPr>
                <w:rFonts w:ascii="Arial Narrow" w:hAnsi="Arial Narrow"/>
                <w:sz w:val="20"/>
              </w:rPr>
            </w:pPr>
            <w:r w:rsidRPr="00057ABE">
              <w:rPr>
                <w:rFonts w:ascii="Arial Narrow" w:hAnsi="Arial Narrow"/>
                <w:sz w:val="20"/>
              </w:rPr>
              <w:t>NA</w:t>
            </w:r>
          </w:p>
        </w:tc>
        <w:tc>
          <w:tcPr>
            <w:tcW w:w="933" w:type="pct"/>
            <w:shd w:val="clear" w:color="auto" w:fill="auto"/>
            <w:vAlign w:val="center"/>
          </w:tcPr>
          <w:p w:rsidR="00BC6395" w:rsidRPr="00057ABE" w:rsidRDefault="00BC6395" w:rsidP="009E0745">
            <w:pPr>
              <w:keepNext/>
              <w:keepLines/>
              <w:contextualSpacing/>
              <w:jc w:val="center"/>
              <w:rPr>
                <w:rFonts w:ascii="Arial Narrow" w:hAnsi="Arial Narrow"/>
                <w:sz w:val="20"/>
              </w:rPr>
            </w:pPr>
            <w:r w:rsidRPr="00057ABE">
              <w:rPr>
                <w:rFonts w:ascii="Arial Narrow" w:hAnsi="Arial Narrow"/>
                <w:sz w:val="20"/>
              </w:rPr>
              <w:t>1.75</w:t>
            </w:r>
            <w:r w:rsidR="00B940A4" w:rsidRPr="00057ABE">
              <w:rPr>
                <w:rFonts w:ascii="Arial Narrow" w:hAnsi="Arial Narrow"/>
                <w:sz w:val="20"/>
              </w:rPr>
              <w:t xml:space="preserve">, </w:t>
            </w:r>
            <w:r w:rsidRPr="00057ABE">
              <w:rPr>
                <w:rFonts w:ascii="Arial Narrow" w:hAnsi="Arial Narrow"/>
                <w:sz w:val="20"/>
              </w:rPr>
              <w:t>(1.19, 2.56)</w:t>
            </w:r>
          </w:p>
        </w:tc>
        <w:tc>
          <w:tcPr>
            <w:tcW w:w="584" w:type="pct"/>
            <w:shd w:val="clear" w:color="auto" w:fill="auto"/>
            <w:vAlign w:val="center"/>
          </w:tcPr>
          <w:p w:rsidR="00BC6395" w:rsidRPr="00057ABE" w:rsidRDefault="00A041DC" w:rsidP="009E0745">
            <w:pPr>
              <w:keepNext/>
              <w:keepLines/>
              <w:jc w:val="center"/>
              <w:rPr>
                <w:rFonts w:ascii="Arial Narrow" w:hAnsi="Arial Narrow"/>
                <w:sz w:val="20"/>
              </w:rPr>
            </w:pPr>
            <w:r w:rsidRPr="00057ABE">
              <w:rPr>
                <w:rFonts w:ascii="Arial Narrow" w:hAnsi="Arial Narrow"/>
                <w:sz w:val="20"/>
              </w:rPr>
              <w:t>NA</w:t>
            </w:r>
          </w:p>
        </w:tc>
      </w:tr>
      <w:tr w:rsidR="00BC6395" w:rsidRPr="00984C78">
        <w:tc>
          <w:tcPr>
            <w:tcW w:w="5000" w:type="pct"/>
            <w:gridSpan w:val="6"/>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Chi-square for heterogeneity: P=0.463</w:t>
            </w:r>
            <w:r w:rsidR="00A041DC" w:rsidRPr="00057ABE">
              <w:rPr>
                <w:rFonts w:ascii="Arial Narrow" w:hAnsi="Arial Narrow"/>
                <w:sz w:val="20"/>
              </w:rPr>
              <w:t xml:space="preserve">, </w:t>
            </w:r>
            <w:r w:rsidRPr="00057ABE">
              <w:rPr>
                <w:rFonts w:ascii="Arial Narrow" w:hAnsi="Arial Narrow"/>
                <w:sz w:val="20"/>
              </w:rPr>
              <w:t>I</w:t>
            </w:r>
            <w:r w:rsidRPr="00057ABE">
              <w:rPr>
                <w:rFonts w:ascii="Arial Narrow" w:hAnsi="Arial Narrow"/>
                <w:sz w:val="20"/>
                <w:vertAlign w:val="superscript"/>
              </w:rPr>
              <w:t>2</w:t>
            </w:r>
            <w:r w:rsidRPr="00057ABE">
              <w:rPr>
                <w:rFonts w:ascii="Arial Narrow" w:hAnsi="Arial Narrow"/>
                <w:sz w:val="20"/>
              </w:rPr>
              <w:t xml:space="preserve"> statistic with 95% uncertainty interval =0%</w:t>
            </w:r>
          </w:p>
        </w:tc>
      </w:tr>
      <w:tr w:rsidR="004C6220" w:rsidRPr="00984C78">
        <w:trPr>
          <w:trHeight w:val="64"/>
        </w:trPr>
        <w:tc>
          <w:tcPr>
            <w:tcW w:w="5000" w:type="pct"/>
            <w:gridSpan w:val="6"/>
            <w:shd w:val="clear" w:color="auto" w:fill="auto"/>
            <w:vAlign w:val="center"/>
          </w:tcPr>
          <w:p w:rsidR="004C6220" w:rsidRPr="00057ABE" w:rsidRDefault="004C6220" w:rsidP="009E0745">
            <w:pPr>
              <w:keepNext/>
              <w:keepLines/>
              <w:jc w:val="left"/>
              <w:rPr>
                <w:rFonts w:ascii="Arial Narrow" w:hAnsi="Arial Narrow"/>
                <w:sz w:val="20"/>
              </w:rPr>
            </w:pPr>
            <w:r w:rsidRPr="00057ABE">
              <w:rPr>
                <w:rFonts w:ascii="Arial Narrow" w:hAnsi="Arial Narrow"/>
                <w:b/>
                <w:sz w:val="20"/>
              </w:rPr>
              <w:t>Clinical response</w:t>
            </w:r>
          </w:p>
        </w:tc>
      </w:tr>
      <w:tr w:rsidR="00BC6395" w:rsidRPr="00984C78">
        <w:trPr>
          <w:trHeight w:val="64"/>
        </w:trPr>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GEMINI II</w:t>
            </w:r>
          </w:p>
        </w:tc>
        <w:tc>
          <w:tcPr>
            <w:tcW w:w="933"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w:t>
            </w:r>
          </w:p>
        </w:tc>
        <w:tc>
          <w:tcPr>
            <w:tcW w:w="935"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w:t>
            </w:r>
          </w:p>
        </w:tc>
        <w:tc>
          <w:tcPr>
            <w:tcW w:w="933" w:type="pct"/>
            <w:shd w:val="clear" w:color="auto" w:fill="auto"/>
            <w:vAlign w:val="center"/>
          </w:tcPr>
          <w:p w:rsidR="00BC6395" w:rsidRPr="004165CE" w:rsidRDefault="004165CE" w:rsidP="009E0745">
            <w:pPr>
              <w:keepNext/>
              <w:keepLines/>
              <w:jc w:val="center"/>
              <w:rPr>
                <w:rFonts w:ascii="Arial Narrow" w:hAnsi="Arial Narrow"/>
                <w:sz w:val="20"/>
                <w:highlight w:val="black"/>
              </w:rPr>
            </w:pPr>
            <w:r>
              <w:rPr>
                <w:rFonts w:ascii="Arial Narrow" w:hAnsi="Arial Narrow"/>
                <w:noProof/>
                <w:color w:val="000000"/>
                <w:sz w:val="20"/>
                <w:highlight w:val="black"/>
              </w:rPr>
              <w:t>'''''''''''''' ''''''''''''' '''''''''''''''</w:t>
            </w:r>
          </w:p>
        </w:tc>
        <w:tc>
          <w:tcPr>
            <w:tcW w:w="933"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 ''''''''''''</w:t>
            </w:r>
          </w:p>
        </w:tc>
        <w:tc>
          <w:tcPr>
            <w:tcW w:w="584" w:type="pct"/>
            <w:shd w:val="clear" w:color="auto" w:fill="auto"/>
            <w:vAlign w:val="center"/>
          </w:tcPr>
          <w:p w:rsidR="00BC6395" w:rsidRPr="00057ABE" w:rsidRDefault="00A041DC" w:rsidP="009E0745">
            <w:pPr>
              <w:keepNext/>
              <w:keepLines/>
              <w:jc w:val="center"/>
              <w:rPr>
                <w:rFonts w:ascii="Arial Narrow" w:hAnsi="Arial Narrow"/>
                <w:sz w:val="20"/>
              </w:rPr>
            </w:pPr>
            <w:r w:rsidRPr="00057ABE">
              <w:rPr>
                <w:rFonts w:ascii="Arial Narrow" w:hAnsi="Arial Narrow"/>
                <w:sz w:val="20"/>
              </w:rPr>
              <w:t>9</w:t>
            </w:r>
          </w:p>
        </w:tc>
      </w:tr>
      <w:tr w:rsidR="00BC6395" w:rsidRPr="00984C78">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GEMINI III</w:t>
            </w:r>
          </w:p>
        </w:tc>
        <w:tc>
          <w:tcPr>
            <w:tcW w:w="933"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w:t>
            </w:r>
          </w:p>
        </w:tc>
        <w:tc>
          <w:tcPr>
            <w:tcW w:w="935"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w:t>
            </w:r>
          </w:p>
        </w:tc>
        <w:tc>
          <w:tcPr>
            <w:tcW w:w="933" w:type="pct"/>
            <w:shd w:val="clear" w:color="auto" w:fill="auto"/>
            <w:vAlign w:val="center"/>
          </w:tcPr>
          <w:p w:rsidR="00BC6395" w:rsidRPr="004165CE" w:rsidRDefault="004165CE" w:rsidP="009E0745">
            <w:pPr>
              <w:keepNext/>
              <w:keepLines/>
              <w:jc w:val="center"/>
              <w:rPr>
                <w:rFonts w:ascii="Arial Narrow" w:hAnsi="Arial Narrow"/>
                <w:sz w:val="20"/>
                <w:highlight w:val="black"/>
              </w:rPr>
            </w:pPr>
            <w:r>
              <w:rPr>
                <w:rFonts w:ascii="Arial Narrow" w:hAnsi="Arial Narrow"/>
                <w:noProof/>
                <w:color w:val="000000"/>
                <w:sz w:val="20"/>
                <w:highlight w:val="black"/>
              </w:rPr>
              <w:t>'''''''''''''' ''''''''''''' '''''''''''''''''</w:t>
            </w:r>
          </w:p>
        </w:tc>
        <w:tc>
          <w:tcPr>
            <w:tcW w:w="933"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 '''''''''''</w:t>
            </w:r>
          </w:p>
        </w:tc>
        <w:tc>
          <w:tcPr>
            <w:tcW w:w="584" w:type="pct"/>
            <w:shd w:val="clear" w:color="auto" w:fill="auto"/>
            <w:vAlign w:val="center"/>
          </w:tcPr>
          <w:p w:rsidR="00BC6395" w:rsidRPr="00057ABE" w:rsidRDefault="00C70C24" w:rsidP="009E0745">
            <w:pPr>
              <w:keepNext/>
              <w:keepLines/>
              <w:jc w:val="center"/>
              <w:rPr>
                <w:rFonts w:ascii="Arial Narrow" w:hAnsi="Arial Narrow"/>
                <w:sz w:val="20"/>
              </w:rPr>
            </w:pPr>
            <w:r w:rsidRPr="00057ABE">
              <w:rPr>
                <w:rFonts w:ascii="Arial Narrow" w:hAnsi="Arial Narrow"/>
                <w:sz w:val="20"/>
              </w:rPr>
              <w:t>6</w:t>
            </w:r>
          </w:p>
        </w:tc>
      </w:tr>
      <w:tr w:rsidR="00BC6395" w:rsidRPr="00984C78">
        <w:tc>
          <w:tcPr>
            <w:tcW w:w="682" w:type="pct"/>
            <w:shd w:val="clear" w:color="auto" w:fill="auto"/>
            <w:vAlign w:val="center"/>
          </w:tcPr>
          <w:p w:rsidR="00BC6395" w:rsidRPr="00057ABE" w:rsidRDefault="00BC6395" w:rsidP="009E0745">
            <w:pPr>
              <w:keepNext/>
              <w:keepLines/>
              <w:jc w:val="left"/>
              <w:rPr>
                <w:rFonts w:ascii="Arial Narrow" w:hAnsi="Arial Narrow"/>
                <w:sz w:val="20"/>
              </w:rPr>
            </w:pPr>
            <w:r w:rsidRPr="00057ABE">
              <w:rPr>
                <w:rFonts w:ascii="Arial Narrow" w:hAnsi="Arial Narrow"/>
                <w:sz w:val="20"/>
              </w:rPr>
              <w:t>Pooled result</w:t>
            </w:r>
          </w:p>
        </w:tc>
        <w:tc>
          <w:tcPr>
            <w:tcW w:w="933" w:type="pct"/>
            <w:shd w:val="clear" w:color="auto" w:fill="auto"/>
            <w:vAlign w:val="center"/>
          </w:tcPr>
          <w:p w:rsidR="00BC6395" w:rsidRPr="00057ABE" w:rsidRDefault="00BC6395" w:rsidP="009E0745">
            <w:pPr>
              <w:keepNext/>
              <w:keepLines/>
              <w:jc w:val="center"/>
              <w:rPr>
                <w:rFonts w:ascii="Arial Narrow" w:hAnsi="Arial Narrow"/>
                <w:sz w:val="20"/>
              </w:rPr>
            </w:pPr>
          </w:p>
        </w:tc>
        <w:tc>
          <w:tcPr>
            <w:tcW w:w="935" w:type="pct"/>
            <w:shd w:val="clear" w:color="auto" w:fill="auto"/>
            <w:vAlign w:val="center"/>
          </w:tcPr>
          <w:p w:rsidR="00BC6395" w:rsidRPr="00057ABE" w:rsidRDefault="00BC6395" w:rsidP="009E0745">
            <w:pPr>
              <w:keepNext/>
              <w:keepLines/>
              <w:jc w:val="center"/>
              <w:rPr>
                <w:rFonts w:ascii="Arial Narrow" w:hAnsi="Arial Narrow"/>
                <w:sz w:val="20"/>
              </w:rPr>
            </w:pPr>
          </w:p>
        </w:tc>
        <w:tc>
          <w:tcPr>
            <w:tcW w:w="933" w:type="pct"/>
            <w:shd w:val="clear" w:color="auto" w:fill="auto"/>
            <w:vAlign w:val="center"/>
          </w:tcPr>
          <w:p w:rsidR="00BC6395" w:rsidRPr="004165CE" w:rsidRDefault="004165CE" w:rsidP="009E0745">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3" w:type="pct"/>
            <w:shd w:val="clear" w:color="auto" w:fill="auto"/>
            <w:vAlign w:val="center"/>
          </w:tcPr>
          <w:p w:rsidR="00BC6395" w:rsidRPr="004165CE" w:rsidRDefault="004165CE" w:rsidP="009E0745">
            <w:pPr>
              <w:keepNext/>
              <w:keepLines/>
              <w:contextualSpacing/>
              <w:jc w:val="center"/>
              <w:rPr>
                <w:rFonts w:ascii="Arial Narrow" w:hAnsi="Arial Narrow"/>
                <w:sz w:val="20"/>
                <w:highlight w:val="black"/>
              </w:rPr>
            </w:pPr>
            <w:r>
              <w:rPr>
                <w:rFonts w:ascii="Arial Narrow" w:hAnsi="Arial Narrow"/>
                <w:noProof/>
                <w:color w:val="000000"/>
                <w:sz w:val="20"/>
                <w:highlight w:val="black"/>
              </w:rPr>
              <w:t>'''''''''' ''''''''''''''' ''''''''''''</w:t>
            </w:r>
          </w:p>
        </w:tc>
        <w:tc>
          <w:tcPr>
            <w:tcW w:w="584" w:type="pct"/>
            <w:shd w:val="clear" w:color="auto" w:fill="auto"/>
            <w:vAlign w:val="center"/>
          </w:tcPr>
          <w:p w:rsidR="00BC6395" w:rsidRPr="00057ABE" w:rsidRDefault="00A041DC" w:rsidP="009E0745">
            <w:pPr>
              <w:keepNext/>
              <w:keepLines/>
              <w:jc w:val="center"/>
              <w:rPr>
                <w:rFonts w:ascii="Arial Narrow" w:hAnsi="Arial Narrow"/>
                <w:sz w:val="20"/>
              </w:rPr>
            </w:pPr>
            <w:r w:rsidRPr="00057ABE">
              <w:rPr>
                <w:rFonts w:ascii="Arial Narrow" w:hAnsi="Arial Narrow"/>
                <w:sz w:val="20"/>
              </w:rPr>
              <w:t>NA</w:t>
            </w:r>
          </w:p>
        </w:tc>
      </w:tr>
      <w:tr w:rsidR="00BC6395" w:rsidRPr="00984C78">
        <w:tc>
          <w:tcPr>
            <w:tcW w:w="5000" w:type="pct"/>
            <w:gridSpan w:val="6"/>
            <w:shd w:val="clear" w:color="auto" w:fill="auto"/>
            <w:vAlign w:val="center"/>
          </w:tcPr>
          <w:p w:rsidR="00BC6395" w:rsidRPr="00984C78" w:rsidRDefault="00BC6395" w:rsidP="009E0745">
            <w:pPr>
              <w:keepNext/>
              <w:keepLines/>
              <w:jc w:val="left"/>
              <w:rPr>
                <w:rFonts w:ascii="Arial Narrow" w:hAnsi="Arial Narrow"/>
                <w:sz w:val="20"/>
              </w:rPr>
            </w:pPr>
            <w:r w:rsidRPr="00984C78">
              <w:rPr>
                <w:rFonts w:ascii="Arial Narrow" w:hAnsi="Arial Narrow"/>
                <w:sz w:val="20"/>
              </w:rPr>
              <w:t>Chi-square for heterogeneity: P=</w:t>
            </w:r>
            <w:r w:rsidRPr="00984C78">
              <w:rPr>
                <w:rFonts w:ascii="Arial Narrow" w:hAnsi="Arial Narrow"/>
                <w:iCs/>
                <w:color w:val="000000"/>
                <w:sz w:val="20"/>
              </w:rPr>
              <w:t>0.369</w:t>
            </w:r>
            <w:r w:rsidR="00A041DC" w:rsidRPr="00984C78">
              <w:rPr>
                <w:rFonts w:ascii="Arial Narrow" w:hAnsi="Arial Narrow"/>
                <w:iCs/>
                <w:color w:val="000000"/>
                <w:sz w:val="20"/>
              </w:rPr>
              <w:t xml:space="preserve">, </w:t>
            </w:r>
            <w:r w:rsidRPr="00984C78">
              <w:rPr>
                <w:rFonts w:ascii="Arial Narrow" w:hAnsi="Arial Narrow"/>
                <w:sz w:val="20"/>
              </w:rPr>
              <w:t>I</w:t>
            </w:r>
            <w:r w:rsidRPr="00984C78">
              <w:rPr>
                <w:rFonts w:ascii="Arial Narrow" w:hAnsi="Arial Narrow"/>
                <w:sz w:val="20"/>
                <w:vertAlign w:val="superscript"/>
              </w:rPr>
              <w:t>2</w:t>
            </w:r>
            <w:r w:rsidRPr="00984C78">
              <w:rPr>
                <w:rFonts w:ascii="Arial Narrow" w:hAnsi="Arial Narrow"/>
                <w:sz w:val="20"/>
              </w:rPr>
              <w:t xml:space="preserve"> statistic with 95% uncertainty interval =0%</w:t>
            </w:r>
          </w:p>
        </w:tc>
      </w:tr>
    </w:tbl>
    <w:p w:rsidR="00BC6395" w:rsidRPr="00984C78" w:rsidRDefault="00A921E7" w:rsidP="009E0745">
      <w:pPr>
        <w:pStyle w:val="TableFooter"/>
        <w:keepNext/>
        <w:keepLines/>
        <w:ind w:left="709"/>
      </w:pPr>
      <w:r w:rsidRPr="00984C78">
        <w:rPr>
          <w:szCs w:val="18"/>
        </w:rPr>
        <w:t xml:space="preserve">RD = risk difference; RR = relative risk; NA = not available. </w:t>
      </w:r>
      <w:r w:rsidR="00BC6395" w:rsidRPr="00984C78">
        <w:t xml:space="preserve">Source: </w:t>
      </w:r>
      <w:r w:rsidR="004C6220" w:rsidRPr="00984C78">
        <w:t xml:space="preserve">Table </w:t>
      </w:r>
      <w:proofErr w:type="gramStart"/>
      <w:r w:rsidR="004C6220" w:rsidRPr="00984C78">
        <w:t>B(</w:t>
      </w:r>
      <w:proofErr w:type="spellStart"/>
      <w:proofErr w:type="gramEnd"/>
      <w:r w:rsidR="004C6220" w:rsidRPr="00984C78">
        <w:t>i</w:t>
      </w:r>
      <w:proofErr w:type="spellEnd"/>
      <w:r w:rsidR="004C6220" w:rsidRPr="00984C78">
        <w:t xml:space="preserve">).6-2, p101 and </w:t>
      </w:r>
      <w:r w:rsidR="00BC6395" w:rsidRPr="00984C78">
        <w:t>Table B(</w:t>
      </w:r>
      <w:proofErr w:type="spellStart"/>
      <w:r w:rsidR="00BC6395" w:rsidRPr="00984C78">
        <w:t>i</w:t>
      </w:r>
      <w:proofErr w:type="spellEnd"/>
      <w:r w:rsidR="00BC6395" w:rsidRPr="00984C78">
        <w:t>).6-3, p102 of the submission</w:t>
      </w:r>
      <w:r w:rsidR="002C293A" w:rsidRPr="00984C78">
        <w:t xml:space="preserve"> and calculated during evaluation</w:t>
      </w:r>
      <w:r w:rsidR="00BC6395" w:rsidRPr="00984C78">
        <w:t>.</w:t>
      </w:r>
    </w:p>
    <w:p w:rsidR="00BC6395" w:rsidRPr="00984C78" w:rsidRDefault="00BC6395" w:rsidP="00B60939">
      <w:pPr>
        <w:rPr>
          <w:szCs w:val="22"/>
        </w:rPr>
      </w:pPr>
    </w:p>
    <w:p w:rsidR="00BC6395" w:rsidRPr="00984C78" w:rsidRDefault="00BC6395" w:rsidP="00BC6395">
      <w:pPr>
        <w:keepNext/>
        <w:ind w:left="709"/>
        <w:rPr>
          <w:rStyle w:val="CommentReference"/>
        </w:rPr>
      </w:pPr>
      <w:r w:rsidRPr="00984C78">
        <w:rPr>
          <w:rStyle w:val="CommentReference"/>
        </w:rPr>
        <w:t>Results in maintenance phase across the direct randomised trials, ITT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ative effectiveness"/>
        <w:tblDescription w:val="Maintenance phase"/>
      </w:tblPr>
      <w:tblGrid>
        <w:gridCol w:w="1138"/>
        <w:gridCol w:w="1557"/>
        <w:gridCol w:w="1561"/>
        <w:gridCol w:w="1557"/>
        <w:gridCol w:w="1557"/>
        <w:gridCol w:w="975"/>
      </w:tblGrid>
      <w:tr w:rsidR="00BC6395" w:rsidRPr="00984C78">
        <w:tc>
          <w:tcPr>
            <w:tcW w:w="682" w:type="pct"/>
            <w:shd w:val="clear" w:color="auto" w:fill="auto"/>
            <w:vAlign w:val="center"/>
          </w:tcPr>
          <w:p w:rsidR="00BC6395" w:rsidRPr="00984C78" w:rsidRDefault="00BC6395" w:rsidP="003D3F83">
            <w:pPr>
              <w:keepNext/>
              <w:jc w:val="left"/>
              <w:rPr>
                <w:rFonts w:ascii="Arial Narrow" w:hAnsi="Arial Narrow"/>
                <w:b/>
                <w:sz w:val="20"/>
              </w:rPr>
            </w:pPr>
            <w:r w:rsidRPr="00984C78">
              <w:rPr>
                <w:rFonts w:ascii="Arial Narrow" w:hAnsi="Arial Narrow"/>
                <w:b/>
                <w:sz w:val="20"/>
              </w:rPr>
              <w:t>Trial ID</w:t>
            </w:r>
          </w:p>
        </w:tc>
        <w:tc>
          <w:tcPr>
            <w:tcW w:w="933" w:type="pct"/>
            <w:shd w:val="clear" w:color="auto" w:fill="auto"/>
            <w:vAlign w:val="center"/>
          </w:tcPr>
          <w:p w:rsidR="00BC6395" w:rsidRPr="00984C78" w:rsidRDefault="00BC6395" w:rsidP="00B940A4">
            <w:pPr>
              <w:keepNext/>
              <w:contextualSpacing/>
              <w:jc w:val="center"/>
              <w:rPr>
                <w:rFonts w:ascii="Arial Narrow" w:hAnsi="Arial Narrow"/>
                <w:b/>
                <w:sz w:val="20"/>
              </w:rPr>
            </w:pPr>
            <w:proofErr w:type="spellStart"/>
            <w:r w:rsidRPr="00984C78">
              <w:rPr>
                <w:rFonts w:ascii="Arial Narrow" w:hAnsi="Arial Narrow"/>
                <w:b/>
                <w:sz w:val="20"/>
              </w:rPr>
              <w:t>Vedolizumab</w:t>
            </w:r>
            <w:proofErr w:type="spellEnd"/>
            <w:r w:rsidR="00B940A4" w:rsidRPr="00984C78">
              <w:rPr>
                <w:rFonts w:ascii="Arial Narrow" w:hAnsi="Arial Narrow"/>
                <w:b/>
                <w:sz w:val="20"/>
              </w:rPr>
              <w:t xml:space="preserve"> </w:t>
            </w:r>
            <w:r w:rsidRPr="00984C78">
              <w:rPr>
                <w:rFonts w:ascii="Arial Narrow" w:hAnsi="Arial Narrow"/>
                <w:b/>
                <w:sz w:val="20"/>
              </w:rPr>
              <w:t>n/N (%)</w:t>
            </w:r>
          </w:p>
        </w:tc>
        <w:tc>
          <w:tcPr>
            <w:tcW w:w="935" w:type="pct"/>
            <w:shd w:val="clear" w:color="auto" w:fill="auto"/>
            <w:vAlign w:val="center"/>
          </w:tcPr>
          <w:p w:rsidR="00BC6395" w:rsidRPr="00984C78" w:rsidRDefault="00BC6395" w:rsidP="003D3F83">
            <w:pPr>
              <w:keepNext/>
              <w:jc w:val="center"/>
              <w:rPr>
                <w:rFonts w:ascii="Arial Narrow" w:hAnsi="Arial Narrow"/>
                <w:b/>
                <w:sz w:val="20"/>
              </w:rPr>
            </w:pPr>
            <w:r w:rsidRPr="00984C78">
              <w:rPr>
                <w:rFonts w:ascii="Arial Narrow" w:hAnsi="Arial Narrow"/>
                <w:b/>
                <w:sz w:val="20"/>
              </w:rPr>
              <w:t>Placebo n/N (%)</w:t>
            </w:r>
          </w:p>
        </w:tc>
        <w:tc>
          <w:tcPr>
            <w:tcW w:w="933" w:type="pct"/>
            <w:shd w:val="clear" w:color="auto" w:fill="auto"/>
            <w:vAlign w:val="center"/>
          </w:tcPr>
          <w:p w:rsidR="00BC6395" w:rsidRPr="00984C78" w:rsidRDefault="00BC6395" w:rsidP="003D3F83">
            <w:pPr>
              <w:keepNext/>
              <w:jc w:val="center"/>
              <w:rPr>
                <w:rFonts w:ascii="Arial Narrow" w:hAnsi="Arial Narrow"/>
                <w:b/>
                <w:sz w:val="20"/>
              </w:rPr>
            </w:pPr>
            <w:r w:rsidRPr="00984C78">
              <w:rPr>
                <w:rFonts w:ascii="Arial Narrow" w:hAnsi="Arial Narrow"/>
                <w:b/>
                <w:sz w:val="20"/>
              </w:rPr>
              <w:t>Absolute difference RD</w:t>
            </w:r>
          </w:p>
          <w:p w:rsidR="00BC6395" w:rsidRPr="00984C78" w:rsidRDefault="00BC6395" w:rsidP="003D3F83">
            <w:pPr>
              <w:keepNext/>
              <w:jc w:val="center"/>
              <w:rPr>
                <w:rFonts w:ascii="Arial Narrow" w:hAnsi="Arial Narrow"/>
                <w:b/>
                <w:sz w:val="20"/>
              </w:rPr>
            </w:pPr>
            <w:r w:rsidRPr="00984C78">
              <w:rPr>
                <w:rFonts w:ascii="Arial Narrow" w:hAnsi="Arial Narrow"/>
                <w:b/>
                <w:sz w:val="20"/>
              </w:rPr>
              <w:t>(95% CI)</w:t>
            </w:r>
          </w:p>
        </w:tc>
        <w:tc>
          <w:tcPr>
            <w:tcW w:w="933" w:type="pct"/>
            <w:shd w:val="clear" w:color="auto" w:fill="auto"/>
            <w:vAlign w:val="center"/>
          </w:tcPr>
          <w:p w:rsidR="00BC6395" w:rsidRPr="00984C78" w:rsidRDefault="00BC6395" w:rsidP="003D3F83">
            <w:pPr>
              <w:keepNext/>
              <w:jc w:val="center"/>
              <w:rPr>
                <w:rFonts w:ascii="Arial Narrow" w:hAnsi="Arial Narrow"/>
                <w:b/>
                <w:sz w:val="20"/>
              </w:rPr>
            </w:pPr>
            <w:r w:rsidRPr="00984C78">
              <w:rPr>
                <w:rFonts w:ascii="Arial Narrow" w:hAnsi="Arial Narrow"/>
                <w:b/>
                <w:sz w:val="20"/>
              </w:rPr>
              <w:t>Relative difference RR (95% CI)</w:t>
            </w:r>
          </w:p>
        </w:tc>
        <w:tc>
          <w:tcPr>
            <w:tcW w:w="584" w:type="pct"/>
            <w:shd w:val="clear" w:color="auto" w:fill="auto"/>
            <w:vAlign w:val="center"/>
          </w:tcPr>
          <w:p w:rsidR="00BC6395" w:rsidRPr="00984C78" w:rsidRDefault="00BC6395" w:rsidP="003D3F83">
            <w:pPr>
              <w:keepNext/>
              <w:jc w:val="center"/>
              <w:rPr>
                <w:rFonts w:ascii="Arial Narrow" w:hAnsi="Arial Narrow"/>
                <w:b/>
                <w:sz w:val="20"/>
              </w:rPr>
            </w:pPr>
            <w:r w:rsidRPr="00984C78">
              <w:rPr>
                <w:rFonts w:ascii="Arial Narrow" w:hAnsi="Arial Narrow"/>
                <w:b/>
                <w:sz w:val="20"/>
              </w:rPr>
              <w:t>NNT</w:t>
            </w:r>
          </w:p>
        </w:tc>
      </w:tr>
      <w:tr w:rsidR="004C6220" w:rsidRPr="00984C78">
        <w:trPr>
          <w:trHeight w:val="64"/>
        </w:trPr>
        <w:tc>
          <w:tcPr>
            <w:tcW w:w="5000" w:type="pct"/>
            <w:gridSpan w:val="6"/>
            <w:shd w:val="clear" w:color="auto" w:fill="auto"/>
            <w:vAlign w:val="center"/>
          </w:tcPr>
          <w:p w:rsidR="004C6220" w:rsidRPr="00984C78" w:rsidRDefault="004C6220" w:rsidP="004C6220">
            <w:pPr>
              <w:keepNext/>
              <w:jc w:val="left"/>
              <w:rPr>
                <w:rFonts w:ascii="Arial Narrow" w:hAnsi="Arial Narrow"/>
                <w:sz w:val="20"/>
              </w:rPr>
            </w:pPr>
            <w:r w:rsidRPr="00984C78">
              <w:rPr>
                <w:rFonts w:ascii="Arial Narrow" w:hAnsi="Arial Narrow"/>
                <w:b/>
                <w:sz w:val="20"/>
              </w:rPr>
              <w:t>Clinical remission</w:t>
            </w:r>
          </w:p>
        </w:tc>
      </w:tr>
      <w:tr w:rsidR="00BC6395" w:rsidRPr="00984C78">
        <w:trPr>
          <w:trHeight w:val="64"/>
        </w:trPr>
        <w:tc>
          <w:tcPr>
            <w:tcW w:w="682" w:type="pct"/>
            <w:shd w:val="clear" w:color="auto" w:fill="auto"/>
            <w:vAlign w:val="center"/>
          </w:tcPr>
          <w:p w:rsidR="00BC6395" w:rsidRPr="00984C78" w:rsidRDefault="00BC6395" w:rsidP="003D3F83">
            <w:pPr>
              <w:keepNext/>
              <w:jc w:val="left"/>
              <w:rPr>
                <w:rFonts w:ascii="Arial Narrow" w:hAnsi="Arial Narrow"/>
                <w:sz w:val="20"/>
              </w:rPr>
            </w:pPr>
            <w:r w:rsidRPr="00984C78">
              <w:rPr>
                <w:rFonts w:ascii="Arial Narrow" w:hAnsi="Arial Narrow"/>
                <w:sz w:val="20"/>
              </w:rPr>
              <w:t>GEMINI II</w:t>
            </w:r>
          </w:p>
        </w:tc>
        <w:tc>
          <w:tcPr>
            <w:tcW w:w="933" w:type="pct"/>
            <w:shd w:val="clear" w:color="auto" w:fill="auto"/>
            <w:vAlign w:val="center"/>
          </w:tcPr>
          <w:p w:rsidR="00BC6395" w:rsidRPr="00984C78" w:rsidRDefault="00BC6395" w:rsidP="00A041DC">
            <w:pPr>
              <w:contextualSpacing/>
              <w:jc w:val="center"/>
              <w:rPr>
                <w:rFonts w:ascii="Arial Narrow" w:hAnsi="Arial Narrow"/>
                <w:sz w:val="20"/>
              </w:rPr>
            </w:pPr>
            <w:r w:rsidRPr="00984C78">
              <w:rPr>
                <w:rFonts w:ascii="Arial Narrow" w:hAnsi="Arial Narrow"/>
                <w:sz w:val="20"/>
              </w:rPr>
              <w:t>60/154</w:t>
            </w:r>
            <w:r w:rsidR="00A041DC" w:rsidRPr="00984C78">
              <w:rPr>
                <w:rFonts w:ascii="Arial Narrow" w:hAnsi="Arial Narrow"/>
                <w:sz w:val="20"/>
              </w:rPr>
              <w:t xml:space="preserve"> </w:t>
            </w:r>
            <w:r w:rsidRPr="00984C78">
              <w:rPr>
                <w:rFonts w:ascii="Arial Narrow" w:hAnsi="Arial Narrow"/>
                <w:sz w:val="20"/>
              </w:rPr>
              <w:t>(39.0)</w:t>
            </w:r>
          </w:p>
        </w:tc>
        <w:tc>
          <w:tcPr>
            <w:tcW w:w="935" w:type="pct"/>
            <w:shd w:val="clear" w:color="auto" w:fill="auto"/>
            <w:vAlign w:val="center"/>
          </w:tcPr>
          <w:p w:rsidR="00BC6395" w:rsidRPr="00984C78" w:rsidRDefault="00BC6395" w:rsidP="00A041DC">
            <w:pPr>
              <w:contextualSpacing/>
              <w:jc w:val="center"/>
              <w:rPr>
                <w:rFonts w:ascii="Arial Narrow" w:hAnsi="Arial Narrow"/>
                <w:sz w:val="20"/>
              </w:rPr>
            </w:pPr>
            <w:r w:rsidRPr="00984C78">
              <w:rPr>
                <w:rFonts w:ascii="Arial Narrow" w:hAnsi="Arial Narrow"/>
                <w:sz w:val="20"/>
              </w:rPr>
              <w:t>33/153</w:t>
            </w:r>
            <w:r w:rsidR="00A041DC" w:rsidRPr="00984C78">
              <w:rPr>
                <w:rFonts w:ascii="Arial Narrow" w:hAnsi="Arial Narrow"/>
                <w:sz w:val="20"/>
              </w:rPr>
              <w:t xml:space="preserve"> </w:t>
            </w:r>
            <w:r w:rsidRPr="00984C78">
              <w:rPr>
                <w:rFonts w:ascii="Arial Narrow" w:hAnsi="Arial Narrow"/>
                <w:sz w:val="20"/>
              </w:rPr>
              <w:t>(21.6)</w:t>
            </w:r>
          </w:p>
        </w:tc>
        <w:tc>
          <w:tcPr>
            <w:tcW w:w="933" w:type="pct"/>
            <w:shd w:val="clear" w:color="auto" w:fill="auto"/>
            <w:vAlign w:val="center"/>
          </w:tcPr>
          <w:p w:rsidR="00BC6395" w:rsidRPr="00057ABE" w:rsidRDefault="00A041DC" w:rsidP="003D3F83">
            <w:pPr>
              <w:keepNext/>
              <w:jc w:val="center"/>
              <w:rPr>
                <w:rFonts w:ascii="Arial Narrow" w:hAnsi="Arial Narrow"/>
                <w:sz w:val="20"/>
              </w:rPr>
            </w:pPr>
            <w:r w:rsidRPr="00057ABE">
              <w:rPr>
                <w:rFonts w:ascii="Arial Narrow" w:hAnsi="Arial Narrow"/>
                <w:sz w:val="20"/>
              </w:rPr>
              <w:t>17.39 (7.30, 27.48)</w:t>
            </w:r>
          </w:p>
        </w:tc>
        <w:tc>
          <w:tcPr>
            <w:tcW w:w="933" w:type="pct"/>
            <w:shd w:val="clear" w:color="auto" w:fill="auto"/>
            <w:vAlign w:val="center"/>
          </w:tcPr>
          <w:p w:rsidR="00BC6395" w:rsidRPr="00057ABE" w:rsidRDefault="00BC6395" w:rsidP="00B940A4">
            <w:pPr>
              <w:contextualSpacing/>
              <w:jc w:val="center"/>
              <w:rPr>
                <w:rFonts w:ascii="Arial Narrow" w:hAnsi="Arial Narrow"/>
                <w:sz w:val="20"/>
              </w:rPr>
            </w:pPr>
            <w:r w:rsidRPr="00057ABE">
              <w:rPr>
                <w:rFonts w:ascii="Arial Narrow" w:hAnsi="Arial Narrow"/>
                <w:sz w:val="20"/>
              </w:rPr>
              <w:t>1.81</w:t>
            </w:r>
            <w:r w:rsidR="00B940A4" w:rsidRPr="00057ABE">
              <w:rPr>
                <w:rFonts w:ascii="Arial Narrow" w:hAnsi="Arial Narrow"/>
                <w:sz w:val="20"/>
              </w:rPr>
              <w:t xml:space="preserve"> </w:t>
            </w:r>
            <w:r w:rsidRPr="00057ABE">
              <w:rPr>
                <w:rFonts w:ascii="Arial Narrow" w:hAnsi="Arial Narrow"/>
                <w:sz w:val="20"/>
              </w:rPr>
              <w:t>(1.26, 2.59)</w:t>
            </w:r>
          </w:p>
        </w:tc>
        <w:tc>
          <w:tcPr>
            <w:tcW w:w="584" w:type="pct"/>
            <w:shd w:val="clear" w:color="auto" w:fill="auto"/>
            <w:vAlign w:val="center"/>
          </w:tcPr>
          <w:p w:rsidR="00BC6395" w:rsidRPr="00984C78" w:rsidRDefault="00C70C24" w:rsidP="003D3F83">
            <w:pPr>
              <w:keepNext/>
              <w:jc w:val="center"/>
              <w:rPr>
                <w:rFonts w:ascii="Arial Narrow" w:hAnsi="Arial Narrow"/>
                <w:sz w:val="20"/>
              </w:rPr>
            </w:pPr>
            <w:r>
              <w:rPr>
                <w:rFonts w:ascii="Arial Narrow" w:hAnsi="Arial Narrow"/>
                <w:sz w:val="20"/>
              </w:rPr>
              <w:t>6</w:t>
            </w:r>
          </w:p>
        </w:tc>
      </w:tr>
      <w:tr w:rsidR="004C6220" w:rsidRPr="00984C78">
        <w:trPr>
          <w:trHeight w:val="64"/>
        </w:trPr>
        <w:tc>
          <w:tcPr>
            <w:tcW w:w="5000" w:type="pct"/>
            <w:gridSpan w:val="6"/>
            <w:shd w:val="clear" w:color="auto" w:fill="auto"/>
            <w:vAlign w:val="center"/>
          </w:tcPr>
          <w:p w:rsidR="004C6220" w:rsidRPr="00057ABE" w:rsidRDefault="004C6220" w:rsidP="004C6220">
            <w:pPr>
              <w:keepNext/>
              <w:jc w:val="left"/>
              <w:rPr>
                <w:rFonts w:ascii="Arial Narrow" w:hAnsi="Arial Narrow"/>
                <w:sz w:val="20"/>
              </w:rPr>
            </w:pPr>
            <w:r w:rsidRPr="00057ABE">
              <w:rPr>
                <w:rFonts w:ascii="Arial Narrow" w:hAnsi="Arial Narrow"/>
                <w:b/>
                <w:sz w:val="20"/>
              </w:rPr>
              <w:t>Clinical response</w:t>
            </w:r>
          </w:p>
        </w:tc>
      </w:tr>
      <w:tr w:rsidR="00A041DC" w:rsidRPr="00984C78">
        <w:trPr>
          <w:trHeight w:val="64"/>
        </w:trPr>
        <w:tc>
          <w:tcPr>
            <w:tcW w:w="682" w:type="pct"/>
            <w:shd w:val="clear" w:color="auto" w:fill="auto"/>
            <w:vAlign w:val="center"/>
          </w:tcPr>
          <w:p w:rsidR="00A041DC" w:rsidRPr="00984C78" w:rsidRDefault="00A041DC" w:rsidP="003D3F83">
            <w:pPr>
              <w:keepNext/>
              <w:jc w:val="left"/>
              <w:rPr>
                <w:rFonts w:ascii="Arial Narrow" w:hAnsi="Arial Narrow"/>
                <w:sz w:val="20"/>
              </w:rPr>
            </w:pPr>
            <w:r w:rsidRPr="00984C78">
              <w:rPr>
                <w:rFonts w:ascii="Arial Narrow" w:hAnsi="Arial Narrow"/>
                <w:sz w:val="20"/>
              </w:rPr>
              <w:t>GEMINI II</w:t>
            </w:r>
          </w:p>
        </w:tc>
        <w:tc>
          <w:tcPr>
            <w:tcW w:w="933" w:type="pct"/>
            <w:shd w:val="clear" w:color="auto" w:fill="auto"/>
            <w:vAlign w:val="center"/>
          </w:tcPr>
          <w:p w:rsidR="00A041DC" w:rsidRPr="00984C78" w:rsidRDefault="00A041DC" w:rsidP="003D3F83">
            <w:pPr>
              <w:contextualSpacing/>
              <w:jc w:val="center"/>
              <w:rPr>
                <w:rFonts w:ascii="Arial Narrow" w:hAnsi="Arial Narrow"/>
                <w:sz w:val="20"/>
              </w:rPr>
            </w:pPr>
            <w:r w:rsidRPr="00984C78">
              <w:rPr>
                <w:rFonts w:ascii="Arial Narrow" w:hAnsi="Arial Narrow"/>
                <w:sz w:val="20"/>
              </w:rPr>
              <w:t>70/154 (45.5)</w:t>
            </w:r>
          </w:p>
        </w:tc>
        <w:tc>
          <w:tcPr>
            <w:tcW w:w="935" w:type="pct"/>
            <w:shd w:val="clear" w:color="auto" w:fill="auto"/>
            <w:vAlign w:val="center"/>
          </w:tcPr>
          <w:p w:rsidR="00A041DC" w:rsidRPr="00984C78" w:rsidRDefault="00A041DC" w:rsidP="003D3F83">
            <w:pPr>
              <w:contextualSpacing/>
              <w:jc w:val="center"/>
              <w:rPr>
                <w:rFonts w:ascii="Arial Narrow" w:hAnsi="Arial Narrow"/>
                <w:sz w:val="20"/>
              </w:rPr>
            </w:pPr>
            <w:r w:rsidRPr="00984C78">
              <w:rPr>
                <w:rFonts w:ascii="Arial Narrow" w:hAnsi="Arial Narrow"/>
                <w:sz w:val="20"/>
              </w:rPr>
              <w:t>54/153 (35.3)</w:t>
            </w:r>
          </w:p>
        </w:tc>
        <w:tc>
          <w:tcPr>
            <w:tcW w:w="933" w:type="pct"/>
            <w:shd w:val="clear" w:color="auto" w:fill="auto"/>
            <w:vAlign w:val="center"/>
          </w:tcPr>
          <w:p w:rsidR="00A041DC" w:rsidRPr="00057ABE" w:rsidRDefault="00A041DC" w:rsidP="003D3F83">
            <w:pPr>
              <w:keepNext/>
              <w:jc w:val="center"/>
              <w:rPr>
                <w:rFonts w:ascii="Arial Narrow" w:hAnsi="Arial Narrow"/>
                <w:b/>
                <w:sz w:val="20"/>
              </w:rPr>
            </w:pPr>
            <w:r w:rsidRPr="00057ABE">
              <w:rPr>
                <w:rFonts w:ascii="Arial Narrow" w:hAnsi="Arial Narrow"/>
                <w:b/>
                <w:sz w:val="20"/>
              </w:rPr>
              <w:t>10.16 (-0.76, 21.08)</w:t>
            </w:r>
          </w:p>
        </w:tc>
        <w:tc>
          <w:tcPr>
            <w:tcW w:w="933" w:type="pct"/>
            <w:shd w:val="clear" w:color="auto" w:fill="auto"/>
            <w:vAlign w:val="center"/>
          </w:tcPr>
          <w:p w:rsidR="00A041DC" w:rsidRPr="00057ABE" w:rsidRDefault="00A041DC" w:rsidP="003D3F83">
            <w:pPr>
              <w:contextualSpacing/>
              <w:jc w:val="center"/>
              <w:rPr>
                <w:rFonts w:ascii="Arial Narrow" w:hAnsi="Arial Narrow"/>
                <w:sz w:val="20"/>
              </w:rPr>
            </w:pPr>
            <w:r w:rsidRPr="00057ABE">
              <w:rPr>
                <w:rFonts w:ascii="Arial Narrow" w:hAnsi="Arial Narrow"/>
                <w:sz w:val="20"/>
              </w:rPr>
              <w:t>1.29 (0.98, 1.70)</w:t>
            </w:r>
          </w:p>
        </w:tc>
        <w:tc>
          <w:tcPr>
            <w:tcW w:w="584" w:type="pct"/>
            <w:shd w:val="clear" w:color="auto" w:fill="auto"/>
            <w:vAlign w:val="center"/>
          </w:tcPr>
          <w:p w:rsidR="00A041DC" w:rsidRPr="00984C78" w:rsidRDefault="00C70C24" w:rsidP="003D3F83">
            <w:pPr>
              <w:keepNext/>
              <w:jc w:val="center"/>
              <w:rPr>
                <w:rFonts w:ascii="Arial Narrow" w:hAnsi="Arial Narrow"/>
                <w:sz w:val="20"/>
              </w:rPr>
            </w:pPr>
            <w:r>
              <w:rPr>
                <w:rFonts w:ascii="Arial Narrow" w:hAnsi="Arial Narrow"/>
                <w:sz w:val="20"/>
              </w:rPr>
              <w:t>10</w:t>
            </w:r>
          </w:p>
        </w:tc>
      </w:tr>
    </w:tbl>
    <w:p w:rsidR="00A041DC" w:rsidRPr="00984C78" w:rsidRDefault="00A041DC" w:rsidP="00A041DC">
      <w:pPr>
        <w:pStyle w:val="TableFooter"/>
        <w:ind w:left="709"/>
      </w:pPr>
      <w:r w:rsidRPr="00663F28">
        <w:rPr>
          <w:b/>
        </w:rPr>
        <w:t>BOLD</w:t>
      </w:r>
      <w:r w:rsidRPr="00984C78">
        <w:rPr>
          <w:color w:val="FF0000"/>
        </w:rPr>
        <w:t xml:space="preserve"> </w:t>
      </w:r>
      <w:r w:rsidRPr="00984C78">
        <w:t xml:space="preserve">indicates potentially not more effective than placebo. </w:t>
      </w:r>
      <w:r w:rsidR="00A921E7" w:rsidRPr="00984C78">
        <w:rPr>
          <w:szCs w:val="18"/>
        </w:rPr>
        <w:t xml:space="preserve">RD = risk difference; RR = relative risk; NA = not available. </w:t>
      </w:r>
      <w:r w:rsidRPr="00984C78">
        <w:t xml:space="preserve">Source: </w:t>
      </w:r>
      <w:r w:rsidR="004C6220" w:rsidRPr="00984C78">
        <w:rPr>
          <w:szCs w:val="18"/>
        </w:rPr>
        <w:t xml:space="preserve">Table </w:t>
      </w:r>
      <w:proofErr w:type="gramStart"/>
      <w:r w:rsidR="004C6220" w:rsidRPr="00984C78">
        <w:rPr>
          <w:szCs w:val="18"/>
        </w:rPr>
        <w:t>B(</w:t>
      </w:r>
      <w:proofErr w:type="spellStart"/>
      <w:proofErr w:type="gramEnd"/>
      <w:r w:rsidR="004C6220" w:rsidRPr="00984C78">
        <w:rPr>
          <w:szCs w:val="18"/>
        </w:rPr>
        <w:t>i</w:t>
      </w:r>
      <w:proofErr w:type="spellEnd"/>
      <w:r w:rsidR="004C6220" w:rsidRPr="00984C78">
        <w:rPr>
          <w:szCs w:val="18"/>
        </w:rPr>
        <w:t xml:space="preserve">).6-4, p103 and </w:t>
      </w:r>
      <w:r w:rsidRPr="00984C78">
        <w:t>Table B(</w:t>
      </w:r>
      <w:proofErr w:type="spellStart"/>
      <w:r w:rsidRPr="00984C78">
        <w:t>i</w:t>
      </w:r>
      <w:proofErr w:type="spellEnd"/>
      <w:r w:rsidRPr="00984C78">
        <w:t>).6-6, p104 of the submission and calculated during evaluation.</w:t>
      </w:r>
    </w:p>
    <w:p w:rsidR="00A041DC" w:rsidRPr="00984C78" w:rsidRDefault="00A041DC" w:rsidP="00B60939">
      <w:pPr>
        <w:rPr>
          <w:szCs w:val="22"/>
        </w:rPr>
      </w:pPr>
    </w:p>
    <w:p w:rsidR="00E668F3" w:rsidRPr="00984C78" w:rsidRDefault="00E668F3" w:rsidP="006B764E">
      <w:pPr>
        <w:pStyle w:val="ListParagraph"/>
        <w:keepNext/>
        <w:keepLines/>
        <w:widowControl/>
        <w:numPr>
          <w:ilvl w:val="1"/>
          <w:numId w:val="3"/>
        </w:numPr>
      </w:pPr>
      <w:proofErr w:type="spellStart"/>
      <w:r w:rsidRPr="00984C78">
        <w:t>Vedolizumab</w:t>
      </w:r>
      <w:proofErr w:type="spellEnd"/>
      <w:r w:rsidRPr="00984C78">
        <w:t xml:space="preserve"> versus placebo (based on GEMINI II and III):</w:t>
      </w:r>
    </w:p>
    <w:p w:rsidR="00E668F3" w:rsidRPr="00984C78" w:rsidRDefault="00E668F3" w:rsidP="006B764E">
      <w:pPr>
        <w:pStyle w:val="ListParagraph"/>
        <w:numPr>
          <w:ilvl w:val="0"/>
          <w:numId w:val="4"/>
        </w:numPr>
        <w:ind w:left="993" w:hanging="284"/>
      </w:pPr>
      <w:proofErr w:type="spellStart"/>
      <w:r w:rsidRPr="00984C78">
        <w:t>Vedolizumab</w:t>
      </w:r>
      <w:proofErr w:type="spellEnd"/>
      <w:r w:rsidRPr="00984C78">
        <w:t xml:space="preserve"> was statistically more effective in terms of clinical remission in the induction and maintenance </w:t>
      </w:r>
      <w:proofErr w:type="gramStart"/>
      <w:r w:rsidRPr="00984C78">
        <w:t>phase,</w:t>
      </w:r>
      <w:proofErr w:type="gramEnd"/>
      <w:r w:rsidRPr="00984C78">
        <w:t xml:space="preserve"> and in terms of clinical response in the induction phase.</w:t>
      </w:r>
    </w:p>
    <w:p w:rsidR="00E668F3" w:rsidRPr="00984C78" w:rsidRDefault="00E668F3" w:rsidP="006B764E">
      <w:pPr>
        <w:pStyle w:val="ListParagraph"/>
        <w:numPr>
          <w:ilvl w:val="0"/>
          <w:numId w:val="4"/>
        </w:numPr>
        <w:ind w:left="993" w:hanging="284"/>
      </w:pPr>
      <w:r w:rsidRPr="00984C78">
        <w:t xml:space="preserve">In GEMINI II </w:t>
      </w:r>
      <w:proofErr w:type="spellStart"/>
      <w:r w:rsidRPr="00984C78">
        <w:t>vedolizumab</w:t>
      </w:r>
      <w:proofErr w:type="spellEnd"/>
      <w:r w:rsidRPr="00984C78">
        <w:t xml:space="preserve"> was </w:t>
      </w:r>
      <w:r w:rsidRPr="00984C78">
        <w:rPr>
          <w:u w:val="single"/>
        </w:rPr>
        <w:t>not statistically more effective</w:t>
      </w:r>
      <w:r w:rsidRPr="00984C78">
        <w:t xml:space="preserve"> in terms of clinical response in the maintenance phase.</w:t>
      </w:r>
    </w:p>
    <w:p w:rsidR="003B01CE" w:rsidRPr="00984C78" w:rsidRDefault="003B01CE" w:rsidP="00B60939">
      <w:pPr>
        <w:rPr>
          <w:szCs w:val="22"/>
        </w:rPr>
      </w:pPr>
    </w:p>
    <w:p w:rsidR="00E668F3" w:rsidRPr="00984C78" w:rsidRDefault="006A01A9" w:rsidP="006B764E">
      <w:pPr>
        <w:pStyle w:val="ListParagraph"/>
        <w:keepNext/>
        <w:keepLines/>
        <w:widowControl/>
        <w:numPr>
          <w:ilvl w:val="1"/>
          <w:numId w:val="3"/>
        </w:numPr>
      </w:pPr>
      <w:r>
        <w:t>The t</w:t>
      </w:r>
      <w:r w:rsidR="000C7FF1" w:rsidRPr="00984C78">
        <w:t xml:space="preserve">ables </w:t>
      </w:r>
      <w:r>
        <w:t>below</w:t>
      </w:r>
      <w:r w:rsidR="000C7FF1" w:rsidRPr="00984C78">
        <w:t xml:space="preserve"> present</w:t>
      </w:r>
      <w:r w:rsidR="00E668F3" w:rsidRPr="00984C78">
        <w:t xml:space="preserve"> subgroup analys</w:t>
      </w:r>
      <w:r w:rsidR="0059144A" w:rsidRPr="00984C78">
        <w:t>e</w:t>
      </w:r>
      <w:r w:rsidR="00E668F3" w:rsidRPr="00984C78">
        <w:t xml:space="preserve">s of </w:t>
      </w:r>
      <w:proofErr w:type="spellStart"/>
      <w:r w:rsidR="000C7FF1" w:rsidRPr="00984C78">
        <w:t>vedolizumab</w:t>
      </w:r>
      <w:proofErr w:type="spellEnd"/>
      <w:r w:rsidR="008E692F" w:rsidRPr="00984C78">
        <w:t xml:space="preserve"> against placebo</w:t>
      </w:r>
      <w:r w:rsidR="000C7FF1" w:rsidRPr="00984C78">
        <w:t xml:space="preserve"> in </w:t>
      </w:r>
      <w:r w:rsidR="00320AD7" w:rsidRPr="00984C78">
        <w:t>TNF-α</w:t>
      </w:r>
      <w:r w:rsidR="00E668F3" w:rsidRPr="00984C78">
        <w:t xml:space="preserve"> antagonist naïve and </w:t>
      </w:r>
      <w:r w:rsidR="00320AD7" w:rsidRPr="00984C78">
        <w:t>TNF-α</w:t>
      </w:r>
      <w:r w:rsidR="00E668F3" w:rsidRPr="00984C78">
        <w:t xml:space="preserve"> antagonist experienced group</w:t>
      </w:r>
      <w:r w:rsidR="0059144A" w:rsidRPr="00984C78">
        <w:t>s</w:t>
      </w:r>
      <w:r w:rsidR="00E668F3" w:rsidRPr="00984C78">
        <w:t xml:space="preserve">. </w:t>
      </w:r>
    </w:p>
    <w:p w:rsidR="00E668F3" w:rsidRPr="00984C78" w:rsidRDefault="00E668F3" w:rsidP="00E668F3">
      <w:pPr>
        <w:ind w:left="709"/>
      </w:pPr>
    </w:p>
    <w:p w:rsidR="000C7FF1" w:rsidRPr="00984C78" w:rsidRDefault="000C7FF1" w:rsidP="000C7FF1">
      <w:pPr>
        <w:keepNext/>
        <w:widowControl/>
        <w:snapToGrid/>
        <w:ind w:left="709"/>
        <w:jc w:val="left"/>
        <w:rPr>
          <w:rFonts w:ascii="Arial Narrow" w:eastAsia="Calibri" w:hAnsi="Arial Narrow" w:cs="Times New Roman"/>
          <w:b/>
          <w:sz w:val="20"/>
        </w:rPr>
      </w:pPr>
      <w:r w:rsidRPr="00984C78">
        <w:rPr>
          <w:rFonts w:ascii="Arial Narrow" w:eastAsia="Calibri" w:hAnsi="Arial Narrow" w:cs="Times New Roman"/>
          <w:b/>
          <w:sz w:val="20"/>
          <w:szCs w:val="16"/>
        </w:rPr>
        <w:t>Results across the direct randomised trials, treatment naive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omparative effectiveness"/>
        <w:tblDescription w:val="treatment experienced patients"/>
      </w:tblPr>
      <w:tblGrid>
        <w:gridCol w:w="1138"/>
        <w:gridCol w:w="1557"/>
        <w:gridCol w:w="1561"/>
        <w:gridCol w:w="1557"/>
        <w:gridCol w:w="1557"/>
        <w:gridCol w:w="975"/>
      </w:tblGrid>
      <w:tr w:rsidR="000C7FF1" w:rsidRPr="00984C78" w:rsidTr="002E6F6F">
        <w:trPr>
          <w:tblHeader/>
        </w:trPr>
        <w:tc>
          <w:tcPr>
            <w:tcW w:w="682"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left"/>
              <w:rPr>
                <w:rFonts w:ascii="Arial Narrow" w:eastAsia="Calibri" w:hAnsi="Arial Narrow" w:cs="Times New Roman"/>
                <w:b/>
                <w:sz w:val="20"/>
                <w:szCs w:val="22"/>
              </w:rPr>
            </w:pPr>
            <w:r w:rsidRPr="00984C78">
              <w:rPr>
                <w:rFonts w:ascii="Arial Narrow" w:eastAsia="Calibri" w:hAnsi="Arial Narrow" w:cs="Times New Roman"/>
                <w:b/>
                <w:sz w:val="20"/>
                <w:szCs w:val="22"/>
              </w:rPr>
              <w:t>Trial ID</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contextualSpacing/>
              <w:jc w:val="center"/>
              <w:rPr>
                <w:rFonts w:ascii="Arial Narrow" w:eastAsia="Calibri" w:hAnsi="Arial Narrow" w:cs="Times New Roman"/>
                <w:b/>
                <w:sz w:val="20"/>
                <w:szCs w:val="22"/>
              </w:rPr>
            </w:pPr>
            <w:proofErr w:type="spellStart"/>
            <w:r w:rsidRPr="00984C78">
              <w:rPr>
                <w:rFonts w:ascii="Arial Narrow" w:eastAsia="Calibri" w:hAnsi="Arial Narrow" w:cs="Times New Roman"/>
                <w:b/>
                <w:sz w:val="20"/>
                <w:szCs w:val="22"/>
              </w:rPr>
              <w:t>Vedolizumab</w:t>
            </w:r>
            <w:proofErr w:type="spellEnd"/>
            <w:r w:rsidRPr="00984C78">
              <w:rPr>
                <w:rFonts w:ascii="Arial Narrow" w:eastAsia="Calibri" w:hAnsi="Arial Narrow" w:cs="Times New Roman"/>
                <w:b/>
                <w:sz w:val="20"/>
                <w:szCs w:val="22"/>
              </w:rPr>
              <w:t xml:space="preserve"> n/N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szCs w:val="22"/>
              </w:rPr>
            </w:pPr>
            <w:r w:rsidRPr="00984C78">
              <w:rPr>
                <w:rFonts w:ascii="Arial Narrow" w:eastAsia="Calibri" w:hAnsi="Arial Narrow" w:cs="Times New Roman"/>
                <w:b/>
                <w:sz w:val="20"/>
                <w:szCs w:val="22"/>
              </w:rPr>
              <w:t>Placebo n/N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szCs w:val="22"/>
              </w:rPr>
            </w:pPr>
            <w:r w:rsidRPr="00984C78">
              <w:rPr>
                <w:rFonts w:ascii="Arial Narrow" w:eastAsia="Calibri" w:hAnsi="Arial Narrow" w:cs="Times New Roman"/>
                <w:b/>
                <w:sz w:val="20"/>
                <w:szCs w:val="22"/>
              </w:rPr>
              <w:t>Absolute difference RD</w:t>
            </w:r>
          </w:p>
          <w:p w:rsidR="000C7FF1" w:rsidRPr="00984C78" w:rsidRDefault="000C7FF1" w:rsidP="000C7FF1">
            <w:pPr>
              <w:widowControl/>
              <w:snapToGrid/>
              <w:jc w:val="center"/>
              <w:rPr>
                <w:rFonts w:ascii="Arial Narrow" w:eastAsia="Calibri" w:hAnsi="Arial Narrow" w:cs="Times New Roman"/>
                <w:b/>
                <w:sz w:val="20"/>
                <w:szCs w:val="22"/>
              </w:rPr>
            </w:pPr>
            <w:r w:rsidRPr="00984C78">
              <w:rPr>
                <w:rFonts w:ascii="Arial Narrow" w:eastAsia="Calibri" w:hAnsi="Arial Narrow" w:cs="Times New Roman"/>
                <w:b/>
                <w:sz w:val="20"/>
                <w:szCs w:val="22"/>
              </w:rPr>
              <w:t>(95% CI)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szCs w:val="22"/>
              </w:rPr>
            </w:pPr>
            <w:r w:rsidRPr="00984C78">
              <w:rPr>
                <w:rFonts w:ascii="Arial Narrow" w:eastAsia="Calibri" w:hAnsi="Arial Narrow" w:cs="Times New Roman"/>
                <w:b/>
                <w:sz w:val="20"/>
                <w:szCs w:val="22"/>
              </w:rPr>
              <w:t>Relative difference RR (95% CI)</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szCs w:val="22"/>
              </w:rPr>
            </w:pPr>
            <w:r w:rsidRPr="00984C78">
              <w:rPr>
                <w:rFonts w:ascii="Arial Narrow" w:eastAsia="Calibri" w:hAnsi="Arial Narrow" w:cs="Times New Roman"/>
                <w:b/>
                <w:sz w:val="20"/>
                <w:szCs w:val="22"/>
              </w:rPr>
              <w:t>NNT</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b/>
                <w:sz w:val="20"/>
              </w:rPr>
            </w:pPr>
            <w:r w:rsidRPr="00AA55DA">
              <w:rPr>
                <w:rFonts w:ascii="Arial Narrow" w:eastAsia="Calibri" w:hAnsi="Arial Narrow" w:cs="Times New Roman"/>
                <w:b/>
                <w:sz w:val="20"/>
              </w:rPr>
              <w:t>Induction Phase</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szCs w:val="22"/>
              </w:rPr>
            </w:pPr>
            <w:r w:rsidRPr="00AA55DA">
              <w:rPr>
                <w:rFonts w:ascii="Arial Narrow" w:eastAsia="Calibri" w:hAnsi="Arial Narrow" w:cs="Times New Roman"/>
                <w:b/>
                <w:sz w:val="20"/>
                <w:szCs w:val="22"/>
              </w:rPr>
              <w:t>Clinical remission</w:t>
            </w:r>
          </w:p>
        </w:tc>
      </w:tr>
      <w:tr w:rsidR="000C7FF1" w:rsidRPr="00984C78" w:rsidTr="002E6F6F">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64272C">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64272C">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C70C24">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xml:space="preserve">  '''''''''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w:t>
            </w:r>
          </w:p>
        </w:tc>
      </w:tr>
      <w:tr w:rsidR="000C7FF1" w:rsidRPr="00984C78" w:rsidTr="002E6F6F">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7F1444">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5</w:t>
            </w:r>
          </w:p>
        </w:tc>
      </w:tr>
      <w:tr w:rsidR="000C7FF1" w:rsidRPr="007F1444" w:rsidTr="002E6F6F">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7F1444">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Pooled result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NA</w:t>
            </w:r>
          </w:p>
        </w:tc>
      </w:tr>
      <w:tr w:rsidR="000C7FF1" w:rsidRPr="00984C78" w:rsidTr="002E6F6F">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szCs w:val="22"/>
              </w:rPr>
            </w:pPr>
            <w:r w:rsidRPr="00AA55DA">
              <w:rPr>
                <w:rFonts w:ascii="Arial Narrow" w:eastAsia="Calibri" w:hAnsi="Arial Narrow" w:cs="Times New Roman"/>
                <w:sz w:val="20"/>
                <w:szCs w:val="22"/>
              </w:rPr>
              <w:t xml:space="preserve">Chi-square for heterogeneity: </w:t>
            </w:r>
            <w:r w:rsidR="004165CE">
              <w:rPr>
                <w:rFonts w:ascii="Arial Narrow" w:eastAsia="Calibri" w:hAnsi="Arial Narrow" w:cs="Times New Roman"/>
                <w:noProof/>
                <w:color w:val="000000"/>
                <w:sz w:val="20"/>
                <w:szCs w:val="22"/>
                <w:highlight w:val="black"/>
              </w:rPr>
              <w:t>''''''''''''''''''</w:t>
            </w:r>
            <w:r w:rsidRPr="00AA55DA">
              <w:rPr>
                <w:rFonts w:ascii="Arial Narrow" w:eastAsia="Calibri" w:hAnsi="Arial Narrow" w:cs="Times New Roman"/>
                <w:sz w:val="20"/>
                <w:szCs w:val="22"/>
              </w:rPr>
              <w:t>, I2 statistic with 95% uncertainty interval =0%</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szCs w:val="22"/>
              </w:rPr>
            </w:pPr>
            <w:r w:rsidRPr="00AA55DA">
              <w:rPr>
                <w:rFonts w:ascii="Arial Narrow" w:eastAsia="Calibri" w:hAnsi="Arial Narrow" w:cs="Times New Roman"/>
                <w:b/>
                <w:sz w:val="20"/>
                <w:szCs w:val="22"/>
              </w:rPr>
              <w:lastRenderedPageBreak/>
              <w:t>Clinical response</w:t>
            </w:r>
          </w:p>
        </w:tc>
      </w:tr>
      <w:tr w:rsidR="000C7FF1" w:rsidRPr="007F1444" w:rsidTr="002E6F6F">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7F1444">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6</w:t>
            </w:r>
          </w:p>
        </w:tc>
      </w:tr>
      <w:tr w:rsidR="000C7FF1" w:rsidRPr="007F1444" w:rsidTr="002E6F6F">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7F1444">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64272C">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64272C">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w:t>
            </w:r>
          </w:p>
        </w:tc>
      </w:tr>
      <w:tr w:rsidR="000C7FF1" w:rsidRPr="007F1444" w:rsidTr="002E6F6F">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7F1444">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Pooled result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NA</w:t>
            </w:r>
          </w:p>
        </w:tc>
      </w:tr>
      <w:tr w:rsidR="000C7FF1" w:rsidRPr="00984C78" w:rsidTr="002E6F6F">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 xml:space="preserve">Chi-square for heterogeneity: </w:t>
            </w:r>
            <w:r w:rsidR="004165CE">
              <w:rPr>
                <w:rFonts w:ascii="Arial Narrow" w:eastAsia="Calibri" w:hAnsi="Arial Narrow" w:cs="Times New Roman"/>
                <w:noProof/>
                <w:color w:val="000000"/>
                <w:sz w:val="20"/>
                <w:highlight w:val="black"/>
              </w:rPr>
              <w:t>''''''''''''''''''</w:t>
            </w:r>
            <w:r w:rsidRPr="00AA55DA">
              <w:rPr>
                <w:rFonts w:ascii="Arial Narrow" w:eastAsia="Calibri" w:hAnsi="Arial Narrow" w:cs="Times New Roman"/>
                <w:iCs/>
                <w:color w:val="000000"/>
                <w:sz w:val="20"/>
              </w:rPr>
              <w:t xml:space="preserve">, </w:t>
            </w:r>
            <w:r w:rsidRPr="00AA55DA">
              <w:rPr>
                <w:rFonts w:ascii="Arial Narrow" w:eastAsia="Calibri" w:hAnsi="Arial Narrow" w:cs="Times New Roman"/>
                <w:sz w:val="20"/>
              </w:rPr>
              <w:t>I</w:t>
            </w:r>
            <w:r w:rsidRPr="00AA55DA">
              <w:rPr>
                <w:rFonts w:ascii="Arial Narrow" w:eastAsia="Calibri" w:hAnsi="Arial Narrow" w:cs="Times New Roman"/>
                <w:sz w:val="20"/>
                <w:vertAlign w:val="superscript"/>
              </w:rPr>
              <w:t>2</w:t>
            </w:r>
            <w:r w:rsidRPr="00AA55DA">
              <w:rPr>
                <w:rFonts w:ascii="Arial Narrow" w:eastAsia="Calibri" w:hAnsi="Arial Narrow" w:cs="Times New Roman"/>
                <w:sz w:val="20"/>
              </w:rPr>
              <w:t xml:space="preserve"> statistic with 95% uncertainty interval =0%</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b/>
                <w:sz w:val="20"/>
              </w:rPr>
            </w:pPr>
            <w:r w:rsidRPr="00AA55DA">
              <w:rPr>
                <w:rFonts w:ascii="Arial Narrow" w:eastAsia="Calibri" w:hAnsi="Arial Narrow" w:cs="Times New Roman"/>
                <w:b/>
                <w:sz w:val="20"/>
              </w:rPr>
              <w:t>Maintenance Phase</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remission</w:t>
            </w:r>
          </w:p>
        </w:tc>
      </w:tr>
      <w:tr w:rsidR="000C7FF1" w:rsidRPr="007F1444" w:rsidTr="002E6F6F">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7F1444">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663F28" w:rsidRDefault="008540CC" w:rsidP="007F1444">
            <w:pPr>
              <w:widowControl/>
              <w:snapToGrid/>
              <w:jc w:val="center"/>
              <w:rPr>
                <w:rFonts w:ascii="Arial Narrow" w:eastAsia="Calibri" w:hAnsi="Arial Narrow" w:cs="Times New Roman"/>
                <w:sz w:val="20"/>
                <w:highlight w:val="yellow"/>
              </w:rPr>
            </w:pPr>
            <w:r w:rsidRPr="007E3751">
              <w:rPr>
                <w:rFonts w:ascii="Arial Narrow" w:eastAsia="Calibri" w:hAnsi="Arial Narrow" w:cs="Times New Roman"/>
                <w:sz w:val="20"/>
              </w:rPr>
              <w:t>4</w:t>
            </w:r>
          </w:p>
        </w:tc>
      </w:tr>
      <w:tr w:rsidR="000C7FF1" w:rsidRPr="00984C78" w:rsidTr="002E6F6F">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response</w:t>
            </w:r>
          </w:p>
        </w:tc>
      </w:tr>
      <w:tr w:rsidR="000C7FF1" w:rsidRPr="007F1444" w:rsidTr="002E6F6F">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7F1444" w:rsidRDefault="000C7FF1" w:rsidP="007F1444">
            <w:pPr>
              <w:widowControl/>
              <w:snapToGrid/>
              <w:jc w:val="left"/>
              <w:rPr>
                <w:rFonts w:ascii="Arial Narrow" w:eastAsia="Calibri" w:hAnsi="Arial Narrow" w:cs="Times New Roman"/>
                <w:sz w:val="20"/>
              </w:rPr>
            </w:pPr>
            <w:r w:rsidRPr="00984C78">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7F1444">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663F28" w:rsidRDefault="008540CC" w:rsidP="007F1444">
            <w:pPr>
              <w:widowControl/>
              <w:snapToGrid/>
              <w:jc w:val="center"/>
              <w:rPr>
                <w:rFonts w:ascii="Arial Narrow" w:eastAsia="Calibri" w:hAnsi="Arial Narrow" w:cs="Times New Roman"/>
                <w:sz w:val="20"/>
                <w:highlight w:val="yellow"/>
              </w:rPr>
            </w:pPr>
            <w:r w:rsidRPr="007E3751">
              <w:rPr>
                <w:rFonts w:ascii="Arial Narrow" w:eastAsia="Calibri" w:hAnsi="Arial Narrow" w:cs="Times New Roman"/>
                <w:sz w:val="20"/>
              </w:rPr>
              <w:t>4</w:t>
            </w:r>
          </w:p>
        </w:tc>
      </w:tr>
    </w:tbl>
    <w:p w:rsidR="000C7FF1" w:rsidRPr="00984C78" w:rsidRDefault="000C7FF1" w:rsidP="000C7FF1">
      <w:pPr>
        <w:ind w:left="709"/>
        <w:rPr>
          <w:rFonts w:ascii="Arial Narrow" w:hAnsi="Arial Narrow"/>
          <w:sz w:val="18"/>
        </w:rPr>
      </w:pPr>
      <w:r w:rsidRPr="00057ABE">
        <w:rPr>
          <w:rFonts w:ascii="Arial Narrow" w:hAnsi="Arial Narrow"/>
          <w:b/>
          <w:sz w:val="18"/>
        </w:rPr>
        <w:t>BOLD</w:t>
      </w:r>
      <w:r w:rsidRPr="00057ABE">
        <w:rPr>
          <w:rFonts w:ascii="Arial Narrow" w:hAnsi="Arial Narrow"/>
          <w:sz w:val="18"/>
        </w:rPr>
        <w:t xml:space="preserve"> i</w:t>
      </w:r>
      <w:r w:rsidRPr="00984C78">
        <w:rPr>
          <w:rFonts w:ascii="Arial Narrow" w:hAnsi="Arial Narrow"/>
          <w:sz w:val="18"/>
        </w:rPr>
        <w:t xml:space="preserve">ndicates potentially not more effective than placebo. </w:t>
      </w:r>
      <w:r w:rsidRPr="00984C78">
        <w:rPr>
          <w:rFonts w:ascii="Arial Narrow" w:hAnsi="Arial Narrow"/>
          <w:sz w:val="18"/>
          <w:szCs w:val="18"/>
        </w:rPr>
        <w:t xml:space="preserve">RD = risk difference; RR = relative risk; NA = not available. </w:t>
      </w:r>
      <w:r w:rsidRPr="00984C78">
        <w:rPr>
          <w:rFonts w:ascii="Arial Narrow" w:hAnsi="Arial Narrow"/>
          <w:sz w:val="18"/>
        </w:rPr>
        <w:t>Source: Table B(</w:t>
      </w:r>
      <w:proofErr w:type="spellStart"/>
      <w:r w:rsidRPr="00984C78">
        <w:rPr>
          <w:rFonts w:ascii="Arial Narrow" w:hAnsi="Arial Narrow"/>
          <w:sz w:val="18"/>
        </w:rPr>
        <w:t>i</w:t>
      </w:r>
      <w:proofErr w:type="spellEnd"/>
      <w:r w:rsidRPr="00984C78">
        <w:rPr>
          <w:rFonts w:ascii="Arial Narrow" w:hAnsi="Arial Narrow"/>
          <w:sz w:val="18"/>
        </w:rPr>
        <w:t>).6-8 and Table B(</w:t>
      </w:r>
      <w:proofErr w:type="spellStart"/>
      <w:r w:rsidRPr="00984C78">
        <w:rPr>
          <w:rFonts w:ascii="Arial Narrow" w:hAnsi="Arial Narrow"/>
          <w:sz w:val="18"/>
        </w:rPr>
        <w:t>i</w:t>
      </w:r>
      <w:proofErr w:type="spellEnd"/>
      <w:r w:rsidRPr="00984C78">
        <w:rPr>
          <w:rFonts w:ascii="Arial Narrow" w:hAnsi="Arial Narrow"/>
          <w:sz w:val="18"/>
        </w:rPr>
        <w:t xml:space="preserve">).6-9 p109, </w:t>
      </w:r>
      <w:r w:rsidRPr="00984C78">
        <w:rPr>
          <w:rFonts w:ascii="Arial Narrow" w:hAnsi="Arial Narrow"/>
          <w:sz w:val="18"/>
          <w:szCs w:val="18"/>
        </w:rPr>
        <w:t>Table B(</w:t>
      </w:r>
      <w:proofErr w:type="spellStart"/>
      <w:r w:rsidRPr="00984C78">
        <w:rPr>
          <w:rFonts w:ascii="Arial Narrow" w:hAnsi="Arial Narrow"/>
          <w:sz w:val="18"/>
          <w:szCs w:val="18"/>
        </w:rPr>
        <w:t>i</w:t>
      </w:r>
      <w:proofErr w:type="spellEnd"/>
      <w:r w:rsidRPr="00984C78">
        <w:rPr>
          <w:rFonts w:ascii="Arial Narrow" w:hAnsi="Arial Narrow"/>
          <w:sz w:val="18"/>
          <w:szCs w:val="18"/>
        </w:rPr>
        <w:t xml:space="preserve">).6-4 p107 and </w:t>
      </w:r>
      <w:r w:rsidRPr="00984C78">
        <w:rPr>
          <w:rFonts w:ascii="Arial Narrow" w:hAnsi="Arial Narrow"/>
          <w:sz w:val="18"/>
        </w:rPr>
        <w:t>Table B(</w:t>
      </w:r>
      <w:proofErr w:type="spellStart"/>
      <w:r w:rsidRPr="00984C78">
        <w:rPr>
          <w:rFonts w:ascii="Arial Narrow" w:hAnsi="Arial Narrow"/>
          <w:sz w:val="18"/>
        </w:rPr>
        <w:t>i</w:t>
      </w:r>
      <w:proofErr w:type="spellEnd"/>
      <w:r w:rsidRPr="00984C78">
        <w:rPr>
          <w:rFonts w:ascii="Arial Narrow" w:hAnsi="Arial Narrow"/>
          <w:sz w:val="18"/>
        </w:rPr>
        <w:t>).6-12 p108 of the submission and calculated during evaluation.</w:t>
      </w:r>
    </w:p>
    <w:p w:rsidR="00116301" w:rsidRDefault="00116301" w:rsidP="00116301">
      <w:pPr>
        <w:widowControl/>
        <w:snapToGrid/>
        <w:ind w:firstLine="709"/>
        <w:jc w:val="left"/>
        <w:rPr>
          <w:rFonts w:ascii="Arial Narrow" w:eastAsia="Calibri" w:hAnsi="Arial Narrow" w:cs="Times New Roman"/>
          <w:b/>
          <w:sz w:val="20"/>
          <w:szCs w:val="16"/>
        </w:rPr>
      </w:pPr>
    </w:p>
    <w:p w:rsidR="000C7FF1" w:rsidRPr="00984C78" w:rsidRDefault="000C7FF1" w:rsidP="00116301">
      <w:pPr>
        <w:widowControl/>
        <w:snapToGrid/>
        <w:ind w:firstLine="709"/>
        <w:jc w:val="left"/>
        <w:rPr>
          <w:rFonts w:ascii="Arial Narrow" w:eastAsia="Calibri" w:hAnsi="Arial Narrow" w:cs="Times New Roman"/>
          <w:b/>
          <w:sz w:val="20"/>
          <w:szCs w:val="16"/>
        </w:rPr>
      </w:pPr>
      <w:r w:rsidRPr="00984C78">
        <w:rPr>
          <w:rFonts w:ascii="Arial Narrow" w:eastAsia="Calibri" w:hAnsi="Arial Narrow" w:cs="Times New Roman"/>
          <w:b/>
          <w:sz w:val="20"/>
          <w:szCs w:val="16"/>
        </w:rPr>
        <w:t>Results across the direct randomised trials, treatment experienced</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8"/>
        <w:gridCol w:w="1557"/>
        <w:gridCol w:w="1561"/>
        <w:gridCol w:w="1557"/>
        <w:gridCol w:w="1557"/>
        <w:gridCol w:w="975"/>
      </w:tblGrid>
      <w:tr w:rsidR="000C7FF1" w:rsidRPr="00984C78">
        <w:tc>
          <w:tcPr>
            <w:tcW w:w="682"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left"/>
              <w:rPr>
                <w:rFonts w:ascii="Arial Narrow" w:eastAsia="Calibri" w:hAnsi="Arial Narrow" w:cs="Times New Roman"/>
                <w:b/>
                <w:sz w:val="20"/>
              </w:rPr>
            </w:pPr>
            <w:r w:rsidRPr="00984C78">
              <w:rPr>
                <w:rFonts w:ascii="Arial Narrow" w:eastAsia="Calibri" w:hAnsi="Arial Narrow" w:cs="Times New Roman"/>
                <w:b/>
                <w:sz w:val="20"/>
              </w:rPr>
              <w:t>Trial ID</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contextualSpacing/>
              <w:jc w:val="center"/>
              <w:rPr>
                <w:rFonts w:ascii="Arial Narrow" w:eastAsia="Calibri" w:hAnsi="Arial Narrow" w:cs="Times New Roman"/>
                <w:b/>
                <w:sz w:val="20"/>
              </w:rPr>
            </w:pPr>
            <w:proofErr w:type="spellStart"/>
            <w:r w:rsidRPr="00984C78">
              <w:rPr>
                <w:rFonts w:ascii="Arial Narrow" w:eastAsia="Calibri" w:hAnsi="Arial Narrow" w:cs="Times New Roman"/>
                <w:b/>
                <w:sz w:val="20"/>
              </w:rPr>
              <w:t>Vedolizumab</w:t>
            </w:r>
            <w:proofErr w:type="spellEnd"/>
            <w:r w:rsidRPr="00984C78">
              <w:rPr>
                <w:rFonts w:ascii="Arial Narrow" w:eastAsia="Calibri" w:hAnsi="Arial Narrow" w:cs="Times New Roman"/>
                <w:b/>
                <w:sz w:val="20"/>
              </w:rPr>
              <w:t xml:space="preserve"> n/N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rPr>
            </w:pPr>
            <w:r w:rsidRPr="00984C78">
              <w:rPr>
                <w:rFonts w:ascii="Arial Narrow" w:eastAsia="Calibri" w:hAnsi="Arial Narrow" w:cs="Times New Roman"/>
                <w:b/>
                <w:sz w:val="20"/>
              </w:rPr>
              <w:t>Placebo n/N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rPr>
            </w:pPr>
            <w:r w:rsidRPr="00984C78">
              <w:rPr>
                <w:rFonts w:ascii="Arial Narrow" w:eastAsia="Calibri" w:hAnsi="Arial Narrow" w:cs="Times New Roman"/>
                <w:b/>
                <w:sz w:val="20"/>
              </w:rPr>
              <w:t>Absolute difference RD</w:t>
            </w:r>
          </w:p>
          <w:p w:rsidR="000C7FF1" w:rsidRPr="00984C78" w:rsidRDefault="000C7FF1" w:rsidP="000C7FF1">
            <w:pPr>
              <w:widowControl/>
              <w:snapToGrid/>
              <w:jc w:val="center"/>
              <w:rPr>
                <w:rFonts w:ascii="Arial Narrow" w:eastAsia="Calibri" w:hAnsi="Arial Narrow" w:cs="Times New Roman"/>
                <w:b/>
                <w:sz w:val="20"/>
              </w:rPr>
            </w:pPr>
            <w:r w:rsidRPr="00984C78">
              <w:rPr>
                <w:rFonts w:ascii="Arial Narrow" w:eastAsia="Calibri" w:hAnsi="Arial Narrow" w:cs="Times New Roman"/>
                <w:b/>
                <w:sz w:val="20"/>
              </w:rPr>
              <w:t>(95% CI)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rPr>
            </w:pPr>
            <w:r w:rsidRPr="00984C78">
              <w:rPr>
                <w:rFonts w:ascii="Arial Narrow" w:eastAsia="Calibri" w:hAnsi="Arial Narrow" w:cs="Times New Roman"/>
                <w:b/>
                <w:sz w:val="20"/>
              </w:rPr>
              <w:t>Relative difference RR (95% CI)</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984C78" w:rsidRDefault="000C7FF1" w:rsidP="000C7FF1">
            <w:pPr>
              <w:widowControl/>
              <w:snapToGrid/>
              <w:jc w:val="center"/>
              <w:rPr>
                <w:rFonts w:ascii="Arial Narrow" w:eastAsia="Calibri" w:hAnsi="Arial Narrow" w:cs="Times New Roman"/>
                <w:b/>
                <w:sz w:val="20"/>
              </w:rPr>
            </w:pPr>
            <w:r w:rsidRPr="00984C78">
              <w:rPr>
                <w:rFonts w:ascii="Arial Narrow" w:eastAsia="Calibri" w:hAnsi="Arial Narrow" w:cs="Times New Roman"/>
                <w:b/>
                <w:sz w:val="20"/>
              </w:rPr>
              <w:t>NNT</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b/>
                <w:sz w:val="20"/>
              </w:rPr>
            </w:pPr>
            <w:r w:rsidRPr="00AA55DA">
              <w:rPr>
                <w:rFonts w:ascii="Arial Narrow" w:eastAsia="Calibri" w:hAnsi="Arial Narrow" w:cs="Times New Roman"/>
                <w:b/>
                <w:sz w:val="20"/>
              </w:rPr>
              <w:t>Induction Phase</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remission</w:t>
            </w:r>
          </w:p>
        </w:tc>
      </w:tr>
      <w:tr w:rsidR="000C7FF1" w:rsidRPr="00984C78">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64272C">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w:t>
            </w:r>
          </w:p>
        </w:tc>
      </w:tr>
      <w:tr w:rsidR="000C7FF1" w:rsidRPr="00984C78">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tcPr>
          <w:p w:rsidR="000C7FF1" w:rsidRPr="004165CE" w:rsidRDefault="004165CE" w:rsidP="0064272C">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response</w:t>
            </w:r>
          </w:p>
        </w:tc>
      </w:tr>
      <w:tr w:rsidR="000C7FF1" w:rsidRPr="00984C78">
        <w:trPr>
          <w:trHeight w:val="77"/>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b/>
                <w:sz w:val="20"/>
                <w:highlight w:val="black"/>
              </w:rPr>
            </w:pPr>
            <w:r>
              <w:rPr>
                <w:rFonts w:ascii="Arial Narrow" w:eastAsia="Calibri" w:hAnsi="Arial Narrow" w:cs="Times New Roman"/>
                <w:b/>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w:t>
            </w:r>
          </w:p>
        </w:tc>
      </w:tr>
      <w:tr w:rsidR="000C7FF1" w:rsidRPr="00984C78">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5</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b/>
                <w:sz w:val="20"/>
              </w:rPr>
            </w:pPr>
            <w:r w:rsidRPr="00AA55DA">
              <w:rPr>
                <w:rFonts w:ascii="Arial Narrow" w:eastAsia="Calibri" w:hAnsi="Arial Narrow" w:cs="Times New Roman"/>
                <w:b/>
                <w:sz w:val="20"/>
              </w:rPr>
              <w:t>Maintenance Phase</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remission</w:t>
            </w:r>
          </w:p>
        </w:tc>
      </w:tr>
      <w:tr w:rsidR="000C7FF1" w:rsidRPr="00984C78">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keepNext/>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 ''''''''''''''' '''''''''''</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8540CC" w:rsidP="000C7FF1">
            <w:pPr>
              <w:keepNext/>
              <w:widowControl/>
              <w:snapToGrid/>
              <w:jc w:val="center"/>
              <w:rPr>
                <w:rFonts w:ascii="Arial Narrow" w:eastAsia="Calibri" w:hAnsi="Arial Narrow" w:cs="Times New Roman"/>
                <w:sz w:val="20"/>
              </w:rPr>
            </w:pPr>
            <w:r w:rsidRPr="00AA55DA">
              <w:rPr>
                <w:rFonts w:ascii="Arial Narrow" w:eastAsia="Calibri" w:hAnsi="Arial Narrow" w:cs="Times New Roman"/>
                <w:sz w:val="20"/>
              </w:rPr>
              <w:t>15</w:t>
            </w:r>
          </w:p>
        </w:tc>
      </w:tr>
      <w:tr w:rsidR="000C7FF1" w:rsidRPr="00984C78">
        <w:trPr>
          <w:trHeight w:val="64"/>
        </w:trPr>
        <w:tc>
          <w:tcPr>
            <w:tcW w:w="5000" w:type="pct"/>
            <w:gridSpan w:val="6"/>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b/>
                <w:sz w:val="20"/>
              </w:rPr>
              <w:t>Clinical response</w:t>
            </w:r>
          </w:p>
        </w:tc>
      </w:tr>
      <w:tr w:rsidR="000C7FF1" w:rsidRPr="00984C78">
        <w:trPr>
          <w:trHeight w:val="64"/>
        </w:trPr>
        <w:tc>
          <w:tcPr>
            <w:tcW w:w="682"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keepNext/>
              <w:widowControl/>
              <w:snapToGrid/>
              <w:jc w:val="left"/>
              <w:rPr>
                <w:rFonts w:ascii="Arial Narrow" w:eastAsia="Calibri" w:hAnsi="Arial Narrow" w:cs="Times New Roman"/>
                <w:sz w:val="20"/>
              </w:rPr>
            </w:pPr>
            <w:r w:rsidRPr="00AA55DA">
              <w:rPr>
                <w:rFonts w:ascii="Arial Narrow" w:eastAsia="Calibri" w:hAnsi="Arial Narrow" w:cs="Times New Roman"/>
                <w:sz w:val="20"/>
              </w:rPr>
              <w:t>GEMINI II</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933" w:type="pct"/>
            <w:tcBorders>
              <w:top w:val="single" w:sz="4" w:space="0" w:color="auto"/>
              <w:left w:val="single" w:sz="4" w:space="0" w:color="auto"/>
              <w:bottom w:val="single" w:sz="4" w:space="0" w:color="auto"/>
              <w:right w:val="single" w:sz="4" w:space="0" w:color="auto"/>
            </w:tcBorders>
            <w:vAlign w:val="center"/>
          </w:tcPr>
          <w:p w:rsidR="000C7FF1" w:rsidRPr="004165CE" w:rsidRDefault="004165CE" w:rsidP="000C7FF1">
            <w:pPr>
              <w:widowControl/>
              <w:snapToGrid/>
              <w:contextualSpacing/>
              <w:jc w:val="center"/>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584" w:type="pct"/>
            <w:tcBorders>
              <w:top w:val="single" w:sz="4" w:space="0" w:color="auto"/>
              <w:left w:val="single" w:sz="4" w:space="0" w:color="auto"/>
              <w:bottom w:val="single" w:sz="4" w:space="0" w:color="auto"/>
              <w:right w:val="single" w:sz="4" w:space="0" w:color="auto"/>
            </w:tcBorders>
            <w:vAlign w:val="center"/>
          </w:tcPr>
          <w:p w:rsidR="000C7FF1" w:rsidRPr="00AA55DA" w:rsidRDefault="000C7FF1" w:rsidP="000C7FF1">
            <w:pPr>
              <w:widowControl/>
              <w:snapToGrid/>
              <w:jc w:val="center"/>
              <w:rPr>
                <w:rFonts w:ascii="Arial Narrow" w:eastAsia="Calibri" w:hAnsi="Arial Narrow" w:cs="Times New Roman"/>
                <w:sz w:val="20"/>
              </w:rPr>
            </w:pPr>
            <w:r w:rsidRPr="00AA55DA">
              <w:rPr>
                <w:rFonts w:ascii="Arial Narrow" w:eastAsia="Calibri" w:hAnsi="Arial Narrow" w:cs="Times New Roman"/>
                <w:sz w:val="20"/>
              </w:rPr>
              <w:t>NR</w:t>
            </w:r>
          </w:p>
        </w:tc>
      </w:tr>
    </w:tbl>
    <w:p w:rsidR="000C7FF1" w:rsidRPr="00984C78" w:rsidRDefault="000C7FF1" w:rsidP="000C7FF1">
      <w:pPr>
        <w:ind w:left="709"/>
        <w:rPr>
          <w:rFonts w:ascii="Arial Narrow" w:hAnsi="Arial Narrow"/>
          <w:sz w:val="18"/>
        </w:rPr>
      </w:pPr>
      <w:r w:rsidRPr="00057ABE">
        <w:rPr>
          <w:rFonts w:ascii="Arial Narrow" w:hAnsi="Arial Narrow"/>
          <w:b/>
          <w:sz w:val="18"/>
        </w:rPr>
        <w:t>BOLD</w:t>
      </w:r>
      <w:r w:rsidRPr="00057ABE">
        <w:rPr>
          <w:rFonts w:ascii="Arial Narrow" w:hAnsi="Arial Narrow"/>
          <w:sz w:val="18"/>
        </w:rPr>
        <w:t xml:space="preserve"> indicates potentially not more effective than placebo. </w:t>
      </w:r>
      <w:r w:rsidRPr="00057ABE">
        <w:rPr>
          <w:rFonts w:ascii="Arial Narrow" w:hAnsi="Arial Narrow"/>
          <w:sz w:val="18"/>
          <w:szCs w:val="18"/>
        </w:rPr>
        <w:t xml:space="preserve">RD = risk difference; RR = relative risk; NA = not available. </w:t>
      </w:r>
      <w:r w:rsidRPr="00057ABE">
        <w:rPr>
          <w:rFonts w:ascii="Arial Narrow" w:hAnsi="Arial Narrow"/>
          <w:sz w:val="18"/>
        </w:rPr>
        <w:t xml:space="preserve">Source: Table B(ii).6-15 p226 and Table B(ii).6-17, p227 of the submission, Table 21, p140 of CSR C13007, Table 11-2, p99 of CSR C13007, </w:t>
      </w:r>
      <w:r w:rsidRPr="00057ABE">
        <w:rPr>
          <w:rFonts w:ascii="Arial Narrow" w:hAnsi="Arial Narrow"/>
          <w:sz w:val="18"/>
          <w:szCs w:val="18"/>
        </w:rPr>
        <w:t xml:space="preserve">Table </w:t>
      </w:r>
      <w:r w:rsidRPr="00984C78">
        <w:rPr>
          <w:rFonts w:ascii="Arial Narrow" w:hAnsi="Arial Narrow"/>
          <w:sz w:val="18"/>
          <w:szCs w:val="18"/>
        </w:rPr>
        <w:t>61, p249 of CSR 13007</w:t>
      </w:r>
      <w:r w:rsidRPr="00984C78">
        <w:rPr>
          <w:rFonts w:ascii="Arial Narrow" w:hAnsi="Arial Narrow"/>
          <w:sz w:val="18"/>
        </w:rPr>
        <w:t xml:space="preserve"> and calculated during evaluation.</w:t>
      </w:r>
    </w:p>
    <w:p w:rsidR="00E668F3" w:rsidRPr="00984C78" w:rsidRDefault="00E668F3" w:rsidP="008E692F"/>
    <w:p w:rsidR="008E692F" w:rsidRPr="00984C78" w:rsidRDefault="000C7FF1" w:rsidP="006B764E">
      <w:pPr>
        <w:pStyle w:val="ListParagraph"/>
        <w:keepNext/>
        <w:keepLines/>
        <w:widowControl/>
        <w:numPr>
          <w:ilvl w:val="1"/>
          <w:numId w:val="3"/>
        </w:numPr>
      </w:pPr>
      <w:r w:rsidRPr="00984C78">
        <w:t xml:space="preserve">The ESC noted </w:t>
      </w:r>
      <w:r w:rsidR="0031490C" w:rsidRPr="00984C78">
        <w:t>that</w:t>
      </w:r>
      <w:r w:rsidR="005C36A6" w:rsidRPr="00984C78">
        <w:t xml:space="preserve"> at </w:t>
      </w:r>
      <w:r w:rsidR="0059144A" w:rsidRPr="00984C78">
        <w:t>a different</w:t>
      </w:r>
      <w:r w:rsidR="005C36A6" w:rsidRPr="00984C78">
        <w:t xml:space="preserve"> baseline risk,</w:t>
      </w:r>
      <w:r w:rsidR="0031490C" w:rsidRPr="00984C78">
        <w:t xml:space="preserve"> treatment experienced patients were less likely to achieve remission and response than treatment naïve patients. </w:t>
      </w:r>
      <w:r w:rsidR="009B125F" w:rsidRPr="00984C78">
        <w:t>The</w:t>
      </w:r>
      <w:r w:rsidR="0031490C" w:rsidRPr="00984C78">
        <w:t xml:space="preserve"> ESC </w:t>
      </w:r>
      <w:r w:rsidR="009B125F" w:rsidRPr="00984C78">
        <w:t xml:space="preserve">also noted that the relative treatment effect was not statistically significant for a number of </w:t>
      </w:r>
      <w:proofErr w:type="gramStart"/>
      <w:r w:rsidR="009B125F" w:rsidRPr="00984C78">
        <w:t>measures,</w:t>
      </w:r>
      <w:proofErr w:type="gramEnd"/>
      <w:r w:rsidR="009B125F" w:rsidRPr="00984C78">
        <w:t xml:space="preserve"> however this may be due to smaller sample sizes.  Overall, the ESC </w:t>
      </w:r>
      <w:r w:rsidR="0031490C" w:rsidRPr="00984C78">
        <w:t xml:space="preserve">considered that the sub-group analyses did not suggest a clear difference in treatment effect between </w:t>
      </w:r>
      <w:r w:rsidR="00320AD7" w:rsidRPr="00984C78">
        <w:t>TNF-α</w:t>
      </w:r>
      <w:r w:rsidR="0031490C" w:rsidRPr="00984C78">
        <w:t xml:space="preserve"> antagonist naïve patients and </w:t>
      </w:r>
      <w:r w:rsidR="00320AD7" w:rsidRPr="00984C78">
        <w:t>TNF-α</w:t>
      </w:r>
      <w:r w:rsidR="0031490C" w:rsidRPr="00984C78">
        <w:t xml:space="preserve"> antagonist experienced patients.  </w:t>
      </w:r>
      <w:r w:rsidR="00E668F3" w:rsidRPr="00984C78">
        <w:t xml:space="preserve">  </w:t>
      </w:r>
    </w:p>
    <w:p w:rsidR="008E692F" w:rsidRPr="00984C78" w:rsidRDefault="008E692F" w:rsidP="008E692F">
      <w:pPr>
        <w:pStyle w:val="ListParagraph"/>
        <w:keepNext/>
        <w:keepLines/>
        <w:widowControl/>
      </w:pPr>
    </w:p>
    <w:p w:rsidR="0094097E" w:rsidRPr="00984C78" w:rsidRDefault="006A01A9" w:rsidP="006B764E">
      <w:pPr>
        <w:pStyle w:val="ListParagraph"/>
        <w:keepNext/>
        <w:keepLines/>
        <w:widowControl/>
        <w:numPr>
          <w:ilvl w:val="1"/>
          <w:numId w:val="3"/>
        </w:numPr>
      </w:pPr>
      <w:r>
        <w:t>The t</w:t>
      </w:r>
      <w:r w:rsidR="0094097E" w:rsidRPr="00984C78">
        <w:t xml:space="preserve">ables </w:t>
      </w:r>
      <w:r>
        <w:t>below</w:t>
      </w:r>
      <w:r w:rsidR="0094097E" w:rsidRPr="00984C78">
        <w:t xml:space="preserve"> summarise the main results from the indirect comparisons of </w:t>
      </w:r>
      <w:proofErr w:type="spellStart"/>
      <w:r w:rsidR="0094097E" w:rsidRPr="00984C78">
        <w:t>vedolizumab</w:t>
      </w:r>
      <w:proofErr w:type="spellEnd"/>
      <w:r w:rsidR="0094097E" w:rsidRPr="00984C78">
        <w:t xml:space="preserve"> against infliximab and adalimumab.</w:t>
      </w:r>
    </w:p>
    <w:p w:rsidR="007F1CD6" w:rsidRDefault="007F1CD6" w:rsidP="00B60939">
      <w:pPr>
        <w:rPr>
          <w:szCs w:val="22"/>
        </w:rPr>
      </w:pPr>
    </w:p>
    <w:p w:rsidR="002E6F6F" w:rsidRDefault="002E6F6F" w:rsidP="00B60939">
      <w:pPr>
        <w:rPr>
          <w:szCs w:val="22"/>
        </w:rPr>
      </w:pPr>
    </w:p>
    <w:p w:rsidR="002E6F6F" w:rsidRDefault="002E6F6F" w:rsidP="00B60939">
      <w:pPr>
        <w:rPr>
          <w:szCs w:val="22"/>
        </w:rPr>
      </w:pPr>
    </w:p>
    <w:p w:rsidR="002E6F6F" w:rsidRDefault="002E6F6F" w:rsidP="00B60939">
      <w:pPr>
        <w:rPr>
          <w:szCs w:val="22"/>
        </w:rPr>
      </w:pPr>
    </w:p>
    <w:p w:rsidR="002E6F6F" w:rsidRDefault="002E6F6F" w:rsidP="00B60939">
      <w:pPr>
        <w:rPr>
          <w:szCs w:val="22"/>
        </w:rPr>
      </w:pPr>
    </w:p>
    <w:p w:rsidR="00E42311" w:rsidRPr="00E42311" w:rsidRDefault="00E42311" w:rsidP="00E42311">
      <w:pPr>
        <w:keepNext/>
        <w:keepLines/>
        <w:rPr>
          <w:rFonts w:ascii="Arial Narrow" w:eastAsiaTheme="minorHAnsi" w:hAnsi="Arial Narrow" w:cstheme="minorBidi"/>
          <w:b/>
          <w:sz w:val="20"/>
          <w:szCs w:val="16"/>
        </w:rPr>
      </w:pPr>
      <w:r>
        <w:rPr>
          <w:szCs w:val="22"/>
        </w:rPr>
        <w:lastRenderedPageBreak/>
        <w:tab/>
      </w:r>
      <w:r w:rsidRPr="00E42311">
        <w:rPr>
          <w:rFonts w:ascii="Arial Narrow" w:eastAsiaTheme="minorHAnsi" w:hAnsi="Arial Narrow" w:cstheme="minorBidi"/>
          <w:b/>
          <w:sz w:val="20"/>
          <w:szCs w:val="16"/>
        </w:rPr>
        <w:t>Summary of results of the indirect comparison against infliximab, ITT populations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20" w:firstRow="1" w:lastRow="0" w:firstColumn="0" w:lastColumn="0" w:noHBand="1" w:noVBand="1"/>
      </w:tblPr>
      <w:tblGrid>
        <w:gridCol w:w="992"/>
        <w:gridCol w:w="1133"/>
        <w:gridCol w:w="1135"/>
        <w:gridCol w:w="993"/>
        <w:gridCol w:w="851"/>
        <w:gridCol w:w="991"/>
        <w:gridCol w:w="993"/>
        <w:gridCol w:w="1257"/>
      </w:tblGrid>
      <w:tr w:rsidR="00D466E9" w:rsidRPr="00AA55DA" w:rsidTr="002E6F6F">
        <w:trPr>
          <w:tblHeader/>
        </w:trPr>
        <w:tc>
          <w:tcPr>
            <w:tcW w:w="594"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b/>
                <w:bCs/>
                <w:snapToGrid w:val="0"/>
                <w:sz w:val="20"/>
              </w:rPr>
            </w:pPr>
            <w:r w:rsidRPr="00AA55DA">
              <w:rPr>
                <w:rFonts w:ascii="Arial Narrow" w:hAnsi="Arial Narrow"/>
                <w:b/>
                <w:bCs/>
                <w:snapToGrid w:val="0"/>
                <w:sz w:val="20"/>
              </w:rPr>
              <w:t>Trial</w:t>
            </w:r>
          </w:p>
        </w:tc>
        <w:tc>
          <w:tcPr>
            <w:tcW w:w="1954" w:type="pct"/>
            <w:gridSpan w:val="3"/>
            <w:tcBorders>
              <w:top w:val="single" w:sz="4" w:space="0" w:color="auto"/>
              <w:left w:val="nil"/>
              <w:bottom w:val="single" w:sz="4" w:space="0" w:color="auto"/>
              <w:right w:val="double" w:sz="4" w:space="0" w:color="auto"/>
            </w:tcBorders>
            <w:vAlign w:val="center"/>
          </w:tcPr>
          <w:p w:rsidR="00E42311" w:rsidRPr="00AA55DA" w:rsidRDefault="00E42311" w:rsidP="00E42311">
            <w:pPr>
              <w:keepNext/>
              <w:widowControl/>
              <w:jc w:val="center"/>
              <w:rPr>
                <w:rFonts w:ascii="Arial Narrow" w:hAnsi="Arial Narrow"/>
                <w:b/>
                <w:bCs/>
                <w:snapToGrid w:val="0"/>
                <w:sz w:val="20"/>
              </w:rPr>
            </w:pPr>
            <w:proofErr w:type="spellStart"/>
            <w:r w:rsidRPr="00AA55DA">
              <w:rPr>
                <w:rFonts w:ascii="Arial Narrow" w:hAnsi="Arial Narrow"/>
                <w:b/>
                <w:bCs/>
                <w:snapToGrid w:val="0"/>
                <w:sz w:val="20"/>
              </w:rPr>
              <w:t>Vedolizumab</w:t>
            </w:r>
            <w:proofErr w:type="spellEnd"/>
          </w:p>
        </w:tc>
        <w:tc>
          <w:tcPr>
            <w:tcW w:w="1699" w:type="pct"/>
            <w:gridSpan w:val="3"/>
            <w:tcBorders>
              <w:top w:val="single" w:sz="4" w:space="0" w:color="auto"/>
              <w:left w:val="nil"/>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b/>
                <w:bCs/>
                <w:snapToGrid w:val="0"/>
                <w:sz w:val="20"/>
              </w:rPr>
            </w:pPr>
            <w:r w:rsidRPr="00AA55DA">
              <w:rPr>
                <w:rFonts w:ascii="Arial Narrow" w:hAnsi="Arial Narrow"/>
                <w:b/>
                <w:bCs/>
                <w:snapToGrid w:val="0"/>
                <w:sz w:val="20"/>
              </w:rPr>
              <w:t>Infliximab</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b/>
                <w:bCs/>
                <w:snapToGrid w:val="0"/>
                <w:sz w:val="20"/>
              </w:rPr>
            </w:pPr>
            <w:r w:rsidRPr="00AA55DA">
              <w:rPr>
                <w:rFonts w:ascii="Arial Narrow" w:hAnsi="Arial Narrow"/>
                <w:b/>
                <w:bCs/>
                <w:snapToGrid w:val="0"/>
                <w:sz w:val="20"/>
              </w:rPr>
              <w:t xml:space="preserve">Indirect estimate of </w:t>
            </w:r>
            <w:proofErr w:type="spellStart"/>
            <w:r w:rsidRPr="00AA55DA">
              <w:rPr>
                <w:rFonts w:ascii="Arial Narrow" w:hAnsi="Arial Narrow"/>
                <w:b/>
                <w:bCs/>
                <w:snapToGrid w:val="0"/>
                <w:sz w:val="20"/>
              </w:rPr>
              <w:t>effect</w:t>
            </w:r>
            <w:r w:rsidRPr="00AA55DA">
              <w:rPr>
                <w:rFonts w:ascii="Arial Narrow" w:hAnsi="Arial Narrow"/>
                <w:snapToGrid w:val="0"/>
                <w:sz w:val="20"/>
                <w:vertAlign w:val="superscript"/>
              </w:rPr>
              <w:t>c</w:t>
            </w:r>
            <w:proofErr w:type="spellEnd"/>
            <w:r w:rsidRPr="00AA55DA">
              <w:rPr>
                <w:rFonts w:ascii="Arial Narrow" w:hAnsi="Arial Narrow"/>
                <w:snapToGrid w:val="0"/>
                <w:sz w:val="20"/>
              </w:rPr>
              <w:br/>
            </w:r>
            <w:r w:rsidRPr="00AA55DA">
              <w:rPr>
                <w:rFonts w:ascii="Arial Narrow" w:hAnsi="Arial Narrow"/>
                <w:b/>
                <w:bCs/>
                <w:snapToGrid w:val="0"/>
                <w:sz w:val="20"/>
              </w:rPr>
              <w:t>RR (95% CI)</w:t>
            </w:r>
          </w:p>
        </w:tc>
      </w:tr>
      <w:tr w:rsidR="00D466E9" w:rsidRPr="00AA55DA" w:rsidTr="002E6F6F">
        <w:trPr>
          <w:tblHeader/>
        </w:trPr>
        <w:tc>
          <w:tcPr>
            <w:tcW w:w="594" w:type="pct"/>
            <w:vMerge/>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snapToGrid w:val="0"/>
                <w:sz w:val="20"/>
              </w:rPr>
            </w:pP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b/>
                <w:bCs/>
                <w:snapToGrid w:val="0"/>
                <w:sz w:val="20"/>
              </w:rPr>
            </w:pPr>
            <w:r w:rsidRPr="00AA55DA">
              <w:rPr>
                <w:rFonts w:ascii="Arial Narrow" w:hAnsi="Arial Narrow"/>
                <w:b/>
                <w:bCs/>
                <w:snapToGrid w:val="0"/>
                <w:sz w:val="20"/>
              </w:rPr>
              <w:t xml:space="preserve">Treatment </w:t>
            </w:r>
            <w:proofErr w:type="spellStart"/>
            <w:r w:rsidRPr="00AA55DA">
              <w:rPr>
                <w:rFonts w:ascii="Arial Narrow" w:hAnsi="Arial Narrow"/>
                <w:b/>
                <w:bCs/>
                <w:snapToGrid w:val="0"/>
                <w:sz w:val="20"/>
              </w:rPr>
              <w:t>effect</w:t>
            </w:r>
            <w:r w:rsidRPr="00AA55DA">
              <w:rPr>
                <w:rFonts w:ascii="Arial Narrow" w:hAnsi="Arial Narrow"/>
                <w:b/>
                <w:bCs/>
                <w:snapToGrid w:val="0"/>
                <w:sz w:val="20"/>
                <w:vertAlign w:val="superscript"/>
              </w:rPr>
              <w:t>a</w:t>
            </w:r>
            <w:proofErr w:type="spellEnd"/>
            <w:r w:rsidRPr="00AA55DA">
              <w:rPr>
                <w:rFonts w:ascii="Arial Narrow" w:hAnsi="Arial Narrow"/>
                <w:b/>
                <w:bCs/>
                <w:snapToGrid w:val="0"/>
                <w:sz w:val="20"/>
                <w:vertAlign w:val="superscript"/>
              </w:rPr>
              <w:br/>
            </w:r>
            <w:r w:rsidRPr="00AA55DA">
              <w:rPr>
                <w:rFonts w:ascii="Arial Narrow" w:hAnsi="Arial Narrow"/>
                <w:b/>
                <w:bCs/>
                <w:snapToGrid w:val="0"/>
                <w:sz w:val="20"/>
              </w:rPr>
              <w:t>RR (95% CI)</w:t>
            </w:r>
          </w:p>
        </w:tc>
        <w:tc>
          <w:tcPr>
            <w:tcW w:w="680"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contextualSpacing/>
              <w:jc w:val="center"/>
              <w:rPr>
                <w:rFonts w:ascii="Arial Narrow" w:hAnsi="Arial Narrow"/>
                <w:b/>
                <w:sz w:val="20"/>
              </w:rPr>
            </w:pPr>
            <w:proofErr w:type="spellStart"/>
            <w:r w:rsidRPr="00AA55DA">
              <w:rPr>
                <w:rFonts w:ascii="Arial Narrow" w:hAnsi="Arial Narrow"/>
                <w:b/>
                <w:sz w:val="20"/>
              </w:rPr>
              <w:t>Vedolizumab</w:t>
            </w:r>
            <w:proofErr w:type="spellEnd"/>
          </w:p>
          <w:p w:rsidR="00E42311" w:rsidRPr="00AA55DA" w:rsidRDefault="00E42311" w:rsidP="00E42311">
            <w:pPr>
              <w:keepNext/>
              <w:widowControl/>
              <w:jc w:val="center"/>
              <w:rPr>
                <w:rFonts w:ascii="Arial Narrow" w:hAnsi="Arial Narrow"/>
                <w:b/>
                <w:bCs/>
                <w:snapToGrid w:val="0"/>
                <w:sz w:val="20"/>
              </w:rPr>
            </w:pPr>
            <w:proofErr w:type="gramStart"/>
            <w:r w:rsidRPr="00AA55DA">
              <w:rPr>
                <w:rFonts w:ascii="Arial Narrow" w:hAnsi="Arial Narrow" w:cs="Arial Narrow"/>
                <w:b/>
                <w:bCs/>
                <w:snapToGrid w:val="0"/>
                <w:sz w:val="20"/>
              </w:rPr>
              <w:t>n/N</w:t>
            </w:r>
            <w:proofErr w:type="gramEnd"/>
            <w:r w:rsidRPr="00AA55DA">
              <w:rPr>
                <w:rFonts w:ascii="Arial Narrow" w:hAnsi="Arial Narrow" w:cs="Arial Narrow"/>
                <w:b/>
                <w:bCs/>
                <w:snapToGrid w:val="0"/>
                <w:sz w:val="20"/>
              </w:rPr>
              <w:t xml:space="preserve"> (%)</w:t>
            </w:r>
          </w:p>
        </w:tc>
        <w:tc>
          <w:tcPr>
            <w:tcW w:w="595" w:type="pct"/>
            <w:tcBorders>
              <w:top w:val="single" w:sz="4" w:space="0" w:color="auto"/>
              <w:left w:val="single" w:sz="4" w:space="0" w:color="auto"/>
              <w:bottom w:val="single" w:sz="4" w:space="0" w:color="auto"/>
              <w:right w:val="double" w:sz="4" w:space="0" w:color="auto"/>
            </w:tcBorders>
            <w:vAlign w:val="center"/>
          </w:tcPr>
          <w:p w:rsidR="00E42311" w:rsidRPr="00AA55DA" w:rsidRDefault="00E42311" w:rsidP="00E42311">
            <w:pPr>
              <w:keepNext/>
              <w:widowControl/>
              <w:jc w:val="center"/>
              <w:rPr>
                <w:rFonts w:ascii="Arial Narrow" w:hAnsi="Arial Narrow"/>
                <w:b/>
                <w:bCs/>
                <w:snapToGrid w:val="0"/>
                <w:sz w:val="20"/>
              </w:rPr>
            </w:pPr>
            <w:r w:rsidRPr="00AA55DA">
              <w:rPr>
                <w:rFonts w:ascii="Arial Narrow" w:hAnsi="Arial Narrow" w:cs="Arial Narrow"/>
                <w:b/>
                <w:bCs/>
                <w:snapToGrid w:val="0"/>
                <w:sz w:val="20"/>
              </w:rPr>
              <w:t>Placebo n/N (%)</w:t>
            </w:r>
          </w:p>
        </w:tc>
        <w:tc>
          <w:tcPr>
            <w:tcW w:w="510" w:type="pct"/>
            <w:tcBorders>
              <w:top w:val="single" w:sz="4" w:space="0" w:color="auto"/>
              <w:left w:val="double" w:sz="4" w:space="0" w:color="auto"/>
              <w:bottom w:val="single" w:sz="4" w:space="0" w:color="auto"/>
              <w:right w:val="single" w:sz="4" w:space="0" w:color="auto"/>
            </w:tcBorders>
            <w:vAlign w:val="center"/>
          </w:tcPr>
          <w:p w:rsidR="00E42311" w:rsidRPr="00AA55DA" w:rsidRDefault="00E42311" w:rsidP="00E42311">
            <w:pPr>
              <w:keepNext/>
              <w:contextualSpacing/>
              <w:jc w:val="center"/>
              <w:rPr>
                <w:rFonts w:ascii="Arial Narrow" w:hAnsi="Arial Narrow"/>
                <w:b/>
                <w:sz w:val="20"/>
              </w:rPr>
            </w:pPr>
            <w:r w:rsidRPr="00AA55DA">
              <w:rPr>
                <w:rFonts w:ascii="Arial Narrow" w:hAnsi="Arial Narrow"/>
                <w:b/>
                <w:sz w:val="20"/>
              </w:rPr>
              <w:t>Placebo</w:t>
            </w:r>
          </w:p>
          <w:p w:rsidR="00E42311" w:rsidRPr="00AA55DA" w:rsidRDefault="00E42311" w:rsidP="00E42311">
            <w:pPr>
              <w:keepNext/>
              <w:widowControl/>
              <w:jc w:val="center"/>
              <w:rPr>
                <w:rFonts w:ascii="Arial Narrow" w:hAnsi="Arial Narrow"/>
                <w:b/>
                <w:bCs/>
                <w:snapToGrid w:val="0"/>
                <w:sz w:val="20"/>
              </w:rPr>
            </w:pPr>
            <w:proofErr w:type="gramStart"/>
            <w:r w:rsidRPr="00AA55DA">
              <w:rPr>
                <w:rFonts w:ascii="Arial Narrow" w:hAnsi="Arial Narrow" w:cs="Arial Narrow"/>
                <w:b/>
                <w:bCs/>
                <w:snapToGrid w:val="0"/>
                <w:sz w:val="20"/>
              </w:rPr>
              <w:t>n/N</w:t>
            </w:r>
            <w:proofErr w:type="gramEnd"/>
            <w:r w:rsidRPr="00AA55DA">
              <w:rPr>
                <w:rFonts w:ascii="Arial Narrow" w:hAnsi="Arial Narrow" w:cs="Arial Narrow"/>
                <w:b/>
                <w:bCs/>
                <w:snapToGrid w:val="0"/>
                <w:sz w:val="20"/>
              </w:rPr>
              <w:t xml:space="preserve"> (%)</w:t>
            </w:r>
          </w:p>
        </w:tc>
        <w:tc>
          <w:tcPr>
            <w:tcW w:w="594"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contextualSpacing/>
              <w:jc w:val="center"/>
              <w:rPr>
                <w:rFonts w:ascii="Arial Narrow" w:hAnsi="Arial Narrow"/>
                <w:b/>
                <w:sz w:val="20"/>
              </w:rPr>
            </w:pPr>
            <w:r w:rsidRPr="00AA55DA">
              <w:rPr>
                <w:rFonts w:ascii="Arial Narrow" w:hAnsi="Arial Narrow"/>
                <w:b/>
                <w:sz w:val="20"/>
              </w:rPr>
              <w:t>Infliximab</w:t>
            </w:r>
          </w:p>
          <w:p w:rsidR="00E42311" w:rsidRPr="00AA55DA" w:rsidRDefault="00E42311" w:rsidP="00E42311">
            <w:pPr>
              <w:keepNext/>
              <w:widowControl/>
              <w:jc w:val="center"/>
              <w:rPr>
                <w:rFonts w:ascii="Arial Narrow" w:hAnsi="Arial Narrow"/>
                <w:b/>
                <w:bCs/>
                <w:snapToGrid w:val="0"/>
                <w:sz w:val="20"/>
              </w:rPr>
            </w:pPr>
            <w:proofErr w:type="gramStart"/>
            <w:r w:rsidRPr="00AA55DA">
              <w:rPr>
                <w:rFonts w:ascii="Arial Narrow" w:hAnsi="Arial Narrow" w:cs="Arial Narrow"/>
                <w:b/>
                <w:bCs/>
                <w:snapToGrid w:val="0"/>
                <w:sz w:val="20"/>
              </w:rPr>
              <w:t>n/N</w:t>
            </w:r>
            <w:proofErr w:type="gramEnd"/>
            <w:r w:rsidRPr="00AA55DA">
              <w:rPr>
                <w:rFonts w:ascii="Arial Narrow" w:hAnsi="Arial Narrow" w:cs="Arial Narrow"/>
                <w:b/>
                <w:bCs/>
                <w:snapToGrid w:val="0"/>
                <w:sz w:val="20"/>
              </w:rPr>
              <w:t xml:space="preserve"> (%)</w:t>
            </w:r>
          </w:p>
        </w:tc>
        <w:tc>
          <w:tcPr>
            <w:tcW w:w="595"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b/>
                <w:bCs/>
                <w:snapToGrid w:val="0"/>
                <w:sz w:val="20"/>
              </w:rPr>
            </w:pPr>
            <w:r w:rsidRPr="00AA55DA">
              <w:rPr>
                <w:rFonts w:ascii="Arial Narrow" w:hAnsi="Arial Narrow"/>
                <w:b/>
                <w:bCs/>
                <w:snapToGrid w:val="0"/>
                <w:sz w:val="20"/>
              </w:rPr>
              <w:t xml:space="preserve">Treatment </w:t>
            </w:r>
            <w:proofErr w:type="spellStart"/>
            <w:r w:rsidRPr="00AA55DA">
              <w:rPr>
                <w:rFonts w:ascii="Arial Narrow" w:hAnsi="Arial Narrow"/>
                <w:b/>
                <w:bCs/>
                <w:snapToGrid w:val="0"/>
                <w:sz w:val="20"/>
              </w:rPr>
              <w:t>effect</w:t>
            </w:r>
            <w:r w:rsidRPr="00AA55DA">
              <w:rPr>
                <w:rFonts w:ascii="Arial Narrow" w:hAnsi="Arial Narrow"/>
                <w:b/>
                <w:bCs/>
                <w:snapToGrid w:val="0"/>
                <w:sz w:val="20"/>
                <w:vertAlign w:val="superscript"/>
              </w:rPr>
              <w:t>b</w:t>
            </w:r>
            <w:proofErr w:type="spellEnd"/>
            <w:r w:rsidRPr="00AA55DA">
              <w:rPr>
                <w:rFonts w:ascii="Arial Narrow" w:hAnsi="Arial Narrow"/>
                <w:b/>
                <w:bCs/>
                <w:snapToGrid w:val="0"/>
                <w:sz w:val="20"/>
                <w:vertAlign w:val="superscript"/>
              </w:rPr>
              <w:br/>
            </w:r>
            <w:r w:rsidRPr="00AA55DA">
              <w:rPr>
                <w:rFonts w:ascii="Arial Narrow" w:hAnsi="Arial Narrow"/>
                <w:b/>
                <w:bCs/>
                <w:snapToGrid w:val="0"/>
                <w:sz w:val="20"/>
              </w:rPr>
              <w:t>RR (95% CI)</w:t>
            </w:r>
          </w:p>
        </w:tc>
        <w:tc>
          <w:tcPr>
            <w:tcW w:w="753" w:type="pct"/>
            <w:vMerge/>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b/>
                <w:bCs/>
                <w:snapToGrid w:val="0"/>
                <w:sz w:val="20"/>
              </w:rPr>
            </w:pPr>
          </w:p>
        </w:tc>
      </w:tr>
      <w:tr w:rsidR="00E42311" w:rsidRPr="00AA55DA" w:rsidTr="002E6F6F">
        <w:tc>
          <w:tcPr>
            <w:tcW w:w="5000" w:type="pct"/>
            <w:gridSpan w:val="8"/>
            <w:tcBorders>
              <w:top w:val="single" w:sz="4" w:space="0" w:color="auto"/>
              <w:left w:val="single" w:sz="4" w:space="0" w:color="auto"/>
              <w:bottom w:val="single" w:sz="4" w:space="0" w:color="auto"/>
              <w:right w:val="single" w:sz="4" w:space="0" w:color="auto"/>
            </w:tcBorders>
            <w:shd w:val="clear" w:color="auto" w:fill="EEECE1" w:themeFill="background2"/>
            <w:tcMar>
              <w:right w:w="28" w:type="dxa"/>
            </w:tcMar>
            <w:vAlign w:val="center"/>
          </w:tcPr>
          <w:p w:rsidR="00E42311" w:rsidRPr="00AA55DA" w:rsidRDefault="00E42311" w:rsidP="00E42311">
            <w:pPr>
              <w:contextualSpacing/>
              <w:rPr>
                <w:rFonts w:ascii="Arial Narrow" w:hAnsi="Arial Narrow"/>
                <w:b/>
                <w:sz w:val="20"/>
              </w:rPr>
            </w:pPr>
            <w:r w:rsidRPr="00AA55DA">
              <w:rPr>
                <w:rFonts w:ascii="Arial Narrow" w:hAnsi="Arial Narrow"/>
                <w:b/>
                <w:sz w:val="20"/>
              </w:rPr>
              <w:t>Clinical remission in induction phase</w:t>
            </w:r>
          </w:p>
        </w:tc>
      </w:tr>
      <w:tr w:rsidR="00D466E9" w:rsidRPr="00AA55DA" w:rsidTr="002E6F6F">
        <w:tc>
          <w:tcPr>
            <w:tcW w:w="594" w:type="pct"/>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snapToGrid w:val="0"/>
                <w:sz w:val="20"/>
              </w:rPr>
            </w:pPr>
            <w:r w:rsidRPr="00AA55DA">
              <w:rPr>
                <w:rFonts w:ascii="Arial Narrow" w:hAnsi="Arial Narrow" w:cs="Arial Narrow"/>
                <w:snapToGrid w:val="0"/>
                <w:sz w:val="20"/>
              </w:rPr>
              <w:t>GEMINI II</w:t>
            </w: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2.15</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(1.09, 4.24)</w:t>
            </w: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32/220</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(14.5)</w:t>
            </w:r>
          </w:p>
        </w:tc>
        <w:tc>
          <w:tcPr>
            <w:tcW w:w="595" w:type="pct"/>
            <w:tcBorders>
              <w:top w:val="single" w:sz="4" w:space="0" w:color="auto"/>
              <w:left w:val="single" w:sz="4" w:space="0" w:color="auto"/>
              <w:bottom w:val="single" w:sz="4" w:space="0" w:color="auto"/>
              <w:right w:val="doub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10/148</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(6.8)</w:t>
            </w:r>
          </w:p>
        </w:tc>
        <w:tc>
          <w:tcPr>
            <w:tcW w:w="510" w:type="pct"/>
            <w:tcBorders>
              <w:top w:val="single" w:sz="4" w:space="0" w:color="auto"/>
              <w:left w:val="doub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94"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95"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753" w:type="pct"/>
            <w:vMerge w:val="restart"/>
            <w:tcBorders>
              <w:top w:val="single" w:sz="4" w:space="0" w:color="auto"/>
              <w:left w:val="single" w:sz="4" w:space="0" w:color="auto"/>
              <w:right w:val="single" w:sz="4" w:space="0" w:color="auto"/>
            </w:tcBorders>
            <w:vAlign w:val="center"/>
          </w:tcPr>
          <w:p w:rsidR="00E42311" w:rsidRPr="004165CE" w:rsidRDefault="004165CE" w:rsidP="00E42311">
            <w:pPr>
              <w:contextualSpacing/>
              <w:jc w:val="center"/>
              <w:rPr>
                <w:rFonts w:ascii="Arial Narrow" w:hAnsi="Arial Narrow"/>
                <w:sz w:val="20"/>
                <w:highlight w:val="black"/>
              </w:rPr>
            </w:pPr>
            <w:r>
              <w:rPr>
                <w:rFonts w:ascii="Arial Narrow" w:hAnsi="Arial Narrow"/>
                <w:noProof/>
                <w:color w:val="000000"/>
                <w:sz w:val="20"/>
                <w:highlight w:val="black"/>
              </w:rPr>
              <w:t>'''''''''''''</w:t>
            </w:r>
          </w:p>
          <w:p w:rsidR="00E42311" w:rsidRPr="004165CE" w:rsidRDefault="004165CE" w:rsidP="00E42311">
            <w:pPr>
              <w:keepNext/>
              <w:widowControl/>
              <w:jc w:val="center"/>
              <w:rPr>
                <w:rFonts w:ascii="Arial Narrow" w:hAnsi="Arial Narrow"/>
                <w:snapToGrid w:val="0"/>
                <w:sz w:val="20"/>
                <w:highlight w:val="black"/>
              </w:rPr>
            </w:pPr>
            <w:r>
              <w:rPr>
                <w:rFonts w:ascii="Arial Narrow" w:hAnsi="Arial Narrow" w:cs="Arial Narrow"/>
                <w:noProof/>
                <w:snapToGrid w:val="0"/>
                <w:color w:val="000000"/>
                <w:sz w:val="20"/>
                <w:highlight w:val="black"/>
              </w:rPr>
              <w:t>'''''''''''''''''' '''''''''''</w:t>
            </w:r>
          </w:p>
        </w:tc>
      </w:tr>
      <w:tr w:rsidR="00D466E9" w:rsidRPr="00AA55DA" w:rsidTr="002E6F6F">
        <w:tc>
          <w:tcPr>
            <w:tcW w:w="594" w:type="pct"/>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snapToGrid w:val="0"/>
                <w:sz w:val="20"/>
              </w:rPr>
            </w:pPr>
            <w:r w:rsidRPr="00AA55DA">
              <w:rPr>
                <w:rFonts w:ascii="Arial Narrow" w:hAnsi="Arial Narrow" w:cs="Arial Narrow"/>
                <w:snapToGrid w:val="0"/>
                <w:sz w:val="20"/>
              </w:rPr>
              <w:t>GEMINI III</w:t>
            </w: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4165CE" w:rsidRDefault="004165CE" w:rsidP="00E42311">
            <w:pPr>
              <w:contextualSpacing/>
              <w:jc w:val="center"/>
              <w:rPr>
                <w:rFonts w:ascii="Arial Narrow" w:hAnsi="Arial Narrow"/>
                <w:sz w:val="20"/>
                <w:highlight w:val="black"/>
              </w:rPr>
            </w:pPr>
            <w:r>
              <w:rPr>
                <w:rFonts w:ascii="Arial Narrow" w:hAnsi="Arial Narrow"/>
                <w:noProof/>
                <w:color w:val="000000"/>
                <w:sz w:val="20"/>
                <w:highlight w:val="black"/>
              </w:rPr>
              <w:t>'''''''''''</w:t>
            </w:r>
          </w:p>
          <w:p w:rsidR="00E42311" w:rsidRPr="004165CE" w:rsidRDefault="004165CE" w:rsidP="00E42311">
            <w:pPr>
              <w:keepNext/>
              <w:widowControl/>
              <w:jc w:val="center"/>
              <w:rPr>
                <w:rFonts w:ascii="Arial Narrow" w:hAnsi="Arial Narrow"/>
                <w:snapToGrid w:val="0"/>
                <w:sz w:val="20"/>
                <w:highlight w:val="black"/>
              </w:rPr>
            </w:pPr>
            <w:r>
              <w:rPr>
                <w:rFonts w:ascii="Arial Narrow" w:hAnsi="Arial Narrow" w:cs="Arial Narrow"/>
                <w:noProof/>
                <w:snapToGrid w:val="0"/>
                <w:color w:val="000000"/>
                <w:sz w:val="20"/>
                <w:highlight w:val="black"/>
              </w:rPr>
              <w:t>''''''''''''' '''''''''''''</w:t>
            </w: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4165CE" w:rsidRDefault="004165CE" w:rsidP="00E42311">
            <w:pPr>
              <w:contextualSpacing/>
              <w:jc w:val="center"/>
              <w:rPr>
                <w:rFonts w:ascii="Arial Narrow" w:hAnsi="Arial Narrow"/>
                <w:sz w:val="20"/>
                <w:highlight w:val="black"/>
              </w:rPr>
            </w:pPr>
            <w:r>
              <w:rPr>
                <w:rFonts w:ascii="Arial Narrow" w:hAnsi="Arial Narrow"/>
                <w:noProof/>
                <w:color w:val="000000"/>
                <w:sz w:val="20"/>
                <w:highlight w:val="black"/>
              </w:rPr>
              <w:t>'''''''''''''''''</w:t>
            </w:r>
          </w:p>
          <w:p w:rsidR="00E42311" w:rsidRPr="004165CE" w:rsidRDefault="004165CE" w:rsidP="00E42311">
            <w:pPr>
              <w:keepNext/>
              <w:widowControl/>
              <w:jc w:val="center"/>
              <w:rPr>
                <w:rFonts w:ascii="Arial Narrow" w:hAnsi="Arial Narrow"/>
                <w:snapToGrid w:val="0"/>
                <w:sz w:val="20"/>
                <w:highlight w:val="black"/>
              </w:rPr>
            </w:pPr>
            <w:r>
              <w:rPr>
                <w:rFonts w:ascii="Arial Narrow" w:hAnsi="Arial Narrow" w:cs="Arial Narrow"/>
                <w:noProof/>
                <w:snapToGrid w:val="0"/>
                <w:color w:val="000000"/>
                <w:sz w:val="20"/>
                <w:highlight w:val="black"/>
              </w:rPr>
              <w:t>''''''''''''''</w:t>
            </w:r>
          </w:p>
        </w:tc>
        <w:tc>
          <w:tcPr>
            <w:tcW w:w="595" w:type="pct"/>
            <w:tcBorders>
              <w:top w:val="single" w:sz="4" w:space="0" w:color="auto"/>
              <w:left w:val="single" w:sz="4" w:space="0" w:color="auto"/>
              <w:bottom w:val="single" w:sz="4" w:space="0" w:color="auto"/>
              <w:right w:val="double" w:sz="4" w:space="0" w:color="auto"/>
            </w:tcBorders>
            <w:vAlign w:val="center"/>
          </w:tcPr>
          <w:p w:rsidR="00E42311" w:rsidRPr="004165CE" w:rsidRDefault="004165CE" w:rsidP="00E42311">
            <w:pPr>
              <w:contextualSpacing/>
              <w:jc w:val="center"/>
              <w:rPr>
                <w:rFonts w:ascii="Arial Narrow" w:hAnsi="Arial Narrow"/>
                <w:sz w:val="20"/>
                <w:highlight w:val="black"/>
              </w:rPr>
            </w:pPr>
            <w:r>
              <w:rPr>
                <w:rFonts w:ascii="Arial Narrow" w:hAnsi="Arial Narrow"/>
                <w:noProof/>
                <w:color w:val="000000"/>
                <w:sz w:val="20"/>
                <w:highlight w:val="black"/>
              </w:rPr>
              <w:t>'''''''''''''''</w:t>
            </w:r>
          </w:p>
          <w:p w:rsidR="00E42311" w:rsidRPr="004165CE" w:rsidRDefault="004165CE" w:rsidP="00E42311">
            <w:pPr>
              <w:keepNext/>
              <w:widowControl/>
              <w:jc w:val="center"/>
              <w:rPr>
                <w:rFonts w:ascii="Arial Narrow" w:hAnsi="Arial Narrow"/>
                <w:snapToGrid w:val="0"/>
                <w:sz w:val="20"/>
                <w:highlight w:val="black"/>
              </w:rPr>
            </w:pPr>
            <w:r>
              <w:rPr>
                <w:rFonts w:ascii="Arial Narrow" w:hAnsi="Arial Narrow" w:cs="Arial Narrow"/>
                <w:noProof/>
                <w:snapToGrid w:val="0"/>
                <w:color w:val="000000"/>
                <w:sz w:val="20"/>
                <w:highlight w:val="black"/>
              </w:rPr>
              <w:t>'''''''''''''</w:t>
            </w:r>
          </w:p>
        </w:tc>
        <w:tc>
          <w:tcPr>
            <w:tcW w:w="510" w:type="pct"/>
            <w:tcBorders>
              <w:top w:val="single" w:sz="4" w:space="0" w:color="auto"/>
              <w:left w:val="doub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94"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95"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753" w:type="pct"/>
            <w:vMerge/>
            <w:tcBorders>
              <w:left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r>
      <w:tr w:rsidR="00D466E9" w:rsidRPr="00AA55DA" w:rsidTr="002E6F6F">
        <w:tc>
          <w:tcPr>
            <w:tcW w:w="594" w:type="pct"/>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snapToGrid w:val="0"/>
                <w:sz w:val="20"/>
              </w:rPr>
            </w:pPr>
            <w:r w:rsidRPr="00AA55DA">
              <w:rPr>
                <w:rFonts w:ascii="Arial Narrow" w:hAnsi="Arial Narrow" w:cs="Arial Narrow"/>
                <w:snapToGrid w:val="0"/>
                <w:sz w:val="20"/>
              </w:rPr>
              <w:t>T16</w:t>
            </w: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679"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95" w:type="pct"/>
            <w:tcBorders>
              <w:top w:val="single" w:sz="4" w:space="0" w:color="auto"/>
              <w:left w:val="single" w:sz="4" w:space="0" w:color="auto"/>
              <w:bottom w:val="single" w:sz="4" w:space="0" w:color="auto"/>
              <w:right w:val="double" w:sz="4" w:space="0" w:color="auto"/>
            </w:tcBorders>
            <w:vAlign w:val="center"/>
          </w:tcPr>
          <w:p w:rsidR="00E42311" w:rsidRPr="00AA55DA" w:rsidRDefault="00E42311" w:rsidP="00E42311">
            <w:pPr>
              <w:keepNext/>
              <w:widowControl/>
              <w:jc w:val="center"/>
              <w:rPr>
                <w:rFonts w:ascii="Arial Narrow" w:hAnsi="Arial Narrow"/>
                <w:snapToGrid w:val="0"/>
                <w:sz w:val="20"/>
              </w:rPr>
            </w:pPr>
          </w:p>
        </w:tc>
        <w:tc>
          <w:tcPr>
            <w:tcW w:w="510" w:type="pct"/>
            <w:tcBorders>
              <w:top w:val="single" w:sz="4" w:space="0" w:color="auto"/>
              <w:left w:val="doub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1/24</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(4.2)</w:t>
            </w:r>
          </w:p>
        </w:tc>
        <w:tc>
          <w:tcPr>
            <w:tcW w:w="594"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13/27</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(48.1)</w:t>
            </w:r>
          </w:p>
        </w:tc>
        <w:tc>
          <w:tcPr>
            <w:tcW w:w="595" w:type="pct"/>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11.56</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cs="Arial Narrow"/>
                <w:snapToGrid w:val="0"/>
                <w:sz w:val="20"/>
              </w:rPr>
              <w:t>(1.63, 81.99)</w:t>
            </w:r>
          </w:p>
        </w:tc>
        <w:tc>
          <w:tcPr>
            <w:tcW w:w="753" w:type="pct"/>
            <w:vMerge/>
            <w:tcBorders>
              <w:left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p>
        </w:tc>
      </w:tr>
      <w:tr w:rsidR="00D466E9" w:rsidRPr="00E42311" w:rsidTr="002E6F6F">
        <w:tc>
          <w:tcPr>
            <w:tcW w:w="594" w:type="pct"/>
            <w:tcBorders>
              <w:top w:val="single" w:sz="4" w:space="0" w:color="auto"/>
              <w:left w:val="single" w:sz="4" w:space="0" w:color="auto"/>
              <w:bottom w:val="single" w:sz="4" w:space="0" w:color="auto"/>
              <w:right w:val="single" w:sz="4" w:space="0" w:color="auto"/>
            </w:tcBorders>
            <w:tcMar>
              <w:right w:w="28" w:type="dxa"/>
            </w:tcMar>
            <w:vAlign w:val="center"/>
          </w:tcPr>
          <w:p w:rsidR="00E42311" w:rsidRPr="00AA55DA" w:rsidRDefault="00E42311" w:rsidP="00E42311">
            <w:pPr>
              <w:keepNext/>
              <w:widowControl/>
              <w:jc w:val="left"/>
              <w:rPr>
                <w:rFonts w:ascii="Arial Narrow" w:hAnsi="Arial Narrow"/>
                <w:snapToGrid w:val="0"/>
                <w:sz w:val="20"/>
              </w:rPr>
            </w:pPr>
            <w:r w:rsidRPr="00AA55DA">
              <w:rPr>
                <w:rFonts w:ascii="Arial Narrow" w:hAnsi="Arial Narrow" w:cs="Arial Narrow"/>
                <w:snapToGrid w:val="0"/>
                <w:sz w:val="20"/>
              </w:rPr>
              <w:t>Pooled</w:t>
            </w:r>
          </w:p>
        </w:tc>
        <w:tc>
          <w:tcPr>
            <w:tcW w:w="1359" w:type="pct"/>
            <w:gridSpan w:val="2"/>
            <w:tcBorders>
              <w:top w:val="single" w:sz="4" w:space="0" w:color="auto"/>
              <w:left w:val="single" w:sz="4" w:space="0" w:color="auto"/>
              <w:bottom w:val="single" w:sz="4" w:space="0" w:color="auto"/>
              <w:right w:val="single" w:sz="4" w:space="0" w:color="auto"/>
            </w:tcBorders>
            <w:vAlign w:val="center"/>
          </w:tcPr>
          <w:p w:rsidR="00E42311" w:rsidRPr="00AA55DA" w:rsidRDefault="00E42311" w:rsidP="00E42311">
            <w:pPr>
              <w:contextualSpacing/>
              <w:jc w:val="center"/>
              <w:rPr>
                <w:rFonts w:ascii="Arial Narrow" w:hAnsi="Arial Narrow"/>
                <w:sz w:val="20"/>
              </w:rPr>
            </w:pPr>
            <w:r w:rsidRPr="00AA55DA">
              <w:rPr>
                <w:rFonts w:ascii="Arial Narrow" w:hAnsi="Arial Narrow"/>
                <w:sz w:val="20"/>
              </w:rPr>
              <w:t>I</w:t>
            </w:r>
            <w:r w:rsidRPr="00AA55DA">
              <w:rPr>
                <w:rFonts w:ascii="Arial Narrow" w:hAnsi="Arial Narrow"/>
                <w:sz w:val="20"/>
                <w:vertAlign w:val="superscript"/>
              </w:rPr>
              <w:t>2</w:t>
            </w:r>
            <w:r w:rsidRPr="00AA55DA">
              <w:rPr>
                <w:rFonts w:ascii="Arial Narrow" w:hAnsi="Arial Narrow"/>
                <w:sz w:val="20"/>
              </w:rPr>
              <w:t>=</w:t>
            </w:r>
            <w:r w:rsidR="004165CE">
              <w:rPr>
                <w:rFonts w:ascii="Arial Narrow" w:hAnsi="Arial Narrow"/>
                <w:noProof/>
                <w:color w:val="000000"/>
                <w:sz w:val="20"/>
                <w:highlight w:val="black"/>
              </w:rPr>
              <w:t>'''</w:t>
            </w:r>
            <w:r w:rsidRPr="00AA55DA">
              <w:rPr>
                <w:rFonts w:ascii="Arial Narrow" w:hAnsi="Arial Narrow"/>
                <w:sz w:val="20"/>
              </w:rPr>
              <w:t>%, chi-square</w:t>
            </w:r>
          </w:p>
          <w:p w:rsidR="00E42311" w:rsidRPr="00AA55DA" w:rsidRDefault="00E42311" w:rsidP="00E42311">
            <w:pPr>
              <w:keepNext/>
              <w:widowControl/>
              <w:jc w:val="center"/>
              <w:rPr>
                <w:rFonts w:ascii="Arial Narrow" w:hAnsi="Arial Narrow"/>
                <w:snapToGrid w:val="0"/>
                <w:sz w:val="20"/>
              </w:rPr>
            </w:pPr>
            <w:r w:rsidRPr="00AA55DA">
              <w:rPr>
                <w:rFonts w:ascii="Arial Narrow" w:hAnsi="Arial Narrow"/>
                <w:snapToGrid w:val="0"/>
                <w:sz w:val="20"/>
              </w:rPr>
              <w:t>p-value=</w:t>
            </w:r>
            <w:r w:rsidR="004165CE">
              <w:rPr>
                <w:rFonts w:ascii="Arial Narrow" w:hAnsi="Arial Narrow"/>
                <w:noProof/>
                <w:snapToGrid w:val="0"/>
                <w:color w:val="000000"/>
                <w:sz w:val="20"/>
                <w:highlight w:val="black"/>
              </w:rPr>
              <w:t>''''''''''''</w:t>
            </w:r>
          </w:p>
        </w:tc>
        <w:tc>
          <w:tcPr>
            <w:tcW w:w="595" w:type="pct"/>
            <w:tcBorders>
              <w:top w:val="single" w:sz="4" w:space="0" w:color="auto"/>
              <w:left w:val="single" w:sz="4" w:space="0" w:color="auto"/>
              <w:bottom w:val="single" w:sz="4" w:space="0" w:color="auto"/>
              <w:right w:val="double" w:sz="4" w:space="0" w:color="auto"/>
            </w:tcBorders>
            <w:vAlign w:val="center"/>
          </w:tcPr>
          <w:p w:rsidR="00E42311" w:rsidRPr="004165CE" w:rsidRDefault="004165CE" w:rsidP="00E42311">
            <w:pPr>
              <w:contextualSpacing/>
              <w:jc w:val="center"/>
              <w:rPr>
                <w:rFonts w:ascii="Arial Narrow" w:hAnsi="Arial Narrow"/>
                <w:sz w:val="20"/>
                <w:highlight w:val="black"/>
              </w:rPr>
            </w:pPr>
            <w:r>
              <w:rPr>
                <w:rFonts w:ascii="Arial Narrow" w:hAnsi="Arial Narrow"/>
                <w:noProof/>
                <w:color w:val="000000"/>
                <w:sz w:val="20"/>
                <w:highlight w:val="black"/>
              </w:rPr>
              <w:t>'''''''''''</w:t>
            </w:r>
          </w:p>
          <w:p w:rsidR="00E42311" w:rsidRPr="004165CE" w:rsidRDefault="004165CE" w:rsidP="00E42311">
            <w:pPr>
              <w:keepNext/>
              <w:widowControl/>
              <w:jc w:val="center"/>
              <w:rPr>
                <w:rFonts w:ascii="Arial Narrow" w:hAnsi="Arial Narrow"/>
                <w:snapToGrid w:val="0"/>
                <w:sz w:val="20"/>
                <w:highlight w:val="black"/>
              </w:rPr>
            </w:pPr>
            <w:r>
              <w:rPr>
                <w:rFonts w:ascii="Arial Narrow" w:hAnsi="Arial Narrow"/>
                <w:noProof/>
                <w:snapToGrid w:val="0"/>
                <w:color w:val="000000"/>
                <w:sz w:val="20"/>
                <w:highlight w:val="black"/>
              </w:rPr>
              <w:t>''''''''''''''' ''''''''''''''</w:t>
            </w:r>
          </w:p>
        </w:tc>
        <w:tc>
          <w:tcPr>
            <w:tcW w:w="510" w:type="pct"/>
            <w:tcBorders>
              <w:top w:val="single" w:sz="4" w:space="0" w:color="auto"/>
              <w:left w:val="double" w:sz="4" w:space="0" w:color="auto"/>
              <w:bottom w:val="single" w:sz="4" w:space="0" w:color="auto"/>
              <w:right w:val="single" w:sz="4" w:space="0" w:color="auto"/>
            </w:tcBorders>
            <w:vAlign w:val="center"/>
          </w:tcPr>
          <w:p w:rsidR="00E42311" w:rsidRPr="00AA55DA" w:rsidRDefault="00E42311" w:rsidP="00E42311">
            <w:pPr>
              <w:keepNext/>
              <w:widowControl/>
              <w:jc w:val="center"/>
              <w:rPr>
                <w:rFonts w:ascii="Arial Narrow" w:hAnsi="Arial Narrow"/>
                <w:snapToGrid w:val="0"/>
                <w:sz w:val="20"/>
              </w:rPr>
            </w:pPr>
            <w:r w:rsidRPr="00AA55DA">
              <w:rPr>
                <w:rFonts w:ascii="Arial Narrow" w:hAnsi="Arial Narrow"/>
                <w:snapToGrid w:val="0"/>
                <w:sz w:val="20"/>
              </w:rPr>
              <w:t>–</w:t>
            </w:r>
          </w:p>
        </w:tc>
        <w:tc>
          <w:tcPr>
            <w:tcW w:w="594" w:type="pct"/>
            <w:tcBorders>
              <w:top w:val="single" w:sz="4" w:space="0" w:color="auto"/>
              <w:left w:val="single" w:sz="4" w:space="0" w:color="auto"/>
              <w:bottom w:val="single" w:sz="4" w:space="0" w:color="auto"/>
              <w:right w:val="single" w:sz="4" w:space="0" w:color="auto"/>
            </w:tcBorders>
            <w:vAlign w:val="center"/>
          </w:tcPr>
          <w:p w:rsidR="00E42311" w:rsidRPr="00E42311" w:rsidRDefault="00E42311" w:rsidP="00E42311">
            <w:pPr>
              <w:keepNext/>
              <w:widowControl/>
              <w:jc w:val="center"/>
              <w:rPr>
                <w:rFonts w:ascii="Arial Narrow" w:hAnsi="Arial Narrow"/>
                <w:snapToGrid w:val="0"/>
                <w:sz w:val="20"/>
              </w:rPr>
            </w:pPr>
            <w:r w:rsidRPr="00AA55DA">
              <w:rPr>
                <w:rFonts w:ascii="Arial Narrow" w:hAnsi="Arial Narrow"/>
                <w:snapToGrid w:val="0"/>
                <w:sz w:val="20"/>
              </w:rPr>
              <w:t>–</w:t>
            </w:r>
          </w:p>
        </w:tc>
        <w:tc>
          <w:tcPr>
            <w:tcW w:w="595" w:type="pct"/>
            <w:tcBorders>
              <w:top w:val="single" w:sz="4" w:space="0" w:color="auto"/>
              <w:left w:val="single" w:sz="4" w:space="0" w:color="auto"/>
              <w:bottom w:val="single" w:sz="4" w:space="0" w:color="auto"/>
              <w:right w:val="single" w:sz="4" w:space="0" w:color="auto"/>
            </w:tcBorders>
            <w:vAlign w:val="center"/>
          </w:tcPr>
          <w:p w:rsidR="00E42311" w:rsidRPr="00E42311" w:rsidRDefault="00E42311" w:rsidP="00E42311">
            <w:pPr>
              <w:keepNext/>
              <w:widowControl/>
              <w:jc w:val="center"/>
              <w:rPr>
                <w:rFonts w:ascii="Arial Narrow" w:hAnsi="Arial Narrow"/>
                <w:snapToGrid w:val="0"/>
                <w:sz w:val="20"/>
              </w:rPr>
            </w:pPr>
          </w:p>
        </w:tc>
        <w:tc>
          <w:tcPr>
            <w:tcW w:w="753" w:type="pct"/>
            <w:vMerge/>
            <w:tcBorders>
              <w:left w:val="single" w:sz="4" w:space="0" w:color="auto"/>
              <w:bottom w:val="single" w:sz="4" w:space="0" w:color="auto"/>
              <w:right w:val="single" w:sz="4" w:space="0" w:color="auto"/>
            </w:tcBorders>
            <w:vAlign w:val="center"/>
          </w:tcPr>
          <w:p w:rsidR="00E42311" w:rsidRPr="00E42311" w:rsidRDefault="00E42311" w:rsidP="00E42311">
            <w:pPr>
              <w:keepNext/>
              <w:widowControl/>
              <w:jc w:val="center"/>
              <w:rPr>
                <w:rFonts w:ascii="Arial Narrow" w:hAnsi="Arial Narrow"/>
                <w:snapToGrid w:val="0"/>
                <w:sz w:val="20"/>
              </w:rPr>
            </w:pPr>
          </w:p>
        </w:tc>
      </w:tr>
    </w:tbl>
    <w:tbl>
      <w:tblPr>
        <w:tblStyle w:val="TableGrid"/>
        <w:tblW w:w="4595" w:type="pct"/>
        <w:tblInd w:w="737" w:type="dxa"/>
        <w:tblLayout w:type="fixed"/>
        <w:tblCellMar>
          <w:left w:w="28" w:type="dxa"/>
          <w:right w:w="28" w:type="dxa"/>
        </w:tblCellMar>
        <w:tblLook w:val="04A0" w:firstRow="1" w:lastRow="0" w:firstColumn="1" w:lastColumn="0" w:noHBand="0" w:noVBand="1"/>
      </w:tblPr>
      <w:tblGrid>
        <w:gridCol w:w="992"/>
        <w:gridCol w:w="1133"/>
        <w:gridCol w:w="1135"/>
        <w:gridCol w:w="993"/>
        <w:gridCol w:w="851"/>
        <w:gridCol w:w="995"/>
        <w:gridCol w:w="993"/>
        <w:gridCol w:w="1254"/>
      </w:tblGrid>
      <w:tr w:rsidR="00E42311" w:rsidRPr="00AA55DA" w:rsidTr="00D466E9">
        <w:tc>
          <w:tcPr>
            <w:tcW w:w="5000" w:type="pct"/>
            <w:gridSpan w:val="8"/>
            <w:tcBorders>
              <w:top w:val="single" w:sz="4" w:space="0" w:color="auto"/>
            </w:tcBorders>
            <w:shd w:val="clear" w:color="auto" w:fill="EEECE1" w:themeFill="background2"/>
            <w:vAlign w:val="center"/>
          </w:tcPr>
          <w:p w:rsidR="00E42311" w:rsidRPr="00AA55DA" w:rsidRDefault="00E42311" w:rsidP="00E42311">
            <w:pPr>
              <w:contextualSpacing/>
              <w:rPr>
                <w:rFonts w:ascii="Arial Narrow" w:hAnsi="Arial Narrow"/>
                <w:b/>
                <w:sz w:val="20"/>
                <w:lang w:eastAsia="en-AU"/>
              </w:rPr>
            </w:pPr>
            <w:r w:rsidRPr="00AA55DA">
              <w:rPr>
                <w:rFonts w:ascii="Arial Narrow" w:hAnsi="Arial Narrow"/>
                <w:b/>
                <w:sz w:val="20"/>
                <w:lang w:eastAsia="en-AU"/>
              </w:rPr>
              <w:t>Clinical response in induction phase</w:t>
            </w:r>
          </w:p>
        </w:tc>
      </w:tr>
      <w:tr w:rsidR="00D466E9" w:rsidRPr="00AA55DA" w:rsidTr="00D466E9">
        <w:tc>
          <w:tcPr>
            <w:tcW w:w="594" w:type="pct"/>
            <w:vAlign w:val="center"/>
          </w:tcPr>
          <w:p w:rsidR="00E42311" w:rsidRPr="00AA55DA" w:rsidRDefault="00E42311" w:rsidP="00E42311">
            <w:pPr>
              <w:contextualSpacing/>
              <w:jc w:val="left"/>
              <w:rPr>
                <w:rFonts w:ascii="Arial Narrow" w:hAnsi="Arial Narrow"/>
                <w:sz w:val="20"/>
                <w:lang w:eastAsia="en-AU"/>
              </w:rPr>
            </w:pPr>
            <w:r w:rsidRPr="00AA55DA">
              <w:rPr>
                <w:rFonts w:ascii="Arial Narrow" w:hAnsi="Arial Narrow"/>
                <w:sz w:val="20"/>
                <w:lang w:eastAsia="en-AU"/>
              </w:rPr>
              <w:t>GEMINI II</w:t>
            </w:r>
          </w:p>
        </w:tc>
        <w:tc>
          <w:tcPr>
            <w:tcW w:w="679" w:type="pct"/>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1.31</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(1.00, 1.70)</w:t>
            </w:r>
          </w:p>
        </w:tc>
        <w:tc>
          <w:tcPr>
            <w:tcW w:w="680" w:type="pct"/>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99/220</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(45.0)</w:t>
            </w:r>
          </w:p>
        </w:tc>
        <w:tc>
          <w:tcPr>
            <w:tcW w:w="595" w:type="pct"/>
            <w:tcBorders>
              <w:right w:val="double" w:sz="4" w:space="0" w:color="auto"/>
            </w:tcBorders>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51/148</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(34.5)</w:t>
            </w:r>
          </w:p>
        </w:tc>
        <w:tc>
          <w:tcPr>
            <w:tcW w:w="510" w:type="pct"/>
            <w:vAlign w:val="center"/>
          </w:tcPr>
          <w:p w:rsidR="00E42311" w:rsidRPr="00AA55DA" w:rsidRDefault="00E42311" w:rsidP="00E42311">
            <w:pPr>
              <w:contextualSpacing/>
              <w:jc w:val="center"/>
              <w:rPr>
                <w:rFonts w:ascii="Arial Narrow" w:hAnsi="Arial Narrow"/>
                <w:sz w:val="20"/>
                <w:lang w:eastAsia="en-AU"/>
              </w:rPr>
            </w:pPr>
          </w:p>
        </w:tc>
        <w:tc>
          <w:tcPr>
            <w:tcW w:w="596" w:type="pct"/>
            <w:vAlign w:val="center"/>
          </w:tcPr>
          <w:p w:rsidR="00E42311" w:rsidRPr="00AA55DA" w:rsidRDefault="00E42311" w:rsidP="00E42311">
            <w:pPr>
              <w:contextualSpacing/>
              <w:jc w:val="center"/>
              <w:rPr>
                <w:rFonts w:ascii="Arial Narrow" w:hAnsi="Arial Narrow"/>
                <w:sz w:val="20"/>
                <w:lang w:eastAsia="en-AU"/>
              </w:rPr>
            </w:pPr>
          </w:p>
        </w:tc>
        <w:tc>
          <w:tcPr>
            <w:tcW w:w="595" w:type="pct"/>
            <w:vAlign w:val="center"/>
          </w:tcPr>
          <w:p w:rsidR="00E42311" w:rsidRPr="00AA55DA" w:rsidRDefault="00E42311" w:rsidP="00E42311">
            <w:pPr>
              <w:contextualSpacing/>
              <w:jc w:val="center"/>
              <w:rPr>
                <w:rFonts w:ascii="Arial Narrow" w:hAnsi="Arial Narrow"/>
                <w:sz w:val="20"/>
                <w:lang w:eastAsia="en-AU"/>
              </w:rPr>
            </w:pPr>
          </w:p>
        </w:tc>
        <w:tc>
          <w:tcPr>
            <w:tcW w:w="751" w:type="pct"/>
            <w:vMerge w:val="restart"/>
            <w:vAlign w:val="center"/>
          </w:tcPr>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 '''''''''''''</w:t>
            </w:r>
          </w:p>
        </w:tc>
      </w:tr>
      <w:tr w:rsidR="00D466E9" w:rsidRPr="00AA55DA" w:rsidTr="00D466E9">
        <w:tc>
          <w:tcPr>
            <w:tcW w:w="594" w:type="pct"/>
            <w:vAlign w:val="center"/>
          </w:tcPr>
          <w:p w:rsidR="00E42311" w:rsidRPr="00AA55DA" w:rsidRDefault="00E42311" w:rsidP="00E42311">
            <w:pPr>
              <w:contextualSpacing/>
              <w:jc w:val="left"/>
              <w:rPr>
                <w:rFonts w:ascii="Arial Narrow" w:hAnsi="Arial Narrow"/>
                <w:sz w:val="20"/>
                <w:lang w:eastAsia="en-AU"/>
              </w:rPr>
            </w:pPr>
            <w:r w:rsidRPr="00AA55DA">
              <w:rPr>
                <w:rFonts w:ascii="Arial Narrow" w:hAnsi="Arial Narrow"/>
                <w:sz w:val="20"/>
                <w:lang w:eastAsia="en-AU"/>
              </w:rPr>
              <w:t>GEMINI III</w:t>
            </w:r>
          </w:p>
        </w:tc>
        <w:tc>
          <w:tcPr>
            <w:tcW w:w="679" w:type="pct"/>
            <w:vAlign w:val="center"/>
          </w:tcPr>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 ''''''''''''</w:t>
            </w:r>
          </w:p>
        </w:tc>
        <w:tc>
          <w:tcPr>
            <w:tcW w:w="680" w:type="pct"/>
            <w:vAlign w:val="center"/>
          </w:tcPr>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595" w:type="pct"/>
            <w:tcBorders>
              <w:right w:val="double" w:sz="4" w:space="0" w:color="auto"/>
            </w:tcBorders>
            <w:vAlign w:val="center"/>
          </w:tcPr>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510" w:type="pct"/>
            <w:vAlign w:val="center"/>
          </w:tcPr>
          <w:p w:rsidR="00E42311" w:rsidRPr="00AA55DA" w:rsidRDefault="00E42311" w:rsidP="00E42311">
            <w:pPr>
              <w:contextualSpacing/>
              <w:jc w:val="center"/>
              <w:rPr>
                <w:rFonts w:ascii="Arial Narrow" w:hAnsi="Arial Narrow"/>
                <w:sz w:val="20"/>
                <w:lang w:eastAsia="en-AU"/>
              </w:rPr>
            </w:pPr>
          </w:p>
        </w:tc>
        <w:tc>
          <w:tcPr>
            <w:tcW w:w="596" w:type="pct"/>
            <w:vAlign w:val="center"/>
          </w:tcPr>
          <w:p w:rsidR="00E42311" w:rsidRPr="00AA55DA" w:rsidRDefault="00E42311" w:rsidP="00E42311">
            <w:pPr>
              <w:contextualSpacing/>
              <w:jc w:val="center"/>
              <w:rPr>
                <w:rFonts w:ascii="Arial Narrow" w:hAnsi="Arial Narrow"/>
                <w:sz w:val="20"/>
                <w:lang w:eastAsia="en-AU"/>
              </w:rPr>
            </w:pPr>
          </w:p>
        </w:tc>
        <w:tc>
          <w:tcPr>
            <w:tcW w:w="595" w:type="pct"/>
            <w:vAlign w:val="center"/>
          </w:tcPr>
          <w:p w:rsidR="00E42311" w:rsidRPr="00AA55DA" w:rsidRDefault="00E42311" w:rsidP="00E42311">
            <w:pPr>
              <w:contextualSpacing/>
              <w:jc w:val="center"/>
              <w:rPr>
                <w:rFonts w:ascii="Arial Narrow" w:hAnsi="Arial Narrow"/>
                <w:sz w:val="20"/>
                <w:lang w:eastAsia="en-AU"/>
              </w:rPr>
            </w:pPr>
          </w:p>
        </w:tc>
        <w:tc>
          <w:tcPr>
            <w:tcW w:w="751" w:type="pct"/>
            <w:vMerge/>
            <w:vAlign w:val="center"/>
          </w:tcPr>
          <w:p w:rsidR="00E42311" w:rsidRPr="00AA55DA" w:rsidRDefault="00E42311" w:rsidP="00E42311">
            <w:pPr>
              <w:contextualSpacing/>
              <w:jc w:val="center"/>
              <w:rPr>
                <w:rFonts w:ascii="Arial Narrow" w:hAnsi="Arial Narrow"/>
                <w:sz w:val="20"/>
                <w:lang w:eastAsia="en-AU"/>
              </w:rPr>
            </w:pPr>
          </w:p>
        </w:tc>
      </w:tr>
      <w:tr w:rsidR="00D466E9" w:rsidRPr="00AA55DA" w:rsidTr="00D466E9">
        <w:tc>
          <w:tcPr>
            <w:tcW w:w="594" w:type="pct"/>
            <w:vAlign w:val="center"/>
          </w:tcPr>
          <w:p w:rsidR="00E42311" w:rsidRPr="00AA55DA" w:rsidRDefault="00E42311" w:rsidP="00E42311">
            <w:pPr>
              <w:contextualSpacing/>
              <w:jc w:val="left"/>
              <w:rPr>
                <w:rFonts w:ascii="Arial Narrow" w:hAnsi="Arial Narrow"/>
                <w:sz w:val="20"/>
                <w:lang w:eastAsia="en-AU"/>
              </w:rPr>
            </w:pPr>
            <w:r w:rsidRPr="00AA55DA">
              <w:rPr>
                <w:rFonts w:ascii="Arial Narrow" w:hAnsi="Arial Narrow"/>
                <w:sz w:val="20"/>
                <w:lang w:eastAsia="en-AU"/>
              </w:rPr>
              <w:t>T16</w:t>
            </w:r>
          </w:p>
        </w:tc>
        <w:tc>
          <w:tcPr>
            <w:tcW w:w="679" w:type="pct"/>
            <w:vAlign w:val="center"/>
          </w:tcPr>
          <w:p w:rsidR="00E42311" w:rsidRPr="00AA55DA" w:rsidRDefault="00E42311" w:rsidP="00E42311">
            <w:pPr>
              <w:contextualSpacing/>
              <w:jc w:val="center"/>
              <w:rPr>
                <w:rFonts w:ascii="Arial Narrow" w:hAnsi="Arial Narrow"/>
                <w:sz w:val="20"/>
                <w:lang w:eastAsia="en-AU"/>
              </w:rPr>
            </w:pPr>
          </w:p>
        </w:tc>
        <w:tc>
          <w:tcPr>
            <w:tcW w:w="680" w:type="pct"/>
            <w:vAlign w:val="center"/>
          </w:tcPr>
          <w:p w:rsidR="00E42311" w:rsidRPr="00AA55DA" w:rsidRDefault="00E42311" w:rsidP="00E42311">
            <w:pPr>
              <w:contextualSpacing/>
              <w:jc w:val="center"/>
              <w:rPr>
                <w:rFonts w:ascii="Arial Narrow" w:hAnsi="Arial Narrow"/>
                <w:sz w:val="20"/>
                <w:lang w:eastAsia="en-AU"/>
              </w:rPr>
            </w:pPr>
          </w:p>
        </w:tc>
        <w:tc>
          <w:tcPr>
            <w:tcW w:w="595" w:type="pct"/>
            <w:tcBorders>
              <w:right w:val="double" w:sz="4" w:space="0" w:color="auto"/>
            </w:tcBorders>
            <w:vAlign w:val="center"/>
          </w:tcPr>
          <w:p w:rsidR="00E42311" w:rsidRPr="00AA55DA" w:rsidRDefault="00E42311" w:rsidP="00E42311">
            <w:pPr>
              <w:contextualSpacing/>
              <w:jc w:val="center"/>
              <w:rPr>
                <w:rFonts w:ascii="Arial Narrow" w:hAnsi="Arial Narrow"/>
                <w:sz w:val="20"/>
                <w:lang w:eastAsia="en-AU"/>
              </w:rPr>
            </w:pPr>
          </w:p>
        </w:tc>
        <w:tc>
          <w:tcPr>
            <w:tcW w:w="510" w:type="pct"/>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4/24</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(16.7)</w:t>
            </w:r>
          </w:p>
        </w:tc>
        <w:tc>
          <w:tcPr>
            <w:tcW w:w="596" w:type="pct"/>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22/27</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(81.5)</w:t>
            </w:r>
          </w:p>
        </w:tc>
        <w:tc>
          <w:tcPr>
            <w:tcW w:w="595" w:type="pct"/>
            <w:vAlign w:val="center"/>
          </w:tcPr>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4.89</w:t>
            </w:r>
          </w:p>
          <w:p w:rsidR="00E42311" w:rsidRPr="00AA55DA" w:rsidRDefault="00E42311" w:rsidP="00E42311">
            <w:pPr>
              <w:contextualSpacing/>
              <w:jc w:val="center"/>
              <w:rPr>
                <w:rFonts w:ascii="Arial Narrow" w:hAnsi="Arial Narrow"/>
                <w:sz w:val="20"/>
                <w:lang w:eastAsia="en-AU"/>
              </w:rPr>
            </w:pPr>
            <w:r w:rsidRPr="00AA55DA">
              <w:rPr>
                <w:rFonts w:ascii="Arial Narrow" w:hAnsi="Arial Narrow"/>
                <w:sz w:val="20"/>
                <w:lang w:eastAsia="en-AU"/>
              </w:rPr>
              <w:t>(1.96, 12.18)</w:t>
            </w:r>
          </w:p>
        </w:tc>
        <w:tc>
          <w:tcPr>
            <w:tcW w:w="751" w:type="pct"/>
            <w:vMerge/>
            <w:vAlign w:val="center"/>
          </w:tcPr>
          <w:p w:rsidR="00E42311" w:rsidRPr="00AA55DA" w:rsidRDefault="00E42311" w:rsidP="00E42311">
            <w:pPr>
              <w:contextualSpacing/>
              <w:jc w:val="center"/>
              <w:rPr>
                <w:rFonts w:ascii="Arial Narrow" w:hAnsi="Arial Narrow"/>
                <w:sz w:val="20"/>
                <w:lang w:eastAsia="en-AU"/>
              </w:rPr>
            </w:pPr>
          </w:p>
        </w:tc>
      </w:tr>
      <w:tr w:rsidR="00D466E9" w:rsidRPr="00AA55DA" w:rsidTr="00D466E9">
        <w:tc>
          <w:tcPr>
            <w:tcW w:w="594" w:type="pct"/>
            <w:vAlign w:val="center"/>
          </w:tcPr>
          <w:p w:rsidR="00E42311" w:rsidRPr="00AA55DA" w:rsidRDefault="00E42311" w:rsidP="00E42311">
            <w:pPr>
              <w:contextualSpacing/>
              <w:jc w:val="left"/>
              <w:rPr>
                <w:rFonts w:ascii="Arial Narrow" w:hAnsi="Arial Narrow"/>
                <w:sz w:val="20"/>
                <w:lang w:eastAsia="en-AU"/>
              </w:rPr>
            </w:pPr>
            <w:r w:rsidRPr="00AA55DA">
              <w:rPr>
                <w:rFonts w:ascii="Arial Narrow" w:hAnsi="Arial Narrow"/>
                <w:sz w:val="20"/>
                <w:lang w:eastAsia="en-AU"/>
              </w:rPr>
              <w:t>Pooled</w:t>
            </w:r>
          </w:p>
        </w:tc>
        <w:tc>
          <w:tcPr>
            <w:tcW w:w="1359" w:type="pct"/>
            <w:gridSpan w:val="2"/>
            <w:vAlign w:val="center"/>
          </w:tcPr>
          <w:p w:rsidR="00E42311" w:rsidRPr="00AA55DA" w:rsidRDefault="00E42311" w:rsidP="00E42311">
            <w:pPr>
              <w:tabs>
                <w:tab w:val="center" w:pos="1096"/>
              </w:tabs>
              <w:contextualSpacing/>
              <w:jc w:val="center"/>
              <w:rPr>
                <w:rFonts w:ascii="Arial Narrow" w:hAnsi="Arial Narrow"/>
                <w:iCs/>
                <w:color w:val="000000"/>
                <w:sz w:val="20"/>
                <w:lang w:eastAsia="en-AU"/>
              </w:rPr>
            </w:pPr>
            <w:r w:rsidRPr="00AA55DA">
              <w:rPr>
                <w:rFonts w:ascii="Arial Narrow" w:hAnsi="Arial Narrow"/>
                <w:iCs/>
                <w:color w:val="000000"/>
                <w:sz w:val="20"/>
                <w:lang w:eastAsia="en-AU"/>
              </w:rPr>
              <w:t>I</w:t>
            </w:r>
            <w:r w:rsidRPr="00AA55DA">
              <w:rPr>
                <w:rFonts w:ascii="Arial Narrow" w:hAnsi="Arial Narrow"/>
                <w:iCs/>
                <w:color w:val="000000"/>
                <w:sz w:val="20"/>
                <w:vertAlign w:val="superscript"/>
                <w:lang w:eastAsia="en-AU"/>
              </w:rPr>
              <w:t>2</w:t>
            </w:r>
            <w:r w:rsidRPr="00AA55DA">
              <w:rPr>
                <w:rFonts w:ascii="Arial Narrow" w:hAnsi="Arial Narrow"/>
                <w:iCs/>
                <w:color w:val="000000"/>
                <w:sz w:val="20"/>
                <w:lang w:eastAsia="en-AU"/>
              </w:rPr>
              <w:t>=</w:t>
            </w:r>
            <w:r w:rsidR="004165CE">
              <w:rPr>
                <w:rFonts w:ascii="Arial Narrow" w:hAnsi="Arial Narrow"/>
                <w:iCs/>
                <w:noProof/>
                <w:color w:val="000000"/>
                <w:sz w:val="20"/>
                <w:highlight w:val="black"/>
                <w:lang w:eastAsia="en-AU"/>
              </w:rPr>
              <w:t>'''</w:t>
            </w:r>
            <w:r w:rsidRPr="00AA55DA">
              <w:rPr>
                <w:rFonts w:ascii="Arial Narrow" w:hAnsi="Arial Narrow"/>
                <w:iCs/>
                <w:color w:val="000000"/>
                <w:sz w:val="20"/>
                <w:lang w:eastAsia="en-AU"/>
              </w:rPr>
              <w:t>%, chi-square</w:t>
            </w:r>
          </w:p>
          <w:p w:rsidR="00E42311" w:rsidRPr="00AA55DA" w:rsidRDefault="00E42311" w:rsidP="00E42311">
            <w:pPr>
              <w:tabs>
                <w:tab w:val="center" w:pos="1096"/>
              </w:tabs>
              <w:contextualSpacing/>
              <w:jc w:val="center"/>
              <w:rPr>
                <w:rFonts w:ascii="Arial Narrow" w:hAnsi="Arial Narrow"/>
                <w:sz w:val="20"/>
                <w:lang w:eastAsia="en-AU"/>
              </w:rPr>
            </w:pPr>
            <w:r w:rsidRPr="00AA55DA">
              <w:rPr>
                <w:rFonts w:ascii="Arial Narrow" w:hAnsi="Arial Narrow"/>
                <w:iCs/>
                <w:color w:val="000000"/>
                <w:sz w:val="20"/>
                <w:lang w:eastAsia="en-AU"/>
              </w:rPr>
              <w:t>p-value=</w:t>
            </w:r>
            <w:r w:rsidR="004165CE">
              <w:rPr>
                <w:rFonts w:ascii="Arial Narrow" w:hAnsi="Arial Narrow"/>
                <w:iCs/>
                <w:noProof/>
                <w:color w:val="000000"/>
                <w:sz w:val="20"/>
                <w:highlight w:val="black"/>
                <w:lang w:eastAsia="en-AU"/>
              </w:rPr>
              <w:t>''''''''''''''</w:t>
            </w:r>
          </w:p>
        </w:tc>
        <w:tc>
          <w:tcPr>
            <w:tcW w:w="595" w:type="pct"/>
            <w:tcBorders>
              <w:right w:val="double" w:sz="4" w:space="0" w:color="auto"/>
            </w:tcBorders>
            <w:vAlign w:val="center"/>
          </w:tcPr>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w:t>
            </w:r>
          </w:p>
          <w:p w:rsidR="00E42311" w:rsidRPr="004165CE" w:rsidRDefault="004165CE" w:rsidP="00E42311">
            <w:pPr>
              <w:contextualSpacing/>
              <w:jc w:val="center"/>
              <w:rPr>
                <w:rFonts w:ascii="Arial Narrow" w:hAnsi="Arial Narrow"/>
                <w:sz w:val="20"/>
                <w:highlight w:val="black"/>
                <w:lang w:eastAsia="en-AU"/>
              </w:rPr>
            </w:pPr>
            <w:r>
              <w:rPr>
                <w:rFonts w:ascii="Arial Narrow" w:hAnsi="Arial Narrow"/>
                <w:noProof/>
                <w:color w:val="000000"/>
                <w:sz w:val="20"/>
                <w:highlight w:val="black"/>
                <w:lang w:eastAsia="en-AU"/>
              </w:rPr>
              <w:t>'''''''''''''' '''''''''''''</w:t>
            </w:r>
          </w:p>
        </w:tc>
        <w:tc>
          <w:tcPr>
            <w:tcW w:w="1701" w:type="pct"/>
            <w:gridSpan w:val="3"/>
            <w:vAlign w:val="center"/>
          </w:tcPr>
          <w:p w:rsidR="00E42311" w:rsidRPr="00AA55DA" w:rsidRDefault="00E42311" w:rsidP="00E42311">
            <w:pPr>
              <w:contextualSpacing/>
              <w:jc w:val="center"/>
              <w:rPr>
                <w:rFonts w:ascii="Arial Narrow" w:hAnsi="Arial Narrow"/>
                <w:sz w:val="20"/>
                <w:lang w:eastAsia="en-AU"/>
              </w:rPr>
            </w:pPr>
          </w:p>
        </w:tc>
        <w:tc>
          <w:tcPr>
            <w:tcW w:w="751" w:type="pct"/>
            <w:vMerge/>
            <w:vAlign w:val="center"/>
          </w:tcPr>
          <w:p w:rsidR="00E42311" w:rsidRPr="00AA55DA" w:rsidRDefault="00E42311" w:rsidP="00E42311">
            <w:pPr>
              <w:contextualSpacing/>
              <w:jc w:val="center"/>
              <w:rPr>
                <w:rFonts w:ascii="Arial Narrow" w:hAnsi="Arial Narrow"/>
                <w:sz w:val="20"/>
                <w:lang w:eastAsia="en-AU"/>
              </w:rPr>
            </w:pPr>
          </w:p>
        </w:tc>
      </w:tr>
      <w:tr w:rsidR="00E42311" w:rsidRPr="00AA55DA" w:rsidTr="00D466E9">
        <w:tc>
          <w:tcPr>
            <w:tcW w:w="5000" w:type="pct"/>
            <w:gridSpan w:val="8"/>
            <w:shd w:val="clear" w:color="auto" w:fill="EEECE1" w:themeFill="background2"/>
            <w:vAlign w:val="center"/>
          </w:tcPr>
          <w:p w:rsidR="00E42311" w:rsidRPr="00AA55DA" w:rsidRDefault="00E42311" w:rsidP="00E42311">
            <w:pPr>
              <w:widowControl/>
              <w:snapToGrid/>
              <w:contextualSpacing/>
              <w:rPr>
                <w:rFonts w:ascii="Arial Narrow" w:hAnsi="Arial Narrow" w:cs="Times New Roman"/>
                <w:b/>
                <w:sz w:val="20"/>
                <w:lang w:eastAsia="en-AU"/>
              </w:rPr>
            </w:pPr>
            <w:r w:rsidRPr="00AA55DA">
              <w:rPr>
                <w:rFonts w:ascii="Arial Narrow" w:hAnsi="Arial Narrow" w:cs="Times New Roman"/>
                <w:b/>
                <w:sz w:val="20"/>
                <w:lang w:eastAsia="en-AU"/>
              </w:rPr>
              <w:t>Clinical remission in maintenance phase</w:t>
            </w:r>
          </w:p>
        </w:tc>
      </w:tr>
      <w:tr w:rsidR="00D466E9" w:rsidRPr="00AA55DA" w:rsidTr="00D466E9">
        <w:tc>
          <w:tcPr>
            <w:tcW w:w="594" w:type="pct"/>
            <w:vAlign w:val="center"/>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GEMINI II</w:t>
            </w:r>
          </w:p>
        </w:tc>
        <w:tc>
          <w:tcPr>
            <w:tcW w:w="679"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1.81</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(1.26, 2.59)</w:t>
            </w:r>
          </w:p>
        </w:tc>
        <w:tc>
          <w:tcPr>
            <w:tcW w:w="68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60/154</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(39.0)</w:t>
            </w:r>
          </w:p>
        </w:tc>
        <w:tc>
          <w:tcPr>
            <w:tcW w:w="595" w:type="pct"/>
            <w:tcBorders>
              <w:right w:val="double" w:sz="4" w:space="0" w:color="auto"/>
            </w:tcBorders>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33/153</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(21.6)</w:t>
            </w:r>
          </w:p>
        </w:tc>
        <w:tc>
          <w:tcPr>
            <w:tcW w:w="51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6"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751" w:type="pct"/>
            <w:vMerge w:val="restart"/>
            <w:vAlign w:val="center"/>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 '''''''''''''</w:t>
            </w:r>
          </w:p>
        </w:tc>
      </w:tr>
      <w:tr w:rsidR="00D466E9" w:rsidRPr="00AA55DA" w:rsidTr="00D466E9">
        <w:tc>
          <w:tcPr>
            <w:tcW w:w="594" w:type="pct"/>
            <w:vAlign w:val="center"/>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ACCENT I</w:t>
            </w:r>
          </w:p>
        </w:tc>
        <w:tc>
          <w:tcPr>
            <w:tcW w:w="679"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68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tcBorders>
              <w:right w:val="double" w:sz="4" w:space="0" w:color="auto"/>
            </w:tcBorders>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1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15/110</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(13.7)</w:t>
            </w:r>
          </w:p>
        </w:tc>
        <w:tc>
          <w:tcPr>
            <w:tcW w:w="596"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32/113</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(28.0)</w:t>
            </w:r>
          </w:p>
        </w:tc>
        <w:tc>
          <w:tcPr>
            <w:tcW w:w="595"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2.08</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(1.19, 3.61)</w:t>
            </w:r>
          </w:p>
        </w:tc>
        <w:tc>
          <w:tcPr>
            <w:tcW w:w="751" w:type="pct"/>
            <w:vMerge/>
          </w:tcPr>
          <w:p w:rsidR="00E42311" w:rsidRPr="00AA55DA" w:rsidRDefault="00E42311" w:rsidP="00E42311">
            <w:pPr>
              <w:widowControl/>
              <w:snapToGrid/>
              <w:contextualSpacing/>
              <w:jc w:val="left"/>
              <w:rPr>
                <w:rFonts w:ascii="Arial Narrow" w:hAnsi="Arial Narrow" w:cs="Times New Roman"/>
                <w:sz w:val="20"/>
                <w:lang w:eastAsia="en-AU"/>
              </w:rPr>
            </w:pPr>
          </w:p>
        </w:tc>
      </w:tr>
      <w:tr w:rsidR="00E42311" w:rsidRPr="00AA55DA" w:rsidTr="00D466E9">
        <w:tblPrEx>
          <w:tblCellMar>
            <w:left w:w="108" w:type="dxa"/>
            <w:right w:w="108" w:type="dxa"/>
          </w:tblCellMar>
        </w:tblPrEx>
        <w:tc>
          <w:tcPr>
            <w:tcW w:w="5000" w:type="pct"/>
            <w:gridSpan w:val="8"/>
            <w:shd w:val="clear" w:color="auto" w:fill="EEECE1" w:themeFill="background2"/>
          </w:tcPr>
          <w:p w:rsidR="00E42311" w:rsidRPr="00AA55DA" w:rsidRDefault="00E42311" w:rsidP="00E42311">
            <w:pPr>
              <w:widowControl/>
              <w:snapToGrid/>
              <w:contextualSpacing/>
              <w:rPr>
                <w:rFonts w:ascii="Arial Narrow" w:hAnsi="Arial Narrow" w:cs="Times New Roman"/>
                <w:b/>
                <w:sz w:val="20"/>
                <w:lang w:eastAsia="en-AU"/>
              </w:rPr>
            </w:pPr>
            <w:r w:rsidRPr="00AA55DA">
              <w:rPr>
                <w:rFonts w:ascii="Arial Narrow" w:hAnsi="Arial Narrow" w:cs="Times New Roman"/>
                <w:b/>
                <w:sz w:val="20"/>
                <w:lang w:eastAsia="en-AU"/>
              </w:rPr>
              <w:t>Durable Clinical remission in maintenance phase</w:t>
            </w:r>
          </w:p>
        </w:tc>
      </w:tr>
      <w:tr w:rsidR="00D466E9" w:rsidRPr="00AA55DA" w:rsidTr="00D466E9">
        <w:tblPrEx>
          <w:tblCellMar>
            <w:left w:w="108" w:type="dxa"/>
            <w:right w:w="108" w:type="dxa"/>
          </w:tblCellMar>
        </w:tblPrEx>
        <w:tc>
          <w:tcPr>
            <w:tcW w:w="594" w:type="pct"/>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GEMINI II</w:t>
            </w:r>
          </w:p>
        </w:tc>
        <w:tc>
          <w:tcPr>
            <w:tcW w:w="679" w:type="pct"/>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 xml:space="preserve">1.49 </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(0.91, 2.43)</w:t>
            </w:r>
          </w:p>
        </w:tc>
        <w:tc>
          <w:tcPr>
            <w:tcW w:w="680" w:type="pct"/>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33/154</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(21.4)</w:t>
            </w:r>
          </w:p>
        </w:tc>
        <w:tc>
          <w:tcPr>
            <w:tcW w:w="595" w:type="pct"/>
            <w:tcBorders>
              <w:right w:val="double" w:sz="4" w:space="0" w:color="auto"/>
            </w:tcBorders>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22/153</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(14.4)</w:t>
            </w:r>
          </w:p>
        </w:tc>
        <w:tc>
          <w:tcPr>
            <w:tcW w:w="510" w:type="pct"/>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6" w:type="pct"/>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tcPr>
          <w:p w:rsidR="00E42311" w:rsidRPr="00AA55DA" w:rsidRDefault="00E42311" w:rsidP="00E42311">
            <w:pPr>
              <w:widowControl/>
              <w:snapToGrid/>
              <w:contextualSpacing/>
              <w:jc w:val="center"/>
              <w:rPr>
                <w:rFonts w:ascii="Arial Narrow" w:hAnsi="Arial Narrow" w:cs="Times New Roman"/>
                <w:sz w:val="20"/>
                <w:lang w:eastAsia="en-AU"/>
              </w:rPr>
            </w:pPr>
          </w:p>
        </w:tc>
        <w:tc>
          <w:tcPr>
            <w:tcW w:w="751" w:type="pct"/>
          </w:tcPr>
          <w:p w:rsidR="00E42311" w:rsidRPr="00AA55DA" w:rsidRDefault="00E42311" w:rsidP="00E42311">
            <w:pPr>
              <w:widowControl/>
              <w:snapToGrid/>
              <w:contextualSpacing/>
              <w:jc w:val="left"/>
              <w:rPr>
                <w:rFonts w:ascii="Arial Narrow" w:hAnsi="Arial Narrow" w:cs="Times New Roman"/>
                <w:sz w:val="20"/>
                <w:lang w:eastAsia="en-AU"/>
              </w:rPr>
            </w:pPr>
          </w:p>
        </w:tc>
      </w:tr>
      <w:tr w:rsidR="00D466E9" w:rsidRPr="00AA55DA" w:rsidTr="00D466E9">
        <w:tblPrEx>
          <w:tblCellMar>
            <w:left w:w="108" w:type="dxa"/>
            <w:right w:w="108" w:type="dxa"/>
          </w:tblCellMar>
        </w:tblPrEx>
        <w:tc>
          <w:tcPr>
            <w:tcW w:w="594" w:type="pct"/>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ACCENT I</w:t>
            </w:r>
          </w:p>
        </w:tc>
        <w:tc>
          <w:tcPr>
            <w:tcW w:w="679" w:type="pct"/>
          </w:tcPr>
          <w:p w:rsidR="00E42311" w:rsidRPr="00AA55DA" w:rsidRDefault="00E42311" w:rsidP="00E42311">
            <w:pPr>
              <w:widowControl/>
              <w:snapToGrid/>
              <w:contextualSpacing/>
              <w:jc w:val="center"/>
              <w:rPr>
                <w:rFonts w:ascii="Arial Narrow" w:hAnsi="Arial Narrow" w:cs="Times New Roman"/>
                <w:sz w:val="20"/>
                <w:lang w:eastAsia="en-AU"/>
              </w:rPr>
            </w:pPr>
          </w:p>
        </w:tc>
        <w:tc>
          <w:tcPr>
            <w:tcW w:w="680" w:type="pct"/>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tcBorders>
              <w:right w:val="double" w:sz="4" w:space="0" w:color="auto"/>
            </w:tcBorders>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10" w:type="pct"/>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12/110</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(11)</w:t>
            </w:r>
          </w:p>
        </w:tc>
        <w:tc>
          <w:tcPr>
            <w:tcW w:w="596" w:type="pct"/>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28/113</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(25)</w:t>
            </w:r>
          </w:p>
        </w:tc>
        <w:tc>
          <w:tcPr>
            <w:tcW w:w="595" w:type="pct"/>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 xml:space="preserve">2.27 </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(1.22, 4.24)</w:t>
            </w:r>
          </w:p>
        </w:tc>
        <w:tc>
          <w:tcPr>
            <w:tcW w:w="751" w:type="pct"/>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 ''''''''''''</w:t>
            </w:r>
          </w:p>
        </w:tc>
      </w:tr>
      <w:tr w:rsidR="00E42311" w:rsidRPr="00AA55DA" w:rsidTr="00D466E9">
        <w:tc>
          <w:tcPr>
            <w:tcW w:w="5000" w:type="pct"/>
            <w:gridSpan w:val="8"/>
            <w:shd w:val="clear" w:color="auto" w:fill="EEECE1" w:themeFill="background2"/>
            <w:vAlign w:val="center"/>
          </w:tcPr>
          <w:p w:rsidR="00E42311" w:rsidRPr="00AA55DA" w:rsidRDefault="00E42311" w:rsidP="00E42311">
            <w:pPr>
              <w:widowControl/>
              <w:snapToGrid/>
              <w:contextualSpacing/>
              <w:rPr>
                <w:rFonts w:ascii="Arial Narrow" w:hAnsi="Arial Narrow" w:cs="Times New Roman"/>
                <w:b/>
                <w:sz w:val="20"/>
                <w:lang w:eastAsia="en-AU"/>
              </w:rPr>
            </w:pPr>
            <w:r w:rsidRPr="00AA55DA">
              <w:rPr>
                <w:rFonts w:ascii="Arial Narrow" w:hAnsi="Arial Narrow" w:cs="Times New Roman"/>
                <w:b/>
                <w:sz w:val="20"/>
                <w:lang w:eastAsia="en-AU"/>
              </w:rPr>
              <w:t>Clinical response in maintenance phase</w:t>
            </w:r>
          </w:p>
        </w:tc>
      </w:tr>
      <w:tr w:rsidR="00D466E9" w:rsidRPr="00AA55DA" w:rsidTr="00D466E9">
        <w:tc>
          <w:tcPr>
            <w:tcW w:w="594" w:type="pct"/>
            <w:vAlign w:val="center"/>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GEMINI II</w:t>
            </w:r>
          </w:p>
        </w:tc>
        <w:tc>
          <w:tcPr>
            <w:tcW w:w="679" w:type="pct"/>
            <w:vAlign w:val="center"/>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 '''''''''''</w:t>
            </w:r>
          </w:p>
        </w:tc>
        <w:tc>
          <w:tcPr>
            <w:tcW w:w="679" w:type="pct"/>
            <w:vAlign w:val="center"/>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tc>
        <w:tc>
          <w:tcPr>
            <w:tcW w:w="595" w:type="pct"/>
            <w:tcBorders>
              <w:right w:val="double" w:sz="4" w:space="0" w:color="auto"/>
            </w:tcBorders>
            <w:vAlign w:val="center"/>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tc>
        <w:tc>
          <w:tcPr>
            <w:tcW w:w="51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6"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751"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r>
      <w:tr w:rsidR="00D466E9" w:rsidRPr="00E42311" w:rsidTr="00D466E9">
        <w:trPr>
          <w:trHeight w:val="176"/>
        </w:trPr>
        <w:tc>
          <w:tcPr>
            <w:tcW w:w="594" w:type="pct"/>
            <w:vAlign w:val="center"/>
          </w:tcPr>
          <w:p w:rsidR="00E42311" w:rsidRPr="00AA55DA" w:rsidRDefault="00E42311" w:rsidP="00E42311">
            <w:pPr>
              <w:widowControl/>
              <w:snapToGrid/>
              <w:contextualSpacing/>
              <w:jc w:val="left"/>
              <w:rPr>
                <w:rFonts w:ascii="Arial Narrow" w:hAnsi="Arial Narrow" w:cs="Times New Roman"/>
                <w:sz w:val="20"/>
                <w:lang w:eastAsia="en-AU"/>
              </w:rPr>
            </w:pPr>
            <w:r w:rsidRPr="00AA55DA">
              <w:rPr>
                <w:rFonts w:ascii="Arial Narrow" w:hAnsi="Arial Narrow" w:cs="Times New Roman"/>
                <w:sz w:val="20"/>
                <w:lang w:eastAsia="en-AU"/>
              </w:rPr>
              <w:t>ACCENT I</w:t>
            </w:r>
          </w:p>
        </w:tc>
        <w:tc>
          <w:tcPr>
            <w:tcW w:w="679"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679"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95" w:type="pct"/>
            <w:tcBorders>
              <w:right w:val="double" w:sz="4" w:space="0" w:color="auto"/>
            </w:tcBorders>
            <w:vAlign w:val="center"/>
          </w:tcPr>
          <w:p w:rsidR="00E42311" w:rsidRPr="00AA55DA" w:rsidRDefault="00E42311" w:rsidP="00E42311">
            <w:pPr>
              <w:widowControl/>
              <w:snapToGrid/>
              <w:contextualSpacing/>
              <w:jc w:val="center"/>
              <w:rPr>
                <w:rFonts w:ascii="Arial Narrow" w:hAnsi="Arial Narrow" w:cs="Times New Roman"/>
                <w:sz w:val="20"/>
                <w:lang w:eastAsia="en-AU"/>
              </w:rPr>
            </w:pPr>
          </w:p>
        </w:tc>
        <w:tc>
          <w:tcPr>
            <w:tcW w:w="510"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17/110</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(15.5)</w:t>
            </w:r>
          </w:p>
        </w:tc>
        <w:tc>
          <w:tcPr>
            <w:tcW w:w="596"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43/113</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(38)</w:t>
            </w:r>
          </w:p>
        </w:tc>
        <w:tc>
          <w:tcPr>
            <w:tcW w:w="595" w:type="pct"/>
            <w:vAlign w:val="center"/>
          </w:tcPr>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2.46</w:t>
            </w:r>
          </w:p>
          <w:p w:rsidR="00E42311" w:rsidRPr="00AA55DA" w:rsidRDefault="00E42311" w:rsidP="00E42311">
            <w:pPr>
              <w:widowControl/>
              <w:snapToGrid/>
              <w:contextualSpacing/>
              <w:jc w:val="center"/>
              <w:rPr>
                <w:rFonts w:ascii="Arial Narrow" w:hAnsi="Arial Narrow" w:cs="Times New Roman"/>
                <w:sz w:val="20"/>
                <w:lang w:eastAsia="en-AU"/>
              </w:rPr>
            </w:pPr>
            <w:r w:rsidRPr="00AA55DA">
              <w:rPr>
                <w:rFonts w:ascii="Arial Narrow" w:hAnsi="Arial Narrow" w:cs="Times New Roman"/>
                <w:sz w:val="20"/>
                <w:lang w:eastAsia="en-AU"/>
              </w:rPr>
              <w:t>(1.50, 4.04)</w:t>
            </w:r>
          </w:p>
        </w:tc>
        <w:tc>
          <w:tcPr>
            <w:tcW w:w="751" w:type="pct"/>
            <w:vAlign w:val="center"/>
          </w:tcPr>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p w:rsidR="00E42311" w:rsidRPr="004165CE" w:rsidRDefault="004165CE" w:rsidP="00E42311">
            <w:pPr>
              <w:widowControl/>
              <w:snapToGrid/>
              <w:contextualSpacing/>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 ''''''''''''</w:t>
            </w:r>
          </w:p>
        </w:tc>
      </w:tr>
    </w:tbl>
    <w:p w:rsidR="00E42311" w:rsidRDefault="00E42311" w:rsidP="00DB0CD0">
      <w:pPr>
        <w:ind w:left="720"/>
        <w:rPr>
          <w:rFonts w:ascii="Arial Narrow" w:hAnsi="Arial Narrow"/>
          <w:sz w:val="18"/>
        </w:rPr>
      </w:pPr>
      <w:r w:rsidRPr="00E42311">
        <w:rPr>
          <w:rFonts w:ascii="Arial Narrow" w:hAnsi="Arial Narrow"/>
          <w:sz w:val="18"/>
        </w:rPr>
        <w:t>CI = confidence interval;</w:t>
      </w:r>
      <w:r w:rsidRPr="00E42311">
        <w:rPr>
          <w:rFonts w:ascii="Arial Narrow" w:hAnsi="Arial Narrow"/>
          <w:i/>
          <w:iCs/>
          <w:sz w:val="18"/>
        </w:rPr>
        <w:t xml:space="preserve"> n </w:t>
      </w:r>
      <w:r w:rsidRPr="00E42311">
        <w:rPr>
          <w:rFonts w:ascii="Arial Narrow" w:hAnsi="Arial Narrow"/>
          <w:sz w:val="18"/>
        </w:rPr>
        <w:t>= number with event;</w:t>
      </w:r>
      <w:r w:rsidRPr="00E42311">
        <w:rPr>
          <w:rFonts w:ascii="Arial Narrow" w:hAnsi="Arial Narrow"/>
          <w:i/>
          <w:iCs/>
          <w:sz w:val="18"/>
        </w:rPr>
        <w:t xml:space="preserve"> N </w:t>
      </w:r>
      <w:r w:rsidRPr="00E42311">
        <w:rPr>
          <w:rFonts w:ascii="Arial Narrow" w:hAnsi="Arial Narrow"/>
          <w:sz w:val="18"/>
        </w:rPr>
        <w:t xml:space="preserve">= number in group; RR = relative risk. </w:t>
      </w:r>
      <w:proofErr w:type="gramStart"/>
      <w:r w:rsidRPr="00E42311">
        <w:rPr>
          <w:rFonts w:ascii="Arial Narrow" w:hAnsi="Arial Narrow"/>
          <w:b/>
          <w:bCs/>
          <w:sz w:val="18"/>
          <w:vertAlign w:val="superscript"/>
        </w:rPr>
        <w:t>a</w:t>
      </w:r>
      <w:proofErr w:type="gramEnd"/>
      <w:r w:rsidRPr="00E42311">
        <w:rPr>
          <w:rFonts w:ascii="Arial Narrow" w:hAnsi="Arial Narrow"/>
          <w:sz w:val="18"/>
        </w:rPr>
        <w:t xml:space="preserve"> </w:t>
      </w:r>
      <w:proofErr w:type="spellStart"/>
      <w:r w:rsidRPr="00E42311">
        <w:rPr>
          <w:rFonts w:ascii="Arial Narrow" w:hAnsi="Arial Narrow"/>
          <w:sz w:val="18"/>
        </w:rPr>
        <w:t>vedolizumab</w:t>
      </w:r>
      <w:proofErr w:type="spellEnd"/>
      <w:r w:rsidRPr="00E42311">
        <w:rPr>
          <w:rFonts w:ascii="Arial Narrow" w:hAnsi="Arial Narrow"/>
          <w:sz w:val="18"/>
        </w:rPr>
        <w:t xml:space="preserve"> over placebo. </w:t>
      </w:r>
      <w:proofErr w:type="gramStart"/>
      <w:r w:rsidRPr="00E42311">
        <w:rPr>
          <w:rFonts w:ascii="Arial Narrow" w:hAnsi="Arial Narrow"/>
          <w:b/>
          <w:bCs/>
          <w:sz w:val="18"/>
          <w:vertAlign w:val="superscript"/>
        </w:rPr>
        <w:t>b</w:t>
      </w:r>
      <w:proofErr w:type="gramEnd"/>
      <w:r w:rsidRPr="00E42311">
        <w:rPr>
          <w:rFonts w:ascii="Arial Narrow" w:hAnsi="Arial Narrow"/>
          <w:sz w:val="18"/>
        </w:rPr>
        <w:t xml:space="preserve"> infliximab over placebo. </w:t>
      </w:r>
      <w:proofErr w:type="gramStart"/>
      <w:r w:rsidRPr="00E42311">
        <w:rPr>
          <w:rFonts w:ascii="Arial Narrow" w:hAnsi="Arial Narrow"/>
          <w:b/>
          <w:bCs/>
          <w:sz w:val="18"/>
          <w:vertAlign w:val="superscript"/>
        </w:rPr>
        <w:t>c</w:t>
      </w:r>
      <w:proofErr w:type="gramEnd"/>
      <w:r w:rsidRPr="00E42311">
        <w:rPr>
          <w:rFonts w:ascii="Arial Narrow" w:hAnsi="Arial Narrow"/>
          <w:sz w:val="18"/>
        </w:rPr>
        <w:t xml:space="preserve"> inferred as </w:t>
      </w:r>
      <w:proofErr w:type="spellStart"/>
      <w:r w:rsidRPr="00E42311">
        <w:rPr>
          <w:rFonts w:ascii="Arial Narrow" w:hAnsi="Arial Narrow"/>
          <w:sz w:val="18"/>
        </w:rPr>
        <w:t>vedolizumab</w:t>
      </w:r>
      <w:proofErr w:type="spellEnd"/>
      <w:r w:rsidRPr="00E42311">
        <w:rPr>
          <w:rFonts w:ascii="Arial Narrow" w:hAnsi="Arial Narrow"/>
          <w:sz w:val="18"/>
        </w:rPr>
        <w:t xml:space="preserve"> over infliximab. </w:t>
      </w:r>
      <w:proofErr w:type="gramStart"/>
      <w:r w:rsidRPr="00E42311">
        <w:rPr>
          <w:rFonts w:ascii="Arial Narrow" w:hAnsi="Arial Narrow"/>
          <w:b/>
          <w:bCs/>
          <w:sz w:val="18"/>
          <w:vertAlign w:val="superscript"/>
        </w:rPr>
        <w:t>d</w:t>
      </w:r>
      <w:proofErr w:type="gramEnd"/>
      <w:r w:rsidRPr="00E42311">
        <w:rPr>
          <w:rFonts w:ascii="Arial Narrow" w:hAnsi="Arial Narrow"/>
          <w:sz w:val="18"/>
        </w:rPr>
        <w:t xml:space="preserve"> pooled using the random effects model. Attachment B of the Commentary, Source: Tables B(</w:t>
      </w:r>
      <w:proofErr w:type="spellStart"/>
      <w:r w:rsidRPr="00E42311">
        <w:rPr>
          <w:rFonts w:ascii="Arial Narrow" w:hAnsi="Arial Narrow"/>
          <w:sz w:val="18"/>
        </w:rPr>
        <w:t>i</w:t>
      </w:r>
      <w:proofErr w:type="spellEnd"/>
      <w:r w:rsidRPr="00E42311">
        <w:rPr>
          <w:rFonts w:ascii="Arial Narrow" w:hAnsi="Arial Narrow"/>
          <w:sz w:val="18"/>
        </w:rPr>
        <w:t>).6-2, B(</w:t>
      </w:r>
      <w:proofErr w:type="spellStart"/>
      <w:r w:rsidRPr="00E42311">
        <w:rPr>
          <w:rFonts w:ascii="Arial Narrow" w:hAnsi="Arial Narrow"/>
          <w:sz w:val="18"/>
        </w:rPr>
        <w:t>i</w:t>
      </w:r>
      <w:proofErr w:type="spellEnd"/>
      <w:r w:rsidRPr="00E42311">
        <w:rPr>
          <w:rFonts w:ascii="Arial Narrow" w:hAnsi="Arial Narrow"/>
          <w:sz w:val="18"/>
        </w:rPr>
        <w:t>).6-3, B(</w:t>
      </w:r>
      <w:proofErr w:type="spellStart"/>
      <w:r w:rsidRPr="00E42311">
        <w:rPr>
          <w:rFonts w:ascii="Arial Narrow" w:hAnsi="Arial Narrow"/>
          <w:sz w:val="18"/>
        </w:rPr>
        <w:t>i</w:t>
      </w:r>
      <w:proofErr w:type="spellEnd"/>
      <w:r w:rsidRPr="00E42311">
        <w:rPr>
          <w:rFonts w:ascii="Arial Narrow" w:hAnsi="Arial Narrow"/>
          <w:sz w:val="18"/>
        </w:rPr>
        <w:t>).6-4, B(</w:t>
      </w:r>
      <w:proofErr w:type="spellStart"/>
      <w:r w:rsidRPr="00E42311">
        <w:rPr>
          <w:rFonts w:ascii="Arial Narrow" w:hAnsi="Arial Narrow"/>
          <w:sz w:val="18"/>
        </w:rPr>
        <w:t>i</w:t>
      </w:r>
      <w:proofErr w:type="spellEnd"/>
      <w:r w:rsidRPr="00E42311">
        <w:rPr>
          <w:rFonts w:ascii="Arial Narrow" w:hAnsi="Arial Narrow"/>
          <w:sz w:val="18"/>
        </w:rPr>
        <w:t>).6-5, B(</w:t>
      </w:r>
      <w:proofErr w:type="spellStart"/>
      <w:r w:rsidRPr="00E42311">
        <w:rPr>
          <w:rFonts w:ascii="Arial Narrow" w:hAnsi="Arial Narrow"/>
          <w:sz w:val="18"/>
        </w:rPr>
        <w:t>i</w:t>
      </w:r>
      <w:proofErr w:type="spellEnd"/>
      <w:r w:rsidRPr="00E42311">
        <w:rPr>
          <w:rFonts w:ascii="Arial Narrow" w:hAnsi="Arial Narrow"/>
          <w:sz w:val="18"/>
        </w:rPr>
        <w:t xml:space="preserve">).6-6,  p101-104 of the submission. </w:t>
      </w:r>
    </w:p>
    <w:p w:rsidR="00DB0CD0" w:rsidRPr="00DB0CD0" w:rsidRDefault="00DB0CD0" w:rsidP="00DB0CD0">
      <w:pPr>
        <w:ind w:left="720"/>
        <w:rPr>
          <w:rFonts w:ascii="Arial Narrow" w:hAnsi="Arial Narrow"/>
          <w:sz w:val="18"/>
        </w:rPr>
      </w:pPr>
    </w:p>
    <w:p w:rsidR="00D466E9" w:rsidRPr="00D466E9" w:rsidRDefault="00D466E9" w:rsidP="00D466E9">
      <w:pPr>
        <w:keepNext/>
        <w:keepLines/>
        <w:widowControl/>
        <w:snapToGrid/>
        <w:spacing w:line="276" w:lineRule="auto"/>
        <w:ind w:firstLine="720"/>
        <w:jc w:val="left"/>
        <w:rPr>
          <w:rFonts w:ascii="Arial Narrow" w:eastAsiaTheme="minorHAnsi" w:hAnsi="Arial Narrow" w:cstheme="minorBidi"/>
          <w:b/>
          <w:sz w:val="20"/>
          <w:szCs w:val="16"/>
        </w:rPr>
      </w:pPr>
      <w:r w:rsidRPr="00D466E9">
        <w:rPr>
          <w:rFonts w:ascii="Arial Narrow" w:eastAsiaTheme="minorHAnsi" w:hAnsi="Arial Narrow" w:cstheme="minorBidi"/>
          <w:b/>
          <w:sz w:val="20"/>
          <w:szCs w:val="16"/>
        </w:rPr>
        <w:t>Summary of results of the indirect comparison against adalimumab, ITT populations</w:t>
      </w:r>
    </w:p>
    <w:tbl>
      <w:tblPr>
        <w:tblStyle w:val="TableGrid11"/>
        <w:tblW w:w="8363" w:type="dxa"/>
        <w:tblInd w:w="737" w:type="dxa"/>
        <w:tblLayout w:type="fixed"/>
        <w:tblCellMar>
          <w:left w:w="28" w:type="dxa"/>
          <w:right w:w="28" w:type="dxa"/>
        </w:tblCellMar>
        <w:tblLook w:val="04A0" w:firstRow="1" w:lastRow="0" w:firstColumn="1" w:lastColumn="0" w:noHBand="0" w:noVBand="1"/>
      </w:tblPr>
      <w:tblGrid>
        <w:gridCol w:w="992"/>
        <w:gridCol w:w="1134"/>
        <w:gridCol w:w="1134"/>
        <w:gridCol w:w="993"/>
        <w:gridCol w:w="708"/>
        <w:gridCol w:w="142"/>
        <w:gridCol w:w="992"/>
        <w:gridCol w:w="993"/>
        <w:gridCol w:w="141"/>
        <w:gridCol w:w="1134"/>
      </w:tblGrid>
      <w:tr w:rsidR="00D466E9" w:rsidRPr="00AA55DA" w:rsidTr="00D466E9">
        <w:trPr>
          <w:tblHeader/>
        </w:trPr>
        <w:tc>
          <w:tcPr>
            <w:tcW w:w="992" w:type="dxa"/>
            <w:vAlign w:val="center"/>
          </w:tcPr>
          <w:p w:rsidR="00D466E9" w:rsidRPr="00D466E9" w:rsidRDefault="00D466E9" w:rsidP="00D466E9">
            <w:pPr>
              <w:contextualSpacing/>
              <w:jc w:val="left"/>
              <w:rPr>
                <w:rFonts w:ascii="Arial Narrow" w:hAnsi="Arial Narrow"/>
                <w:b/>
                <w:sz w:val="20"/>
              </w:rPr>
            </w:pPr>
          </w:p>
        </w:tc>
        <w:tc>
          <w:tcPr>
            <w:tcW w:w="3261" w:type="dxa"/>
            <w:gridSpan w:val="3"/>
            <w:tcBorders>
              <w:right w:val="double" w:sz="4" w:space="0" w:color="auto"/>
            </w:tcBorders>
            <w:vAlign w:val="center"/>
          </w:tcPr>
          <w:p w:rsidR="00D466E9" w:rsidRPr="00AA55DA" w:rsidRDefault="00D466E9" w:rsidP="00D466E9">
            <w:pPr>
              <w:contextualSpacing/>
              <w:jc w:val="center"/>
              <w:rPr>
                <w:rFonts w:ascii="Arial Narrow" w:hAnsi="Arial Narrow"/>
                <w:b/>
                <w:sz w:val="20"/>
              </w:rPr>
            </w:pPr>
            <w:proofErr w:type="spellStart"/>
            <w:r w:rsidRPr="00AA55DA">
              <w:rPr>
                <w:rFonts w:ascii="Arial Narrow" w:hAnsi="Arial Narrow"/>
                <w:b/>
                <w:sz w:val="20"/>
              </w:rPr>
              <w:t>Vedolizumab</w:t>
            </w:r>
            <w:proofErr w:type="spellEnd"/>
          </w:p>
        </w:tc>
        <w:tc>
          <w:tcPr>
            <w:tcW w:w="2835" w:type="dxa"/>
            <w:gridSpan w:val="4"/>
            <w:tcBorders>
              <w:left w:val="double" w:sz="4" w:space="0" w:color="auto"/>
            </w:tcBorders>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Adalimumab</w:t>
            </w:r>
          </w:p>
        </w:tc>
        <w:tc>
          <w:tcPr>
            <w:tcW w:w="1275" w:type="dxa"/>
            <w:gridSpan w:val="2"/>
            <w:vMerge w:val="restart"/>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 xml:space="preserve">Indirect estimate of </w:t>
            </w:r>
            <w:proofErr w:type="spellStart"/>
            <w:r w:rsidRPr="00AA55DA">
              <w:rPr>
                <w:rFonts w:ascii="Arial Narrow" w:hAnsi="Arial Narrow"/>
                <w:b/>
                <w:sz w:val="20"/>
              </w:rPr>
              <w:t>effect</w:t>
            </w:r>
            <w:r w:rsidRPr="00AA55DA">
              <w:rPr>
                <w:rFonts w:ascii="Arial Narrow" w:hAnsi="Arial Narrow"/>
                <w:b/>
                <w:bCs/>
                <w:sz w:val="20"/>
                <w:vertAlign w:val="superscript"/>
              </w:rPr>
              <w:t>c</w:t>
            </w:r>
            <w:proofErr w:type="spellEnd"/>
            <w:r w:rsidRPr="00AA55DA">
              <w:rPr>
                <w:rFonts w:ascii="Arial Narrow" w:hAnsi="Arial Narrow"/>
                <w:b/>
                <w:bCs/>
                <w:sz w:val="20"/>
              </w:rPr>
              <w:br/>
            </w:r>
            <w:r w:rsidRPr="00AA55DA">
              <w:rPr>
                <w:rFonts w:ascii="Arial Narrow" w:hAnsi="Arial Narrow"/>
                <w:b/>
                <w:sz w:val="20"/>
              </w:rPr>
              <w:t>RR (95% CI)</w:t>
            </w:r>
          </w:p>
        </w:tc>
      </w:tr>
      <w:tr w:rsidR="00D466E9" w:rsidRPr="00AA55DA" w:rsidTr="00D466E9">
        <w:trPr>
          <w:tblHeader/>
        </w:trPr>
        <w:tc>
          <w:tcPr>
            <w:tcW w:w="992" w:type="dxa"/>
            <w:vAlign w:val="center"/>
          </w:tcPr>
          <w:p w:rsidR="00D466E9" w:rsidRPr="00AA55DA" w:rsidRDefault="00D466E9" w:rsidP="00D466E9">
            <w:pPr>
              <w:contextualSpacing/>
              <w:jc w:val="left"/>
              <w:rPr>
                <w:rFonts w:ascii="Arial Narrow" w:hAnsi="Arial Narrow"/>
                <w:b/>
                <w:sz w:val="20"/>
              </w:rPr>
            </w:pPr>
            <w:r w:rsidRPr="00AA55DA">
              <w:rPr>
                <w:rFonts w:ascii="Arial Narrow" w:hAnsi="Arial Narrow"/>
                <w:b/>
                <w:sz w:val="20"/>
              </w:rPr>
              <w:t>Trial ID</w:t>
            </w:r>
          </w:p>
        </w:tc>
        <w:tc>
          <w:tcPr>
            <w:tcW w:w="1134" w:type="dxa"/>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 xml:space="preserve">Treatment </w:t>
            </w:r>
            <w:proofErr w:type="spellStart"/>
            <w:r w:rsidRPr="00AA55DA">
              <w:rPr>
                <w:rFonts w:ascii="Arial Narrow" w:hAnsi="Arial Narrow"/>
                <w:b/>
                <w:sz w:val="20"/>
              </w:rPr>
              <w:t>effect</w:t>
            </w:r>
            <w:r w:rsidRPr="00AA55DA">
              <w:rPr>
                <w:rFonts w:ascii="Arial Narrow" w:hAnsi="Arial Narrow"/>
                <w:b/>
                <w:sz w:val="20"/>
                <w:vertAlign w:val="superscript"/>
              </w:rPr>
              <w:t>a</w:t>
            </w:r>
            <w:proofErr w:type="spellEnd"/>
            <w:r w:rsidRPr="00AA55DA">
              <w:rPr>
                <w:rFonts w:ascii="Arial Narrow" w:hAnsi="Arial Narrow"/>
                <w:b/>
                <w:sz w:val="20"/>
                <w:vertAlign w:val="superscript"/>
              </w:rPr>
              <w:br/>
            </w:r>
            <w:r w:rsidRPr="00AA55DA">
              <w:rPr>
                <w:rFonts w:ascii="Arial Narrow" w:hAnsi="Arial Narrow"/>
                <w:b/>
                <w:sz w:val="20"/>
              </w:rPr>
              <w:t>RR (95% CI)</w:t>
            </w:r>
          </w:p>
        </w:tc>
        <w:tc>
          <w:tcPr>
            <w:tcW w:w="1134" w:type="dxa"/>
            <w:vAlign w:val="center"/>
          </w:tcPr>
          <w:p w:rsidR="00D466E9" w:rsidRPr="00AA55DA" w:rsidRDefault="00D466E9" w:rsidP="00D466E9">
            <w:pPr>
              <w:contextualSpacing/>
              <w:jc w:val="center"/>
              <w:rPr>
                <w:rFonts w:ascii="Arial Narrow" w:hAnsi="Arial Narrow"/>
                <w:b/>
                <w:sz w:val="20"/>
              </w:rPr>
            </w:pPr>
            <w:proofErr w:type="spellStart"/>
            <w:r w:rsidRPr="00AA55DA">
              <w:rPr>
                <w:rFonts w:ascii="Arial Narrow" w:hAnsi="Arial Narrow"/>
                <w:b/>
                <w:sz w:val="20"/>
              </w:rPr>
              <w:t>Vedolizumab</w:t>
            </w:r>
            <w:proofErr w:type="spellEnd"/>
          </w:p>
          <w:p w:rsidR="00D466E9" w:rsidRPr="00AA55DA" w:rsidRDefault="00D466E9" w:rsidP="00D466E9">
            <w:pPr>
              <w:contextualSpacing/>
              <w:jc w:val="center"/>
              <w:rPr>
                <w:rFonts w:ascii="Arial Narrow" w:hAnsi="Arial Narrow"/>
                <w:b/>
                <w:sz w:val="20"/>
              </w:rPr>
            </w:pPr>
            <w:proofErr w:type="gramStart"/>
            <w:r w:rsidRPr="00AA55DA">
              <w:rPr>
                <w:rFonts w:ascii="Arial Narrow" w:hAnsi="Arial Narrow"/>
                <w:b/>
                <w:sz w:val="20"/>
              </w:rPr>
              <w:t>n/N</w:t>
            </w:r>
            <w:proofErr w:type="gramEnd"/>
            <w:r w:rsidRPr="00AA55DA">
              <w:rPr>
                <w:rFonts w:ascii="Arial Narrow" w:hAnsi="Arial Narrow"/>
                <w:b/>
                <w:sz w:val="20"/>
              </w:rPr>
              <w:t xml:space="preserve"> (%)</w:t>
            </w: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Placebo</w:t>
            </w:r>
          </w:p>
          <w:p w:rsidR="00D466E9" w:rsidRPr="00AA55DA" w:rsidRDefault="00D466E9" w:rsidP="00D466E9">
            <w:pPr>
              <w:contextualSpacing/>
              <w:jc w:val="center"/>
              <w:rPr>
                <w:rFonts w:ascii="Arial Narrow" w:hAnsi="Arial Narrow"/>
                <w:b/>
                <w:sz w:val="20"/>
              </w:rPr>
            </w:pPr>
            <w:proofErr w:type="gramStart"/>
            <w:r w:rsidRPr="00AA55DA">
              <w:rPr>
                <w:rFonts w:ascii="Arial Narrow" w:hAnsi="Arial Narrow"/>
                <w:b/>
                <w:sz w:val="20"/>
              </w:rPr>
              <w:t>n/N</w:t>
            </w:r>
            <w:proofErr w:type="gramEnd"/>
            <w:r w:rsidRPr="00AA55DA">
              <w:rPr>
                <w:rFonts w:ascii="Arial Narrow" w:hAnsi="Arial Narrow"/>
                <w:b/>
                <w:sz w:val="20"/>
              </w:rPr>
              <w:t xml:space="preserve"> (%)</w:t>
            </w:r>
          </w:p>
        </w:tc>
        <w:tc>
          <w:tcPr>
            <w:tcW w:w="850" w:type="dxa"/>
            <w:gridSpan w:val="2"/>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Placebo</w:t>
            </w:r>
          </w:p>
          <w:p w:rsidR="00D466E9" w:rsidRPr="00AA55DA" w:rsidRDefault="00D466E9" w:rsidP="00D466E9">
            <w:pPr>
              <w:contextualSpacing/>
              <w:jc w:val="center"/>
              <w:rPr>
                <w:rFonts w:ascii="Arial Narrow" w:hAnsi="Arial Narrow"/>
                <w:b/>
                <w:sz w:val="20"/>
              </w:rPr>
            </w:pPr>
            <w:proofErr w:type="gramStart"/>
            <w:r w:rsidRPr="00AA55DA">
              <w:rPr>
                <w:rFonts w:ascii="Arial Narrow" w:hAnsi="Arial Narrow"/>
                <w:b/>
                <w:sz w:val="20"/>
              </w:rPr>
              <w:t>n/N</w:t>
            </w:r>
            <w:proofErr w:type="gramEnd"/>
            <w:r w:rsidRPr="00AA55DA">
              <w:rPr>
                <w:rFonts w:ascii="Arial Narrow" w:hAnsi="Arial Narrow"/>
                <w:b/>
                <w:sz w:val="20"/>
              </w:rPr>
              <w:t xml:space="preserve"> (%)</w:t>
            </w:r>
          </w:p>
        </w:tc>
        <w:tc>
          <w:tcPr>
            <w:tcW w:w="992" w:type="dxa"/>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Adalimumab</w:t>
            </w:r>
          </w:p>
          <w:p w:rsidR="00D466E9" w:rsidRPr="00AA55DA" w:rsidRDefault="00D466E9" w:rsidP="00D466E9">
            <w:pPr>
              <w:contextualSpacing/>
              <w:jc w:val="center"/>
              <w:rPr>
                <w:rFonts w:ascii="Arial Narrow" w:hAnsi="Arial Narrow"/>
                <w:b/>
                <w:sz w:val="20"/>
              </w:rPr>
            </w:pPr>
            <w:proofErr w:type="gramStart"/>
            <w:r w:rsidRPr="00AA55DA">
              <w:rPr>
                <w:rFonts w:ascii="Arial Narrow" w:hAnsi="Arial Narrow"/>
                <w:b/>
                <w:sz w:val="20"/>
              </w:rPr>
              <w:t>n/N</w:t>
            </w:r>
            <w:proofErr w:type="gramEnd"/>
            <w:r w:rsidRPr="00AA55DA">
              <w:rPr>
                <w:rFonts w:ascii="Arial Narrow" w:hAnsi="Arial Narrow"/>
                <w:b/>
                <w:sz w:val="20"/>
              </w:rPr>
              <w:t xml:space="preserve"> (%)</w:t>
            </w:r>
          </w:p>
        </w:tc>
        <w:tc>
          <w:tcPr>
            <w:tcW w:w="993" w:type="dxa"/>
            <w:vAlign w:val="center"/>
          </w:tcPr>
          <w:p w:rsidR="00D466E9" w:rsidRPr="00AA55DA" w:rsidRDefault="00D466E9" w:rsidP="00D466E9">
            <w:pPr>
              <w:contextualSpacing/>
              <w:jc w:val="center"/>
              <w:rPr>
                <w:rFonts w:ascii="Arial Narrow" w:hAnsi="Arial Narrow"/>
                <w:b/>
                <w:sz w:val="20"/>
              </w:rPr>
            </w:pPr>
            <w:r w:rsidRPr="00AA55DA">
              <w:rPr>
                <w:rFonts w:ascii="Arial Narrow" w:hAnsi="Arial Narrow"/>
                <w:b/>
                <w:sz w:val="20"/>
              </w:rPr>
              <w:t xml:space="preserve">Treatment </w:t>
            </w:r>
            <w:proofErr w:type="spellStart"/>
            <w:r w:rsidRPr="00AA55DA">
              <w:rPr>
                <w:rFonts w:ascii="Arial Narrow" w:hAnsi="Arial Narrow"/>
                <w:b/>
                <w:sz w:val="20"/>
              </w:rPr>
              <w:t>effect</w:t>
            </w:r>
            <w:r w:rsidRPr="00AA55DA">
              <w:rPr>
                <w:rFonts w:ascii="Arial Narrow" w:hAnsi="Arial Narrow"/>
                <w:b/>
                <w:sz w:val="20"/>
                <w:vertAlign w:val="superscript"/>
              </w:rPr>
              <w:t>b</w:t>
            </w:r>
            <w:proofErr w:type="spellEnd"/>
            <w:r w:rsidRPr="00AA55DA">
              <w:rPr>
                <w:rFonts w:ascii="Arial Narrow" w:hAnsi="Arial Narrow"/>
                <w:b/>
                <w:sz w:val="20"/>
                <w:vertAlign w:val="superscript"/>
              </w:rPr>
              <w:br/>
            </w:r>
            <w:r w:rsidRPr="00AA55DA">
              <w:rPr>
                <w:rFonts w:ascii="Arial Narrow" w:hAnsi="Arial Narrow"/>
                <w:b/>
                <w:sz w:val="20"/>
              </w:rPr>
              <w:t>RR (95% CI)</w:t>
            </w:r>
          </w:p>
        </w:tc>
        <w:tc>
          <w:tcPr>
            <w:tcW w:w="1275" w:type="dxa"/>
            <w:gridSpan w:val="2"/>
            <w:vMerge/>
            <w:vAlign w:val="center"/>
          </w:tcPr>
          <w:p w:rsidR="00D466E9" w:rsidRPr="00AA55DA" w:rsidRDefault="00D466E9" w:rsidP="00D466E9">
            <w:pPr>
              <w:contextualSpacing/>
              <w:jc w:val="center"/>
              <w:rPr>
                <w:rFonts w:ascii="Arial Narrow" w:hAnsi="Arial Narrow"/>
                <w:b/>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contextualSpacing/>
              <w:rPr>
                <w:rFonts w:ascii="Arial Narrow" w:hAnsi="Arial Narrow"/>
                <w:b/>
                <w:sz w:val="20"/>
              </w:rPr>
            </w:pPr>
            <w:r w:rsidRPr="00AA55DA">
              <w:rPr>
                <w:rFonts w:ascii="Arial Narrow" w:hAnsi="Arial Narrow"/>
                <w:b/>
                <w:sz w:val="20"/>
              </w:rPr>
              <w:t>Clinical remission in induction phase</w:t>
            </w: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t>GEMINI II</w:t>
            </w:r>
          </w:p>
        </w:tc>
        <w:tc>
          <w:tcPr>
            <w:tcW w:w="1134"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2.15</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(1.09, 4.24)</w:t>
            </w:r>
          </w:p>
        </w:tc>
        <w:tc>
          <w:tcPr>
            <w:tcW w:w="1134"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32/220</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(14.5)</w:t>
            </w: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10/148</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(6.8)</w:t>
            </w:r>
          </w:p>
        </w:tc>
        <w:tc>
          <w:tcPr>
            <w:tcW w:w="850" w:type="dxa"/>
            <w:gridSpan w:val="2"/>
            <w:vAlign w:val="center"/>
          </w:tcPr>
          <w:p w:rsidR="00D466E9" w:rsidRPr="00AA55DA" w:rsidRDefault="00D466E9" w:rsidP="00D466E9">
            <w:pPr>
              <w:contextualSpacing/>
              <w:jc w:val="center"/>
              <w:rPr>
                <w:rFonts w:ascii="Arial Narrow" w:hAnsi="Arial Narrow"/>
                <w:sz w:val="20"/>
              </w:rPr>
            </w:pPr>
          </w:p>
        </w:tc>
        <w:tc>
          <w:tcPr>
            <w:tcW w:w="992" w:type="dxa"/>
            <w:vAlign w:val="center"/>
          </w:tcPr>
          <w:p w:rsidR="00D466E9" w:rsidRPr="00AA55DA" w:rsidRDefault="00D466E9" w:rsidP="00D466E9">
            <w:pPr>
              <w:contextualSpacing/>
              <w:jc w:val="center"/>
              <w:rPr>
                <w:rFonts w:ascii="Arial Narrow" w:hAnsi="Arial Narrow"/>
                <w:sz w:val="20"/>
              </w:rPr>
            </w:pPr>
          </w:p>
        </w:tc>
        <w:tc>
          <w:tcPr>
            <w:tcW w:w="993" w:type="dxa"/>
            <w:vAlign w:val="center"/>
          </w:tcPr>
          <w:p w:rsidR="00D466E9" w:rsidRPr="00AA55DA" w:rsidRDefault="00D466E9" w:rsidP="00D466E9">
            <w:pPr>
              <w:contextualSpacing/>
              <w:jc w:val="center"/>
              <w:rPr>
                <w:rFonts w:ascii="Arial Narrow" w:hAnsi="Arial Narrow"/>
                <w:sz w:val="20"/>
              </w:rPr>
            </w:pPr>
          </w:p>
        </w:tc>
        <w:tc>
          <w:tcPr>
            <w:tcW w:w="1275" w:type="dxa"/>
            <w:gridSpan w:val="2"/>
            <w:vMerge w:val="restart"/>
            <w:vAlign w:val="center"/>
          </w:tcPr>
          <w:p w:rsidR="00D466E9" w:rsidRPr="004165CE" w:rsidRDefault="004165CE" w:rsidP="00D466E9">
            <w:pPr>
              <w:contextualSpacing/>
              <w:jc w:val="center"/>
              <w:rPr>
                <w:rFonts w:ascii="Arial Narrow" w:hAnsi="Arial Narrow"/>
                <w:sz w:val="20"/>
                <w:highlight w:val="black"/>
              </w:rPr>
            </w:pPr>
            <w:r>
              <w:rPr>
                <w:rFonts w:ascii="Arial Narrow" w:hAnsi="Arial Narrow"/>
                <w:noProof/>
                <w:color w:val="000000"/>
                <w:sz w:val="20"/>
                <w:highlight w:val="black"/>
              </w:rPr>
              <w:t>''''''''''''''</w:t>
            </w:r>
          </w:p>
          <w:p w:rsidR="00D466E9" w:rsidRPr="004165CE" w:rsidRDefault="004165CE" w:rsidP="00D466E9">
            <w:pPr>
              <w:contextualSpacing/>
              <w:jc w:val="center"/>
              <w:rPr>
                <w:rFonts w:ascii="Arial Narrow" w:hAnsi="Arial Narrow"/>
                <w:sz w:val="20"/>
                <w:highlight w:val="black"/>
              </w:rPr>
            </w:pPr>
            <w:r>
              <w:rPr>
                <w:rFonts w:ascii="Arial Narrow" w:hAnsi="Arial Narrow"/>
                <w:noProof/>
                <w:color w:val="000000"/>
                <w:sz w:val="20"/>
                <w:highlight w:val="black"/>
              </w:rPr>
              <w:t>'''''''''''''''' '''''''''''''''</w:t>
            </w: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t>GEMINI III</w:t>
            </w:r>
          </w:p>
        </w:tc>
        <w:tc>
          <w:tcPr>
            <w:tcW w:w="1134"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1.58</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(1.00, 2.51)</w:t>
            </w:r>
          </w:p>
        </w:tc>
        <w:tc>
          <w:tcPr>
            <w:tcW w:w="1134"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40/209</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(19.1)</w:t>
            </w: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25/207</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(12.1)</w:t>
            </w:r>
          </w:p>
        </w:tc>
        <w:tc>
          <w:tcPr>
            <w:tcW w:w="850" w:type="dxa"/>
            <w:gridSpan w:val="2"/>
            <w:vAlign w:val="center"/>
          </w:tcPr>
          <w:p w:rsidR="00D466E9" w:rsidRPr="00AA55DA" w:rsidRDefault="00D466E9" w:rsidP="00D466E9">
            <w:pPr>
              <w:contextualSpacing/>
              <w:jc w:val="center"/>
              <w:rPr>
                <w:rFonts w:ascii="Arial Narrow" w:hAnsi="Arial Narrow"/>
                <w:sz w:val="20"/>
              </w:rPr>
            </w:pPr>
          </w:p>
        </w:tc>
        <w:tc>
          <w:tcPr>
            <w:tcW w:w="992" w:type="dxa"/>
            <w:vAlign w:val="center"/>
          </w:tcPr>
          <w:p w:rsidR="00D466E9" w:rsidRPr="00AA55DA" w:rsidRDefault="00D466E9" w:rsidP="00D466E9">
            <w:pPr>
              <w:contextualSpacing/>
              <w:jc w:val="center"/>
              <w:rPr>
                <w:rFonts w:ascii="Arial Narrow" w:hAnsi="Arial Narrow"/>
                <w:sz w:val="20"/>
              </w:rPr>
            </w:pPr>
          </w:p>
        </w:tc>
        <w:tc>
          <w:tcPr>
            <w:tcW w:w="993" w:type="dxa"/>
            <w:vAlign w:val="center"/>
          </w:tcPr>
          <w:p w:rsidR="00D466E9" w:rsidRPr="00AA55DA" w:rsidRDefault="00D466E9" w:rsidP="00D466E9">
            <w:pPr>
              <w:contextualSpacing/>
              <w:jc w:val="center"/>
              <w:rPr>
                <w:rFonts w:ascii="Arial Narrow" w:hAnsi="Arial Narrow"/>
                <w:sz w:val="20"/>
              </w:rPr>
            </w:pPr>
          </w:p>
        </w:tc>
        <w:tc>
          <w:tcPr>
            <w:tcW w:w="1275" w:type="dxa"/>
            <w:gridSpan w:val="2"/>
            <w:vMerge/>
            <w:vAlign w:val="center"/>
          </w:tcPr>
          <w:p w:rsidR="00D466E9" w:rsidRPr="00AA55DA" w:rsidRDefault="00D466E9" w:rsidP="00D466E9">
            <w:pPr>
              <w:contextualSpacing/>
              <w:jc w:val="center"/>
              <w:rPr>
                <w:rFonts w:ascii="Arial Narrow" w:hAnsi="Arial Narrow"/>
                <w:sz w:val="20"/>
              </w:rPr>
            </w:pP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t>CLASSIC I</w:t>
            </w:r>
          </w:p>
        </w:tc>
        <w:tc>
          <w:tcPr>
            <w:tcW w:w="1134" w:type="dxa"/>
            <w:vAlign w:val="center"/>
          </w:tcPr>
          <w:p w:rsidR="00D466E9" w:rsidRPr="00AA55DA" w:rsidRDefault="00D466E9" w:rsidP="00D466E9">
            <w:pPr>
              <w:contextualSpacing/>
              <w:jc w:val="center"/>
              <w:rPr>
                <w:rFonts w:ascii="Arial Narrow" w:hAnsi="Arial Narrow"/>
                <w:sz w:val="20"/>
              </w:rPr>
            </w:pPr>
          </w:p>
        </w:tc>
        <w:tc>
          <w:tcPr>
            <w:tcW w:w="1134" w:type="dxa"/>
            <w:vAlign w:val="center"/>
          </w:tcPr>
          <w:p w:rsidR="00D466E9" w:rsidRPr="00AA55DA" w:rsidRDefault="00D466E9" w:rsidP="00D466E9">
            <w:pPr>
              <w:contextualSpacing/>
              <w:jc w:val="center"/>
              <w:rPr>
                <w:rFonts w:ascii="Arial Narrow" w:hAnsi="Arial Narrow"/>
                <w:sz w:val="20"/>
              </w:rPr>
            </w:pP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p>
        </w:tc>
        <w:tc>
          <w:tcPr>
            <w:tcW w:w="850" w:type="dxa"/>
            <w:gridSpan w:val="2"/>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9/74</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(12)</w:t>
            </w:r>
          </w:p>
        </w:tc>
        <w:tc>
          <w:tcPr>
            <w:tcW w:w="992"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27/76</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(36)</w:t>
            </w:r>
          </w:p>
        </w:tc>
        <w:tc>
          <w:tcPr>
            <w:tcW w:w="993"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2.92</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(1.48, 5.78)</w:t>
            </w:r>
          </w:p>
        </w:tc>
        <w:tc>
          <w:tcPr>
            <w:tcW w:w="1275" w:type="dxa"/>
            <w:gridSpan w:val="2"/>
            <w:vMerge/>
            <w:vAlign w:val="center"/>
          </w:tcPr>
          <w:p w:rsidR="00D466E9" w:rsidRPr="00AA55DA" w:rsidRDefault="00D466E9" w:rsidP="00D466E9">
            <w:pPr>
              <w:contextualSpacing/>
              <w:jc w:val="center"/>
              <w:rPr>
                <w:rFonts w:ascii="Arial Narrow" w:hAnsi="Arial Narrow"/>
                <w:sz w:val="20"/>
              </w:rPr>
            </w:pP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lastRenderedPageBreak/>
              <w:t>GAIN</w:t>
            </w:r>
          </w:p>
        </w:tc>
        <w:tc>
          <w:tcPr>
            <w:tcW w:w="1134" w:type="dxa"/>
            <w:vAlign w:val="center"/>
          </w:tcPr>
          <w:p w:rsidR="00D466E9" w:rsidRPr="00AA55DA" w:rsidRDefault="00D466E9" w:rsidP="00D466E9">
            <w:pPr>
              <w:contextualSpacing/>
              <w:jc w:val="center"/>
              <w:rPr>
                <w:rFonts w:ascii="Arial Narrow" w:hAnsi="Arial Narrow"/>
                <w:sz w:val="20"/>
              </w:rPr>
            </w:pPr>
          </w:p>
        </w:tc>
        <w:tc>
          <w:tcPr>
            <w:tcW w:w="1134" w:type="dxa"/>
            <w:vAlign w:val="center"/>
          </w:tcPr>
          <w:p w:rsidR="00D466E9" w:rsidRPr="00AA55DA" w:rsidRDefault="00D466E9" w:rsidP="00D466E9">
            <w:pPr>
              <w:contextualSpacing/>
              <w:jc w:val="center"/>
              <w:rPr>
                <w:rFonts w:ascii="Arial Narrow" w:hAnsi="Arial Narrow"/>
                <w:sz w:val="20"/>
              </w:rPr>
            </w:pP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p>
        </w:tc>
        <w:tc>
          <w:tcPr>
            <w:tcW w:w="850" w:type="dxa"/>
            <w:gridSpan w:val="2"/>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12/166</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(7)</w:t>
            </w:r>
          </w:p>
        </w:tc>
        <w:tc>
          <w:tcPr>
            <w:tcW w:w="992"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34/159</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(21)</w:t>
            </w:r>
          </w:p>
        </w:tc>
        <w:tc>
          <w:tcPr>
            <w:tcW w:w="993"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2.96</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(1.59, 5.51)</w:t>
            </w:r>
          </w:p>
        </w:tc>
        <w:tc>
          <w:tcPr>
            <w:tcW w:w="1275" w:type="dxa"/>
            <w:gridSpan w:val="2"/>
            <w:vMerge/>
            <w:vAlign w:val="center"/>
          </w:tcPr>
          <w:p w:rsidR="00D466E9" w:rsidRPr="00AA55DA" w:rsidRDefault="00D466E9" w:rsidP="00D466E9">
            <w:pPr>
              <w:contextualSpacing/>
              <w:jc w:val="center"/>
              <w:rPr>
                <w:rFonts w:ascii="Arial Narrow" w:hAnsi="Arial Narrow"/>
                <w:sz w:val="20"/>
              </w:rPr>
            </w:pP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t>Watanabe</w:t>
            </w:r>
          </w:p>
        </w:tc>
        <w:tc>
          <w:tcPr>
            <w:tcW w:w="1134" w:type="dxa"/>
            <w:vAlign w:val="center"/>
          </w:tcPr>
          <w:p w:rsidR="00D466E9" w:rsidRPr="00AA55DA" w:rsidRDefault="00D466E9" w:rsidP="00D466E9">
            <w:pPr>
              <w:contextualSpacing/>
              <w:jc w:val="center"/>
              <w:rPr>
                <w:rFonts w:ascii="Arial Narrow" w:hAnsi="Arial Narrow"/>
                <w:sz w:val="20"/>
              </w:rPr>
            </w:pPr>
          </w:p>
        </w:tc>
        <w:tc>
          <w:tcPr>
            <w:tcW w:w="1134" w:type="dxa"/>
            <w:vAlign w:val="center"/>
          </w:tcPr>
          <w:p w:rsidR="00D466E9" w:rsidRPr="00AA55DA" w:rsidRDefault="00D466E9" w:rsidP="00D466E9">
            <w:pPr>
              <w:contextualSpacing/>
              <w:jc w:val="center"/>
              <w:rPr>
                <w:rFonts w:ascii="Arial Narrow" w:hAnsi="Arial Narrow"/>
                <w:sz w:val="20"/>
              </w:rPr>
            </w:pP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p>
        </w:tc>
        <w:tc>
          <w:tcPr>
            <w:tcW w:w="850" w:type="dxa"/>
            <w:gridSpan w:val="2"/>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3/23</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(13)</w:t>
            </w:r>
          </w:p>
        </w:tc>
        <w:tc>
          <w:tcPr>
            <w:tcW w:w="992"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11/33</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(33)</w:t>
            </w:r>
          </w:p>
        </w:tc>
        <w:tc>
          <w:tcPr>
            <w:tcW w:w="993" w:type="dxa"/>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2.56</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(0.80, 8.15)</w:t>
            </w:r>
          </w:p>
        </w:tc>
        <w:tc>
          <w:tcPr>
            <w:tcW w:w="1275" w:type="dxa"/>
            <w:gridSpan w:val="2"/>
            <w:vMerge/>
            <w:vAlign w:val="center"/>
          </w:tcPr>
          <w:p w:rsidR="00D466E9" w:rsidRPr="00AA55DA" w:rsidRDefault="00D466E9" w:rsidP="00D466E9">
            <w:pPr>
              <w:contextualSpacing/>
              <w:jc w:val="center"/>
              <w:rPr>
                <w:rFonts w:ascii="Arial Narrow" w:hAnsi="Arial Narrow"/>
                <w:sz w:val="20"/>
              </w:rPr>
            </w:pPr>
          </w:p>
        </w:tc>
      </w:tr>
      <w:tr w:rsidR="00D466E9" w:rsidRPr="00AA55DA" w:rsidTr="00D466E9">
        <w:tc>
          <w:tcPr>
            <w:tcW w:w="992" w:type="dxa"/>
            <w:vAlign w:val="center"/>
          </w:tcPr>
          <w:p w:rsidR="00D466E9" w:rsidRPr="00AA55DA" w:rsidRDefault="00D466E9" w:rsidP="00D466E9">
            <w:pPr>
              <w:contextualSpacing/>
              <w:jc w:val="left"/>
              <w:rPr>
                <w:rFonts w:ascii="Arial Narrow" w:hAnsi="Arial Narrow"/>
                <w:sz w:val="20"/>
              </w:rPr>
            </w:pPr>
            <w:r w:rsidRPr="00AA55DA">
              <w:rPr>
                <w:rFonts w:ascii="Arial Narrow" w:hAnsi="Arial Narrow"/>
                <w:sz w:val="20"/>
              </w:rPr>
              <w:t>Pooled</w:t>
            </w:r>
          </w:p>
        </w:tc>
        <w:tc>
          <w:tcPr>
            <w:tcW w:w="2268" w:type="dxa"/>
            <w:gridSpan w:val="2"/>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I</w:t>
            </w:r>
            <w:r w:rsidRPr="00AA55DA">
              <w:rPr>
                <w:rFonts w:ascii="Arial Narrow" w:hAnsi="Arial Narrow"/>
                <w:sz w:val="20"/>
                <w:vertAlign w:val="superscript"/>
              </w:rPr>
              <w:t>2</w:t>
            </w:r>
            <w:r w:rsidRPr="00AA55DA">
              <w:rPr>
                <w:rFonts w:ascii="Arial Narrow" w:hAnsi="Arial Narrow"/>
                <w:sz w:val="20"/>
              </w:rPr>
              <w:t>=0%, chi-square</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p-value=0.463</w:t>
            </w:r>
          </w:p>
        </w:tc>
        <w:tc>
          <w:tcPr>
            <w:tcW w:w="993" w:type="dxa"/>
            <w:tcBorders>
              <w:right w:val="double" w:sz="4" w:space="0" w:color="auto"/>
            </w:tcBorders>
            <w:vAlign w:val="center"/>
          </w:tcPr>
          <w:p w:rsidR="00D466E9" w:rsidRPr="00AA55DA" w:rsidRDefault="00D466E9" w:rsidP="00D466E9">
            <w:pPr>
              <w:contextualSpacing/>
              <w:jc w:val="center"/>
              <w:rPr>
                <w:rFonts w:ascii="Arial Narrow" w:hAnsi="Arial Narrow"/>
                <w:sz w:val="20"/>
              </w:rPr>
            </w:pPr>
            <w:r w:rsidRPr="00AA55DA">
              <w:rPr>
                <w:rFonts w:ascii="Arial Narrow" w:hAnsi="Arial Narrow"/>
                <w:sz w:val="20"/>
              </w:rPr>
              <w:t>1.75</w:t>
            </w:r>
          </w:p>
          <w:p w:rsidR="00D466E9" w:rsidRPr="00AA55DA" w:rsidRDefault="00D466E9" w:rsidP="00D466E9">
            <w:pPr>
              <w:contextualSpacing/>
              <w:jc w:val="center"/>
              <w:rPr>
                <w:rFonts w:ascii="Arial Narrow" w:hAnsi="Arial Narrow"/>
                <w:sz w:val="20"/>
              </w:rPr>
            </w:pPr>
            <w:r w:rsidRPr="00AA55DA">
              <w:rPr>
                <w:rFonts w:ascii="Arial Narrow" w:hAnsi="Arial Narrow"/>
                <w:sz w:val="20"/>
              </w:rPr>
              <w:t>(1.19, 2.56)</w:t>
            </w:r>
          </w:p>
        </w:tc>
        <w:tc>
          <w:tcPr>
            <w:tcW w:w="1842" w:type="dxa"/>
            <w:gridSpan w:val="3"/>
            <w:vAlign w:val="center"/>
          </w:tcPr>
          <w:p w:rsidR="00D466E9" w:rsidRPr="00AA55DA" w:rsidRDefault="00D466E9" w:rsidP="00D466E9">
            <w:pPr>
              <w:contextualSpacing/>
              <w:jc w:val="center"/>
              <w:rPr>
                <w:rFonts w:ascii="Arial Narrow" w:hAnsi="Arial Narrow" w:cs="Times New Roman"/>
                <w:sz w:val="20"/>
                <w:lang w:val="da-DK"/>
              </w:rPr>
            </w:pPr>
            <w:r w:rsidRPr="00AA55DA">
              <w:rPr>
                <w:rFonts w:ascii="Arial Narrow" w:hAnsi="Arial Narrow" w:cs="Times New Roman"/>
                <w:sz w:val="20"/>
                <w:lang w:val="da-DK"/>
              </w:rPr>
              <w:t>I</w:t>
            </w:r>
            <w:r w:rsidRPr="00AA55DA">
              <w:rPr>
                <w:rFonts w:ascii="Arial Narrow" w:hAnsi="Arial Narrow" w:cs="Times New Roman"/>
                <w:sz w:val="20"/>
                <w:vertAlign w:val="superscript"/>
                <w:lang w:val="da-DK"/>
              </w:rPr>
              <w:t>2</w:t>
            </w:r>
            <w:r w:rsidRPr="00AA55DA">
              <w:rPr>
                <w:rFonts w:ascii="Arial Narrow" w:hAnsi="Arial Narrow" w:cs="Times New Roman"/>
                <w:sz w:val="20"/>
                <w:lang w:val="da-DK"/>
              </w:rPr>
              <w:t>=</w:t>
            </w:r>
            <w:r w:rsidR="004165CE">
              <w:rPr>
                <w:rFonts w:ascii="Arial Narrow" w:hAnsi="Arial Narrow" w:cs="Times New Roman"/>
                <w:noProof/>
                <w:color w:val="000000"/>
                <w:sz w:val="20"/>
                <w:highlight w:val="black"/>
                <w:lang w:val="da-DK"/>
              </w:rPr>
              <w:t>'''</w:t>
            </w:r>
            <w:r w:rsidRPr="00AA55DA">
              <w:rPr>
                <w:rFonts w:ascii="Arial Narrow" w:hAnsi="Arial Narrow" w:cs="Times New Roman"/>
                <w:sz w:val="20"/>
                <w:lang w:val="da-DK"/>
              </w:rPr>
              <w:t>%, chi-square</w:t>
            </w:r>
          </w:p>
          <w:p w:rsidR="00D466E9" w:rsidRPr="00AA55DA" w:rsidRDefault="00D466E9" w:rsidP="00D466E9">
            <w:pPr>
              <w:contextualSpacing/>
              <w:jc w:val="center"/>
              <w:rPr>
                <w:rFonts w:ascii="Arial Narrow" w:hAnsi="Arial Narrow" w:cs="Times New Roman"/>
                <w:sz w:val="20"/>
                <w:lang w:val="da-DK"/>
              </w:rPr>
            </w:pPr>
            <w:r w:rsidRPr="00AA55DA">
              <w:rPr>
                <w:rFonts w:ascii="Arial Narrow" w:hAnsi="Arial Narrow" w:cs="Times New Roman"/>
                <w:sz w:val="20"/>
                <w:lang w:val="da-DK"/>
              </w:rPr>
              <w:t>p-value=</w:t>
            </w:r>
            <w:r w:rsidR="004165CE">
              <w:rPr>
                <w:rFonts w:ascii="Arial Narrow" w:hAnsi="Arial Narrow" w:cs="Times New Roman"/>
                <w:noProof/>
                <w:color w:val="000000"/>
                <w:sz w:val="20"/>
                <w:highlight w:val="black"/>
                <w:lang w:val="da-DK"/>
              </w:rPr>
              <w:t>'''''''''''''''</w:t>
            </w:r>
          </w:p>
        </w:tc>
        <w:tc>
          <w:tcPr>
            <w:tcW w:w="993" w:type="dxa"/>
            <w:vAlign w:val="center"/>
          </w:tcPr>
          <w:p w:rsidR="00D466E9" w:rsidRPr="004165CE" w:rsidRDefault="004165CE" w:rsidP="00D466E9">
            <w:pPr>
              <w:contextualSpacing/>
              <w:jc w:val="center"/>
              <w:rPr>
                <w:rFonts w:ascii="Arial Narrow" w:hAnsi="Arial Narrow"/>
                <w:sz w:val="20"/>
                <w:highlight w:val="black"/>
              </w:rPr>
            </w:pPr>
            <w:r>
              <w:rPr>
                <w:rFonts w:ascii="Arial Narrow" w:hAnsi="Arial Narrow"/>
                <w:noProof/>
                <w:color w:val="000000"/>
                <w:sz w:val="20"/>
                <w:highlight w:val="black"/>
              </w:rPr>
              <w:t>''''''''''</w:t>
            </w:r>
          </w:p>
          <w:p w:rsidR="00D466E9" w:rsidRPr="004165CE" w:rsidRDefault="004165CE" w:rsidP="00D466E9">
            <w:pPr>
              <w:contextualSpacing/>
              <w:jc w:val="center"/>
              <w:rPr>
                <w:rFonts w:ascii="Arial Narrow" w:hAnsi="Arial Narrow"/>
                <w:sz w:val="20"/>
                <w:highlight w:val="black"/>
              </w:rPr>
            </w:pPr>
            <w:r>
              <w:rPr>
                <w:rFonts w:ascii="Arial Narrow" w:hAnsi="Arial Narrow"/>
                <w:noProof/>
                <w:color w:val="000000"/>
                <w:sz w:val="20"/>
                <w:highlight w:val="black"/>
              </w:rPr>
              <w:t>''''''''''''''' '''''''''''</w:t>
            </w:r>
          </w:p>
        </w:tc>
        <w:tc>
          <w:tcPr>
            <w:tcW w:w="1275" w:type="dxa"/>
            <w:gridSpan w:val="2"/>
            <w:vMerge/>
            <w:vAlign w:val="center"/>
          </w:tcPr>
          <w:p w:rsidR="00D466E9" w:rsidRPr="00AA55DA" w:rsidRDefault="00D466E9" w:rsidP="00D466E9">
            <w:pPr>
              <w:contextualSpacing/>
              <w:jc w:val="center"/>
              <w:rPr>
                <w:rFonts w:ascii="Arial Narrow" w:hAnsi="Arial Narrow"/>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widowControl/>
              <w:snapToGrid/>
              <w:contextualSpacing/>
              <w:rPr>
                <w:rFonts w:ascii="Arial Narrow" w:hAnsi="Arial Narrow" w:cstheme="minorBidi"/>
                <w:b/>
                <w:sz w:val="20"/>
              </w:rPr>
            </w:pPr>
            <w:r w:rsidRPr="00AA55DA">
              <w:rPr>
                <w:rFonts w:ascii="Arial Narrow" w:hAnsi="Arial Narrow" w:cstheme="minorBidi"/>
                <w:b/>
                <w:sz w:val="20"/>
              </w:rPr>
              <w:t>Clinical response in induction phase</w:t>
            </w: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GEMINI II</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1.31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(1.00, 1.70)</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99/220</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(45.0)</w:t>
            </w: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51/148</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(34.5)</w:t>
            </w: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275" w:type="dxa"/>
            <w:gridSpan w:val="2"/>
            <w:vMerge w:val="restart"/>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GEMINI III</w:t>
            </w:r>
          </w:p>
        </w:tc>
        <w:tc>
          <w:tcPr>
            <w:tcW w:w="1134"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134" w:type="dxa"/>
            <w:vAlign w:val="center"/>
          </w:tcPr>
          <w:p w:rsidR="00D466E9" w:rsidRPr="004165CE" w:rsidRDefault="004165CE" w:rsidP="00D466E9">
            <w:pPr>
              <w:widowControl/>
              <w:snapToGrid/>
              <w:contextualSpacing/>
              <w:jc w:val="center"/>
              <w:rPr>
                <w:rFonts w:ascii="Arial Narrow" w:hAnsi="Arial Narrow" w:cstheme="minorBidi"/>
                <w:color w:val="000000" w:themeColor="text1"/>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color w:val="000000" w:themeColor="text1"/>
                <w:sz w:val="20"/>
                <w:highlight w:val="black"/>
              </w:rPr>
            </w:pPr>
            <w:r>
              <w:rPr>
                <w:rFonts w:ascii="Arial Narrow" w:hAnsi="Arial Narrow" w:cstheme="minorBidi"/>
                <w:noProof/>
                <w:color w:val="000000"/>
                <w:sz w:val="20"/>
                <w:highlight w:val="black"/>
              </w:rPr>
              <w:t>'''''''''''''''</w:t>
            </w:r>
          </w:p>
        </w:tc>
        <w:tc>
          <w:tcPr>
            <w:tcW w:w="993" w:type="dxa"/>
            <w:tcBorders>
              <w:right w:val="double" w:sz="4" w:space="0" w:color="auto"/>
            </w:tcBorders>
            <w:vAlign w:val="center"/>
          </w:tcPr>
          <w:p w:rsidR="00D466E9" w:rsidRPr="004165CE" w:rsidRDefault="004165CE" w:rsidP="00D466E9">
            <w:pPr>
              <w:widowControl/>
              <w:snapToGrid/>
              <w:contextualSpacing/>
              <w:jc w:val="center"/>
              <w:rPr>
                <w:rFonts w:ascii="Arial Narrow" w:hAnsi="Arial Narrow" w:cstheme="minorBidi"/>
                <w:color w:val="000000" w:themeColor="text1"/>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color w:val="000000" w:themeColor="text1"/>
                <w:sz w:val="20"/>
                <w:highlight w:val="black"/>
              </w:rPr>
            </w:pPr>
            <w:r>
              <w:rPr>
                <w:rFonts w:ascii="Arial Narrow" w:hAnsi="Arial Narrow" w:cstheme="minorBidi"/>
                <w:noProof/>
                <w:color w:val="000000"/>
                <w:sz w:val="20"/>
                <w:highlight w:val="black"/>
              </w:rPr>
              <w:t>'''''''''''''''</w:t>
            </w: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CLASSIC I</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25/74</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(34)</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44/76</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(58)</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1.71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(1.18, 2.49)</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GAIN</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56/166</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(34)</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82/159</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(52)</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1.53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(1.18, 1.98)</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Watanabe</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7/23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(30)</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23/33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(70)</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2.29</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(1.19, 4.42)</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Pooled</w:t>
            </w:r>
          </w:p>
        </w:tc>
        <w:tc>
          <w:tcPr>
            <w:tcW w:w="2268" w:type="dxa"/>
            <w:gridSpan w:val="2"/>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=0%,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p-value=0.369</w:t>
            </w: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1.43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(1.20, 1.71)</w:t>
            </w:r>
          </w:p>
        </w:tc>
        <w:tc>
          <w:tcPr>
            <w:tcW w:w="1842" w:type="dxa"/>
            <w:gridSpan w:val="3"/>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w:t>
            </w:r>
            <w:r w:rsidR="004165CE">
              <w:rPr>
                <w:rFonts w:ascii="Arial Narrow" w:hAnsi="Arial Narrow" w:cstheme="minorBidi"/>
                <w:noProof/>
                <w:color w:val="000000"/>
                <w:sz w:val="20"/>
                <w:highlight w:val="black"/>
              </w:rPr>
              <w:t>'''</w:t>
            </w:r>
            <w:r w:rsidRPr="00AA55DA">
              <w:rPr>
                <w:rFonts w:ascii="Arial Narrow" w:hAnsi="Arial Narrow" w:cstheme="minorBidi"/>
                <w:sz w:val="20"/>
              </w:rPr>
              <w:t>%,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w:t>
            </w:r>
            <w:r w:rsidR="004165CE">
              <w:rPr>
                <w:rFonts w:ascii="Arial Narrow" w:hAnsi="Arial Narrow" w:cstheme="minorBidi"/>
                <w:noProof/>
                <w:color w:val="000000"/>
                <w:sz w:val="20"/>
                <w:highlight w:val="black"/>
              </w:rPr>
              <w:t>''''''''''''''</w:t>
            </w:r>
          </w:p>
        </w:tc>
        <w:tc>
          <w:tcPr>
            <w:tcW w:w="993"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widowControl/>
              <w:snapToGrid/>
              <w:contextualSpacing/>
              <w:rPr>
                <w:rFonts w:ascii="Arial Narrow" w:hAnsi="Arial Narrow" w:cstheme="minorBidi"/>
                <w:b/>
                <w:sz w:val="20"/>
              </w:rPr>
            </w:pPr>
            <w:r w:rsidRPr="00AA55DA">
              <w:rPr>
                <w:rFonts w:ascii="Arial Narrow" w:hAnsi="Arial Narrow" w:cstheme="minorBidi"/>
                <w:b/>
                <w:sz w:val="20"/>
              </w:rPr>
              <w:t>Enhanced clinical response in induction phase</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GEMINI II</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1.23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(0.88, 1.72)</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69/220</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(31.4)</w:t>
            </w: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38/148</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(25.7)</w:t>
            </w: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275" w:type="dxa"/>
            <w:gridSpan w:val="2"/>
            <w:vMerge w:val="restart"/>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GEMINI III</w:t>
            </w:r>
          </w:p>
        </w:tc>
        <w:tc>
          <w:tcPr>
            <w:tcW w:w="1134"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134"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tc>
        <w:tc>
          <w:tcPr>
            <w:tcW w:w="993" w:type="dxa"/>
            <w:tcBorders>
              <w:right w:val="double" w:sz="4" w:space="0" w:color="auto"/>
            </w:tcBorders>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CLASSIC I</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18/74</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(24)</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37/76</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(49)</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2.00</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(1.26, 3.18)</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GAIN</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41/166</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(25)</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61/159</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(38)</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1.55</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(1.12, 2.16)</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Watanabe</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4/23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(17)</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15/33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(46)</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2.61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(0.99, 6.87)</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Pooled</w:t>
            </w:r>
          </w:p>
        </w:tc>
        <w:tc>
          <w:tcPr>
            <w:tcW w:w="2268" w:type="dxa"/>
            <w:gridSpan w:val="2"/>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=55.6%,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p-value=0.133</w:t>
            </w: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1.47</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(1.05, 2.05)</w:t>
            </w:r>
          </w:p>
        </w:tc>
        <w:tc>
          <w:tcPr>
            <w:tcW w:w="1842" w:type="dxa"/>
            <w:gridSpan w:val="3"/>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w:t>
            </w:r>
            <w:r w:rsidR="004165CE">
              <w:rPr>
                <w:rFonts w:ascii="Arial Narrow" w:hAnsi="Arial Narrow" w:cstheme="minorBidi"/>
                <w:noProof/>
                <w:color w:val="000000"/>
                <w:sz w:val="20"/>
                <w:highlight w:val="black"/>
              </w:rPr>
              <w:t>''''</w:t>
            </w:r>
            <w:r w:rsidRPr="00AA55DA">
              <w:rPr>
                <w:rFonts w:ascii="Arial Narrow" w:hAnsi="Arial Narrow" w:cstheme="minorBidi"/>
                <w:sz w:val="20"/>
              </w:rPr>
              <w:t>%,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w:t>
            </w:r>
            <w:r w:rsidR="004165CE">
              <w:rPr>
                <w:rFonts w:ascii="Arial Narrow" w:hAnsi="Arial Narrow" w:cstheme="minorBidi"/>
                <w:noProof/>
                <w:color w:val="000000"/>
                <w:sz w:val="20"/>
                <w:highlight w:val="black"/>
              </w:rPr>
              <w:t>''''''''''''</w:t>
            </w:r>
          </w:p>
        </w:tc>
        <w:tc>
          <w:tcPr>
            <w:tcW w:w="993"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keepNext/>
              <w:widowControl/>
              <w:snapToGrid/>
              <w:contextualSpacing/>
              <w:rPr>
                <w:rFonts w:ascii="Arial Narrow" w:hAnsi="Arial Narrow" w:cstheme="minorBidi"/>
                <w:b/>
                <w:sz w:val="20"/>
              </w:rPr>
            </w:pPr>
            <w:r w:rsidRPr="00AA55DA">
              <w:rPr>
                <w:rFonts w:ascii="Arial Narrow" w:hAnsi="Arial Narrow" w:cstheme="minorBidi"/>
                <w:b/>
                <w:sz w:val="20"/>
              </w:rPr>
              <w:t>Clinical remission in maintenance phase</w:t>
            </w:r>
          </w:p>
        </w:tc>
      </w:tr>
      <w:tr w:rsidR="00D466E9" w:rsidRPr="00AA55DA" w:rsidTr="00231E98">
        <w:tc>
          <w:tcPr>
            <w:tcW w:w="992" w:type="dxa"/>
            <w:vAlign w:val="center"/>
          </w:tcPr>
          <w:p w:rsidR="00D466E9" w:rsidRPr="00AA55DA" w:rsidRDefault="00D466E9" w:rsidP="00D466E9">
            <w:pPr>
              <w:keepNext/>
              <w:widowControl/>
              <w:snapToGrid/>
              <w:contextualSpacing/>
              <w:jc w:val="left"/>
              <w:rPr>
                <w:rFonts w:ascii="Arial Narrow" w:hAnsi="Arial Narrow" w:cstheme="minorBidi"/>
                <w:sz w:val="20"/>
              </w:rPr>
            </w:pPr>
            <w:r w:rsidRPr="00AA55DA">
              <w:rPr>
                <w:rFonts w:ascii="Arial Narrow" w:hAnsi="Arial Narrow" w:cstheme="minorBidi"/>
                <w:sz w:val="20"/>
              </w:rPr>
              <w:t>GEMINI II</w:t>
            </w: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1.81</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(1.26, 2.59)</w:t>
            </w: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60/154</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(39.0)</w:t>
            </w:r>
          </w:p>
        </w:tc>
        <w:tc>
          <w:tcPr>
            <w:tcW w:w="993" w:type="dxa"/>
            <w:tcBorders>
              <w:right w:val="double" w:sz="4" w:space="0" w:color="auto"/>
            </w:tcBorders>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33/153</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(21.6)</w:t>
            </w:r>
          </w:p>
        </w:tc>
        <w:tc>
          <w:tcPr>
            <w:tcW w:w="850" w:type="dxa"/>
            <w:gridSpan w:val="2"/>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1275" w:type="dxa"/>
            <w:gridSpan w:val="2"/>
            <w:vMerge w:val="restart"/>
            <w:vAlign w:val="center"/>
          </w:tcPr>
          <w:p w:rsidR="00D466E9" w:rsidRPr="004165CE" w:rsidRDefault="004165CE" w:rsidP="00D466E9">
            <w:pPr>
              <w:keepNext/>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keepNext/>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r>
      <w:tr w:rsidR="00D466E9" w:rsidRPr="00AA55DA" w:rsidTr="00231E98">
        <w:tc>
          <w:tcPr>
            <w:tcW w:w="992" w:type="dxa"/>
            <w:vAlign w:val="center"/>
          </w:tcPr>
          <w:p w:rsidR="00D466E9" w:rsidRPr="00AA55DA" w:rsidRDefault="00D466E9" w:rsidP="00D466E9">
            <w:pPr>
              <w:keepNext/>
              <w:widowControl/>
              <w:snapToGrid/>
              <w:contextualSpacing/>
              <w:jc w:val="left"/>
              <w:rPr>
                <w:rFonts w:ascii="Arial Narrow" w:hAnsi="Arial Narrow" w:cstheme="minorBidi"/>
                <w:sz w:val="20"/>
              </w:rPr>
            </w:pPr>
            <w:r w:rsidRPr="00AA55DA">
              <w:rPr>
                <w:rFonts w:ascii="Arial Narrow" w:hAnsi="Arial Narrow" w:cstheme="minorBidi"/>
                <w:sz w:val="20"/>
              </w:rPr>
              <w:t>CHARM</w:t>
            </w: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20/170</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(12)</w:t>
            </w:r>
          </w:p>
        </w:tc>
        <w:tc>
          <w:tcPr>
            <w:tcW w:w="992"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62/172</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(36)</w:t>
            </w:r>
          </w:p>
        </w:tc>
        <w:tc>
          <w:tcPr>
            <w:tcW w:w="993"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3.06</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(1.94, 4.84)</w:t>
            </w:r>
          </w:p>
        </w:tc>
        <w:tc>
          <w:tcPr>
            <w:tcW w:w="1275" w:type="dxa"/>
            <w:gridSpan w:val="2"/>
            <w:vMerge/>
            <w:vAlign w:val="center"/>
          </w:tcPr>
          <w:p w:rsidR="00D466E9" w:rsidRPr="00AA55DA" w:rsidRDefault="00D466E9" w:rsidP="00D466E9">
            <w:pPr>
              <w:keepNext/>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keepNext/>
              <w:widowControl/>
              <w:snapToGrid/>
              <w:contextualSpacing/>
              <w:jc w:val="left"/>
              <w:rPr>
                <w:rFonts w:ascii="Arial Narrow" w:hAnsi="Arial Narrow" w:cstheme="minorBidi"/>
                <w:sz w:val="20"/>
              </w:rPr>
            </w:pPr>
            <w:r w:rsidRPr="00AA55DA">
              <w:rPr>
                <w:rFonts w:ascii="Arial Narrow" w:hAnsi="Arial Narrow" w:cstheme="minorBidi"/>
                <w:sz w:val="20"/>
              </w:rPr>
              <w:t>Watanabe</w:t>
            </w: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2/22</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(9.1)</w:t>
            </w:r>
          </w:p>
        </w:tc>
        <w:tc>
          <w:tcPr>
            <w:tcW w:w="992"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8/21</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(38.1)</w:t>
            </w:r>
          </w:p>
        </w:tc>
        <w:tc>
          <w:tcPr>
            <w:tcW w:w="993" w:type="dxa"/>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4.19</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(1.00, 17.50)</w:t>
            </w:r>
          </w:p>
        </w:tc>
        <w:tc>
          <w:tcPr>
            <w:tcW w:w="1275" w:type="dxa"/>
            <w:gridSpan w:val="2"/>
            <w:vMerge/>
            <w:vAlign w:val="center"/>
          </w:tcPr>
          <w:p w:rsidR="00D466E9" w:rsidRPr="00AA55DA" w:rsidRDefault="00D466E9" w:rsidP="00D466E9">
            <w:pPr>
              <w:keepNext/>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keepNext/>
              <w:widowControl/>
              <w:snapToGrid/>
              <w:contextualSpacing/>
              <w:jc w:val="left"/>
              <w:rPr>
                <w:rFonts w:ascii="Arial Narrow" w:hAnsi="Arial Narrow" w:cstheme="minorBidi"/>
                <w:sz w:val="20"/>
              </w:rPr>
            </w:pPr>
            <w:r w:rsidRPr="00AA55DA">
              <w:rPr>
                <w:rFonts w:ascii="Arial Narrow" w:hAnsi="Arial Narrow" w:cstheme="minorBidi"/>
                <w:sz w:val="20"/>
              </w:rPr>
              <w:t>Pooled</w:t>
            </w:r>
          </w:p>
        </w:tc>
        <w:tc>
          <w:tcPr>
            <w:tcW w:w="3261" w:type="dxa"/>
            <w:gridSpan w:val="3"/>
            <w:tcBorders>
              <w:right w:val="double" w:sz="4" w:space="0" w:color="auto"/>
            </w:tcBorders>
            <w:vAlign w:val="center"/>
          </w:tcPr>
          <w:p w:rsidR="00D466E9" w:rsidRPr="00AA55DA" w:rsidRDefault="00D466E9" w:rsidP="00D466E9">
            <w:pPr>
              <w:keepNext/>
              <w:widowControl/>
              <w:snapToGrid/>
              <w:contextualSpacing/>
              <w:jc w:val="center"/>
              <w:rPr>
                <w:rFonts w:ascii="Arial Narrow" w:hAnsi="Arial Narrow" w:cstheme="minorBidi"/>
                <w:sz w:val="20"/>
              </w:rPr>
            </w:pPr>
          </w:p>
        </w:tc>
        <w:tc>
          <w:tcPr>
            <w:tcW w:w="1842" w:type="dxa"/>
            <w:gridSpan w:val="3"/>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w:t>
            </w:r>
            <w:r w:rsidR="004165CE">
              <w:rPr>
                <w:rFonts w:ascii="Arial Narrow" w:hAnsi="Arial Narrow" w:cstheme="minorBidi"/>
                <w:noProof/>
                <w:color w:val="000000"/>
                <w:sz w:val="20"/>
                <w:highlight w:val="black"/>
              </w:rPr>
              <w:t>''''</w:t>
            </w:r>
            <w:r w:rsidRPr="00AA55DA">
              <w:rPr>
                <w:rFonts w:ascii="Arial Narrow" w:hAnsi="Arial Narrow" w:cstheme="minorBidi"/>
                <w:sz w:val="20"/>
              </w:rPr>
              <w:t>%,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w:t>
            </w:r>
            <w:r w:rsidR="004165CE">
              <w:rPr>
                <w:rFonts w:ascii="Arial Narrow" w:hAnsi="Arial Narrow" w:cstheme="minorBidi"/>
                <w:noProof/>
                <w:color w:val="000000"/>
                <w:sz w:val="20"/>
                <w:highlight w:val="black"/>
              </w:rPr>
              <w:t>'''''''''''''</w:t>
            </w:r>
          </w:p>
        </w:tc>
        <w:tc>
          <w:tcPr>
            <w:tcW w:w="993" w:type="dxa"/>
            <w:vAlign w:val="center"/>
          </w:tcPr>
          <w:p w:rsidR="00D466E9" w:rsidRPr="004165CE" w:rsidRDefault="004165CE" w:rsidP="00D466E9">
            <w:pPr>
              <w:keepNext/>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keepNext/>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275" w:type="dxa"/>
            <w:gridSpan w:val="2"/>
            <w:vMerge/>
            <w:vAlign w:val="center"/>
          </w:tcPr>
          <w:p w:rsidR="00D466E9" w:rsidRPr="00AA55DA" w:rsidRDefault="00D466E9" w:rsidP="00D466E9">
            <w:pPr>
              <w:keepNext/>
              <w:widowControl/>
              <w:snapToGrid/>
              <w:contextualSpacing/>
              <w:jc w:val="center"/>
              <w:rPr>
                <w:rFonts w:ascii="Arial Narrow" w:hAnsi="Arial Narrow" w:cstheme="minorBidi"/>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widowControl/>
              <w:snapToGrid/>
              <w:contextualSpacing/>
              <w:rPr>
                <w:rFonts w:ascii="Arial Narrow" w:hAnsi="Arial Narrow" w:cstheme="minorBidi"/>
                <w:b/>
                <w:sz w:val="20"/>
              </w:rPr>
            </w:pPr>
            <w:r w:rsidRPr="00AA55DA">
              <w:rPr>
                <w:rFonts w:ascii="Arial Narrow" w:hAnsi="Arial Narrow" w:cstheme="minorBidi"/>
                <w:b/>
                <w:sz w:val="20"/>
              </w:rPr>
              <w:t>Clinical response in maintenance phase</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GEMINI II</w:t>
            </w:r>
          </w:p>
        </w:tc>
        <w:tc>
          <w:tcPr>
            <w:tcW w:w="1134"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134"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tc>
        <w:tc>
          <w:tcPr>
            <w:tcW w:w="993" w:type="dxa"/>
            <w:tcBorders>
              <w:right w:val="double" w:sz="4" w:space="0" w:color="auto"/>
            </w:tcBorders>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275" w:type="dxa"/>
            <w:gridSpan w:val="2"/>
            <w:vMerge w:val="restart"/>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CHARM</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30/170</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(17.6)</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74/172</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(43.0)</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2.44</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(1.69, 3.52)</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Watanabe</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850"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2/22</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(10)</w:t>
            </w:r>
          </w:p>
        </w:tc>
        <w:tc>
          <w:tcPr>
            <w:tcW w:w="992"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9/21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(42.8)</w:t>
            </w:r>
          </w:p>
        </w:tc>
        <w:tc>
          <w:tcPr>
            <w:tcW w:w="993"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4.71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(1.15, 19.32)</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Pooled</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1842" w:type="dxa"/>
            <w:gridSpan w:val="3"/>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w:t>
            </w:r>
            <w:r w:rsidR="004165CE">
              <w:rPr>
                <w:rFonts w:ascii="Arial Narrow" w:hAnsi="Arial Narrow" w:cstheme="minorBidi"/>
                <w:noProof/>
                <w:color w:val="000000"/>
                <w:sz w:val="20"/>
                <w:highlight w:val="black"/>
              </w:rPr>
              <w:t>''''</w:t>
            </w:r>
            <w:r w:rsidRPr="00AA55DA">
              <w:rPr>
                <w:rFonts w:ascii="Arial Narrow" w:hAnsi="Arial Narrow" w:cstheme="minorBidi"/>
                <w:sz w:val="20"/>
              </w:rPr>
              <w:t>%,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w:t>
            </w:r>
            <w:r w:rsidR="004165CE">
              <w:rPr>
                <w:rFonts w:ascii="Arial Narrow" w:hAnsi="Arial Narrow" w:cstheme="minorBidi"/>
                <w:noProof/>
                <w:color w:val="000000"/>
                <w:sz w:val="20"/>
                <w:highlight w:val="black"/>
              </w:rPr>
              <w:t>''''''''''''''</w:t>
            </w:r>
          </w:p>
        </w:tc>
        <w:tc>
          <w:tcPr>
            <w:tcW w:w="993" w:type="dxa"/>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275" w:type="dxa"/>
            <w:gridSpan w:val="2"/>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D466E9">
        <w:tc>
          <w:tcPr>
            <w:tcW w:w="8363" w:type="dxa"/>
            <w:gridSpan w:val="10"/>
            <w:shd w:val="clear" w:color="auto" w:fill="EEECE1" w:themeFill="background2"/>
            <w:vAlign w:val="center"/>
          </w:tcPr>
          <w:p w:rsidR="00D466E9" w:rsidRPr="00AA55DA" w:rsidRDefault="00D466E9" w:rsidP="00D466E9">
            <w:pPr>
              <w:widowControl/>
              <w:snapToGrid/>
              <w:contextualSpacing/>
              <w:rPr>
                <w:rFonts w:ascii="Arial Narrow" w:hAnsi="Arial Narrow" w:cstheme="minorBidi"/>
                <w:b/>
                <w:sz w:val="20"/>
              </w:rPr>
            </w:pPr>
            <w:r w:rsidRPr="00AA55DA">
              <w:rPr>
                <w:rFonts w:ascii="Arial Narrow" w:hAnsi="Arial Narrow" w:cstheme="minorBidi"/>
                <w:b/>
                <w:sz w:val="20"/>
              </w:rPr>
              <w:t>Enhanced clinical response in maintenance phase</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lastRenderedPageBreak/>
              <w:t>GEMINI II</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1.45</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(1.07, 1.96)</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67/154</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(43.5)</w:t>
            </w: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46/153</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(30.1)</w:t>
            </w:r>
          </w:p>
        </w:tc>
        <w:tc>
          <w:tcPr>
            <w:tcW w:w="708"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Merge w:val="restart"/>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CHARM</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708"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28/170</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(16.5)</w:t>
            </w: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71/172</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(41.3)</w:t>
            </w: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2.51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(1.71, 3.67)</w:t>
            </w:r>
          </w:p>
        </w:tc>
        <w:tc>
          <w:tcPr>
            <w:tcW w:w="1134" w:type="dxa"/>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AA55DA"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Watanabe</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708" w:type="dxa"/>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2/22</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(9.1)</w:t>
            </w: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8/21</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(38.1)</w:t>
            </w:r>
          </w:p>
        </w:tc>
        <w:tc>
          <w:tcPr>
            <w:tcW w:w="1134" w:type="dxa"/>
            <w:gridSpan w:val="2"/>
            <w:vAlign w:val="center"/>
          </w:tcPr>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4.19</w:t>
            </w:r>
          </w:p>
          <w:p w:rsidR="00D466E9" w:rsidRPr="00AA55DA" w:rsidRDefault="00D466E9" w:rsidP="00D466E9">
            <w:pPr>
              <w:widowControl/>
              <w:snapToGrid/>
              <w:contextualSpacing/>
              <w:jc w:val="center"/>
              <w:rPr>
                <w:rFonts w:ascii="Arial Narrow" w:hAnsi="Arial Narrow" w:cstheme="minorBidi"/>
                <w:sz w:val="20"/>
              </w:rPr>
            </w:pPr>
            <w:r w:rsidRPr="00AA55DA">
              <w:rPr>
                <w:rFonts w:ascii="Arial Narrow" w:hAnsi="Arial Narrow" w:cstheme="minorBidi"/>
                <w:sz w:val="20"/>
              </w:rPr>
              <w:t>(1.00,17.50)</w:t>
            </w:r>
          </w:p>
        </w:tc>
        <w:tc>
          <w:tcPr>
            <w:tcW w:w="1134" w:type="dxa"/>
            <w:vMerge/>
            <w:vAlign w:val="center"/>
          </w:tcPr>
          <w:p w:rsidR="00D466E9" w:rsidRPr="00AA55DA" w:rsidRDefault="00D466E9" w:rsidP="00D466E9">
            <w:pPr>
              <w:widowControl/>
              <w:snapToGrid/>
              <w:contextualSpacing/>
              <w:jc w:val="center"/>
              <w:rPr>
                <w:rFonts w:ascii="Arial Narrow" w:hAnsi="Arial Narrow" w:cstheme="minorBidi"/>
                <w:sz w:val="20"/>
              </w:rPr>
            </w:pPr>
          </w:p>
        </w:tc>
      </w:tr>
      <w:tr w:rsidR="00D466E9" w:rsidRPr="00D466E9" w:rsidTr="00231E98">
        <w:tc>
          <w:tcPr>
            <w:tcW w:w="992" w:type="dxa"/>
            <w:vAlign w:val="center"/>
          </w:tcPr>
          <w:p w:rsidR="00D466E9" w:rsidRPr="00AA55DA" w:rsidRDefault="00D466E9" w:rsidP="00D466E9">
            <w:pPr>
              <w:widowControl/>
              <w:snapToGrid/>
              <w:contextualSpacing/>
              <w:jc w:val="left"/>
              <w:rPr>
                <w:rFonts w:ascii="Arial Narrow" w:hAnsi="Arial Narrow" w:cstheme="minorBidi"/>
                <w:sz w:val="20"/>
              </w:rPr>
            </w:pPr>
            <w:r w:rsidRPr="00AA55DA">
              <w:rPr>
                <w:rFonts w:ascii="Arial Narrow" w:hAnsi="Arial Narrow" w:cstheme="minorBidi"/>
                <w:sz w:val="20"/>
              </w:rPr>
              <w:t>Pooled</w:t>
            </w: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1134" w:type="dxa"/>
            <w:vAlign w:val="center"/>
          </w:tcPr>
          <w:p w:rsidR="00D466E9" w:rsidRPr="00AA55DA" w:rsidRDefault="00D466E9" w:rsidP="00D466E9">
            <w:pPr>
              <w:widowControl/>
              <w:snapToGrid/>
              <w:contextualSpacing/>
              <w:jc w:val="center"/>
              <w:rPr>
                <w:rFonts w:ascii="Arial Narrow" w:hAnsi="Arial Narrow" w:cstheme="minorBidi"/>
                <w:sz w:val="20"/>
              </w:rPr>
            </w:pPr>
          </w:p>
        </w:tc>
        <w:tc>
          <w:tcPr>
            <w:tcW w:w="993" w:type="dxa"/>
            <w:tcBorders>
              <w:right w:val="double" w:sz="4" w:space="0" w:color="auto"/>
            </w:tcBorders>
            <w:vAlign w:val="center"/>
          </w:tcPr>
          <w:p w:rsidR="00D466E9" w:rsidRPr="00AA55DA" w:rsidRDefault="00D466E9" w:rsidP="00D466E9">
            <w:pPr>
              <w:widowControl/>
              <w:snapToGrid/>
              <w:contextualSpacing/>
              <w:jc w:val="center"/>
              <w:rPr>
                <w:rFonts w:ascii="Arial Narrow" w:hAnsi="Arial Narrow" w:cstheme="minorBidi"/>
                <w:sz w:val="20"/>
              </w:rPr>
            </w:pPr>
          </w:p>
        </w:tc>
        <w:tc>
          <w:tcPr>
            <w:tcW w:w="1842" w:type="dxa"/>
            <w:gridSpan w:val="3"/>
            <w:vAlign w:val="center"/>
          </w:tcPr>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I</w:t>
            </w:r>
            <w:r w:rsidRPr="00AA55DA">
              <w:rPr>
                <w:rFonts w:ascii="Arial Narrow" w:hAnsi="Arial Narrow" w:cstheme="minorBidi"/>
                <w:sz w:val="20"/>
                <w:vertAlign w:val="superscript"/>
              </w:rPr>
              <w:t>2</w:t>
            </w:r>
            <w:r w:rsidRPr="00AA55DA">
              <w:rPr>
                <w:rFonts w:ascii="Arial Narrow" w:hAnsi="Arial Narrow" w:cstheme="minorBidi"/>
                <w:sz w:val="20"/>
              </w:rPr>
              <w:t>=</w:t>
            </w:r>
            <w:r w:rsidR="004165CE">
              <w:rPr>
                <w:rFonts w:ascii="Arial Narrow" w:hAnsi="Arial Narrow" w:cstheme="minorBidi"/>
                <w:noProof/>
                <w:color w:val="000000"/>
                <w:sz w:val="20"/>
                <w:highlight w:val="black"/>
              </w:rPr>
              <w:t>''''</w:t>
            </w:r>
            <w:r w:rsidRPr="00AA55DA">
              <w:rPr>
                <w:rFonts w:ascii="Arial Narrow" w:hAnsi="Arial Narrow" w:cstheme="minorBidi"/>
                <w:sz w:val="20"/>
              </w:rPr>
              <w:t>%, chi-square</w:t>
            </w:r>
          </w:p>
          <w:p w:rsidR="00D466E9" w:rsidRPr="00AA55DA" w:rsidRDefault="00D466E9" w:rsidP="00D466E9">
            <w:pPr>
              <w:keepNext/>
              <w:widowControl/>
              <w:snapToGrid/>
              <w:contextualSpacing/>
              <w:jc w:val="center"/>
              <w:rPr>
                <w:rFonts w:ascii="Arial Narrow" w:hAnsi="Arial Narrow" w:cstheme="minorBidi"/>
                <w:sz w:val="20"/>
              </w:rPr>
            </w:pPr>
            <w:r w:rsidRPr="00AA55DA">
              <w:rPr>
                <w:rFonts w:ascii="Arial Narrow" w:hAnsi="Arial Narrow" w:cstheme="minorBidi"/>
                <w:sz w:val="20"/>
              </w:rPr>
              <w:t>p-value=</w:t>
            </w:r>
            <w:r w:rsidR="004165CE">
              <w:rPr>
                <w:rFonts w:ascii="Arial Narrow" w:hAnsi="Arial Narrow" w:cstheme="minorBidi"/>
                <w:noProof/>
                <w:color w:val="000000"/>
                <w:sz w:val="20"/>
                <w:highlight w:val="black"/>
              </w:rPr>
              <w:t>'''''''''''''''</w:t>
            </w:r>
          </w:p>
        </w:tc>
        <w:tc>
          <w:tcPr>
            <w:tcW w:w="1134" w:type="dxa"/>
            <w:gridSpan w:val="2"/>
            <w:vAlign w:val="center"/>
          </w:tcPr>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w:t>
            </w:r>
          </w:p>
          <w:p w:rsidR="00D466E9" w:rsidRPr="004165CE" w:rsidRDefault="004165CE" w:rsidP="00D466E9">
            <w:pPr>
              <w:widowControl/>
              <w:snapToGrid/>
              <w:contextualSpacing/>
              <w:jc w:val="center"/>
              <w:rPr>
                <w:rFonts w:ascii="Arial Narrow" w:hAnsi="Arial Narrow" w:cstheme="minorBidi"/>
                <w:sz w:val="20"/>
                <w:highlight w:val="black"/>
              </w:rPr>
            </w:pPr>
            <w:r>
              <w:rPr>
                <w:rFonts w:ascii="Arial Narrow" w:hAnsi="Arial Narrow" w:cstheme="minorBidi"/>
                <w:noProof/>
                <w:color w:val="000000"/>
                <w:sz w:val="20"/>
                <w:highlight w:val="black"/>
              </w:rPr>
              <w:t>''''''''''''' '''''''''''''</w:t>
            </w:r>
          </w:p>
        </w:tc>
        <w:tc>
          <w:tcPr>
            <w:tcW w:w="1134" w:type="dxa"/>
            <w:vMerge/>
            <w:vAlign w:val="center"/>
          </w:tcPr>
          <w:p w:rsidR="00D466E9" w:rsidRPr="00D466E9" w:rsidRDefault="00D466E9" w:rsidP="00D466E9">
            <w:pPr>
              <w:widowControl/>
              <w:snapToGrid/>
              <w:contextualSpacing/>
              <w:jc w:val="center"/>
              <w:rPr>
                <w:rFonts w:ascii="Arial Narrow" w:hAnsi="Arial Narrow" w:cstheme="minorBidi"/>
                <w:sz w:val="20"/>
              </w:rPr>
            </w:pPr>
          </w:p>
        </w:tc>
      </w:tr>
    </w:tbl>
    <w:p w:rsidR="00D466E9" w:rsidRPr="00D466E9" w:rsidRDefault="00D466E9" w:rsidP="00231E98">
      <w:pPr>
        <w:ind w:left="720"/>
        <w:rPr>
          <w:rFonts w:ascii="Arial Narrow" w:hAnsi="Arial Narrow"/>
          <w:sz w:val="18"/>
          <w:szCs w:val="18"/>
        </w:rPr>
      </w:pPr>
      <w:r w:rsidRPr="00D466E9">
        <w:rPr>
          <w:rFonts w:ascii="Arial Narrow" w:hAnsi="Arial Narrow"/>
          <w:sz w:val="18"/>
          <w:szCs w:val="18"/>
        </w:rPr>
        <w:t>CI = confidence interval;</w:t>
      </w:r>
      <w:r w:rsidRPr="00D466E9">
        <w:rPr>
          <w:rFonts w:ascii="Arial Narrow" w:hAnsi="Arial Narrow"/>
          <w:i/>
          <w:iCs/>
          <w:sz w:val="18"/>
          <w:szCs w:val="18"/>
        </w:rPr>
        <w:t xml:space="preserve"> n </w:t>
      </w:r>
      <w:r w:rsidRPr="00D466E9">
        <w:rPr>
          <w:rFonts w:ascii="Arial Narrow" w:hAnsi="Arial Narrow"/>
          <w:sz w:val="18"/>
          <w:szCs w:val="18"/>
        </w:rPr>
        <w:t>= number with event;</w:t>
      </w:r>
      <w:r w:rsidRPr="00D466E9">
        <w:rPr>
          <w:rFonts w:ascii="Arial Narrow" w:hAnsi="Arial Narrow"/>
          <w:i/>
          <w:iCs/>
          <w:sz w:val="18"/>
          <w:szCs w:val="18"/>
        </w:rPr>
        <w:t xml:space="preserve"> N </w:t>
      </w:r>
      <w:r w:rsidRPr="00D466E9">
        <w:rPr>
          <w:rFonts w:ascii="Arial Narrow" w:hAnsi="Arial Narrow"/>
          <w:sz w:val="18"/>
          <w:szCs w:val="18"/>
        </w:rPr>
        <w:t xml:space="preserve">= number in group; RR = relative risk. </w:t>
      </w:r>
      <w:proofErr w:type="gramStart"/>
      <w:r w:rsidRPr="00D466E9">
        <w:rPr>
          <w:rFonts w:ascii="Arial Narrow" w:hAnsi="Arial Narrow"/>
          <w:b/>
          <w:bCs/>
          <w:sz w:val="18"/>
          <w:szCs w:val="18"/>
          <w:vertAlign w:val="superscript"/>
        </w:rPr>
        <w:t>a</w:t>
      </w:r>
      <w:proofErr w:type="gramEnd"/>
      <w:r w:rsidRPr="00D466E9">
        <w:rPr>
          <w:rFonts w:ascii="Arial Narrow" w:hAnsi="Arial Narrow"/>
          <w:sz w:val="18"/>
          <w:szCs w:val="18"/>
        </w:rPr>
        <w:t xml:space="preserve"> </w:t>
      </w:r>
      <w:proofErr w:type="spellStart"/>
      <w:r w:rsidRPr="00D466E9">
        <w:rPr>
          <w:rFonts w:ascii="Arial Narrow" w:hAnsi="Arial Narrow"/>
          <w:sz w:val="18"/>
          <w:szCs w:val="18"/>
        </w:rPr>
        <w:t>vedolizumab</w:t>
      </w:r>
      <w:proofErr w:type="spellEnd"/>
      <w:r w:rsidRPr="00D466E9">
        <w:rPr>
          <w:rFonts w:ascii="Arial Narrow" w:hAnsi="Arial Narrow"/>
          <w:sz w:val="18"/>
          <w:szCs w:val="18"/>
        </w:rPr>
        <w:t xml:space="preserve"> over placebo. </w:t>
      </w:r>
      <w:proofErr w:type="gramStart"/>
      <w:r w:rsidRPr="00D466E9">
        <w:rPr>
          <w:rFonts w:ascii="Arial Narrow" w:hAnsi="Arial Narrow"/>
          <w:b/>
          <w:bCs/>
          <w:sz w:val="18"/>
          <w:szCs w:val="18"/>
          <w:vertAlign w:val="superscript"/>
        </w:rPr>
        <w:t>b</w:t>
      </w:r>
      <w:proofErr w:type="gramEnd"/>
      <w:r w:rsidRPr="00D466E9">
        <w:rPr>
          <w:rFonts w:ascii="Arial Narrow" w:hAnsi="Arial Narrow"/>
          <w:sz w:val="18"/>
          <w:szCs w:val="18"/>
        </w:rPr>
        <w:t xml:space="preserve"> adalimumab over placebo. </w:t>
      </w:r>
      <w:proofErr w:type="gramStart"/>
      <w:r w:rsidRPr="00D466E9">
        <w:rPr>
          <w:rFonts w:ascii="Arial Narrow" w:hAnsi="Arial Narrow"/>
          <w:b/>
          <w:bCs/>
          <w:sz w:val="18"/>
          <w:szCs w:val="18"/>
          <w:vertAlign w:val="superscript"/>
        </w:rPr>
        <w:t>c</w:t>
      </w:r>
      <w:proofErr w:type="gramEnd"/>
      <w:r w:rsidRPr="00D466E9">
        <w:rPr>
          <w:rFonts w:ascii="Arial Narrow" w:hAnsi="Arial Narrow"/>
          <w:sz w:val="18"/>
          <w:szCs w:val="18"/>
        </w:rPr>
        <w:t xml:space="preserve"> inferred as </w:t>
      </w:r>
      <w:proofErr w:type="spellStart"/>
      <w:r w:rsidRPr="00D466E9">
        <w:rPr>
          <w:rFonts w:ascii="Arial Narrow" w:hAnsi="Arial Narrow"/>
          <w:sz w:val="18"/>
          <w:szCs w:val="18"/>
        </w:rPr>
        <w:t>vedolizumab</w:t>
      </w:r>
      <w:proofErr w:type="spellEnd"/>
      <w:r w:rsidRPr="00D466E9">
        <w:rPr>
          <w:rFonts w:ascii="Arial Narrow" w:hAnsi="Arial Narrow"/>
          <w:sz w:val="18"/>
          <w:szCs w:val="18"/>
        </w:rPr>
        <w:t xml:space="preserve"> over adalimumab. </w:t>
      </w:r>
      <w:proofErr w:type="gramStart"/>
      <w:r w:rsidRPr="00D466E9">
        <w:rPr>
          <w:rFonts w:ascii="Arial Narrow" w:hAnsi="Arial Narrow"/>
          <w:b/>
          <w:bCs/>
          <w:sz w:val="18"/>
          <w:szCs w:val="18"/>
          <w:vertAlign w:val="superscript"/>
        </w:rPr>
        <w:t>d</w:t>
      </w:r>
      <w:proofErr w:type="gramEnd"/>
      <w:r w:rsidRPr="00D466E9">
        <w:rPr>
          <w:rFonts w:ascii="Arial Narrow" w:hAnsi="Arial Narrow"/>
          <w:sz w:val="18"/>
          <w:szCs w:val="18"/>
        </w:rPr>
        <w:t xml:space="preserve"> pooled using the random effects model. Attachment B of the Commentary,</w:t>
      </w:r>
      <w:r w:rsidRPr="00D466E9">
        <w:t xml:space="preserve"> </w:t>
      </w:r>
      <w:r w:rsidRPr="00D466E9">
        <w:rPr>
          <w:rFonts w:ascii="Arial Narrow" w:hAnsi="Arial Narrow"/>
          <w:sz w:val="18"/>
          <w:szCs w:val="18"/>
        </w:rPr>
        <w:t>Source: Tables B(ii).6-2, B(ii).6-3, B(ii).6-4, B(ii).6-5, B(ii).6-7, B(ii).6-8, B(ii).6-15 p217-21 of the submission</w:t>
      </w:r>
    </w:p>
    <w:p w:rsidR="007F1CD6" w:rsidRPr="00984C78" w:rsidRDefault="00E42311" w:rsidP="00B60939">
      <w:pPr>
        <w:rPr>
          <w:szCs w:val="22"/>
        </w:rPr>
      </w:pPr>
      <w:r>
        <w:rPr>
          <w:szCs w:val="22"/>
        </w:rPr>
        <w:t xml:space="preserve"> </w:t>
      </w:r>
    </w:p>
    <w:p w:rsidR="00FD4425" w:rsidRPr="00984C78" w:rsidRDefault="00FD4425" w:rsidP="006B764E">
      <w:pPr>
        <w:pStyle w:val="ListParagraph"/>
        <w:keepNext/>
        <w:keepLines/>
        <w:widowControl/>
        <w:numPr>
          <w:ilvl w:val="1"/>
          <w:numId w:val="3"/>
        </w:numPr>
      </w:pPr>
      <w:proofErr w:type="spellStart"/>
      <w:r w:rsidRPr="00984C78">
        <w:t>Vedolizumab</w:t>
      </w:r>
      <w:proofErr w:type="spellEnd"/>
      <w:r w:rsidRPr="00984C78">
        <w:t xml:space="preserve"> versus infliximab (based on the indirect comparisons):</w:t>
      </w:r>
    </w:p>
    <w:p w:rsidR="00FD4425" w:rsidRPr="00057ABE" w:rsidRDefault="00FD4425" w:rsidP="006B764E">
      <w:pPr>
        <w:pStyle w:val="ListParagraph"/>
        <w:numPr>
          <w:ilvl w:val="0"/>
          <w:numId w:val="4"/>
        </w:numPr>
        <w:ind w:left="993" w:hanging="284"/>
      </w:pPr>
      <w:proofErr w:type="spellStart"/>
      <w:r w:rsidRPr="00057ABE">
        <w:t>Vedolizumab</w:t>
      </w:r>
      <w:proofErr w:type="spellEnd"/>
      <w:r w:rsidRPr="00057ABE">
        <w:t xml:space="preserve"> was non-inferior in terms of clinical remission in the induction and maintenance phase, although there is a trend towards </w:t>
      </w:r>
      <w:proofErr w:type="spellStart"/>
      <w:r w:rsidRPr="00057ABE">
        <w:t>vedolizumab</w:t>
      </w:r>
      <w:proofErr w:type="spellEnd"/>
      <w:r w:rsidRPr="00057ABE">
        <w:t xml:space="preserve"> being inferior.</w:t>
      </w:r>
    </w:p>
    <w:p w:rsidR="00FD4425" w:rsidRPr="00057ABE" w:rsidRDefault="00FD4425" w:rsidP="006B764E">
      <w:pPr>
        <w:pStyle w:val="ListParagraph"/>
        <w:numPr>
          <w:ilvl w:val="0"/>
          <w:numId w:val="4"/>
        </w:numPr>
        <w:ind w:left="993" w:hanging="284"/>
      </w:pPr>
      <w:proofErr w:type="spellStart"/>
      <w:r w:rsidRPr="00057ABE">
        <w:t>Vedolizumab</w:t>
      </w:r>
      <w:proofErr w:type="spellEnd"/>
      <w:r w:rsidRPr="00057ABE">
        <w:t xml:space="preserve"> was </w:t>
      </w:r>
      <w:r w:rsidRPr="00057ABE">
        <w:rPr>
          <w:u w:val="single"/>
        </w:rPr>
        <w:t>statistically inferior</w:t>
      </w:r>
      <w:r w:rsidRPr="00057ABE">
        <w:t xml:space="preserve"> in terms of clinical response in the induction phase and maintenance phase.</w:t>
      </w:r>
    </w:p>
    <w:p w:rsidR="00FD4425" w:rsidRPr="00057ABE" w:rsidRDefault="00FD4425" w:rsidP="00FD4425">
      <w:pPr>
        <w:pStyle w:val="ListParagraph"/>
        <w:ind w:left="993"/>
      </w:pPr>
    </w:p>
    <w:p w:rsidR="00FD4425" w:rsidRPr="00057ABE" w:rsidRDefault="00FD4425" w:rsidP="006B764E">
      <w:pPr>
        <w:pStyle w:val="ListParagraph"/>
        <w:keepNext/>
        <w:keepLines/>
        <w:widowControl/>
        <w:numPr>
          <w:ilvl w:val="1"/>
          <w:numId w:val="3"/>
        </w:numPr>
      </w:pPr>
      <w:proofErr w:type="spellStart"/>
      <w:r w:rsidRPr="00057ABE">
        <w:t>Vedolizumab</w:t>
      </w:r>
      <w:proofErr w:type="spellEnd"/>
      <w:r w:rsidRPr="00057ABE">
        <w:t xml:space="preserve"> versus adalimumab (based on the indirect comparisons):</w:t>
      </w:r>
    </w:p>
    <w:p w:rsidR="00FD4425" w:rsidRPr="00057ABE" w:rsidRDefault="00FD4425" w:rsidP="006B764E">
      <w:pPr>
        <w:pStyle w:val="ListParagraph"/>
        <w:numPr>
          <w:ilvl w:val="0"/>
          <w:numId w:val="4"/>
        </w:numPr>
        <w:ind w:left="993" w:hanging="284"/>
      </w:pPr>
      <w:proofErr w:type="spellStart"/>
      <w:r w:rsidRPr="00057ABE">
        <w:t>Vedolizumab</w:t>
      </w:r>
      <w:proofErr w:type="spellEnd"/>
      <w:r w:rsidRPr="00057ABE">
        <w:t xml:space="preserve"> was non-inferior in terms of clinical remission in the induction and maintenance phase, although there is a trend towards </w:t>
      </w:r>
      <w:proofErr w:type="spellStart"/>
      <w:r w:rsidRPr="00057ABE">
        <w:t>vedolizumab</w:t>
      </w:r>
      <w:proofErr w:type="spellEnd"/>
      <w:r w:rsidRPr="00057ABE">
        <w:t xml:space="preserve"> being inferior, and in the maintenance phase the upper 95% confidence interval was very close to 1.</w:t>
      </w:r>
    </w:p>
    <w:p w:rsidR="00FD4425" w:rsidRPr="00057ABE" w:rsidRDefault="00FD4425" w:rsidP="006B764E">
      <w:pPr>
        <w:pStyle w:val="ListParagraph"/>
        <w:numPr>
          <w:ilvl w:val="0"/>
          <w:numId w:val="4"/>
        </w:numPr>
        <w:ind w:left="993" w:hanging="284"/>
      </w:pPr>
      <w:proofErr w:type="spellStart"/>
      <w:r w:rsidRPr="00057ABE">
        <w:t>Vedolizumab</w:t>
      </w:r>
      <w:proofErr w:type="spellEnd"/>
      <w:r w:rsidRPr="00057ABE">
        <w:t xml:space="preserve"> was non-inferior in terms of clinical response and enhanced clinical response in the induction phase, although there is a trend towards </w:t>
      </w:r>
      <w:proofErr w:type="spellStart"/>
      <w:r w:rsidRPr="00057ABE">
        <w:t>vedolizumab</w:t>
      </w:r>
      <w:proofErr w:type="spellEnd"/>
      <w:r w:rsidRPr="00057ABE">
        <w:t xml:space="preserve"> being inferior.</w:t>
      </w:r>
    </w:p>
    <w:p w:rsidR="00FD4425" w:rsidRPr="00057ABE" w:rsidRDefault="00FD4425" w:rsidP="006B764E">
      <w:pPr>
        <w:pStyle w:val="ListParagraph"/>
        <w:numPr>
          <w:ilvl w:val="0"/>
          <w:numId w:val="4"/>
        </w:numPr>
        <w:ind w:left="993" w:hanging="284"/>
      </w:pPr>
      <w:proofErr w:type="spellStart"/>
      <w:r w:rsidRPr="00057ABE">
        <w:t>Vedolizumab</w:t>
      </w:r>
      <w:proofErr w:type="spellEnd"/>
      <w:r w:rsidRPr="00057ABE">
        <w:t xml:space="preserve"> was statistically inferior in terms of clinical response and enhanced clinical response in the maintenance phase.</w:t>
      </w:r>
    </w:p>
    <w:p w:rsidR="006A01A9" w:rsidRPr="00057ABE" w:rsidRDefault="006A01A9" w:rsidP="006A01A9">
      <w:pPr>
        <w:pStyle w:val="ListParagraph"/>
        <w:ind w:left="993"/>
      </w:pPr>
    </w:p>
    <w:p w:rsidR="00CE7785" w:rsidRDefault="00F76199" w:rsidP="006B764E">
      <w:pPr>
        <w:pStyle w:val="ListParagraph"/>
        <w:keepNext/>
        <w:keepLines/>
        <w:widowControl/>
        <w:numPr>
          <w:ilvl w:val="1"/>
          <w:numId w:val="3"/>
        </w:numPr>
      </w:pPr>
      <w:r w:rsidRPr="00057ABE">
        <w:t>The</w:t>
      </w:r>
      <w:r w:rsidR="00FD4425" w:rsidRPr="00057ABE">
        <w:t xml:space="preserve"> sub-group analysis by prior treatment did not substantially affect the </w:t>
      </w:r>
      <w:r w:rsidR="00A61D4F" w:rsidRPr="00057ABE">
        <w:t>results</w:t>
      </w:r>
      <w:r w:rsidR="00FD4425" w:rsidRPr="00057ABE">
        <w:t xml:space="preserve"> except that </w:t>
      </w:r>
      <w:proofErr w:type="spellStart"/>
      <w:r w:rsidR="00FD4425" w:rsidRPr="00057ABE">
        <w:t>vedolizumab</w:t>
      </w:r>
      <w:proofErr w:type="spellEnd"/>
      <w:r w:rsidR="00FD4425" w:rsidRPr="00057ABE">
        <w:t xml:space="preserve"> was no longer statistically inferior in terms of clinical response and enhanced clinical response compared to adalimumab</w:t>
      </w:r>
      <w:r w:rsidR="00FD4425" w:rsidRPr="00984C78">
        <w:t xml:space="preserve"> in the maintenance phase.  The ESC considered this may be because the smaller sample size increased the </w:t>
      </w:r>
      <w:r w:rsidR="006C5C01" w:rsidRPr="00984C78">
        <w:t xml:space="preserve">width </w:t>
      </w:r>
      <w:r w:rsidR="00FD4425" w:rsidRPr="00984C78">
        <w:t>of the confidence intervals. There was also no clear trend in that one sub-group was more or less likely to experience clinical remission than the other.</w:t>
      </w:r>
    </w:p>
    <w:p w:rsidR="008242E0" w:rsidRDefault="008242E0" w:rsidP="008242E0">
      <w:pPr>
        <w:pStyle w:val="ListParagraph"/>
        <w:keepNext/>
        <w:keepLines/>
        <w:widowControl/>
      </w:pPr>
    </w:p>
    <w:p w:rsidR="00B60939" w:rsidRPr="005B62C5" w:rsidRDefault="00B60939" w:rsidP="00162852">
      <w:pPr>
        <w:pStyle w:val="Heading2"/>
      </w:pPr>
      <w:bookmarkStart w:id="10" w:name="_Toc409097584"/>
      <w:r w:rsidRPr="005B62C5">
        <w:t>Comparative harms</w:t>
      </w:r>
      <w:bookmarkEnd w:id="10"/>
    </w:p>
    <w:p w:rsidR="0005097C" w:rsidRPr="00984C78" w:rsidRDefault="0005097C" w:rsidP="0005097C"/>
    <w:p w:rsidR="00263911" w:rsidRPr="00984C78" w:rsidRDefault="00263911" w:rsidP="006B764E">
      <w:pPr>
        <w:pStyle w:val="ListParagraph"/>
        <w:widowControl/>
        <w:numPr>
          <w:ilvl w:val="1"/>
          <w:numId w:val="3"/>
        </w:numPr>
      </w:pPr>
      <w:r w:rsidRPr="00984C78">
        <w:t xml:space="preserve">There were </w:t>
      </w:r>
      <w:r w:rsidRPr="00057ABE">
        <w:t xml:space="preserve">no significant differences in the relative risks of any adverse events, infectious adverse events, serious infectious adverse events or deaths with </w:t>
      </w:r>
      <w:proofErr w:type="spellStart"/>
      <w:r w:rsidRPr="00057ABE">
        <w:t>vedolizumab</w:t>
      </w:r>
      <w:proofErr w:type="spellEnd"/>
      <w:r w:rsidRPr="00057ABE">
        <w:t xml:space="preserve"> compared to infliximab or adalimumab. However there were significantly more serious adverse events with </w:t>
      </w:r>
      <w:proofErr w:type="spellStart"/>
      <w:r w:rsidRPr="00057ABE">
        <w:t>vedolizumab</w:t>
      </w:r>
      <w:proofErr w:type="spellEnd"/>
      <w:r w:rsidRPr="00057ABE">
        <w:t xml:space="preserve"> compared to infliximab and adalimumab, and significantly fewer discontinuations due to adverse events with </w:t>
      </w:r>
      <w:proofErr w:type="spellStart"/>
      <w:r w:rsidRPr="00057ABE">
        <w:t>vedolizumab</w:t>
      </w:r>
      <w:proofErr w:type="spellEnd"/>
      <w:r w:rsidRPr="00057ABE">
        <w:t xml:space="preserve"> compared to infliximab. The</w:t>
      </w:r>
      <w:r w:rsidRPr="00984C78">
        <w:t xml:space="preserve"> submission identifie</w:t>
      </w:r>
      <w:r w:rsidR="00787B76" w:rsidRPr="00984C78">
        <w:t>d</w:t>
      </w:r>
      <w:r w:rsidRPr="00984C78">
        <w:t xml:space="preserve"> the theoretical risk of PML as </w:t>
      </w:r>
      <w:proofErr w:type="spellStart"/>
      <w:r w:rsidRPr="00984C78">
        <w:t>vedolizumab</w:t>
      </w:r>
      <w:proofErr w:type="spellEnd"/>
      <w:r w:rsidRPr="00984C78">
        <w:t xml:space="preserve"> is in the same class as </w:t>
      </w:r>
      <w:proofErr w:type="spellStart"/>
      <w:r w:rsidRPr="00984C78">
        <w:t>natalizumab</w:t>
      </w:r>
      <w:proofErr w:type="spellEnd"/>
      <w:r w:rsidRPr="00984C78">
        <w:t>.</w:t>
      </w:r>
      <w:r w:rsidR="00314470" w:rsidRPr="00984C78">
        <w:t xml:space="preserve"> This risk was identified in the March 2014 submission for </w:t>
      </w:r>
      <w:proofErr w:type="spellStart"/>
      <w:r w:rsidR="00314470" w:rsidRPr="00984C78">
        <w:t>vedolizumab</w:t>
      </w:r>
      <w:proofErr w:type="spellEnd"/>
      <w:r w:rsidR="00314470" w:rsidRPr="00984C78">
        <w:t xml:space="preserve"> for the treatment of ulcerative colitis.</w:t>
      </w:r>
    </w:p>
    <w:p w:rsidR="00164D4A" w:rsidRPr="00984C78" w:rsidRDefault="00164D4A" w:rsidP="00164D4A">
      <w:pPr>
        <w:widowControl/>
        <w:snapToGrid/>
        <w:jc w:val="left"/>
      </w:pPr>
      <w:bookmarkStart w:id="11" w:name="_Toc409097586"/>
    </w:p>
    <w:p w:rsidR="00B60939" w:rsidRPr="00116301" w:rsidRDefault="00B60939" w:rsidP="00162852">
      <w:pPr>
        <w:pStyle w:val="Heading2"/>
      </w:pPr>
      <w:r w:rsidRPr="00116301">
        <w:lastRenderedPageBreak/>
        <w:t>Clinical claim</w:t>
      </w:r>
      <w:bookmarkEnd w:id="11"/>
    </w:p>
    <w:p w:rsidR="0005097C" w:rsidRPr="00984C78" w:rsidRDefault="0005097C" w:rsidP="0005097C"/>
    <w:p w:rsidR="00B60939" w:rsidRPr="00057ABE" w:rsidRDefault="00CC05E6" w:rsidP="006B764E">
      <w:pPr>
        <w:pStyle w:val="ListParagraph"/>
        <w:widowControl/>
        <w:numPr>
          <w:ilvl w:val="1"/>
          <w:numId w:val="3"/>
        </w:numPr>
        <w:rPr>
          <w:szCs w:val="22"/>
        </w:rPr>
      </w:pPr>
      <w:r w:rsidRPr="00984C78">
        <w:t xml:space="preserve">In terms of </w:t>
      </w:r>
      <w:r w:rsidRPr="00057ABE">
        <w:t xml:space="preserve">comparative effectiveness, the submission described </w:t>
      </w:r>
      <w:proofErr w:type="spellStart"/>
      <w:r w:rsidRPr="00057ABE">
        <w:t>vedolizumab</w:t>
      </w:r>
      <w:proofErr w:type="spellEnd"/>
      <w:r w:rsidRPr="00057ABE">
        <w:t xml:space="preserve"> as:</w:t>
      </w:r>
    </w:p>
    <w:p w:rsidR="00CC05E6" w:rsidRPr="00057ABE" w:rsidRDefault="00CC05E6" w:rsidP="006B764E">
      <w:pPr>
        <w:pStyle w:val="ListParagraph"/>
        <w:numPr>
          <w:ilvl w:val="0"/>
          <w:numId w:val="4"/>
        </w:numPr>
        <w:ind w:left="1134"/>
      </w:pPr>
      <w:r w:rsidRPr="00057ABE">
        <w:t xml:space="preserve">Versus infliximab: </w:t>
      </w:r>
      <w:r w:rsidRPr="00057ABE">
        <w:rPr>
          <w:u w:val="single"/>
        </w:rPr>
        <w:t>non-inferior</w:t>
      </w:r>
      <w:r w:rsidRPr="00057ABE">
        <w:t xml:space="preserve"> for induction of clinical remission; </w:t>
      </w:r>
      <w:r w:rsidRPr="00057ABE">
        <w:rPr>
          <w:u w:val="single"/>
        </w:rPr>
        <w:t>inferior</w:t>
      </w:r>
      <w:r w:rsidRPr="00057ABE">
        <w:t xml:space="preserve"> for induction of clinical response; </w:t>
      </w:r>
      <w:r w:rsidRPr="00057ABE">
        <w:rPr>
          <w:u w:val="single"/>
        </w:rPr>
        <w:t>non-inferior</w:t>
      </w:r>
      <w:r w:rsidRPr="00057ABE">
        <w:t xml:space="preserve"> for maintenance of clinical remission</w:t>
      </w:r>
      <w:r w:rsidRPr="00984C78">
        <w:t xml:space="preserve"> and </w:t>
      </w:r>
      <w:r w:rsidRPr="00057ABE">
        <w:t xml:space="preserve">durable clinical remission; </w:t>
      </w:r>
      <w:r w:rsidRPr="00057ABE">
        <w:rPr>
          <w:u w:val="single"/>
        </w:rPr>
        <w:t>inferior</w:t>
      </w:r>
      <w:r w:rsidRPr="00057ABE">
        <w:t xml:space="preserve"> for maintenance of clinical response.</w:t>
      </w:r>
    </w:p>
    <w:p w:rsidR="00CC05E6" w:rsidRPr="00057ABE" w:rsidRDefault="00CC05E6" w:rsidP="006B764E">
      <w:pPr>
        <w:pStyle w:val="ListParagraph"/>
        <w:numPr>
          <w:ilvl w:val="0"/>
          <w:numId w:val="4"/>
        </w:numPr>
        <w:ind w:left="1134"/>
      </w:pPr>
      <w:r w:rsidRPr="00057ABE">
        <w:t xml:space="preserve">Versus adalimumab: </w:t>
      </w:r>
      <w:r w:rsidRPr="00057ABE">
        <w:rPr>
          <w:u w:val="single"/>
        </w:rPr>
        <w:t>non-inferior</w:t>
      </w:r>
      <w:r w:rsidRPr="00057ABE">
        <w:t xml:space="preserve"> for induction of clinical remission, enhanced clinical response and clinical response in the ITT populations, </w:t>
      </w:r>
      <w:r w:rsidR="00320AD7" w:rsidRPr="00057ABE">
        <w:t>TNF-α</w:t>
      </w:r>
      <w:r w:rsidRPr="00057ABE">
        <w:t xml:space="preserve"> antagonist naïve patients, and </w:t>
      </w:r>
      <w:r w:rsidR="00320AD7" w:rsidRPr="00057ABE">
        <w:t>TNF-α</w:t>
      </w:r>
      <w:r w:rsidRPr="00057ABE">
        <w:t xml:space="preserve"> antagonist failure/experienced patients; </w:t>
      </w:r>
      <w:r w:rsidRPr="00057ABE">
        <w:rPr>
          <w:u w:val="single"/>
        </w:rPr>
        <w:t>non-inferior</w:t>
      </w:r>
      <w:r w:rsidRPr="00057ABE">
        <w:t xml:space="preserve"> in the ITT populations for maintenance of clinical remission and corticosteroid-free clinical remission; </w:t>
      </w:r>
      <w:r w:rsidRPr="00057ABE">
        <w:rPr>
          <w:u w:val="single"/>
        </w:rPr>
        <w:t>inferior</w:t>
      </w:r>
      <w:r w:rsidRPr="00057ABE">
        <w:t xml:space="preserve"> for the maintenance of enhanced clinical response and clinical response; and </w:t>
      </w:r>
      <w:r w:rsidRPr="00057ABE">
        <w:rPr>
          <w:u w:val="single"/>
        </w:rPr>
        <w:t>non-inferior</w:t>
      </w:r>
      <w:r w:rsidRPr="00057ABE">
        <w:t xml:space="preserve"> in </w:t>
      </w:r>
      <w:r w:rsidR="00320AD7" w:rsidRPr="00057ABE">
        <w:t>TNF-α</w:t>
      </w:r>
      <w:r w:rsidRPr="00057ABE">
        <w:t xml:space="preserve"> antagonist naïve patients and </w:t>
      </w:r>
      <w:r w:rsidR="00320AD7" w:rsidRPr="00057ABE">
        <w:t>TNF-α</w:t>
      </w:r>
      <w:r w:rsidRPr="00057ABE">
        <w:t xml:space="preserve"> antagonist failure/experienced patients for clinical remission and enhanced clinical response.</w:t>
      </w:r>
    </w:p>
    <w:p w:rsidR="006C5584" w:rsidRPr="00057ABE" w:rsidRDefault="006C5584" w:rsidP="006C5584">
      <w:pPr>
        <w:pStyle w:val="ListParagraph"/>
        <w:ind w:left="1134"/>
      </w:pPr>
    </w:p>
    <w:p w:rsidR="00CC05E6" w:rsidRPr="00057ABE" w:rsidRDefault="00CC05E6" w:rsidP="006B764E">
      <w:pPr>
        <w:pStyle w:val="ListParagraph"/>
        <w:widowControl/>
        <w:numPr>
          <w:ilvl w:val="1"/>
          <w:numId w:val="3"/>
        </w:numPr>
      </w:pPr>
      <w:r w:rsidRPr="00057ABE">
        <w:t xml:space="preserve">In terms of comparative safety, the submission described </w:t>
      </w:r>
      <w:proofErr w:type="spellStart"/>
      <w:r w:rsidRPr="00057ABE">
        <w:t>vedolizumab</w:t>
      </w:r>
      <w:proofErr w:type="spellEnd"/>
      <w:r w:rsidRPr="00057ABE">
        <w:t xml:space="preserve"> as:</w:t>
      </w:r>
    </w:p>
    <w:p w:rsidR="00CC05E6" w:rsidRPr="00057ABE" w:rsidRDefault="00CC05E6" w:rsidP="006B764E">
      <w:pPr>
        <w:pStyle w:val="ListParagraph"/>
        <w:numPr>
          <w:ilvl w:val="0"/>
          <w:numId w:val="4"/>
        </w:numPr>
        <w:ind w:left="1134"/>
      </w:pPr>
      <w:r w:rsidRPr="00057ABE">
        <w:t xml:space="preserve">Versus infliximab: </w:t>
      </w:r>
      <w:r w:rsidRPr="00057ABE">
        <w:rPr>
          <w:u w:val="single"/>
        </w:rPr>
        <w:t>non-inferior</w:t>
      </w:r>
      <w:r w:rsidRPr="00057ABE">
        <w:t xml:space="preserve"> for adverse events during the induction phase; </w:t>
      </w:r>
      <w:r w:rsidRPr="00057ABE">
        <w:rPr>
          <w:u w:val="single"/>
        </w:rPr>
        <w:t>non-inferior</w:t>
      </w:r>
      <w:r w:rsidRPr="00057ABE">
        <w:t xml:space="preserve"> for adverse events and </w:t>
      </w:r>
      <w:r w:rsidRPr="00057ABE">
        <w:rPr>
          <w:u w:val="single"/>
        </w:rPr>
        <w:t>inferior</w:t>
      </w:r>
      <w:r w:rsidRPr="00057ABE">
        <w:t xml:space="preserve"> for serious adverse events during the maintenance phase for the ITT populations and </w:t>
      </w:r>
      <w:r w:rsidR="00320AD7" w:rsidRPr="00057ABE">
        <w:t>TNF-α</w:t>
      </w:r>
      <w:r w:rsidRPr="00057ABE">
        <w:t xml:space="preserve"> antagonist naïve patients; and </w:t>
      </w:r>
      <w:r w:rsidRPr="00057ABE">
        <w:rPr>
          <w:u w:val="single"/>
        </w:rPr>
        <w:t>superior</w:t>
      </w:r>
      <w:r w:rsidRPr="00057ABE">
        <w:t xml:space="preserve"> for discontinuation due to adverse events in the ITT populations and </w:t>
      </w:r>
      <w:r w:rsidR="00320AD7" w:rsidRPr="00057ABE">
        <w:t>TNF-α</w:t>
      </w:r>
      <w:r w:rsidRPr="00057ABE">
        <w:t xml:space="preserve"> antagonist naïve patients.</w:t>
      </w:r>
    </w:p>
    <w:p w:rsidR="00CC05E6" w:rsidRPr="00057ABE" w:rsidRDefault="00CC05E6" w:rsidP="006B764E">
      <w:pPr>
        <w:pStyle w:val="ListParagraph"/>
        <w:numPr>
          <w:ilvl w:val="0"/>
          <w:numId w:val="4"/>
        </w:numPr>
        <w:ind w:left="1134"/>
        <w:rPr>
          <w:u w:val="single"/>
        </w:rPr>
      </w:pPr>
      <w:r w:rsidRPr="00057ABE">
        <w:t xml:space="preserve">Versus adalimumab: </w:t>
      </w:r>
      <w:r w:rsidRPr="00057ABE">
        <w:rPr>
          <w:u w:val="single"/>
        </w:rPr>
        <w:t>non-inferior</w:t>
      </w:r>
      <w:r w:rsidRPr="00057ABE">
        <w:t xml:space="preserve"> for adverse events, discontinuation due to adverse events, serious adverse events, infectious adverse events and serious infectious adverse events during the induction phase; </w:t>
      </w:r>
      <w:r w:rsidRPr="00057ABE">
        <w:rPr>
          <w:u w:val="single"/>
        </w:rPr>
        <w:t>non-inferior</w:t>
      </w:r>
      <w:r w:rsidRPr="00057ABE">
        <w:t xml:space="preserve"> for adverse events, discontinuation due to adverse events, infectious adverse events and serious infectious adverse events during the maintenance phase; </w:t>
      </w:r>
      <w:r w:rsidRPr="00057ABE">
        <w:rPr>
          <w:u w:val="single"/>
        </w:rPr>
        <w:t xml:space="preserve">inferior </w:t>
      </w:r>
      <w:r w:rsidRPr="00057ABE">
        <w:t>for serious adverse events during the maintenance phase.</w:t>
      </w:r>
    </w:p>
    <w:p w:rsidR="006C5584" w:rsidRPr="00057ABE" w:rsidRDefault="006C5584" w:rsidP="006C5584">
      <w:pPr>
        <w:pStyle w:val="ListParagraph"/>
        <w:ind w:left="1134"/>
        <w:rPr>
          <w:u w:val="single"/>
        </w:rPr>
      </w:pPr>
    </w:p>
    <w:p w:rsidR="00314470" w:rsidRPr="00057ABE" w:rsidRDefault="00A91B92" w:rsidP="006B764E">
      <w:pPr>
        <w:pStyle w:val="ListParagraph"/>
        <w:widowControl/>
        <w:numPr>
          <w:ilvl w:val="1"/>
          <w:numId w:val="3"/>
        </w:numPr>
      </w:pPr>
      <w:r w:rsidRPr="00057ABE">
        <w:t>The evaluation considered that n</w:t>
      </w:r>
      <w:r w:rsidR="00314470" w:rsidRPr="00057ABE">
        <w:t xml:space="preserve">on-inferiority was not adequately supported. The indirect comparisons were not powered to test for non-inferiority and there was a trend towards </w:t>
      </w:r>
      <w:proofErr w:type="spellStart"/>
      <w:r w:rsidR="00314470" w:rsidRPr="00057ABE">
        <w:t>vedolizumab</w:t>
      </w:r>
      <w:proofErr w:type="spellEnd"/>
      <w:r w:rsidR="00314470" w:rsidRPr="00057ABE">
        <w:t xml:space="preserve"> being </w:t>
      </w:r>
      <w:r w:rsidR="00314470" w:rsidRPr="00057ABE">
        <w:rPr>
          <w:u w:val="single"/>
        </w:rPr>
        <w:t>inferior</w:t>
      </w:r>
      <w:r w:rsidR="009F775A" w:rsidRPr="00057ABE">
        <w:t>.</w:t>
      </w:r>
      <w:r w:rsidR="00981CAA" w:rsidRPr="00057ABE">
        <w:t xml:space="preserve">  The PSCR argued that </w:t>
      </w:r>
      <w:proofErr w:type="spellStart"/>
      <w:r w:rsidR="00981CAA" w:rsidRPr="00057ABE">
        <w:t>vedolizumab</w:t>
      </w:r>
      <w:proofErr w:type="spellEnd"/>
      <w:r w:rsidR="00981CAA" w:rsidRPr="00057ABE">
        <w:t xml:space="preserve"> was non-inferior to both infliximab and adalimumab for clinical remission in the induction and</w:t>
      </w:r>
      <w:r w:rsidR="003D3181" w:rsidRPr="00057ABE">
        <w:t xml:space="preserve"> maintenance phases (the primary </w:t>
      </w:r>
      <w:r w:rsidR="00981CAA" w:rsidRPr="00057ABE">
        <w:t>endpoint for the GEMINI II and GEMINI II trials).</w:t>
      </w:r>
      <w:r w:rsidR="00ED630D" w:rsidRPr="00057ABE">
        <w:t xml:space="preserve"> The ESC agreed with the evaluation and considered </w:t>
      </w:r>
      <w:r w:rsidR="009E21CD" w:rsidRPr="00057ABE">
        <w:t xml:space="preserve">that </w:t>
      </w:r>
      <w:r w:rsidR="00ED630D" w:rsidRPr="00057ABE">
        <w:t xml:space="preserve">the point estimates consistently </w:t>
      </w:r>
      <w:r w:rsidR="009E21CD" w:rsidRPr="00057ABE">
        <w:t>favour the comparator.</w:t>
      </w:r>
      <w:r w:rsidR="00A61D4F" w:rsidRPr="00057ABE">
        <w:t xml:space="preserve"> </w:t>
      </w:r>
      <w:r w:rsidR="009E21CD" w:rsidRPr="00057ABE">
        <w:t>The ESC considered that the non-inferiority claim was not supported by the indirect comparisons.</w:t>
      </w:r>
    </w:p>
    <w:p w:rsidR="00314470" w:rsidRPr="00984C78" w:rsidRDefault="00314470" w:rsidP="00CC05E6">
      <w:pPr>
        <w:ind w:left="709"/>
      </w:pPr>
    </w:p>
    <w:p w:rsidR="00CC05E6" w:rsidRPr="00984C78" w:rsidRDefault="00A91B92" w:rsidP="006B764E">
      <w:pPr>
        <w:pStyle w:val="ListParagraph"/>
        <w:widowControl/>
        <w:numPr>
          <w:ilvl w:val="1"/>
          <w:numId w:val="3"/>
        </w:numPr>
      </w:pPr>
      <w:r>
        <w:t>The evaluation noted t</w:t>
      </w:r>
      <w:r w:rsidR="00787B76" w:rsidRPr="00984C78">
        <w:t xml:space="preserve">here </w:t>
      </w:r>
      <w:r w:rsidR="00314470" w:rsidRPr="00984C78">
        <w:t>were</w:t>
      </w:r>
      <w:r w:rsidR="00787B76" w:rsidRPr="00984C78">
        <w:t xml:space="preserve"> also some issues with exchangeability between the trials:</w:t>
      </w:r>
    </w:p>
    <w:p w:rsidR="00787B76" w:rsidRPr="00984C78" w:rsidRDefault="00787B76" w:rsidP="006B764E">
      <w:pPr>
        <w:pStyle w:val="ListParagraph"/>
        <w:numPr>
          <w:ilvl w:val="0"/>
          <w:numId w:val="6"/>
        </w:numPr>
        <w:ind w:left="1134"/>
        <w:rPr>
          <w:szCs w:val="24"/>
        </w:rPr>
      </w:pPr>
      <w:r w:rsidRPr="00984C78">
        <w:rPr>
          <w:szCs w:val="24"/>
          <w:u w:val="single"/>
        </w:rPr>
        <w:t>Prior treatment</w:t>
      </w:r>
      <w:r w:rsidRPr="00984C78">
        <w:rPr>
          <w:szCs w:val="24"/>
        </w:rPr>
        <w:t xml:space="preserve">: The GEMINI II, GEMINI III, Watanabe and CHARM trials allowed prior treatment with a </w:t>
      </w:r>
      <w:r w:rsidR="00320AD7" w:rsidRPr="00984C78">
        <w:rPr>
          <w:szCs w:val="24"/>
        </w:rPr>
        <w:t>TNF-α</w:t>
      </w:r>
      <w:r w:rsidRPr="00984C78">
        <w:rPr>
          <w:szCs w:val="24"/>
        </w:rPr>
        <w:t xml:space="preserve"> antagonist. T16, ACCENT I, CLASSIC I and II did not. GAIN required it.</w:t>
      </w:r>
      <w:r w:rsidR="00C51A9F" w:rsidRPr="00984C78">
        <w:rPr>
          <w:szCs w:val="24"/>
        </w:rPr>
        <w:t xml:space="preserve"> </w:t>
      </w:r>
    </w:p>
    <w:p w:rsidR="00787B76" w:rsidRPr="00984C78" w:rsidRDefault="00787B76" w:rsidP="006B764E">
      <w:pPr>
        <w:pStyle w:val="ListParagraph"/>
        <w:numPr>
          <w:ilvl w:val="0"/>
          <w:numId w:val="6"/>
        </w:numPr>
        <w:ind w:left="1134"/>
      </w:pPr>
      <w:r w:rsidRPr="00984C78">
        <w:rPr>
          <w:u w:val="single"/>
        </w:rPr>
        <w:t>Doses in induction phase</w:t>
      </w:r>
      <w:r w:rsidRPr="00984C78">
        <w:t xml:space="preserve">: Patients in GEMINI II, CLASSIC I, GAIN and Watanabe received 2 doses, but in GEMINI III received 3 doses, and in T16 1 dose. Patients in </w:t>
      </w:r>
      <w:r w:rsidRPr="00984C78">
        <w:rPr>
          <w:szCs w:val="24"/>
        </w:rPr>
        <w:t>CHARM trial received adalimumab 80mg week 0 and 40mg week 2 (i.e. a lower dose compared to the other adalimumab trials).</w:t>
      </w:r>
      <w:r w:rsidR="00C51A9F" w:rsidRPr="00984C78">
        <w:rPr>
          <w:szCs w:val="24"/>
        </w:rPr>
        <w:t xml:space="preserve">  The </w:t>
      </w:r>
      <w:r w:rsidR="008C6C7A" w:rsidRPr="00984C78">
        <w:rPr>
          <w:szCs w:val="24"/>
        </w:rPr>
        <w:t>PSCR clarified</w:t>
      </w:r>
      <w:r w:rsidR="00C51A9F" w:rsidRPr="00984C78">
        <w:rPr>
          <w:szCs w:val="24"/>
        </w:rPr>
        <w:t xml:space="preserve"> that although patients in GEMINI III did receive 3 doses, assessment of response was undertaken at the 6 week time point after 2 doses of </w:t>
      </w:r>
      <w:proofErr w:type="spellStart"/>
      <w:r w:rsidR="00C51A9F" w:rsidRPr="00984C78">
        <w:rPr>
          <w:szCs w:val="24"/>
        </w:rPr>
        <w:t>vedolizumab</w:t>
      </w:r>
      <w:proofErr w:type="spellEnd"/>
      <w:r w:rsidR="00C51A9F" w:rsidRPr="00984C78">
        <w:rPr>
          <w:szCs w:val="24"/>
        </w:rPr>
        <w:t xml:space="preserve">.  </w:t>
      </w:r>
    </w:p>
    <w:p w:rsidR="00787B76" w:rsidRPr="00984C78" w:rsidRDefault="00787B76" w:rsidP="006B764E">
      <w:pPr>
        <w:pStyle w:val="ListParagraph"/>
        <w:numPr>
          <w:ilvl w:val="0"/>
          <w:numId w:val="6"/>
        </w:numPr>
        <w:ind w:left="1134"/>
      </w:pPr>
      <w:r w:rsidRPr="00984C78">
        <w:rPr>
          <w:u w:val="single"/>
        </w:rPr>
        <w:t>Date of trials</w:t>
      </w:r>
      <w:r w:rsidRPr="00984C78">
        <w:t xml:space="preserve">: The </w:t>
      </w:r>
      <w:proofErr w:type="spellStart"/>
      <w:r w:rsidRPr="00984C78">
        <w:t>vedolizumab</w:t>
      </w:r>
      <w:proofErr w:type="spellEnd"/>
      <w:r w:rsidRPr="00984C78">
        <w:t xml:space="preserve"> trials were conducted later than the infliximab and adalimumab trials.</w:t>
      </w:r>
      <w:r w:rsidR="0016282C" w:rsidRPr="00984C78">
        <w:t xml:space="preserve"> Improvements in the management of </w:t>
      </w:r>
      <w:r w:rsidR="00D73962">
        <w:t>Crohn’s</w:t>
      </w:r>
      <w:r w:rsidR="0016282C" w:rsidRPr="00984C78">
        <w:t xml:space="preserve"> disease may have reduced the baseline risk of an event over time.</w:t>
      </w:r>
    </w:p>
    <w:p w:rsidR="00A522F8" w:rsidRPr="00984C78" w:rsidRDefault="00787B76" w:rsidP="006B764E">
      <w:pPr>
        <w:pStyle w:val="ListParagraph"/>
        <w:numPr>
          <w:ilvl w:val="0"/>
          <w:numId w:val="6"/>
        </w:numPr>
        <w:ind w:left="1134"/>
      </w:pPr>
      <w:r w:rsidRPr="00984C78">
        <w:rPr>
          <w:u w:val="single"/>
        </w:rPr>
        <w:lastRenderedPageBreak/>
        <w:t xml:space="preserve">Timing of measurement: </w:t>
      </w:r>
      <w:r w:rsidRPr="00984C78">
        <w:t xml:space="preserve">Clinical remission and response were measured later in the </w:t>
      </w:r>
      <w:proofErr w:type="spellStart"/>
      <w:r w:rsidRPr="00984C78">
        <w:t>vedolizumab</w:t>
      </w:r>
      <w:proofErr w:type="spellEnd"/>
      <w:r w:rsidRPr="00984C78">
        <w:t xml:space="preserve"> trials than in the infliximab trials and the adalimumab trials in the induction phase, but earlier in the maintenance phase.</w:t>
      </w:r>
      <w:r w:rsidR="0016282C" w:rsidRPr="00984C78">
        <w:t xml:space="preserve"> No adjustment was made for this in the analysis.</w:t>
      </w:r>
      <w:r w:rsidR="00C51A9F" w:rsidRPr="00984C78">
        <w:t xml:space="preserve">  The PSCR advised that based on the timing of all the assessments c</w:t>
      </w:r>
      <w:r w:rsidR="00A522F8" w:rsidRPr="00984C78">
        <w:t>onducted in the trials there was insufficient data to allow for adjustments to be made.</w:t>
      </w:r>
      <w:r w:rsidR="00C90DCA" w:rsidRPr="00984C78">
        <w:t xml:space="preserve">  The ESC considered this could potentially favour </w:t>
      </w:r>
      <w:proofErr w:type="spellStart"/>
      <w:r w:rsidR="00C90DCA" w:rsidRPr="00984C78">
        <w:t>vedolizumab</w:t>
      </w:r>
      <w:proofErr w:type="spellEnd"/>
      <w:r w:rsidR="00C90DCA" w:rsidRPr="00984C78">
        <w:t xml:space="preserve">.  </w:t>
      </w:r>
    </w:p>
    <w:p w:rsidR="00787B76" w:rsidRPr="00984C78" w:rsidRDefault="00A522F8" w:rsidP="002D7AD7">
      <w:pPr>
        <w:widowControl/>
        <w:ind w:left="720"/>
      </w:pPr>
      <w:r w:rsidRPr="00984C78">
        <w:t xml:space="preserve">The ESC noted the comments </w:t>
      </w:r>
      <w:proofErr w:type="gramStart"/>
      <w:r w:rsidRPr="00984C78">
        <w:t>raised</w:t>
      </w:r>
      <w:proofErr w:type="gramEnd"/>
      <w:r w:rsidRPr="00984C78">
        <w:t xml:space="preserve"> in the PSCR and considered that exchangeability issues still remain. </w:t>
      </w:r>
      <w:r w:rsidR="00C51A9F" w:rsidRPr="00984C78">
        <w:t xml:space="preserve"> </w:t>
      </w:r>
    </w:p>
    <w:p w:rsidR="00282241" w:rsidRPr="00984C78" w:rsidRDefault="00282241" w:rsidP="00282241">
      <w:pPr>
        <w:widowControl/>
      </w:pPr>
    </w:p>
    <w:p w:rsidR="00282241" w:rsidRDefault="00282241" w:rsidP="006B764E">
      <w:pPr>
        <w:pStyle w:val="ListParagraph"/>
        <w:widowControl/>
        <w:numPr>
          <w:ilvl w:val="1"/>
          <w:numId w:val="3"/>
        </w:numPr>
      </w:pPr>
      <w:r w:rsidRPr="00984C78">
        <w:t xml:space="preserve">Due to the pharmacological class, </w:t>
      </w:r>
      <w:proofErr w:type="spellStart"/>
      <w:r w:rsidRPr="00984C78">
        <w:t>vedolizumab</w:t>
      </w:r>
      <w:proofErr w:type="spellEnd"/>
      <w:r w:rsidRPr="00984C78">
        <w:t xml:space="preserve"> may be associated with an increased risk of PML. </w:t>
      </w:r>
      <w:r w:rsidR="00831353">
        <w:t>P</w:t>
      </w:r>
      <w:r w:rsidRPr="00984C78">
        <w:t xml:space="preserve">atients in the trials (GEMINI II and III) were excluded if they were potentially at risk of PML. The implication of this perceived risk may be that clinicians’ will be reluctant to accept </w:t>
      </w:r>
      <w:proofErr w:type="spellStart"/>
      <w:r w:rsidRPr="00984C78">
        <w:t>vedolizumab</w:t>
      </w:r>
      <w:proofErr w:type="spellEnd"/>
      <w:r w:rsidRPr="00984C78">
        <w:t xml:space="preserve"> in the same line of therapy as infliximab. The TGA approved PI lists PML as a precaution and that ‘patients should be advised of this potential risk for PML and </w:t>
      </w:r>
      <w:proofErr w:type="gramStart"/>
      <w:r w:rsidRPr="00984C78">
        <w:t>that</w:t>
      </w:r>
      <w:proofErr w:type="gramEnd"/>
      <w:r w:rsidRPr="00984C78">
        <w:t xml:space="preserve"> they should carry a Patient Alert Card at all times’. </w:t>
      </w:r>
    </w:p>
    <w:p w:rsidR="006A01A9" w:rsidRDefault="006A01A9" w:rsidP="006A01A9">
      <w:pPr>
        <w:pStyle w:val="ListParagraph"/>
        <w:widowControl/>
      </w:pPr>
    </w:p>
    <w:p w:rsidR="00CE7785" w:rsidRPr="00984C78" w:rsidRDefault="006A01A9" w:rsidP="00CE7785">
      <w:pPr>
        <w:pStyle w:val="ListParagraph"/>
        <w:keepNext/>
        <w:keepLines/>
        <w:widowControl/>
        <w:numPr>
          <w:ilvl w:val="1"/>
          <w:numId w:val="3"/>
        </w:numPr>
      </w:pPr>
      <w:r w:rsidRPr="004E5602">
        <w:rPr>
          <w:bCs/>
          <w:szCs w:val="22"/>
        </w:rPr>
        <w:t>The PBAC considered that the claim of non-inferior comparative effectiveness was not adequately supported by the data</w:t>
      </w:r>
      <w:r w:rsidR="006D3B1C">
        <w:rPr>
          <w:bCs/>
          <w:szCs w:val="22"/>
        </w:rPr>
        <w:t xml:space="preserve"> for response, but </w:t>
      </w:r>
      <w:r w:rsidR="00CE7785">
        <w:rPr>
          <w:bCs/>
          <w:szCs w:val="22"/>
        </w:rPr>
        <w:t xml:space="preserve">may be </w:t>
      </w:r>
      <w:r w:rsidR="006D3B1C">
        <w:rPr>
          <w:bCs/>
          <w:szCs w:val="22"/>
        </w:rPr>
        <w:t>for remission</w:t>
      </w:r>
      <w:r w:rsidR="00CE7785">
        <w:rPr>
          <w:bCs/>
          <w:szCs w:val="22"/>
        </w:rPr>
        <w:t xml:space="preserve">. </w:t>
      </w:r>
      <w:r w:rsidR="00CE7785">
        <w:t xml:space="preserve">Notwithstanding its preference for direct evidence, the PBAC remained concerned that the submission presented a claim of non-inferiority, in the absence of a pre-specified margin for non-inferiority. </w:t>
      </w:r>
    </w:p>
    <w:p w:rsidR="006A01A9" w:rsidRPr="004E5602" w:rsidRDefault="006A01A9" w:rsidP="006A01A9">
      <w:pPr>
        <w:widowControl/>
        <w:snapToGrid/>
        <w:rPr>
          <w:bCs/>
          <w:szCs w:val="22"/>
        </w:rPr>
      </w:pPr>
    </w:p>
    <w:p w:rsidR="006A01A9" w:rsidRPr="004E5602" w:rsidRDefault="006A01A9" w:rsidP="006B764E">
      <w:pPr>
        <w:pStyle w:val="ListParagraph"/>
        <w:widowControl/>
        <w:numPr>
          <w:ilvl w:val="1"/>
          <w:numId w:val="3"/>
        </w:numPr>
        <w:snapToGrid/>
        <w:rPr>
          <w:szCs w:val="22"/>
        </w:rPr>
      </w:pPr>
      <w:r w:rsidRPr="004E5602">
        <w:rPr>
          <w:szCs w:val="22"/>
        </w:rPr>
        <w:t>The PBAC considered that the claim of non-inferior comparative safety was reasonable.</w:t>
      </w:r>
    </w:p>
    <w:p w:rsidR="006A01A9" w:rsidRDefault="006A01A9" w:rsidP="006A01A9">
      <w:pPr>
        <w:widowControl/>
      </w:pPr>
    </w:p>
    <w:p w:rsidR="00A91B92" w:rsidRPr="00A91B92" w:rsidRDefault="00A91B92" w:rsidP="00F45926">
      <w:pPr>
        <w:ind w:firstLine="720"/>
        <w:rPr>
          <w:i/>
        </w:rPr>
      </w:pPr>
      <w:r w:rsidRPr="00A91B92">
        <w:rPr>
          <w:i/>
        </w:rPr>
        <w:t>For more detail on PBAC’s view, see section 7 “PBAC outcome”</w:t>
      </w:r>
    </w:p>
    <w:p w:rsidR="00A91B92" w:rsidRDefault="00A91B92" w:rsidP="006A01A9">
      <w:pPr>
        <w:widowControl/>
      </w:pPr>
    </w:p>
    <w:p w:rsidR="00A91B92" w:rsidRPr="00984C78" w:rsidRDefault="00A91B92" w:rsidP="006A01A9">
      <w:pPr>
        <w:widowControl/>
      </w:pPr>
    </w:p>
    <w:p w:rsidR="0005097C" w:rsidRPr="00162852" w:rsidRDefault="00B60939" w:rsidP="00162852">
      <w:pPr>
        <w:pStyle w:val="Heading2"/>
      </w:pPr>
      <w:bookmarkStart w:id="12" w:name="_Toc409097587"/>
      <w:r w:rsidRPr="00162852">
        <w:t>Economic analysis</w:t>
      </w:r>
      <w:bookmarkEnd w:id="12"/>
      <w:r w:rsidR="00491B3A" w:rsidRPr="00162852">
        <w:t xml:space="preserve"> </w:t>
      </w:r>
    </w:p>
    <w:p w:rsidR="006C5584" w:rsidRPr="00984C78" w:rsidRDefault="006C5584" w:rsidP="006C5584"/>
    <w:p w:rsidR="00B60939" w:rsidRPr="00984C78" w:rsidRDefault="007F2AD7" w:rsidP="006B764E">
      <w:pPr>
        <w:pStyle w:val="ListParagraph"/>
        <w:widowControl/>
        <w:numPr>
          <w:ilvl w:val="1"/>
          <w:numId w:val="3"/>
        </w:numPr>
        <w:rPr>
          <w:szCs w:val="22"/>
        </w:rPr>
      </w:pPr>
      <w:r w:rsidRPr="00984C78">
        <w:t>The submission presented a cost-minimisation analysis</w:t>
      </w:r>
      <w:r w:rsidR="00D67744" w:rsidRPr="00984C78">
        <w:t xml:space="preserve"> against infliximab and adalimumab.</w:t>
      </w:r>
      <w:r w:rsidR="0089639F" w:rsidRPr="00984C78">
        <w:t xml:space="preserve"> Special pricing arrangements are in place for infliximab and adalimumab for the treatment of </w:t>
      </w:r>
      <w:r w:rsidR="00D73962">
        <w:t>Crohn’s</w:t>
      </w:r>
      <w:r w:rsidR="0089639F" w:rsidRPr="00984C78">
        <w:t xml:space="preserve"> disease.   </w:t>
      </w:r>
    </w:p>
    <w:p w:rsidR="006C5584" w:rsidRPr="00984C78" w:rsidRDefault="006C5584" w:rsidP="006C5584">
      <w:pPr>
        <w:pStyle w:val="ListParagraph"/>
        <w:widowControl/>
        <w:rPr>
          <w:szCs w:val="22"/>
        </w:rPr>
      </w:pPr>
    </w:p>
    <w:p w:rsidR="007F2AD7" w:rsidRPr="00984C78" w:rsidRDefault="00A86E8B" w:rsidP="006B764E">
      <w:pPr>
        <w:pStyle w:val="ListParagraph"/>
        <w:widowControl/>
        <w:numPr>
          <w:ilvl w:val="1"/>
          <w:numId w:val="3"/>
        </w:numPr>
        <w:rPr>
          <w:szCs w:val="22"/>
        </w:rPr>
      </w:pPr>
      <w:r w:rsidRPr="00984C78">
        <w:t xml:space="preserve">The </w:t>
      </w:r>
      <w:proofErr w:type="spellStart"/>
      <w:r w:rsidRPr="00984C78">
        <w:t>equi</w:t>
      </w:r>
      <w:proofErr w:type="spellEnd"/>
      <w:r w:rsidRPr="00984C78">
        <w:t xml:space="preserve">-effective doses </w:t>
      </w:r>
      <w:r w:rsidR="00AE0F6D" w:rsidRPr="00984C78">
        <w:t>were</w:t>
      </w:r>
      <w:r w:rsidRPr="00984C78">
        <w:t xml:space="preserve"> estimated as</w:t>
      </w:r>
      <w:r w:rsidR="007F2AD7" w:rsidRPr="00984C78">
        <w:t>:</w:t>
      </w:r>
    </w:p>
    <w:p w:rsidR="007F2AD7" w:rsidRPr="00984C78" w:rsidRDefault="007F2AD7" w:rsidP="006B764E">
      <w:pPr>
        <w:pStyle w:val="ListParagraph"/>
        <w:numPr>
          <w:ilvl w:val="0"/>
          <w:numId w:val="5"/>
        </w:numPr>
        <w:ind w:left="1134"/>
      </w:pPr>
      <w:proofErr w:type="spellStart"/>
      <w:r w:rsidRPr="00984C78">
        <w:t>Vedolizumab</w:t>
      </w:r>
      <w:proofErr w:type="spellEnd"/>
      <w:r w:rsidRPr="00984C78">
        <w:t xml:space="preserve"> 300mg administered at week 0, week 2, week 6 and then every 8 weeks.</w:t>
      </w:r>
    </w:p>
    <w:p w:rsidR="007F2AD7" w:rsidRPr="00984C78" w:rsidRDefault="007F2AD7" w:rsidP="006B764E">
      <w:pPr>
        <w:pStyle w:val="ListParagraph"/>
        <w:numPr>
          <w:ilvl w:val="0"/>
          <w:numId w:val="5"/>
        </w:numPr>
        <w:ind w:left="1134"/>
      </w:pPr>
      <w:r w:rsidRPr="00984C78">
        <w:t>Infliximab 5mg/kg administered at week 0, week 2, week 6 and then every 8 weeks.</w:t>
      </w:r>
    </w:p>
    <w:p w:rsidR="007F2AD7" w:rsidRPr="00984C78" w:rsidRDefault="007F2AD7" w:rsidP="006B764E">
      <w:pPr>
        <w:pStyle w:val="ListParagraph"/>
        <w:numPr>
          <w:ilvl w:val="0"/>
          <w:numId w:val="5"/>
        </w:numPr>
        <w:ind w:left="1134"/>
      </w:pPr>
      <w:r w:rsidRPr="00984C78">
        <w:t xml:space="preserve">Adalimumab 160mg at week 0, 80mg at week 2, 40mg at week </w:t>
      </w:r>
      <w:r w:rsidR="00151F6D">
        <w:t>4</w:t>
      </w:r>
      <w:r w:rsidR="00151F6D" w:rsidRPr="00984C78">
        <w:t xml:space="preserve"> </w:t>
      </w:r>
      <w:r w:rsidRPr="00984C78">
        <w:t>and then every 2 weeks.</w:t>
      </w:r>
    </w:p>
    <w:p w:rsidR="007F2AD7" w:rsidRPr="00984C78" w:rsidRDefault="007F2AD7" w:rsidP="00381845">
      <w:pPr>
        <w:ind w:left="709"/>
      </w:pPr>
      <w:r w:rsidRPr="00984C78">
        <w:t xml:space="preserve">The trials provided the source of the </w:t>
      </w:r>
      <w:proofErr w:type="spellStart"/>
      <w:r w:rsidRPr="00984C78">
        <w:t>equi</w:t>
      </w:r>
      <w:proofErr w:type="spellEnd"/>
      <w:r w:rsidRPr="00984C78">
        <w:t>-effective doses.</w:t>
      </w:r>
    </w:p>
    <w:p w:rsidR="006C5584" w:rsidRPr="00984C78" w:rsidRDefault="006C5584" w:rsidP="00381845">
      <w:pPr>
        <w:ind w:left="709"/>
      </w:pPr>
    </w:p>
    <w:p w:rsidR="00A86E8B" w:rsidRPr="00984C78" w:rsidRDefault="0055694E" w:rsidP="006B764E">
      <w:pPr>
        <w:pStyle w:val="ListParagraph"/>
        <w:widowControl/>
        <w:numPr>
          <w:ilvl w:val="1"/>
          <w:numId w:val="3"/>
        </w:numPr>
      </w:pPr>
      <w:r w:rsidRPr="00984C78">
        <w:t>At a DPMQ of $</w:t>
      </w:r>
      <w:r w:rsidR="004165CE">
        <w:rPr>
          <w:noProof/>
          <w:color w:val="000000"/>
          <w:highlight w:val="black"/>
        </w:rPr>
        <w:t>''''''''''''''''''''''</w:t>
      </w:r>
      <w:r w:rsidRPr="00984C78">
        <w:t xml:space="preserve"> for public hospital patients and $</w:t>
      </w:r>
      <w:r w:rsidR="004165CE">
        <w:rPr>
          <w:noProof/>
          <w:color w:val="000000"/>
          <w:highlight w:val="black"/>
        </w:rPr>
        <w:t>'''''''''''''''''''''</w:t>
      </w:r>
      <w:r w:rsidRPr="00984C78">
        <w:t xml:space="preserve"> for private hospital patients the net cost impact </w:t>
      </w:r>
      <w:r w:rsidR="00A87116">
        <w:t xml:space="preserve">of treating a patient </w:t>
      </w:r>
      <w:r w:rsidR="00A61D4F">
        <w:t>with</w:t>
      </w:r>
      <w:r w:rsidR="00A87116">
        <w:t xml:space="preserve"> adalimumab, infliximab or </w:t>
      </w:r>
      <w:proofErr w:type="spellStart"/>
      <w:r w:rsidR="00A87116">
        <w:t>vedolizumab</w:t>
      </w:r>
      <w:proofErr w:type="spellEnd"/>
      <w:r w:rsidR="00A87116">
        <w:t xml:space="preserve"> </w:t>
      </w:r>
      <w:r w:rsidRPr="00984C78">
        <w:t xml:space="preserve">is nil. This includes additional offsets for administration costs. </w:t>
      </w:r>
      <w:r w:rsidR="00E2305A" w:rsidRPr="00984C78">
        <w:t xml:space="preserve">The </w:t>
      </w:r>
      <w:r w:rsidR="00AE0F6D" w:rsidRPr="00984C78">
        <w:t>submission also conducted sensitivity analysis of the inclusion of costs of PML screening (estimated to be $</w:t>
      </w:r>
      <w:r w:rsidR="004165CE">
        <w:rPr>
          <w:noProof/>
          <w:color w:val="000000"/>
          <w:highlight w:val="black"/>
        </w:rPr>
        <w:t>'''''''''''''''</w:t>
      </w:r>
      <w:r w:rsidR="00AE0F6D" w:rsidRPr="00984C78">
        <w:t xml:space="preserve"> in addition to including the same MBS item for drug administration as infliximab)</w:t>
      </w:r>
      <w:r w:rsidR="00707991" w:rsidRPr="00984C78">
        <w:t>.</w:t>
      </w:r>
    </w:p>
    <w:p w:rsidR="00C25D9C" w:rsidRPr="00984C78" w:rsidRDefault="00C25D9C" w:rsidP="00787B76">
      <w:pPr>
        <w:widowControl/>
      </w:pPr>
    </w:p>
    <w:p w:rsidR="0010311A" w:rsidRPr="00116301" w:rsidRDefault="00C25D9C" w:rsidP="00162852">
      <w:pPr>
        <w:pStyle w:val="Heading2"/>
      </w:pPr>
      <w:bookmarkStart w:id="13" w:name="_Toc409097588"/>
      <w:r w:rsidRPr="00116301">
        <w:lastRenderedPageBreak/>
        <w:t>Drug cost/patient/</w:t>
      </w:r>
      <w:r w:rsidR="00531F28" w:rsidRPr="00116301">
        <w:t>c</w:t>
      </w:r>
      <w:r w:rsidR="00D404EF" w:rsidRPr="00116301">
        <w:t>ourse</w:t>
      </w:r>
      <w:r w:rsidRPr="00116301">
        <w:t xml:space="preserve">: </w:t>
      </w:r>
    </w:p>
    <w:p w:rsidR="0010311A" w:rsidRPr="00984C78" w:rsidRDefault="0010311A" w:rsidP="00162852">
      <w:pPr>
        <w:pStyle w:val="Heading2"/>
      </w:pPr>
    </w:p>
    <w:p w:rsidR="00282241" w:rsidRPr="00984C78" w:rsidRDefault="0010311A" w:rsidP="006B764E">
      <w:pPr>
        <w:pStyle w:val="ListParagraph"/>
        <w:widowControl/>
        <w:numPr>
          <w:ilvl w:val="1"/>
          <w:numId w:val="3"/>
        </w:numPr>
        <w:rPr>
          <w:szCs w:val="22"/>
        </w:rPr>
      </w:pPr>
      <w:r w:rsidRPr="00984C78">
        <w:t>The drug cost/patient/c</w:t>
      </w:r>
      <w:r w:rsidR="00D404EF" w:rsidRPr="00984C78">
        <w:t>ourse</w:t>
      </w:r>
      <w:r w:rsidRPr="00984C78">
        <w:t xml:space="preserve"> was estimated to be </w:t>
      </w:r>
      <w:r w:rsidR="00C25D9C" w:rsidRPr="00984C78">
        <w:t>$</w:t>
      </w:r>
      <w:bookmarkEnd w:id="13"/>
      <w:r w:rsidR="004165CE">
        <w:rPr>
          <w:noProof/>
          <w:color w:val="000000"/>
          <w:highlight w:val="black"/>
        </w:rPr>
        <w:t>'''''''''''''''''''''''</w:t>
      </w:r>
      <w:r w:rsidRPr="00984C78">
        <w:t>.</w:t>
      </w:r>
      <w:r w:rsidR="001D2FE7" w:rsidRPr="00984C78">
        <w:t xml:space="preserve"> </w:t>
      </w:r>
      <w:r w:rsidR="0055694E" w:rsidRPr="00984C78">
        <w:rPr>
          <w:szCs w:val="22"/>
        </w:rPr>
        <w:t>This is the weighted average DPMQ</w:t>
      </w:r>
      <w:r w:rsidR="00AE0F6D" w:rsidRPr="00984C78">
        <w:rPr>
          <w:szCs w:val="22"/>
        </w:rPr>
        <w:t xml:space="preserve"> </w:t>
      </w:r>
      <w:r w:rsidR="00AE0F6D" w:rsidRPr="00984C78">
        <w:t>between public and private hospital administration</w:t>
      </w:r>
      <w:r w:rsidR="0055694E" w:rsidRPr="00984C78">
        <w:rPr>
          <w:szCs w:val="22"/>
        </w:rPr>
        <w:t>. Each vial provides treatment for 8 weeks in the maintenance phase. The treatment is ongoing.</w:t>
      </w:r>
      <w:r w:rsidR="00331B6E" w:rsidRPr="00984C78">
        <w:rPr>
          <w:szCs w:val="22"/>
        </w:rPr>
        <w:t xml:space="preserve"> </w:t>
      </w:r>
    </w:p>
    <w:p w:rsidR="00B60939" w:rsidRPr="00984C78" w:rsidRDefault="00B60939" w:rsidP="00282241">
      <w:pPr>
        <w:rPr>
          <w:szCs w:val="22"/>
        </w:rPr>
      </w:pPr>
    </w:p>
    <w:p w:rsidR="00B60939" w:rsidRPr="00116301" w:rsidRDefault="00B60939" w:rsidP="00162852">
      <w:pPr>
        <w:pStyle w:val="Heading2"/>
      </w:pPr>
      <w:bookmarkStart w:id="14" w:name="_Toc409097589"/>
      <w:r w:rsidRPr="00116301">
        <w:t>Estimated PBS usage &amp; financial implications</w:t>
      </w:r>
      <w:bookmarkEnd w:id="14"/>
    </w:p>
    <w:p w:rsidR="006C5584" w:rsidRPr="00984C78" w:rsidRDefault="006C5584" w:rsidP="006C5584"/>
    <w:p w:rsidR="00C25D9C" w:rsidRPr="00984C78" w:rsidRDefault="009F775A" w:rsidP="006B764E">
      <w:pPr>
        <w:pStyle w:val="ListParagraph"/>
        <w:widowControl/>
        <w:numPr>
          <w:ilvl w:val="1"/>
          <w:numId w:val="3"/>
        </w:numPr>
        <w:rPr>
          <w:szCs w:val="22"/>
        </w:rPr>
      </w:pPr>
      <w:r w:rsidRPr="00984C78">
        <w:t xml:space="preserve">This submission </w:t>
      </w:r>
      <w:r w:rsidR="0074559E" w:rsidRPr="00984C78">
        <w:t>was</w:t>
      </w:r>
      <w:r w:rsidRPr="00984C78">
        <w:t xml:space="preserve"> </w:t>
      </w:r>
      <w:r w:rsidR="00C25D9C" w:rsidRPr="00984C78">
        <w:t>not considered by</w:t>
      </w:r>
      <w:r w:rsidR="00C25D9C" w:rsidRPr="00984C78">
        <w:rPr>
          <w:szCs w:val="22"/>
        </w:rPr>
        <w:t xml:space="preserve"> DUSC</w:t>
      </w:r>
      <w:r w:rsidR="00C25D9C" w:rsidRPr="00984C78">
        <w:rPr>
          <w:color w:val="0070C0"/>
          <w:szCs w:val="22"/>
        </w:rPr>
        <w:t>.</w:t>
      </w:r>
      <w:r w:rsidR="00E2712E" w:rsidRPr="00984C78">
        <w:rPr>
          <w:color w:val="0070C0"/>
          <w:szCs w:val="22"/>
        </w:rPr>
        <w:t xml:space="preserve"> </w:t>
      </w:r>
      <w:r w:rsidRPr="00984C78">
        <w:rPr>
          <w:szCs w:val="22"/>
        </w:rPr>
        <w:t xml:space="preserve">The submission used a market share approach to estimate the use of </w:t>
      </w:r>
      <w:proofErr w:type="spellStart"/>
      <w:r w:rsidRPr="00984C78">
        <w:rPr>
          <w:szCs w:val="22"/>
        </w:rPr>
        <w:t>vedolizumab</w:t>
      </w:r>
      <w:proofErr w:type="spellEnd"/>
      <w:r w:rsidRPr="00984C78">
        <w:rPr>
          <w:szCs w:val="22"/>
        </w:rPr>
        <w:t>.</w:t>
      </w:r>
    </w:p>
    <w:p w:rsidR="009F775A" w:rsidRPr="00984C78" w:rsidRDefault="009F775A" w:rsidP="00164D4A">
      <w:pPr>
        <w:widowControl/>
        <w:snapToGrid/>
        <w:jc w:val="left"/>
        <w:rPr>
          <w:szCs w:val="22"/>
        </w:rPr>
      </w:pPr>
    </w:p>
    <w:p w:rsidR="00C25D9C" w:rsidRPr="00984C78" w:rsidRDefault="00C25D9C" w:rsidP="005D044D">
      <w:pPr>
        <w:ind w:firstLine="709"/>
        <w:rPr>
          <w:rStyle w:val="CommentReference"/>
        </w:rPr>
      </w:pPr>
      <w:r w:rsidRPr="00984C78">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C25D9C" w:rsidRPr="00984C78">
        <w:trPr>
          <w:tblHeader/>
        </w:trPr>
        <w:tc>
          <w:tcPr>
            <w:tcW w:w="1359" w:type="pct"/>
            <w:shd w:val="clear" w:color="auto" w:fill="auto"/>
            <w:vAlign w:val="center"/>
          </w:tcPr>
          <w:p w:rsidR="00C25D9C" w:rsidRPr="00984C78"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984C78" w:rsidRDefault="00C25D9C" w:rsidP="00B8649C">
            <w:pPr>
              <w:jc w:val="center"/>
              <w:rPr>
                <w:rFonts w:ascii="Arial Narrow" w:hAnsi="Arial Narrow"/>
                <w:b/>
                <w:sz w:val="20"/>
              </w:rPr>
            </w:pPr>
            <w:r w:rsidRPr="00984C78">
              <w:rPr>
                <w:rFonts w:ascii="Arial Narrow" w:hAnsi="Arial Narrow"/>
                <w:b/>
                <w:sz w:val="20"/>
              </w:rPr>
              <w:t>Year 1</w:t>
            </w:r>
          </w:p>
        </w:tc>
        <w:tc>
          <w:tcPr>
            <w:tcW w:w="679" w:type="pct"/>
            <w:shd w:val="clear" w:color="auto" w:fill="auto"/>
            <w:vAlign w:val="center"/>
          </w:tcPr>
          <w:p w:rsidR="00C25D9C" w:rsidRPr="00984C78" w:rsidRDefault="00C25D9C" w:rsidP="00B8649C">
            <w:pPr>
              <w:jc w:val="center"/>
              <w:rPr>
                <w:rFonts w:ascii="Arial Narrow" w:hAnsi="Arial Narrow"/>
                <w:b/>
                <w:sz w:val="20"/>
              </w:rPr>
            </w:pPr>
            <w:r w:rsidRPr="00984C78">
              <w:rPr>
                <w:rFonts w:ascii="Arial Narrow" w:hAnsi="Arial Narrow"/>
                <w:b/>
                <w:sz w:val="20"/>
              </w:rPr>
              <w:t>Year 2</w:t>
            </w:r>
          </w:p>
        </w:tc>
        <w:tc>
          <w:tcPr>
            <w:tcW w:w="764" w:type="pct"/>
            <w:shd w:val="clear" w:color="auto" w:fill="auto"/>
            <w:vAlign w:val="center"/>
          </w:tcPr>
          <w:p w:rsidR="00C25D9C" w:rsidRPr="00984C78" w:rsidRDefault="00C25D9C" w:rsidP="00B8649C">
            <w:pPr>
              <w:jc w:val="center"/>
              <w:rPr>
                <w:rFonts w:ascii="Arial Narrow" w:hAnsi="Arial Narrow"/>
                <w:b/>
                <w:sz w:val="20"/>
              </w:rPr>
            </w:pPr>
            <w:r w:rsidRPr="00984C78">
              <w:rPr>
                <w:rFonts w:ascii="Arial Narrow" w:hAnsi="Arial Narrow"/>
                <w:b/>
                <w:sz w:val="20"/>
              </w:rPr>
              <w:t>Year 3</w:t>
            </w:r>
          </w:p>
        </w:tc>
        <w:tc>
          <w:tcPr>
            <w:tcW w:w="764" w:type="pct"/>
            <w:shd w:val="clear" w:color="auto" w:fill="auto"/>
            <w:vAlign w:val="center"/>
          </w:tcPr>
          <w:p w:rsidR="00C25D9C" w:rsidRPr="00984C78" w:rsidRDefault="00C25D9C" w:rsidP="00B8649C">
            <w:pPr>
              <w:jc w:val="center"/>
              <w:rPr>
                <w:rFonts w:ascii="Arial Narrow" w:hAnsi="Arial Narrow"/>
                <w:b/>
                <w:sz w:val="20"/>
              </w:rPr>
            </w:pPr>
            <w:r w:rsidRPr="00984C78">
              <w:rPr>
                <w:rFonts w:ascii="Arial Narrow" w:hAnsi="Arial Narrow"/>
                <w:b/>
                <w:sz w:val="20"/>
              </w:rPr>
              <w:t>Year 4</w:t>
            </w:r>
          </w:p>
        </w:tc>
        <w:tc>
          <w:tcPr>
            <w:tcW w:w="755" w:type="pct"/>
            <w:shd w:val="clear" w:color="auto" w:fill="auto"/>
            <w:vAlign w:val="center"/>
          </w:tcPr>
          <w:p w:rsidR="00C25D9C" w:rsidRPr="00984C78" w:rsidRDefault="00C25D9C" w:rsidP="00B8649C">
            <w:pPr>
              <w:jc w:val="center"/>
              <w:rPr>
                <w:rFonts w:ascii="Arial Narrow" w:hAnsi="Arial Narrow"/>
                <w:b/>
                <w:sz w:val="20"/>
              </w:rPr>
            </w:pPr>
            <w:r w:rsidRPr="00984C78">
              <w:rPr>
                <w:rFonts w:ascii="Arial Narrow" w:hAnsi="Arial Narrow"/>
                <w:b/>
                <w:sz w:val="20"/>
              </w:rPr>
              <w:t>Year 5</w:t>
            </w:r>
          </w:p>
        </w:tc>
      </w:tr>
      <w:tr w:rsidR="00C25D9C" w:rsidRPr="00984C78">
        <w:tc>
          <w:tcPr>
            <w:tcW w:w="5000" w:type="pct"/>
            <w:gridSpan w:val="6"/>
            <w:shd w:val="clear" w:color="auto" w:fill="auto"/>
            <w:vAlign w:val="center"/>
          </w:tcPr>
          <w:p w:rsidR="00C25D9C" w:rsidRPr="00984C78" w:rsidRDefault="00C25D9C" w:rsidP="00B8649C">
            <w:pPr>
              <w:jc w:val="left"/>
              <w:rPr>
                <w:rFonts w:ascii="Arial Narrow" w:hAnsi="Arial Narrow"/>
                <w:b/>
                <w:bCs/>
                <w:color w:val="000000"/>
                <w:sz w:val="20"/>
              </w:rPr>
            </w:pPr>
            <w:r w:rsidRPr="00984C78">
              <w:rPr>
                <w:rFonts w:ascii="Arial Narrow" w:hAnsi="Arial Narrow"/>
                <w:b/>
                <w:bCs/>
                <w:color w:val="000000"/>
                <w:sz w:val="20"/>
              </w:rPr>
              <w:t>Estimated extent of use</w:t>
            </w:r>
          </w:p>
        </w:tc>
      </w:tr>
      <w:tr w:rsidR="009F775A" w:rsidRPr="00984C78">
        <w:tc>
          <w:tcPr>
            <w:tcW w:w="1359" w:type="pct"/>
            <w:shd w:val="clear" w:color="auto" w:fill="auto"/>
            <w:vAlign w:val="center"/>
          </w:tcPr>
          <w:p w:rsidR="009F775A" w:rsidRPr="00984C78" w:rsidRDefault="009F775A" w:rsidP="00B8649C">
            <w:pPr>
              <w:tabs>
                <w:tab w:val="left" w:pos="142"/>
              </w:tabs>
              <w:jc w:val="left"/>
              <w:rPr>
                <w:rFonts w:ascii="Arial Narrow" w:hAnsi="Arial Narrow"/>
                <w:sz w:val="20"/>
              </w:rPr>
            </w:pPr>
            <w:r w:rsidRPr="00984C78">
              <w:rPr>
                <w:rFonts w:ascii="Arial Narrow" w:hAnsi="Arial Narrow"/>
                <w:sz w:val="20"/>
              </w:rPr>
              <w:t>Number treated</w:t>
            </w:r>
          </w:p>
        </w:tc>
        <w:tc>
          <w:tcPr>
            <w:tcW w:w="679" w:type="pct"/>
            <w:shd w:val="clear" w:color="auto" w:fill="auto"/>
          </w:tcPr>
          <w:p w:rsidR="009F775A"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tcPr>
          <w:p w:rsidR="009F775A"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tcPr>
          <w:p w:rsidR="009F775A"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tcPr>
          <w:p w:rsidR="009F775A"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tcPr>
          <w:p w:rsidR="009F775A"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9F775A" w:rsidRPr="00984C78">
        <w:tc>
          <w:tcPr>
            <w:tcW w:w="1359" w:type="pct"/>
            <w:shd w:val="clear" w:color="auto" w:fill="auto"/>
            <w:vAlign w:val="center"/>
          </w:tcPr>
          <w:p w:rsidR="009F775A" w:rsidRPr="00984C78" w:rsidRDefault="009F775A" w:rsidP="00B8649C">
            <w:pPr>
              <w:tabs>
                <w:tab w:val="left" w:pos="142"/>
              </w:tabs>
              <w:jc w:val="left"/>
              <w:rPr>
                <w:rFonts w:ascii="Arial Narrow" w:hAnsi="Arial Narrow"/>
                <w:sz w:val="20"/>
              </w:rPr>
            </w:pPr>
            <w:r w:rsidRPr="00984C78">
              <w:rPr>
                <w:rFonts w:ascii="Arial Narrow" w:hAnsi="Arial Narrow"/>
                <w:sz w:val="20"/>
              </w:rPr>
              <w:t>Market share</w:t>
            </w:r>
          </w:p>
        </w:tc>
        <w:tc>
          <w:tcPr>
            <w:tcW w:w="3641" w:type="pct"/>
            <w:gridSpan w:val="5"/>
            <w:shd w:val="clear" w:color="auto" w:fill="auto"/>
            <w:vAlign w:val="center"/>
          </w:tcPr>
          <w:p w:rsidR="009F775A" w:rsidRPr="00984C78" w:rsidRDefault="009F775A" w:rsidP="00B8649C">
            <w:pPr>
              <w:jc w:val="center"/>
              <w:rPr>
                <w:rFonts w:ascii="Arial Narrow" w:hAnsi="Arial Narrow"/>
                <w:bCs/>
                <w:color w:val="000000"/>
                <w:sz w:val="20"/>
              </w:rPr>
            </w:pPr>
            <w:r w:rsidRPr="00984C78">
              <w:rPr>
                <w:rFonts w:ascii="Arial Narrow" w:hAnsi="Arial Narrow"/>
                <w:bCs/>
                <w:color w:val="000000"/>
                <w:sz w:val="20"/>
              </w:rPr>
              <w:t>Up to 20.16% of patients currently treated. Plus an additional 2.06% of patients who have discontinued treatment</w:t>
            </w:r>
          </w:p>
        </w:tc>
      </w:tr>
      <w:tr w:rsidR="003D3F83" w:rsidRPr="00984C78">
        <w:tc>
          <w:tcPr>
            <w:tcW w:w="1359" w:type="pct"/>
            <w:shd w:val="clear" w:color="auto" w:fill="auto"/>
            <w:vAlign w:val="center"/>
          </w:tcPr>
          <w:p w:rsidR="003D3F83" w:rsidRPr="00984C78" w:rsidRDefault="003D3F83" w:rsidP="00B8649C">
            <w:pPr>
              <w:tabs>
                <w:tab w:val="left" w:pos="142"/>
              </w:tabs>
              <w:jc w:val="left"/>
              <w:rPr>
                <w:rFonts w:ascii="Arial Narrow" w:hAnsi="Arial Narrow"/>
                <w:sz w:val="20"/>
              </w:rPr>
            </w:pPr>
            <w:proofErr w:type="spellStart"/>
            <w:r w:rsidRPr="00984C78">
              <w:rPr>
                <w:rFonts w:ascii="Arial Narrow" w:hAnsi="Arial Narrow"/>
                <w:sz w:val="20"/>
              </w:rPr>
              <w:t>Scripts</w:t>
            </w:r>
            <w:r w:rsidRPr="00984C78">
              <w:rPr>
                <w:rFonts w:ascii="Arial Narrow" w:hAnsi="Arial Narrow"/>
                <w:sz w:val="20"/>
                <w:vertAlign w:val="superscript"/>
              </w:rPr>
              <w:t>a</w:t>
            </w:r>
            <w:proofErr w:type="spellEnd"/>
          </w:p>
        </w:tc>
        <w:tc>
          <w:tcPr>
            <w:tcW w:w="679" w:type="pct"/>
            <w:shd w:val="clear" w:color="auto" w:fill="auto"/>
            <w:vAlign w:val="center"/>
          </w:tcPr>
          <w:p w:rsidR="003D3F83"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3D3F83"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3D3F83"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3D3F83"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3D3F83" w:rsidRPr="004165CE" w:rsidRDefault="004165CE"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25D9C" w:rsidRPr="00984C78">
        <w:tc>
          <w:tcPr>
            <w:tcW w:w="5000" w:type="pct"/>
            <w:gridSpan w:val="6"/>
            <w:shd w:val="clear" w:color="auto" w:fill="auto"/>
            <w:vAlign w:val="center"/>
          </w:tcPr>
          <w:p w:rsidR="00C25D9C" w:rsidRPr="00984C78" w:rsidRDefault="00C25D9C" w:rsidP="00B8649C">
            <w:pPr>
              <w:jc w:val="left"/>
              <w:rPr>
                <w:rFonts w:ascii="Arial Narrow" w:hAnsi="Arial Narrow"/>
                <w:b/>
                <w:bCs/>
                <w:color w:val="000000"/>
                <w:sz w:val="20"/>
              </w:rPr>
            </w:pPr>
            <w:r w:rsidRPr="00984C78">
              <w:rPr>
                <w:rFonts w:ascii="Arial Narrow" w:hAnsi="Arial Narrow"/>
                <w:b/>
                <w:bCs/>
                <w:color w:val="000000"/>
                <w:sz w:val="20"/>
              </w:rPr>
              <w:t>Estimated net cost to PBS/RPBS/MBS</w:t>
            </w:r>
          </w:p>
        </w:tc>
      </w:tr>
      <w:tr w:rsidR="003D3F83" w:rsidRPr="00984C78">
        <w:tc>
          <w:tcPr>
            <w:tcW w:w="1359" w:type="pct"/>
            <w:shd w:val="clear" w:color="auto" w:fill="auto"/>
            <w:vAlign w:val="center"/>
          </w:tcPr>
          <w:p w:rsidR="003D3F83" w:rsidRPr="00984C78" w:rsidRDefault="003D3F83" w:rsidP="00B8649C">
            <w:pPr>
              <w:tabs>
                <w:tab w:val="left" w:pos="142"/>
              </w:tabs>
              <w:jc w:val="left"/>
              <w:rPr>
                <w:rFonts w:ascii="Arial Narrow" w:hAnsi="Arial Narrow"/>
                <w:sz w:val="20"/>
              </w:rPr>
            </w:pPr>
            <w:r w:rsidRPr="00984C78">
              <w:rPr>
                <w:rFonts w:ascii="Arial Narrow" w:hAnsi="Arial Narrow"/>
                <w:sz w:val="20"/>
              </w:rPr>
              <w:t>Net cost to PBS/RPBS</w:t>
            </w:r>
          </w:p>
        </w:tc>
        <w:tc>
          <w:tcPr>
            <w:tcW w:w="679"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679"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55"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r>
      <w:tr w:rsidR="003D3F83" w:rsidRPr="00984C78">
        <w:tc>
          <w:tcPr>
            <w:tcW w:w="1359" w:type="pct"/>
            <w:shd w:val="clear" w:color="auto" w:fill="auto"/>
            <w:vAlign w:val="center"/>
          </w:tcPr>
          <w:p w:rsidR="003D3F83" w:rsidRPr="00984C78" w:rsidRDefault="003D3F83" w:rsidP="00B8649C">
            <w:pPr>
              <w:tabs>
                <w:tab w:val="left" w:pos="142"/>
              </w:tabs>
              <w:jc w:val="left"/>
              <w:rPr>
                <w:rFonts w:ascii="Arial Narrow" w:hAnsi="Arial Narrow"/>
                <w:sz w:val="20"/>
              </w:rPr>
            </w:pPr>
            <w:r w:rsidRPr="00984C78">
              <w:rPr>
                <w:rFonts w:ascii="Arial Narrow" w:hAnsi="Arial Narrow"/>
                <w:sz w:val="20"/>
              </w:rPr>
              <w:t>Net cost to MBS</w:t>
            </w:r>
          </w:p>
        </w:tc>
        <w:tc>
          <w:tcPr>
            <w:tcW w:w="679"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679"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c>
          <w:tcPr>
            <w:tcW w:w="755" w:type="pct"/>
            <w:shd w:val="clear" w:color="auto" w:fill="auto"/>
            <w:vAlign w:val="center"/>
          </w:tcPr>
          <w:p w:rsidR="003D3F83" w:rsidRPr="00984C78" w:rsidRDefault="003D3F83" w:rsidP="00B8649C">
            <w:pPr>
              <w:jc w:val="center"/>
              <w:rPr>
                <w:rFonts w:ascii="Arial Narrow" w:hAnsi="Arial Narrow"/>
                <w:bCs/>
                <w:color w:val="000000"/>
                <w:sz w:val="20"/>
              </w:rPr>
            </w:pPr>
            <w:r w:rsidRPr="00984C78">
              <w:rPr>
                <w:rFonts w:ascii="Arial Narrow" w:hAnsi="Arial Narrow"/>
                <w:sz w:val="20"/>
              </w:rPr>
              <w:t>$</w:t>
            </w:r>
            <w:r w:rsidR="004165CE">
              <w:rPr>
                <w:rFonts w:ascii="Arial Narrow" w:hAnsi="Arial Narrow"/>
                <w:noProof/>
                <w:color w:val="000000"/>
                <w:sz w:val="20"/>
                <w:highlight w:val="black"/>
              </w:rPr>
              <w:t>''''''''''''''''</w:t>
            </w:r>
          </w:p>
        </w:tc>
      </w:tr>
      <w:tr w:rsidR="00C25D9C" w:rsidRPr="00984C78">
        <w:tc>
          <w:tcPr>
            <w:tcW w:w="5000" w:type="pct"/>
            <w:gridSpan w:val="6"/>
            <w:shd w:val="clear" w:color="auto" w:fill="auto"/>
            <w:vAlign w:val="center"/>
          </w:tcPr>
          <w:p w:rsidR="00C25D9C" w:rsidRPr="00984C78" w:rsidRDefault="00C25D9C" w:rsidP="00B8649C">
            <w:pPr>
              <w:jc w:val="left"/>
              <w:rPr>
                <w:rFonts w:ascii="Arial Narrow" w:hAnsi="Arial Narrow"/>
                <w:b/>
                <w:color w:val="000000"/>
                <w:sz w:val="20"/>
              </w:rPr>
            </w:pPr>
            <w:r w:rsidRPr="00984C78">
              <w:rPr>
                <w:rFonts w:ascii="Arial Narrow" w:hAnsi="Arial Narrow"/>
                <w:b/>
                <w:color w:val="000000"/>
                <w:sz w:val="20"/>
              </w:rPr>
              <w:t>Estimated total net cost</w:t>
            </w:r>
          </w:p>
        </w:tc>
      </w:tr>
      <w:tr w:rsidR="003D3F83" w:rsidRPr="00984C78">
        <w:tc>
          <w:tcPr>
            <w:tcW w:w="1359" w:type="pct"/>
            <w:shd w:val="clear" w:color="auto" w:fill="auto"/>
            <w:vAlign w:val="center"/>
          </w:tcPr>
          <w:p w:rsidR="003D3F83" w:rsidRPr="00984C78" w:rsidRDefault="003D3F83" w:rsidP="00B8649C">
            <w:pPr>
              <w:tabs>
                <w:tab w:val="left" w:pos="142"/>
              </w:tabs>
              <w:jc w:val="left"/>
              <w:rPr>
                <w:rFonts w:ascii="Arial Narrow" w:hAnsi="Arial Narrow"/>
                <w:b/>
                <w:sz w:val="20"/>
              </w:rPr>
            </w:pPr>
            <w:r w:rsidRPr="00984C78">
              <w:rPr>
                <w:rFonts w:ascii="Arial Narrow" w:hAnsi="Arial Narrow"/>
                <w:b/>
                <w:bCs/>
                <w:color w:val="000000"/>
                <w:sz w:val="20"/>
              </w:rPr>
              <w:t>Net cost to PBS/RPBS/MBS</w:t>
            </w:r>
          </w:p>
        </w:tc>
        <w:tc>
          <w:tcPr>
            <w:tcW w:w="679" w:type="pct"/>
            <w:shd w:val="clear" w:color="auto" w:fill="auto"/>
            <w:vAlign w:val="center"/>
          </w:tcPr>
          <w:p w:rsidR="003D3F83" w:rsidRPr="00984C78" w:rsidRDefault="003D3F83" w:rsidP="00B8649C">
            <w:pPr>
              <w:jc w:val="center"/>
              <w:rPr>
                <w:rFonts w:ascii="Arial Narrow" w:hAnsi="Arial Narrow"/>
                <w:color w:val="000000"/>
                <w:sz w:val="20"/>
              </w:rPr>
            </w:pPr>
            <w:r w:rsidRPr="00984C78">
              <w:rPr>
                <w:rFonts w:ascii="Arial Narrow" w:hAnsi="Arial Narrow"/>
                <w:b/>
                <w:sz w:val="20"/>
              </w:rPr>
              <w:t>$</w:t>
            </w:r>
            <w:r w:rsidR="004165CE">
              <w:rPr>
                <w:rFonts w:ascii="Arial Narrow" w:hAnsi="Arial Narrow"/>
                <w:b/>
                <w:noProof/>
                <w:color w:val="000000"/>
                <w:sz w:val="20"/>
                <w:highlight w:val="black"/>
              </w:rPr>
              <w:t>''''''''''''''''''</w:t>
            </w:r>
          </w:p>
        </w:tc>
        <w:tc>
          <w:tcPr>
            <w:tcW w:w="679" w:type="pct"/>
            <w:shd w:val="clear" w:color="auto" w:fill="auto"/>
            <w:vAlign w:val="center"/>
          </w:tcPr>
          <w:p w:rsidR="003D3F83" w:rsidRPr="00984C78" w:rsidRDefault="003D3F83" w:rsidP="00B8649C">
            <w:pPr>
              <w:jc w:val="center"/>
              <w:rPr>
                <w:rFonts w:ascii="Arial Narrow" w:hAnsi="Arial Narrow"/>
                <w:color w:val="000000"/>
                <w:sz w:val="20"/>
              </w:rPr>
            </w:pPr>
            <w:r w:rsidRPr="00984C78">
              <w:rPr>
                <w:rFonts w:ascii="Arial Narrow" w:hAnsi="Arial Narrow"/>
                <w:b/>
                <w:sz w:val="20"/>
              </w:rPr>
              <w:t>$</w:t>
            </w:r>
            <w:r w:rsidR="004165CE">
              <w:rPr>
                <w:rFonts w:ascii="Arial Narrow" w:hAnsi="Arial Narrow"/>
                <w:b/>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color w:val="000000"/>
                <w:sz w:val="20"/>
              </w:rPr>
            </w:pPr>
            <w:r w:rsidRPr="00984C78">
              <w:rPr>
                <w:rFonts w:ascii="Arial Narrow" w:hAnsi="Arial Narrow"/>
                <w:b/>
                <w:sz w:val="20"/>
              </w:rPr>
              <w:t>$</w:t>
            </w:r>
            <w:r w:rsidR="004165CE">
              <w:rPr>
                <w:rFonts w:ascii="Arial Narrow" w:hAnsi="Arial Narrow"/>
                <w:b/>
                <w:noProof/>
                <w:color w:val="000000"/>
                <w:sz w:val="20"/>
                <w:highlight w:val="black"/>
              </w:rPr>
              <w:t>''''''''''''''''''</w:t>
            </w:r>
          </w:p>
        </w:tc>
        <w:tc>
          <w:tcPr>
            <w:tcW w:w="764" w:type="pct"/>
            <w:shd w:val="clear" w:color="auto" w:fill="auto"/>
            <w:vAlign w:val="center"/>
          </w:tcPr>
          <w:p w:rsidR="003D3F83" w:rsidRPr="00984C78" w:rsidRDefault="003D3F83" w:rsidP="00B8649C">
            <w:pPr>
              <w:jc w:val="center"/>
              <w:rPr>
                <w:rFonts w:ascii="Arial Narrow" w:hAnsi="Arial Narrow"/>
                <w:color w:val="000000"/>
                <w:sz w:val="20"/>
              </w:rPr>
            </w:pPr>
            <w:r w:rsidRPr="00984C78">
              <w:rPr>
                <w:rFonts w:ascii="Arial Narrow" w:hAnsi="Arial Narrow"/>
                <w:b/>
                <w:sz w:val="20"/>
              </w:rPr>
              <w:t>$</w:t>
            </w:r>
            <w:r w:rsidR="004165CE">
              <w:rPr>
                <w:rFonts w:ascii="Arial Narrow" w:hAnsi="Arial Narrow"/>
                <w:b/>
                <w:noProof/>
                <w:color w:val="000000"/>
                <w:sz w:val="20"/>
                <w:highlight w:val="black"/>
              </w:rPr>
              <w:t>''''''''''''''''''</w:t>
            </w:r>
          </w:p>
        </w:tc>
        <w:tc>
          <w:tcPr>
            <w:tcW w:w="755" w:type="pct"/>
            <w:shd w:val="clear" w:color="auto" w:fill="auto"/>
            <w:vAlign w:val="center"/>
          </w:tcPr>
          <w:p w:rsidR="003D3F83" w:rsidRPr="00984C78" w:rsidRDefault="003D3F83" w:rsidP="00B8649C">
            <w:pPr>
              <w:jc w:val="center"/>
              <w:rPr>
                <w:rFonts w:ascii="Arial Narrow" w:hAnsi="Arial Narrow"/>
                <w:color w:val="000000"/>
                <w:sz w:val="20"/>
              </w:rPr>
            </w:pPr>
            <w:r w:rsidRPr="00984C78">
              <w:rPr>
                <w:rFonts w:ascii="Arial Narrow" w:hAnsi="Arial Narrow"/>
                <w:b/>
                <w:sz w:val="20"/>
              </w:rPr>
              <w:t>$</w:t>
            </w:r>
            <w:r w:rsidR="004165CE">
              <w:rPr>
                <w:rFonts w:ascii="Arial Narrow" w:hAnsi="Arial Narrow"/>
                <w:b/>
                <w:noProof/>
                <w:color w:val="000000"/>
                <w:sz w:val="20"/>
                <w:highlight w:val="black"/>
              </w:rPr>
              <w:t>'''''''''''''''''''''</w:t>
            </w:r>
          </w:p>
        </w:tc>
      </w:tr>
    </w:tbl>
    <w:p w:rsidR="00C25D9C" w:rsidRPr="00984C78" w:rsidRDefault="00C25D9C" w:rsidP="003D3F83">
      <w:pPr>
        <w:pStyle w:val="TableFooter"/>
        <w:ind w:left="709"/>
        <w:rPr>
          <w:szCs w:val="22"/>
        </w:rPr>
      </w:pPr>
      <w:proofErr w:type="spellStart"/>
      <w:proofErr w:type="gramStart"/>
      <w:r w:rsidRPr="00984C78">
        <w:rPr>
          <w:vertAlign w:val="superscript"/>
        </w:rPr>
        <w:t>a</w:t>
      </w:r>
      <w:proofErr w:type="spellEnd"/>
      <w:proofErr w:type="gramEnd"/>
      <w:r w:rsidRPr="00984C78">
        <w:t xml:space="preserve"> Assuming </w:t>
      </w:r>
      <w:r w:rsidR="004165CE">
        <w:rPr>
          <w:noProof/>
          <w:color w:val="000000"/>
          <w:highlight w:val="black"/>
        </w:rPr>
        <w:t>''''''''''</w:t>
      </w:r>
      <w:r w:rsidR="003D3F83" w:rsidRPr="00984C78">
        <w:t xml:space="preserve"> </w:t>
      </w:r>
      <w:r w:rsidRPr="00984C78">
        <w:t xml:space="preserve">scripts per </w:t>
      </w:r>
      <w:r w:rsidR="003D3F83" w:rsidRPr="00984C78">
        <w:t>patient per quarter</w:t>
      </w:r>
      <w:r w:rsidRPr="00984C78">
        <w:t xml:space="preserve"> as estimated by the submission.</w:t>
      </w:r>
      <w:r w:rsidR="003D3F83" w:rsidRPr="00984C78">
        <w:t xml:space="preserve"> </w:t>
      </w:r>
      <w:r w:rsidRPr="00984C78">
        <w:rPr>
          <w:sz w:val="16"/>
          <w:szCs w:val="18"/>
        </w:rPr>
        <w:t xml:space="preserve">Source: </w:t>
      </w:r>
      <w:r w:rsidR="003D3F83" w:rsidRPr="00984C78">
        <w:t>Table E.2-5 and E.2-6 p285, Table E.2-11 p288, Table E.2-12 p289, E.2-14 p290, and Table E.3-17 p300 of the submission</w:t>
      </w:r>
    </w:p>
    <w:p w:rsidR="00C25D9C" w:rsidRPr="00984C78" w:rsidRDefault="00C25D9C" w:rsidP="00C25D9C">
      <w:pPr>
        <w:widowControl/>
        <w:rPr>
          <w:szCs w:val="22"/>
        </w:rPr>
      </w:pPr>
    </w:p>
    <w:p w:rsidR="008F4B79" w:rsidRDefault="008F4B79" w:rsidP="006B764E">
      <w:pPr>
        <w:pStyle w:val="ListParagraph"/>
        <w:widowControl/>
        <w:numPr>
          <w:ilvl w:val="1"/>
          <w:numId w:val="3"/>
        </w:numPr>
      </w:pPr>
      <w:r>
        <w:t xml:space="preserve">The redacted table above shows: </w:t>
      </w:r>
    </w:p>
    <w:p w:rsidR="008F4B79" w:rsidRDefault="008F4B79" w:rsidP="008F4B79">
      <w:pPr>
        <w:pStyle w:val="ListParagraph"/>
        <w:widowControl/>
        <w:numPr>
          <w:ilvl w:val="0"/>
          <w:numId w:val="6"/>
        </w:numPr>
      </w:pPr>
      <w:r>
        <w:t>The estimated total patient numbers are less than 10,000 over the first five years of listing</w:t>
      </w:r>
    </w:p>
    <w:p w:rsidR="008F4B79" w:rsidRDefault="008F4B79" w:rsidP="008F4B79">
      <w:pPr>
        <w:pStyle w:val="ListParagraph"/>
        <w:widowControl/>
        <w:numPr>
          <w:ilvl w:val="0"/>
          <w:numId w:val="6"/>
        </w:numPr>
      </w:pPr>
      <w:r>
        <w:t xml:space="preserve">The estimated total net cost to the PBS/RPBS/MBS for the listing of </w:t>
      </w:r>
      <w:proofErr w:type="spellStart"/>
      <w:r>
        <w:t>vedolizumab</w:t>
      </w:r>
      <w:proofErr w:type="spellEnd"/>
      <w:r>
        <w:t xml:space="preserve"> on the PBS is less than $10 million over the first five years of listing. </w:t>
      </w:r>
    </w:p>
    <w:p w:rsidR="008F4B79" w:rsidRDefault="008F4B79" w:rsidP="008F4B79">
      <w:pPr>
        <w:pStyle w:val="ListParagraph"/>
        <w:widowControl/>
        <w:ind w:left="1146"/>
      </w:pPr>
    </w:p>
    <w:p w:rsidR="0047066B" w:rsidRDefault="0047066B" w:rsidP="006B764E">
      <w:pPr>
        <w:pStyle w:val="ListParagraph"/>
        <w:widowControl/>
        <w:numPr>
          <w:ilvl w:val="1"/>
          <w:numId w:val="3"/>
        </w:numPr>
      </w:pPr>
      <w:r>
        <w:t xml:space="preserve">At year 1, the estimated number of patients was </w:t>
      </w:r>
      <w:r w:rsidR="004165CE">
        <w:rPr>
          <w:noProof/>
          <w:color w:val="000000"/>
          <w:highlight w:val="black"/>
        </w:rPr>
        <w:t>''''''''''</w:t>
      </w:r>
      <w:r>
        <w:t xml:space="preserve"> and the net cost to the PBS would be $</w:t>
      </w:r>
      <w:r w:rsidR="004165CE">
        <w:rPr>
          <w:noProof/>
          <w:color w:val="000000"/>
          <w:highlight w:val="black"/>
        </w:rPr>
        <w:t>'''''''''''''''''''''''</w:t>
      </w:r>
      <w:r>
        <w:t xml:space="preserve">.  At year 5, the estimated number of patients was </w:t>
      </w:r>
      <w:r w:rsidR="004165CE">
        <w:rPr>
          <w:noProof/>
          <w:color w:val="000000"/>
          <w:highlight w:val="black"/>
        </w:rPr>
        <w:t>'''''''''''''''</w:t>
      </w:r>
      <w:r>
        <w:t xml:space="preserve"> and the net cost to the PBS would be $</w:t>
      </w:r>
      <w:r w:rsidR="004165CE">
        <w:rPr>
          <w:noProof/>
          <w:color w:val="000000"/>
          <w:highlight w:val="black"/>
        </w:rPr>
        <w:t>'''''''''''''''''''''''''</w:t>
      </w:r>
      <w:r>
        <w:t xml:space="preserve">.  </w:t>
      </w:r>
    </w:p>
    <w:p w:rsidR="0047066B" w:rsidRDefault="0047066B" w:rsidP="0047066B">
      <w:pPr>
        <w:pStyle w:val="ListParagraph"/>
        <w:widowControl/>
      </w:pPr>
    </w:p>
    <w:p w:rsidR="00151405" w:rsidRPr="00984C78" w:rsidRDefault="00331B6E" w:rsidP="006B764E">
      <w:pPr>
        <w:pStyle w:val="ListParagraph"/>
        <w:widowControl/>
        <w:numPr>
          <w:ilvl w:val="1"/>
          <w:numId w:val="3"/>
        </w:numPr>
      </w:pPr>
      <w:r w:rsidRPr="00984C78">
        <w:t xml:space="preserve">The submission did not take into account the </w:t>
      </w:r>
      <w:r w:rsidR="004165CE">
        <w:rPr>
          <w:noProof/>
          <w:color w:val="000000"/>
          <w:highlight w:val="black"/>
        </w:rPr>
        <w:t>'''''''</w:t>
      </w:r>
      <w:r w:rsidRPr="00984C78">
        <w:t xml:space="preserve"> grandfathered patients or</w:t>
      </w:r>
      <w:r w:rsidR="00A61D4F">
        <w:t xml:space="preserve"> include the cost of </w:t>
      </w:r>
      <w:r w:rsidRPr="00984C78">
        <w:t xml:space="preserve">screening or treatment of PML. There is uncertainty in the uptake rates of </w:t>
      </w:r>
      <w:proofErr w:type="spellStart"/>
      <w:r w:rsidRPr="00984C78">
        <w:t>vedolizumab</w:t>
      </w:r>
      <w:proofErr w:type="spellEnd"/>
      <w:r w:rsidR="00B27F21">
        <w:t>.</w:t>
      </w:r>
      <w:r w:rsidR="00EC57A4">
        <w:t xml:space="preserve"> </w:t>
      </w:r>
      <w:r w:rsidR="00B27F21">
        <w:t xml:space="preserve"> I</w:t>
      </w:r>
      <w:r w:rsidR="00EC57A4">
        <w:t>n first-line currently treated patients</w:t>
      </w:r>
      <w:r w:rsidR="00B27F21">
        <w:t>, uptake rates may be lower than indicated by the AIBDA survey results (</w:t>
      </w:r>
      <w:proofErr w:type="gramStart"/>
      <w:r w:rsidR="004165CE">
        <w:rPr>
          <w:noProof/>
          <w:color w:val="000000"/>
          <w:highlight w:val="black"/>
        </w:rPr>
        <w:t>''''''''''''''</w:t>
      </w:r>
      <w:r w:rsidR="00B27F21">
        <w:t>%</w:t>
      </w:r>
      <w:proofErr w:type="gramEnd"/>
      <w:r w:rsidR="00B27F21">
        <w:t>), which may be optimistic.</w:t>
      </w:r>
      <w:r w:rsidR="00EC57A4">
        <w:t xml:space="preserve"> </w:t>
      </w:r>
      <w:r w:rsidR="00B27F21">
        <w:t>Conversely, t</w:t>
      </w:r>
      <w:r w:rsidR="00D36EE4" w:rsidRPr="00D36EE4">
        <w:rPr>
          <w:szCs w:val="24"/>
        </w:rPr>
        <w:t xml:space="preserve">he uptake rate of </w:t>
      </w:r>
      <w:proofErr w:type="spellStart"/>
      <w:r w:rsidR="00D36EE4" w:rsidRPr="00D36EE4">
        <w:rPr>
          <w:szCs w:val="24"/>
        </w:rPr>
        <w:t>vedolizumab</w:t>
      </w:r>
      <w:proofErr w:type="spellEnd"/>
      <w:r w:rsidR="00D36EE4" w:rsidRPr="00D36EE4">
        <w:rPr>
          <w:szCs w:val="24"/>
        </w:rPr>
        <w:t xml:space="preserve"> after infliximab or adalimumab failure may be higher than that estimated by the submission because </w:t>
      </w:r>
      <w:proofErr w:type="spellStart"/>
      <w:r w:rsidR="00D36EE4" w:rsidRPr="00D36EE4">
        <w:rPr>
          <w:szCs w:val="24"/>
        </w:rPr>
        <w:t>vedolizumab</w:t>
      </w:r>
      <w:proofErr w:type="spellEnd"/>
      <w:r w:rsidR="00D36EE4" w:rsidRPr="00D36EE4">
        <w:rPr>
          <w:szCs w:val="24"/>
        </w:rPr>
        <w:t xml:space="preserve"> would be the last medical option prior to surgery</w:t>
      </w:r>
      <w:r w:rsidRPr="00984C78">
        <w:t xml:space="preserve">. </w:t>
      </w:r>
      <w:r w:rsidR="00282241" w:rsidRPr="00984C78">
        <w:t xml:space="preserve"> </w:t>
      </w:r>
      <w:r w:rsidR="00D67744" w:rsidRPr="00984C78">
        <w:t xml:space="preserve">The PSCR acknowledged that the financial estimates should take into account the </w:t>
      </w:r>
      <w:r w:rsidR="004165CE">
        <w:rPr>
          <w:noProof/>
          <w:color w:val="000000"/>
          <w:highlight w:val="black"/>
        </w:rPr>
        <w:t>''''''</w:t>
      </w:r>
      <w:r w:rsidR="00A61D4F">
        <w:t xml:space="preserve"> </w:t>
      </w:r>
      <w:r w:rsidR="00D67744" w:rsidRPr="00984C78">
        <w:t>grandfathered patients</w:t>
      </w:r>
      <w:r w:rsidR="006C5C01" w:rsidRPr="00984C78">
        <w:t xml:space="preserve">, but noted </w:t>
      </w:r>
      <w:r w:rsidR="00A94839" w:rsidRPr="00984C78">
        <w:t xml:space="preserve">that the estimate of </w:t>
      </w:r>
      <w:r w:rsidR="004165CE">
        <w:rPr>
          <w:noProof/>
          <w:color w:val="000000"/>
          <w:highlight w:val="black"/>
        </w:rPr>
        <w:t>''''''</w:t>
      </w:r>
      <w:r w:rsidR="00A94839" w:rsidRPr="00057ABE">
        <w:t xml:space="preserve"> </w:t>
      </w:r>
      <w:r w:rsidR="00A94839" w:rsidRPr="00984C78">
        <w:t xml:space="preserve">is conservative, anticipating </w:t>
      </w:r>
      <w:r w:rsidR="006C5C01" w:rsidRPr="00984C78">
        <w:t xml:space="preserve">that </w:t>
      </w:r>
      <w:r w:rsidR="00A94839" w:rsidRPr="00984C78">
        <w:t>some patients enrolled in the long-term safety study</w:t>
      </w:r>
      <w:r w:rsidR="00B27F21">
        <w:t xml:space="preserve"> </w:t>
      </w:r>
      <w:r w:rsidR="00A94839" w:rsidRPr="00984C78">
        <w:t xml:space="preserve">will discontinue treatment. </w:t>
      </w:r>
    </w:p>
    <w:p w:rsidR="002D05A3" w:rsidRDefault="002D05A3" w:rsidP="002D05A3">
      <w:pPr>
        <w:widowControl/>
        <w:snapToGrid/>
        <w:jc w:val="left"/>
        <w:rPr>
          <w:b/>
        </w:rPr>
      </w:pPr>
      <w:bookmarkStart w:id="15" w:name="_Toc409097591"/>
    </w:p>
    <w:p w:rsidR="00576972" w:rsidRPr="002D05A3" w:rsidRDefault="00576972" w:rsidP="002D05A3">
      <w:pPr>
        <w:widowControl/>
        <w:snapToGrid/>
        <w:jc w:val="left"/>
        <w:rPr>
          <w:b/>
        </w:rPr>
      </w:pPr>
      <w:r w:rsidRPr="002D05A3">
        <w:rPr>
          <w:b/>
        </w:rPr>
        <w:t>Financial Management – Risk Sharing Arrangements</w:t>
      </w:r>
      <w:bookmarkEnd w:id="15"/>
    </w:p>
    <w:p w:rsidR="006C5584" w:rsidRPr="00984C78" w:rsidRDefault="006C5584" w:rsidP="006C5584"/>
    <w:p w:rsidR="00381703" w:rsidRPr="00FD25EC" w:rsidRDefault="00381703" w:rsidP="006B764E">
      <w:pPr>
        <w:pStyle w:val="ListParagraph"/>
        <w:widowControl/>
        <w:numPr>
          <w:ilvl w:val="1"/>
          <w:numId w:val="3"/>
        </w:numPr>
      </w:pPr>
      <w:r w:rsidRPr="00984C78">
        <w:t xml:space="preserve">The submission proposed a Special Pricing Arrangement whereby </w:t>
      </w:r>
      <w:r w:rsidRPr="00FD25EC">
        <w:t xml:space="preserve">the published price of </w:t>
      </w:r>
      <w:proofErr w:type="spellStart"/>
      <w:r w:rsidRPr="00FD25EC">
        <w:t>vedolizumab</w:t>
      </w:r>
      <w:proofErr w:type="spellEnd"/>
      <w:r w:rsidRPr="00FD25EC">
        <w:t xml:space="preserve"> is </w:t>
      </w:r>
      <w:r w:rsidRPr="00057ABE">
        <w:t>$</w:t>
      </w:r>
      <w:r w:rsidR="004165CE">
        <w:rPr>
          <w:noProof/>
          <w:color w:val="000000"/>
          <w:highlight w:val="black"/>
        </w:rPr>
        <w:t>''''''''''''''''''''''</w:t>
      </w:r>
      <w:r w:rsidRPr="00057ABE">
        <w:t xml:space="preserve"> per vial</w:t>
      </w:r>
      <w:r w:rsidRPr="00FD25EC">
        <w:t xml:space="preserve"> (ex-manufacturer), which is a weighted average price across </w:t>
      </w:r>
      <w:r w:rsidR="00D73962" w:rsidRPr="00FD25EC">
        <w:t>Crohn’s</w:t>
      </w:r>
      <w:r w:rsidRPr="00FD25EC">
        <w:t xml:space="preserve"> disease and ulcerative colitis (assuming </w:t>
      </w:r>
      <w:r w:rsidR="004165CE">
        <w:rPr>
          <w:noProof/>
          <w:color w:val="000000"/>
          <w:highlight w:val="black"/>
        </w:rPr>
        <w:t>''''''</w:t>
      </w:r>
      <w:r w:rsidRPr="00FD25EC">
        <w:t xml:space="preserve">% of </w:t>
      </w:r>
      <w:r w:rsidRPr="00FD25EC">
        <w:lastRenderedPageBreak/>
        <w:t xml:space="preserve">patients have </w:t>
      </w:r>
      <w:r w:rsidR="00D73962" w:rsidRPr="00FD25EC">
        <w:t>Crohn’s</w:t>
      </w:r>
      <w:r w:rsidRPr="00FD25EC">
        <w:t xml:space="preserve"> disease and </w:t>
      </w:r>
      <w:r w:rsidR="004165CE">
        <w:rPr>
          <w:noProof/>
          <w:color w:val="000000"/>
          <w:highlight w:val="black"/>
        </w:rPr>
        <w:t>''''''</w:t>
      </w:r>
      <w:r w:rsidRPr="00FD25EC">
        <w:t xml:space="preserve">% have ulcerative colitis). </w:t>
      </w:r>
      <w:r w:rsidR="006D0E4C" w:rsidRPr="00FD25EC">
        <w:t xml:space="preserve">The calculation of the number of patients treated does not take into account grandfathered patients. If these patients are included, the split is </w:t>
      </w:r>
      <w:r w:rsidR="004165CE">
        <w:rPr>
          <w:noProof/>
          <w:color w:val="000000"/>
          <w:highlight w:val="black"/>
        </w:rPr>
        <w:t>'''''''</w:t>
      </w:r>
      <w:r w:rsidR="006D0E4C" w:rsidRPr="00FD25EC">
        <w:t xml:space="preserve">% with </w:t>
      </w:r>
      <w:r w:rsidR="00D73962" w:rsidRPr="00FD25EC">
        <w:t>Crohn’s</w:t>
      </w:r>
      <w:r w:rsidR="006D0E4C" w:rsidRPr="00FD25EC">
        <w:t xml:space="preserve"> disease and </w:t>
      </w:r>
      <w:r w:rsidR="004165CE">
        <w:rPr>
          <w:noProof/>
          <w:color w:val="000000"/>
          <w:highlight w:val="black"/>
        </w:rPr>
        <w:t>'''''''</w:t>
      </w:r>
      <w:r w:rsidR="006D0E4C" w:rsidRPr="00FD25EC">
        <w:t xml:space="preserve">% with ulcerative colitis. </w:t>
      </w:r>
    </w:p>
    <w:p w:rsidR="006404AB" w:rsidRDefault="006404AB" w:rsidP="006404AB">
      <w:pPr>
        <w:pStyle w:val="ListParagraph"/>
        <w:widowControl/>
      </w:pPr>
    </w:p>
    <w:p w:rsidR="006404AB" w:rsidRPr="00E54A0A" w:rsidRDefault="006404AB" w:rsidP="006B764E">
      <w:pPr>
        <w:pStyle w:val="ListParagraph"/>
        <w:widowControl/>
        <w:numPr>
          <w:ilvl w:val="1"/>
          <w:numId w:val="3"/>
        </w:numPr>
      </w:pPr>
      <w:r w:rsidRPr="00E54A0A">
        <w:t>The PBAC</w:t>
      </w:r>
      <w:r w:rsidR="00EF6D3B" w:rsidRPr="00E54A0A">
        <w:t xml:space="preserve"> noted that the submission did not propose a risk sharing arrangement for this indication.  </w:t>
      </w:r>
      <w:r w:rsidR="00F2751E" w:rsidRPr="00E54A0A">
        <w:t xml:space="preserve">The PBAC noted that addition of </w:t>
      </w:r>
      <w:proofErr w:type="spellStart"/>
      <w:r w:rsidR="00F2751E" w:rsidRPr="00E54A0A">
        <w:t>vedolizumab</w:t>
      </w:r>
      <w:proofErr w:type="spellEnd"/>
      <w:r w:rsidR="00F2751E" w:rsidRPr="00E54A0A">
        <w:t xml:space="preserve"> may </w:t>
      </w:r>
      <w:r w:rsidR="007370B2" w:rsidRPr="00E54A0A">
        <w:t xml:space="preserve">expand the market to a small </w:t>
      </w:r>
      <w:r w:rsidR="00671FAA" w:rsidRPr="00E54A0A">
        <w:t>extent</w:t>
      </w:r>
      <w:r w:rsidR="00F2751E" w:rsidRPr="00E54A0A">
        <w:t xml:space="preserve">.  Therefore, the PBAC </w:t>
      </w:r>
      <w:r w:rsidR="00D26D8C">
        <w:t xml:space="preserve">recommended that </w:t>
      </w:r>
      <w:proofErr w:type="spellStart"/>
      <w:r w:rsidR="00F2751E" w:rsidRPr="00E54A0A">
        <w:t>vedolizumab</w:t>
      </w:r>
      <w:proofErr w:type="spellEnd"/>
      <w:r w:rsidR="00D26D8C">
        <w:t xml:space="preserve"> should join</w:t>
      </w:r>
      <w:r w:rsidR="00F2751E" w:rsidRPr="00E54A0A">
        <w:t xml:space="preserve"> the existing risk sharing arrangements</w:t>
      </w:r>
      <w:r w:rsidR="00D26D8C">
        <w:t xml:space="preserve"> currently in place</w:t>
      </w:r>
      <w:r w:rsidR="00F2751E" w:rsidRPr="00E54A0A">
        <w:t xml:space="preserve"> for infliximab and adalimumab in </w:t>
      </w:r>
      <w:r w:rsidR="00D73962">
        <w:t>Crohn’s</w:t>
      </w:r>
      <w:r w:rsidR="00F2751E" w:rsidRPr="00E54A0A">
        <w:t xml:space="preserve"> disease</w:t>
      </w:r>
      <w:r w:rsidR="00D26D8C">
        <w:t>,</w:t>
      </w:r>
      <w:r w:rsidR="00F2751E" w:rsidRPr="00E54A0A">
        <w:t xml:space="preserve"> as all three drugs have the same patient population. </w:t>
      </w:r>
    </w:p>
    <w:p w:rsidR="006404AB" w:rsidRPr="00E54A0A" w:rsidRDefault="006404AB" w:rsidP="00D15B5F">
      <w:pPr>
        <w:widowControl/>
        <w:rPr>
          <w:highlight w:val="yellow"/>
        </w:rPr>
      </w:pPr>
    </w:p>
    <w:p w:rsidR="00984C78" w:rsidRPr="00E54A0A" w:rsidRDefault="00984C78" w:rsidP="00984C78">
      <w:pPr>
        <w:widowControl/>
        <w:ind w:firstLine="720"/>
      </w:pPr>
      <w:r w:rsidRPr="00E54A0A">
        <w:rPr>
          <w:i/>
          <w:szCs w:val="22"/>
        </w:rPr>
        <w:t>For more detail on PBAC’s view, see section 7 “PBAC outcome”</w:t>
      </w:r>
    </w:p>
    <w:p w:rsidR="00984C78" w:rsidRDefault="00984C78" w:rsidP="00D15B5F">
      <w:pPr>
        <w:widowControl/>
        <w:rPr>
          <w:highlight w:val="yellow"/>
        </w:rPr>
      </w:pPr>
    </w:p>
    <w:p w:rsidR="00E54A0A" w:rsidRPr="00E54A0A" w:rsidRDefault="00E54A0A" w:rsidP="00D15B5F">
      <w:pPr>
        <w:widowControl/>
        <w:rPr>
          <w:highlight w:val="yellow"/>
        </w:rPr>
      </w:pPr>
    </w:p>
    <w:p w:rsidR="00984C78" w:rsidRPr="00E54A0A" w:rsidRDefault="00984C78" w:rsidP="00984C78">
      <w:pPr>
        <w:pStyle w:val="PBACHeading1"/>
      </w:pPr>
      <w:r w:rsidRPr="00E54A0A">
        <w:t>PBAC Outcome</w:t>
      </w:r>
    </w:p>
    <w:p w:rsidR="00F42900" w:rsidRPr="00E54A0A" w:rsidRDefault="00F42900" w:rsidP="00F42900">
      <w:pPr>
        <w:pStyle w:val="PBACHeading1"/>
        <w:numPr>
          <w:ilvl w:val="0"/>
          <w:numId w:val="0"/>
        </w:numPr>
        <w:ind w:left="720"/>
      </w:pPr>
    </w:p>
    <w:p w:rsidR="00A31F51" w:rsidRPr="00E54A0A" w:rsidRDefault="00B13CAD" w:rsidP="006B764E">
      <w:pPr>
        <w:numPr>
          <w:ilvl w:val="1"/>
          <w:numId w:val="3"/>
        </w:numPr>
        <w:snapToGrid/>
        <w:contextualSpacing/>
        <w:rPr>
          <w:bCs/>
          <w:snapToGrid w:val="0"/>
          <w:szCs w:val="22"/>
          <w:lang w:val="en-GB"/>
        </w:rPr>
      </w:pPr>
      <w:r w:rsidRPr="00E54A0A">
        <w:rPr>
          <w:bCs/>
          <w:snapToGrid w:val="0"/>
          <w:szCs w:val="22"/>
          <w:lang w:val="en-GB"/>
        </w:rPr>
        <w:t xml:space="preserve">The PBAC recommended listing of </w:t>
      </w:r>
      <w:proofErr w:type="spellStart"/>
      <w:r w:rsidRPr="00E54A0A">
        <w:rPr>
          <w:bCs/>
          <w:snapToGrid w:val="0"/>
          <w:szCs w:val="22"/>
          <w:lang w:val="en-GB"/>
        </w:rPr>
        <w:t>vedolizumab</w:t>
      </w:r>
      <w:proofErr w:type="spellEnd"/>
      <w:r w:rsidR="00C42017" w:rsidRPr="00E54A0A">
        <w:rPr>
          <w:bCs/>
          <w:snapToGrid w:val="0"/>
          <w:szCs w:val="22"/>
          <w:lang w:val="en-GB"/>
        </w:rPr>
        <w:t xml:space="preserve"> for the treatment of severe </w:t>
      </w:r>
      <w:r w:rsidR="00D73962">
        <w:rPr>
          <w:bCs/>
          <w:snapToGrid w:val="0"/>
          <w:szCs w:val="22"/>
          <w:lang w:val="en-GB"/>
        </w:rPr>
        <w:t>Crohn’s</w:t>
      </w:r>
      <w:r w:rsidR="00C42017" w:rsidRPr="00E54A0A">
        <w:rPr>
          <w:bCs/>
          <w:snapToGrid w:val="0"/>
          <w:szCs w:val="22"/>
          <w:lang w:val="en-GB"/>
        </w:rPr>
        <w:t xml:space="preserve"> disease</w:t>
      </w:r>
      <w:r w:rsidR="004D27EE" w:rsidRPr="00E54A0A">
        <w:rPr>
          <w:bCs/>
          <w:snapToGrid w:val="0"/>
          <w:szCs w:val="22"/>
          <w:lang w:val="en-GB"/>
        </w:rPr>
        <w:t xml:space="preserve"> in adult patients</w:t>
      </w:r>
      <w:r w:rsidRPr="00E54A0A">
        <w:rPr>
          <w:bCs/>
          <w:snapToGrid w:val="0"/>
          <w:szCs w:val="22"/>
          <w:lang w:val="en-GB"/>
        </w:rPr>
        <w:t xml:space="preserve">, on the basis that it should be available only </w:t>
      </w:r>
      <w:r w:rsidR="00912BED" w:rsidRPr="00E54A0A">
        <w:rPr>
          <w:bCs/>
          <w:snapToGrid w:val="0"/>
          <w:szCs w:val="22"/>
          <w:lang w:val="en-GB"/>
        </w:rPr>
        <w:t>as Authority r</w:t>
      </w:r>
      <w:r w:rsidR="001E324B" w:rsidRPr="00E54A0A">
        <w:rPr>
          <w:bCs/>
          <w:snapToGrid w:val="0"/>
          <w:szCs w:val="22"/>
          <w:lang w:val="en-GB"/>
        </w:rPr>
        <w:t>equired</w:t>
      </w:r>
      <w:r w:rsidRPr="00E54A0A">
        <w:rPr>
          <w:bCs/>
          <w:snapToGrid w:val="0"/>
          <w:szCs w:val="22"/>
          <w:lang w:val="en-GB"/>
        </w:rPr>
        <w:t xml:space="preserve"> under</w:t>
      </w:r>
      <w:r w:rsidR="00912BED" w:rsidRPr="00E54A0A">
        <w:rPr>
          <w:bCs/>
          <w:snapToGrid w:val="0"/>
          <w:szCs w:val="22"/>
          <w:lang w:val="en-GB"/>
        </w:rPr>
        <w:t xml:space="preserve"> the</w:t>
      </w:r>
      <w:r w:rsidRPr="00E54A0A">
        <w:rPr>
          <w:bCs/>
          <w:snapToGrid w:val="0"/>
          <w:szCs w:val="22"/>
          <w:lang w:val="en-GB"/>
        </w:rPr>
        <w:t xml:space="preserve"> Section 100</w:t>
      </w:r>
      <w:r w:rsidR="00912BED" w:rsidRPr="00E54A0A">
        <w:rPr>
          <w:bCs/>
          <w:snapToGrid w:val="0"/>
          <w:szCs w:val="22"/>
          <w:lang w:val="en-GB"/>
        </w:rPr>
        <w:t xml:space="preserve"> Highly Specialised Drugs Program</w:t>
      </w:r>
      <w:r w:rsidRPr="00E54A0A">
        <w:rPr>
          <w:bCs/>
          <w:snapToGrid w:val="0"/>
          <w:szCs w:val="22"/>
          <w:lang w:val="en-GB"/>
        </w:rPr>
        <w:t xml:space="preserve">.  </w:t>
      </w:r>
    </w:p>
    <w:p w:rsidR="00CE18B2" w:rsidRPr="00E54A0A" w:rsidRDefault="00CE18B2" w:rsidP="00CE18B2">
      <w:pPr>
        <w:snapToGrid/>
        <w:ind w:left="720"/>
        <w:contextualSpacing/>
        <w:rPr>
          <w:bCs/>
          <w:snapToGrid w:val="0"/>
          <w:szCs w:val="22"/>
          <w:lang w:val="en-GB"/>
        </w:rPr>
      </w:pPr>
    </w:p>
    <w:p w:rsidR="00CE18B2" w:rsidRPr="00E54A0A" w:rsidRDefault="006B1963" w:rsidP="006B764E">
      <w:pPr>
        <w:numPr>
          <w:ilvl w:val="1"/>
          <w:numId w:val="3"/>
        </w:numPr>
        <w:snapToGrid/>
        <w:contextualSpacing/>
        <w:rPr>
          <w:bCs/>
          <w:snapToGrid w:val="0"/>
          <w:szCs w:val="22"/>
          <w:lang w:val="en-GB"/>
        </w:rPr>
      </w:pPr>
      <w:r w:rsidRPr="00E54A0A">
        <w:rPr>
          <w:bCs/>
          <w:snapToGrid w:val="0"/>
          <w:szCs w:val="22"/>
          <w:lang w:val="en-GB"/>
        </w:rPr>
        <w:t xml:space="preserve">The PBAC recommended the listing of </w:t>
      </w:r>
      <w:proofErr w:type="spellStart"/>
      <w:r w:rsidRPr="00E54A0A">
        <w:rPr>
          <w:bCs/>
          <w:snapToGrid w:val="0"/>
          <w:szCs w:val="22"/>
          <w:lang w:val="en-GB"/>
        </w:rPr>
        <w:t>vedolizumab</w:t>
      </w:r>
      <w:proofErr w:type="spellEnd"/>
      <w:r w:rsidRPr="00E54A0A">
        <w:rPr>
          <w:bCs/>
          <w:snapToGrid w:val="0"/>
          <w:szCs w:val="22"/>
          <w:lang w:val="en-GB"/>
        </w:rPr>
        <w:t xml:space="preserve"> on a cost-minimisation basis with infliximab</w:t>
      </w:r>
      <w:r w:rsidR="00D67174" w:rsidRPr="00E54A0A">
        <w:rPr>
          <w:bCs/>
          <w:snapToGrid w:val="0"/>
          <w:szCs w:val="22"/>
          <w:lang w:val="en-GB"/>
        </w:rPr>
        <w:t xml:space="preserve"> and adalimumab</w:t>
      </w:r>
      <w:r w:rsidRPr="00E54A0A">
        <w:rPr>
          <w:bCs/>
          <w:snapToGrid w:val="0"/>
          <w:szCs w:val="22"/>
          <w:lang w:val="en-GB"/>
        </w:rPr>
        <w:t xml:space="preserve">.  The PBAC considered the </w:t>
      </w:r>
      <w:proofErr w:type="spellStart"/>
      <w:r w:rsidRPr="00E54A0A">
        <w:rPr>
          <w:bCs/>
          <w:snapToGrid w:val="0"/>
          <w:szCs w:val="22"/>
          <w:lang w:val="en-GB"/>
        </w:rPr>
        <w:t>equi</w:t>
      </w:r>
      <w:proofErr w:type="spellEnd"/>
      <w:r w:rsidRPr="00E54A0A">
        <w:rPr>
          <w:bCs/>
          <w:snapToGrid w:val="0"/>
          <w:szCs w:val="22"/>
          <w:lang w:val="en-GB"/>
        </w:rPr>
        <w:t xml:space="preserve">-effective doses are: </w:t>
      </w:r>
    </w:p>
    <w:p w:rsidR="006B1963" w:rsidRPr="00E54A0A" w:rsidRDefault="006B1963" w:rsidP="006B764E">
      <w:pPr>
        <w:pStyle w:val="ListParagraph"/>
        <w:numPr>
          <w:ilvl w:val="0"/>
          <w:numId w:val="5"/>
        </w:numPr>
        <w:ind w:left="1134"/>
      </w:pPr>
      <w:proofErr w:type="spellStart"/>
      <w:r w:rsidRPr="00E54A0A">
        <w:t>vedolizumab</w:t>
      </w:r>
      <w:proofErr w:type="spellEnd"/>
      <w:r w:rsidRPr="00E54A0A">
        <w:t xml:space="preserve"> </w:t>
      </w:r>
      <w:r w:rsidRPr="00E54A0A">
        <w:rPr>
          <w:bCs/>
          <w:snapToGrid w:val="0"/>
          <w:szCs w:val="22"/>
          <w:lang w:val="en-GB"/>
        </w:rPr>
        <w:t xml:space="preserve">– </w:t>
      </w:r>
      <w:r w:rsidRPr="00E54A0A">
        <w:t>300mg administered at week 0, week 2, week 6 and then every 8 weeks</w:t>
      </w:r>
      <w:r w:rsidR="004D27EE" w:rsidRPr="00E54A0A">
        <w:t xml:space="preserve"> thereafter</w:t>
      </w:r>
      <w:r w:rsidRPr="00E54A0A">
        <w:t xml:space="preserve">; </w:t>
      </w:r>
    </w:p>
    <w:p w:rsidR="006B1963" w:rsidRPr="00E54A0A" w:rsidRDefault="006B1963" w:rsidP="006B764E">
      <w:pPr>
        <w:pStyle w:val="ListParagraph"/>
        <w:numPr>
          <w:ilvl w:val="0"/>
          <w:numId w:val="5"/>
        </w:numPr>
        <w:ind w:left="1134"/>
      </w:pPr>
      <w:r w:rsidRPr="00E54A0A">
        <w:t xml:space="preserve">Infliximab </w:t>
      </w:r>
      <w:r w:rsidRPr="00E54A0A">
        <w:rPr>
          <w:bCs/>
          <w:snapToGrid w:val="0"/>
          <w:szCs w:val="22"/>
          <w:lang w:val="en-GB"/>
        </w:rPr>
        <w:t xml:space="preserve">– </w:t>
      </w:r>
      <w:r w:rsidRPr="00E54A0A">
        <w:t>5mg/kg administered at week 0, week 2, week 6 and then every 8 weeks</w:t>
      </w:r>
      <w:r w:rsidR="004D27EE" w:rsidRPr="00E54A0A">
        <w:t xml:space="preserve"> thereafter</w:t>
      </w:r>
      <w:r w:rsidR="00937526" w:rsidRPr="00E54A0A">
        <w:t>; and</w:t>
      </w:r>
    </w:p>
    <w:p w:rsidR="00937526" w:rsidRPr="00E54A0A" w:rsidRDefault="00937526" w:rsidP="006B764E">
      <w:pPr>
        <w:pStyle w:val="ListParagraph"/>
        <w:numPr>
          <w:ilvl w:val="0"/>
          <w:numId w:val="5"/>
        </w:numPr>
        <w:ind w:left="1134"/>
      </w:pPr>
      <w:r w:rsidRPr="00E54A0A">
        <w:t xml:space="preserve">adalimumab 160mg at week 0, 80mg at week 2, 40mg at week </w:t>
      </w:r>
      <w:r w:rsidR="00151F6D">
        <w:t>4</w:t>
      </w:r>
      <w:r w:rsidR="00151F6D" w:rsidRPr="00E54A0A">
        <w:t xml:space="preserve"> </w:t>
      </w:r>
      <w:r w:rsidRPr="00E54A0A">
        <w:t>and then every 2 weeks thereafter.</w:t>
      </w:r>
    </w:p>
    <w:p w:rsidR="00CE18B2" w:rsidRPr="00E54A0A" w:rsidRDefault="00CE18B2" w:rsidP="006B1963">
      <w:pPr>
        <w:snapToGrid/>
        <w:contextualSpacing/>
        <w:rPr>
          <w:bCs/>
          <w:snapToGrid w:val="0"/>
          <w:szCs w:val="22"/>
          <w:highlight w:val="yellow"/>
          <w:lang w:val="en-GB"/>
        </w:rPr>
      </w:pPr>
    </w:p>
    <w:p w:rsidR="009716D1" w:rsidRPr="002056CC" w:rsidRDefault="006B1963" w:rsidP="006B764E">
      <w:pPr>
        <w:numPr>
          <w:ilvl w:val="1"/>
          <w:numId w:val="3"/>
        </w:numPr>
        <w:snapToGrid/>
        <w:contextualSpacing/>
        <w:rPr>
          <w:bCs/>
          <w:snapToGrid w:val="0"/>
          <w:szCs w:val="22"/>
          <w:lang w:val="en-GB"/>
        </w:rPr>
      </w:pPr>
      <w:r w:rsidRPr="00E54A0A">
        <w:rPr>
          <w:szCs w:val="22"/>
        </w:rPr>
        <w:t xml:space="preserve">The PBAC </w:t>
      </w:r>
      <w:r w:rsidR="00D56C98" w:rsidRPr="008242E0">
        <w:rPr>
          <w:szCs w:val="22"/>
        </w:rPr>
        <w:t>accepted</w:t>
      </w:r>
      <w:r w:rsidR="00D56C98" w:rsidRPr="00E54A0A">
        <w:rPr>
          <w:szCs w:val="22"/>
        </w:rPr>
        <w:t xml:space="preserve"> </w:t>
      </w:r>
      <w:r w:rsidR="008C09C3" w:rsidRPr="00E54A0A">
        <w:rPr>
          <w:szCs w:val="22"/>
        </w:rPr>
        <w:t xml:space="preserve">the </w:t>
      </w:r>
      <w:r w:rsidRPr="00E54A0A">
        <w:rPr>
          <w:szCs w:val="22"/>
        </w:rPr>
        <w:t xml:space="preserve">submission’s request </w:t>
      </w:r>
      <w:r w:rsidR="008C09C3" w:rsidRPr="00E54A0A">
        <w:rPr>
          <w:szCs w:val="22"/>
        </w:rPr>
        <w:t>to include</w:t>
      </w:r>
      <w:r w:rsidRPr="00E54A0A">
        <w:rPr>
          <w:szCs w:val="22"/>
        </w:rPr>
        <w:t xml:space="preserve"> patients with short gut syndrome, or an ostomy or extensive small intestine disease in the restriction for </w:t>
      </w:r>
      <w:proofErr w:type="spellStart"/>
      <w:r w:rsidRPr="00E54A0A">
        <w:rPr>
          <w:szCs w:val="22"/>
        </w:rPr>
        <w:t>vedolizumab</w:t>
      </w:r>
      <w:proofErr w:type="spellEnd"/>
      <w:r w:rsidRPr="00E54A0A">
        <w:rPr>
          <w:szCs w:val="22"/>
        </w:rPr>
        <w:t>, given that the restrictions for infliximab and adalimumab include these patients.</w:t>
      </w:r>
      <w:r w:rsidR="00D56C98" w:rsidRPr="00E54A0A">
        <w:rPr>
          <w:szCs w:val="22"/>
        </w:rPr>
        <w:t xml:space="preserve">  </w:t>
      </w:r>
    </w:p>
    <w:p w:rsidR="002056CC" w:rsidRPr="002056CC" w:rsidRDefault="002056CC" w:rsidP="002056CC">
      <w:pPr>
        <w:snapToGrid/>
        <w:ind w:left="720"/>
        <w:contextualSpacing/>
        <w:rPr>
          <w:bCs/>
          <w:snapToGrid w:val="0"/>
          <w:szCs w:val="22"/>
          <w:lang w:val="en-GB"/>
        </w:rPr>
      </w:pPr>
    </w:p>
    <w:p w:rsidR="002056CC" w:rsidRPr="00E54A0A" w:rsidRDefault="002056CC" w:rsidP="002056CC">
      <w:pPr>
        <w:numPr>
          <w:ilvl w:val="1"/>
          <w:numId w:val="3"/>
        </w:numPr>
        <w:snapToGrid/>
        <w:contextualSpacing/>
        <w:rPr>
          <w:bCs/>
          <w:snapToGrid w:val="0"/>
          <w:szCs w:val="22"/>
          <w:lang w:val="en-GB"/>
        </w:rPr>
      </w:pPr>
      <w:r w:rsidRPr="002056CC">
        <w:rPr>
          <w:bCs/>
          <w:snapToGrid w:val="0"/>
          <w:szCs w:val="22"/>
          <w:lang w:val="en-GB"/>
        </w:rPr>
        <w:t xml:space="preserve">The PBAC recommended the inclusion of a </w:t>
      </w:r>
      <w:r w:rsidR="004928B9">
        <w:rPr>
          <w:bCs/>
          <w:snapToGrid w:val="0"/>
          <w:szCs w:val="22"/>
          <w:lang w:val="en-GB"/>
        </w:rPr>
        <w:t>‘</w:t>
      </w:r>
      <w:r w:rsidRPr="002056CC">
        <w:rPr>
          <w:bCs/>
          <w:snapToGrid w:val="0"/>
          <w:szCs w:val="22"/>
          <w:lang w:val="en-GB"/>
        </w:rPr>
        <w:t>grandfather</w:t>
      </w:r>
      <w:r w:rsidR="004928B9">
        <w:rPr>
          <w:bCs/>
          <w:snapToGrid w:val="0"/>
          <w:szCs w:val="22"/>
          <w:lang w:val="en-GB"/>
        </w:rPr>
        <w:t>’</w:t>
      </w:r>
      <w:r w:rsidRPr="002056CC">
        <w:rPr>
          <w:bCs/>
          <w:snapToGrid w:val="0"/>
          <w:szCs w:val="22"/>
          <w:lang w:val="en-GB"/>
        </w:rPr>
        <w:t xml:space="preserve"> restriction, consistent with the </w:t>
      </w:r>
      <w:r w:rsidR="004928B9">
        <w:rPr>
          <w:bCs/>
          <w:snapToGrid w:val="0"/>
          <w:szCs w:val="22"/>
          <w:lang w:val="en-GB"/>
        </w:rPr>
        <w:t>‘</w:t>
      </w:r>
      <w:r w:rsidRPr="002056CC">
        <w:rPr>
          <w:bCs/>
          <w:snapToGrid w:val="0"/>
          <w:szCs w:val="22"/>
          <w:lang w:val="en-GB"/>
        </w:rPr>
        <w:t>grandfather</w:t>
      </w:r>
      <w:r w:rsidR="004928B9">
        <w:rPr>
          <w:bCs/>
          <w:snapToGrid w:val="0"/>
          <w:szCs w:val="22"/>
          <w:lang w:val="en-GB"/>
        </w:rPr>
        <w:t>’</w:t>
      </w:r>
      <w:r w:rsidRPr="002056CC">
        <w:rPr>
          <w:bCs/>
          <w:snapToGrid w:val="0"/>
          <w:szCs w:val="22"/>
          <w:lang w:val="en-GB"/>
        </w:rPr>
        <w:t xml:space="preserve"> restriction for infliximab, to enable continuing PBS-subsidised </w:t>
      </w:r>
      <w:proofErr w:type="spellStart"/>
      <w:r w:rsidRPr="002056CC">
        <w:rPr>
          <w:bCs/>
          <w:snapToGrid w:val="0"/>
          <w:szCs w:val="22"/>
          <w:lang w:val="en-GB"/>
        </w:rPr>
        <w:t>vedolizumab</w:t>
      </w:r>
      <w:proofErr w:type="spellEnd"/>
      <w:r w:rsidRPr="002056CC">
        <w:rPr>
          <w:bCs/>
          <w:snapToGrid w:val="0"/>
          <w:szCs w:val="22"/>
          <w:lang w:val="en-GB"/>
        </w:rPr>
        <w:t xml:space="preserve"> treatment in patients who have been treated with </w:t>
      </w:r>
      <w:proofErr w:type="spellStart"/>
      <w:r w:rsidRPr="002056CC">
        <w:rPr>
          <w:bCs/>
          <w:snapToGrid w:val="0"/>
          <w:szCs w:val="22"/>
          <w:lang w:val="en-GB"/>
        </w:rPr>
        <w:t>vedolizumab</w:t>
      </w:r>
      <w:proofErr w:type="spellEnd"/>
      <w:r w:rsidRPr="002056CC">
        <w:rPr>
          <w:bCs/>
          <w:snapToGrid w:val="0"/>
          <w:szCs w:val="22"/>
          <w:lang w:val="en-GB"/>
        </w:rPr>
        <w:t xml:space="preserve"> for </w:t>
      </w:r>
      <w:r w:rsidR="00D73962">
        <w:rPr>
          <w:bCs/>
          <w:snapToGrid w:val="0"/>
          <w:szCs w:val="22"/>
          <w:lang w:val="en-GB"/>
        </w:rPr>
        <w:t>Crohn’s</w:t>
      </w:r>
      <w:r>
        <w:rPr>
          <w:bCs/>
          <w:snapToGrid w:val="0"/>
          <w:szCs w:val="22"/>
          <w:lang w:val="en-GB"/>
        </w:rPr>
        <w:t xml:space="preserve"> disease </w:t>
      </w:r>
      <w:r w:rsidRPr="002056CC">
        <w:rPr>
          <w:bCs/>
          <w:snapToGrid w:val="0"/>
          <w:szCs w:val="22"/>
          <w:lang w:val="en-GB"/>
        </w:rPr>
        <w:t xml:space="preserve">through the long term extension study C13008. The PBAC noted that fewer than </w:t>
      </w:r>
      <w:r w:rsidR="004165CE">
        <w:rPr>
          <w:bCs/>
          <w:noProof/>
          <w:snapToGrid w:val="0"/>
          <w:color w:val="000000"/>
          <w:szCs w:val="22"/>
          <w:highlight w:val="black"/>
          <w:lang w:val="en-GB"/>
        </w:rPr>
        <w:t>''''''</w:t>
      </w:r>
      <w:r w:rsidRPr="002056CC">
        <w:rPr>
          <w:bCs/>
          <w:snapToGrid w:val="0"/>
          <w:szCs w:val="22"/>
          <w:lang w:val="en-GB"/>
        </w:rPr>
        <w:t xml:space="preserve"> patients are expected to fall into this group</w:t>
      </w:r>
    </w:p>
    <w:p w:rsidR="005C5438" w:rsidRPr="00E54A0A" w:rsidRDefault="005C5438" w:rsidP="00C360D0">
      <w:pPr>
        <w:snapToGrid/>
        <w:contextualSpacing/>
        <w:rPr>
          <w:bCs/>
          <w:snapToGrid w:val="0"/>
          <w:szCs w:val="22"/>
          <w:lang w:val="en-GB"/>
        </w:rPr>
      </w:pPr>
    </w:p>
    <w:p w:rsidR="00644778" w:rsidRPr="00E54A0A" w:rsidRDefault="00C360D0" w:rsidP="002056CC">
      <w:pPr>
        <w:numPr>
          <w:ilvl w:val="1"/>
          <w:numId w:val="3"/>
        </w:numPr>
        <w:snapToGrid/>
        <w:contextualSpacing/>
        <w:rPr>
          <w:bCs/>
          <w:snapToGrid w:val="0"/>
          <w:szCs w:val="22"/>
          <w:lang w:val="en-GB"/>
        </w:rPr>
      </w:pPr>
      <w:r w:rsidRPr="00E54A0A">
        <w:t xml:space="preserve">The PBAC noted the proposed clinical place for </w:t>
      </w:r>
      <w:proofErr w:type="spellStart"/>
      <w:r w:rsidRPr="00E54A0A">
        <w:t>vedolizumab</w:t>
      </w:r>
      <w:proofErr w:type="spellEnd"/>
      <w:r w:rsidRPr="00E54A0A">
        <w:t xml:space="preserve"> in the submission was after failure of the conventional agents (5-ASAs, corticosteroids, and </w:t>
      </w:r>
      <w:proofErr w:type="spellStart"/>
      <w:r w:rsidRPr="00E54A0A">
        <w:t>immunomodulators</w:t>
      </w:r>
      <w:proofErr w:type="spellEnd"/>
      <w:r w:rsidRPr="00E54A0A">
        <w:t>), as for infliximab and adalimumab</w:t>
      </w:r>
      <w:r w:rsidR="00CD0800" w:rsidRPr="00E54A0A">
        <w:t xml:space="preserve"> </w:t>
      </w:r>
      <w:r w:rsidR="002E17A9" w:rsidRPr="00E54A0A">
        <w:t xml:space="preserve">i.e. </w:t>
      </w:r>
      <w:r w:rsidR="00CD0800" w:rsidRPr="00E54A0A">
        <w:t>as</w:t>
      </w:r>
      <w:r w:rsidRPr="00E54A0A">
        <w:t xml:space="preserve"> f</w:t>
      </w:r>
      <w:r w:rsidRPr="00E54A0A">
        <w:rPr>
          <w:szCs w:val="22"/>
        </w:rPr>
        <w:t xml:space="preserve">irst line biologic therapy. </w:t>
      </w:r>
      <w:r w:rsidRPr="00E54A0A">
        <w:rPr>
          <w:bCs/>
          <w:snapToGrid w:val="0"/>
          <w:szCs w:val="22"/>
          <w:lang w:val="en-GB"/>
        </w:rPr>
        <w:t xml:space="preserve">The PBAC </w:t>
      </w:r>
      <w:r w:rsidR="00EA35A3" w:rsidRPr="00E54A0A">
        <w:rPr>
          <w:bCs/>
          <w:snapToGrid w:val="0"/>
          <w:szCs w:val="22"/>
          <w:lang w:val="en-GB"/>
        </w:rPr>
        <w:t>noted the</w:t>
      </w:r>
      <w:r w:rsidRPr="00E54A0A">
        <w:rPr>
          <w:bCs/>
          <w:snapToGrid w:val="0"/>
          <w:szCs w:val="22"/>
          <w:lang w:val="en-GB"/>
        </w:rPr>
        <w:t xml:space="preserve"> ESC</w:t>
      </w:r>
      <w:r w:rsidR="00EA35A3" w:rsidRPr="00E54A0A">
        <w:rPr>
          <w:bCs/>
          <w:snapToGrid w:val="0"/>
          <w:szCs w:val="22"/>
          <w:lang w:val="en-GB"/>
        </w:rPr>
        <w:t xml:space="preserve"> considered</w:t>
      </w:r>
      <w:r w:rsidRPr="00E54A0A">
        <w:rPr>
          <w:bCs/>
          <w:snapToGrid w:val="0"/>
          <w:szCs w:val="22"/>
          <w:lang w:val="en-GB"/>
        </w:rPr>
        <w:t xml:space="preserve"> that </w:t>
      </w:r>
      <w:r w:rsidRPr="00E54A0A">
        <w:t xml:space="preserve">the TGA indication suggests </w:t>
      </w:r>
      <w:proofErr w:type="spellStart"/>
      <w:r w:rsidRPr="00E54A0A">
        <w:t>vedolizumab</w:t>
      </w:r>
      <w:proofErr w:type="spellEnd"/>
      <w:r w:rsidRPr="00E54A0A">
        <w:t xml:space="preserve"> could be used as second line</w:t>
      </w:r>
      <w:r w:rsidR="00E10279">
        <w:t xml:space="preserve"> therapy</w:t>
      </w:r>
      <w:r w:rsidR="002056CC" w:rsidRPr="002056CC">
        <w:rPr>
          <w:bCs/>
          <w:snapToGrid w:val="0"/>
          <w:szCs w:val="22"/>
          <w:lang w:val="en-GB"/>
        </w:rPr>
        <w:t>.</w:t>
      </w:r>
      <w:r w:rsidRPr="00E54A0A">
        <w:rPr>
          <w:bCs/>
          <w:snapToGrid w:val="0"/>
          <w:szCs w:val="22"/>
          <w:lang w:val="en-GB"/>
        </w:rPr>
        <w:t xml:space="preserve">  </w:t>
      </w:r>
      <w:r w:rsidR="00833F5A" w:rsidRPr="00E54A0A">
        <w:rPr>
          <w:bCs/>
          <w:snapToGrid w:val="0"/>
          <w:szCs w:val="22"/>
          <w:lang w:val="en-GB"/>
        </w:rPr>
        <w:t>Noting the consumer comments</w:t>
      </w:r>
      <w:r w:rsidR="006C59DC" w:rsidRPr="00E54A0A">
        <w:rPr>
          <w:bCs/>
          <w:snapToGrid w:val="0"/>
          <w:szCs w:val="22"/>
          <w:lang w:val="en-GB"/>
        </w:rPr>
        <w:t>, sponsor hearing and consumer hearing</w:t>
      </w:r>
      <w:r w:rsidR="00833F5A" w:rsidRPr="00E54A0A">
        <w:rPr>
          <w:bCs/>
          <w:snapToGrid w:val="0"/>
          <w:szCs w:val="22"/>
          <w:lang w:val="en-GB"/>
        </w:rPr>
        <w:t xml:space="preserve"> about the application, </w:t>
      </w:r>
      <w:r w:rsidR="006C59DC" w:rsidRPr="00E54A0A">
        <w:rPr>
          <w:bCs/>
          <w:snapToGrid w:val="0"/>
          <w:szCs w:val="22"/>
          <w:lang w:val="en-GB"/>
        </w:rPr>
        <w:t xml:space="preserve">the PBAC recognised there is a </w:t>
      </w:r>
      <w:r w:rsidR="00CE7785">
        <w:rPr>
          <w:bCs/>
          <w:snapToGrid w:val="0"/>
          <w:szCs w:val="22"/>
          <w:lang w:val="en-GB"/>
        </w:rPr>
        <w:t xml:space="preserve">perceived </w:t>
      </w:r>
      <w:r w:rsidR="006C59DC" w:rsidRPr="00E54A0A">
        <w:rPr>
          <w:bCs/>
          <w:snapToGrid w:val="0"/>
          <w:szCs w:val="22"/>
          <w:lang w:val="en-GB"/>
        </w:rPr>
        <w:t xml:space="preserve">clinical need for </w:t>
      </w:r>
      <w:proofErr w:type="spellStart"/>
      <w:r w:rsidR="006C59DC" w:rsidRPr="00E54A0A">
        <w:rPr>
          <w:bCs/>
          <w:snapToGrid w:val="0"/>
          <w:szCs w:val="22"/>
          <w:lang w:val="en-GB"/>
        </w:rPr>
        <w:t>vedolizumab</w:t>
      </w:r>
      <w:proofErr w:type="spellEnd"/>
      <w:r w:rsidR="006C59DC" w:rsidRPr="00E54A0A">
        <w:rPr>
          <w:bCs/>
          <w:snapToGrid w:val="0"/>
          <w:szCs w:val="22"/>
          <w:lang w:val="en-GB"/>
        </w:rPr>
        <w:t xml:space="preserve"> as alternative treatment in patients with moderate to severe </w:t>
      </w:r>
      <w:r w:rsidR="00D73962">
        <w:rPr>
          <w:bCs/>
          <w:snapToGrid w:val="0"/>
          <w:szCs w:val="22"/>
          <w:lang w:val="en-GB"/>
        </w:rPr>
        <w:t>Crohn’s</w:t>
      </w:r>
      <w:r w:rsidR="006C59DC" w:rsidRPr="00E54A0A">
        <w:rPr>
          <w:bCs/>
          <w:snapToGrid w:val="0"/>
          <w:szCs w:val="22"/>
          <w:lang w:val="en-GB"/>
        </w:rPr>
        <w:t xml:space="preserve"> disease</w:t>
      </w:r>
      <w:r w:rsidR="006C59DC" w:rsidRPr="00E54A0A">
        <w:rPr>
          <w:bCs/>
          <w:szCs w:val="22"/>
          <w:lang w:val="en-GB"/>
        </w:rPr>
        <w:t xml:space="preserve"> following an inadequate response to standard systemic immunosuppressive therapy, given the debilitating nature of the condition</w:t>
      </w:r>
      <w:r w:rsidR="006C59DC" w:rsidRPr="00E54A0A">
        <w:t>.</w:t>
      </w:r>
      <w:r w:rsidR="00644778" w:rsidRPr="00E54A0A">
        <w:t xml:space="preserve"> The PBAC noted t</w:t>
      </w:r>
      <w:r w:rsidR="009631BE" w:rsidRPr="00E54A0A">
        <w:t xml:space="preserve">hat </w:t>
      </w:r>
      <w:proofErr w:type="spellStart"/>
      <w:r w:rsidR="009631BE" w:rsidRPr="00E54A0A">
        <w:t>vedolizumab</w:t>
      </w:r>
      <w:proofErr w:type="spellEnd"/>
      <w:r w:rsidR="009631BE" w:rsidRPr="00E54A0A">
        <w:t xml:space="preserve"> </w:t>
      </w:r>
      <w:r w:rsidR="00CE7785">
        <w:t>may be a</w:t>
      </w:r>
      <w:r w:rsidR="009631BE" w:rsidRPr="00E54A0A">
        <w:t xml:space="preserve"> preferable alternative treatment t</w:t>
      </w:r>
      <w:r w:rsidR="00CE7785">
        <w:t>o</w:t>
      </w:r>
      <w:r w:rsidR="009631BE" w:rsidRPr="00E54A0A">
        <w:t xml:space="preserve"> surgery and patients </w:t>
      </w:r>
      <w:r w:rsidR="009631BE" w:rsidRPr="00E54A0A">
        <w:rPr>
          <w:bCs/>
          <w:snapToGrid w:val="0"/>
          <w:szCs w:val="22"/>
          <w:lang w:val="en-GB"/>
        </w:rPr>
        <w:t xml:space="preserve">would compare the risks and benefits of </w:t>
      </w:r>
      <w:proofErr w:type="spellStart"/>
      <w:r w:rsidR="009631BE" w:rsidRPr="00E54A0A">
        <w:rPr>
          <w:bCs/>
          <w:snapToGrid w:val="0"/>
          <w:szCs w:val="22"/>
          <w:lang w:val="en-GB"/>
        </w:rPr>
        <w:lastRenderedPageBreak/>
        <w:t>vedolizumab</w:t>
      </w:r>
      <w:proofErr w:type="spellEnd"/>
      <w:r w:rsidR="009631BE" w:rsidRPr="00E54A0A">
        <w:rPr>
          <w:bCs/>
          <w:snapToGrid w:val="0"/>
          <w:szCs w:val="22"/>
          <w:lang w:val="en-GB"/>
        </w:rPr>
        <w:t xml:space="preserve"> to surgery, rather than the alternative PBS-subsidised drugs.</w:t>
      </w:r>
      <w:r w:rsidR="009631BE" w:rsidRPr="00E54A0A">
        <w:t xml:space="preserve"> </w:t>
      </w:r>
      <w:r w:rsidR="00644778" w:rsidRPr="00E54A0A">
        <w:t xml:space="preserve">     </w:t>
      </w:r>
    </w:p>
    <w:p w:rsidR="00DB0CD0" w:rsidRPr="00E54A0A" w:rsidRDefault="00DB0CD0" w:rsidP="00644778">
      <w:pPr>
        <w:rPr>
          <w:bCs/>
          <w:snapToGrid w:val="0"/>
          <w:szCs w:val="22"/>
          <w:lang w:val="en-GB"/>
        </w:rPr>
      </w:pPr>
    </w:p>
    <w:p w:rsidR="004901C0" w:rsidRPr="00E54A0A" w:rsidRDefault="00EA35A3" w:rsidP="006B764E">
      <w:pPr>
        <w:numPr>
          <w:ilvl w:val="1"/>
          <w:numId w:val="3"/>
        </w:numPr>
        <w:snapToGrid/>
        <w:contextualSpacing/>
        <w:rPr>
          <w:bCs/>
          <w:snapToGrid w:val="0"/>
          <w:szCs w:val="22"/>
          <w:lang w:val="en-GB"/>
        </w:rPr>
      </w:pPr>
      <w:r w:rsidRPr="00E54A0A">
        <w:rPr>
          <w:bCs/>
          <w:snapToGrid w:val="0"/>
          <w:szCs w:val="22"/>
          <w:lang w:val="en-GB"/>
        </w:rPr>
        <w:t xml:space="preserve">The PBAC </w:t>
      </w:r>
      <w:r w:rsidR="00035955" w:rsidRPr="00E54A0A">
        <w:rPr>
          <w:bCs/>
          <w:snapToGrid w:val="0"/>
          <w:szCs w:val="22"/>
          <w:lang w:val="en-GB"/>
        </w:rPr>
        <w:t>agreed</w:t>
      </w:r>
      <w:r w:rsidRPr="00E54A0A">
        <w:rPr>
          <w:bCs/>
          <w:snapToGrid w:val="0"/>
          <w:szCs w:val="22"/>
          <w:lang w:val="en-GB"/>
        </w:rPr>
        <w:t xml:space="preserve"> that the</w:t>
      </w:r>
      <w:r w:rsidR="004D27EE" w:rsidRPr="00E54A0A">
        <w:rPr>
          <w:bCs/>
          <w:snapToGrid w:val="0"/>
          <w:szCs w:val="22"/>
          <w:lang w:val="en-GB"/>
        </w:rPr>
        <w:t xml:space="preserve"> </w:t>
      </w:r>
      <w:r w:rsidR="00035955" w:rsidRPr="00E54A0A">
        <w:rPr>
          <w:bCs/>
          <w:snapToGrid w:val="0"/>
          <w:szCs w:val="22"/>
          <w:lang w:val="en-GB"/>
        </w:rPr>
        <w:t xml:space="preserve">listing for </w:t>
      </w:r>
      <w:proofErr w:type="spellStart"/>
      <w:r w:rsidR="00035955" w:rsidRPr="00E54A0A">
        <w:rPr>
          <w:bCs/>
          <w:snapToGrid w:val="0"/>
          <w:szCs w:val="22"/>
          <w:lang w:val="en-GB"/>
        </w:rPr>
        <w:t>vedolizumab</w:t>
      </w:r>
      <w:proofErr w:type="spellEnd"/>
      <w:r w:rsidR="00035955" w:rsidRPr="00E54A0A">
        <w:rPr>
          <w:bCs/>
          <w:snapToGrid w:val="0"/>
          <w:szCs w:val="22"/>
          <w:lang w:val="en-GB"/>
        </w:rPr>
        <w:t xml:space="preserve"> should be identical to </w:t>
      </w:r>
      <w:r w:rsidR="007F2FBE" w:rsidRPr="00E54A0A">
        <w:rPr>
          <w:bCs/>
          <w:snapToGrid w:val="0"/>
          <w:szCs w:val="22"/>
          <w:lang w:val="en-GB"/>
        </w:rPr>
        <w:t xml:space="preserve">the adult </w:t>
      </w:r>
      <w:r w:rsidR="00D73962">
        <w:rPr>
          <w:bCs/>
          <w:snapToGrid w:val="0"/>
          <w:szCs w:val="22"/>
          <w:lang w:val="en-GB"/>
        </w:rPr>
        <w:t>Crohn’s</w:t>
      </w:r>
      <w:r w:rsidR="007F2FBE" w:rsidRPr="00E54A0A">
        <w:rPr>
          <w:bCs/>
          <w:snapToGrid w:val="0"/>
          <w:szCs w:val="22"/>
          <w:lang w:val="en-GB"/>
        </w:rPr>
        <w:t xml:space="preserve"> disease restrictions for </w:t>
      </w:r>
      <w:r w:rsidR="00970D25" w:rsidRPr="00E54A0A">
        <w:rPr>
          <w:bCs/>
          <w:snapToGrid w:val="0"/>
          <w:szCs w:val="22"/>
          <w:lang w:val="en-GB"/>
        </w:rPr>
        <w:t>infliximab and adalimumab,</w:t>
      </w:r>
      <w:r w:rsidR="00035955" w:rsidRPr="00E54A0A">
        <w:rPr>
          <w:bCs/>
          <w:snapToGrid w:val="0"/>
          <w:szCs w:val="22"/>
          <w:lang w:val="en-GB"/>
        </w:rPr>
        <w:t xml:space="preserve"> and that the </w:t>
      </w:r>
      <w:r w:rsidR="00C824D1">
        <w:rPr>
          <w:bCs/>
          <w:snapToGrid w:val="0"/>
          <w:szCs w:val="22"/>
          <w:lang w:val="en-GB"/>
        </w:rPr>
        <w:t xml:space="preserve">switching </w:t>
      </w:r>
      <w:r w:rsidR="00035955" w:rsidRPr="00E54A0A">
        <w:rPr>
          <w:bCs/>
          <w:snapToGrid w:val="0"/>
          <w:szCs w:val="22"/>
          <w:lang w:val="en-GB"/>
        </w:rPr>
        <w:t>rules</w:t>
      </w:r>
      <w:r w:rsidR="00890789" w:rsidRPr="00E54A0A">
        <w:rPr>
          <w:bCs/>
          <w:snapToGrid w:val="0"/>
          <w:szCs w:val="22"/>
          <w:lang w:val="en-GB"/>
        </w:rPr>
        <w:t xml:space="preserve"> (swapping criteria)</w:t>
      </w:r>
      <w:r w:rsidR="005A6E17">
        <w:rPr>
          <w:bCs/>
          <w:snapToGrid w:val="0"/>
          <w:szCs w:val="22"/>
          <w:lang w:val="en-GB"/>
        </w:rPr>
        <w:t xml:space="preserve"> within a single treatment cycle</w:t>
      </w:r>
      <w:r w:rsidR="00035955" w:rsidRPr="00E54A0A">
        <w:rPr>
          <w:bCs/>
          <w:snapToGrid w:val="0"/>
          <w:szCs w:val="22"/>
          <w:lang w:val="en-GB"/>
        </w:rPr>
        <w:t xml:space="preserve"> should be the same</w:t>
      </w:r>
      <w:r w:rsidR="00970D25" w:rsidRPr="00E54A0A">
        <w:rPr>
          <w:bCs/>
          <w:snapToGrid w:val="0"/>
          <w:szCs w:val="22"/>
          <w:lang w:val="en-GB"/>
        </w:rPr>
        <w:t>.</w:t>
      </w:r>
      <w:r w:rsidR="00A52A70" w:rsidRPr="00E54A0A">
        <w:rPr>
          <w:bCs/>
          <w:snapToGrid w:val="0"/>
          <w:szCs w:val="22"/>
          <w:lang w:val="en-GB"/>
        </w:rPr>
        <w:t xml:space="preserve">  The Committee agreed that the restriction should allow a total of </w:t>
      </w:r>
      <w:r w:rsidR="00E82436" w:rsidRPr="00E54A0A">
        <w:rPr>
          <w:bCs/>
          <w:snapToGrid w:val="0"/>
          <w:szCs w:val="22"/>
          <w:lang w:val="en-GB"/>
        </w:rPr>
        <w:t>3</w:t>
      </w:r>
      <w:r w:rsidR="00A52A70" w:rsidRPr="00E54A0A">
        <w:rPr>
          <w:bCs/>
          <w:snapToGrid w:val="0"/>
          <w:szCs w:val="22"/>
          <w:lang w:val="en-GB"/>
        </w:rPr>
        <w:t xml:space="preserve"> </w:t>
      </w:r>
      <w:r w:rsidR="00E82436" w:rsidRPr="00E54A0A">
        <w:rPr>
          <w:bCs/>
          <w:snapToGrid w:val="0"/>
          <w:szCs w:val="22"/>
          <w:lang w:val="en-GB"/>
        </w:rPr>
        <w:t>trials</w:t>
      </w:r>
      <w:r w:rsidR="00A52A70" w:rsidRPr="00E54A0A">
        <w:rPr>
          <w:bCs/>
          <w:snapToGrid w:val="0"/>
          <w:szCs w:val="22"/>
          <w:lang w:val="en-GB"/>
        </w:rPr>
        <w:t xml:space="preserve">, where a patient </w:t>
      </w:r>
      <w:r w:rsidR="00ED72AB" w:rsidRPr="00E54A0A">
        <w:rPr>
          <w:bCs/>
          <w:snapToGrid w:val="0"/>
          <w:szCs w:val="22"/>
          <w:lang w:val="en-GB"/>
        </w:rPr>
        <w:t>cannot</w:t>
      </w:r>
      <w:r w:rsidR="00A52A70" w:rsidRPr="00E54A0A">
        <w:rPr>
          <w:bCs/>
          <w:snapToGrid w:val="0"/>
          <w:szCs w:val="22"/>
          <w:lang w:val="en-GB"/>
        </w:rPr>
        <w:t xml:space="preserve"> </w:t>
      </w:r>
      <w:r w:rsidR="00E82436" w:rsidRPr="00E54A0A">
        <w:rPr>
          <w:bCs/>
          <w:snapToGrid w:val="0"/>
          <w:szCs w:val="22"/>
          <w:lang w:val="en-GB"/>
        </w:rPr>
        <w:t xml:space="preserve">trial and fail or, cease to respond to, the same PBS-subsidised </w:t>
      </w:r>
      <w:r w:rsidR="007D35FA" w:rsidRPr="00E54A0A">
        <w:rPr>
          <w:bCs/>
          <w:snapToGrid w:val="0"/>
          <w:szCs w:val="22"/>
          <w:lang w:val="en-GB"/>
        </w:rPr>
        <w:t>bDMARD (TNF-</w:t>
      </w:r>
      <w:r w:rsidR="007D35FA" w:rsidRPr="00E54A0A">
        <w:t>α antagonist or α</w:t>
      </w:r>
      <w:r w:rsidR="007D35FA" w:rsidRPr="00E54A0A">
        <w:rPr>
          <w:bCs/>
          <w:snapToGrid w:val="0"/>
          <w:szCs w:val="22"/>
          <w:lang w:val="en-GB"/>
        </w:rPr>
        <w:t>4-integrin</w:t>
      </w:r>
      <w:r w:rsidR="00AA55DA">
        <w:rPr>
          <w:bCs/>
          <w:snapToGrid w:val="0"/>
          <w:szCs w:val="22"/>
          <w:lang w:val="en-GB"/>
        </w:rPr>
        <w:t xml:space="preserve"> inhibitor</w:t>
      </w:r>
      <w:r w:rsidR="007D35FA" w:rsidRPr="00E54A0A">
        <w:rPr>
          <w:bCs/>
          <w:snapToGrid w:val="0"/>
          <w:szCs w:val="22"/>
          <w:lang w:val="en-GB"/>
        </w:rPr>
        <w:t>)</w:t>
      </w:r>
      <w:r w:rsidR="00E82436" w:rsidRPr="00E54A0A">
        <w:t xml:space="preserve"> more than twice.</w:t>
      </w:r>
      <w:r w:rsidR="00A52A70" w:rsidRPr="00E54A0A">
        <w:rPr>
          <w:bCs/>
          <w:snapToGrid w:val="0"/>
          <w:szCs w:val="22"/>
          <w:lang w:val="en-GB"/>
        </w:rPr>
        <w:t xml:space="preserve">  </w:t>
      </w:r>
      <w:r w:rsidR="00890789" w:rsidRPr="00E54A0A">
        <w:rPr>
          <w:bCs/>
          <w:snapToGrid w:val="0"/>
          <w:szCs w:val="22"/>
          <w:lang w:val="en-GB"/>
        </w:rPr>
        <w:t xml:space="preserve">  </w:t>
      </w:r>
      <w:r w:rsidR="005B07E4" w:rsidRPr="00E54A0A">
        <w:rPr>
          <w:bCs/>
          <w:snapToGrid w:val="0"/>
          <w:szCs w:val="22"/>
          <w:lang w:val="en-GB"/>
        </w:rPr>
        <w:t xml:space="preserve"> </w:t>
      </w:r>
      <w:r w:rsidR="00890789" w:rsidRPr="00E54A0A">
        <w:rPr>
          <w:bCs/>
          <w:snapToGrid w:val="0"/>
          <w:szCs w:val="22"/>
          <w:lang w:val="en-GB"/>
        </w:rPr>
        <w:t xml:space="preserve"> </w:t>
      </w:r>
      <w:r w:rsidR="005B07E4" w:rsidRPr="00E54A0A">
        <w:rPr>
          <w:bCs/>
          <w:snapToGrid w:val="0"/>
          <w:szCs w:val="22"/>
          <w:lang w:val="en-GB"/>
        </w:rPr>
        <w:t xml:space="preserve">   </w:t>
      </w:r>
    </w:p>
    <w:p w:rsidR="00890789" w:rsidRPr="00E54A0A" w:rsidRDefault="00890789" w:rsidP="004156C0">
      <w:pPr>
        <w:rPr>
          <w:bCs/>
          <w:snapToGrid w:val="0"/>
          <w:szCs w:val="22"/>
          <w:lang w:val="en-GB"/>
        </w:rPr>
      </w:pPr>
    </w:p>
    <w:p w:rsidR="00D67174" w:rsidRPr="00E54A0A" w:rsidRDefault="002E17A9" w:rsidP="006B764E">
      <w:pPr>
        <w:numPr>
          <w:ilvl w:val="1"/>
          <w:numId w:val="3"/>
        </w:numPr>
        <w:snapToGrid/>
        <w:contextualSpacing/>
        <w:rPr>
          <w:bCs/>
          <w:snapToGrid w:val="0"/>
          <w:szCs w:val="22"/>
          <w:lang w:val="en-GB"/>
        </w:rPr>
      </w:pPr>
      <w:r w:rsidRPr="00E54A0A">
        <w:rPr>
          <w:bCs/>
          <w:snapToGrid w:val="0"/>
          <w:szCs w:val="22"/>
          <w:lang w:val="en-GB"/>
        </w:rPr>
        <w:t>The PBAC accepted infliximab and adalimumab as the appropriate comparators.</w:t>
      </w:r>
    </w:p>
    <w:p w:rsidR="002E17A9" w:rsidRPr="00E54A0A" w:rsidRDefault="002E17A9" w:rsidP="00A9207C">
      <w:pPr>
        <w:rPr>
          <w:bCs/>
          <w:snapToGrid w:val="0"/>
          <w:szCs w:val="22"/>
          <w:lang w:val="en-GB"/>
        </w:rPr>
      </w:pPr>
    </w:p>
    <w:p w:rsidR="00644778" w:rsidRPr="00E54A0A" w:rsidRDefault="0080374C" w:rsidP="006B764E">
      <w:pPr>
        <w:numPr>
          <w:ilvl w:val="1"/>
          <w:numId w:val="3"/>
        </w:numPr>
        <w:snapToGrid/>
        <w:contextualSpacing/>
        <w:rPr>
          <w:bCs/>
          <w:snapToGrid w:val="0"/>
          <w:szCs w:val="22"/>
          <w:lang w:val="en-GB"/>
        </w:rPr>
      </w:pPr>
      <w:r w:rsidRPr="00E54A0A">
        <w:rPr>
          <w:bCs/>
          <w:snapToGrid w:val="0"/>
          <w:szCs w:val="22"/>
          <w:lang w:val="en-GB"/>
        </w:rPr>
        <w:t>The PBAC considered that the claim of non-inferiority</w:t>
      </w:r>
      <w:r w:rsidR="00DF5D42" w:rsidRPr="00E54A0A">
        <w:rPr>
          <w:bCs/>
          <w:snapToGrid w:val="0"/>
          <w:szCs w:val="22"/>
          <w:lang w:val="en-GB"/>
        </w:rPr>
        <w:t xml:space="preserve"> in terms of comparative efficacy</w:t>
      </w:r>
      <w:r w:rsidR="003A6162" w:rsidRPr="00E54A0A">
        <w:rPr>
          <w:bCs/>
          <w:snapToGrid w:val="0"/>
          <w:szCs w:val="22"/>
          <w:lang w:val="en-GB"/>
        </w:rPr>
        <w:t xml:space="preserve"> </w:t>
      </w:r>
      <w:r w:rsidRPr="00E54A0A">
        <w:rPr>
          <w:bCs/>
          <w:snapToGrid w:val="0"/>
          <w:szCs w:val="22"/>
          <w:lang w:val="en-GB"/>
        </w:rPr>
        <w:t>had not been supported in the submission</w:t>
      </w:r>
      <w:r w:rsidR="00A9207C" w:rsidRPr="00E54A0A">
        <w:rPr>
          <w:bCs/>
          <w:snapToGrid w:val="0"/>
          <w:szCs w:val="22"/>
          <w:lang w:val="en-GB"/>
        </w:rPr>
        <w:t xml:space="preserve"> for </w:t>
      </w:r>
      <w:r w:rsidR="00A61D4F">
        <w:rPr>
          <w:bCs/>
          <w:snapToGrid w:val="0"/>
          <w:szCs w:val="22"/>
          <w:lang w:val="en-GB"/>
        </w:rPr>
        <w:t>the outcome of ‘</w:t>
      </w:r>
      <w:r w:rsidR="00A9207C" w:rsidRPr="00E54A0A">
        <w:rPr>
          <w:bCs/>
          <w:snapToGrid w:val="0"/>
          <w:szCs w:val="22"/>
          <w:lang w:val="en-GB"/>
        </w:rPr>
        <w:t>clinical response</w:t>
      </w:r>
      <w:r w:rsidR="00A61D4F">
        <w:rPr>
          <w:bCs/>
          <w:snapToGrid w:val="0"/>
          <w:szCs w:val="22"/>
          <w:lang w:val="en-GB"/>
        </w:rPr>
        <w:t>’</w:t>
      </w:r>
      <w:r w:rsidR="00A9207C" w:rsidRPr="00E54A0A">
        <w:rPr>
          <w:bCs/>
          <w:snapToGrid w:val="0"/>
          <w:szCs w:val="22"/>
          <w:lang w:val="en-GB"/>
        </w:rPr>
        <w:t xml:space="preserve">, although it </w:t>
      </w:r>
      <w:r w:rsidR="00CE7785">
        <w:rPr>
          <w:bCs/>
          <w:snapToGrid w:val="0"/>
          <w:szCs w:val="22"/>
          <w:lang w:val="en-GB"/>
        </w:rPr>
        <w:t xml:space="preserve">may be </w:t>
      </w:r>
      <w:r w:rsidR="00A9207C" w:rsidRPr="00E54A0A">
        <w:rPr>
          <w:bCs/>
          <w:snapToGrid w:val="0"/>
          <w:szCs w:val="22"/>
          <w:lang w:val="en-GB"/>
        </w:rPr>
        <w:t xml:space="preserve">supported for </w:t>
      </w:r>
      <w:r w:rsidR="00A61D4F">
        <w:rPr>
          <w:bCs/>
          <w:snapToGrid w:val="0"/>
          <w:szCs w:val="22"/>
          <w:lang w:val="en-GB"/>
        </w:rPr>
        <w:t>‘</w:t>
      </w:r>
      <w:r w:rsidR="00A9207C" w:rsidRPr="00E54A0A">
        <w:rPr>
          <w:bCs/>
          <w:snapToGrid w:val="0"/>
          <w:szCs w:val="22"/>
          <w:lang w:val="en-GB"/>
        </w:rPr>
        <w:t>clinical remission</w:t>
      </w:r>
      <w:r w:rsidR="00A61D4F">
        <w:rPr>
          <w:bCs/>
          <w:snapToGrid w:val="0"/>
          <w:szCs w:val="22"/>
          <w:lang w:val="en-GB"/>
        </w:rPr>
        <w:t>’</w:t>
      </w:r>
      <w:r w:rsidRPr="00E54A0A">
        <w:rPr>
          <w:bCs/>
          <w:snapToGrid w:val="0"/>
          <w:szCs w:val="22"/>
          <w:lang w:val="en-GB"/>
        </w:rPr>
        <w:t xml:space="preserve">. </w:t>
      </w:r>
      <w:r w:rsidR="002E17A9" w:rsidRPr="00E54A0A">
        <w:rPr>
          <w:bCs/>
          <w:snapToGrid w:val="0"/>
          <w:szCs w:val="22"/>
          <w:lang w:val="en-GB"/>
        </w:rPr>
        <w:t>The PBAC noted the results of the</w:t>
      </w:r>
      <w:r w:rsidR="004156C0" w:rsidRPr="00E54A0A">
        <w:rPr>
          <w:bCs/>
          <w:snapToGrid w:val="0"/>
          <w:szCs w:val="22"/>
          <w:lang w:val="en-GB"/>
        </w:rPr>
        <w:t xml:space="preserve"> </w:t>
      </w:r>
      <w:r w:rsidR="002E17A9" w:rsidRPr="00E54A0A">
        <w:rPr>
          <w:bCs/>
          <w:snapToGrid w:val="0"/>
          <w:szCs w:val="22"/>
          <w:lang w:val="en-GB"/>
        </w:rPr>
        <w:t xml:space="preserve">indirect comparisons between </w:t>
      </w:r>
      <w:proofErr w:type="spellStart"/>
      <w:r w:rsidR="002E17A9" w:rsidRPr="00E54A0A">
        <w:rPr>
          <w:bCs/>
          <w:snapToGrid w:val="0"/>
          <w:szCs w:val="22"/>
          <w:lang w:val="en-GB"/>
        </w:rPr>
        <w:t>vedolizumab</w:t>
      </w:r>
      <w:proofErr w:type="spellEnd"/>
      <w:r w:rsidR="00795C63" w:rsidRPr="00E54A0A">
        <w:rPr>
          <w:bCs/>
          <w:snapToGrid w:val="0"/>
          <w:szCs w:val="22"/>
          <w:lang w:val="en-GB"/>
        </w:rPr>
        <w:t xml:space="preserve"> (GEMINI II and III)</w:t>
      </w:r>
      <w:r w:rsidR="002E17A9" w:rsidRPr="00E54A0A">
        <w:rPr>
          <w:bCs/>
          <w:snapToGrid w:val="0"/>
          <w:szCs w:val="22"/>
          <w:lang w:val="en-GB"/>
        </w:rPr>
        <w:t xml:space="preserve"> and </w:t>
      </w:r>
      <w:r w:rsidR="00795C63" w:rsidRPr="00E54A0A">
        <w:rPr>
          <w:bCs/>
          <w:snapToGrid w:val="0"/>
          <w:szCs w:val="22"/>
          <w:lang w:val="en-GB"/>
        </w:rPr>
        <w:t>infliximab (T16 and ACCENT I)</w:t>
      </w:r>
      <w:r w:rsidR="00630EF0" w:rsidRPr="00E54A0A">
        <w:rPr>
          <w:bCs/>
          <w:snapToGrid w:val="0"/>
          <w:szCs w:val="22"/>
          <w:lang w:val="en-GB"/>
        </w:rPr>
        <w:t xml:space="preserve"> and </w:t>
      </w:r>
      <w:r w:rsidR="00C52663" w:rsidRPr="00E54A0A">
        <w:rPr>
          <w:bCs/>
          <w:snapToGrid w:val="0"/>
          <w:szCs w:val="22"/>
          <w:lang w:val="en-GB"/>
        </w:rPr>
        <w:t>against adalimumab (CLASSIC I,</w:t>
      </w:r>
      <w:r w:rsidR="002D7AD7" w:rsidRPr="00E54A0A">
        <w:rPr>
          <w:bCs/>
          <w:snapToGrid w:val="0"/>
          <w:szCs w:val="22"/>
          <w:lang w:val="en-GB"/>
        </w:rPr>
        <w:t xml:space="preserve"> CLASSIC II,</w:t>
      </w:r>
      <w:r w:rsidR="00C52663" w:rsidRPr="00E54A0A">
        <w:rPr>
          <w:bCs/>
          <w:snapToGrid w:val="0"/>
          <w:szCs w:val="22"/>
          <w:lang w:val="en-GB"/>
        </w:rPr>
        <w:t xml:space="preserve"> </w:t>
      </w:r>
      <w:r w:rsidR="00CC49E0" w:rsidRPr="00E54A0A">
        <w:rPr>
          <w:bCs/>
          <w:snapToGrid w:val="0"/>
          <w:szCs w:val="22"/>
          <w:lang w:val="en-GB"/>
        </w:rPr>
        <w:t xml:space="preserve">GAIN, </w:t>
      </w:r>
      <w:r w:rsidR="00C52663" w:rsidRPr="00E54A0A">
        <w:rPr>
          <w:bCs/>
          <w:snapToGrid w:val="0"/>
          <w:szCs w:val="22"/>
          <w:lang w:val="en-GB"/>
        </w:rPr>
        <w:t>CHARM</w:t>
      </w:r>
      <w:r w:rsidR="00CC49E0" w:rsidRPr="00E54A0A">
        <w:rPr>
          <w:bCs/>
          <w:snapToGrid w:val="0"/>
          <w:szCs w:val="22"/>
          <w:lang w:val="en-GB"/>
        </w:rPr>
        <w:t xml:space="preserve"> and Watanabe</w:t>
      </w:r>
      <w:r w:rsidR="00C52663" w:rsidRPr="00E54A0A">
        <w:rPr>
          <w:bCs/>
          <w:snapToGrid w:val="0"/>
          <w:szCs w:val="22"/>
          <w:lang w:val="en-GB"/>
        </w:rPr>
        <w:t>)</w:t>
      </w:r>
      <w:r w:rsidR="00795C63" w:rsidRPr="00E54A0A">
        <w:rPr>
          <w:bCs/>
          <w:snapToGrid w:val="0"/>
          <w:szCs w:val="22"/>
          <w:lang w:val="en-GB"/>
        </w:rPr>
        <w:t>.</w:t>
      </w:r>
      <w:r w:rsidR="00C52663" w:rsidRPr="00E54A0A">
        <w:rPr>
          <w:bCs/>
          <w:snapToGrid w:val="0"/>
          <w:szCs w:val="22"/>
          <w:lang w:val="en-GB"/>
        </w:rPr>
        <w:t xml:space="preserve">  The PBAC noted the</w:t>
      </w:r>
      <w:r w:rsidR="00137D06" w:rsidRPr="00E54A0A">
        <w:rPr>
          <w:bCs/>
          <w:snapToGrid w:val="0"/>
          <w:szCs w:val="22"/>
          <w:lang w:val="en-GB"/>
        </w:rPr>
        <w:t xml:space="preserve"> clinical</w:t>
      </w:r>
      <w:r w:rsidR="00C52663" w:rsidRPr="00E54A0A">
        <w:rPr>
          <w:bCs/>
          <w:snapToGrid w:val="0"/>
          <w:szCs w:val="22"/>
          <w:lang w:val="en-GB"/>
        </w:rPr>
        <w:t xml:space="preserve"> </w:t>
      </w:r>
      <w:r w:rsidR="00137D06" w:rsidRPr="00E54A0A">
        <w:rPr>
          <w:bCs/>
          <w:snapToGrid w:val="0"/>
          <w:szCs w:val="22"/>
          <w:lang w:val="en-GB"/>
        </w:rPr>
        <w:t>issue</w:t>
      </w:r>
      <w:r w:rsidR="00C52663" w:rsidRPr="00E54A0A">
        <w:rPr>
          <w:bCs/>
          <w:snapToGrid w:val="0"/>
          <w:szCs w:val="22"/>
          <w:lang w:val="en-GB"/>
        </w:rPr>
        <w:t xml:space="preserve">s </w:t>
      </w:r>
      <w:proofErr w:type="gramStart"/>
      <w:r w:rsidR="00C52663" w:rsidRPr="00E54A0A">
        <w:rPr>
          <w:bCs/>
          <w:snapToGrid w:val="0"/>
          <w:szCs w:val="22"/>
          <w:lang w:val="en-GB"/>
        </w:rPr>
        <w:t>raised</w:t>
      </w:r>
      <w:proofErr w:type="gramEnd"/>
      <w:r w:rsidR="00C52663" w:rsidRPr="00E54A0A">
        <w:rPr>
          <w:bCs/>
          <w:snapToGrid w:val="0"/>
          <w:szCs w:val="22"/>
          <w:lang w:val="en-GB"/>
        </w:rPr>
        <w:t xml:space="preserve"> by ESC and</w:t>
      </w:r>
      <w:r w:rsidR="00A9207C" w:rsidRPr="00E54A0A">
        <w:t xml:space="preserve"> considered that the trial data for the comparator infliximab had extremely wide confidence intervals and small patient numbers making the indirect comparison unreliable. </w:t>
      </w:r>
      <w:r w:rsidR="001D4A7D" w:rsidRPr="00E54A0A">
        <w:t xml:space="preserve"> </w:t>
      </w:r>
      <w:r w:rsidR="00B2787E" w:rsidRPr="00E54A0A">
        <w:t xml:space="preserve">Further, the </w:t>
      </w:r>
      <w:r w:rsidR="001D4A7D" w:rsidRPr="00E54A0A">
        <w:t xml:space="preserve">PBAC </w:t>
      </w:r>
      <w:r w:rsidR="00A260EF" w:rsidRPr="00E54A0A">
        <w:t xml:space="preserve">noted </w:t>
      </w:r>
      <w:r w:rsidR="001D4A7D" w:rsidRPr="00E54A0A">
        <w:t xml:space="preserve">that the </w:t>
      </w:r>
      <w:r w:rsidRPr="00E54A0A">
        <w:t>data</w:t>
      </w:r>
      <w:r w:rsidR="004D4F6A" w:rsidRPr="00E54A0A">
        <w:t xml:space="preserve"> were of poor quality and </w:t>
      </w:r>
      <w:r w:rsidR="000F3FDF" w:rsidRPr="00E54A0A">
        <w:t>that it was difficult to obtain a meaningful interpretation of non-inferiority due to the use of the indirect compariso</w:t>
      </w:r>
      <w:r w:rsidR="00A61D4F">
        <w:t>n</w:t>
      </w:r>
      <w:r w:rsidR="000F3FDF" w:rsidRPr="00E54A0A">
        <w:t xml:space="preserve"> in the submission.</w:t>
      </w:r>
      <w:r w:rsidR="00244185" w:rsidRPr="00E54A0A">
        <w:t xml:space="preserve"> The PBAC also </w:t>
      </w:r>
      <w:r w:rsidR="00B2787E" w:rsidRPr="00E54A0A">
        <w:t xml:space="preserve">noted </w:t>
      </w:r>
      <w:r w:rsidR="00244185" w:rsidRPr="00E54A0A">
        <w:t>that there were exchangeability issues</w:t>
      </w:r>
      <w:r w:rsidR="003A52A0" w:rsidRPr="00E54A0A">
        <w:t xml:space="preserve"> between the </w:t>
      </w:r>
      <w:proofErr w:type="spellStart"/>
      <w:r w:rsidR="003A52A0" w:rsidRPr="00E54A0A">
        <w:t>vedolizumab</w:t>
      </w:r>
      <w:proofErr w:type="spellEnd"/>
      <w:r w:rsidR="003A52A0" w:rsidRPr="00E54A0A">
        <w:t xml:space="preserve"> and infliximab and adalimumab </w:t>
      </w:r>
      <w:r w:rsidR="00244185" w:rsidRPr="00E54A0A">
        <w:t xml:space="preserve">trials. </w:t>
      </w:r>
      <w:r w:rsidR="000F3FDF" w:rsidRPr="00E54A0A">
        <w:t xml:space="preserve"> </w:t>
      </w:r>
      <w:r w:rsidR="000F77A8" w:rsidRPr="00E54A0A">
        <w:t>The</w:t>
      </w:r>
      <w:r w:rsidR="009631BE" w:rsidRPr="00E54A0A">
        <w:t xml:space="preserve"> </w:t>
      </w:r>
      <w:r w:rsidR="00FC4075" w:rsidRPr="00E54A0A">
        <w:t xml:space="preserve">sponsor in its Pre-PBAC Response and the clinician in the sponsor hearing </w:t>
      </w:r>
      <w:r w:rsidR="009631BE" w:rsidRPr="00E54A0A">
        <w:t xml:space="preserve">maintained that </w:t>
      </w:r>
      <w:proofErr w:type="spellStart"/>
      <w:r w:rsidR="009631BE" w:rsidRPr="00E54A0A">
        <w:t>vedolizumab</w:t>
      </w:r>
      <w:proofErr w:type="spellEnd"/>
      <w:r w:rsidR="009631BE" w:rsidRPr="00E54A0A">
        <w:t xml:space="preserve"> is non-inferior in clinical remission </w:t>
      </w:r>
      <w:r w:rsidR="00FC4075" w:rsidRPr="00E54A0A">
        <w:t>and that this was the most relevant patient outcome</w:t>
      </w:r>
      <w:r w:rsidR="009631BE" w:rsidRPr="00E54A0A">
        <w:t>.</w:t>
      </w:r>
      <w:r w:rsidR="008242E0">
        <w:t xml:space="preserve">  The PBAC </w:t>
      </w:r>
      <w:r w:rsidR="00FC4075" w:rsidRPr="00E54A0A">
        <w:t xml:space="preserve">considered that </w:t>
      </w:r>
      <w:r w:rsidR="005B4BFE" w:rsidRPr="00E54A0A">
        <w:t xml:space="preserve">despite the problems </w:t>
      </w:r>
      <w:r w:rsidR="00A61D4F">
        <w:t>with</w:t>
      </w:r>
      <w:r w:rsidR="005B4BFE" w:rsidRPr="00E54A0A">
        <w:t xml:space="preserve"> the indirect comparison,</w:t>
      </w:r>
      <w:r w:rsidR="00FC4075" w:rsidRPr="00E54A0A">
        <w:t xml:space="preserve"> the PBAC </w:t>
      </w:r>
      <w:r w:rsidR="00A87116" w:rsidRPr="00E54A0A">
        <w:t>w</w:t>
      </w:r>
      <w:r w:rsidR="00A87116">
        <w:t>as</w:t>
      </w:r>
      <w:r w:rsidR="00A87116" w:rsidRPr="00E54A0A">
        <w:t xml:space="preserve"> </w:t>
      </w:r>
      <w:r w:rsidR="00FC4075" w:rsidRPr="00E54A0A">
        <w:t>satisfied that</w:t>
      </w:r>
      <w:r w:rsidR="00A87116">
        <w:t>, on balance,</w:t>
      </w:r>
      <w:r w:rsidR="00FC4075" w:rsidRPr="00E54A0A">
        <w:t xml:space="preserve"> </w:t>
      </w:r>
      <w:proofErr w:type="spellStart"/>
      <w:r w:rsidR="00FC4075" w:rsidRPr="00E54A0A">
        <w:t>vedolizumab</w:t>
      </w:r>
      <w:proofErr w:type="spellEnd"/>
      <w:r w:rsidR="00FC4075" w:rsidRPr="00E54A0A">
        <w:t xml:space="preserve"> </w:t>
      </w:r>
      <w:r w:rsidR="00785573">
        <w:t>may</w:t>
      </w:r>
      <w:r w:rsidR="00FC4075" w:rsidRPr="00E54A0A">
        <w:t xml:space="preserve"> be a reasonable alternative to infliximab and adalimumab.    </w:t>
      </w:r>
      <w:r w:rsidR="000F77A8" w:rsidRPr="00E54A0A">
        <w:t xml:space="preserve">    </w:t>
      </w:r>
    </w:p>
    <w:p w:rsidR="00644778" w:rsidRPr="00E54A0A" w:rsidRDefault="00644778" w:rsidP="000F77A8">
      <w:pPr>
        <w:rPr>
          <w:bCs/>
          <w:snapToGrid w:val="0"/>
          <w:szCs w:val="22"/>
          <w:lang w:val="en-GB"/>
        </w:rPr>
      </w:pPr>
    </w:p>
    <w:p w:rsidR="000D48A3" w:rsidRPr="00E54A0A" w:rsidRDefault="000D48A3" w:rsidP="006B764E">
      <w:pPr>
        <w:numPr>
          <w:ilvl w:val="1"/>
          <w:numId w:val="3"/>
        </w:numPr>
        <w:snapToGrid/>
        <w:contextualSpacing/>
        <w:rPr>
          <w:bCs/>
          <w:snapToGrid w:val="0"/>
          <w:szCs w:val="22"/>
          <w:lang w:val="en-GB"/>
        </w:rPr>
      </w:pPr>
      <w:r w:rsidRPr="00E54A0A">
        <w:rPr>
          <w:bCs/>
          <w:snapToGrid w:val="0"/>
          <w:szCs w:val="22"/>
          <w:lang w:val="en-GB"/>
        </w:rPr>
        <w:t xml:space="preserve">The PBAC also considered the subgroup analyses of </w:t>
      </w:r>
      <w:proofErr w:type="spellStart"/>
      <w:r w:rsidRPr="00E54A0A">
        <w:t>vedolizumab</w:t>
      </w:r>
      <w:proofErr w:type="spellEnd"/>
      <w:r w:rsidRPr="00E54A0A">
        <w:t xml:space="preserve"> against placebo in TNF-α antagonist naïve and TNF-α antagonist experienced groups. The PBAC agreed with ESC that the sub-group analyses did not suggest a clear difference in treatment effect between TNF-α antagonist naïve patients and TNF-α antagonist experienced patients.  </w:t>
      </w:r>
    </w:p>
    <w:p w:rsidR="000D48A3" w:rsidRPr="00E54A0A" w:rsidRDefault="000D48A3" w:rsidP="000D48A3">
      <w:pPr>
        <w:pStyle w:val="ListParagraph"/>
        <w:rPr>
          <w:bCs/>
          <w:snapToGrid w:val="0"/>
          <w:szCs w:val="22"/>
          <w:lang w:val="en-GB"/>
        </w:rPr>
      </w:pPr>
    </w:p>
    <w:p w:rsidR="00116301" w:rsidRPr="00E54A0A" w:rsidRDefault="000D48A3" w:rsidP="006B764E">
      <w:pPr>
        <w:numPr>
          <w:ilvl w:val="1"/>
          <w:numId w:val="3"/>
        </w:numPr>
        <w:snapToGrid/>
        <w:contextualSpacing/>
        <w:rPr>
          <w:bCs/>
          <w:snapToGrid w:val="0"/>
          <w:szCs w:val="22"/>
          <w:lang w:val="en-GB"/>
        </w:rPr>
      </w:pPr>
      <w:r w:rsidRPr="00E54A0A">
        <w:rPr>
          <w:bCs/>
          <w:snapToGrid w:val="0"/>
          <w:szCs w:val="22"/>
          <w:lang w:val="en-GB"/>
        </w:rPr>
        <w:t xml:space="preserve">The PBAC noted that in terms of comparative safety, serious adverse events were more likely to be experienced in patients treated with </w:t>
      </w:r>
      <w:proofErr w:type="spellStart"/>
      <w:r w:rsidRPr="00E54A0A">
        <w:rPr>
          <w:bCs/>
          <w:snapToGrid w:val="0"/>
          <w:szCs w:val="22"/>
          <w:lang w:val="en-GB"/>
        </w:rPr>
        <w:t>vedolizumab</w:t>
      </w:r>
      <w:proofErr w:type="spellEnd"/>
      <w:r w:rsidRPr="00E54A0A">
        <w:rPr>
          <w:bCs/>
          <w:snapToGrid w:val="0"/>
          <w:szCs w:val="22"/>
          <w:lang w:val="en-GB"/>
        </w:rPr>
        <w:t xml:space="preserve"> than infliximab or adalimumab.  The PBAC noted the theoretical risk of developing PML with </w:t>
      </w:r>
      <w:proofErr w:type="spellStart"/>
      <w:r w:rsidRPr="00E54A0A">
        <w:rPr>
          <w:bCs/>
          <w:snapToGrid w:val="0"/>
          <w:szCs w:val="22"/>
          <w:lang w:val="en-GB"/>
        </w:rPr>
        <w:t>vedolizumab</w:t>
      </w:r>
      <w:proofErr w:type="spellEnd"/>
      <w:r w:rsidRPr="00E54A0A">
        <w:rPr>
          <w:bCs/>
          <w:snapToGrid w:val="0"/>
          <w:szCs w:val="22"/>
          <w:lang w:val="en-GB"/>
        </w:rPr>
        <w:t xml:space="preserve"> treatment as this is in the same class as </w:t>
      </w:r>
      <w:proofErr w:type="spellStart"/>
      <w:r w:rsidRPr="00E54A0A">
        <w:rPr>
          <w:bCs/>
          <w:snapToGrid w:val="0"/>
          <w:szCs w:val="22"/>
          <w:lang w:val="en-GB"/>
        </w:rPr>
        <w:t>natalizumab</w:t>
      </w:r>
      <w:proofErr w:type="spellEnd"/>
      <w:r w:rsidRPr="00E54A0A">
        <w:rPr>
          <w:bCs/>
          <w:snapToGrid w:val="0"/>
          <w:szCs w:val="22"/>
          <w:lang w:val="en-GB"/>
        </w:rPr>
        <w:t>.</w:t>
      </w:r>
      <w:r w:rsidR="009F6377" w:rsidRPr="00E54A0A">
        <w:rPr>
          <w:bCs/>
          <w:snapToGrid w:val="0"/>
          <w:szCs w:val="22"/>
          <w:lang w:val="en-GB"/>
        </w:rPr>
        <w:t xml:space="preserve">  </w:t>
      </w:r>
      <w:r w:rsidR="009F6377" w:rsidRPr="00E54A0A">
        <w:rPr>
          <w:bCs/>
          <w:szCs w:val="22"/>
          <w:lang w:val="en-GB"/>
        </w:rPr>
        <w:t>The PBAC noted that the submission described the Risk Management Plan used in the GEMINI I</w:t>
      </w:r>
      <w:r w:rsidR="001C05DE" w:rsidRPr="00E54A0A">
        <w:rPr>
          <w:bCs/>
          <w:szCs w:val="22"/>
          <w:lang w:val="en-GB"/>
        </w:rPr>
        <w:t>I and GEMINI III</w:t>
      </w:r>
      <w:r w:rsidR="009F6377" w:rsidRPr="00E54A0A">
        <w:rPr>
          <w:bCs/>
          <w:szCs w:val="22"/>
          <w:lang w:val="en-GB"/>
        </w:rPr>
        <w:t xml:space="preserve"> trial</w:t>
      </w:r>
      <w:r w:rsidR="001C05DE" w:rsidRPr="00E54A0A">
        <w:rPr>
          <w:bCs/>
          <w:szCs w:val="22"/>
          <w:lang w:val="en-GB"/>
        </w:rPr>
        <w:t xml:space="preserve">s and the potential screening and monitoring plan for PML risk.  </w:t>
      </w:r>
      <w:r w:rsidR="00B2787E" w:rsidRPr="00E54A0A">
        <w:rPr>
          <w:bCs/>
          <w:szCs w:val="22"/>
          <w:lang w:val="en-GB"/>
        </w:rPr>
        <w:t xml:space="preserve">The PBAC considered the submission’s and sponsor hearing arguments about the risk of PML being </w:t>
      </w:r>
      <w:r w:rsidR="00785573">
        <w:rPr>
          <w:bCs/>
          <w:szCs w:val="22"/>
          <w:lang w:val="en-GB"/>
        </w:rPr>
        <w:t xml:space="preserve">very low (given the gut selective mechanism), and </w:t>
      </w:r>
      <w:r w:rsidR="00FF22F6">
        <w:rPr>
          <w:bCs/>
          <w:szCs w:val="22"/>
          <w:lang w:val="en-GB"/>
        </w:rPr>
        <w:t>acknowledged</w:t>
      </w:r>
      <w:r w:rsidR="00235408">
        <w:rPr>
          <w:bCs/>
          <w:szCs w:val="22"/>
          <w:lang w:val="en-GB"/>
        </w:rPr>
        <w:t xml:space="preserve"> </w:t>
      </w:r>
      <w:r w:rsidR="00785573">
        <w:rPr>
          <w:bCs/>
          <w:szCs w:val="22"/>
          <w:lang w:val="en-GB"/>
        </w:rPr>
        <w:t xml:space="preserve">that </w:t>
      </w:r>
      <w:r w:rsidR="00B2787E" w:rsidRPr="00E54A0A">
        <w:rPr>
          <w:bCs/>
          <w:szCs w:val="22"/>
          <w:lang w:val="en-GB"/>
        </w:rPr>
        <w:t xml:space="preserve">no cases of PML have </w:t>
      </w:r>
      <w:r w:rsidR="005516CA">
        <w:rPr>
          <w:bCs/>
          <w:szCs w:val="22"/>
          <w:lang w:val="en-GB"/>
        </w:rPr>
        <w:t>been reported</w:t>
      </w:r>
      <w:r w:rsidR="005516CA" w:rsidRPr="00E54A0A" w:rsidDel="005B62C5">
        <w:rPr>
          <w:bCs/>
          <w:szCs w:val="22"/>
          <w:lang w:val="en-GB"/>
        </w:rPr>
        <w:t xml:space="preserve"> </w:t>
      </w:r>
      <w:r w:rsidR="00B2787E" w:rsidRPr="00E54A0A">
        <w:rPr>
          <w:bCs/>
          <w:szCs w:val="22"/>
          <w:lang w:val="en-GB"/>
        </w:rPr>
        <w:t xml:space="preserve">so far.  </w:t>
      </w:r>
      <w:r w:rsidR="001C05DE" w:rsidRPr="00E54A0A">
        <w:rPr>
          <w:bCs/>
          <w:szCs w:val="22"/>
          <w:lang w:val="en-GB"/>
        </w:rPr>
        <w:t>The PBAC</w:t>
      </w:r>
      <w:r w:rsidR="009F6377" w:rsidRPr="00E54A0A">
        <w:rPr>
          <w:bCs/>
          <w:szCs w:val="22"/>
          <w:lang w:val="en-GB"/>
        </w:rPr>
        <w:t xml:space="preserve"> </w:t>
      </w:r>
      <w:r w:rsidR="00A61D4F">
        <w:rPr>
          <w:bCs/>
          <w:snapToGrid w:val="0"/>
          <w:szCs w:val="22"/>
          <w:lang w:val="en-GB"/>
        </w:rPr>
        <w:t xml:space="preserve">recommended </w:t>
      </w:r>
      <w:r w:rsidRPr="00E54A0A">
        <w:rPr>
          <w:bCs/>
          <w:snapToGrid w:val="0"/>
          <w:szCs w:val="22"/>
          <w:lang w:val="en-GB"/>
        </w:rPr>
        <w:t>that the restriction include a requirement for patients to undergo screening and ongoing monitoring for PML</w:t>
      </w:r>
      <w:r w:rsidR="002050C5">
        <w:rPr>
          <w:bCs/>
          <w:snapToGrid w:val="0"/>
          <w:szCs w:val="22"/>
          <w:lang w:val="en-GB"/>
        </w:rPr>
        <w:t xml:space="preserve"> (paragraph 2.7</w:t>
      </w:r>
      <w:r w:rsidR="00DC2F11" w:rsidRPr="00E54A0A">
        <w:rPr>
          <w:bCs/>
          <w:snapToGrid w:val="0"/>
          <w:szCs w:val="22"/>
          <w:lang w:val="en-GB"/>
        </w:rPr>
        <w:t>)</w:t>
      </w:r>
      <w:r w:rsidR="00A61D4F">
        <w:rPr>
          <w:bCs/>
          <w:snapToGrid w:val="0"/>
          <w:szCs w:val="22"/>
          <w:lang w:val="en-GB"/>
        </w:rPr>
        <w:t xml:space="preserve"> as proposed in the submission</w:t>
      </w:r>
      <w:r w:rsidRPr="00E54A0A">
        <w:rPr>
          <w:bCs/>
          <w:snapToGrid w:val="0"/>
          <w:szCs w:val="22"/>
          <w:lang w:val="en-GB"/>
        </w:rPr>
        <w:t xml:space="preserve">. </w:t>
      </w:r>
    </w:p>
    <w:p w:rsidR="004D0F40" w:rsidRPr="00E54A0A" w:rsidRDefault="004D0F40" w:rsidP="004D0F40">
      <w:pPr>
        <w:snapToGrid/>
        <w:contextualSpacing/>
        <w:rPr>
          <w:bCs/>
          <w:snapToGrid w:val="0"/>
          <w:szCs w:val="22"/>
          <w:lang w:val="en-GB"/>
        </w:rPr>
      </w:pPr>
    </w:p>
    <w:p w:rsidR="00F963A0" w:rsidRPr="00E54A0A" w:rsidRDefault="00DF5D42" w:rsidP="006B764E">
      <w:pPr>
        <w:numPr>
          <w:ilvl w:val="1"/>
          <w:numId w:val="3"/>
        </w:numPr>
        <w:snapToGrid/>
        <w:contextualSpacing/>
        <w:rPr>
          <w:bCs/>
          <w:snapToGrid w:val="0"/>
          <w:szCs w:val="22"/>
          <w:lang w:val="en-GB"/>
        </w:rPr>
      </w:pPr>
      <w:r w:rsidRPr="00E54A0A">
        <w:rPr>
          <w:bCs/>
          <w:snapToGrid w:val="0"/>
          <w:szCs w:val="22"/>
          <w:lang w:val="en-GB"/>
        </w:rPr>
        <w:t>The PBAC considered the cost-minimisation analysis</w:t>
      </w:r>
      <w:r w:rsidR="004E5602" w:rsidRPr="00E54A0A">
        <w:rPr>
          <w:bCs/>
          <w:snapToGrid w:val="0"/>
          <w:szCs w:val="22"/>
          <w:lang w:val="en-GB"/>
        </w:rPr>
        <w:t xml:space="preserve"> of </w:t>
      </w:r>
      <w:proofErr w:type="spellStart"/>
      <w:r w:rsidR="004E5602" w:rsidRPr="00E54A0A">
        <w:rPr>
          <w:bCs/>
          <w:snapToGrid w:val="0"/>
          <w:szCs w:val="22"/>
          <w:lang w:val="en-GB"/>
        </w:rPr>
        <w:t>vedolizumab</w:t>
      </w:r>
      <w:proofErr w:type="spellEnd"/>
      <w:r w:rsidR="004E5602" w:rsidRPr="00E54A0A">
        <w:rPr>
          <w:bCs/>
          <w:snapToGrid w:val="0"/>
          <w:szCs w:val="22"/>
          <w:lang w:val="en-GB"/>
        </w:rPr>
        <w:t xml:space="preserve"> against infliximab and adalimumab.  The PBAC agreed with ESC that the cost of managing the theoretical risk of PML should be included in the analysis</w:t>
      </w:r>
      <w:r w:rsidR="00506D56" w:rsidRPr="00E54A0A">
        <w:rPr>
          <w:bCs/>
          <w:snapToGrid w:val="0"/>
          <w:szCs w:val="22"/>
          <w:lang w:val="en-GB"/>
        </w:rPr>
        <w:t xml:space="preserve">.  </w:t>
      </w:r>
      <w:r w:rsidR="00BE0BE9" w:rsidRPr="00E54A0A">
        <w:rPr>
          <w:bCs/>
          <w:snapToGrid w:val="0"/>
          <w:szCs w:val="22"/>
          <w:lang w:val="en-GB"/>
        </w:rPr>
        <w:t xml:space="preserve">The PBAC </w:t>
      </w:r>
      <w:r w:rsidR="00FC0CC5">
        <w:rPr>
          <w:bCs/>
          <w:szCs w:val="22"/>
          <w:lang w:val="en-GB"/>
        </w:rPr>
        <w:t xml:space="preserve">considered </w:t>
      </w:r>
      <w:r w:rsidR="0079537F">
        <w:rPr>
          <w:bCs/>
          <w:szCs w:val="22"/>
          <w:lang w:val="en-GB"/>
        </w:rPr>
        <w:t xml:space="preserve">that </w:t>
      </w:r>
      <w:r w:rsidR="00BE0BE9" w:rsidRPr="00E54A0A">
        <w:rPr>
          <w:bCs/>
          <w:szCs w:val="22"/>
          <w:lang w:val="en-GB"/>
        </w:rPr>
        <w:t xml:space="preserve">the cost of managing screening and monitoring for PML </w:t>
      </w:r>
      <w:r w:rsidR="00FC0CC5">
        <w:rPr>
          <w:bCs/>
          <w:szCs w:val="22"/>
          <w:lang w:val="en-GB"/>
        </w:rPr>
        <w:t>should be included</w:t>
      </w:r>
      <w:r w:rsidR="00BE0BE9" w:rsidRPr="00E54A0A">
        <w:rPr>
          <w:bCs/>
          <w:szCs w:val="22"/>
          <w:lang w:val="en-GB"/>
        </w:rPr>
        <w:t xml:space="preserve"> in </w:t>
      </w:r>
      <w:r w:rsidR="00BE0BE9" w:rsidRPr="00E54A0A">
        <w:rPr>
          <w:bCs/>
          <w:szCs w:val="22"/>
          <w:lang w:val="en-GB"/>
        </w:rPr>
        <w:lastRenderedPageBreak/>
        <w:t xml:space="preserve">calculating the price for </w:t>
      </w:r>
      <w:proofErr w:type="spellStart"/>
      <w:r w:rsidR="00BE0BE9" w:rsidRPr="00E54A0A">
        <w:rPr>
          <w:bCs/>
          <w:szCs w:val="22"/>
          <w:lang w:val="en-GB"/>
        </w:rPr>
        <w:t>vedolizumab</w:t>
      </w:r>
      <w:proofErr w:type="spellEnd"/>
      <w:r w:rsidR="00BE0BE9" w:rsidRPr="00E54A0A">
        <w:rPr>
          <w:bCs/>
          <w:szCs w:val="22"/>
          <w:lang w:val="en-GB"/>
        </w:rPr>
        <w:t xml:space="preserve">. </w:t>
      </w:r>
    </w:p>
    <w:p w:rsidR="007C402C" w:rsidRPr="00E54A0A" w:rsidRDefault="007C402C" w:rsidP="007C402C">
      <w:pPr>
        <w:pStyle w:val="ListParagraph"/>
        <w:rPr>
          <w:bCs/>
          <w:snapToGrid w:val="0"/>
          <w:szCs w:val="22"/>
          <w:lang w:val="en-GB"/>
        </w:rPr>
      </w:pPr>
    </w:p>
    <w:p w:rsidR="00C4754D" w:rsidRDefault="004901C0" w:rsidP="002D05A3">
      <w:pPr>
        <w:numPr>
          <w:ilvl w:val="1"/>
          <w:numId w:val="3"/>
        </w:numPr>
        <w:snapToGrid/>
        <w:contextualSpacing/>
        <w:rPr>
          <w:bCs/>
          <w:snapToGrid w:val="0"/>
          <w:szCs w:val="22"/>
          <w:lang w:val="en-GB"/>
        </w:rPr>
      </w:pPr>
      <w:r w:rsidRPr="00A87116">
        <w:rPr>
          <w:bCs/>
          <w:snapToGrid w:val="0"/>
          <w:szCs w:val="22"/>
          <w:lang w:val="en-GB"/>
        </w:rPr>
        <w:t xml:space="preserve">The </w:t>
      </w:r>
      <w:r w:rsidR="00C4754D" w:rsidRPr="00A87116">
        <w:rPr>
          <w:bCs/>
          <w:snapToGrid w:val="0"/>
          <w:szCs w:val="22"/>
          <w:lang w:val="en-GB"/>
        </w:rPr>
        <w:t xml:space="preserve">PBAC </w:t>
      </w:r>
      <w:r w:rsidR="007C1077" w:rsidRPr="00A87116">
        <w:rPr>
          <w:bCs/>
          <w:snapToGrid w:val="0"/>
          <w:szCs w:val="22"/>
          <w:lang w:val="en-GB"/>
        </w:rPr>
        <w:t>agree</w:t>
      </w:r>
      <w:r w:rsidR="00C4754D" w:rsidRPr="00A87116">
        <w:rPr>
          <w:bCs/>
          <w:snapToGrid w:val="0"/>
          <w:szCs w:val="22"/>
          <w:lang w:val="en-GB"/>
        </w:rPr>
        <w:t xml:space="preserve">d </w:t>
      </w:r>
      <w:r w:rsidR="00244185" w:rsidRPr="00A87116">
        <w:rPr>
          <w:bCs/>
          <w:snapToGrid w:val="0"/>
          <w:szCs w:val="22"/>
          <w:lang w:val="en-GB"/>
        </w:rPr>
        <w:t xml:space="preserve">with </w:t>
      </w:r>
      <w:r w:rsidR="00C4754D" w:rsidRPr="00A87116">
        <w:rPr>
          <w:bCs/>
          <w:snapToGrid w:val="0"/>
          <w:szCs w:val="22"/>
          <w:lang w:val="en-GB"/>
        </w:rPr>
        <w:t xml:space="preserve">the issues regarding </w:t>
      </w:r>
      <w:r w:rsidRPr="00A87116">
        <w:rPr>
          <w:bCs/>
          <w:snapToGrid w:val="0"/>
          <w:szCs w:val="22"/>
          <w:lang w:val="en-GB"/>
        </w:rPr>
        <w:t xml:space="preserve">the utilisation and financial estimates </w:t>
      </w:r>
      <w:r w:rsidR="00C4754D" w:rsidRPr="00A87116">
        <w:rPr>
          <w:bCs/>
          <w:snapToGrid w:val="0"/>
          <w:szCs w:val="22"/>
          <w:lang w:val="en-GB"/>
        </w:rPr>
        <w:t xml:space="preserve">outlined in paragraph </w:t>
      </w:r>
      <w:r w:rsidR="0047066B" w:rsidRPr="00A87116">
        <w:rPr>
          <w:bCs/>
          <w:snapToGrid w:val="0"/>
          <w:szCs w:val="22"/>
          <w:lang w:val="en-GB"/>
        </w:rPr>
        <w:t>6.3</w:t>
      </w:r>
      <w:r w:rsidR="00E54A0A" w:rsidRPr="00A87116">
        <w:rPr>
          <w:bCs/>
          <w:snapToGrid w:val="0"/>
          <w:szCs w:val="22"/>
          <w:lang w:val="en-GB"/>
        </w:rPr>
        <w:t>0</w:t>
      </w:r>
      <w:r w:rsidR="002A6DF4" w:rsidRPr="00A87116">
        <w:rPr>
          <w:bCs/>
          <w:snapToGrid w:val="0"/>
          <w:szCs w:val="22"/>
          <w:lang w:val="en-GB"/>
        </w:rPr>
        <w:t xml:space="preserve"> </w:t>
      </w:r>
      <w:r w:rsidR="002A6DF4" w:rsidRPr="002D05A3">
        <w:rPr>
          <w:bCs/>
          <w:snapToGrid w:val="0"/>
          <w:szCs w:val="22"/>
          <w:lang w:val="en-GB"/>
        </w:rPr>
        <w:t>and that the</w:t>
      </w:r>
      <w:r w:rsidR="002056CC" w:rsidRPr="002D05A3">
        <w:rPr>
          <w:bCs/>
          <w:snapToGrid w:val="0"/>
          <w:szCs w:val="22"/>
          <w:lang w:val="en-GB"/>
        </w:rPr>
        <w:t xml:space="preserve"> up to </w:t>
      </w:r>
      <w:r w:rsidR="004165CE">
        <w:rPr>
          <w:bCs/>
          <w:noProof/>
          <w:snapToGrid w:val="0"/>
          <w:color w:val="000000"/>
          <w:szCs w:val="22"/>
          <w:highlight w:val="black"/>
          <w:lang w:val="en-GB"/>
        </w:rPr>
        <w:t>''''''</w:t>
      </w:r>
      <w:r w:rsidR="002A6DF4" w:rsidRPr="002D05A3">
        <w:rPr>
          <w:bCs/>
          <w:snapToGrid w:val="0"/>
          <w:szCs w:val="22"/>
          <w:lang w:val="en-GB"/>
        </w:rPr>
        <w:t xml:space="preserve"> </w:t>
      </w:r>
      <w:r w:rsidR="00A61D4F">
        <w:rPr>
          <w:bCs/>
          <w:snapToGrid w:val="0"/>
          <w:szCs w:val="22"/>
          <w:lang w:val="en-GB"/>
        </w:rPr>
        <w:t>‘</w:t>
      </w:r>
      <w:r w:rsidR="002A6DF4" w:rsidRPr="002D05A3">
        <w:rPr>
          <w:bCs/>
          <w:snapToGrid w:val="0"/>
          <w:szCs w:val="22"/>
          <w:lang w:val="en-GB"/>
        </w:rPr>
        <w:t>grandfather</w:t>
      </w:r>
      <w:r w:rsidR="00A61D4F">
        <w:rPr>
          <w:bCs/>
          <w:snapToGrid w:val="0"/>
          <w:szCs w:val="22"/>
          <w:lang w:val="en-GB"/>
        </w:rPr>
        <w:t>ed’</w:t>
      </w:r>
      <w:r w:rsidR="002A6DF4" w:rsidRPr="002D05A3">
        <w:rPr>
          <w:bCs/>
          <w:snapToGrid w:val="0"/>
          <w:szCs w:val="22"/>
          <w:lang w:val="en-GB"/>
        </w:rPr>
        <w:t xml:space="preserve"> patients should be included in the financial estimates</w:t>
      </w:r>
      <w:r w:rsidR="002A6DF4" w:rsidRPr="00A87116">
        <w:rPr>
          <w:bCs/>
          <w:snapToGrid w:val="0"/>
          <w:szCs w:val="22"/>
          <w:lang w:val="en-GB"/>
        </w:rPr>
        <w:t xml:space="preserve">. </w:t>
      </w:r>
    </w:p>
    <w:p w:rsidR="002D05A3" w:rsidRPr="00A87116" w:rsidRDefault="002D05A3" w:rsidP="002056CC">
      <w:pPr>
        <w:snapToGrid/>
        <w:ind w:left="720"/>
        <w:contextualSpacing/>
        <w:rPr>
          <w:bCs/>
          <w:snapToGrid w:val="0"/>
          <w:szCs w:val="22"/>
          <w:lang w:val="en-GB"/>
        </w:rPr>
      </w:pPr>
    </w:p>
    <w:p w:rsidR="004901C0" w:rsidRPr="00E54A0A" w:rsidRDefault="007C1077" w:rsidP="006B764E">
      <w:pPr>
        <w:numPr>
          <w:ilvl w:val="1"/>
          <w:numId w:val="3"/>
        </w:numPr>
        <w:snapToGrid/>
        <w:contextualSpacing/>
        <w:rPr>
          <w:bCs/>
          <w:snapToGrid w:val="0"/>
          <w:szCs w:val="22"/>
          <w:lang w:val="en-GB"/>
        </w:rPr>
      </w:pPr>
      <w:r w:rsidRPr="00E54A0A">
        <w:rPr>
          <w:bCs/>
          <w:snapToGrid w:val="0"/>
          <w:szCs w:val="22"/>
          <w:lang w:val="en-GB"/>
        </w:rPr>
        <w:t xml:space="preserve">In accordance </w:t>
      </w:r>
      <w:r w:rsidRPr="00E54A0A">
        <w:rPr>
          <w:rFonts w:cs="Times New Roman"/>
          <w:szCs w:val="22"/>
          <w:lang w:eastAsia="en-AU"/>
        </w:rPr>
        <w:t xml:space="preserve">with subsection 101(3BA) of the Act the PBAC advised that it is of </w:t>
      </w:r>
      <w:r w:rsidR="002A6DF4" w:rsidRPr="00E54A0A">
        <w:rPr>
          <w:rFonts w:cs="Times New Roman"/>
          <w:szCs w:val="22"/>
          <w:lang w:eastAsia="en-AU"/>
        </w:rPr>
        <w:t>the opinion that, on the basis o</w:t>
      </w:r>
      <w:r w:rsidRPr="00E54A0A">
        <w:rPr>
          <w:rFonts w:cs="Times New Roman"/>
          <w:szCs w:val="22"/>
          <w:lang w:eastAsia="en-AU"/>
        </w:rPr>
        <w:t xml:space="preserve">f the material available to it at its March 2015 meeting, </w:t>
      </w:r>
      <w:proofErr w:type="spellStart"/>
      <w:r w:rsidRPr="00E54A0A">
        <w:rPr>
          <w:rFonts w:cs="Times New Roman"/>
          <w:szCs w:val="22"/>
          <w:lang w:eastAsia="en-AU"/>
        </w:rPr>
        <w:t>vedolizumab</w:t>
      </w:r>
      <w:proofErr w:type="spellEnd"/>
      <w:r w:rsidRPr="00E54A0A">
        <w:rPr>
          <w:rFonts w:cs="Times New Roman"/>
          <w:szCs w:val="22"/>
          <w:lang w:eastAsia="en-AU"/>
        </w:rPr>
        <w:t xml:space="preserve"> should not be treated as interchangeable on an individual patient basis with any other drugs.</w:t>
      </w:r>
      <w:r w:rsidR="00C4754D" w:rsidRPr="00E54A0A">
        <w:rPr>
          <w:bCs/>
          <w:snapToGrid w:val="0"/>
          <w:szCs w:val="22"/>
          <w:lang w:val="en-GB"/>
        </w:rPr>
        <w:t xml:space="preserve"> </w:t>
      </w:r>
    </w:p>
    <w:p w:rsidR="007C1077" w:rsidRPr="00E54A0A" w:rsidRDefault="007C1077" w:rsidP="007C1077">
      <w:pPr>
        <w:pStyle w:val="ListParagraph"/>
        <w:rPr>
          <w:bCs/>
          <w:snapToGrid w:val="0"/>
          <w:szCs w:val="22"/>
          <w:lang w:val="en-GB"/>
        </w:rPr>
      </w:pPr>
    </w:p>
    <w:p w:rsidR="007C1077" w:rsidRPr="00E54A0A" w:rsidRDefault="007C1077" w:rsidP="006B764E">
      <w:pPr>
        <w:numPr>
          <w:ilvl w:val="1"/>
          <w:numId w:val="3"/>
        </w:numPr>
        <w:snapToGrid/>
        <w:contextualSpacing/>
        <w:rPr>
          <w:bCs/>
          <w:snapToGrid w:val="0"/>
          <w:szCs w:val="22"/>
          <w:lang w:val="en-GB"/>
        </w:rPr>
      </w:pPr>
      <w:r w:rsidRPr="00E54A0A">
        <w:rPr>
          <w:bCs/>
          <w:snapToGrid w:val="0"/>
          <w:szCs w:val="22"/>
          <w:lang w:val="en-GB"/>
        </w:rPr>
        <w:t xml:space="preserve">The PBAC advised that </w:t>
      </w:r>
      <w:proofErr w:type="spellStart"/>
      <w:r w:rsidRPr="00E54A0A">
        <w:rPr>
          <w:bCs/>
          <w:snapToGrid w:val="0"/>
          <w:szCs w:val="22"/>
          <w:lang w:val="en-GB"/>
        </w:rPr>
        <w:t>vedolizumab</w:t>
      </w:r>
      <w:proofErr w:type="spellEnd"/>
      <w:r w:rsidRPr="00E54A0A">
        <w:rPr>
          <w:bCs/>
          <w:snapToGrid w:val="0"/>
          <w:szCs w:val="22"/>
          <w:lang w:val="en-GB"/>
        </w:rPr>
        <w:t xml:space="preserve"> is not suitable for prescribing by nurse practitioners.</w:t>
      </w:r>
    </w:p>
    <w:p w:rsidR="007C1077" w:rsidRPr="00E54A0A" w:rsidRDefault="007C1077" w:rsidP="007C1077">
      <w:pPr>
        <w:pStyle w:val="ListParagraph"/>
        <w:rPr>
          <w:bCs/>
          <w:snapToGrid w:val="0"/>
          <w:szCs w:val="22"/>
          <w:lang w:val="en-GB"/>
        </w:rPr>
      </w:pPr>
    </w:p>
    <w:p w:rsidR="007C1077" w:rsidRPr="00E54A0A" w:rsidRDefault="007C1077" w:rsidP="006B764E">
      <w:pPr>
        <w:numPr>
          <w:ilvl w:val="1"/>
          <w:numId w:val="3"/>
        </w:numPr>
        <w:snapToGrid/>
        <w:contextualSpacing/>
        <w:rPr>
          <w:bCs/>
          <w:snapToGrid w:val="0"/>
          <w:szCs w:val="22"/>
          <w:lang w:val="en-GB"/>
        </w:rPr>
      </w:pPr>
      <w:r w:rsidRPr="00E54A0A">
        <w:rPr>
          <w:bCs/>
          <w:snapToGrid w:val="0"/>
          <w:szCs w:val="22"/>
          <w:lang w:val="en-GB"/>
        </w:rPr>
        <w:t xml:space="preserve">The PBAC recommended that the Safety Net 20 Day Rule should not apply to </w:t>
      </w:r>
      <w:proofErr w:type="spellStart"/>
      <w:r w:rsidRPr="00E54A0A">
        <w:rPr>
          <w:bCs/>
          <w:snapToGrid w:val="0"/>
          <w:szCs w:val="22"/>
          <w:lang w:val="en-GB"/>
        </w:rPr>
        <w:t>vedolizumab</w:t>
      </w:r>
      <w:proofErr w:type="spellEnd"/>
      <w:r w:rsidRPr="00E54A0A">
        <w:rPr>
          <w:bCs/>
          <w:snapToGrid w:val="0"/>
          <w:szCs w:val="22"/>
          <w:lang w:val="en-GB"/>
        </w:rPr>
        <w:t>.</w:t>
      </w:r>
    </w:p>
    <w:p w:rsidR="007C1077" w:rsidRPr="00E54A0A" w:rsidRDefault="007C1077" w:rsidP="007C1077">
      <w:pPr>
        <w:pStyle w:val="ListParagraph"/>
        <w:rPr>
          <w:bCs/>
          <w:snapToGrid w:val="0"/>
          <w:szCs w:val="22"/>
          <w:lang w:val="en-GB"/>
        </w:rPr>
      </w:pPr>
    </w:p>
    <w:p w:rsidR="007C1077" w:rsidRPr="00E54A0A" w:rsidRDefault="00290F17" w:rsidP="006B764E">
      <w:pPr>
        <w:numPr>
          <w:ilvl w:val="1"/>
          <w:numId w:val="3"/>
        </w:numPr>
        <w:snapToGrid/>
        <w:contextualSpacing/>
        <w:rPr>
          <w:bCs/>
          <w:snapToGrid w:val="0"/>
          <w:szCs w:val="22"/>
          <w:lang w:val="en-GB"/>
        </w:rPr>
      </w:pPr>
      <w:r w:rsidRPr="00E54A0A">
        <w:rPr>
          <w:bCs/>
          <w:snapToGrid w:val="0"/>
          <w:szCs w:val="22"/>
          <w:lang w:val="en-GB"/>
        </w:rPr>
        <w:t xml:space="preserve">The PBAC noted the flow-on restriction changes to infliximab and adalimumab for the severe </w:t>
      </w:r>
      <w:r w:rsidR="00D73962">
        <w:rPr>
          <w:bCs/>
          <w:snapToGrid w:val="0"/>
          <w:szCs w:val="22"/>
          <w:lang w:val="en-GB"/>
        </w:rPr>
        <w:t>Crohn’s</w:t>
      </w:r>
      <w:r w:rsidRPr="00E54A0A">
        <w:rPr>
          <w:bCs/>
          <w:snapToGrid w:val="0"/>
          <w:szCs w:val="22"/>
          <w:lang w:val="en-GB"/>
        </w:rPr>
        <w:t xml:space="preserve"> disease </w:t>
      </w:r>
      <w:r w:rsidR="00CD51D6" w:rsidRPr="00E54A0A">
        <w:rPr>
          <w:bCs/>
          <w:snapToGrid w:val="0"/>
          <w:szCs w:val="22"/>
          <w:lang w:val="en-GB"/>
        </w:rPr>
        <w:t>in adults</w:t>
      </w:r>
      <w:r w:rsidRPr="00E54A0A">
        <w:rPr>
          <w:bCs/>
          <w:snapToGrid w:val="0"/>
          <w:szCs w:val="22"/>
          <w:lang w:val="en-GB"/>
        </w:rPr>
        <w:t>.  The PBAC noted that this will be a complex restriction.</w:t>
      </w:r>
    </w:p>
    <w:p w:rsidR="00F42900" w:rsidRPr="00E54A0A" w:rsidRDefault="00F42900" w:rsidP="00290F17">
      <w:pPr>
        <w:contextualSpacing/>
        <w:rPr>
          <w:bCs/>
          <w:snapToGrid w:val="0"/>
          <w:szCs w:val="22"/>
          <w:highlight w:val="yellow"/>
          <w:lang w:val="en-GB"/>
        </w:rPr>
      </w:pPr>
    </w:p>
    <w:p w:rsidR="00984C78" w:rsidRDefault="00984C78" w:rsidP="00984C78">
      <w:pPr>
        <w:pStyle w:val="PBACHeading1"/>
        <w:numPr>
          <w:ilvl w:val="0"/>
          <w:numId w:val="0"/>
        </w:numPr>
        <w:rPr>
          <w:b w:val="0"/>
        </w:rPr>
      </w:pPr>
    </w:p>
    <w:p w:rsidR="00984C78" w:rsidRPr="00290F17" w:rsidRDefault="00984C78" w:rsidP="00984C78">
      <w:pPr>
        <w:pStyle w:val="PBACHeading1"/>
        <w:numPr>
          <w:ilvl w:val="0"/>
          <w:numId w:val="0"/>
        </w:numPr>
      </w:pPr>
      <w:r w:rsidRPr="00290F17">
        <w:t>Outcome:</w:t>
      </w:r>
    </w:p>
    <w:p w:rsidR="00984C78" w:rsidRDefault="00984C78" w:rsidP="00984C78">
      <w:pPr>
        <w:pStyle w:val="PBACHeading1"/>
        <w:numPr>
          <w:ilvl w:val="0"/>
          <w:numId w:val="0"/>
        </w:numPr>
        <w:rPr>
          <w:b w:val="0"/>
        </w:rPr>
      </w:pPr>
      <w:r>
        <w:rPr>
          <w:b w:val="0"/>
        </w:rPr>
        <w:t>Recommended</w:t>
      </w:r>
    </w:p>
    <w:p w:rsidR="00EA097C" w:rsidRDefault="00EA097C" w:rsidP="00984C78">
      <w:pPr>
        <w:pStyle w:val="PBACHeading1"/>
        <w:numPr>
          <w:ilvl w:val="0"/>
          <w:numId w:val="0"/>
        </w:numPr>
        <w:rPr>
          <w:highlight w:val="yellow"/>
        </w:rPr>
      </w:pPr>
    </w:p>
    <w:p w:rsidR="00EA097C" w:rsidRDefault="00EA097C" w:rsidP="00984C78">
      <w:pPr>
        <w:pStyle w:val="PBACHeading1"/>
        <w:numPr>
          <w:ilvl w:val="0"/>
          <w:numId w:val="0"/>
        </w:numPr>
        <w:rPr>
          <w:highlight w:val="yellow"/>
        </w:rPr>
      </w:pPr>
    </w:p>
    <w:p w:rsidR="00EA097C" w:rsidRPr="00EA097C" w:rsidRDefault="00EA097C" w:rsidP="00EA097C">
      <w:pPr>
        <w:pStyle w:val="PBACHeading1"/>
        <w:rPr>
          <w:bCs/>
          <w:i/>
          <w:lang w:val="en-GB"/>
        </w:rPr>
      </w:pPr>
      <w:r w:rsidRPr="00EA097C">
        <w:rPr>
          <w:bCs/>
          <w:lang w:val="en-GB"/>
        </w:rPr>
        <w:t>Recommended listing</w:t>
      </w:r>
    </w:p>
    <w:p w:rsidR="00EA097C" w:rsidRPr="00EA097C" w:rsidRDefault="00EA097C" w:rsidP="00EA097C">
      <w:pPr>
        <w:pStyle w:val="PBACHeading1"/>
        <w:numPr>
          <w:ilvl w:val="0"/>
          <w:numId w:val="0"/>
        </w:numPr>
        <w:ind w:left="720"/>
        <w:rPr>
          <w:bCs/>
          <w:i/>
          <w:lang w:val="en-GB"/>
        </w:rPr>
      </w:pPr>
    </w:p>
    <w:p w:rsidR="00EA097C" w:rsidRPr="00E753B0" w:rsidRDefault="00EA097C" w:rsidP="006B764E">
      <w:pPr>
        <w:pStyle w:val="PBACHeading1"/>
        <w:numPr>
          <w:ilvl w:val="1"/>
          <w:numId w:val="3"/>
        </w:numPr>
        <w:jc w:val="both"/>
        <w:rPr>
          <w:b w:val="0"/>
          <w:bCs/>
        </w:rPr>
      </w:pPr>
      <w:r w:rsidRPr="00E753B0">
        <w:rPr>
          <w:b w:val="0"/>
          <w:bCs/>
        </w:rPr>
        <w:t>Add new item</w:t>
      </w:r>
      <w:r w:rsidR="00E753B0">
        <w:rPr>
          <w:b w:val="0"/>
          <w:bCs/>
        </w:rPr>
        <w:t xml:space="preserve">. </w:t>
      </w:r>
      <w:r w:rsidR="00E753B0" w:rsidRPr="00E753B0">
        <w:rPr>
          <w:b w:val="0"/>
          <w:bCs/>
        </w:rPr>
        <w:t xml:space="preserve">Restriction to be finalised including flow-on changes to current infliximab </w:t>
      </w:r>
      <w:r w:rsidR="00E753B0">
        <w:rPr>
          <w:b w:val="0"/>
          <w:bCs/>
        </w:rPr>
        <w:t xml:space="preserve">and adalimumab </w:t>
      </w:r>
      <w:r w:rsidR="00E753B0" w:rsidRPr="00E753B0">
        <w:rPr>
          <w:b w:val="0"/>
          <w:bCs/>
        </w:rPr>
        <w:t>restriction</w:t>
      </w:r>
      <w:r w:rsidR="00E753B0">
        <w:rPr>
          <w:b w:val="0"/>
          <w:bCs/>
        </w:rPr>
        <w:t>s</w:t>
      </w:r>
      <w:r w:rsidR="00E753B0" w:rsidRPr="00E753B0">
        <w:rPr>
          <w:b w:val="0"/>
          <w:bCs/>
        </w:rPr>
        <w:t>.</w:t>
      </w:r>
    </w:p>
    <w:p w:rsidR="0089639F" w:rsidRDefault="0089639F" w:rsidP="0089639F">
      <w:pPr>
        <w:widowControl/>
        <w:jc w:val="center"/>
        <w:rPr>
          <w:szCs w:val="22"/>
        </w:rPr>
      </w:pPr>
    </w:p>
    <w:p w:rsidR="008C0E67" w:rsidRPr="008C0E67" w:rsidRDefault="008C0E67" w:rsidP="008C0E67">
      <w:pPr>
        <w:snapToGrid/>
        <w:rPr>
          <w:b/>
          <w:bCs/>
          <w:snapToGrid w:val="0"/>
          <w:szCs w:val="22"/>
          <w:highlight w:val="yellow"/>
        </w:rPr>
      </w:pPr>
    </w:p>
    <w:p w:rsidR="008C0E67" w:rsidRPr="008C0E67" w:rsidRDefault="008C0E67" w:rsidP="00A477EE">
      <w:pPr>
        <w:pStyle w:val="PBACHeading1"/>
      </w:pPr>
      <w:r w:rsidRPr="008C0E67">
        <w:t>Context for Decision</w:t>
      </w:r>
    </w:p>
    <w:p w:rsidR="008C0E67" w:rsidRPr="008C0E67" w:rsidRDefault="008C0E67" w:rsidP="008C0E67">
      <w:pPr>
        <w:widowControl/>
        <w:snapToGrid/>
        <w:ind w:left="720"/>
        <w:contextualSpacing/>
        <w:jc w:val="left"/>
        <w:rPr>
          <w:rFonts w:ascii="Times New Roman" w:hAnsi="Times New Roman" w:cs="Times New Roman"/>
          <w:b/>
          <w:sz w:val="24"/>
          <w:szCs w:val="24"/>
          <w:lang w:eastAsia="en-AU"/>
        </w:rPr>
      </w:pPr>
    </w:p>
    <w:p w:rsidR="008C0E67" w:rsidRPr="008C0E67" w:rsidRDefault="008C0E67" w:rsidP="008C0E67">
      <w:pPr>
        <w:widowControl/>
        <w:snapToGrid/>
        <w:ind w:left="720"/>
        <w:jc w:val="left"/>
        <w:rPr>
          <w:bCs/>
          <w:snapToGrid w:val="0"/>
          <w:szCs w:val="22"/>
          <w:lang w:eastAsia="en-AU"/>
        </w:rPr>
      </w:pPr>
      <w:r w:rsidRPr="008C0E67">
        <w:rPr>
          <w:bCs/>
          <w:snapToGrid w:val="0"/>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C0E67" w:rsidRPr="008C0E67" w:rsidRDefault="008C0E67" w:rsidP="008C0E67">
      <w:pPr>
        <w:widowControl/>
        <w:snapToGrid/>
        <w:jc w:val="left"/>
        <w:rPr>
          <w:rFonts w:ascii="Times New Roman" w:hAnsi="Times New Roman" w:cs="Times New Roman"/>
          <w:sz w:val="24"/>
          <w:szCs w:val="24"/>
          <w:lang w:eastAsia="en-AU"/>
        </w:rPr>
      </w:pPr>
    </w:p>
    <w:p w:rsidR="008C0E67" w:rsidRPr="008C0E67" w:rsidRDefault="008C0E67" w:rsidP="00A477EE">
      <w:pPr>
        <w:pStyle w:val="PBACHeading1"/>
      </w:pPr>
      <w:r w:rsidRPr="008C0E67">
        <w:t>Sponsor’s Comment</w:t>
      </w:r>
    </w:p>
    <w:p w:rsidR="00C4738B" w:rsidRDefault="00C4738B" w:rsidP="00C4738B">
      <w:pPr>
        <w:widowControl/>
        <w:rPr>
          <w:szCs w:val="22"/>
        </w:rPr>
      </w:pPr>
    </w:p>
    <w:p w:rsidR="00C4738B" w:rsidRPr="00984C78" w:rsidRDefault="00C4738B" w:rsidP="00C4738B">
      <w:pPr>
        <w:widowControl/>
        <w:ind w:left="709"/>
        <w:jc w:val="left"/>
        <w:rPr>
          <w:szCs w:val="22"/>
        </w:rPr>
      </w:pPr>
      <w:r>
        <w:rPr>
          <w:szCs w:val="22"/>
        </w:rPr>
        <w:t xml:space="preserve">Takeda welcomes the PBAC’s recommendation for </w:t>
      </w:r>
      <w:proofErr w:type="spellStart"/>
      <w:r>
        <w:rPr>
          <w:szCs w:val="22"/>
        </w:rPr>
        <w:t>vedolizumab</w:t>
      </w:r>
      <w:proofErr w:type="spellEnd"/>
      <w:r>
        <w:rPr>
          <w:szCs w:val="22"/>
        </w:rPr>
        <w:t xml:space="preserve"> to be made available on the PBS for the treatment of Australian patients with </w:t>
      </w:r>
      <w:r w:rsidRPr="00984C78">
        <w:t xml:space="preserve">moderate to severe </w:t>
      </w:r>
      <w:r>
        <w:t>Crohn’s</w:t>
      </w:r>
      <w:r w:rsidRPr="00984C78">
        <w:t xml:space="preserve"> disease</w:t>
      </w:r>
      <w:r>
        <w:t xml:space="preserve">. The listing of </w:t>
      </w:r>
      <w:proofErr w:type="spellStart"/>
      <w:r>
        <w:t>vedolizumab</w:t>
      </w:r>
      <w:proofErr w:type="spellEnd"/>
      <w:r>
        <w:t xml:space="preserve"> on the PBS provides these patients with another possible </w:t>
      </w:r>
      <w:r>
        <w:rPr>
          <w:bCs/>
        </w:rPr>
        <w:t xml:space="preserve">treatment alternative, </w:t>
      </w:r>
      <w:r w:rsidR="001B62E2">
        <w:rPr>
          <w:bCs/>
        </w:rPr>
        <w:t xml:space="preserve">noting that </w:t>
      </w:r>
      <w:r w:rsidR="001B62E2">
        <w:t>p</w:t>
      </w:r>
      <w:r w:rsidR="001B62E2" w:rsidRPr="001B62E2">
        <w:rPr>
          <w:bCs/>
        </w:rPr>
        <w:t>atients place a high value on maximising possible treatment alternatives</w:t>
      </w:r>
      <w:r w:rsidR="001B62E2" w:rsidRPr="001B62E2">
        <w:t xml:space="preserve"> </w:t>
      </w:r>
      <w:r>
        <w:t>(refer Sections 6.3 and 6.4).</w:t>
      </w:r>
    </w:p>
    <w:p w:rsidR="00C4738B" w:rsidRPr="00984C78" w:rsidRDefault="00C4738B" w:rsidP="00C4738B">
      <w:pPr>
        <w:widowControl/>
        <w:rPr>
          <w:szCs w:val="22"/>
        </w:rPr>
      </w:pPr>
    </w:p>
    <w:sectPr w:rsidR="00C4738B" w:rsidRPr="00984C78" w:rsidSect="0005097C">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B95C2" w15:done="0"/>
  <w15:commentEx w15:paraId="799D20B8" w15:done="0"/>
  <w15:commentEx w15:paraId="2A58C5F7" w15:done="0"/>
  <w15:commentEx w15:paraId="7E46BA28" w15:done="0"/>
  <w15:commentEx w15:paraId="0AB34487" w15:done="0"/>
  <w15:commentEx w15:paraId="1A5893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CE" w:rsidRDefault="004165CE" w:rsidP="00124A51">
      <w:r>
        <w:separator/>
      </w:r>
    </w:p>
  </w:endnote>
  <w:endnote w:type="continuationSeparator" w:id="0">
    <w:p w:rsidR="004165CE" w:rsidRDefault="004165C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6F" w:rsidRPr="00984C78" w:rsidRDefault="002E6F6F" w:rsidP="00984C78">
    <w:pPr>
      <w:pStyle w:val="Footer"/>
      <w:jc w:val="center"/>
    </w:pPr>
    <w:r>
      <w:fldChar w:fldCharType="begin"/>
    </w:r>
    <w:r>
      <w:instrText xml:space="preserve"> PAGE   \* MERGEFORMAT </w:instrText>
    </w:r>
    <w:r>
      <w:fldChar w:fldCharType="separate"/>
    </w:r>
    <w:r w:rsidR="002D30A9" w:rsidRPr="002D30A9">
      <w:rPr>
        <w:noProof/>
        <w:sz w:val="20"/>
      </w:rPr>
      <w:t>17</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CE" w:rsidRDefault="004165CE" w:rsidP="00124A51">
      <w:r>
        <w:separator/>
      </w:r>
    </w:p>
  </w:footnote>
  <w:footnote w:type="continuationSeparator" w:id="0">
    <w:p w:rsidR="004165CE" w:rsidRDefault="004165C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6F" w:rsidRPr="00984C78" w:rsidRDefault="002E6F6F" w:rsidP="00984C78">
    <w:pPr>
      <w:widowControl/>
      <w:tabs>
        <w:tab w:val="center" w:pos="4153"/>
        <w:tab w:val="right" w:pos="8306"/>
      </w:tabs>
      <w:snapToGrid/>
      <w:spacing w:after="120"/>
      <w:ind w:left="360"/>
      <w:jc w:val="center"/>
      <w:rPr>
        <w:i/>
        <w:color w:val="808080"/>
        <w:szCs w:val="24"/>
      </w:rPr>
    </w:pPr>
    <w:r>
      <w:rPr>
        <w:i/>
        <w:color w:val="808080"/>
        <w:szCs w:val="24"/>
      </w:rPr>
      <w:t xml:space="preserve"> Public Summary Document </w:t>
    </w:r>
    <w:r w:rsidRPr="00984C78">
      <w:rPr>
        <w:i/>
        <w:color w:val="808080"/>
        <w:szCs w:val="24"/>
      </w:rPr>
      <w:t>– March 2015 PBAC Meeting</w:t>
    </w:r>
  </w:p>
  <w:p w:rsidR="002E6F6F" w:rsidRDefault="002E6F6F" w:rsidP="00984C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A09"/>
    <w:multiLevelType w:val="hybridMultilevel"/>
    <w:tmpl w:val="882E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7C34E2"/>
    <w:multiLevelType w:val="hybridMultilevel"/>
    <w:tmpl w:val="F1CE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9031C2"/>
    <w:multiLevelType w:val="hybridMultilevel"/>
    <w:tmpl w:val="39447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3F5F9D"/>
    <w:multiLevelType w:val="hybridMultilevel"/>
    <w:tmpl w:val="BA5284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C482635"/>
    <w:multiLevelType w:val="hybridMultilevel"/>
    <w:tmpl w:val="F610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CF2967"/>
    <w:multiLevelType w:val="hybridMultilevel"/>
    <w:tmpl w:val="046A948C"/>
    <w:lvl w:ilvl="0" w:tplc="F01AD026">
      <w:numFmt w:val="bullet"/>
      <w:lvlText w:val="-"/>
      <w:lvlJc w:val="left"/>
      <w:pPr>
        <w:ind w:left="1146" w:hanging="360"/>
      </w:pPr>
      <w:rPr>
        <w:rFonts w:ascii="Arial" w:eastAsiaTheme="minorHAnsi"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593F0380"/>
    <w:multiLevelType w:val="hybridMultilevel"/>
    <w:tmpl w:val="CCAC9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E5477C"/>
    <w:multiLevelType w:val="hybridMultilevel"/>
    <w:tmpl w:val="433A88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784D033C"/>
    <w:multiLevelType w:val="multilevel"/>
    <w:tmpl w:val="5442FF2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9"/>
  </w:num>
  <w:num w:numId="4">
    <w:abstractNumId w:val="0"/>
  </w:num>
  <w:num w:numId="5">
    <w:abstractNumId w:val="4"/>
  </w:num>
  <w:num w:numId="6">
    <w:abstractNumId w:val="5"/>
  </w:num>
  <w:num w:numId="7">
    <w:abstractNumId w:val="6"/>
  </w:num>
  <w:num w:numId="8">
    <w:abstractNumId w:val="8"/>
  </w:num>
  <w:num w:numId="9">
    <w:abstractNumId w:val="2"/>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5F25"/>
    <w:rsid w:val="0000727B"/>
    <w:rsid w:val="00013247"/>
    <w:rsid w:val="00014C98"/>
    <w:rsid w:val="00015886"/>
    <w:rsid w:val="00015BD6"/>
    <w:rsid w:val="000162EF"/>
    <w:rsid w:val="0002007E"/>
    <w:rsid w:val="0002225F"/>
    <w:rsid w:val="000223A3"/>
    <w:rsid w:val="00023763"/>
    <w:rsid w:val="00023BC3"/>
    <w:rsid w:val="00024F7C"/>
    <w:rsid w:val="00025B1A"/>
    <w:rsid w:val="00031360"/>
    <w:rsid w:val="0003234B"/>
    <w:rsid w:val="000335B6"/>
    <w:rsid w:val="0003498D"/>
    <w:rsid w:val="00035955"/>
    <w:rsid w:val="00037A86"/>
    <w:rsid w:val="00037DA1"/>
    <w:rsid w:val="00040895"/>
    <w:rsid w:val="00041D3B"/>
    <w:rsid w:val="00043C37"/>
    <w:rsid w:val="0005097C"/>
    <w:rsid w:val="000522B1"/>
    <w:rsid w:val="0005315F"/>
    <w:rsid w:val="000546D7"/>
    <w:rsid w:val="00057838"/>
    <w:rsid w:val="00057ABE"/>
    <w:rsid w:val="000620AF"/>
    <w:rsid w:val="00063609"/>
    <w:rsid w:val="0006678A"/>
    <w:rsid w:val="000707D1"/>
    <w:rsid w:val="00071248"/>
    <w:rsid w:val="000720B9"/>
    <w:rsid w:val="00074F80"/>
    <w:rsid w:val="000751F3"/>
    <w:rsid w:val="00076B10"/>
    <w:rsid w:val="00080989"/>
    <w:rsid w:val="000812CA"/>
    <w:rsid w:val="0008273B"/>
    <w:rsid w:val="0008538B"/>
    <w:rsid w:val="000874D8"/>
    <w:rsid w:val="00090C7E"/>
    <w:rsid w:val="0009611B"/>
    <w:rsid w:val="000A19CF"/>
    <w:rsid w:val="000A4FBA"/>
    <w:rsid w:val="000A6384"/>
    <w:rsid w:val="000B084A"/>
    <w:rsid w:val="000B110C"/>
    <w:rsid w:val="000B41D9"/>
    <w:rsid w:val="000B5C8C"/>
    <w:rsid w:val="000C181F"/>
    <w:rsid w:val="000C55F1"/>
    <w:rsid w:val="000C7FF1"/>
    <w:rsid w:val="000D1ADB"/>
    <w:rsid w:val="000D1BFC"/>
    <w:rsid w:val="000D3A78"/>
    <w:rsid w:val="000D48A3"/>
    <w:rsid w:val="000E21DE"/>
    <w:rsid w:val="000E37E2"/>
    <w:rsid w:val="000E39BC"/>
    <w:rsid w:val="000E581A"/>
    <w:rsid w:val="000F125B"/>
    <w:rsid w:val="000F3FDF"/>
    <w:rsid w:val="000F47A0"/>
    <w:rsid w:val="000F4BB8"/>
    <w:rsid w:val="000F52B6"/>
    <w:rsid w:val="000F7127"/>
    <w:rsid w:val="000F76F2"/>
    <w:rsid w:val="000F77A8"/>
    <w:rsid w:val="001000B5"/>
    <w:rsid w:val="00100F8A"/>
    <w:rsid w:val="001027AC"/>
    <w:rsid w:val="0010311A"/>
    <w:rsid w:val="00103D67"/>
    <w:rsid w:val="00104327"/>
    <w:rsid w:val="0010563E"/>
    <w:rsid w:val="00106A80"/>
    <w:rsid w:val="00107A89"/>
    <w:rsid w:val="0011032E"/>
    <w:rsid w:val="0011059C"/>
    <w:rsid w:val="0011348B"/>
    <w:rsid w:val="00114683"/>
    <w:rsid w:val="00116301"/>
    <w:rsid w:val="00121320"/>
    <w:rsid w:val="00121799"/>
    <w:rsid w:val="001222FC"/>
    <w:rsid w:val="00122E30"/>
    <w:rsid w:val="001237CD"/>
    <w:rsid w:val="00124A51"/>
    <w:rsid w:val="00126621"/>
    <w:rsid w:val="00126D95"/>
    <w:rsid w:val="001301E9"/>
    <w:rsid w:val="00136747"/>
    <w:rsid w:val="001369F5"/>
    <w:rsid w:val="00137645"/>
    <w:rsid w:val="00137D06"/>
    <w:rsid w:val="0014015A"/>
    <w:rsid w:val="00140E99"/>
    <w:rsid w:val="00143C7D"/>
    <w:rsid w:val="00145540"/>
    <w:rsid w:val="00145678"/>
    <w:rsid w:val="001456B0"/>
    <w:rsid w:val="00145A10"/>
    <w:rsid w:val="00151405"/>
    <w:rsid w:val="00151EBE"/>
    <w:rsid w:val="00151F6D"/>
    <w:rsid w:val="001529B6"/>
    <w:rsid w:val="00156EBF"/>
    <w:rsid w:val="00157130"/>
    <w:rsid w:val="00161E75"/>
    <w:rsid w:val="0016282C"/>
    <w:rsid w:val="00162852"/>
    <w:rsid w:val="00162913"/>
    <w:rsid w:val="00163EFF"/>
    <w:rsid w:val="00164D4A"/>
    <w:rsid w:val="00166199"/>
    <w:rsid w:val="001661FB"/>
    <w:rsid w:val="001715C8"/>
    <w:rsid w:val="0017161E"/>
    <w:rsid w:val="001739BD"/>
    <w:rsid w:val="00173DDB"/>
    <w:rsid w:val="0018613E"/>
    <w:rsid w:val="00186C42"/>
    <w:rsid w:val="0018752F"/>
    <w:rsid w:val="00193C96"/>
    <w:rsid w:val="00195222"/>
    <w:rsid w:val="0019630A"/>
    <w:rsid w:val="001975D8"/>
    <w:rsid w:val="001A402E"/>
    <w:rsid w:val="001A78C6"/>
    <w:rsid w:val="001B219C"/>
    <w:rsid w:val="001B3443"/>
    <w:rsid w:val="001B62E2"/>
    <w:rsid w:val="001B6B62"/>
    <w:rsid w:val="001C05DE"/>
    <w:rsid w:val="001C3290"/>
    <w:rsid w:val="001C5066"/>
    <w:rsid w:val="001C52CE"/>
    <w:rsid w:val="001C5476"/>
    <w:rsid w:val="001C6E66"/>
    <w:rsid w:val="001D0B7F"/>
    <w:rsid w:val="001D1491"/>
    <w:rsid w:val="001D2FE7"/>
    <w:rsid w:val="001D4A7D"/>
    <w:rsid w:val="001D60FF"/>
    <w:rsid w:val="001E1313"/>
    <w:rsid w:val="001E238E"/>
    <w:rsid w:val="001E2B1E"/>
    <w:rsid w:val="001E324B"/>
    <w:rsid w:val="001E4539"/>
    <w:rsid w:val="001E52EB"/>
    <w:rsid w:val="001E73BB"/>
    <w:rsid w:val="001E740C"/>
    <w:rsid w:val="001F1235"/>
    <w:rsid w:val="001F1CB3"/>
    <w:rsid w:val="001F4049"/>
    <w:rsid w:val="001F553C"/>
    <w:rsid w:val="001F7361"/>
    <w:rsid w:val="0020385F"/>
    <w:rsid w:val="002040D6"/>
    <w:rsid w:val="00205053"/>
    <w:rsid w:val="002050C5"/>
    <w:rsid w:val="002056CC"/>
    <w:rsid w:val="00207021"/>
    <w:rsid w:val="00207D00"/>
    <w:rsid w:val="002105C1"/>
    <w:rsid w:val="00212A25"/>
    <w:rsid w:val="00214A2F"/>
    <w:rsid w:val="00215CF7"/>
    <w:rsid w:val="00215D2E"/>
    <w:rsid w:val="002231F7"/>
    <w:rsid w:val="0022399B"/>
    <w:rsid w:val="00223B49"/>
    <w:rsid w:val="0022414E"/>
    <w:rsid w:val="00224DD4"/>
    <w:rsid w:val="00225D06"/>
    <w:rsid w:val="002309CC"/>
    <w:rsid w:val="002312B6"/>
    <w:rsid w:val="00231E98"/>
    <w:rsid w:val="00232F2A"/>
    <w:rsid w:val="00235208"/>
    <w:rsid w:val="00235408"/>
    <w:rsid w:val="00237030"/>
    <w:rsid w:val="00243DA4"/>
    <w:rsid w:val="00244185"/>
    <w:rsid w:val="00244C0E"/>
    <w:rsid w:val="002530A8"/>
    <w:rsid w:val="00254DCF"/>
    <w:rsid w:val="0025534B"/>
    <w:rsid w:val="00255BB7"/>
    <w:rsid w:val="0025763C"/>
    <w:rsid w:val="00262A87"/>
    <w:rsid w:val="0026333C"/>
    <w:rsid w:val="00263911"/>
    <w:rsid w:val="00264E00"/>
    <w:rsid w:val="00266745"/>
    <w:rsid w:val="00270D18"/>
    <w:rsid w:val="00270EAC"/>
    <w:rsid w:val="002726E0"/>
    <w:rsid w:val="0027526F"/>
    <w:rsid w:val="00275A4D"/>
    <w:rsid w:val="00275C5A"/>
    <w:rsid w:val="00275D9D"/>
    <w:rsid w:val="00281014"/>
    <w:rsid w:val="00282241"/>
    <w:rsid w:val="00290F17"/>
    <w:rsid w:val="002975DF"/>
    <w:rsid w:val="002A14AB"/>
    <w:rsid w:val="002A1B77"/>
    <w:rsid w:val="002A25D4"/>
    <w:rsid w:val="002A6DF4"/>
    <w:rsid w:val="002B0A6D"/>
    <w:rsid w:val="002B11FF"/>
    <w:rsid w:val="002B18E4"/>
    <w:rsid w:val="002B1C1F"/>
    <w:rsid w:val="002B3448"/>
    <w:rsid w:val="002B432F"/>
    <w:rsid w:val="002B4698"/>
    <w:rsid w:val="002B4968"/>
    <w:rsid w:val="002B5C3F"/>
    <w:rsid w:val="002B6CCE"/>
    <w:rsid w:val="002C0AC4"/>
    <w:rsid w:val="002C2775"/>
    <w:rsid w:val="002C27C1"/>
    <w:rsid w:val="002C293A"/>
    <w:rsid w:val="002C380F"/>
    <w:rsid w:val="002D05A3"/>
    <w:rsid w:val="002D30A9"/>
    <w:rsid w:val="002D4699"/>
    <w:rsid w:val="002D4D5E"/>
    <w:rsid w:val="002D5F50"/>
    <w:rsid w:val="002D7AD7"/>
    <w:rsid w:val="002E00C4"/>
    <w:rsid w:val="002E17A9"/>
    <w:rsid w:val="002E1F6F"/>
    <w:rsid w:val="002E3093"/>
    <w:rsid w:val="002E6F6F"/>
    <w:rsid w:val="002F0D04"/>
    <w:rsid w:val="002F38D1"/>
    <w:rsid w:val="002F455B"/>
    <w:rsid w:val="002F73F0"/>
    <w:rsid w:val="00301017"/>
    <w:rsid w:val="00301C26"/>
    <w:rsid w:val="00303B45"/>
    <w:rsid w:val="00304EBA"/>
    <w:rsid w:val="003056D1"/>
    <w:rsid w:val="003066FF"/>
    <w:rsid w:val="0030786C"/>
    <w:rsid w:val="003078AE"/>
    <w:rsid w:val="0031031A"/>
    <w:rsid w:val="00310631"/>
    <w:rsid w:val="00310981"/>
    <w:rsid w:val="00314470"/>
    <w:rsid w:val="0031490C"/>
    <w:rsid w:val="00314CB7"/>
    <w:rsid w:val="00315498"/>
    <w:rsid w:val="00316B14"/>
    <w:rsid w:val="00316DEB"/>
    <w:rsid w:val="00317FA0"/>
    <w:rsid w:val="00320462"/>
    <w:rsid w:val="00320AD7"/>
    <w:rsid w:val="00320D61"/>
    <w:rsid w:val="00322258"/>
    <w:rsid w:val="00324C8D"/>
    <w:rsid w:val="0032620E"/>
    <w:rsid w:val="00326F4E"/>
    <w:rsid w:val="003279F2"/>
    <w:rsid w:val="00331B6E"/>
    <w:rsid w:val="003324C8"/>
    <w:rsid w:val="00332D55"/>
    <w:rsid w:val="003366C9"/>
    <w:rsid w:val="00336D68"/>
    <w:rsid w:val="003371B0"/>
    <w:rsid w:val="00342464"/>
    <w:rsid w:val="003473BE"/>
    <w:rsid w:val="00347919"/>
    <w:rsid w:val="00351E3A"/>
    <w:rsid w:val="0035329C"/>
    <w:rsid w:val="00355828"/>
    <w:rsid w:val="0035620E"/>
    <w:rsid w:val="003621B4"/>
    <w:rsid w:val="00364692"/>
    <w:rsid w:val="00364987"/>
    <w:rsid w:val="00366599"/>
    <w:rsid w:val="00371020"/>
    <w:rsid w:val="003740EB"/>
    <w:rsid w:val="0037645B"/>
    <w:rsid w:val="003768C8"/>
    <w:rsid w:val="00381459"/>
    <w:rsid w:val="00381703"/>
    <w:rsid w:val="00381845"/>
    <w:rsid w:val="0038365C"/>
    <w:rsid w:val="0038438C"/>
    <w:rsid w:val="00384879"/>
    <w:rsid w:val="0039000A"/>
    <w:rsid w:val="00392D4C"/>
    <w:rsid w:val="00396FD0"/>
    <w:rsid w:val="003A1454"/>
    <w:rsid w:val="003A1A7A"/>
    <w:rsid w:val="003A1BEE"/>
    <w:rsid w:val="003A1E78"/>
    <w:rsid w:val="003A50F8"/>
    <w:rsid w:val="003A52A0"/>
    <w:rsid w:val="003A5D50"/>
    <w:rsid w:val="003A6162"/>
    <w:rsid w:val="003A6928"/>
    <w:rsid w:val="003A6CC1"/>
    <w:rsid w:val="003B01CE"/>
    <w:rsid w:val="003B4B9B"/>
    <w:rsid w:val="003B6F1C"/>
    <w:rsid w:val="003C0479"/>
    <w:rsid w:val="003C06C2"/>
    <w:rsid w:val="003C5F8B"/>
    <w:rsid w:val="003D1828"/>
    <w:rsid w:val="003D2422"/>
    <w:rsid w:val="003D3181"/>
    <w:rsid w:val="003D3F83"/>
    <w:rsid w:val="003D49F7"/>
    <w:rsid w:val="003D4EAD"/>
    <w:rsid w:val="003D6FCA"/>
    <w:rsid w:val="003E544F"/>
    <w:rsid w:val="003F0FA8"/>
    <w:rsid w:val="003F4156"/>
    <w:rsid w:val="003F7416"/>
    <w:rsid w:val="004018FD"/>
    <w:rsid w:val="0040202B"/>
    <w:rsid w:val="00403CA2"/>
    <w:rsid w:val="00404213"/>
    <w:rsid w:val="00404D24"/>
    <w:rsid w:val="00410708"/>
    <w:rsid w:val="004107FB"/>
    <w:rsid w:val="00410C4B"/>
    <w:rsid w:val="00410EC7"/>
    <w:rsid w:val="00412B08"/>
    <w:rsid w:val="00413F7E"/>
    <w:rsid w:val="00414476"/>
    <w:rsid w:val="004156C0"/>
    <w:rsid w:val="004165CE"/>
    <w:rsid w:val="00420B9F"/>
    <w:rsid w:val="004217DB"/>
    <w:rsid w:val="00423CFB"/>
    <w:rsid w:val="004319F8"/>
    <w:rsid w:val="004322B7"/>
    <w:rsid w:val="00432C22"/>
    <w:rsid w:val="00433044"/>
    <w:rsid w:val="00434C2C"/>
    <w:rsid w:val="0044051A"/>
    <w:rsid w:val="004413F4"/>
    <w:rsid w:val="004416A0"/>
    <w:rsid w:val="004417F1"/>
    <w:rsid w:val="00442964"/>
    <w:rsid w:val="00443510"/>
    <w:rsid w:val="004443A7"/>
    <w:rsid w:val="00445775"/>
    <w:rsid w:val="00445FCF"/>
    <w:rsid w:val="004464EB"/>
    <w:rsid w:val="00450253"/>
    <w:rsid w:val="004510C1"/>
    <w:rsid w:val="00452DDA"/>
    <w:rsid w:val="00453147"/>
    <w:rsid w:val="00455D45"/>
    <w:rsid w:val="00457584"/>
    <w:rsid w:val="00461DB6"/>
    <w:rsid w:val="00462D21"/>
    <w:rsid w:val="00464595"/>
    <w:rsid w:val="00467685"/>
    <w:rsid w:val="004705D7"/>
    <w:rsid w:val="0047066B"/>
    <w:rsid w:val="00472E19"/>
    <w:rsid w:val="0048488A"/>
    <w:rsid w:val="00484999"/>
    <w:rsid w:val="00485077"/>
    <w:rsid w:val="004867E2"/>
    <w:rsid w:val="004901C0"/>
    <w:rsid w:val="00490A71"/>
    <w:rsid w:val="00491B3A"/>
    <w:rsid w:val="004928B9"/>
    <w:rsid w:val="00492CFD"/>
    <w:rsid w:val="004948F6"/>
    <w:rsid w:val="00495DB9"/>
    <w:rsid w:val="004962D2"/>
    <w:rsid w:val="004A0788"/>
    <w:rsid w:val="004A0DA1"/>
    <w:rsid w:val="004A0DFF"/>
    <w:rsid w:val="004A0E73"/>
    <w:rsid w:val="004A110B"/>
    <w:rsid w:val="004A6597"/>
    <w:rsid w:val="004A6823"/>
    <w:rsid w:val="004A6DAF"/>
    <w:rsid w:val="004A7965"/>
    <w:rsid w:val="004B1CB4"/>
    <w:rsid w:val="004B2C53"/>
    <w:rsid w:val="004B2F18"/>
    <w:rsid w:val="004B381A"/>
    <w:rsid w:val="004B3BED"/>
    <w:rsid w:val="004B3DDB"/>
    <w:rsid w:val="004B44FD"/>
    <w:rsid w:val="004B5CFC"/>
    <w:rsid w:val="004B617D"/>
    <w:rsid w:val="004C0366"/>
    <w:rsid w:val="004C1CB3"/>
    <w:rsid w:val="004C4AED"/>
    <w:rsid w:val="004C5361"/>
    <w:rsid w:val="004C6220"/>
    <w:rsid w:val="004C739C"/>
    <w:rsid w:val="004C75D0"/>
    <w:rsid w:val="004D05C2"/>
    <w:rsid w:val="004D0F40"/>
    <w:rsid w:val="004D27EE"/>
    <w:rsid w:val="004D373D"/>
    <w:rsid w:val="004D4F6A"/>
    <w:rsid w:val="004D661A"/>
    <w:rsid w:val="004E0EB8"/>
    <w:rsid w:val="004E2ADC"/>
    <w:rsid w:val="004E388A"/>
    <w:rsid w:val="004E43B2"/>
    <w:rsid w:val="004E489B"/>
    <w:rsid w:val="004E5602"/>
    <w:rsid w:val="004F056D"/>
    <w:rsid w:val="004F1D02"/>
    <w:rsid w:val="004F2679"/>
    <w:rsid w:val="004F27C0"/>
    <w:rsid w:val="004F3B99"/>
    <w:rsid w:val="004F4EE5"/>
    <w:rsid w:val="004F5AC0"/>
    <w:rsid w:val="004F7865"/>
    <w:rsid w:val="004F79AC"/>
    <w:rsid w:val="004F7ADD"/>
    <w:rsid w:val="0050619B"/>
    <w:rsid w:val="00506928"/>
    <w:rsid w:val="00506D56"/>
    <w:rsid w:val="0050753C"/>
    <w:rsid w:val="005152B5"/>
    <w:rsid w:val="00515F4F"/>
    <w:rsid w:val="00521319"/>
    <w:rsid w:val="00523C28"/>
    <w:rsid w:val="00524B3B"/>
    <w:rsid w:val="00531F28"/>
    <w:rsid w:val="00533F5E"/>
    <w:rsid w:val="005344AD"/>
    <w:rsid w:val="00534759"/>
    <w:rsid w:val="0053505C"/>
    <w:rsid w:val="00541B2E"/>
    <w:rsid w:val="005443B7"/>
    <w:rsid w:val="00544BBA"/>
    <w:rsid w:val="00546AC8"/>
    <w:rsid w:val="005516CA"/>
    <w:rsid w:val="00552BD3"/>
    <w:rsid w:val="0055334A"/>
    <w:rsid w:val="00555109"/>
    <w:rsid w:val="00555174"/>
    <w:rsid w:val="0055694E"/>
    <w:rsid w:val="0055740A"/>
    <w:rsid w:val="005621EF"/>
    <w:rsid w:val="005636AF"/>
    <w:rsid w:val="005637C8"/>
    <w:rsid w:val="0056696F"/>
    <w:rsid w:val="00575D8D"/>
    <w:rsid w:val="00576972"/>
    <w:rsid w:val="005771A2"/>
    <w:rsid w:val="005821A9"/>
    <w:rsid w:val="00583699"/>
    <w:rsid w:val="0058490D"/>
    <w:rsid w:val="00585D32"/>
    <w:rsid w:val="0059144A"/>
    <w:rsid w:val="005921D4"/>
    <w:rsid w:val="0059380D"/>
    <w:rsid w:val="005957E8"/>
    <w:rsid w:val="00595D41"/>
    <w:rsid w:val="00596679"/>
    <w:rsid w:val="00596F3C"/>
    <w:rsid w:val="005971DD"/>
    <w:rsid w:val="005A00F9"/>
    <w:rsid w:val="005A0193"/>
    <w:rsid w:val="005A15C4"/>
    <w:rsid w:val="005A5DC4"/>
    <w:rsid w:val="005A69C1"/>
    <w:rsid w:val="005A6E17"/>
    <w:rsid w:val="005A6E4A"/>
    <w:rsid w:val="005B07E4"/>
    <w:rsid w:val="005B3E86"/>
    <w:rsid w:val="005B4BFE"/>
    <w:rsid w:val="005B5857"/>
    <w:rsid w:val="005B5DEF"/>
    <w:rsid w:val="005B614D"/>
    <w:rsid w:val="005B62C5"/>
    <w:rsid w:val="005B6309"/>
    <w:rsid w:val="005C1B83"/>
    <w:rsid w:val="005C2D8C"/>
    <w:rsid w:val="005C346B"/>
    <w:rsid w:val="005C36A6"/>
    <w:rsid w:val="005C5438"/>
    <w:rsid w:val="005C63B8"/>
    <w:rsid w:val="005D044D"/>
    <w:rsid w:val="005D18AD"/>
    <w:rsid w:val="005D1D19"/>
    <w:rsid w:val="005D345D"/>
    <w:rsid w:val="005D6022"/>
    <w:rsid w:val="005D736D"/>
    <w:rsid w:val="005E4BFF"/>
    <w:rsid w:val="005E4CFA"/>
    <w:rsid w:val="005E73C0"/>
    <w:rsid w:val="005F2706"/>
    <w:rsid w:val="005F3C0C"/>
    <w:rsid w:val="005F4D65"/>
    <w:rsid w:val="005F62E9"/>
    <w:rsid w:val="005F647E"/>
    <w:rsid w:val="005F64F3"/>
    <w:rsid w:val="005F69DD"/>
    <w:rsid w:val="005F6A8F"/>
    <w:rsid w:val="006017C6"/>
    <w:rsid w:val="00602367"/>
    <w:rsid w:val="00603245"/>
    <w:rsid w:val="00604104"/>
    <w:rsid w:val="00604214"/>
    <w:rsid w:val="006055F9"/>
    <w:rsid w:val="006065DB"/>
    <w:rsid w:val="00607669"/>
    <w:rsid w:val="00612F97"/>
    <w:rsid w:val="00614EAE"/>
    <w:rsid w:val="0061647A"/>
    <w:rsid w:val="00616802"/>
    <w:rsid w:val="00617DF5"/>
    <w:rsid w:val="00617E12"/>
    <w:rsid w:val="006208E8"/>
    <w:rsid w:val="00620A68"/>
    <w:rsid w:val="00621477"/>
    <w:rsid w:val="006260F8"/>
    <w:rsid w:val="00626374"/>
    <w:rsid w:val="00630EF0"/>
    <w:rsid w:val="00631D6B"/>
    <w:rsid w:val="00634535"/>
    <w:rsid w:val="0063479F"/>
    <w:rsid w:val="0063569B"/>
    <w:rsid w:val="006364A1"/>
    <w:rsid w:val="00637150"/>
    <w:rsid w:val="00637BFD"/>
    <w:rsid w:val="006404AB"/>
    <w:rsid w:val="00641F24"/>
    <w:rsid w:val="0064272C"/>
    <w:rsid w:val="00642D76"/>
    <w:rsid w:val="00643C5B"/>
    <w:rsid w:val="00644778"/>
    <w:rsid w:val="006471CC"/>
    <w:rsid w:val="00647DD8"/>
    <w:rsid w:val="0065079F"/>
    <w:rsid w:val="006515AE"/>
    <w:rsid w:val="006565A3"/>
    <w:rsid w:val="00656BE6"/>
    <w:rsid w:val="00661556"/>
    <w:rsid w:val="00662C25"/>
    <w:rsid w:val="00663F28"/>
    <w:rsid w:val="006643D9"/>
    <w:rsid w:val="00666E85"/>
    <w:rsid w:val="00666FC7"/>
    <w:rsid w:val="00670619"/>
    <w:rsid w:val="00670A99"/>
    <w:rsid w:val="00671299"/>
    <w:rsid w:val="00671FAA"/>
    <w:rsid w:val="006734E6"/>
    <w:rsid w:val="00674E42"/>
    <w:rsid w:val="00677CA3"/>
    <w:rsid w:val="00682112"/>
    <w:rsid w:val="006842C9"/>
    <w:rsid w:val="00685CC9"/>
    <w:rsid w:val="006872BA"/>
    <w:rsid w:val="00690524"/>
    <w:rsid w:val="0069061F"/>
    <w:rsid w:val="006917D7"/>
    <w:rsid w:val="00693707"/>
    <w:rsid w:val="00694F44"/>
    <w:rsid w:val="006962FC"/>
    <w:rsid w:val="0069766A"/>
    <w:rsid w:val="00697BEA"/>
    <w:rsid w:val="006A01A9"/>
    <w:rsid w:val="006A064E"/>
    <w:rsid w:val="006A1841"/>
    <w:rsid w:val="006A2EA3"/>
    <w:rsid w:val="006A494D"/>
    <w:rsid w:val="006A5CC3"/>
    <w:rsid w:val="006A7BB2"/>
    <w:rsid w:val="006B1059"/>
    <w:rsid w:val="006B174D"/>
    <w:rsid w:val="006B1963"/>
    <w:rsid w:val="006B23D3"/>
    <w:rsid w:val="006B6C7C"/>
    <w:rsid w:val="006B764E"/>
    <w:rsid w:val="006C0845"/>
    <w:rsid w:val="006C0E5C"/>
    <w:rsid w:val="006C1CA2"/>
    <w:rsid w:val="006C2A8E"/>
    <w:rsid w:val="006C5584"/>
    <w:rsid w:val="006C59DC"/>
    <w:rsid w:val="006C5C01"/>
    <w:rsid w:val="006C70DD"/>
    <w:rsid w:val="006C7A79"/>
    <w:rsid w:val="006C7B9B"/>
    <w:rsid w:val="006D0E4C"/>
    <w:rsid w:val="006D115C"/>
    <w:rsid w:val="006D368C"/>
    <w:rsid w:val="006D3B1C"/>
    <w:rsid w:val="006D3C7D"/>
    <w:rsid w:val="006D4903"/>
    <w:rsid w:val="006D4B0C"/>
    <w:rsid w:val="006D5D5F"/>
    <w:rsid w:val="006E099D"/>
    <w:rsid w:val="006E1534"/>
    <w:rsid w:val="006E2B5D"/>
    <w:rsid w:val="006E33DE"/>
    <w:rsid w:val="006E4721"/>
    <w:rsid w:val="006F4C80"/>
    <w:rsid w:val="006F63A5"/>
    <w:rsid w:val="00701876"/>
    <w:rsid w:val="00702689"/>
    <w:rsid w:val="0070276E"/>
    <w:rsid w:val="00702F8F"/>
    <w:rsid w:val="0070317E"/>
    <w:rsid w:val="00703CCC"/>
    <w:rsid w:val="007063AA"/>
    <w:rsid w:val="00706CE6"/>
    <w:rsid w:val="00707991"/>
    <w:rsid w:val="00711A36"/>
    <w:rsid w:val="00714BBC"/>
    <w:rsid w:val="00716542"/>
    <w:rsid w:val="007172AD"/>
    <w:rsid w:val="00717D55"/>
    <w:rsid w:val="00721792"/>
    <w:rsid w:val="00721ECD"/>
    <w:rsid w:val="007240FD"/>
    <w:rsid w:val="0072416F"/>
    <w:rsid w:val="00725694"/>
    <w:rsid w:val="007276B4"/>
    <w:rsid w:val="00735328"/>
    <w:rsid w:val="0073685B"/>
    <w:rsid w:val="007370B2"/>
    <w:rsid w:val="00740A18"/>
    <w:rsid w:val="00740B55"/>
    <w:rsid w:val="007416E9"/>
    <w:rsid w:val="00744322"/>
    <w:rsid w:val="0074559E"/>
    <w:rsid w:val="0074774A"/>
    <w:rsid w:val="007478A8"/>
    <w:rsid w:val="00761131"/>
    <w:rsid w:val="007734C8"/>
    <w:rsid w:val="00777C31"/>
    <w:rsid w:val="00785573"/>
    <w:rsid w:val="007859E0"/>
    <w:rsid w:val="00786288"/>
    <w:rsid w:val="00786C79"/>
    <w:rsid w:val="00786E62"/>
    <w:rsid w:val="00787B76"/>
    <w:rsid w:val="00791190"/>
    <w:rsid w:val="00792540"/>
    <w:rsid w:val="00793B6F"/>
    <w:rsid w:val="0079537F"/>
    <w:rsid w:val="00795C63"/>
    <w:rsid w:val="007A0A12"/>
    <w:rsid w:val="007A3C9A"/>
    <w:rsid w:val="007A4D1E"/>
    <w:rsid w:val="007A5223"/>
    <w:rsid w:val="007A7FE7"/>
    <w:rsid w:val="007B251D"/>
    <w:rsid w:val="007B2EE7"/>
    <w:rsid w:val="007B47C5"/>
    <w:rsid w:val="007B7002"/>
    <w:rsid w:val="007B77D1"/>
    <w:rsid w:val="007C1077"/>
    <w:rsid w:val="007C2491"/>
    <w:rsid w:val="007C361D"/>
    <w:rsid w:val="007C3BC2"/>
    <w:rsid w:val="007C402C"/>
    <w:rsid w:val="007D0B38"/>
    <w:rsid w:val="007D35FA"/>
    <w:rsid w:val="007D477A"/>
    <w:rsid w:val="007D4900"/>
    <w:rsid w:val="007D695B"/>
    <w:rsid w:val="007E1274"/>
    <w:rsid w:val="007E3751"/>
    <w:rsid w:val="007F1017"/>
    <w:rsid w:val="007F1444"/>
    <w:rsid w:val="007F1CD6"/>
    <w:rsid w:val="007F2AD7"/>
    <w:rsid w:val="007F2FBE"/>
    <w:rsid w:val="007F4A3F"/>
    <w:rsid w:val="007F550B"/>
    <w:rsid w:val="00802FDB"/>
    <w:rsid w:val="0080374C"/>
    <w:rsid w:val="00804338"/>
    <w:rsid w:val="00805142"/>
    <w:rsid w:val="008061CC"/>
    <w:rsid w:val="00807A8B"/>
    <w:rsid w:val="0081019D"/>
    <w:rsid w:val="008103BF"/>
    <w:rsid w:val="00811EA2"/>
    <w:rsid w:val="00812149"/>
    <w:rsid w:val="008159FF"/>
    <w:rsid w:val="008166EF"/>
    <w:rsid w:val="00816A09"/>
    <w:rsid w:val="008242E0"/>
    <w:rsid w:val="008264EB"/>
    <w:rsid w:val="00826664"/>
    <w:rsid w:val="00826989"/>
    <w:rsid w:val="00826ADE"/>
    <w:rsid w:val="00831353"/>
    <w:rsid w:val="008319F7"/>
    <w:rsid w:val="00831F82"/>
    <w:rsid w:val="00833B05"/>
    <w:rsid w:val="00833F5A"/>
    <w:rsid w:val="00836FAD"/>
    <w:rsid w:val="00840CA2"/>
    <w:rsid w:val="00841D00"/>
    <w:rsid w:val="00845833"/>
    <w:rsid w:val="008473EA"/>
    <w:rsid w:val="00853AD2"/>
    <w:rsid w:val="008540CC"/>
    <w:rsid w:val="00856E9A"/>
    <w:rsid w:val="00857E59"/>
    <w:rsid w:val="0086058A"/>
    <w:rsid w:val="00862502"/>
    <w:rsid w:val="0086342B"/>
    <w:rsid w:val="008713A2"/>
    <w:rsid w:val="00882874"/>
    <w:rsid w:val="00883787"/>
    <w:rsid w:val="00883BE6"/>
    <w:rsid w:val="00884DB8"/>
    <w:rsid w:val="0088641B"/>
    <w:rsid w:val="00886940"/>
    <w:rsid w:val="00887AAE"/>
    <w:rsid w:val="00890789"/>
    <w:rsid w:val="00893568"/>
    <w:rsid w:val="00894489"/>
    <w:rsid w:val="008949C1"/>
    <w:rsid w:val="0089639F"/>
    <w:rsid w:val="008963A5"/>
    <w:rsid w:val="008A2279"/>
    <w:rsid w:val="008A3C3E"/>
    <w:rsid w:val="008A79DE"/>
    <w:rsid w:val="008B029C"/>
    <w:rsid w:val="008B17F2"/>
    <w:rsid w:val="008B28F6"/>
    <w:rsid w:val="008B4B3F"/>
    <w:rsid w:val="008B681C"/>
    <w:rsid w:val="008B703A"/>
    <w:rsid w:val="008B7D7E"/>
    <w:rsid w:val="008C09C3"/>
    <w:rsid w:val="008C0E67"/>
    <w:rsid w:val="008C6C7A"/>
    <w:rsid w:val="008C7176"/>
    <w:rsid w:val="008C7945"/>
    <w:rsid w:val="008C7ECB"/>
    <w:rsid w:val="008C7FA3"/>
    <w:rsid w:val="008D0C05"/>
    <w:rsid w:val="008D15E4"/>
    <w:rsid w:val="008D3066"/>
    <w:rsid w:val="008D3A2D"/>
    <w:rsid w:val="008D3F8A"/>
    <w:rsid w:val="008D569B"/>
    <w:rsid w:val="008D7110"/>
    <w:rsid w:val="008E020F"/>
    <w:rsid w:val="008E1B9E"/>
    <w:rsid w:val="008E692F"/>
    <w:rsid w:val="008F07D6"/>
    <w:rsid w:val="008F120A"/>
    <w:rsid w:val="008F218D"/>
    <w:rsid w:val="008F48EB"/>
    <w:rsid w:val="008F4B79"/>
    <w:rsid w:val="008F4F0B"/>
    <w:rsid w:val="00900814"/>
    <w:rsid w:val="009014D7"/>
    <w:rsid w:val="0090212C"/>
    <w:rsid w:val="00902685"/>
    <w:rsid w:val="00903FE3"/>
    <w:rsid w:val="009062A5"/>
    <w:rsid w:val="009063D5"/>
    <w:rsid w:val="00911272"/>
    <w:rsid w:val="00911F03"/>
    <w:rsid w:val="00912BED"/>
    <w:rsid w:val="00914C85"/>
    <w:rsid w:val="009164BE"/>
    <w:rsid w:val="00917877"/>
    <w:rsid w:val="009229FE"/>
    <w:rsid w:val="00925995"/>
    <w:rsid w:val="00926149"/>
    <w:rsid w:val="00932963"/>
    <w:rsid w:val="00934A47"/>
    <w:rsid w:val="00937526"/>
    <w:rsid w:val="0094097E"/>
    <w:rsid w:val="00940E76"/>
    <w:rsid w:val="00941813"/>
    <w:rsid w:val="00942186"/>
    <w:rsid w:val="00942EEF"/>
    <w:rsid w:val="009444B5"/>
    <w:rsid w:val="00945CD7"/>
    <w:rsid w:val="00956BD6"/>
    <w:rsid w:val="00960EE2"/>
    <w:rsid w:val="009623BB"/>
    <w:rsid w:val="00962CB9"/>
    <w:rsid w:val="009631BE"/>
    <w:rsid w:val="00963EB5"/>
    <w:rsid w:val="00964312"/>
    <w:rsid w:val="00970D25"/>
    <w:rsid w:val="0097165E"/>
    <w:rsid w:val="009716D1"/>
    <w:rsid w:val="00972C31"/>
    <w:rsid w:val="00972F8B"/>
    <w:rsid w:val="009736D7"/>
    <w:rsid w:val="0097760D"/>
    <w:rsid w:val="00981CAA"/>
    <w:rsid w:val="00983990"/>
    <w:rsid w:val="00983E57"/>
    <w:rsid w:val="00984C78"/>
    <w:rsid w:val="00987CAD"/>
    <w:rsid w:val="00991EBE"/>
    <w:rsid w:val="00994206"/>
    <w:rsid w:val="00996B1A"/>
    <w:rsid w:val="00996FB5"/>
    <w:rsid w:val="009A0E84"/>
    <w:rsid w:val="009A2868"/>
    <w:rsid w:val="009B125F"/>
    <w:rsid w:val="009B2662"/>
    <w:rsid w:val="009B3E26"/>
    <w:rsid w:val="009C01C8"/>
    <w:rsid w:val="009C18DE"/>
    <w:rsid w:val="009C52CF"/>
    <w:rsid w:val="009D030D"/>
    <w:rsid w:val="009D2F44"/>
    <w:rsid w:val="009D462B"/>
    <w:rsid w:val="009D4C9F"/>
    <w:rsid w:val="009D5B91"/>
    <w:rsid w:val="009D612C"/>
    <w:rsid w:val="009D66F0"/>
    <w:rsid w:val="009E0745"/>
    <w:rsid w:val="009E129E"/>
    <w:rsid w:val="009E21CD"/>
    <w:rsid w:val="009E4C07"/>
    <w:rsid w:val="009E7615"/>
    <w:rsid w:val="009F24F6"/>
    <w:rsid w:val="009F5231"/>
    <w:rsid w:val="009F5968"/>
    <w:rsid w:val="009F6377"/>
    <w:rsid w:val="009F775A"/>
    <w:rsid w:val="00A03D43"/>
    <w:rsid w:val="00A041DC"/>
    <w:rsid w:val="00A042C5"/>
    <w:rsid w:val="00A04377"/>
    <w:rsid w:val="00A04380"/>
    <w:rsid w:val="00A0501B"/>
    <w:rsid w:val="00A05692"/>
    <w:rsid w:val="00A071B8"/>
    <w:rsid w:val="00A10F92"/>
    <w:rsid w:val="00A11169"/>
    <w:rsid w:val="00A13948"/>
    <w:rsid w:val="00A13E92"/>
    <w:rsid w:val="00A169D4"/>
    <w:rsid w:val="00A17883"/>
    <w:rsid w:val="00A20298"/>
    <w:rsid w:val="00A20562"/>
    <w:rsid w:val="00A23C52"/>
    <w:rsid w:val="00A23F85"/>
    <w:rsid w:val="00A24242"/>
    <w:rsid w:val="00A2529E"/>
    <w:rsid w:val="00A25905"/>
    <w:rsid w:val="00A260EF"/>
    <w:rsid w:val="00A27AEC"/>
    <w:rsid w:val="00A27FB0"/>
    <w:rsid w:val="00A31F51"/>
    <w:rsid w:val="00A32B5D"/>
    <w:rsid w:val="00A33D96"/>
    <w:rsid w:val="00A34AD3"/>
    <w:rsid w:val="00A35D16"/>
    <w:rsid w:val="00A363CF"/>
    <w:rsid w:val="00A36D6D"/>
    <w:rsid w:val="00A37BD8"/>
    <w:rsid w:val="00A42E1B"/>
    <w:rsid w:val="00A4321B"/>
    <w:rsid w:val="00A43C59"/>
    <w:rsid w:val="00A44D31"/>
    <w:rsid w:val="00A477EE"/>
    <w:rsid w:val="00A50C52"/>
    <w:rsid w:val="00A50ECD"/>
    <w:rsid w:val="00A522F8"/>
    <w:rsid w:val="00A52507"/>
    <w:rsid w:val="00A52729"/>
    <w:rsid w:val="00A52A70"/>
    <w:rsid w:val="00A53675"/>
    <w:rsid w:val="00A5455B"/>
    <w:rsid w:val="00A55A1D"/>
    <w:rsid w:val="00A567C8"/>
    <w:rsid w:val="00A56B6A"/>
    <w:rsid w:val="00A578DC"/>
    <w:rsid w:val="00A61D4F"/>
    <w:rsid w:val="00A62078"/>
    <w:rsid w:val="00A63562"/>
    <w:rsid w:val="00A6725B"/>
    <w:rsid w:val="00A717C9"/>
    <w:rsid w:val="00A779EA"/>
    <w:rsid w:val="00A8087C"/>
    <w:rsid w:val="00A80B8D"/>
    <w:rsid w:val="00A81548"/>
    <w:rsid w:val="00A85CCF"/>
    <w:rsid w:val="00A86E8B"/>
    <w:rsid w:val="00A87116"/>
    <w:rsid w:val="00A87548"/>
    <w:rsid w:val="00A91B92"/>
    <w:rsid w:val="00A91EBB"/>
    <w:rsid w:val="00A9207C"/>
    <w:rsid w:val="00A921E7"/>
    <w:rsid w:val="00A9234F"/>
    <w:rsid w:val="00A93072"/>
    <w:rsid w:val="00A94839"/>
    <w:rsid w:val="00A94D7F"/>
    <w:rsid w:val="00A94E11"/>
    <w:rsid w:val="00A959D8"/>
    <w:rsid w:val="00A97C69"/>
    <w:rsid w:val="00AA09BB"/>
    <w:rsid w:val="00AA16FD"/>
    <w:rsid w:val="00AA55DA"/>
    <w:rsid w:val="00AB042A"/>
    <w:rsid w:val="00AB2BB7"/>
    <w:rsid w:val="00AB2D34"/>
    <w:rsid w:val="00AB3430"/>
    <w:rsid w:val="00AB4B7C"/>
    <w:rsid w:val="00AB5FF3"/>
    <w:rsid w:val="00AB7217"/>
    <w:rsid w:val="00AB7CFA"/>
    <w:rsid w:val="00AC0946"/>
    <w:rsid w:val="00AC57CC"/>
    <w:rsid w:val="00AC5B74"/>
    <w:rsid w:val="00AC70B6"/>
    <w:rsid w:val="00AD2758"/>
    <w:rsid w:val="00AD450B"/>
    <w:rsid w:val="00AD50BE"/>
    <w:rsid w:val="00AE0F53"/>
    <w:rsid w:val="00AE0F6D"/>
    <w:rsid w:val="00AE1A9D"/>
    <w:rsid w:val="00AE1F6D"/>
    <w:rsid w:val="00AE4080"/>
    <w:rsid w:val="00AE4F81"/>
    <w:rsid w:val="00AE517A"/>
    <w:rsid w:val="00AE5300"/>
    <w:rsid w:val="00AE6BED"/>
    <w:rsid w:val="00AF1B21"/>
    <w:rsid w:val="00AF28AD"/>
    <w:rsid w:val="00AF6569"/>
    <w:rsid w:val="00B01597"/>
    <w:rsid w:val="00B01B61"/>
    <w:rsid w:val="00B12EB8"/>
    <w:rsid w:val="00B13CAD"/>
    <w:rsid w:val="00B2058D"/>
    <w:rsid w:val="00B20B91"/>
    <w:rsid w:val="00B2110F"/>
    <w:rsid w:val="00B240A6"/>
    <w:rsid w:val="00B258D4"/>
    <w:rsid w:val="00B25CB9"/>
    <w:rsid w:val="00B2787E"/>
    <w:rsid w:val="00B27F21"/>
    <w:rsid w:val="00B27F2C"/>
    <w:rsid w:val="00B30A62"/>
    <w:rsid w:val="00B30DBC"/>
    <w:rsid w:val="00B340FA"/>
    <w:rsid w:val="00B35AD0"/>
    <w:rsid w:val="00B3780E"/>
    <w:rsid w:val="00B41330"/>
    <w:rsid w:val="00B415E1"/>
    <w:rsid w:val="00B41FE7"/>
    <w:rsid w:val="00B42851"/>
    <w:rsid w:val="00B43E6D"/>
    <w:rsid w:val="00B4718F"/>
    <w:rsid w:val="00B47E9B"/>
    <w:rsid w:val="00B50DB8"/>
    <w:rsid w:val="00B53905"/>
    <w:rsid w:val="00B54B5B"/>
    <w:rsid w:val="00B5562E"/>
    <w:rsid w:val="00B57000"/>
    <w:rsid w:val="00B57234"/>
    <w:rsid w:val="00B57A84"/>
    <w:rsid w:val="00B60939"/>
    <w:rsid w:val="00B60AFD"/>
    <w:rsid w:val="00B61695"/>
    <w:rsid w:val="00B62715"/>
    <w:rsid w:val="00B64E8D"/>
    <w:rsid w:val="00B74219"/>
    <w:rsid w:val="00B76CFD"/>
    <w:rsid w:val="00B818A4"/>
    <w:rsid w:val="00B83E49"/>
    <w:rsid w:val="00B856C2"/>
    <w:rsid w:val="00B8649C"/>
    <w:rsid w:val="00B86ACE"/>
    <w:rsid w:val="00B9057E"/>
    <w:rsid w:val="00B92D0B"/>
    <w:rsid w:val="00B940A4"/>
    <w:rsid w:val="00B94945"/>
    <w:rsid w:val="00B9523C"/>
    <w:rsid w:val="00BA01A0"/>
    <w:rsid w:val="00BA263A"/>
    <w:rsid w:val="00BA26D8"/>
    <w:rsid w:val="00BA659B"/>
    <w:rsid w:val="00BA7E14"/>
    <w:rsid w:val="00BB0311"/>
    <w:rsid w:val="00BB38B5"/>
    <w:rsid w:val="00BB5292"/>
    <w:rsid w:val="00BB54E1"/>
    <w:rsid w:val="00BB6C41"/>
    <w:rsid w:val="00BB7405"/>
    <w:rsid w:val="00BB7B21"/>
    <w:rsid w:val="00BC2A5D"/>
    <w:rsid w:val="00BC46A3"/>
    <w:rsid w:val="00BC54F0"/>
    <w:rsid w:val="00BC6395"/>
    <w:rsid w:val="00BC6B17"/>
    <w:rsid w:val="00BD40BC"/>
    <w:rsid w:val="00BD4509"/>
    <w:rsid w:val="00BD529B"/>
    <w:rsid w:val="00BD57B1"/>
    <w:rsid w:val="00BD6CF3"/>
    <w:rsid w:val="00BD7340"/>
    <w:rsid w:val="00BD7C89"/>
    <w:rsid w:val="00BE0022"/>
    <w:rsid w:val="00BE0BE9"/>
    <w:rsid w:val="00BE2180"/>
    <w:rsid w:val="00BE2CB3"/>
    <w:rsid w:val="00BE4275"/>
    <w:rsid w:val="00BE504F"/>
    <w:rsid w:val="00BF0447"/>
    <w:rsid w:val="00BF2433"/>
    <w:rsid w:val="00BF3A68"/>
    <w:rsid w:val="00BF5B62"/>
    <w:rsid w:val="00BF61C9"/>
    <w:rsid w:val="00C02DB0"/>
    <w:rsid w:val="00C04C16"/>
    <w:rsid w:val="00C106C9"/>
    <w:rsid w:val="00C14C2E"/>
    <w:rsid w:val="00C1522D"/>
    <w:rsid w:val="00C22232"/>
    <w:rsid w:val="00C2422B"/>
    <w:rsid w:val="00C24A50"/>
    <w:rsid w:val="00C25418"/>
    <w:rsid w:val="00C25D9C"/>
    <w:rsid w:val="00C31649"/>
    <w:rsid w:val="00C32EC9"/>
    <w:rsid w:val="00C33425"/>
    <w:rsid w:val="00C34001"/>
    <w:rsid w:val="00C360D0"/>
    <w:rsid w:val="00C40385"/>
    <w:rsid w:val="00C416D8"/>
    <w:rsid w:val="00C42017"/>
    <w:rsid w:val="00C42339"/>
    <w:rsid w:val="00C42DA1"/>
    <w:rsid w:val="00C4738B"/>
    <w:rsid w:val="00C4754D"/>
    <w:rsid w:val="00C47DDA"/>
    <w:rsid w:val="00C5016A"/>
    <w:rsid w:val="00C5153E"/>
    <w:rsid w:val="00C51A9F"/>
    <w:rsid w:val="00C51C5E"/>
    <w:rsid w:val="00C52493"/>
    <w:rsid w:val="00C52663"/>
    <w:rsid w:val="00C52F50"/>
    <w:rsid w:val="00C5434F"/>
    <w:rsid w:val="00C54996"/>
    <w:rsid w:val="00C54DE2"/>
    <w:rsid w:val="00C55E7A"/>
    <w:rsid w:val="00C6139D"/>
    <w:rsid w:val="00C615FB"/>
    <w:rsid w:val="00C65576"/>
    <w:rsid w:val="00C66165"/>
    <w:rsid w:val="00C70C24"/>
    <w:rsid w:val="00C750C8"/>
    <w:rsid w:val="00C8172C"/>
    <w:rsid w:val="00C8213F"/>
    <w:rsid w:val="00C824D1"/>
    <w:rsid w:val="00C84CD2"/>
    <w:rsid w:val="00C8797A"/>
    <w:rsid w:val="00C90263"/>
    <w:rsid w:val="00C90DCA"/>
    <w:rsid w:val="00C92D81"/>
    <w:rsid w:val="00C938A9"/>
    <w:rsid w:val="00C938CF"/>
    <w:rsid w:val="00C94478"/>
    <w:rsid w:val="00C96B1E"/>
    <w:rsid w:val="00CA5245"/>
    <w:rsid w:val="00CA5737"/>
    <w:rsid w:val="00CA58F9"/>
    <w:rsid w:val="00CA7B09"/>
    <w:rsid w:val="00CB02FA"/>
    <w:rsid w:val="00CB5B1A"/>
    <w:rsid w:val="00CB5B41"/>
    <w:rsid w:val="00CB7D92"/>
    <w:rsid w:val="00CC05E6"/>
    <w:rsid w:val="00CC12E4"/>
    <w:rsid w:val="00CC2161"/>
    <w:rsid w:val="00CC49E0"/>
    <w:rsid w:val="00CC4C2C"/>
    <w:rsid w:val="00CC56D1"/>
    <w:rsid w:val="00CC72DA"/>
    <w:rsid w:val="00CD0149"/>
    <w:rsid w:val="00CD0800"/>
    <w:rsid w:val="00CD2D62"/>
    <w:rsid w:val="00CD471C"/>
    <w:rsid w:val="00CD51D6"/>
    <w:rsid w:val="00CD6ADC"/>
    <w:rsid w:val="00CD6E91"/>
    <w:rsid w:val="00CE18B2"/>
    <w:rsid w:val="00CE1F87"/>
    <w:rsid w:val="00CE3CB3"/>
    <w:rsid w:val="00CE4F3E"/>
    <w:rsid w:val="00CE6274"/>
    <w:rsid w:val="00CE7785"/>
    <w:rsid w:val="00CF0D2C"/>
    <w:rsid w:val="00CF456B"/>
    <w:rsid w:val="00CF5A22"/>
    <w:rsid w:val="00CF6B20"/>
    <w:rsid w:val="00CF7905"/>
    <w:rsid w:val="00D01B29"/>
    <w:rsid w:val="00D01D8B"/>
    <w:rsid w:val="00D0262E"/>
    <w:rsid w:val="00D04453"/>
    <w:rsid w:val="00D0598B"/>
    <w:rsid w:val="00D0615E"/>
    <w:rsid w:val="00D0717C"/>
    <w:rsid w:val="00D110BD"/>
    <w:rsid w:val="00D14B40"/>
    <w:rsid w:val="00D15B5F"/>
    <w:rsid w:val="00D16FA5"/>
    <w:rsid w:val="00D17D6C"/>
    <w:rsid w:val="00D17DA6"/>
    <w:rsid w:val="00D20ECD"/>
    <w:rsid w:val="00D2324E"/>
    <w:rsid w:val="00D24C72"/>
    <w:rsid w:val="00D25027"/>
    <w:rsid w:val="00D25424"/>
    <w:rsid w:val="00D25CC3"/>
    <w:rsid w:val="00D2675B"/>
    <w:rsid w:val="00D26D8C"/>
    <w:rsid w:val="00D3150B"/>
    <w:rsid w:val="00D357FF"/>
    <w:rsid w:val="00D3592A"/>
    <w:rsid w:val="00D36EE4"/>
    <w:rsid w:val="00D37951"/>
    <w:rsid w:val="00D404EF"/>
    <w:rsid w:val="00D40CE8"/>
    <w:rsid w:val="00D466E9"/>
    <w:rsid w:val="00D46E3E"/>
    <w:rsid w:val="00D51A74"/>
    <w:rsid w:val="00D5204E"/>
    <w:rsid w:val="00D52FED"/>
    <w:rsid w:val="00D55211"/>
    <w:rsid w:val="00D56837"/>
    <w:rsid w:val="00D56C98"/>
    <w:rsid w:val="00D625D5"/>
    <w:rsid w:val="00D62893"/>
    <w:rsid w:val="00D62BBF"/>
    <w:rsid w:val="00D6481B"/>
    <w:rsid w:val="00D66313"/>
    <w:rsid w:val="00D66913"/>
    <w:rsid w:val="00D67174"/>
    <w:rsid w:val="00D67744"/>
    <w:rsid w:val="00D67A72"/>
    <w:rsid w:val="00D67B9B"/>
    <w:rsid w:val="00D73962"/>
    <w:rsid w:val="00D76A44"/>
    <w:rsid w:val="00D76B9F"/>
    <w:rsid w:val="00D84F3F"/>
    <w:rsid w:val="00D92456"/>
    <w:rsid w:val="00D93753"/>
    <w:rsid w:val="00DA4373"/>
    <w:rsid w:val="00DA736C"/>
    <w:rsid w:val="00DA77A5"/>
    <w:rsid w:val="00DB0CD0"/>
    <w:rsid w:val="00DB59E4"/>
    <w:rsid w:val="00DC195C"/>
    <w:rsid w:val="00DC237E"/>
    <w:rsid w:val="00DC2F11"/>
    <w:rsid w:val="00DC45E6"/>
    <w:rsid w:val="00DC5501"/>
    <w:rsid w:val="00DD0F67"/>
    <w:rsid w:val="00DD1921"/>
    <w:rsid w:val="00DD3F28"/>
    <w:rsid w:val="00DD4537"/>
    <w:rsid w:val="00DD4E15"/>
    <w:rsid w:val="00DD6B47"/>
    <w:rsid w:val="00DD6C33"/>
    <w:rsid w:val="00DD7178"/>
    <w:rsid w:val="00DD7413"/>
    <w:rsid w:val="00DE0912"/>
    <w:rsid w:val="00DE0F60"/>
    <w:rsid w:val="00DE3B55"/>
    <w:rsid w:val="00DE4378"/>
    <w:rsid w:val="00DE4FCB"/>
    <w:rsid w:val="00DE5255"/>
    <w:rsid w:val="00DE6168"/>
    <w:rsid w:val="00DE738F"/>
    <w:rsid w:val="00DF0BB1"/>
    <w:rsid w:val="00DF2683"/>
    <w:rsid w:val="00DF3C2E"/>
    <w:rsid w:val="00DF5D2B"/>
    <w:rsid w:val="00DF5D42"/>
    <w:rsid w:val="00DF682F"/>
    <w:rsid w:val="00E008D3"/>
    <w:rsid w:val="00E01472"/>
    <w:rsid w:val="00E01F38"/>
    <w:rsid w:val="00E06885"/>
    <w:rsid w:val="00E07E6C"/>
    <w:rsid w:val="00E10149"/>
    <w:rsid w:val="00E10279"/>
    <w:rsid w:val="00E10856"/>
    <w:rsid w:val="00E10DE8"/>
    <w:rsid w:val="00E13AA5"/>
    <w:rsid w:val="00E16372"/>
    <w:rsid w:val="00E20ED6"/>
    <w:rsid w:val="00E21358"/>
    <w:rsid w:val="00E2249B"/>
    <w:rsid w:val="00E22A0D"/>
    <w:rsid w:val="00E2305A"/>
    <w:rsid w:val="00E24F18"/>
    <w:rsid w:val="00E2712E"/>
    <w:rsid w:val="00E2771E"/>
    <w:rsid w:val="00E33840"/>
    <w:rsid w:val="00E350C0"/>
    <w:rsid w:val="00E37500"/>
    <w:rsid w:val="00E37569"/>
    <w:rsid w:val="00E4163A"/>
    <w:rsid w:val="00E41E30"/>
    <w:rsid w:val="00E4213E"/>
    <w:rsid w:val="00E42311"/>
    <w:rsid w:val="00E4244C"/>
    <w:rsid w:val="00E43D70"/>
    <w:rsid w:val="00E45107"/>
    <w:rsid w:val="00E45DDA"/>
    <w:rsid w:val="00E47B2C"/>
    <w:rsid w:val="00E51560"/>
    <w:rsid w:val="00E52185"/>
    <w:rsid w:val="00E538B3"/>
    <w:rsid w:val="00E54A0A"/>
    <w:rsid w:val="00E55424"/>
    <w:rsid w:val="00E55BB5"/>
    <w:rsid w:val="00E63FAD"/>
    <w:rsid w:val="00E65821"/>
    <w:rsid w:val="00E65E79"/>
    <w:rsid w:val="00E6612E"/>
    <w:rsid w:val="00E668F3"/>
    <w:rsid w:val="00E67416"/>
    <w:rsid w:val="00E678E3"/>
    <w:rsid w:val="00E67989"/>
    <w:rsid w:val="00E71124"/>
    <w:rsid w:val="00E718B6"/>
    <w:rsid w:val="00E73581"/>
    <w:rsid w:val="00E753B0"/>
    <w:rsid w:val="00E82436"/>
    <w:rsid w:val="00E83BDF"/>
    <w:rsid w:val="00E84C09"/>
    <w:rsid w:val="00E85ED6"/>
    <w:rsid w:val="00E87865"/>
    <w:rsid w:val="00E9003F"/>
    <w:rsid w:val="00E9142B"/>
    <w:rsid w:val="00E91AC8"/>
    <w:rsid w:val="00E92F4F"/>
    <w:rsid w:val="00E974FE"/>
    <w:rsid w:val="00EA097C"/>
    <w:rsid w:val="00EA0BD4"/>
    <w:rsid w:val="00EA35A3"/>
    <w:rsid w:val="00EA3864"/>
    <w:rsid w:val="00EA7FA1"/>
    <w:rsid w:val="00EB15B6"/>
    <w:rsid w:val="00EB1D35"/>
    <w:rsid w:val="00EB326A"/>
    <w:rsid w:val="00EB4916"/>
    <w:rsid w:val="00EB66BF"/>
    <w:rsid w:val="00EB7F05"/>
    <w:rsid w:val="00EC00C9"/>
    <w:rsid w:val="00EC3C93"/>
    <w:rsid w:val="00EC5192"/>
    <w:rsid w:val="00EC57A4"/>
    <w:rsid w:val="00ED630D"/>
    <w:rsid w:val="00ED72AB"/>
    <w:rsid w:val="00EE07D3"/>
    <w:rsid w:val="00EE3519"/>
    <w:rsid w:val="00EF2721"/>
    <w:rsid w:val="00EF6266"/>
    <w:rsid w:val="00EF6D3B"/>
    <w:rsid w:val="00F00C1B"/>
    <w:rsid w:val="00F02414"/>
    <w:rsid w:val="00F04282"/>
    <w:rsid w:val="00F067A2"/>
    <w:rsid w:val="00F101C1"/>
    <w:rsid w:val="00F13684"/>
    <w:rsid w:val="00F21E57"/>
    <w:rsid w:val="00F2222F"/>
    <w:rsid w:val="00F22A98"/>
    <w:rsid w:val="00F22CF2"/>
    <w:rsid w:val="00F24837"/>
    <w:rsid w:val="00F2575F"/>
    <w:rsid w:val="00F268E1"/>
    <w:rsid w:val="00F26EB1"/>
    <w:rsid w:val="00F2751E"/>
    <w:rsid w:val="00F3035E"/>
    <w:rsid w:val="00F30F32"/>
    <w:rsid w:val="00F31A10"/>
    <w:rsid w:val="00F33DE9"/>
    <w:rsid w:val="00F34A1B"/>
    <w:rsid w:val="00F3619A"/>
    <w:rsid w:val="00F407DA"/>
    <w:rsid w:val="00F419E1"/>
    <w:rsid w:val="00F4236A"/>
    <w:rsid w:val="00F42900"/>
    <w:rsid w:val="00F45926"/>
    <w:rsid w:val="00F46CB6"/>
    <w:rsid w:val="00F50E39"/>
    <w:rsid w:val="00F5112E"/>
    <w:rsid w:val="00F55689"/>
    <w:rsid w:val="00F55E73"/>
    <w:rsid w:val="00F565EC"/>
    <w:rsid w:val="00F56756"/>
    <w:rsid w:val="00F60092"/>
    <w:rsid w:val="00F615D2"/>
    <w:rsid w:val="00F61DF0"/>
    <w:rsid w:val="00F62F07"/>
    <w:rsid w:val="00F63A48"/>
    <w:rsid w:val="00F726DD"/>
    <w:rsid w:val="00F759B1"/>
    <w:rsid w:val="00F75B98"/>
    <w:rsid w:val="00F75E28"/>
    <w:rsid w:val="00F76199"/>
    <w:rsid w:val="00F80E5D"/>
    <w:rsid w:val="00F82066"/>
    <w:rsid w:val="00F82D73"/>
    <w:rsid w:val="00F851CE"/>
    <w:rsid w:val="00F86EA0"/>
    <w:rsid w:val="00F90F0B"/>
    <w:rsid w:val="00F94057"/>
    <w:rsid w:val="00F95246"/>
    <w:rsid w:val="00F963A0"/>
    <w:rsid w:val="00F96D8A"/>
    <w:rsid w:val="00F97A78"/>
    <w:rsid w:val="00FA24E7"/>
    <w:rsid w:val="00FA3D5C"/>
    <w:rsid w:val="00FA5081"/>
    <w:rsid w:val="00FB15AF"/>
    <w:rsid w:val="00FB2FCB"/>
    <w:rsid w:val="00FB5FAC"/>
    <w:rsid w:val="00FB6283"/>
    <w:rsid w:val="00FC0B7E"/>
    <w:rsid w:val="00FC0CC5"/>
    <w:rsid w:val="00FC1074"/>
    <w:rsid w:val="00FC1194"/>
    <w:rsid w:val="00FC1884"/>
    <w:rsid w:val="00FC4075"/>
    <w:rsid w:val="00FD2100"/>
    <w:rsid w:val="00FD25EC"/>
    <w:rsid w:val="00FD2BB3"/>
    <w:rsid w:val="00FD4425"/>
    <w:rsid w:val="00FD446D"/>
    <w:rsid w:val="00FD64FA"/>
    <w:rsid w:val="00FE238F"/>
    <w:rsid w:val="00FE4E7F"/>
    <w:rsid w:val="00FF01FB"/>
    <w:rsid w:val="00FF14BA"/>
    <w:rsid w:val="00FF22F6"/>
    <w:rsid w:val="00FF358E"/>
    <w:rsid w:val="00FF3DCF"/>
    <w:rsid w:val="00FF51A9"/>
    <w:rsid w:val="00FF5AA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89"/>
    <w:pPr>
      <w:widowControl w:val="0"/>
      <w:snapToGrid w:val="0"/>
      <w:jc w:val="both"/>
    </w:pPr>
    <w:rPr>
      <w:rFonts w:ascii="Arial" w:hAnsi="Arial" w:cs="Arial"/>
      <w:sz w:val="22"/>
      <w:lang w:eastAsia="en-US"/>
    </w:rPr>
  </w:style>
  <w:style w:type="paragraph" w:styleId="Heading1">
    <w:name w:val="heading 1"/>
    <w:basedOn w:val="Normal"/>
    <w:next w:val="Normal"/>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62852"/>
    <w:pPr>
      <w:widowControl/>
      <w:snapToGrid/>
      <w:jc w:val="left"/>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162852"/>
    <w:rPr>
      <w:rFonts w:ascii="Arial" w:hAnsi="Arial" w:cs="Arial"/>
      <w:b/>
      <w:i/>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2E6F6F"/>
    <w:pPr>
      <w:jc w:val="left"/>
    </w:pPr>
    <w:rPr>
      <w:sz w:val="28"/>
    </w:rPr>
  </w:style>
  <w:style w:type="character" w:customStyle="1" w:styleId="TitleChar">
    <w:name w:val="Title Char"/>
    <w:basedOn w:val="DefaultParagraphFont"/>
    <w:link w:val="Title"/>
    <w:rsid w:val="002E6F6F"/>
    <w:rPr>
      <w:rFonts w:ascii="Arial Bold" w:hAnsi="Arial Bold" w:cs="Arial"/>
      <w:b/>
      <w:caps/>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val="0"/>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val="0"/>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val="0"/>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val="0"/>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val="0"/>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val="0"/>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customStyle="1" w:styleId="TableNotes">
    <w:name w:val="TableNotes"/>
    <w:basedOn w:val="Normal"/>
    <w:next w:val="Normal"/>
    <w:uiPriority w:val="3"/>
    <w:qFormat/>
    <w:rsid w:val="00F55689"/>
    <w:pPr>
      <w:widowControl/>
      <w:tabs>
        <w:tab w:val="left" w:pos="1134"/>
      </w:tabs>
      <w:ind w:left="1134" w:hanging="1134"/>
      <w:jc w:val="left"/>
    </w:pPr>
    <w:rPr>
      <w:rFonts w:ascii="Calibri" w:eastAsiaTheme="minorEastAsia" w:hAnsi="Calibri" w:cstheme="minorBidi"/>
      <w:snapToGrid w:val="0"/>
      <w:sz w:val="18"/>
      <w:szCs w:val="18"/>
    </w:rPr>
  </w:style>
  <w:style w:type="character" w:customStyle="1" w:styleId="TableTextChar0">
    <w:name w:val="TableText Char"/>
    <w:basedOn w:val="DefaultParagraphFont"/>
    <w:link w:val="TableText0"/>
    <w:uiPriority w:val="3"/>
    <w:rsid w:val="00F55689"/>
    <w:rPr>
      <w:rFonts w:ascii="Arial Narrow" w:hAnsi="Arial Narrow" w:cs="Arial Narrow"/>
      <w:lang w:eastAsia="en-US"/>
    </w:rPr>
  </w:style>
  <w:style w:type="character" w:customStyle="1" w:styleId="Heading3Char">
    <w:name w:val="Heading 3 Char"/>
    <w:basedOn w:val="DefaultParagraphFont"/>
    <w:link w:val="Heading3"/>
    <w:rsid w:val="00596679"/>
    <w:rPr>
      <w:rFonts w:ascii="Arial" w:hAnsi="Arial" w:cs="Arial"/>
      <w:snapToGrid w:val="0"/>
      <w:sz w:val="22"/>
      <w:u w:val="single"/>
      <w:lang w:eastAsia="en-US"/>
    </w:rPr>
  </w:style>
  <w:style w:type="paragraph" w:styleId="FootnoteText">
    <w:name w:val="footnote text"/>
    <w:basedOn w:val="Normal"/>
    <w:link w:val="FootnoteTextChar"/>
    <w:uiPriority w:val="99"/>
    <w:semiHidden/>
    <w:unhideWhenUsed/>
    <w:rsid w:val="008D7110"/>
    <w:rPr>
      <w:sz w:val="20"/>
    </w:rPr>
  </w:style>
  <w:style w:type="character" w:customStyle="1" w:styleId="FootnoteTextChar">
    <w:name w:val="Footnote Text Char"/>
    <w:basedOn w:val="DefaultParagraphFont"/>
    <w:link w:val="FootnoteText"/>
    <w:uiPriority w:val="99"/>
    <w:semiHidden/>
    <w:rsid w:val="008D7110"/>
    <w:rPr>
      <w:rFonts w:ascii="Arial" w:hAnsi="Arial" w:cs="Arial"/>
      <w:snapToGrid w:val="0"/>
      <w:lang w:eastAsia="en-US"/>
    </w:rPr>
  </w:style>
  <w:style w:type="character" w:styleId="FootnoteReference">
    <w:name w:val="footnote reference"/>
    <w:basedOn w:val="DefaultParagraphFont"/>
    <w:uiPriority w:val="99"/>
    <w:semiHidden/>
    <w:unhideWhenUsed/>
    <w:rsid w:val="008D7110"/>
    <w:rPr>
      <w:vertAlign w:val="superscript"/>
    </w:rPr>
  </w:style>
  <w:style w:type="character" w:customStyle="1" w:styleId="ListParagraphChar">
    <w:name w:val="List Paragraph Char"/>
    <w:link w:val="ListParagraph"/>
    <w:uiPriority w:val="34"/>
    <w:rsid w:val="00656BE6"/>
    <w:rPr>
      <w:rFonts w:ascii="Arial" w:hAnsi="Arial" w:cs="Arial"/>
      <w:snapToGrid w:val="0"/>
      <w:sz w:val="22"/>
      <w:lang w:eastAsia="en-US"/>
    </w:rPr>
  </w:style>
  <w:style w:type="table" w:customStyle="1" w:styleId="TableGrid4">
    <w:name w:val="Table Grid4"/>
    <w:basedOn w:val="TableNormal"/>
    <w:next w:val="TableGrid"/>
    <w:uiPriority w:val="59"/>
    <w:rsid w:val="005B61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61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4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74774A"/>
  </w:style>
  <w:style w:type="character" w:customStyle="1" w:styleId="apple-converted-space">
    <w:name w:val="apple-converted-space"/>
    <w:basedOn w:val="DefaultParagraphFont"/>
    <w:rsid w:val="0074774A"/>
  </w:style>
  <w:style w:type="table" w:customStyle="1" w:styleId="TableGrid14">
    <w:name w:val="Table Grid14"/>
    <w:basedOn w:val="TableNormal"/>
    <w:next w:val="TableGrid"/>
    <w:uiPriority w:val="59"/>
    <w:rsid w:val="009942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5C2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5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063609"/>
    <w:pPr>
      <w:ind w:left="720" w:hanging="720"/>
    </w:pPr>
    <w:rPr>
      <w:rFonts w:ascii="Arial" w:hAnsi="Arial" w:cs="Arial"/>
      <w:snapToGrid w:val="0"/>
      <w:sz w:val="22"/>
      <w:szCs w:val="22"/>
      <w:lang w:eastAsia="en-US"/>
    </w:rPr>
  </w:style>
  <w:style w:type="table" w:customStyle="1" w:styleId="TableGrid1">
    <w:name w:val="Table Grid1"/>
    <w:basedOn w:val="TableNormal"/>
    <w:next w:val="TableGrid"/>
    <w:uiPriority w:val="59"/>
    <w:rsid w:val="000A63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89"/>
    <w:pPr>
      <w:widowControl w:val="0"/>
      <w:snapToGrid w:val="0"/>
      <w:jc w:val="both"/>
    </w:pPr>
    <w:rPr>
      <w:rFonts w:ascii="Arial" w:hAnsi="Arial" w:cs="Arial"/>
      <w:sz w:val="22"/>
      <w:lang w:eastAsia="en-US"/>
    </w:rPr>
  </w:style>
  <w:style w:type="paragraph" w:styleId="Heading1">
    <w:name w:val="heading 1"/>
    <w:basedOn w:val="Normal"/>
    <w:next w:val="Normal"/>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162852"/>
    <w:pPr>
      <w:widowControl/>
      <w:snapToGrid/>
      <w:jc w:val="left"/>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162852"/>
    <w:rPr>
      <w:rFonts w:ascii="Arial" w:hAnsi="Arial" w:cs="Arial"/>
      <w:b/>
      <w:i/>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2E6F6F"/>
    <w:pPr>
      <w:jc w:val="left"/>
    </w:pPr>
    <w:rPr>
      <w:sz w:val="28"/>
    </w:rPr>
  </w:style>
  <w:style w:type="character" w:customStyle="1" w:styleId="TitleChar">
    <w:name w:val="Title Char"/>
    <w:basedOn w:val="DefaultParagraphFont"/>
    <w:link w:val="Title"/>
    <w:rsid w:val="002E6F6F"/>
    <w:rPr>
      <w:rFonts w:ascii="Arial Bold" w:hAnsi="Arial Bold" w:cs="Arial"/>
      <w:b/>
      <w:caps/>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val="0"/>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val="0"/>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val="0"/>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val="0"/>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val="0"/>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val="0"/>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customStyle="1" w:styleId="TableNotes">
    <w:name w:val="TableNotes"/>
    <w:basedOn w:val="Normal"/>
    <w:next w:val="Normal"/>
    <w:uiPriority w:val="3"/>
    <w:qFormat/>
    <w:rsid w:val="00F55689"/>
    <w:pPr>
      <w:widowControl/>
      <w:tabs>
        <w:tab w:val="left" w:pos="1134"/>
      </w:tabs>
      <w:ind w:left="1134" w:hanging="1134"/>
      <w:jc w:val="left"/>
    </w:pPr>
    <w:rPr>
      <w:rFonts w:ascii="Calibri" w:eastAsiaTheme="minorEastAsia" w:hAnsi="Calibri" w:cstheme="minorBidi"/>
      <w:snapToGrid w:val="0"/>
      <w:sz w:val="18"/>
      <w:szCs w:val="18"/>
    </w:rPr>
  </w:style>
  <w:style w:type="character" w:customStyle="1" w:styleId="TableTextChar0">
    <w:name w:val="TableText Char"/>
    <w:basedOn w:val="DefaultParagraphFont"/>
    <w:link w:val="TableText0"/>
    <w:uiPriority w:val="3"/>
    <w:rsid w:val="00F55689"/>
    <w:rPr>
      <w:rFonts w:ascii="Arial Narrow" w:hAnsi="Arial Narrow" w:cs="Arial Narrow"/>
      <w:lang w:eastAsia="en-US"/>
    </w:rPr>
  </w:style>
  <w:style w:type="character" w:customStyle="1" w:styleId="Heading3Char">
    <w:name w:val="Heading 3 Char"/>
    <w:basedOn w:val="DefaultParagraphFont"/>
    <w:link w:val="Heading3"/>
    <w:rsid w:val="00596679"/>
    <w:rPr>
      <w:rFonts w:ascii="Arial" w:hAnsi="Arial" w:cs="Arial"/>
      <w:snapToGrid w:val="0"/>
      <w:sz w:val="22"/>
      <w:u w:val="single"/>
      <w:lang w:eastAsia="en-US"/>
    </w:rPr>
  </w:style>
  <w:style w:type="paragraph" w:styleId="FootnoteText">
    <w:name w:val="footnote text"/>
    <w:basedOn w:val="Normal"/>
    <w:link w:val="FootnoteTextChar"/>
    <w:uiPriority w:val="99"/>
    <w:semiHidden/>
    <w:unhideWhenUsed/>
    <w:rsid w:val="008D7110"/>
    <w:rPr>
      <w:sz w:val="20"/>
    </w:rPr>
  </w:style>
  <w:style w:type="character" w:customStyle="1" w:styleId="FootnoteTextChar">
    <w:name w:val="Footnote Text Char"/>
    <w:basedOn w:val="DefaultParagraphFont"/>
    <w:link w:val="FootnoteText"/>
    <w:uiPriority w:val="99"/>
    <w:semiHidden/>
    <w:rsid w:val="008D7110"/>
    <w:rPr>
      <w:rFonts w:ascii="Arial" w:hAnsi="Arial" w:cs="Arial"/>
      <w:snapToGrid w:val="0"/>
      <w:lang w:eastAsia="en-US"/>
    </w:rPr>
  </w:style>
  <w:style w:type="character" w:styleId="FootnoteReference">
    <w:name w:val="footnote reference"/>
    <w:basedOn w:val="DefaultParagraphFont"/>
    <w:uiPriority w:val="99"/>
    <w:semiHidden/>
    <w:unhideWhenUsed/>
    <w:rsid w:val="008D7110"/>
    <w:rPr>
      <w:vertAlign w:val="superscript"/>
    </w:rPr>
  </w:style>
  <w:style w:type="character" w:customStyle="1" w:styleId="ListParagraphChar">
    <w:name w:val="List Paragraph Char"/>
    <w:link w:val="ListParagraph"/>
    <w:uiPriority w:val="34"/>
    <w:rsid w:val="00656BE6"/>
    <w:rPr>
      <w:rFonts w:ascii="Arial" w:hAnsi="Arial" w:cs="Arial"/>
      <w:snapToGrid w:val="0"/>
      <w:sz w:val="22"/>
      <w:lang w:eastAsia="en-US"/>
    </w:rPr>
  </w:style>
  <w:style w:type="table" w:customStyle="1" w:styleId="TableGrid4">
    <w:name w:val="Table Grid4"/>
    <w:basedOn w:val="TableNormal"/>
    <w:next w:val="TableGrid"/>
    <w:uiPriority w:val="59"/>
    <w:rsid w:val="005B61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61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4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74774A"/>
  </w:style>
  <w:style w:type="character" w:customStyle="1" w:styleId="apple-converted-space">
    <w:name w:val="apple-converted-space"/>
    <w:basedOn w:val="DefaultParagraphFont"/>
    <w:rsid w:val="0074774A"/>
  </w:style>
  <w:style w:type="table" w:customStyle="1" w:styleId="TableGrid14">
    <w:name w:val="Table Grid14"/>
    <w:basedOn w:val="TableNormal"/>
    <w:next w:val="TableGrid"/>
    <w:uiPriority w:val="59"/>
    <w:rsid w:val="009942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5C2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5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063609"/>
    <w:pPr>
      <w:ind w:left="720" w:hanging="720"/>
    </w:pPr>
    <w:rPr>
      <w:rFonts w:ascii="Arial" w:hAnsi="Arial" w:cs="Arial"/>
      <w:snapToGrid w:val="0"/>
      <w:sz w:val="22"/>
      <w:szCs w:val="22"/>
      <w:lang w:eastAsia="en-US"/>
    </w:rPr>
  </w:style>
  <w:style w:type="table" w:customStyle="1" w:styleId="TableGrid1">
    <w:name w:val="Table Grid1"/>
    <w:basedOn w:val="TableNormal"/>
    <w:next w:val="TableGrid"/>
    <w:uiPriority w:val="59"/>
    <w:rsid w:val="000A63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79">
      <w:bodyDiv w:val="1"/>
      <w:marLeft w:val="0"/>
      <w:marRight w:val="0"/>
      <w:marTop w:val="0"/>
      <w:marBottom w:val="0"/>
      <w:divBdr>
        <w:top w:val="none" w:sz="0" w:space="0" w:color="auto"/>
        <w:left w:val="none" w:sz="0" w:space="0" w:color="auto"/>
        <w:bottom w:val="none" w:sz="0" w:space="0" w:color="auto"/>
        <w:right w:val="none" w:sz="0" w:space="0" w:color="auto"/>
      </w:divBdr>
    </w:div>
    <w:div w:id="119998048">
      <w:bodyDiv w:val="1"/>
      <w:marLeft w:val="0"/>
      <w:marRight w:val="0"/>
      <w:marTop w:val="0"/>
      <w:marBottom w:val="0"/>
      <w:divBdr>
        <w:top w:val="none" w:sz="0" w:space="0" w:color="auto"/>
        <w:left w:val="none" w:sz="0" w:space="0" w:color="auto"/>
        <w:bottom w:val="none" w:sz="0" w:space="0" w:color="auto"/>
        <w:right w:val="none" w:sz="0" w:space="0" w:color="auto"/>
      </w:divBdr>
    </w:div>
    <w:div w:id="128207188">
      <w:bodyDiv w:val="1"/>
      <w:marLeft w:val="0"/>
      <w:marRight w:val="0"/>
      <w:marTop w:val="0"/>
      <w:marBottom w:val="0"/>
      <w:divBdr>
        <w:top w:val="none" w:sz="0" w:space="0" w:color="auto"/>
        <w:left w:val="none" w:sz="0" w:space="0" w:color="auto"/>
        <w:bottom w:val="none" w:sz="0" w:space="0" w:color="auto"/>
        <w:right w:val="none" w:sz="0" w:space="0" w:color="auto"/>
      </w:divBdr>
    </w:div>
    <w:div w:id="225534618">
      <w:bodyDiv w:val="1"/>
      <w:marLeft w:val="0"/>
      <w:marRight w:val="0"/>
      <w:marTop w:val="0"/>
      <w:marBottom w:val="0"/>
      <w:divBdr>
        <w:top w:val="none" w:sz="0" w:space="0" w:color="auto"/>
        <w:left w:val="none" w:sz="0" w:space="0" w:color="auto"/>
        <w:bottom w:val="none" w:sz="0" w:space="0" w:color="auto"/>
        <w:right w:val="none" w:sz="0" w:space="0" w:color="auto"/>
      </w:divBdr>
    </w:div>
    <w:div w:id="242106124">
      <w:bodyDiv w:val="1"/>
      <w:marLeft w:val="0"/>
      <w:marRight w:val="0"/>
      <w:marTop w:val="0"/>
      <w:marBottom w:val="0"/>
      <w:divBdr>
        <w:top w:val="none" w:sz="0" w:space="0" w:color="auto"/>
        <w:left w:val="none" w:sz="0" w:space="0" w:color="auto"/>
        <w:bottom w:val="none" w:sz="0" w:space="0" w:color="auto"/>
        <w:right w:val="none" w:sz="0" w:space="0" w:color="auto"/>
      </w:divBdr>
    </w:div>
    <w:div w:id="260067714">
      <w:bodyDiv w:val="1"/>
      <w:marLeft w:val="0"/>
      <w:marRight w:val="0"/>
      <w:marTop w:val="0"/>
      <w:marBottom w:val="0"/>
      <w:divBdr>
        <w:top w:val="none" w:sz="0" w:space="0" w:color="auto"/>
        <w:left w:val="none" w:sz="0" w:space="0" w:color="auto"/>
        <w:bottom w:val="none" w:sz="0" w:space="0" w:color="auto"/>
        <w:right w:val="none" w:sz="0" w:space="0" w:color="auto"/>
      </w:divBdr>
    </w:div>
    <w:div w:id="513686678">
      <w:bodyDiv w:val="1"/>
      <w:marLeft w:val="0"/>
      <w:marRight w:val="0"/>
      <w:marTop w:val="0"/>
      <w:marBottom w:val="0"/>
      <w:divBdr>
        <w:top w:val="none" w:sz="0" w:space="0" w:color="auto"/>
        <w:left w:val="none" w:sz="0" w:space="0" w:color="auto"/>
        <w:bottom w:val="none" w:sz="0" w:space="0" w:color="auto"/>
        <w:right w:val="none" w:sz="0" w:space="0" w:color="auto"/>
      </w:divBdr>
    </w:div>
    <w:div w:id="580456491">
      <w:bodyDiv w:val="1"/>
      <w:marLeft w:val="0"/>
      <w:marRight w:val="0"/>
      <w:marTop w:val="0"/>
      <w:marBottom w:val="0"/>
      <w:divBdr>
        <w:top w:val="none" w:sz="0" w:space="0" w:color="auto"/>
        <w:left w:val="none" w:sz="0" w:space="0" w:color="auto"/>
        <w:bottom w:val="none" w:sz="0" w:space="0" w:color="auto"/>
        <w:right w:val="none" w:sz="0" w:space="0" w:color="auto"/>
      </w:divBdr>
      <w:divsChild>
        <w:div w:id="1664359073">
          <w:marLeft w:val="547"/>
          <w:marRight w:val="0"/>
          <w:marTop w:val="0"/>
          <w:marBottom w:val="0"/>
          <w:divBdr>
            <w:top w:val="none" w:sz="0" w:space="0" w:color="auto"/>
            <w:left w:val="none" w:sz="0" w:space="0" w:color="auto"/>
            <w:bottom w:val="none" w:sz="0" w:space="0" w:color="auto"/>
            <w:right w:val="none" w:sz="0" w:space="0" w:color="auto"/>
          </w:divBdr>
        </w:div>
      </w:divsChild>
    </w:div>
    <w:div w:id="714231974">
      <w:bodyDiv w:val="1"/>
      <w:marLeft w:val="0"/>
      <w:marRight w:val="0"/>
      <w:marTop w:val="0"/>
      <w:marBottom w:val="0"/>
      <w:divBdr>
        <w:top w:val="none" w:sz="0" w:space="0" w:color="auto"/>
        <w:left w:val="none" w:sz="0" w:space="0" w:color="auto"/>
        <w:bottom w:val="none" w:sz="0" w:space="0" w:color="auto"/>
        <w:right w:val="none" w:sz="0" w:space="0" w:color="auto"/>
      </w:divBdr>
    </w:div>
    <w:div w:id="896360296">
      <w:bodyDiv w:val="1"/>
      <w:marLeft w:val="0"/>
      <w:marRight w:val="0"/>
      <w:marTop w:val="0"/>
      <w:marBottom w:val="0"/>
      <w:divBdr>
        <w:top w:val="none" w:sz="0" w:space="0" w:color="auto"/>
        <w:left w:val="none" w:sz="0" w:space="0" w:color="auto"/>
        <w:bottom w:val="none" w:sz="0" w:space="0" w:color="auto"/>
        <w:right w:val="none" w:sz="0" w:space="0" w:color="auto"/>
      </w:divBdr>
    </w:div>
    <w:div w:id="1124081314">
      <w:bodyDiv w:val="1"/>
      <w:marLeft w:val="0"/>
      <w:marRight w:val="0"/>
      <w:marTop w:val="0"/>
      <w:marBottom w:val="0"/>
      <w:divBdr>
        <w:top w:val="none" w:sz="0" w:space="0" w:color="auto"/>
        <w:left w:val="none" w:sz="0" w:space="0" w:color="auto"/>
        <w:bottom w:val="none" w:sz="0" w:space="0" w:color="auto"/>
        <w:right w:val="none" w:sz="0" w:space="0" w:color="auto"/>
      </w:divBdr>
    </w:div>
    <w:div w:id="1163855737">
      <w:bodyDiv w:val="1"/>
      <w:marLeft w:val="0"/>
      <w:marRight w:val="0"/>
      <w:marTop w:val="0"/>
      <w:marBottom w:val="0"/>
      <w:divBdr>
        <w:top w:val="none" w:sz="0" w:space="0" w:color="auto"/>
        <w:left w:val="none" w:sz="0" w:space="0" w:color="auto"/>
        <w:bottom w:val="none" w:sz="0" w:space="0" w:color="auto"/>
        <w:right w:val="none" w:sz="0" w:space="0" w:color="auto"/>
      </w:divBdr>
    </w:div>
    <w:div w:id="1207445100">
      <w:bodyDiv w:val="1"/>
      <w:marLeft w:val="0"/>
      <w:marRight w:val="0"/>
      <w:marTop w:val="0"/>
      <w:marBottom w:val="0"/>
      <w:divBdr>
        <w:top w:val="none" w:sz="0" w:space="0" w:color="auto"/>
        <w:left w:val="none" w:sz="0" w:space="0" w:color="auto"/>
        <w:bottom w:val="none" w:sz="0" w:space="0" w:color="auto"/>
        <w:right w:val="none" w:sz="0" w:space="0" w:color="auto"/>
      </w:divBdr>
    </w:div>
    <w:div w:id="1267689971">
      <w:bodyDiv w:val="1"/>
      <w:marLeft w:val="0"/>
      <w:marRight w:val="0"/>
      <w:marTop w:val="0"/>
      <w:marBottom w:val="0"/>
      <w:divBdr>
        <w:top w:val="none" w:sz="0" w:space="0" w:color="auto"/>
        <w:left w:val="none" w:sz="0" w:space="0" w:color="auto"/>
        <w:bottom w:val="none" w:sz="0" w:space="0" w:color="auto"/>
        <w:right w:val="none" w:sz="0" w:space="0" w:color="auto"/>
      </w:divBdr>
    </w:div>
    <w:div w:id="1351954039">
      <w:bodyDiv w:val="1"/>
      <w:marLeft w:val="0"/>
      <w:marRight w:val="0"/>
      <w:marTop w:val="0"/>
      <w:marBottom w:val="0"/>
      <w:divBdr>
        <w:top w:val="none" w:sz="0" w:space="0" w:color="auto"/>
        <w:left w:val="none" w:sz="0" w:space="0" w:color="auto"/>
        <w:bottom w:val="none" w:sz="0" w:space="0" w:color="auto"/>
        <w:right w:val="none" w:sz="0" w:space="0" w:color="auto"/>
      </w:divBdr>
    </w:div>
    <w:div w:id="1370259364">
      <w:bodyDiv w:val="1"/>
      <w:marLeft w:val="0"/>
      <w:marRight w:val="0"/>
      <w:marTop w:val="0"/>
      <w:marBottom w:val="0"/>
      <w:divBdr>
        <w:top w:val="none" w:sz="0" w:space="0" w:color="auto"/>
        <w:left w:val="none" w:sz="0" w:space="0" w:color="auto"/>
        <w:bottom w:val="none" w:sz="0" w:space="0" w:color="auto"/>
        <w:right w:val="none" w:sz="0" w:space="0" w:color="auto"/>
      </w:divBdr>
    </w:div>
    <w:div w:id="1515997559">
      <w:bodyDiv w:val="1"/>
      <w:marLeft w:val="0"/>
      <w:marRight w:val="0"/>
      <w:marTop w:val="0"/>
      <w:marBottom w:val="0"/>
      <w:divBdr>
        <w:top w:val="none" w:sz="0" w:space="0" w:color="auto"/>
        <w:left w:val="none" w:sz="0" w:space="0" w:color="auto"/>
        <w:bottom w:val="none" w:sz="0" w:space="0" w:color="auto"/>
        <w:right w:val="none" w:sz="0" w:space="0" w:color="auto"/>
      </w:divBdr>
    </w:div>
    <w:div w:id="1518620577">
      <w:bodyDiv w:val="1"/>
      <w:marLeft w:val="0"/>
      <w:marRight w:val="0"/>
      <w:marTop w:val="0"/>
      <w:marBottom w:val="0"/>
      <w:divBdr>
        <w:top w:val="none" w:sz="0" w:space="0" w:color="auto"/>
        <w:left w:val="none" w:sz="0" w:space="0" w:color="auto"/>
        <w:bottom w:val="none" w:sz="0" w:space="0" w:color="auto"/>
        <w:right w:val="none" w:sz="0" w:space="0" w:color="auto"/>
      </w:divBdr>
      <w:divsChild>
        <w:div w:id="1555652790">
          <w:marLeft w:val="547"/>
          <w:marRight w:val="0"/>
          <w:marTop w:val="0"/>
          <w:marBottom w:val="0"/>
          <w:divBdr>
            <w:top w:val="none" w:sz="0" w:space="0" w:color="auto"/>
            <w:left w:val="none" w:sz="0" w:space="0" w:color="auto"/>
            <w:bottom w:val="none" w:sz="0" w:space="0" w:color="auto"/>
            <w:right w:val="none" w:sz="0" w:space="0" w:color="auto"/>
          </w:divBdr>
        </w:div>
      </w:divsChild>
    </w:div>
    <w:div w:id="1572499200">
      <w:bodyDiv w:val="1"/>
      <w:marLeft w:val="0"/>
      <w:marRight w:val="0"/>
      <w:marTop w:val="0"/>
      <w:marBottom w:val="0"/>
      <w:divBdr>
        <w:top w:val="none" w:sz="0" w:space="0" w:color="auto"/>
        <w:left w:val="none" w:sz="0" w:space="0" w:color="auto"/>
        <w:bottom w:val="none" w:sz="0" w:space="0" w:color="auto"/>
        <w:right w:val="none" w:sz="0" w:space="0" w:color="auto"/>
      </w:divBdr>
    </w:div>
    <w:div w:id="1672175074">
      <w:bodyDiv w:val="1"/>
      <w:marLeft w:val="0"/>
      <w:marRight w:val="0"/>
      <w:marTop w:val="0"/>
      <w:marBottom w:val="0"/>
      <w:divBdr>
        <w:top w:val="none" w:sz="0" w:space="0" w:color="auto"/>
        <w:left w:val="none" w:sz="0" w:space="0" w:color="auto"/>
        <w:bottom w:val="none" w:sz="0" w:space="0" w:color="auto"/>
        <w:right w:val="none" w:sz="0" w:space="0" w:color="auto"/>
      </w:divBdr>
    </w:div>
    <w:div w:id="1771849536">
      <w:bodyDiv w:val="1"/>
      <w:marLeft w:val="0"/>
      <w:marRight w:val="0"/>
      <w:marTop w:val="0"/>
      <w:marBottom w:val="0"/>
      <w:divBdr>
        <w:top w:val="none" w:sz="0" w:space="0" w:color="auto"/>
        <w:left w:val="none" w:sz="0" w:space="0" w:color="auto"/>
        <w:bottom w:val="none" w:sz="0" w:space="0" w:color="auto"/>
        <w:right w:val="none" w:sz="0" w:space="0" w:color="auto"/>
      </w:divBdr>
    </w:div>
    <w:div w:id="1835951257">
      <w:bodyDiv w:val="1"/>
      <w:marLeft w:val="0"/>
      <w:marRight w:val="0"/>
      <w:marTop w:val="0"/>
      <w:marBottom w:val="0"/>
      <w:divBdr>
        <w:top w:val="none" w:sz="0" w:space="0" w:color="auto"/>
        <w:left w:val="none" w:sz="0" w:space="0" w:color="auto"/>
        <w:bottom w:val="none" w:sz="0" w:space="0" w:color="auto"/>
        <w:right w:val="none" w:sz="0" w:space="0" w:color="auto"/>
      </w:divBdr>
    </w:div>
    <w:div w:id="1958949471">
      <w:bodyDiv w:val="1"/>
      <w:marLeft w:val="0"/>
      <w:marRight w:val="0"/>
      <w:marTop w:val="0"/>
      <w:marBottom w:val="0"/>
      <w:divBdr>
        <w:top w:val="none" w:sz="0" w:space="0" w:color="auto"/>
        <w:left w:val="none" w:sz="0" w:space="0" w:color="auto"/>
        <w:bottom w:val="none" w:sz="0" w:space="0" w:color="auto"/>
        <w:right w:val="none" w:sz="0" w:space="0" w:color="auto"/>
      </w:divBdr>
      <w:divsChild>
        <w:div w:id="121732151">
          <w:marLeft w:val="547"/>
          <w:marRight w:val="0"/>
          <w:marTop w:val="0"/>
          <w:marBottom w:val="0"/>
          <w:divBdr>
            <w:top w:val="none" w:sz="0" w:space="0" w:color="auto"/>
            <w:left w:val="none" w:sz="0" w:space="0" w:color="auto"/>
            <w:bottom w:val="none" w:sz="0" w:space="0" w:color="auto"/>
            <w:right w:val="none" w:sz="0" w:space="0" w:color="auto"/>
          </w:divBdr>
        </w:div>
      </w:divsChild>
    </w:div>
    <w:div w:id="21161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C508-D59A-4702-B750-5B5C830C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7341</Words>
  <Characters>41847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5.25 Vedolizumab</vt:lpstr>
    </vt:vector>
  </TitlesOfParts>
  <LinksUpToDate>false</LinksUpToDate>
  <CharactersWithSpaces>49090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 Vedolizumab</dc:title>
  <dc:creator/>
  <cp:lastModifiedBy/>
  <cp:revision>1</cp:revision>
  <dcterms:created xsi:type="dcterms:W3CDTF">2015-06-29T04:21:00Z</dcterms:created>
  <dcterms:modified xsi:type="dcterms:W3CDTF">2015-06-29T07:06:00Z</dcterms:modified>
</cp:coreProperties>
</file>