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E9" w:rsidRPr="005A50E9" w:rsidRDefault="00557C0A" w:rsidP="005A50E9">
      <w:pPr>
        <w:ind w:left="720" w:hanging="720"/>
        <w:rPr>
          <w:rFonts w:ascii="Arial" w:hAnsi="Arial"/>
          <w:b/>
          <w:sz w:val="28"/>
          <w:szCs w:val="28"/>
        </w:rPr>
      </w:pPr>
      <w:r>
        <w:rPr>
          <w:rFonts w:ascii="Arial" w:hAnsi="Arial"/>
          <w:b/>
          <w:sz w:val="28"/>
          <w:szCs w:val="28"/>
        </w:rPr>
        <w:t>4.03</w:t>
      </w:r>
      <w:r w:rsidR="007C0F57" w:rsidRPr="006D6EC7">
        <w:rPr>
          <w:rFonts w:ascii="Arial" w:hAnsi="Arial"/>
          <w:b/>
          <w:sz w:val="28"/>
          <w:szCs w:val="28"/>
        </w:rPr>
        <w:tab/>
      </w:r>
      <w:r w:rsidR="00F0219E" w:rsidRPr="00F0219E">
        <w:rPr>
          <w:rFonts w:ascii="Arial" w:hAnsi="Arial"/>
          <w:b/>
          <w:sz w:val="28"/>
          <w:szCs w:val="28"/>
        </w:rPr>
        <w:t>BENDAMUSTINE,</w:t>
      </w:r>
      <w:r w:rsidR="00F0219E" w:rsidRPr="00207D00">
        <w:rPr>
          <w:sz w:val="28"/>
        </w:rPr>
        <w:t xml:space="preserve"> </w:t>
      </w:r>
      <w:r w:rsidR="005A50E9" w:rsidRPr="005A50E9">
        <w:rPr>
          <w:rFonts w:ascii="Arial" w:hAnsi="Arial"/>
          <w:b/>
          <w:sz w:val="28"/>
          <w:szCs w:val="28"/>
        </w:rPr>
        <w:t>powder for injection 100 mg vial, 1</w:t>
      </w:r>
    </w:p>
    <w:p w:rsidR="00F0219E" w:rsidRDefault="005A50E9" w:rsidP="00372E8D">
      <w:pPr>
        <w:ind w:left="720"/>
        <w:rPr>
          <w:rFonts w:ascii="Arial" w:hAnsi="Arial"/>
          <w:b/>
          <w:sz w:val="28"/>
          <w:szCs w:val="28"/>
        </w:rPr>
      </w:pPr>
      <w:proofErr w:type="gramStart"/>
      <w:r w:rsidRPr="005A50E9">
        <w:rPr>
          <w:rFonts w:ascii="Arial" w:hAnsi="Arial"/>
          <w:b/>
          <w:sz w:val="28"/>
          <w:szCs w:val="28"/>
        </w:rPr>
        <w:t>powder</w:t>
      </w:r>
      <w:proofErr w:type="gramEnd"/>
      <w:r w:rsidRPr="005A50E9">
        <w:rPr>
          <w:rFonts w:ascii="Arial" w:hAnsi="Arial"/>
          <w:b/>
          <w:sz w:val="28"/>
          <w:szCs w:val="28"/>
        </w:rPr>
        <w:t xml:space="preserve"> for injection 25 mg vial, 1</w:t>
      </w:r>
      <w:r>
        <w:rPr>
          <w:rFonts w:ascii="Arial" w:hAnsi="Arial"/>
          <w:b/>
          <w:sz w:val="28"/>
          <w:szCs w:val="28"/>
        </w:rPr>
        <w:t>, Ribomustin</w:t>
      </w:r>
      <w:r w:rsidRPr="005A50E9">
        <w:rPr>
          <w:rFonts w:ascii="Arial" w:hAnsi="Arial"/>
          <w:b/>
          <w:sz w:val="28"/>
          <w:szCs w:val="28"/>
        </w:rPr>
        <w:t xml:space="preserve"> </w:t>
      </w:r>
      <w:r w:rsidR="00F0219E" w:rsidRPr="00372E8D">
        <w:rPr>
          <w:rFonts w:ascii="Arial" w:hAnsi="Arial"/>
          <w:b/>
          <w:sz w:val="28"/>
          <w:szCs w:val="28"/>
          <w:vertAlign w:val="superscript"/>
        </w:rPr>
        <w:t>®</w:t>
      </w:r>
      <w:r w:rsidR="00F0219E" w:rsidRPr="00F0219E">
        <w:rPr>
          <w:rFonts w:ascii="Arial" w:hAnsi="Arial"/>
          <w:b/>
          <w:sz w:val="28"/>
          <w:szCs w:val="28"/>
        </w:rPr>
        <w:t>, Jansen-Cilag Pty Ltd</w:t>
      </w:r>
      <w:r w:rsidR="00F0219E" w:rsidRPr="006D6EC7">
        <w:rPr>
          <w:rFonts w:ascii="Arial" w:hAnsi="Arial"/>
          <w:b/>
          <w:sz w:val="28"/>
          <w:szCs w:val="28"/>
        </w:rPr>
        <w:t xml:space="preserve"> </w:t>
      </w:r>
    </w:p>
    <w:p w:rsidR="00C27B58" w:rsidRDefault="00C27B58" w:rsidP="00C27B58">
      <w:pPr>
        <w:pStyle w:val="NoSpacing"/>
      </w:pPr>
    </w:p>
    <w:p w:rsidR="00CE10C4" w:rsidRDefault="00CE10C4" w:rsidP="00C27B58">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B45434" w:rsidRPr="00882085" w:rsidRDefault="00B45434" w:rsidP="004213B6">
      <w:pPr>
        <w:pStyle w:val="ListParagraph"/>
        <w:jc w:val="both"/>
        <w:rPr>
          <w:rFonts w:ascii="Arial" w:hAnsi="Arial"/>
          <w:b/>
          <w:sz w:val="22"/>
          <w:szCs w:val="22"/>
        </w:rPr>
      </w:pPr>
    </w:p>
    <w:p w:rsidR="006A12A5" w:rsidRPr="00882085" w:rsidRDefault="00B45434" w:rsidP="004213B6">
      <w:pPr>
        <w:pStyle w:val="ListParagraph"/>
        <w:numPr>
          <w:ilvl w:val="1"/>
          <w:numId w:val="25"/>
        </w:numPr>
        <w:jc w:val="both"/>
        <w:rPr>
          <w:rFonts w:ascii="Arial" w:hAnsi="Arial"/>
          <w:sz w:val="22"/>
          <w:szCs w:val="22"/>
        </w:rPr>
      </w:pPr>
      <w:r>
        <w:rPr>
          <w:rFonts w:ascii="Arial" w:hAnsi="Arial"/>
          <w:sz w:val="22"/>
          <w:szCs w:val="22"/>
        </w:rPr>
        <w:t xml:space="preserve">The minor </w:t>
      </w:r>
      <w:r w:rsidR="008D4E34">
        <w:rPr>
          <w:rFonts w:ascii="Arial" w:hAnsi="Arial"/>
          <w:sz w:val="22"/>
          <w:szCs w:val="22"/>
        </w:rPr>
        <w:t>re-</w:t>
      </w:r>
      <w:r>
        <w:rPr>
          <w:rFonts w:ascii="Arial" w:hAnsi="Arial"/>
          <w:sz w:val="22"/>
          <w:szCs w:val="22"/>
        </w:rPr>
        <w:t>submission</w:t>
      </w:r>
      <w:r w:rsidR="00995C36">
        <w:rPr>
          <w:rFonts w:ascii="Arial" w:hAnsi="Arial"/>
          <w:sz w:val="22"/>
          <w:szCs w:val="22"/>
        </w:rPr>
        <w:t xml:space="preserve"> </w:t>
      </w:r>
      <w:r w:rsidR="007A1EB1">
        <w:rPr>
          <w:rFonts w:ascii="Arial" w:hAnsi="Arial"/>
          <w:sz w:val="22"/>
          <w:szCs w:val="22"/>
        </w:rPr>
        <w:t xml:space="preserve">sought </w:t>
      </w:r>
      <w:r w:rsidR="00E410E1">
        <w:rPr>
          <w:rFonts w:ascii="Arial" w:hAnsi="Arial"/>
          <w:sz w:val="22"/>
          <w:szCs w:val="22"/>
        </w:rPr>
        <w:t>a section 100</w:t>
      </w:r>
      <w:r w:rsidR="00404EFD">
        <w:rPr>
          <w:rFonts w:ascii="Arial" w:hAnsi="Arial"/>
          <w:sz w:val="22"/>
          <w:szCs w:val="22"/>
        </w:rPr>
        <w:t xml:space="preserve"> Authority Required </w:t>
      </w:r>
      <w:r w:rsidR="00197895">
        <w:rPr>
          <w:rFonts w:ascii="Arial" w:hAnsi="Arial"/>
          <w:sz w:val="22"/>
          <w:szCs w:val="22"/>
        </w:rPr>
        <w:t xml:space="preserve">Efficient Funding of Chemotherapy (EFC) </w:t>
      </w:r>
      <w:r w:rsidR="00E410E1">
        <w:rPr>
          <w:rFonts w:ascii="Arial" w:hAnsi="Arial"/>
          <w:sz w:val="22"/>
          <w:szCs w:val="22"/>
        </w:rPr>
        <w:t>S</w:t>
      </w:r>
      <w:r w:rsidR="0068794C">
        <w:rPr>
          <w:rFonts w:ascii="Arial" w:hAnsi="Arial"/>
          <w:sz w:val="22"/>
          <w:szCs w:val="22"/>
        </w:rPr>
        <w:t xml:space="preserve">treamlined </w:t>
      </w:r>
      <w:r>
        <w:rPr>
          <w:rFonts w:ascii="Arial" w:hAnsi="Arial"/>
          <w:sz w:val="22"/>
          <w:szCs w:val="22"/>
        </w:rPr>
        <w:t>listing of bendamustine</w:t>
      </w:r>
      <w:r w:rsidR="00404EFD">
        <w:rPr>
          <w:rFonts w:ascii="Arial" w:hAnsi="Arial"/>
          <w:sz w:val="22"/>
          <w:szCs w:val="22"/>
        </w:rPr>
        <w:t xml:space="preserve"> in combination with rituximab</w:t>
      </w:r>
      <w:r>
        <w:rPr>
          <w:rFonts w:ascii="Arial" w:hAnsi="Arial"/>
          <w:sz w:val="22"/>
          <w:szCs w:val="22"/>
        </w:rPr>
        <w:t xml:space="preserve"> for the treatment of </w:t>
      </w:r>
      <w:r w:rsidR="00404EFD">
        <w:rPr>
          <w:rFonts w:ascii="Arial" w:hAnsi="Arial"/>
          <w:sz w:val="22"/>
          <w:szCs w:val="22"/>
        </w:rPr>
        <w:t xml:space="preserve">Stage III-IV indolent Non-Hodgkin’s Lymphoma </w:t>
      </w:r>
      <w:r>
        <w:rPr>
          <w:rFonts w:ascii="Arial" w:hAnsi="Arial"/>
          <w:sz w:val="22"/>
          <w:szCs w:val="22"/>
        </w:rPr>
        <w:t>(</w:t>
      </w:r>
      <w:proofErr w:type="spellStart"/>
      <w:r>
        <w:rPr>
          <w:rFonts w:ascii="Arial" w:hAnsi="Arial"/>
          <w:sz w:val="22"/>
          <w:szCs w:val="22"/>
        </w:rPr>
        <w:t>iNHL</w:t>
      </w:r>
      <w:proofErr w:type="spellEnd"/>
      <w:r>
        <w:rPr>
          <w:rFonts w:ascii="Arial" w:hAnsi="Arial"/>
          <w:sz w:val="22"/>
          <w:szCs w:val="22"/>
        </w:rPr>
        <w:t xml:space="preserve">) and </w:t>
      </w:r>
      <w:r w:rsidR="00404EFD">
        <w:rPr>
          <w:rFonts w:ascii="Arial" w:hAnsi="Arial"/>
          <w:sz w:val="22"/>
          <w:szCs w:val="22"/>
        </w:rPr>
        <w:t>Stage III-IV of Mantle Cell Lymphoma (MCL) in previously untreated patients.</w:t>
      </w:r>
    </w:p>
    <w:p w:rsidR="00EF44A0" w:rsidRPr="00C27B58" w:rsidRDefault="00EF44A0" w:rsidP="00C27B58">
      <w:pPr>
        <w:pStyle w:val="NoSpacing"/>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404EFD" w:rsidRDefault="00B45434" w:rsidP="00CC594F">
      <w:pPr>
        <w:pStyle w:val="ListParagraph"/>
        <w:numPr>
          <w:ilvl w:val="1"/>
          <w:numId w:val="25"/>
        </w:numPr>
        <w:jc w:val="both"/>
        <w:rPr>
          <w:rFonts w:ascii="Arial" w:hAnsi="Arial"/>
          <w:sz w:val="22"/>
          <w:szCs w:val="22"/>
        </w:rPr>
      </w:pPr>
      <w:r w:rsidRPr="00AB3C06">
        <w:rPr>
          <w:rFonts w:ascii="Arial" w:hAnsi="Arial"/>
          <w:sz w:val="22"/>
          <w:szCs w:val="22"/>
        </w:rPr>
        <w:t xml:space="preserve">The </w:t>
      </w:r>
      <w:r w:rsidR="008D4E34">
        <w:rPr>
          <w:rFonts w:ascii="Arial" w:hAnsi="Arial"/>
          <w:sz w:val="22"/>
          <w:szCs w:val="22"/>
        </w:rPr>
        <w:t>re-</w:t>
      </w:r>
      <w:r w:rsidRPr="00AB3C06">
        <w:rPr>
          <w:rFonts w:ascii="Arial" w:hAnsi="Arial"/>
          <w:sz w:val="22"/>
          <w:szCs w:val="22"/>
        </w:rPr>
        <w:t xml:space="preserve">submission </w:t>
      </w:r>
      <w:r w:rsidR="007A1EB1">
        <w:rPr>
          <w:rFonts w:ascii="Arial" w:hAnsi="Arial"/>
          <w:sz w:val="22"/>
          <w:szCs w:val="22"/>
        </w:rPr>
        <w:t>requested</w:t>
      </w:r>
      <w:r w:rsidRPr="00AB3C06">
        <w:rPr>
          <w:rFonts w:ascii="Arial" w:hAnsi="Arial"/>
          <w:sz w:val="22"/>
          <w:szCs w:val="22"/>
        </w:rPr>
        <w:t xml:space="preserve"> listing for first line </w:t>
      </w:r>
      <w:proofErr w:type="spellStart"/>
      <w:r w:rsidR="002442A2">
        <w:rPr>
          <w:rFonts w:ascii="Arial" w:hAnsi="Arial"/>
          <w:sz w:val="22"/>
          <w:szCs w:val="22"/>
        </w:rPr>
        <w:t>i</w:t>
      </w:r>
      <w:r w:rsidRPr="00AB3C06">
        <w:rPr>
          <w:rFonts w:ascii="Arial" w:hAnsi="Arial"/>
          <w:sz w:val="22"/>
          <w:szCs w:val="22"/>
        </w:rPr>
        <w:t>NHL</w:t>
      </w:r>
      <w:proofErr w:type="spellEnd"/>
      <w:r w:rsidRPr="00AB3C06">
        <w:rPr>
          <w:rFonts w:ascii="Arial" w:hAnsi="Arial"/>
          <w:sz w:val="22"/>
          <w:szCs w:val="22"/>
        </w:rPr>
        <w:t xml:space="preserve"> and first line MCL. The </w:t>
      </w:r>
      <w:r w:rsidR="008D4E34">
        <w:rPr>
          <w:rFonts w:ascii="Arial" w:hAnsi="Arial"/>
          <w:sz w:val="22"/>
          <w:szCs w:val="22"/>
        </w:rPr>
        <w:t>re-</w:t>
      </w:r>
      <w:r w:rsidRPr="00AB3C06">
        <w:rPr>
          <w:rFonts w:ascii="Arial" w:hAnsi="Arial"/>
          <w:sz w:val="22"/>
          <w:szCs w:val="22"/>
        </w:rPr>
        <w:t xml:space="preserve">submission </w:t>
      </w:r>
      <w:r w:rsidR="00E410E1">
        <w:rPr>
          <w:rFonts w:ascii="Arial" w:hAnsi="Arial"/>
          <w:sz w:val="22"/>
          <w:szCs w:val="22"/>
        </w:rPr>
        <w:t>did</w:t>
      </w:r>
      <w:r w:rsidRPr="00AB3C06">
        <w:rPr>
          <w:rFonts w:ascii="Arial" w:hAnsi="Arial"/>
          <w:sz w:val="22"/>
          <w:szCs w:val="22"/>
        </w:rPr>
        <w:t xml:space="preserve"> not seek listing of bendamustine </w:t>
      </w:r>
      <w:r w:rsidR="00D0313C" w:rsidRPr="00AB3C06">
        <w:rPr>
          <w:rFonts w:ascii="Arial" w:hAnsi="Arial"/>
          <w:sz w:val="22"/>
          <w:szCs w:val="22"/>
        </w:rPr>
        <w:t>for rituximab</w:t>
      </w:r>
      <w:r w:rsidRPr="00AB3C06">
        <w:rPr>
          <w:rFonts w:ascii="Arial" w:hAnsi="Arial"/>
          <w:sz w:val="22"/>
          <w:szCs w:val="22"/>
        </w:rPr>
        <w:t xml:space="preserve"> </w:t>
      </w:r>
      <w:r w:rsidR="002442A2">
        <w:rPr>
          <w:rFonts w:ascii="Arial" w:hAnsi="Arial"/>
          <w:sz w:val="22"/>
          <w:szCs w:val="22"/>
        </w:rPr>
        <w:t>refractory</w:t>
      </w:r>
      <w:r w:rsidRPr="00AB3C06">
        <w:rPr>
          <w:rFonts w:ascii="Arial" w:hAnsi="Arial"/>
          <w:sz w:val="22"/>
          <w:szCs w:val="22"/>
        </w:rPr>
        <w:t xml:space="preserve"> </w:t>
      </w:r>
      <w:proofErr w:type="spellStart"/>
      <w:r w:rsidR="002442A2">
        <w:rPr>
          <w:rFonts w:ascii="Arial" w:hAnsi="Arial"/>
          <w:sz w:val="22"/>
          <w:szCs w:val="22"/>
        </w:rPr>
        <w:t>i</w:t>
      </w:r>
      <w:r w:rsidRPr="00AB3C06">
        <w:rPr>
          <w:rFonts w:ascii="Arial" w:hAnsi="Arial"/>
          <w:sz w:val="22"/>
          <w:szCs w:val="22"/>
        </w:rPr>
        <w:t>NHL</w:t>
      </w:r>
      <w:proofErr w:type="spellEnd"/>
      <w:r w:rsidRPr="00AB3C06">
        <w:rPr>
          <w:rFonts w:ascii="Arial" w:hAnsi="Arial"/>
          <w:sz w:val="22"/>
          <w:szCs w:val="22"/>
        </w:rPr>
        <w:t>.</w:t>
      </w:r>
    </w:p>
    <w:p w:rsidR="00404EFD" w:rsidRPr="00AB3C06" w:rsidRDefault="00404EFD" w:rsidP="00C15A17">
      <w:pPr>
        <w:pStyle w:val="ListParagraph"/>
        <w:jc w:val="both"/>
        <w:rPr>
          <w:rFonts w:ascii="Arial" w:hAnsi="Arial"/>
          <w:sz w:val="22"/>
          <w:szCs w:val="22"/>
        </w:rPr>
      </w:pPr>
    </w:p>
    <w:p w:rsidR="00161618" w:rsidRPr="00C15A17" w:rsidRDefault="00EF44A0" w:rsidP="00CC594F">
      <w:pPr>
        <w:pStyle w:val="ListParagraph"/>
        <w:numPr>
          <w:ilvl w:val="1"/>
          <w:numId w:val="25"/>
        </w:numPr>
        <w:jc w:val="both"/>
        <w:rPr>
          <w:rFonts w:ascii="Arial" w:hAnsi="Arial" w:cs="Arial"/>
          <w:sz w:val="22"/>
          <w:szCs w:val="22"/>
        </w:rPr>
      </w:pPr>
      <w:r w:rsidRPr="00C15A17">
        <w:rPr>
          <w:rFonts w:ascii="Arial" w:hAnsi="Arial" w:cs="Arial"/>
          <w:sz w:val="22"/>
          <w:szCs w:val="22"/>
        </w:rPr>
        <w:t xml:space="preserve">The </w:t>
      </w:r>
      <w:r w:rsidR="008D4E34">
        <w:rPr>
          <w:rFonts w:ascii="Arial" w:hAnsi="Arial" w:cs="Arial"/>
          <w:sz w:val="22"/>
          <w:szCs w:val="22"/>
        </w:rPr>
        <w:t>re-</w:t>
      </w:r>
      <w:r w:rsidRPr="00C15A17">
        <w:rPr>
          <w:rFonts w:ascii="Arial" w:hAnsi="Arial" w:cs="Arial"/>
          <w:sz w:val="22"/>
          <w:szCs w:val="22"/>
        </w:rPr>
        <w:t xml:space="preserve">submission </w:t>
      </w:r>
      <w:r w:rsidR="00AB6693">
        <w:rPr>
          <w:rFonts w:ascii="Arial" w:hAnsi="Arial" w:cs="Arial"/>
          <w:sz w:val="22"/>
          <w:szCs w:val="22"/>
        </w:rPr>
        <w:t>request</w:t>
      </w:r>
      <w:r w:rsidR="007A1EB1">
        <w:rPr>
          <w:rFonts w:ascii="Arial" w:hAnsi="Arial" w:cs="Arial"/>
          <w:sz w:val="22"/>
          <w:szCs w:val="22"/>
        </w:rPr>
        <w:t>ed</w:t>
      </w:r>
      <w:r w:rsidR="00AB6693">
        <w:rPr>
          <w:rFonts w:ascii="Arial" w:hAnsi="Arial" w:cs="Arial"/>
          <w:sz w:val="22"/>
          <w:szCs w:val="22"/>
        </w:rPr>
        <w:t xml:space="preserve"> a streamlined restriction, </w:t>
      </w:r>
      <w:r w:rsidR="00B34F00">
        <w:rPr>
          <w:rFonts w:ascii="Arial" w:hAnsi="Arial" w:cs="Arial"/>
          <w:sz w:val="22"/>
          <w:szCs w:val="22"/>
        </w:rPr>
        <w:t xml:space="preserve">consistent with arrangements for the Section 100 </w:t>
      </w:r>
      <w:r w:rsidR="00E410E1">
        <w:rPr>
          <w:rFonts w:ascii="Arial" w:hAnsi="Arial" w:cs="Arial"/>
          <w:sz w:val="22"/>
          <w:szCs w:val="22"/>
        </w:rPr>
        <w:t>EFC Programme.  A</w:t>
      </w:r>
      <w:r w:rsidR="00995C36">
        <w:rPr>
          <w:rFonts w:ascii="Arial" w:hAnsi="Arial" w:cs="Arial"/>
          <w:sz w:val="22"/>
          <w:szCs w:val="22"/>
        </w:rPr>
        <w:t xml:space="preserve">ll suggested changes </w:t>
      </w:r>
      <w:r w:rsidR="00161618" w:rsidRPr="00C15A17">
        <w:rPr>
          <w:rFonts w:ascii="Arial" w:hAnsi="Arial" w:cs="Arial"/>
          <w:sz w:val="22"/>
          <w:szCs w:val="22"/>
        </w:rPr>
        <w:t>proposed in the</w:t>
      </w:r>
      <w:r w:rsidR="009C7894" w:rsidRPr="00C15A17">
        <w:rPr>
          <w:rFonts w:ascii="Arial" w:hAnsi="Arial" w:cs="Arial"/>
          <w:sz w:val="22"/>
          <w:szCs w:val="22"/>
        </w:rPr>
        <w:t xml:space="preserve"> re</w:t>
      </w:r>
      <w:r w:rsidR="008D4E34">
        <w:rPr>
          <w:rFonts w:ascii="Arial" w:hAnsi="Arial" w:cs="Arial"/>
          <w:sz w:val="22"/>
          <w:szCs w:val="22"/>
        </w:rPr>
        <w:t>-</w:t>
      </w:r>
      <w:r w:rsidR="009C7894" w:rsidRPr="00C15A17">
        <w:rPr>
          <w:rFonts w:ascii="Arial" w:hAnsi="Arial" w:cs="Arial"/>
          <w:sz w:val="22"/>
          <w:szCs w:val="22"/>
        </w:rPr>
        <w:t>submission that</w:t>
      </w:r>
      <w:r w:rsidR="00161618" w:rsidRPr="00C15A17">
        <w:rPr>
          <w:rFonts w:ascii="Arial" w:hAnsi="Arial" w:cs="Arial"/>
          <w:sz w:val="22"/>
          <w:szCs w:val="22"/>
        </w:rPr>
        <w:t xml:space="preserve"> differ from the outcome of the PBAC March 2015 meeting are</w:t>
      </w:r>
      <w:r w:rsidR="00596B74">
        <w:rPr>
          <w:rFonts w:ascii="Arial" w:hAnsi="Arial" w:cs="Arial"/>
          <w:sz w:val="22"/>
          <w:szCs w:val="22"/>
        </w:rPr>
        <w:t xml:space="preserve"> represented with strikethrough</w:t>
      </w:r>
      <w:r w:rsidR="0071341C">
        <w:rPr>
          <w:rFonts w:ascii="Arial" w:hAnsi="Arial" w:cs="Arial"/>
          <w:sz w:val="22"/>
          <w:szCs w:val="22"/>
        </w:rPr>
        <w:t>:</w:t>
      </w:r>
    </w:p>
    <w:p w:rsidR="00D45E21" w:rsidRPr="00826F6D" w:rsidRDefault="00D45E21" w:rsidP="00161618">
      <w:pPr>
        <w:pStyle w:val="ListParagraph"/>
        <w:jc w:val="both"/>
        <w:rPr>
          <w:rFonts w:ascii="Arial" w:hAnsi="Arial"/>
          <w:sz w:val="22"/>
          <w:szCs w:val="22"/>
        </w:rPr>
      </w:pPr>
    </w:p>
    <w:p w:rsidR="00161618" w:rsidRPr="00995C36" w:rsidRDefault="00161618" w:rsidP="00161618">
      <w:pPr>
        <w:pStyle w:val="NoSpacing"/>
        <w:ind w:firstLine="720"/>
        <w:rPr>
          <w:rFonts w:ascii="Arial Narrow" w:hAnsi="Arial Narrow"/>
          <w:b/>
          <w:sz w:val="20"/>
          <w:szCs w:val="20"/>
          <w:u w:val="single"/>
        </w:rPr>
      </w:pPr>
      <w:r w:rsidRPr="00995C36">
        <w:rPr>
          <w:rFonts w:ascii="Arial Narrow" w:hAnsi="Arial Narrow"/>
          <w:b/>
          <w:sz w:val="20"/>
          <w:szCs w:val="20"/>
          <w:u w:val="single"/>
        </w:rPr>
        <w:t>First-line indolent non-Hodgkin’s lymphoma</w:t>
      </w:r>
    </w:p>
    <w:tbl>
      <w:tblPr>
        <w:tblW w:w="8505" w:type="dxa"/>
        <w:tblInd w:w="817" w:type="dxa"/>
        <w:tblLayout w:type="fixed"/>
        <w:tblLook w:val="0000" w:firstRow="0" w:lastRow="0" w:firstColumn="0" w:lastColumn="0" w:noHBand="0" w:noVBand="0"/>
      </w:tblPr>
      <w:tblGrid>
        <w:gridCol w:w="1985"/>
        <w:gridCol w:w="567"/>
        <w:gridCol w:w="850"/>
        <w:gridCol w:w="709"/>
        <w:gridCol w:w="1559"/>
        <w:gridCol w:w="1559"/>
        <w:gridCol w:w="1276"/>
      </w:tblGrid>
      <w:tr w:rsidR="00161618" w:rsidRPr="00995C36" w:rsidTr="00307EF2">
        <w:trPr>
          <w:cantSplit/>
          <w:trHeight w:val="471"/>
        </w:trPr>
        <w:tc>
          <w:tcPr>
            <w:tcW w:w="2552" w:type="dxa"/>
            <w:gridSpan w:val="2"/>
            <w:tcBorders>
              <w:bottom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Name, Restriction,</w:t>
            </w:r>
          </w:p>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Manner of administration and form</w:t>
            </w:r>
          </w:p>
        </w:tc>
        <w:tc>
          <w:tcPr>
            <w:tcW w:w="850" w:type="dxa"/>
            <w:tcBorders>
              <w:bottom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Max.</w:t>
            </w:r>
          </w:p>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Qty</w:t>
            </w:r>
          </w:p>
        </w:tc>
        <w:tc>
          <w:tcPr>
            <w:tcW w:w="709" w:type="dxa"/>
            <w:tcBorders>
              <w:bottom w:val="single" w:sz="4" w:space="0" w:color="auto"/>
            </w:tcBorders>
          </w:tcPr>
          <w:p w:rsidR="00161618" w:rsidRPr="00E251C8" w:rsidRDefault="00161618" w:rsidP="00161618">
            <w:pPr>
              <w:pStyle w:val="NoSpacing"/>
              <w:rPr>
                <w:rFonts w:ascii="Arial Narrow" w:hAnsi="Arial Narrow"/>
                <w:b/>
                <w:sz w:val="20"/>
                <w:szCs w:val="20"/>
              </w:rPr>
            </w:pPr>
            <w:r w:rsidRPr="00E251C8">
              <w:rPr>
                <w:rFonts w:ascii="Arial Narrow" w:hAnsi="Arial Narrow"/>
                <w:b/>
                <w:sz w:val="20"/>
                <w:szCs w:val="20"/>
              </w:rPr>
              <w:t>№.of</w:t>
            </w:r>
          </w:p>
          <w:p w:rsidR="00161618" w:rsidRPr="00E251C8" w:rsidRDefault="00161618" w:rsidP="00307EF2">
            <w:pPr>
              <w:pStyle w:val="NoSpacing"/>
              <w:rPr>
                <w:rFonts w:ascii="Arial Narrow" w:hAnsi="Arial Narrow"/>
                <w:b/>
                <w:sz w:val="20"/>
                <w:szCs w:val="20"/>
              </w:rPr>
            </w:pPr>
            <w:r w:rsidRPr="00E251C8">
              <w:rPr>
                <w:rFonts w:ascii="Arial Narrow" w:hAnsi="Arial Narrow"/>
                <w:b/>
                <w:sz w:val="20"/>
                <w:szCs w:val="20"/>
              </w:rPr>
              <w:t>Rpt</w:t>
            </w:r>
            <w:r w:rsidR="00307EF2" w:rsidRPr="00E251C8">
              <w:rPr>
                <w:rFonts w:ascii="Arial Narrow" w:hAnsi="Arial Narrow"/>
                <w:b/>
                <w:sz w:val="20"/>
                <w:szCs w:val="20"/>
              </w:rPr>
              <w:t>s</w:t>
            </w:r>
          </w:p>
        </w:tc>
        <w:tc>
          <w:tcPr>
            <w:tcW w:w="1559" w:type="dxa"/>
            <w:tcBorders>
              <w:bottom w:val="single" w:sz="4" w:space="0" w:color="auto"/>
            </w:tcBorders>
          </w:tcPr>
          <w:p w:rsidR="00161618" w:rsidRPr="00E251C8" w:rsidRDefault="00161618" w:rsidP="00161618">
            <w:pPr>
              <w:pStyle w:val="NoSpacing"/>
              <w:rPr>
                <w:rFonts w:ascii="Arial Narrow" w:hAnsi="Arial Narrow"/>
                <w:b/>
                <w:sz w:val="20"/>
                <w:szCs w:val="20"/>
              </w:rPr>
            </w:pPr>
            <w:r w:rsidRPr="00E251C8">
              <w:rPr>
                <w:rFonts w:ascii="Arial Narrow" w:hAnsi="Arial Narrow"/>
                <w:b/>
                <w:sz w:val="20"/>
                <w:szCs w:val="20"/>
              </w:rPr>
              <w:t>Dispensed Price for Max. Qty</w:t>
            </w:r>
          </w:p>
        </w:tc>
        <w:tc>
          <w:tcPr>
            <w:tcW w:w="2835" w:type="dxa"/>
            <w:gridSpan w:val="2"/>
            <w:tcBorders>
              <w:bottom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Proprietary Name and Manufacturer</w:t>
            </w:r>
          </w:p>
        </w:tc>
      </w:tr>
      <w:tr w:rsidR="00161618" w:rsidRPr="00995C36" w:rsidTr="00307EF2">
        <w:trPr>
          <w:cantSplit/>
          <w:trHeight w:val="1005"/>
        </w:trPr>
        <w:tc>
          <w:tcPr>
            <w:tcW w:w="2552" w:type="dxa"/>
            <w:gridSpan w:val="2"/>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bendamustine</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powder for injection 100 mg x 1 vial</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powder for injection 25 mg x 1 vial</w:t>
            </w:r>
          </w:p>
        </w:tc>
        <w:tc>
          <w:tcPr>
            <w:tcW w:w="850" w:type="dxa"/>
          </w:tcPr>
          <w:p w:rsidR="00161618" w:rsidRPr="00995C36" w:rsidRDefault="00161618" w:rsidP="00161618">
            <w:pPr>
              <w:pStyle w:val="NoSpacing"/>
              <w:rPr>
                <w:rFonts w:ascii="Arial Narrow" w:hAnsi="Arial Narrow"/>
                <w:sz w:val="20"/>
                <w:szCs w:val="20"/>
              </w:rPr>
            </w:pP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200 mg</w:t>
            </w:r>
          </w:p>
        </w:tc>
        <w:tc>
          <w:tcPr>
            <w:tcW w:w="709" w:type="dxa"/>
          </w:tcPr>
          <w:p w:rsidR="00161618" w:rsidRPr="00E251C8" w:rsidRDefault="00161618" w:rsidP="00161618">
            <w:pPr>
              <w:pStyle w:val="NoSpacing"/>
              <w:rPr>
                <w:rFonts w:ascii="Arial Narrow" w:hAnsi="Arial Narrow"/>
                <w:sz w:val="20"/>
                <w:szCs w:val="20"/>
              </w:rPr>
            </w:pPr>
          </w:p>
          <w:p w:rsidR="00161618" w:rsidRPr="00E251C8" w:rsidRDefault="00161618" w:rsidP="00161618">
            <w:pPr>
              <w:pStyle w:val="NoSpacing"/>
              <w:rPr>
                <w:rFonts w:ascii="Arial Narrow" w:hAnsi="Arial Narrow"/>
                <w:sz w:val="20"/>
                <w:szCs w:val="20"/>
              </w:rPr>
            </w:pPr>
            <w:r w:rsidRPr="00E251C8">
              <w:rPr>
                <w:rFonts w:ascii="Arial Narrow" w:hAnsi="Arial Narrow"/>
                <w:sz w:val="20"/>
                <w:szCs w:val="20"/>
              </w:rPr>
              <w:t>11</w:t>
            </w:r>
          </w:p>
        </w:tc>
        <w:tc>
          <w:tcPr>
            <w:tcW w:w="1559" w:type="dxa"/>
          </w:tcPr>
          <w:p w:rsidR="00161618" w:rsidRPr="006F4AD5" w:rsidRDefault="00161618" w:rsidP="00161618">
            <w:pPr>
              <w:pStyle w:val="NoSpacing"/>
              <w:rPr>
                <w:rFonts w:ascii="Arial Narrow" w:hAnsi="Arial Narrow"/>
                <w:sz w:val="20"/>
                <w:szCs w:val="20"/>
              </w:rPr>
            </w:pPr>
            <w:r w:rsidRPr="006F4AD5">
              <w:rPr>
                <w:rFonts w:ascii="Arial Narrow" w:hAnsi="Arial Narrow"/>
                <w:sz w:val="20"/>
                <w:szCs w:val="20"/>
              </w:rPr>
              <w:t>$</w:t>
            </w:r>
            <w:r w:rsidR="000E331D">
              <w:rPr>
                <w:rFonts w:ascii="Arial Narrow" w:hAnsi="Arial Narrow"/>
                <w:noProof/>
                <w:color w:val="000000"/>
                <w:sz w:val="20"/>
                <w:szCs w:val="20"/>
                <w:highlight w:val="black"/>
              </w:rPr>
              <w:t xml:space="preserve">''''''''''''''''''' </w:t>
            </w:r>
          </w:p>
          <w:p w:rsidR="00161618" w:rsidRPr="00E251C8" w:rsidRDefault="00161618" w:rsidP="00161618">
            <w:pPr>
              <w:pStyle w:val="NoSpacing"/>
              <w:rPr>
                <w:rFonts w:ascii="Arial Narrow" w:hAnsi="Arial Narrow"/>
                <w:sz w:val="20"/>
                <w:szCs w:val="20"/>
              </w:rPr>
            </w:pPr>
            <w:r w:rsidRPr="00E251C8">
              <w:rPr>
                <w:rFonts w:ascii="Arial Narrow" w:hAnsi="Arial Narrow"/>
                <w:sz w:val="20"/>
                <w:szCs w:val="20"/>
              </w:rPr>
              <w:t>(public hospital)</w:t>
            </w:r>
          </w:p>
          <w:p w:rsidR="00161618" w:rsidRPr="000E331D" w:rsidRDefault="00161618" w:rsidP="00161618">
            <w:pPr>
              <w:pStyle w:val="NoSpacing"/>
              <w:rPr>
                <w:rFonts w:ascii="Arial Narrow" w:hAnsi="Arial Narrow"/>
                <w:sz w:val="20"/>
                <w:szCs w:val="20"/>
              </w:rPr>
            </w:pPr>
            <w:r w:rsidRPr="006F4AD5">
              <w:rPr>
                <w:rFonts w:ascii="Arial Narrow" w:hAnsi="Arial Narrow"/>
                <w:sz w:val="20"/>
                <w:szCs w:val="20"/>
              </w:rPr>
              <w:t>$</w:t>
            </w:r>
            <w:r w:rsidR="000E331D">
              <w:rPr>
                <w:rFonts w:ascii="Arial Narrow" w:hAnsi="Arial Narrow"/>
                <w:noProof/>
                <w:color w:val="000000"/>
                <w:sz w:val="20"/>
                <w:szCs w:val="20"/>
                <w:highlight w:val="black"/>
              </w:rPr>
              <w:t xml:space="preserve">''''''''''''''''''''' </w:t>
            </w:r>
          </w:p>
          <w:p w:rsidR="00161618" w:rsidRPr="00E251C8" w:rsidRDefault="00161618" w:rsidP="00161618">
            <w:pPr>
              <w:pStyle w:val="NoSpacing"/>
              <w:rPr>
                <w:rFonts w:ascii="Arial Narrow" w:hAnsi="Arial Narrow"/>
                <w:sz w:val="20"/>
                <w:szCs w:val="20"/>
              </w:rPr>
            </w:pPr>
            <w:r w:rsidRPr="00E251C8">
              <w:rPr>
                <w:rFonts w:ascii="Arial Narrow" w:hAnsi="Arial Narrow"/>
                <w:sz w:val="20"/>
                <w:szCs w:val="20"/>
              </w:rPr>
              <w:t>(private hospital)</w:t>
            </w:r>
          </w:p>
        </w:tc>
        <w:tc>
          <w:tcPr>
            <w:tcW w:w="1559" w:type="dxa"/>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Ribomustin</w:t>
            </w:r>
          </w:p>
        </w:tc>
        <w:tc>
          <w:tcPr>
            <w:tcW w:w="1276" w:type="dxa"/>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Janssen-Cilag Pty Ltd</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 xml:space="preserve">Category / </w:t>
            </w:r>
          </w:p>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Program</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Section 100 (efficient funding of chemotherapy arrangements) public/private hospital</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fldChar w:fldCharType="begin">
                <w:ffData>
                  <w:name w:val="Check1"/>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Dental  </w:t>
            </w:r>
            <w:r w:rsidRPr="00995C36">
              <w:rPr>
                <w:rFonts w:ascii="Arial Narrow" w:hAnsi="Arial Narrow"/>
                <w:sz w:val="20"/>
                <w:szCs w:val="20"/>
              </w:rPr>
              <w:fldChar w:fldCharType="begin">
                <w:ffData>
                  <w:name w:val=""/>
                  <w:enabled/>
                  <w:calcOnExit w:val="0"/>
                  <w:checkBox>
                    <w:sizeAuto/>
                    <w:default w:val="1"/>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Medical Practitioners  </w:t>
            </w:r>
            <w:r w:rsidRPr="00995C36">
              <w:rPr>
                <w:rFonts w:ascii="Arial Narrow" w:hAnsi="Arial Narrow"/>
                <w:sz w:val="20"/>
                <w:szCs w:val="20"/>
              </w:rPr>
              <w:fldChar w:fldCharType="begin">
                <w:ffData>
                  <w:name w:val="Check3"/>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Nurse practitioners  </w:t>
            </w:r>
            <w:r w:rsidRPr="00995C36">
              <w:rPr>
                <w:rFonts w:ascii="Arial Narrow" w:hAnsi="Arial Narrow"/>
                <w:sz w:val="20"/>
                <w:szCs w:val="20"/>
              </w:rPr>
              <w:fldChar w:fldCharType="begin">
                <w:ffData>
                  <w:name w:val=""/>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Optometrists</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fldChar w:fldCharType="begin">
                <w:ffData>
                  <w:name w:val="Check5"/>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Midwives</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proofErr w:type="spellStart"/>
            <w:r w:rsidRPr="00995C36">
              <w:rPr>
                <w:rFonts w:ascii="Arial Narrow" w:hAnsi="Arial Narrow"/>
                <w:b/>
                <w:sz w:val="20"/>
                <w:szCs w:val="20"/>
              </w:rPr>
              <w:t>Episodicity</w:t>
            </w:r>
            <w:proofErr w:type="spellEnd"/>
            <w:r w:rsidRPr="00995C36">
              <w:rPr>
                <w:rFonts w:ascii="Arial Narrow" w:hAnsi="Arial Narrow"/>
                <w:b/>
                <w:sz w:val="20"/>
                <w:szCs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Previously untreated</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Severity:</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lang w:val="en-US"/>
              </w:rPr>
              <w:t>Stage III or IV</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Indolent CD20 positive non-Hodgkin’s lymphoma</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i/>
                <w:sz w:val="20"/>
                <w:szCs w:val="20"/>
              </w:rPr>
            </w:pPr>
            <w:r w:rsidRPr="00995C36">
              <w:rPr>
                <w:rFonts w:ascii="Arial Narrow" w:hAnsi="Arial Narrow"/>
                <w:b/>
                <w:sz w:val="20"/>
                <w:szCs w:val="20"/>
              </w:rPr>
              <w:t>Treatment phase:</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lang w:val="en-US"/>
              </w:rPr>
              <w:t>Induction treatment</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Restriction Level / Method:</w:t>
            </w:r>
          </w:p>
          <w:p w:rsidR="00161618" w:rsidRPr="00995C36" w:rsidRDefault="00161618" w:rsidP="00161618">
            <w:pPr>
              <w:pStyle w:val="NoSpacing"/>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fldChar w:fldCharType="begin">
                <w:ffData>
                  <w:name w:val="Check1"/>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Restricted benefit</w:t>
            </w:r>
          </w:p>
          <w:p w:rsidR="00161618" w:rsidRPr="00995C36" w:rsidRDefault="00161618" w:rsidP="00161618">
            <w:pPr>
              <w:pStyle w:val="NoSpacing"/>
              <w:rPr>
                <w:rFonts w:ascii="Arial Narrow" w:hAnsi="Arial Narrow"/>
                <w:strike/>
                <w:sz w:val="20"/>
                <w:szCs w:val="20"/>
              </w:rPr>
            </w:pPr>
            <w:r w:rsidRPr="00995C36">
              <w:rPr>
                <w:rFonts w:ascii="Arial Narrow" w:hAnsi="Arial Narrow"/>
                <w:strike/>
                <w:sz w:val="20"/>
                <w:szCs w:val="20"/>
              </w:rPr>
              <w:fldChar w:fldCharType="begin">
                <w:ffData>
                  <w:name w:val="Check1"/>
                  <w:enabled/>
                  <w:calcOnExit w:val="0"/>
                  <w:checkBox>
                    <w:sizeAuto/>
                    <w:default w:val="0"/>
                  </w:checkBox>
                </w:ffData>
              </w:fldChar>
            </w:r>
            <w:r w:rsidRPr="00995C36">
              <w:rPr>
                <w:rFonts w:ascii="Arial Narrow" w:hAnsi="Arial Narrow"/>
                <w:strike/>
                <w:sz w:val="20"/>
                <w:szCs w:val="20"/>
              </w:rPr>
              <w:instrText xml:space="preserve"> FORMCHECKBOX </w:instrText>
            </w:r>
            <w:r w:rsidR="006F59BC">
              <w:rPr>
                <w:rFonts w:ascii="Arial Narrow" w:hAnsi="Arial Narrow"/>
                <w:strike/>
                <w:sz w:val="20"/>
                <w:szCs w:val="20"/>
              </w:rPr>
            </w:r>
            <w:r w:rsidR="006F59BC">
              <w:rPr>
                <w:rFonts w:ascii="Arial Narrow" w:hAnsi="Arial Narrow"/>
                <w:strike/>
                <w:sz w:val="20"/>
                <w:szCs w:val="20"/>
              </w:rPr>
              <w:fldChar w:fldCharType="separate"/>
            </w:r>
            <w:r w:rsidRPr="00995C36">
              <w:rPr>
                <w:rFonts w:ascii="Arial Narrow" w:hAnsi="Arial Narrow"/>
                <w:strike/>
                <w:sz w:val="20"/>
                <w:szCs w:val="20"/>
              </w:rPr>
              <w:fldChar w:fldCharType="end"/>
            </w:r>
            <w:r w:rsidRPr="00995C36">
              <w:rPr>
                <w:rFonts w:ascii="Arial Narrow" w:hAnsi="Arial Narrow"/>
                <w:strike/>
                <w:sz w:val="20"/>
                <w:szCs w:val="20"/>
              </w:rPr>
              <w:t>Authority Required - In Writing</w:t>
            </w:r>
          </w:p>
          <w:p w:rsidR="00161618" w:rsidRPr="00995C36" w:rsidRDefault="00161618" w:rsidP="00161618">
            <w:pPr>
              <w:pStyle w:val="NoSpacing"/>
              <w:rPr>
                <w:rFonts w:ascii="Arial Narrow" w:hAnsi="Arial Narrow"/>
                <w:strike/>
                <w:sz w:val="20"/>
                <w:szCs w:val="20"/>
              </w:rPr>
            </w:pPr>
            <w:r w:rsidRPr="00995C36">
              <w:rPr>
                <w:rFonts w:ascii="Arial Narrow" w:hAnsi="Arial Narrow"/>
                <w:strike/>
                <w:sz w:val="20"/>
                <w:szCs w:val="20"/>
              </w:rPr>
              <w:fldChar w:fldCharType="begin">
                <w:ffData>
                  <w:name w:val="Check1"/>
                  <w:enabled/>
                  <w:calcOnExit w:val="0"/>
                  <w:checkBox>
                    <w:sizeAuto/>
                    <w:default w:val="0"/>
                  </w:checkBox>
                </w:ffData>
              </w:fldChar>
            </w:r>
            <w:r w:rsidRPr="00995C36">
              <w:rPr>
                <w:rFonts w:ascii="Arial Narrow" w:hAnsi="Arial Narrow"/>
                <w:strike/>
                <w:sz w:val="20"/>
                <w:szCs w:val="20"/>
              </w:rPr>
              <w:instrText xml:space="preserve"> FORMCHECKBOX </w:instrText>
            </w:r>
            <w:r w:rsidR="006F59BC">
              <w:rPr>
                <w:rFonts w:ascii="Arial Narrow" w:hAnsi="Arial Narrow"/>
                <w:strike/>
                <w:sz w:val="20"/>
                <w:szCs w:val="20"/>
              </w:rPr>
            </w:r>
            <w:r w:rsidR="006F59BC">
              <w:rPr>
                <w:rFonts w:ascii="Arial Narrow" w:hAnsi="Arial Narrow"/>
                <w:strike/>
                <w:sz w:val="20"/>
                <w:szCs w:val="20"/>
              </w:rPr>
              <w:fldChar w:fldCharType="separate"/>
            </w:r>
            <w:r w:rsidRPr="00995C36">
              <w:rPr>
                <w:rFonts w:ascii="Arial Narrow" w:hAnsi="Arial Narrow"/>
                <w:strike/>
                <w:sz w:val="20"/>
                <w:szCs w:val="20"/>
              </w:rPr>
              <w:fldChar w:fldCharType="end"/>
            </w:r>
            <w:r w:rsidRPr="00995C36">
              <w:rPr>
                <w:rFonts w:ascii="Arial Narrow" w:hAnsi="Arial Narrow"/>
                <w:strike/>
                <w:sz w:val="20"/>
                <w:szCs w:val="20"/>
              </w:rPr>
              <w:t>Authority Required - Telephone</w:t>
            </w:r>
          </w:p>
          <w:p w:rsidR="00161618" w:rsidRPr="00995C36" w:rsidRDefault="00161618" w:rsidP="00161618">
            <w:pPr>
              <w:pStyle w:val="NoSpacing"/>
              <w:rPr>
                <w:rFonts w:ascii="Arial Narrow" w:hAnsi="Arial Narrow"/>
                <w:strike/>
                <w:sz w:val="20"/>
                <w:szCs w:val="20"/>
              </w:rPr>
            </w:pPr>
            <w:r w:rsidRPr="00995C36">
              <w:rPr>
                <w:rFonts w:ascii="Arial Narrow" w:hAnsi="Arial Narrow"/>
                <w:strike/>
                <w:sz w:val="20"/>
                <w:szCs w:val="20"/>
              </w:rPr>
              <w:fldChar w:fldCharType="begin">
                <w:ffData>
                  <w:name w:val="Check1"/>
                  <w:enabled/>
                  <w:calcOnExit w:val="0"/>
                  <w:checkBox>
                    <w:sizeAuto/>
                    <w:default w:val="0"/>
                  </w:checkBox>
                </w:ffData>
              </w:fldChar>
            </w:r>
            <w:r w:rsidRPr="00995C36">
              <w:rPr>
                <w:rFonts w:ascii="Arial Narrow" w:hAnsi="Arial Narrow"/>
                <w:strike/>
                <w:sz w:val="20"/>
                <w:szCs w:val="20"/>
              </w:rPr>
              <w:instrText xml:space="preserve"> FORMCHECKBOX </w:instrText>
            </w:r>
            <w:r w:rsidR="006F59BC">
              <w:rPr>
                <w:rFonts w:ascii="Arial Narrow" w:hAnsi="Arial Narrow"/>
                <w:strike/>
                <w:sz w:val="20"/>
                <w:szCs w:val="20"/>
              </w:rPr>
            </w:r>
            <w:r w:rsidR="006F59BC">
              <w:rPr>
                <w:rFonts w:ascii="Arial Narrow" w:hAnsi="Arial Narrow"/>
                <w:strike/>
                <w:sz w:val="20"/>
                <w:szCs w:val="20"/>
              </w:rPr>
              <w:fldChar w:fldCharType="separate"/>
            </w:r>
            <w:r w:rsidRPr="00995C36">
              <w:rPr>
                <w:rFonts w:ascii="Arial Narrow" w:hAnsi="Arial Narrow"/>
                <w:strike/>
                <w:sz w:val="20"/>
                <w:szCs w:val="20"/>
              </w:rPr>
              <w:fldChar w:fldCharType="end"/>
            </w:r>
            <w:r w:rsidRPr="00995C36">
              <w:rPr>
                <w:rFonts w:ascii="Arial Narrow" w:hAnsi="Arial Narrow"/>
                <w:strike/>
                <w:sz w:val="20"/>
                <w:szCs w:val="20"/>
              </w:rPr>
              <w:t>Authority Required – Emergency</w:t>
            </w:r>
          </w:p>
          <w:p w:rsidR="00161618" w:rsidRPr="00995C36" w:rsidRDefault="00161618" w:rsidP="00161618">
            <w:pPr>
              <w:pStyle w:val="NoSpacing"/>
              <w:rPr>
                <w:rFonts w:ascii="Arial Narrow" w:hAnsi="Arial Narrow"/>
                <w:strike/>
                <w:sz w:val="20"/>
                <w:szCs w:val="20"/>
              </w:rPr>
            </w:pPr>
            <w:r w:rsidRPr="00995C36">
              <w:rPr>
                <w:rFonts w:ascii="Arial Narrow" w:hAnsi="Arial Narrow"/>
                <w:strike/>
                <w:sz w:val="20"/>
                <w:szCs w:val="20"/>
              </w:rPr>
              <w:fldChar w:fldCharType="begin">
                <w:ffData>
                  <w:name w:val="Check1"/>
                  <w:enabled/>
                  <w:calcOnExit w:val="0"/>
                  <w:checkBox>
                    <w:sizeAuto/>
                    <w:default w:val="0"/>
                  </w:checkBox>
                </w:ffData>
              </w:fldChar>
            </w:r>
            <w:r w:rsidRPr="00995C36">
              <w:rPr>
                <w:rFonts w:ascii="Arial Narrow" w:hAnsi="Arial Narrow"/>
                <w:strike/>
                <w:sz w:val="20"/>
                <w:szCs w:val="20"/>
              </w:rPr>
              <w:instrText xml:space="preserve"> FORMCHECKBOX </w:instrText>
            </w:r>
            <w:r w:rsidR="006F59BC">
              <w:rPr>
                <w:rFonts w:ascii="Arial Narrow" w:hAnsi="Arial Narrow"/>
                <w:strike/>
                <w:sz w:val="20"/>
                <w:szCs w:val="20"/>
              </w:rPr>
            </w:r>
            <w:r w:rsidR="006F59BC">
              <w:rPr>
                <w:rFonts w:ascii="Arial Narrow" w:hAnsi="Arial Narrow"/>
                <w:strike/>
                <w:sz w:val="20"/>
                <w:szCs w:val="20"/>
              </w:rPr>
              <w:fldChar w:fldCharType="separate"/>
            </w:r>
            <w:r w:rsidRPr="00995C36">
              <w:rPr>
                <w:rFonts w:ascii="Arial Narrow" w:hAnsi="Arial Narrow"/>
                <w:strike/>
                <w:sz w:val="20"/>
                <w:szCs w:val="20"/>
              </w:rPr>
              <w:fldChar w:fldCharType="end"/>
            </w:r>
            <w:r w:rsidRPr="00995C36">
              <w:rPr>
                <w:rFonts w:ascii="Arial Narrow" w:hAnsi="Arial Narrow"/>
                <w:strike/>
                <w:sz w:val="20"/>
                <w:szCs w:val="20"/>
              </w:rPr>
              <w:t>Authority Required - Electronic</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fldChar w:fldCharType="begin">
                <w:ffData>
                  <w:name w:val="Check5"/>
                  <w:enabled/>
                  <w:calcOnExit w:val="0"/>
                  <w:checkBox>
                    <w:sizeAuto/>
                    <w:default w:val="1"/>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Streamlined</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lastRenderedPageBreak/>
              <w:t>Clinical criteria:</w:t>
            </w:r>
          </w:p>
          <w:p w:rsidR="00161618" w:rsidRPr="00995C36" w:rsidRDefault="00161618" w:rsidP="00161618">
            <w:pPr>
              <w:pStyle w:val="NoSpacing"/>
              <w:rPr>
                <w:rFonts w:ascii="Arial Narrow" w:hAnsi="Arial Narrow"/>
                <w:i/>
                <w:sz w:val="20"/>
                <w:szCs w:val="20"/>
              </w:rPr>
            </w:pPr>
          </w:p>
          <w:p w:rsidR="00161618" w:rsidRPr="00995C36" w:rsidRDefault="00161618" w:rsidP="00161618">
            <w:pPr>
              <w:pStyle w:val="NoSpacing"/>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lang w:val="en-US"/>
              </w:rPr>
            </w:pPr>
            <w:r w:rsidRPr="00995C36">
              <w:rPr>
                <w:rFonts w:ascii="Arial Narrow" w:hAnsi="Arial Narrow"/>
                <w:sz w:val="20"/>
                <w:szCs w:val="20"/>
                <w:lang w:val="en-US"/>
              </w:rPr>
              <w:t>The treatment must be in combination with rituximab,</w:t>
            </w:r>
          </w:p>
          <w:p w:rsidR="00161618" w:rsidRPr="00995C36" w:rsidRDefault="00161618" w:rsidP="00161618">
            <w:pPr>
              <w:pStyle w:val="NoSpacing"/>
              <w:rPr>
                <w:rFonts w:ascii="Arial Narrow" w:hAnsi="Arial Narrow"/>
                <w:i/>
                <w:sz w:val="20"/>
                <w:szCs w:val="20"/>
                <w:lang w:val="en-US"/>
              </w:rPr>
            </w:pPr>
            <w:r w:rsidRPr="00995C36">
              <w:rPr>
                <w:rFonts w:ascii="Arial Narrow" w:hAnsi="Arial Narrow"/>
                <w:i/>
                <w:sz w:val="20"/>
                <w:szCs w:val="20"/>
                <w:lang w:val="en-US"/>
              </w:rPr>
              <w:t>AND</w:t>
            </w:r>
          </w:p>
          <w:p w:rsidR="00161618" w:rsidRPr="00995C36" w:rsidRDefault="00161618" w:rsidP="00161618">
            <w:pPr>
              <w:pStyle w:val="NoSpacing"/>
              <w:rPr>
                <w:rFonts w:ascii="Arial Narrow" w:hAnsi="Arial Narrow"/>
                <w:sz w:val="20"/>
                <w:szCs w:val="20"/>
                <w:lang w:val="en-US"/>
              </w:rPr>
            </w:pPr>
            <w:r w:rsidRPr="00995C36">
              <w:rPr>
                <w:rFonts w:ascii="Arial Narrow" w:hAnsi="Arial Narrow"/>
                <w:sz w:val="20"/>
                <w:szCs w:val="20"/>
                <w:lang w:val="en-US"/>
              </w:rPr>
              <w:t>The condition must be previously untreated,</w:t>
            </w:r>
          </w:p>
          <w:p w:rsidR="00161618" w:rsidRPr="00995C36" w:rsidRDefault="00161618" w:rsidP="00161618">
            <w:pPr>
              <w:pStyle w:val="NoSpacing"/>
              <w:rPr>
                <w:rFonts w:ascii="Arial Narrow" w:hAnsi="Arial Narrow"/>
                <w:i/>
                <w:sz w:val="20"/>
                <w:szCs w:val="20"/>
                <w:lang w:val="en-US"/>
              </w:rPr>
            </w:pPr>
            <w:r w:rsidRPr="00995C36">
              <w:rPr>
                <w:rFonts w:ascii="Arial Narrow" w:hAnsi="Arial Narrow"/>
                <w:i/>
                <w:sz w:val="20"/>
                <w:szCs w:val="20"/>
                <w:lang w:val="en-US"/>
              </w:rPr>
              <w:t>AND</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The condition must be symptomatic,</w:t>
            </w:r>
          </w:p>
          <w:p w:rsidR="00161618" w:rsidRPr="00995C36" w:rsidRDefault="00161618" w:rsidP="00161618">
            <w:pPr>
              <w:pStyle w:val="NoSpacing"/>
              <w:rPr>
                <w:rFonts w:ascii="Arial Narrow" w:hAnsi="Arial Narrow"/>
                <w:i/>
                <w:sz w:val="20"/>
                <w:szCs w:val="20"/>
                <w:lang w:val="en-US"/>
              </w:rPr>
            </w:pPr>
            <w:r w:rsidRPr="00995C36">
              <w:rPr>
                <w:rFonts w:ascii="Arial Narrow" w:hAnsi="Arial Narrow"/>
                <w:i/>
                <w:sz w:val="20"/>
                <w:szCs w:val="20"/>
                <w:lang w:val="en-US"/>
              </w:rPr>
              <w:t>AND</w:t>
            </w:r>
          </w:p>
          <w:p w:rsidR="00161618" w:rsidRPr="00995C36" w:rsidRDefault="00161618" w:rsidP="00161618">
            <w:pPr>
              <w:pStyle w:val="NoSpacing"/>
              <w:rPr>
                <w:rFonts w:ascii="Arial Narrow" w:hAnsi="Arial Narrow"/>
                <w:strike/>
                <w:sz w:val="20"/>
                <w:szCs w:val="20"/>
                <w:lang w:val="en-US"/>
              </w:rPr>
            </w:pPr>
            <w:r w:rsidRPr="00995C36">
              <w:rPr>
                <w:rFonts w:ascii="Arial Narrow" w:hAnsi="Arial Narrow"/>
                <w:strike/>
                <w:sz w:val="20"/>
                <w:szCs w:val="20"/>
                <w:lang w:val="en-US"/>
              </w:rPr>
              <w:t>The treatment must be for induction treatment purposes only,</w:t>
            </w:r>
          </w:p>
          <w:p w:rsidR="00161618" w:rsidRPr="00995C36" w:rsidRDefault="00161618" w:rsidP="00161618">
            <w:pPr>
              <w:pStyle w:val="NoSpacing"/>
              <w:rPr>
                <w:rFonts w:ascii="Arial Narrow" w:hAnsi="Arial Narrow"/>
                <w:i/>
                <w:sz w:val="20"/>
                <w:szCs w:val="20"/>
              </w:rPr>
            </w:pPr>
            <w:r w:rsidRPr="00995C36">
              <w:rPr>
                <w:rFonts w:ascii="Arial Narrow" w:hAnsi="Arial Narrow"/>
                <w:i/>
                <w:sz w:val="20"/>
                <w:szCs w:val="20"/>
                <w:lang w:val="en-US"/>
              </w:rPr>
              <w:t>AND</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Patient must not receive more than 6 cycles (12 doses) of treatment under this restriction.</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i/>
                <w:sz w:val="20"/>
                <w:szCs w:val="20"/>
              </w:rPr>
            </w:pPr>
            <w:r w:rsidRPr="00995C36">
              <w:rPr>
                <w:rFonts w:ascii="Arial Narrow" w:hAnsi="Arial Narrow"/>
                <w:b/>
                <w:i/>
                <w:sz w:val="20"/>
                <w:szCs w:val="20"/>
              </w:rPr>
              <w:t>Administrative Advice</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lang w:val="en-US"/>
              </w:rPr>
            </w:pPr>
            <w:r w:rsidRPr="00995C36">
              <w:rPr>
                <w:rFonts w:ascii="Arial Narrow" w:hAnsi="Arial Narrow"/>
                <w:sz w:val="20"/>
                <w:szCs w:val="20"/>
                <w:lang w:val="en-US"/>
              </w:rPr>
              <w:t xml:space="preserve">No increase in the maximum number of repeats may be </w:t>
            </w:r>
            <w:proofErr w:type="spellStart"/>
            <w:r w:rsidRPr="00995C36">
              <w:rPr>
                <w:rFonts w:ascii="Arial Narrow" w:hAnsi="Arial Narrow"/>
                <w:sz w:val="20"/>
                <w:szCs w:val="20"/>
                <w:lang w:val="en-US"/>
              </w:rPr>
              <w:t>authorised</w:t>
            </w:r>
            <w:proofErr w:type="spellEnd"/>
          </w:p>
        </w:tc>
      </w:tr>
    </w:tbl>
    <w:p w:rsidR="00161618" w:rsidRPr="00995C36" w:rsidRDefault="00161618" w:rsidP="00161618">
      <w:pPr>
        <w:pStyle w:val="NoSpacing"/>
        <w:rPr>
          <w:rFonts w:ascii="Arial Narrow" w:hAnsi="Arial Narrow"/>
          <w:sz w:val="20"/>
          <w:szCs w:val="20"/>
        </w:rPr>
      </w:pPr>
    </w:p>
    <w:p w:rsidR="00161618" w:rsidRPr="00995C36" w:rsidRDefault="00161618" w:rsidP="00161618">
      <w:pPr>
        <w:pStyle w:val="NoSpacing"/>
        <w:ind w:firstLine="720"/>
        <w:rPr>
          <w:rFonts w:ascii="Arial Narrow" w:hAnsi="Arial Narrow"/>
          <w:b/>
          <w:sz w:val="20"/>
          <w:szCs w:val="20"/>
          <w:u w:val="single"/>
        </w:rPr>
      </w:pPr>
      <w:r w:rsidRPr="00995C36">
        <w:rPr>
          <w:rFonts w:ascii="Arial Narrow" w:hAnsi="Arial Narrow"/>
          <w:b/>
          <w:sz w:val="20"/>
          <w:szCs w:val="20"/>
          <w:u w:val="single"/>
        </w:rPr>
        <w:t>First-line mantle cell lymphoma</w:t>
      </w:r>
    </w:p>
    <w:tbl>
      <w:tblPr>
        <w:tblW w:w="8505" w:type="dxa"/>
        <w:tblInd w:w="817" w:type="dxa"/>
        <w:tblLayout w:type="fixed"/>
        <w:tblLook w:val="0000" w:firstRow="0" w:lastRow="0" w:firstColumn="0" w:lastColumn="0" w:noHBand="0" w:noVBand="0"/>
      </w:tblPr>
      <w:tblGrid>
        <w:gridCol w:w="1985"/>
        <w:gridCol w:w="567"/>
        <w:gridCol w:w="708"/>
        <w:gridCol w:w="851"/>
        <w:gridCol w:w="1559"/>
        <w:gridCol w:w="1559"/>
        <w:gridCol w:w="1276"/>
      </w:tblGrid>
      <w:tr w:rsidR="00161618" w:rsidRPr="00307EF2" w:rsidTr="00161618">
        <w:trPr>
          <w:cantSplit/>
          <w:trHeight w:val="471"/>
        </w:trPr>
        <w:tc>
          <w:tcPr>
            <w:tcW w:w="2552" w:type="dxa"/>
            <w:gridSpan w:val="2"/>
            <w:tcBorders>
              <w:bottom w:val="single" w:sz="4" w:space="0" w:color="auto"/>
            </w:tcBorders>
          </w:tcPr>
          <w:p w:rsidR="00161618" w:rsidRPr="00307EF2" w:rsidRDefault="00161618" w:rsidP="00161618">
            <w:pPr>
              <w:pStyle w:val="NoSpacing"/>
              <w:rPr>
                <w:rFonts w:ascii="Arial Narrow" w:hAnsi="Arial Narrow"/>
                <w:b/>
                <w:sz w:val="20"/>
                <w:szCs w:val="20"/>
              </w:rPr>
            </w:pPr>
            <w:r w:rsidRPr="00307EF2">
              <w:rPr>
                <w:rFonts w:ascii="Arial Narrow" w:hAnsi="Arial Narrow"/>
                <w:b/>
                <w:sz w:val="20"/>
                <w:szCs w:val="20"/>
              </w:rPr>
              <w:t>Name, Restriction,</w:t>
            </w:r>
          </w:p>
          <w:p w:rsidR="00161618" w:rsidRPr="00307EF2" w:rsidRDefault="00161618" w:rsidP="00161618">
            <w:pPr>
              <w:pStyle w:val="NoSpacing"/>
              <w:rPr>
                <w:rFonts w:ascii="Arial Narrow" w:hAnsi="Arial Narrow"/>
                <w:b/>
                <w:sz w:val="20"/>
                <w:szCs w:val="20"/>
              </w:rPr>
            </w:pPr>
            <w:r w:rsidRPr="00307EF2">
              <w:rPr>
                <w:rFonts w:ascii="Arial Narrow" w:hAnsi="Arial Narrow"/>
                <w:b/>
                <w:sz w:val="20"/>
                <w:szCs w:val="20"/>
              </w:rPr>
              <w:t>Manner of administration and form</w:t>
            </w:r>
          </w:p>
        </w:tc>
        <w:tc>
          <w:tcPr>
            <w:tcW w:w="708" w:type="dxa"/>
            <w:tcBorders>
              <w:bottom w:val="single" w:sz="4" w:space="0" w:color="auto"/>
            </w:tcBorders>
          </w:tcPr>
          <w:p w:rsidR="00161618" w:rsidRPr="00307EF2" w:rsidRDefault="00161618" w:rsidP="00161618">
            <w:pPr>
              <w:pStyle w:val="NoSpacing"/>
              <w:rPr>
                <w:rFonts w:ascii="Arial Narrow" w:hAnsi="Arial Narrow"/>
                <w:b/>
                <w:sz w:val="20"/>
                <w:szCs w:val="20"/>
              </w:rPr>
            </w:pPr>
            <w:r w:rsidRPr="00307EF2">
              <w:rPr>
                <w:rFonts w:ascii="Arial Narrow" w:hAnsi="Arial Narrow"/>
                <w:b/>
                <w:sz w:val="20"/>
                <w:szCs w:val="20"/>
              </w:rPr>
              <w:t>Max.</w:t>
            </w:r>
          </w:p>
          <w:p w:rsidR="00161618" w:rsidRPr="00307EF2" w:rsidRDefault="00161618" w:rsidP="00161618">
            <w:pPr>
              <w:pStyle w:val="NoSpacing"/>
              <w:rPr>
                <w:rFonts w:ascii="Arial Narrow" w:hAnsi="Arial Narrow"/>
                <w:b/>
                <w:sz w:val="20"/>
                <w:szCs w:val="20"/>
              </w:rPr>
            </w:pPr>
            <w:r w:rsidRPr="00307EF2">
              <w:rPr>
                <w:rFonts w:ascii="Arial Narrow" w:hAnsi="Arial Narrow"/>
                <w:b/>
                <w:sz w:val="20"/>
                <w:szCs w:val="20"/>
              </w:rPr>
              <w:t>Qty</w:t>
            </w:r>
          </w:p>
        </w:tc>
        <w:tc>
          <w:tcPr>
            <w:tcW w:w="851" w:type="dxa"/>
            <w:tcBorders>
              <w:bottom w:val="single" w:sz="4" w:space="0" w:color="auto"/>
            </w:tcBorders>
          </w:tcPr>
          <w:p w:rsidR="00161618" w:rsidRPr="00307EF2" w:rsidRDefault="00161618" w:rsidP="00161618">
            <w:pPr>
              <w:pStyle w:val="NoSpacing"/>
              <w:rPr>
                <w:rFonts w:ascii="Arial Narrow" w:hAnsi="Arial Narrow"/>
                <w:b/>
                <w:sz w:val="20"/>
                <w:szCs w:val="20"/>
              </w:rPr>
            </w:pPr>
            <w:r w:rsidRPr="00307EF2">
              <w:rPr>
                <w:rFonts w:ascii="Arial Narrow" w:hAnsi="Arial Narrow"/>
                <w:b/>
                <w:sz w:val="20"/>
                <w:szCs w:val="20"/>
              </w:rPr>
              <w:t>№.of</w:t>
            </w:r>
          </w:p>
          <w:p w:rsidR="00161618" w:rsidRPr="00307EF2" w:rsidRDefault="00161618" w:rsidP="00161618">
            <w:pPr>
              <w:pStyle w:val="NoSpacing"/>
              <w:rPr>
                <w:rFonts w:ascii="Arial Narrow" w:hAnsi="Arial Narrow"/>
                <w:b/>
                <w:sz w:val="20"/>
                <w:szCs w:val="20"/>
              </w:rPr>
            </w:pPr>
            <w:r w:rsidRPr="00307EF2">
              <w:rPr>
                <w:rFonts w:ascii="Arial Narrow" w:hAnsi="Arial Narrow"/>
                <w:b/>
                <w:sz w:val="20"/>
                <w:szCs w:val="20"/>
              </w:rPr>
              <w:t>Rpts</w:t>
            </w:r>
          </w:p>
        </w:tc>
        <w:tc>
          <w:tcPr>
            <w:tcW w:w="1559" w:type="dxa"/>
            <w:tcBorders>
              <w:bottom w:val="single" w:sz="4" w:space="0" w:color="auto"/>
            </w:tcBorders>
          </w:tcPr>
          <w:p w:rsidR="00161618" w:rsidRPr="00307EF2" w:rsidRDefault="00161618" w:rsidP="00161618">
            <w:pPr>
              <w:pStyle w:val="NoSpacing"/>
              <w:rPr>
                <w:rFonts w:ascii="Arial Narrow" w:hAnsi="Arial Narrow"/>
                <w:b/>
                <w:sz w:val="20"/>
                <w:szCs w:val="20"/>
              </w:rPr>
            </w:pPr>
            <w:r w:rsidRPr="00307EF2">
              <w:rPr>
                <w:rFonts w:ascii="Arial Narrow" w:hAnsi="Arial Narrow"/>
                <w:b/>
                <w:sz w:val="20"/>
                <w:szCs w:val="20"/>
              </w:rPr>
              <w:t>Dispensed Price for Max. Qty</w:t>
            </w:r>
          </w:p>
        </w:tc>
        <w:tc>
          <w:tcPr>
            <w:tcW w:w="2835" w:type="dxa"/>
            <w:gridSpan w:val="2"/>
            <w:tcBorders>
              <w:bottom w:val="single" w:sz="4" w:space="0" w:color="auto"/>
            </w:tcBorders>
          </w:tcPr>
          <w:p w:rsidR="00161618" w:rsidRPr="00307EF2" w:rsidRDefault="00161618" w:rsidP="00161618">
            <w:pPr>
              <w:pStyle w:val="NoSpacing"/>
              <w:rPr>
                <w:rFonts w:ascii="Arial Narrow" w:hAnsi="Arial Narrow"/>
                <w:b/>
                <w:sz w:val="20"/>
                <w:szCs w:val="20"/>
                <w:lang w:val="fr-FR"/>
              </w:rPr>
            </w:pPr>
            <w:r w:rsidRPr="00307EF2">
              <w:rPr>
                <w:rFonts w:ascii="Arial Narrow" w:hAnsi="Arial Narrow"/>
                <w:b/>
                <w:sz w:val="20"/>
                <w:szCs w:val="20"/>
              </w:rPr>
              <w:t>Proprietary Name and Manufacturer</w:t>
            </w:r>
          </w:p>
        </w:tc>
      </w:tr>
      <w:tr w:rsidR="00161618" w:rsidRPr="00995C36" w:rsidTr="00161618">
        <w:trPr>
          <w:cantSplit/>
          <w:trHeight w:val="577"/>
        </w:trPr>
        <w:tc>
          <w:tcPr>
            <w:tcW w:w="2552" w:type="dxa"/>
            <w:gridSpan w:val="2"/>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bendamustine</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powder for injection 100 mg x 1 vial</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powder for injection 25 mg x 1 vial</w:t>
            </w:r>
          </w:p>
        </w:tc>
        <w:tc>
          <w:tcPr>
            <w:tcW w:w="708" w:type="dxa"/>
          </w:tcPr>
          <w:p w:rsidR="00161618" w:rsidRPr="00995C36" w:rsidRDefault="00161618" w:rsidP="00161618">
            <w:pPr>
              <w:pStyle w:val="NoSpacing"/>
              <w:rPr>
                <w:rFonts w:ascii="Arial Narrow" w:hAnsi="Arial Narrow"/>
                <w:sz w:val="20"/>
                <w:szCs w:val="20"/>
              </w:rPr>
            </w:pP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200 mg</w:t>
            </w:r>
          </w:p>
        </w:tc>
        <w:tc>
          <w:tcPr>
            <w:tcW w:w="851" w:type="dxa"/>
          </w:tcPr>
          <w:p w:rsidR="00161618" w:rsidRPr="00995C36" w:rsidRDefault="00161618" w:rsidP="00161618">
            <w:pPr>
              <w:pStyle w:val="NoSpacing"/>
              <w:rPr>
                <w:rFonts w:ascii="Arial Narrow" w:hAnsi="Arial Narrow"/>
                <w:sz w:val="20"/>
                <w:szCs w:val="20"/>
              </w:rPr>
            </w:pP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11</w:t>
            </w:r>
          </w:p>
        </w:tc>
        <w:tc>
          <w:tcPr>
            <w:tcW w:w="1559" w:type="dxa"/>
          </w:tcPr>
          <w:p w:rsidR="00161618" w:rsidRPr="00995C36" w:rsidRDefault="00161618" w:rsidP="00161618">
            <w:pPr>
              <w:pStyle w:val="NoSpacing"/>
              <w:rPr>
                <w:rFonts w:ascii="Arial Narrow" w:hAnsi="Arial Narrow"/>
                <w:sz w:val="20"/>
                <w:szCs w:val="20"/>
              </w:rPr>
            </w:pPr>
          </w:p>
          <w:p w:rsidR="00161618" w:rsidRPr="006F4AD5" w:rsidRDefault="00161618" w:rsidP="00161618">
            <w:pPr>
              <w:pStyle w:val="NoSpacing"/>
              <w:rPr>
                <w:rFonts w:ascii="Arial Narrow" w:hAnsi="Arial Narrow"/>
                <w:sz w:val="20"/>
                <w:szCs w:val="20"/>
              </w:rPr>
            </w:pPr>
            <w:r w:rsidRPr="006F4AD5">
              <w:rPr>
                <w:rFonts w:ascii="Arial Narrow" w:hAnsi="Arial Narrow"/>
                <w:sz w:val="20"/>
                <w:szCs w:val="20"/>
              </w:rPr>
              <w:t>$</w:t>
            </w:r>
            <w:r w:rsidR="000E331D">
              <w:rPr>
                <w:rFonts w:ascii="Arial Narrow" w:hAnsi="Arial Narrow"/>
                <w:noProof/>
                <w:color w:val="000000"/>
                <w:sz w:val="20"/>
                <w:szCs w:val="20"/>
                <w:highlight w:val="black"/>
              </w:rPr>
              <w:t>'''''''''''''''''''''</w:t>
            </w:r>
            <w:r w:rsidRPr="006F4AD5">
              <w:rPr>
                <w:rFonts w:ascii="Arial Narrow" w:hAnsi="Arial Narrow"/>
                <w:sz w:val="20"/>
                <w:szCs w:val="20"/>
              </w:rPr>
              <w:t xml:space="preserve"> </w:t>
            </w:r>
          </w:p>
          <w:p w:rsidR="00161618" w:rsidRPr="00E251C8" w:rsidRDefault="00161618" w:rsidP="00161618">
            <w:pPr>
              <w:pStyle w:val="NoSpacing"/>
              <w:rPr>
                <w:rFonts w:ascii="Arial Narrow" w:hAnsi="Arial Narrow"/>
                <w:sz w:val="20"/>
                <w:szCs w:val="20"/>
              </w:rPr>
            </w:pPr>
            <w:r w:rsidRPr="00E251C8">
              <w:rPr>
                <w:rFonts w:ascii="Arial Narrow" w:hAnsi="Arial Narrow"/>
                <w:sz w:val="20"/>
                <w:szCs w:val="20"/>
              </w:rPr>
              <w:t>(public hospital)</w:t>
            </w:r>
          </w:p>
          <w:p w:rsidR="00161618" w:rsidRPr="006F4AD5" w:rsidRDefault="00161618" w:rsidP="00161618">
            <w:pPr>
              <w:pStyle w:val="NoSpacing"/>
              <w:rPr>
                <w:rFonts w:ascii="Arial Narrow" w:hAnsi="Arial Narrow"/>
                <w:sz w:val="20"/>
                <w:szCs w:val="20"/>
              </w:rPr>
            </w:pPr>
            <w:r w:rsidRPr="006F4AD5">
              <w:rPr>
                <w:rFonts w:ascii="Arial Narrow" w:hAnsi="Arial Narrow"/>
                <w:sz w:val="20"/>
                <w:szCs w:val="20"/>
              </w:rPr>
              <w:t>$</w:t>
            </w:r>
            <w:r w:rsidR="000E331D">
              <w:rPr>
                <w:rFonts w:ascii="Arial Narrow" w:hAnsi="Arial Narrow"/>
                <w:noProof/>
                <w:color w:val="000000"/>
                <w:sz w:val="20"/>
                <w:szCs w:val="20"/>
                <w:highlight w:val="black"/>
              </w:rPr>
              <w:t>'''''''''''''''''''</w:t>
            </w:r>
            <w:r w:rsidRPr="006F4AD5">
              <w:rPr>
                <w:rFonts w:ascii="Arial Narrow" w:hAnsi="Arial Narrow"/>
                <w:sz w:val="20"/>
                <w:szCs w:val="20"/>
              </w:rPr>
              <w:t xml:space="preserve"> </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(private hospital)</w:t>
            </w:r>
          </w:p>
        </w:tc>
        <w:tc>
          <w:tcPr>
            <w:tcW w:w="1559" w:type="dxa"/>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Ribomustin</w:t>
            </w:r>
          </w:p>
        </w:tc>
        <w:tc>
          <w:tcPr>
            <w:tcW w:w="1276" w:type="dxa"/>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Janssen-Cilag Pty Ltd</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 xml:space="preserve">Category / </w:t>
            </w:r>
          </w:p>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Program</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Section 100 (efficient funding of chemotherapy arrangements) public/private hospital</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fldChar w:fldCharType="begin">
                <w:ffData>
                  <w:name w:val="Check1"/>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Dental  </w:t>
            </w:r>
            <w:r w:rsidRPr="00995C36">
              <w:rPr>
                <w:rFonts w:ascii="Arial Narrow" w:hAnsi="Arial Narrow"/>
                <w:sz w:val="20"/>
                <w:szCs w:val="20"/>
              </w:rPr>
              <w:fldChar w:fldCharType="begin">
                <w:ffData>
                  <w:name w:val=""/>
                  <w:enabled/>
                  <w:calcOnExit w:val="0"/>
                  <w:checkBox>
                    <w:sizeAuto/>
                    <w:default w:val="1"/>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Medical Practitioners  </w:t>
            </w:r>
            <w:r w:rsidRPr="00995C36">
              <w:rPr>
                <w:rFonts w:ascii="Arial Narrow" w:hAnsi="Arial Narrow"/>
                <w:sz w:val="20"/>
                <w:szCs w:val="20"/>
              </w:rPr>
              <w:fldChar w:fldCharType="begin">
                <w:ffData>
                  <w:name w:val="Check3"/>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Nurse practitioners  </w:t>
            </w:r>
            <w:r w:rsidRPr="00995C36">
              <w:rPr>
                <w:rFonts w:ascii="Arial Narrow" w:hAnsi="Arial Narrow"/>
                <w:sz w:val="20"/>
                <w:szCs w:val="20"/>
              </w:rPr>
              <w:fldChar w:fldCharType="begin">
                <w:ffData>
                  <w:name w:val=""/>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Optometrists</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fldChar w:fldCharType="begin">
                <w:ffData>
                  <w:name w:val="Check5"/>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Midwives</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proofErr w:type="spellStart"/>
            <w:r w:rsidRPr="00995C36">
              <w:rPr>
                <w:rFonts w:ascii="Arial Narrow" w:hAnsi="Arial Narrow"/>
                <w:b/>
                <w:sz w:val="20"/>
                <w:szCs w:val="20"/>
              </w:rPr>
              <w:t>Episodicity</w:t>
            </w:r>
            <w:proofErr w:type="spellEnd"/>
            <w:r w:rsidRPr="00995C36">
              <w:rPr>
                <w:rFonts w:ascii="Arial Narrow" w:hAnsi="Arial Narrow"/>
                <w:b/>
                <w:sz w:val="20"/>
                <w:szCs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Previously untreated</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Severity:</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lang w:val="en-US"/>
              </w:rPr>
              <w:t>Stage III or IV</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CD20 positive mantle cell lymphoma</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Treatment phase:</w:t>
            </w:r>
          </w:p>
          <w:p w:rsidR="00161618" w:rsidRPr="00995C36" w:rsidRDefault="00161618" w:rsidP="00161618">
            <w:pPr>
              <w:pStyle w:val="NoSpacing"/>
              <w:rPr>
                <w:rFonts w:ascii="Arial Narrow" w:hAnsi="Arial Narrow"/>
                <w:i/>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lang w:val="en-US"/>
              </w:rPr>
              <w:t>Induction treatment</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Restriction Level / Method:</w:t>
            </w:r>
          </w:p>
          <w:p w:rsidR="00161618" w:rsidRPr="00995C36" w:rsidRDefault="00161618" w:rsidP="00161618">
            <w:pPr>
              <w:pStyle w:val="NoSpacing"/>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fldChar w:fldCharType="begin">
                <w:ffData>
                  <w:name w:val="Check1"/>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Restricted benefit</w:t>
            </w:r>
          </w:p>
          <w:p w:rsidR="00161618" w:rsidRPr="00995C36" w:rsidRDefault="00161618" w:rsidP="00161618">
            <w:pPr>
              <w:pStyle w:val="NoSpacing"/>
              <w:rPr>
                <w:rFonts w:ascii="Arial Narrow" w:hAnsi="Arial Narrow"/>
                <w:strike/>
                <w:sz w:val="20"/>
                <w:szCs w:val="20"/>
              </w:rPr>
            </w:pPr>
            <w:r w:rsidRPr="00995C36">
              <w:rPr>
                <w:rFonts w:ascii="Arial Narrow" w:hAnsi="Arial Narrow"/>
                <w:strike/>
                <w:sz w:val="20"/>
                <w:szCs w:val="20"/>
              </w:rPr>
              <w:fldChar w:fldCharType="begin">
                <w:ffData>
                  <w:name w:val="Check1"/>
                  <w:enabled/>
                  <w:calcOnExit w:val="0"/>
                  <w:checkBox>
                    <w:sizeAuto/>
                    <w:default w:val="0"/>
                  </w:checkBox>
                </w:ffData>
              </w:fldChar>
            </w:r>
            <w:r w:rsidRPr="00995C36">
              <w:rPr>
                <w:rFonts w:ascii="Arial Narrow" w:hAnsi="Arial Narrow"/>
                <w:strike/>
                <w:sz w:val="20"/>
                <w:szCs w:val="20"/>
              </w:rPr>
              <w:instrText xml:space="preserve"> FORMCHECKBOX </w:instrText>
            </w:r>
            <w:r w:rsidR="006F59BC">
              <w:rPr>
                <w:rFonts w:ascii="Arial Narrow" w:hAnsi="Arial Narrow"/>
                <w:strike/>
                <w:sz w:val="20"/>
                <w:szCs w:val="20"/>
              </w:rPr>
            </w:r>
            <w:r w:rsidR="006F59BC">
              <w:rPr>
                <w:rFonts w:ascii="Arial Narrow" w:hAnsi="Arial Narrow"/>
                <w:strike/>
                <w:sz w:val="20"/>
                <w:szCs w:val="20"/>
              </w:rPr>
              <w:fldChar w:fldCharType="separate"/>
            </w:r>
            <w:r w:rsidRPr="00995C36">
              <w:rPr>
                <w:rFonts w:ascii="Arial Narrow" w:hAnsi="Arial Narrow"/>
                <w:strike/>
                <w:sz w:val="20"/>
                <w:szCs w:val="20"/>
              </w:rPr>
              <w:fldChar w:fldCharType="end"/>
            </w:r>
            <w:r w:rsidRPr="00995C36">
              <w:rPr>
                <w:rFonts w:ascii="Arial Narrow" w:hAnsi="Arial Narrow"/>
                <w:strike/>
                <w:sz w:val="20"/>
                <w:szCs w:val="20"/>
              </w:rPr>
              <w:t>Authority Required - In Writing</w:t>
            </w:r>
          </w:p>
          <w:p w:rsidR="00161618" w:rsidRPr="00995C36" w:rsidRDefault="00161618" w:rsidP="00161618">
            <w:pPr>
              <w:pStyle w:val="NoSpacing"/>
              <w:rPr>
                <w:rFonts w:ascii="Arial Narrow" w:hAnsi="Arial Narrow"/>
                <w:strike/>
                <w:sz w:val="20"/>
                <w:szCs w:val="20"/>
              </w:rPr>
            </w:pPr>
            <w:r w:rsidRPr="00995C36">
              <w:rPr>
                <w:rFonts w:ascii="Arial Narrow" w:hAnsi="Arial Narrow"/>
                <w:strike/>
                <w:sz w:val="20"/>
                <w:szCs w:val="20"/>
              </w:rPr>
              <w:fldChar w:fldCharType="begin">
                <w:ffData>
                  <w:name w:val="Check1"/>
                  <w:enabled/>
                  <w:calcOnExit w:val="0"/>
                  <w:checkBox>
                    <w:sizeAuto/>
                    <w:default w:val="0"/>
                  </w:checkBox>
                </w:ffData>
              </w:fldChar>
            </w:r>
            <w:r w:rsidRPr="00995C36">
              <w:rPr>
                <w:rFonts w:ascii="Arial Narrow" w:hAnsi="Arial Narrow"/>
                <w:strike/>
                <w:sz w:val="20"/>
                <w:szCs w:val="20"/>
              </w:rPr>
              <w:instrText xml:space="preserve"> FORMCHECKBOX </w:instrText>
            </w:r>
            <w:r w:rsidR="006F59BC">
              <w:rPr>
                <w:rFonts w:ascii="Arial Narrow" w:hAnsi="Arial Narrow"/>
                <w:strike/>
                <w:sz w:val="20"/>
                <w:szCs w:val="20"/>
              </w:rPr>
            </w:r>
            <w:r w:rsidR="006F59BC">
              <w:rPr>
                <w:rFonts w:ascii="Arial Narrow" w:hAnsi="Arial Narrow"/>
                <w:strike/>
                <w:sz w:val="20"/>
                <w:szCs w:val="20"/>
              </w:rPr>
              <w:fldChar w:fldCharType="separate"/>
            </w:r>
            <w:r w:rsidRPr="00995C36">
              <w:rPr>
                <w:rFonts w:ascii="Arial Narrow" w:hAnsi="Arial Narrow"/>
                <w:strike/>
                <w:sz w:val="20"/>
                <w:szCs w:val="20"/>
              </w:rPr>
              <w:fldChar w:fldCharType="end"/>
            </w:r>
            <w:r w:rsidRPr="00995C36">
              <w:rPr>
                <w:rFonts w:ascii="Arial Narrow" w:hAnsi="Arial Narrow"/>
                <w:strike/>
                <w:sz w:val="20"/>
                <w:szCs w:val="20"/>
              </w:rPr>
              <w:t>Authority Required - Telephone</w:t>
            </w:r>
          </w:p>
          <w:p w:rsidR="00161618" w:rsidRPr="00995C36" w:rsidRDefault="00161618" w:rsidP="00161618">
            <w:pPr>
              <w:pStyle w:val="NoSpacing"/>
              <w:rPr>
                <w:rFonts w:ascii="Arial Narrow" w:hAnsi="Arial Narrow"/>
                <w:strike/>
                <w:sz w:val="20"/>
                <w:szCs w:val="20"/>
              </w:rPr>
            </w:pPr>
            <w:r w:rsidRPr="00995C36">
              <w:rPr>
                <w:rFonts w:ascii="Arial Narrow" w:hAnsi="Arial Narrow"/>
                <w:strike/>
                <w:sz w:val="20"/>
                <w:szCs w:val="20"/>
              </w:rPr>
              <w:fldChar w:fldCharType="begin">
                <w:ffData>
                  <w:name w:val="Check1"/>
                  <w:enabled/>
                  <w:calcOnExit w:val="0"/>
                  <w:checkBox>
                    <w:sizeAuto/>
                    <w:default w:val="0"/>
                  </w:checkBox>
                </w:ffData>
              </w:fldChar>
            </w:r>
            <w:r w:rsidRPr="00995C36">
              <w:rPr>
                <w:rFonts w:ascii="Arial Narrow" w:hAnsi="Arial Narrow"/>
                <w:strike/>
                <w:sz w:val="20"/>
                <w:szCs w:val="20"/>
              </w:rPr>
              <w:instrText xml:space="preserve"> FORMCHECKBOX </w:instrText>
            </w:r>
            <w:r w:rsidR="006F59BC">
              <w:rPr>
                <w:rFonts w:ascii="Arial Narrow" w:hAnsi="Arial Narrow"/>
                <w:strike/>
                <w:sz w:val="20"/>
                <w:szCs w:val="20"/>
              </w:rPr>
            </w:r>
            <w:r w:rsidR="006F59BC">
              <w:rPr>
                <w:rFonts w:ascii="Arial Narrow" w:hAnsi="Arial Narrow"/>
                <w:strike/>
                <w:sz w:val="20"/>
                <w:szCs w:val="20"/>
              </w:rPr>
              <w:fldChar w:fldCharType="separate"/>
            </w:r>
            <w:r w:rsidRPr="00995C36">
              <w:rPr>
                <w:rFonts w:ascii="Arial Narrow" w:hAnsi="Arial Narrow"/>
                <w:strike/>
                <w:sz w:val="20"/>
                <w:szCs w:val="20"/>
              </w:rPr>
              <w:fldChar w:fldCharType="end"/>
            </w:r>
            <w:r w:rsidRPr="00995C36">
              <w:rPr>
                <w:rFonts w:ascii="Arial Narrow" w:hAnsi="Arial Narrow"/>
                <w:strike/>
                <w:sz w:val="20"/>
                <w:szCs w:val="20"/>
              </w:rPr>
              <w:t>Authority Required – Emergency</w:t>
            </w:r>
          </w:p>
          <w:p w:rsidR="00161618" w:rsidRPr="00995C36" w:rsidRDefault="00161618" w:rsidP="00161618">
            <w:pPr>
              <w:pStyle w:val="NoSpacing"/>
              <w:rPr>
                <w:rFonts w:ascii="Arial Narrow" w:hAnsi="Arial Narrow"/>
                <w:strike/>
                <w:sz w:val="20"/>
                <w:szCs w:val="20"/>
              </w:rPr>
            </w:pPr>
            <w:r w:rsidRPr="00995C36">
              <w:rPr>
                <w:rFonts w:ascii="Arial Narrow" w:hAnsi="Arial Narrow"/>
                <w:strike/>
                <w:sz w:val="20"/>
                <w:szCs w:val="20"/>
              </w:rPr>
              <w:fldChar w:fldCharType="begin">
                <w:ffData>
                  <w:name w:val="Check1"/>
                  <w:enabled/>
                  <w:calcOnExit w:val="0"/>
                  <w:checkBox>
                    <w:sizeAuto/>
                    <w:default w:val="0"/>
                  </w:checkBox>
                </w:ffData>
              </w:fldChar>
            </w:r>
            <w:r w:rsidRPr="00995C36">
              <w:rPr>
                <w:rFonts w:ascii="Arial Narrow" w:hAnsi="Arial Narrow"/>
                <w:strike/>
                <w:sz w:val="20"/>
                <w:szCs w:val="20"/>
              </w:rPr>
              <w:instrText xml:space="preserve"> FORMCHECKBOX </w:instrText>
            </w:r>
            <w:r w:rsidR="006F59BC">
              <w:rPr>
                <w:rFonts w:ascii="Arial Narrow" w:hAnsi="Arial Narrow"/>
                <w:strike/>
                <w:sz w:val="20"/>
                <w:szCs w:val="20"/>
              </w:rPr>
            </w:r>
            <w:r w:rsidR="006F59BC">
              <w:rPr>
                <w:rFonts w:ascii="Arial Narrow" w:hAnsi="Arial Narrow"/>
                <w:strike/>
                <w:sz w:val="20"/>
                <w:szCs w:val="20"/>
              </w:rPr>
              <w:fldChar w:fldCharType="separate"/>
            </w:r>
            <w:r w:rsidRPr="00995C36">
              <w:rPr>
                <w:rFonts w:ascii="Arial Narrow" w:hAnsi="Arial Narrow"/>
                <w:strike/>
                <w:sz w:val="20"/>
                <w:szCs w:val="20"/>
              </w:rPr>
              <w:fldChar w:fldCharType="end"/>
            </w:r>
            <w:r w:rsidRPr="00995C36">
              <w:rPr>
                <w:rFonts w:ascii="Arial Narrow" w:hAnsi="Arial Narrow"/>
                <w:strike/>
                <w:sz w:val="20"/>
                <w:szCs w:val="20"/>
              </w:rPr>
              <w:t>Authority Required - Electronic</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fldChar w:fldCharType="begin">
                <w:ffData>
                  <w:name w:val="Check5"/>
                  <w:enabled/>
                  <w:calcOnExit w:val="0"/>
                  <w:checkBox>
                    <w:sizeAuto/>
                    <w:default w:val="1"/>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Streamlined</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sz w:val="20"/>
                <w:szCs w:val="20"/>
              </w:rPr>
            </w:pPr>
            <w:r w:rsidRPr="00995C36">
              <w:rPr>
                <w:rFonts w:ascii="Arial Narrow" w:hAnsi="Arial Narrow"/>
                <w:b/>
                <w:sz w:val="20"/>
                <w:szCs w:val="20"/>
              </w:rPr>
              <w:t>Clinical criteria:</w:t>
            </w:r>
          </w:p>
          <w:p w:rsidR="00161618" w:rsidRPr="00995C36" w:rsidRDefault="00161618" w:rsidP="00161618">
            <w:pPr>
              <w:pStyle w:val="NoSpacing"/>
              <w:rPr>
                <w:rFonts w:ascii="Arial Narrow" w:hAnsi="Arial Narrow"/>
                <w:i/>
                <w:sz w:val="20"/>
                <w:szCs w:val="20"/>
              </w:rPr>
            </w:pPr>
          </w:p>
          <w:p w:rsidR="00161618" w:rsidRPr="00995C36" w:rsidRDefault="00161618" w:rsidP="00161618">
            <w:pPr>
              <w:pStyle w:val="NoSpacing"/>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lang w:val="en-US"/>
              </w:rPr>
            </w:pPr>
            <w:r w:rsidRPr="00995C36">
              <w:rPr>
                <w:rFonts w:ascii="Arial Narrow" w:hAnsi="Arial Narrow"/>
                <w:sz w:val="20"/>
                <w:szCs w:val="20"/>
                <w:lang w:val="en-US"/>
              </w:rPr>
              <w:t>The treatment must be in combination with rituximab,</w:t>
            </w:r>
          </w:p>
          <w:p w:rsidR="00161618" w:rsidRPr="00995C36" w:rsidRDefault="00161618" w:rsidP="00161618">
            <w:pPr>
              <w:pStyle w:val="NoSpacing"/>
              <w:rPr>
                <w:rFonts w:ascii="Arial Narrow" w:hAnsi="Arial Narrow"/>
                <w:sz w:val="20"/>
                <w:szCs w:val="20"/>
                <w:lang w:val="en-US"/>
              </w:rPr>
            </w:pPr>
            <w:r w:rsidRPr="00995C36">
              <w:rPr>
                <w:rFonts w:ascii="Arial Narrow" w:hAnsi="Arial Narrow"/>
                <w:sz w:val="20"/>
                <w:szCs w:val="20"/>
                <w:lang w:val="en-US"/>
              </w:rPr>
              <w:t>AND</w:t>
            </w:r>
          </w:p>
          <w:p w:rsidR="00161618" w:rsidRPr="00995C36" w:rsidRDefault="00161618" w:rsidP="00161618">
            <w:pPr>
              <w:pStyle w:val="NoSpacing"/>
              <w:rPr>
                <w:rFonts w:ascii="Arial Narrow" w:hAnsi="Arial Narrow"/>
                <w:sz w:val="20"/>
                <w:szCs w:val="20"/>
                <w:lang w:val="en-US"/>
              </w:rPr>
            </w:pPr>
            <w:r w:rsidRPr="00995C36">
              <w:rPr>
                <w:rFonts w:ascii="Arial Narrow" w:hAnsi="Arial Narrow"/>
                <w:sz w:val="20"/>
                <w:szCs w:val="20"/>
                <w:lang w:val="en-US"/>
              </w:rPr>
              <w:t>The condition must be previously untreated,</w:t>
            </w:r>
          </w:p>
          <w:p w:rsidR="00161618" w:rsidRPr="00995C36" w:rsidRDefault="00161618" w:rsidP="00161618">
            <w:pPr>
              <w:pStyle w:val="NoSpacing"/>
              <w:rPr>
                <w:rFonts w:ascii="Arial Narrow" w:hAnsi="Arial Narrow"/>
                <w:sz w:val="20"/>
                <w:szCs w:val="20"/>
                <w:lang w:val="en-US"/>
              </w:rPr>
            </w:pPr>
            <w:r w:rsidRPr="00995C36">
              <w:rPr>
                <w:rFonts w:ascii="Arial Narrow" w:hAnsi="Arial Narrow"/>
                <w:sz w:val="20"/>
                <w:szCs w:val="20"/>
                <w:lang w:val="en-US"/>
              </w:rPr>
              <w:t>AND</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The condition must be symptomatic,</w:t>
            </w:r>
          </w:p>
          <w:p w:rsidR="00161618" w:rsidRPr="00995C36" w:rsidRDefault="00161618" w:rsidP="00161618">
            <w:pPr>
              <w:pStyle w:val="NoSpacing"/>
              <w:rPr>
                <w:rFonts w:ascii="Arial Narrow" w:hAnsi="Arial Narrow"/>
                <w:sz w:val="20"/>
                <w:szCs w:val="20"/>
                <w:lang w:val="en-US"/>
              </w:rPr>
            </w:pPr>
            <w:r w:rsidRPr="00995C36">
              <w:rPr>
                <w:rFonts w:ascii="Arial Narrow" w:hAnsi="Arial Narrow"/>
                <w:sz w:val="20"/>
                <w:szCs w:val="20"/>
                <w:lang w:val="en-US"/>
              </w:rPr>
              <w:t>AND</w:t>
            </w:r>
          </w:p>
          <w:p w:rsidR="00161618" w:rsidRPr="00995C36" w:rsidRDefault="00161618" w:rsidP="00161618">
            <w:pPr>
              <w:pStyle w:val="NoSpacing"/>
              <w:rPr>
                <w:rFonts w:ascii="Arial Narrow" w:hAnsi="Arial Narrow"/>
                <w:i/>
                <w:sz w:val="20"/>
                <w:szCs w:val="20"/>
                <w:lang w:val="en-US"/>
              </w:rPr>
            </w:pPr>
            <w:r w:rsidRPr="00995C36">
              <w:rPr>
                <w:rFonts w:ascii="Arial Narrow" w:hAnsi="Arial Narrow"/>
                <w:i/>
                <w:strike/>
                <w:sz w:val="20"/>
                <w:szCs w:val="20"/>
                <w:lang w:val="en-US"/>
              </w:rPr>
              <w:t>The treatment must be for induction treatment purposes only</w:t>
            </w:r>
            <w:r w:rsidRPr="00995C36">
              <w:rPr>
                <w:rFonts w:ascii="Arial Narrow" w:hAnsi="Arial Narrow"/>
                <w:i/>
                <w:sz w:val="20"/>
                <w:szCs w:val="20"/>
                <w:lang w:val="en-US"/>
              </w:rPr>
              <w:t>,</w:t>
            </w:r>
          </w:p>
          <w:p w:rsidR="00161618" w:rsidRPr="00995C36" w:rsidRDefault="00161618" w:rsidP="00161618">
            <w:pPr>
              <w:pStyle w:val="NoSpacing"/>
              <w:rPr>
                <w:rFonts w:ascii="Arial Narrow" w:hAnsi="Arial Narrow"/>
                <w:i/>
                <w:sz w:val="20"/>
                <w:szCs w:val="20"/>
              </w:rPr>
            </w:pPr>
            <w:r w:rsidRPr="00995C36">
              <w:rPr>
                <w:rFonts w:ascii="Arial Narrow" w:hAnsi="Arial Narrow"/>
                <w:i/>
                <w:sz w:val="20"/>
                <w:szCs w:val="20"/>
                <w:lang w:val="en-US"/>
              </w:rPr>
              <w:t>AND</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Patient must not receive more than 6 cycles (12 doses) of treatment under this restriction</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AND</w:t>
            </w:r>
          </w:p>
          <w:p w:rsidR="00161618" w:rsidRPr="00995C36" w:rsidRDefault="00161618" w:rsidP="00161618">
            <w:pPr>
              <w:pStyle w:val="NoSpacing"/>
              <w:rPr>
                <w:rFonts w:ascii="Arial Narrow" w:hAnsi="Arial Narrow"/>
                <w:sz w:val="20"/>
                <w:szCs w:val="20"/>
              </w:rPr>
            </w:pPr>
            <w:r w:rsidRPr="00995C36">
              <w:rPr>
                <w:rFonts w:ascii="Arial Narrow" w:hAnsi="Arial Narrow"/>
                <w:sz w:val="20"/>
                <w:szCs w:val="20"/>
              </w:rPr>
              <w:t>The patient must not be eligible for stem cell transplantation.</w:t>
            </w:r>
          </w:p>
        </w:tc>
      </w:tr>
      <w:tr w:rsidR="00161618" w:rsidRPr="00995C36" w:rsidTr="00161618">
        <w:trPr>
          <w:cantSplit/>
          <w:trHeight w:val="360"/>
        </w:trPr>
        <w:tc>
          <w:tcPr>
            <w:tcW w:w="1985" w:type="dxa"/>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b/>
                <w:i/>
                <w:sz w:val="20"/>
                <w:szCs w:val="20"/>
              </w:rPr>
            </w:pPr>
            <w:r w:rsidRPr="00995C36">
              <w:rPr>
                <w:rFonts w:ascii="Arial Narrow" w:hAnsi="Arial Narrow"/>
                <w:b/>
                <w:i/>
                <w:sz w:val="20"/>
                <w:szCs w:val="20"/>
              </w:rPr>
              <w:t>Administrative Advice</w:t>
            </w:r>
          </w:p>
        </w:tc>
        <w:tc>
          <w:tcPr>
            <w:tcW w:w="6520" w:type="dxa"/>
            <w:gridSpan w:val="6"/>
            <w:tcBorders>
              <w:top w:val="single" w:sz="4" w:space="0" w:color="auto"/>
              <w:left w:val="single" w:sz="4" w:space="0" w:color="auto"/>
              <w:bottom w:val="single" w:sz="4" w:space="0" w:color="auto"/>
              <w:right w:val="single" w:sz="4" w:space="0" w:color="auto"/>
            </w:tcBorders>
          </w:tcPr>
          <w:p w:rsidR="00161618" w:rsidRPr="00995C36" w:rsidRDefault="00161618" w:rsidP="00161618">
            <w:pPr>
              <w:pStyle w:val="NoSpacing"/>
              <w:rPr>
                <w:rFonts w:ascii="Arial Narrow" w:hAnsi="Arial Narrow"/>
                <w:sz w:val="20"/>
                <w:szCs w:val="20"/>
                <w:lang w:val="en-US"/>
              </w:rPr>
            </w:pPr>
            <w:r w:rsidRPr="00995C36">
              <w:rPr>
                <w:rFonts w:ascii="Arial Narrow" w:hAnsi="Arial Narrow"/>
                <w:sz w:val="20"/>
                <w:szCs w:val="20"/>
                <w:lang w:val="en-US"/>
              </w:rPr>
              <w:t xml:space="preserve">No increase in the maximum number of repeats may be </w:t>
            </w:r>
            <w:r w:rsidR="00995C36" w:rsidRPr="00995C36">
              <w:rPr>
                <w:rFonts w:ascii="Arial Narrow" w:hAnsi="Arial Narrow"/>
                <w:sz w:val="20"/>
                <w:szCs w:val="20"/>
                <w:lang w:val="en-US"/>
              </w:rPr>
              <w:t>authorized</w:t>
            </w:r>
          </w:p>
        </w:tc>
      </w:tr>
    </w:tbl>
    <w:p w:rsidR="00161618" w:rsidRPr="00161618" w:rsidRDefault="00161618" w:rsidP="00161618">
      <w:pPr>
        <w:pStyle w:val="NoSpacing"/>
        <w:rPr>
          <w:b/>
          <w:i/>
        </w:rPr>
      </w:pPr>
    </w:p>
    <w:p w:rsidR="001B211F" w:rsidRPr="00AE2115" w:rsidRDefault="00D0313C" w:rsidP="00AE2115">
      <w:pPr>
        <w:pStyle w:val="ListParagraph"/>
        <w:numPr>
          <w:ilvl w:val="1"/>
          <w:numId w:val="25"/>
        </w:numPr>
        <w:jc w:val="both"/>
        <w:rPr>
          <w:rFonts w:ascii="Arial" w:hAnsi="Arial"/>
          <w:sz w:val="22"/>
          <w:szCs w:val="22"/>
        </w:rPr>
      </w:pPr>
      <w:r w:rsidRPr="00AE2115">
        <w:rPr>
          <w:rFonts w:ascii="Arial" w:hAnsi="Arial"/>
          <w:sz w:val="22"/>
          <w:szCs w:val="22"/>
        </w:rPr>
        <w:lastRenderedPageBreak/>
        <w:t>The clinical criteria were amended to exclude “induction treatment purpose only</w:t>
      </w:r>
      <w:r w:rsidR="007061BD" w:rsidRPr="00AE2115">
        <w:rPr>
          <w:rFonts w:ascii="Arial" w:hAnsi="Arial"/>
          <w:sz w:val="22"/>
          <w:szCs w:val="22"/>
        </w:rPr>
        <w:t>”</w:t>
      </w:r>
      <w:r w:rsidRPr="00AE2115">
        <w:rPr>
          <w:rFonts w:ascii="Arial" w:hAnsi="Arial"/>
          <w:sz w:val="22"/>
          <w:szCs w:val="22"/>
        </w:rPr>
        <w:t xml:space="preserve"> due to </w:t>
      </w:r>
      <w:r w:rsidR="00FB0E15" w:rsidRPr="00AE2115">
        <w:rPr>
          <w:rFonts w:ascii="Arial" w:hAnsi="Arial"/>
          <w:sz w:val="22"/>
          <w:szCs w:val="22"/>
        </w:rPr>
        <w:t xml:space="preserve">the </w:t>
      </w:r>
      <w:r w:rsidRPr="00AE2115">
        <w:rPr>
          <w:rFonts w:ascii="Arial" w:hAnsi="Arial"/>
          <w:sz w:val="22"/>
          <w:szCs w:val="22"/>
        </w:rPr>
        <w:t>PBAC recommendation</w:t>
      </w:r>
      <w:r w:rsidR="00FB0E15" w:rsidRPr="00AE2115">
        <w:rPr>
          <w:rFonts w:ascii="Arial" w:hAnsi="Arial"/>
          <w:sz w:val="22"/>
          <w:szCs w:val="22"/>
        </w:rPr>
        <w:t xml:space="preserve"> that</w:t>
      </w:r>
      <w:r w:rsidRPr="00AE2115">
        <w:rPr>
          <w:rFonts w:ascii="Arial" w:hAnsi="Arial"/>
          <w:sz w:val="22"/>
          <w:szCs w:val="22"/>
        </w:rPr>
        <w:t xml:space="preserve"> rituximab maintenance therapy </w:t>
      </w:r>
      <w:r w:rsidR="00FB0E15" w:rsidRPr="00AE2115">
        <w:rPr>
          <w:rFonts w:ascii="Arial" w:hAnsi="Arial"/>
          <w:sz w:val="22"/>
          <w:szCs w:val="22"/>
        </w:rPr>
        <w:t xml:space="preserve">is </w:t>
      </w:r>
      <w:r w:rsidRPr="00AE2115">
        <w:rPr>
          <w:rFonts w:ascii="Arial" w:hAnsi="Arial"/>
          <w:sz w:val="22"/>
          <w:szCs w:val="22"/>
        </w:rPr>
        <w:t xml:space="preserve">not to be permitted following induction with bendamustine-rituximab (B-R) (paragraph 7.17, </w:t>
      </w:r>
      <w:r w:rsidR="006227B3">
        <w:rPr>
          <w:rFonts w:ascii="Arial" w:hAnsi="Arial"/>
          <w:sz w:val="22"/>
          <w:szCs w:val="22"/>
        </w:rPr>
        <w:t>March 2015 PSD</w:t>
      </w:r>
      <w:r w:rsidRPr="00AE2115">
        <w:rPr>
          <w:rFonts w:ascii="Arial" w:hAnsi="Arial"/>
          <w:sz w:val="22"/>
          <w:szCs w:val="22"/>
        </w:rPr>
        <w:t>, bendamustine).</w:t>
      </w:r>
    </w:p>
    <w:p w:rsidR="00D0313C" w:rsidRPr="00596B74" w:rsidRDefault="00D0313C" w:rsidP="00596B74">
      <w:pPr>
        <w:pStyle w:val="ListParagraph"/>
        <w:jc w:val="both"/>
        <w:rPr>
          <w:rFonts w:ascii="Arial" w:hAnsi="Arial"/>
          <w:i/>
          <w:sz w:val="22"/>
          <w:szCs w:val="22"/>
        </w:rPr>
      </w:pPr>
    </w:p>
    <w:p w:rsidR="00F06D8F" w:rsidRPr="003A5F58" w:rsidRDefault="000F112D" w:rsidP="00F06D8F">
      <w:pPr>
        <w:pStyle w:val="ListParagraph"/>
        <w:numPr>
          <w:ilvl w:val="1"/>
          <w:numId w:val="25"/>
        </w:numPr>
        <w:jc w:val="both"/>
        <w:rPr>
          <w:rFonts w:ascii="Arial" w:hAnsi="Arial"/>
          <w:sz w:val="22"/>
          <w:szCs w:val="22"/>
        </w:rPr>
      </w:pPr>
      <w:r>
        <w:rPr>
          <w:rFonts w:ascii="Arial" w:hAnsi="Arial"/>
          <w:sz w:val="22"/>
          <w:szCs w:val="22"/>
        </w:rPr>
        <w:t>T</w:t>
      </w:r>
      <w:r w:rsidR="00F06D8F" w:rsidRPr="00F06D8F">
        <w:rPr>
          <w:rFonts w:ascii="Arial" w:hAnsi="Arial"/>
          <w:sz w:val="22"/>
          <w:szCs w:val="22"/>
        </w:rPr>
        <w:t xml:space="preserve">he PBAC </w:t>
      </w:r>
      <w:r w:rsidR="008B19B7">
        <w:rPr>
          <w:rFonts w:ascii="Arial" w:hAnsi="Arial"/>
          <w:sz w:val="22"/>
          <w:szCs w:val="22"/>
        </w:rPr>
        <w:t xml:space="preserve">had </w:t>
      </w:r>
      <w:r w:rsidR="00F06D8F" w:rsidRPr="00F06D8F">
        <w:rPr>
          <w:rFonts w:ascii="Arial" w:hAnsi="Arial"/>
          <w:sz w:val="22"/>
          <w:szCs w:val="22"/>
        </w:rPr>
        <w:t>considered that the</w:t>
      </w:r>
      <w:r w:rsidR="00F06D8F" w:rsidRPr="00F06D8F">
        <w:t xml:space="preserve"> </w:t>
      </w:r>
      <w:r w:rsidR="00F06D8F" w:rsidRPr="00F06D8F">
        <w:rPr>
          <w:rFonts w:ascii="Arial" w:hAnsi="Arial"/>
          <w:sz w:val="22"/>
          <w:szCs w:val="22"/>
        </w:rPr>
        <w:t>bendamustine restriction</w:t>
      </w:r>
      <w:r>
        <w:rPr>
          <w:rFonts w:ascii="Arial" w:hAnsi="Arial"/>
          <w:sz w:val="22"/>
          <w:szCs w:val="22"/>
        </w:rPr>
        <w:t xml:space="preserve"> for MCL</w:t>
      </w:r>
      <w:r w:rsidR="00F06D8F" w:rsidRPr="00F06D8F">
        <w:rPr>
          <w:rFonts w:ascii="Arial" w:hAnsi="Arial"/>
          <w:sz w:val="22"/>
          <w:szCs w:val="22"/>
        </w:rPr>
        <w:t xml:space="preserve"> should specify that </w:t>
      </w:r>
      <w:r w:rsidR="00F06D8F" w:rsidRPr="003A5F58">
        <w:rPr>
          <w:rFonts w:ascii="Arial" w:hAnsi="Arial"/>
          <w:sz w:val="22"/>
          <w:szCs w:val="22"/>
        </w:rPr>
        <w:t xml:space="preserve">use is for patients who are not eligible for stem cell transplant, which is consistent with the </w:t>
      </w:r>
      <w:proofErr w:type="spellStart"/>
      <w:r w:rsidR="00F06D8F" w:rsidRPr="003A5F58">
        <w:rPr>
          <w:rFonts w:ascii="Arial" w:hAnsi="Arial"/>
          <w:sz w:val="22"/>
          <w:szCs w:val="22"/>
        </w:rPr>
        <w:t>StiL</w:t>
      </w:r>
      <w:proofErr w:type="spellEnd"/>
      <w:r w:rsidR="00F06D8F" w:rsidRPr="003A5F58">
        <w:rPr>
          <w:rFonts w:ascii="Arial" w:hAnsi="Arial"/>
          <w:sz w:val="22"/>
          <w:szCs w:val="22"/>
        </w:rPr>
        <w:t xml:space="preserve"> trial inclusion criteria</w:t>
      </w:r>
      <w:r w:rsidRPr="003A5F58">
        <w:rPr>
          <w:rFonts w:ascii="Arial" w:hAnsi="Arial"/>
          <w:sz w:val="22"/>
          <w:szCs w:val="22"/>
        </w:rPr>
        <w:t xml:space="preserve"> (</w:t>
      </w:r>
      <w:r w:rsidR="003A5F58" w:rsidRPr="003A5F58">
        <w:rPr>
          <w:rFonts w:ascii="Arial" w:hAnsi="Arial"/>
          <w:sz w:val="22"/>
          <w:szCs w:val="22"/>
        </w:rPr>
        <w:t>paragraph 7.6</w:t>
      </w:r>
      <w:r w:rsidR="0071341C" w:rsidRPr="003A5F58">
        <w:rPr>
          <w:rFonts w:ascii="Arial" w:hAnsi="Arial"/>
          <w:sz w:val="22"/>
          <w:szCs w:val="22"/>
        </w:rPr>
        <w:t xml:space="preserve">, </w:t>
      </w:r>
      <w:r w:rsidR="006227B3">
        <w:rPr>
          <w:rFonts w:ascii="Arial" w:hAnsi="Arial"/>
          <w:sz w:val="22"/>
          <w:szCs w:val="22"/>
        </w:rPr>
        <w:t>March 2015 PSD</w:t>
      </w:r>
      <w:r w:rsidR="0071341C" w:rsidRPr="003A5F58">
        <w:rPr>
          <w:rFonts w:ascii="Arial" w:hAnsi="Arial"/>
          <w:sz w:val="22"/>
          <w:szCs w:val="22"/>
        </w:rPr>
        <w:t>, bendamustine</w:t>
      </w:r>
      <w:r w:rsidRPr="003A5F58">
        <w:rPr>
          <w:rFonts w:ascii="Arial" w:hAnsi="Arial"/>
          <w:sz w:val="22"/>
          <w:szCs w:val="22"/>
        </w:rPr>
        <w:t>)</w:t>
      </w:r>
      <w:r w:rsidR="00F06D8F" w:rsidRPr="003A5F58">
        <w:rPr>
          <w:rFonts w:ascii="Arial" w:hAnsi="Arial"/>
          <w:sz w:val="22"/>
          <w:szCs w:val="22"/>
        </w:rPr>
        <w:t xml:space="preserve">. </w:t>
      </w:r>
    </w:p>
    <w:p w:rsidR="00902021" w:rsidRDefault="00902021" w:rsidP="00826F6D">
      <w:pPr>
        <w:pStyle w:val="ListParagraph"/>
        <w:jc w:val="both"/>
        <w:rPr>
          <w:rFonts w:ascii="Arial" w:hAnsi="Arial"/>
          <w:i/>
          <w:sz w:val="22"/>
          <w:szCs w:val="22"/>
        </w:rPr>
      </w:pPr>
    </w:p>
    <w:p w:rsidR="00C6182A" w:rsidRDefault="004213B6" w:rsidP="00E32D3D">
      <w:pPr>
        <w:pStyle w:val="ListParagraph"/>
        <w:widowControl w:val="0"/>
        <w:numPr>
          <w:ilvl w:val="1"/>
          <w:numId w:val="25"/>
        </w:numPr>
        <w:jc w:val="both"/>
        <w:rPr>
          <w:rFonts w:ascii="Arial" w:hAnsi="Arial"/>
          <w:sz w:val="22"/>
          <w:szCs w:val="22"/>
        </w:rPr>
      </w:pPr>
      <w:r w:rsidRPr="004213B6">
        <w:rPr>
          <w:rFonts w:ascii="Arial" w:hAnsi="Arial"/>
          <w:sz w:val="22"/>
          <w:szCs w:val="22"/>
        </w:rPr>
        <w:t>The re</w:t>
      </w:r>
      <w:r w:rsidR="008D4E34">
        <w:rPr>
          <w:rFonts w:ascii="Arial" w:hAnsi="Arial"/>
          <w:sz w:val="22"/>
          <w:szCs w:val="22"/>
        </w:rPr>
        <w:t>-</w:t>
      </w:r>
      <w:r w:rsidRPr="004213B6">
        <w:rPr>
          <w:rFonts w:ascii="Arial" w:hAnsi="Arial"/>
          <w:sz w:val="22"/>
          <w:szCs w:val="22"/>
        </w:rPr>
        <w:t xml:space="preserve">submission </w:t>
      </w:r>
      <w:r w:rsidR="007A1EB1">
        <w:rPr>
          <w:rFonts w:ascii="Arial" w:hAnsi="Arial"/>
          <w:sz w:val="22"/>
          <w:szCs w:val="22"/>
        </w:rPr>
        <w:t>did not discuss</w:t>
      </w:r>
      <w:r w:rsidR="002745C5" w:rsidRPr="004213B6">
        <w:rPr>
          <w:rFonts w:ascii="Arial" w:hAnsi="Arial"/>
          <w:sz w:val="22"/>
          <w:szCs w:val="22"/>
        </w:rPr>
        <w:t xml:space="preserve"> </w:t>
      </w:r>
      <w:r w:rsidRPr="004213B6">
        <w:rPr>
          <w:rFonts w:ascii="Arial" w:hAnsi="Arial"/>
          <w:sz w:val="22"/>
          <w:szCs w:val="22"/>
        </w:rPr>
        <w:t>the</w:t>
      </w:r>
      <w:r w:rsidR="002745C5" w:rsidRPr="004213B6">
        <w:rPr>
          <w:rFonts w:ascii="Arial" w:hAnsi="Arial"/>
          <w:sz w:val="22"/>
          <w:szCs w:val="22"/>
        </w:rPr>
        <w:t xml:space="preserve"> potential for leakage outside the PBS </w:t>
      </w:r>
      <w:r w:rsidR="002745C5" w:rsidRPr="0071341C">
        <w:rPr>
          <w:rFonts w:ascii="Arial" w:hAnsi="Arial"/>
          <w:sz w:val="22"/>
          <w:szCs w:val="22"/>
        </w:rPr>
        <w:t xml:space="preserve">restriction </w:t>
      </w:r>
      <w:r w:rsidR="0018159F" w:rsidRPr="0071341C">
        <w:rPr>
          <w:rFonts w:ascii="Arial" w:hAnsi="Arial"/>
          <w:sz w:val="22"/>
          <w:szCs w:val="22"/>
        </w:rPr>
        <w:t>including use as a second line and subsequent lines of therapy, as well as potential leakage to</w:t>
      </w:r>
      <w:r w:rsidR="0084547B">
        <w:rPr>
          <w:rFonts w:ascii="Arial" w:hAnsi="Arial"/>
          <w:sz w:val="22"/>
          <w:szCs w:val="22"/>
        </w:rPr>
        <w:t xml:space="preserve"> chronic lymphocytic leukaemia</w:t>
      </w:r>
      <w:r w:rsidR="0018159F" w:rsidRPr="0071341C">
        <w:rPr>
          <w:rFonts w:ascii="Arial" w:hAnsi="Arial"/>
          <w:sz w:val="22"/>
          <w:szCs w:val="22"/>
        </w:rPr>
        <w:t xml:space="preserve"> </w:t>
      </w:r>
      <w:r w:rsidR="0084547B">
        <w:rPr>
          <w:rFonts w:ascii="Arial" w:hAnsi="Arial"/>
          <w:sz w:val="22"/>
          <w:szCs w:val="22"/>
        </w:rPr>
        <w:t>(</w:t>
      </w:r>
      <w:r w:rsidR="0018159F" w:rsidRPr="0071341C">
        <w:rPr>
          <w:rFonts w:ascii="Arial" w:hAnsi="Arial"/>
          <w:sz w:val="22"/>
          <w:szCs w:val="22"/>
        </w:rPr>
        <w:t>CLL</w:t>
      </w:r>
      <w:r w:rsidR="0084547B">
        <w:rPr>
          <w:rFonts w:ascii="Arial" w:hAnsi="Arial"/>
          <w:sz w:val="22"/>
          <w:szCs w:val="22"/>
        </w:rPr>
        <w:t>)</w:t>
      </w:r>
      <w:r w:rsidR="0018159F" w:rsidRPr="0071341C">
        <w:rPr>
          <w:rFonts w:ascii="Arial" w:hAnsi="Arial"/>
          <w:sz w:val="22"/>
          <w:szCs w:val="22"/>
        </w:rPr>
        <w:t xml:space="preserve"> </w:t>
      </w:r>
      <w:r w:rsidR="0018159F" w:rsidRPr="0071341C">
        <w:rPr>
          <w:rFonts w:ascii="Arial" w:hAnsi="Arial" w:cs="Arial"/>
          <w:sz w:val="22"/>
          <w:szCs w:val="22"/>
        </w:rPr>
        <w:t xml:space="preserve">patients. </w:t>
      </w:r>
      <w:r w:rsidR="00E32D3D" w:rsidRPr="00E410E1">
        <w:rPr>
          <w:rFonts w:ascii="Arial" w:hAnsi="Arial" w:cs="Arial"/>
          <w:sz w:val="22"/>
          <w:szCs w:val="22"/>
        </w:rPr>
        <w:t xml:space="preserve">The PBAC </w:t>
      </w:r>
      <w:r w:rsidR="008B19B7">
        <w:rPr>
          <w:rFonts w:ascii="Arial" w:hAnsi="Arial" w:cs="Arial"/>
          <w:sz w:val="22"/>
          <w:szCs w:val="22"/>
        </w:rPr>
        <w:t xml:space="preserve">had </w:t>
      </w:r>
      <w:r w:rsidR="00E32D3D" w:rsidRPr="00E410E1">
        <w:rPr>
          <w:rFonts w:ascii="Arial" w:hAnsi="Arial" w:cs="Arial"/>
          <w:sz w:val="22"/>
          <w:szCs w:val="22"/>
        </w:rPr>
        <w:t>considered CLL to be an area of high clinical need. However, the sponsor did not submit an application to the PBAC for this indication (</w:t>
      </w:r>
      <w:r w:rsidR="00E152B1" w:rsidRPr="00E410E1">
        <w:rPr>
          <w:rFonts w:ascii="Arial" w:hAnsi="Arial" w:cs="Arial"/>
          <w:sz w:val="22"/>
          <w:szCs w:val="22"/>
        </w:rPr>
        <w:t xml:space="preserve">paragraph </w:t>
      </w:r>
      <w:r w:rsidR="00E32D3D" w:rsidRPr="00E410E1">
        <w:rPr>
          <w:rFonts w:ascii="Arial" w:hAnsi="Arial" w:cs="Arial"/>
          <w:sz w:val="22"/>
          <w:szCs w:val="22"/>
        </w:rPr>
        <w:t xml:space="preserve">7.5, </w:t>
      </w:r>
      <w:r w:rsidR="006227B3">
        <w:rPr>
          <w:rFonts w:ascii="Arial" w:hAnsi="Arial" w:cs="Arial"/>
          <w:sz w:val="22"/>
          <w:szCs w:val="22"/>
        </w:rPr>
        <w:t>March 2015 PSD</w:t>
      </w:r>
      <w:r w:rsidR="00E32D3D" w:rsidRPr="00E410E1">
        <w:rPr>
          <w:rFonts w:ascii="Arial" w:hAnsi="Arial" w:cs="Arial"/>
          <w:sz w:val="22"/>
          <w:szCs w:val="22"/>
        </w:rPr>
        <w:t>, bendamustine</w:t>
      </w:r>
      <w:r w:rsidR="00E32D3D" w:rsidRPr="00AE2115">
        <w:rPr>
          <w:rFonts w:ascii="Arial" w:hAnsi="Arial" w:cs="Arial"/>
          <w:sz w:val="22"/>
          <w:szCs w:val="22"/>
        </w:rPr>
        <w:t>).</w:t>
      </w:r>
      <w:r w:rsidR="00E32D3D" w:rsidRPr="00826F6D">
        <w:rPr>
          <w:rFonts w:ascii="Arial" w:hAnsi="Arial"/>
          <w:sz w:val="22"/>
          <w:szCs w:val="22"/>
        </w:rPr>
        <w:t xml:space="preserve"> </w:t>
      </w:r>
    </w:p>
    <w:p w:rsidR="00FB0E15" w:rsidRPr="00FB0E15" w:rsidRDefault="00FB0E15" w:rsidP="00FB0E15">
      <w:pPr>
        <w:pStyle w:val="ListParagraph"/>
        <w:rPr>
          <w:rFonts w:ascii="Arial" w:hAnsi="Arial"/>
          <w:sz w:val="22"/>
          <w:szCs w:val="22"/>
        </w:rPr>
      </w:pPr>
    </w:p>
    <w:p w:rsidR="00AE2115" w:rsidRDefault="00AE2115" w:rsidP="00AE2115">
      <w:pPr>
        <w:pStyle w:val="ListParagraph"/>
        <w:ind w:left="709"/>
        <w:jc w:val="both"/>
        <w:rPr>
          <w:rFonts w:ascii="Arial" w:hAnsi="Arial"/>
          <w:i/>
          <w:sz w:val="22"/>
          <w:szCs w:val="22"/>
        </w:rPr>
      </w:pPr>
      <w:r w:rsidRPr="000A0781">
        <w:rPr>
          <w:rFonts w:ascii="Arial" w:hAnsi="Arial"/>
          <w:i/>
          <w:sz w:val="22"/>
          <w:szCs w:val="22"/>
        </w:rPr>
        <w:t xml:space="preserve">For more detail on PBAC’s view, </w:t>
      </w:r>
      <w:r w:rsidR="0084547B">
        <w:rPr>
          <w:rFonts w:ascii="Arial" w:hAnsi="Arial"/>
          <w:i/>
          <w:sz w:val="22"/>
          <w:szCs w:val="22"/>
        </w:rPr>
        <w:t>see section 7</w:t>
      </w:r>
      <w:r w:rsidRPr="000A0781">
        <w:rPr>
          <w:rFonts w:ascii="Arial" w:hAnsi="Arial"/>
          <w:i/>
          <w:sz w:val="22"/>
          <w:szCs w:val="22"/>
        </w:rPr>
        <w:t xml:space="preserve"> “PBAC outcome”</w:t>
      </w:r>
    </w:p>
    <w:p w:rsidR="00BB7EC3" w:rsidRDefault="00BB7EC3" w:rsidP="00882085">
      <w:pPr>
        <w:jc w:val="both"/>
        <w:rPr>
          <w:rFonts w:ascii="Arial" w:hAnsi="Arial"/>
          <w:b/>
          <w:sz w:val="22"/>
          <w:szCs w:val="22"/>
        </w:rPr>
      </w:pPr>
    </w:p>
    <w:p w:rsidR="00AC169B" w:rsidRPr="00882085" w:rsidRDefault="00AC169B"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9C7894" w:rsidRPr="009C7894" w:rsidRDefault="00835C59" w:rsidP="009C7894">
      <w:pPr>
        <w:pStyle w:val="ListParagraph"/>
        <w:numPr>
          <w:ilvl w:val="1"/>
          <w:numId w:val="25"/>
        </w:numPr>
        <w:jc w:val="both"/>
        <w:rPr>
          <w:rFonts w:ascii="Arial" w:hAnsi="Arial"/>
          <w:sz w:val="22"/>
          <w:szCs w:val="22"/>
        </w:rPr>
      </w:pPr>
      <w:r>
        <w:rPr>
          <w:rFonts w:ascii="Arial" w:hAnsi="Arial"/>
          <w:sz w:val="22"/>
          <w:szCs w:val="22"/>
        </w:rPr>
        <w:t>Bendamustine</w:t>
      </w:r>
      <w:r w:rsidR="009C7894">
        <w:rPr>
          <w:rFonts w:ascii="Arial" w:hAnsi="Arial"/>
          <w:sz w:val="22"/>
          <w:szCs w:val="22"/>
        </w:rPr>
        <w:t xml:space="preserve"> </w:t>
      </w:r>
      <w:r w:rsidR="008C2F13">
        <w:rPr>
          <w:rFonts w:ascii="Arial" w:hAnsi="Arial"/>
          <w:sz w:val="22"/>
          <w:szCs w:val="22"/>
        </w:rPr>
        <w:t xml:space="preserve">was </w:t>
      </w:r>
      <w:r w:rsidR="009C7894">
        <w:rPr>
          <w:rFonts w:ascii="Arial" w:hAnsi="Arial"/>
          <w:sz w:val="22"/>
          <w:szCs w:val="22"/>
        </w:rPr>
        <w:t xml:space="preserve">TGA </w:t>
      </w:r>
      <w:r w:rsidR="00404EFD">
        <w:rPr>
          <w:rFonts w:ascii="Arial" w:hAnsi="Arial"/>
          <w:sz w:val="22"/>
          <w:szCs w:val="22"/>
        </w:rPr>
        <w:t xml:space="preserve"> registered</w:t>
      </w:r>
      <w:r w:rsidR="00935EB3" w:rsidRPr="009C7894">
        <w:rPr>
          <w:rFonts w:ascii="Arial" w:hAnsi="Arial"/>
          <w:sz w:val="22"/>
          <w:szCs w:val="22"/>
        </w:rPr>
        <w:t xml:space="preserve"> </w:t>
      </w:r>
      <w:r w:rsidR="008C2F13">
        <w:rPr>
          <w:rFonts w:ascii="Arial" w:hAnsi="Arial"/>
          <w:sz w:val="22"/>
          <w:szCs w:val="22"/>
        </w:rPr>
        <w:t xml:space="preserve">on </w:t>
      </w:r>
      <w:r w:rsidR="009C7894" w:rsidRPr="009C7894">
        <w:rPr>
          <w:rFonts w:ascii="Arial" w:hAnsi="Arial"/>
          <w:sz w:val="22"/>
          <w:szCs w:val="22"/>
        </w:rPr>
        <w:t>30 June 2014</w:t>
      </w:r>
      <w:r w:rsidR="009C7894">
        <w:rPr>
          <w:rFonts w:ascii="Arial" w:hAnsi="Arial"/>
          <w:sz w:val="22"/>
          <w:szCs w:val="22"/>
        </w:rPr>
        <w:t xml:space="preserve"> f</w:t>
      </w:r>
      <w:r w:rsidR="009C7894" w:rsidRPr="009C7894">
        <w:rPr>
          <w:rFonts w:ascii="Arial" w:hAnsi="Arial"/>
          <w:sz w:val="22"/>
          <w:szCs w:val="22"/>
        </w:rPr>
        <w:t xml:space="preserve">or </w:t>
      </w:r>
      <w:r w:rsidR="009C7894">
        <w:rPr>
          <w:rFonts w:ascii="Arial" w:hAnsi="Arial"/>
          <w:sz w:val="22"/>
          <w:szCs w:val="22"/>
        </w:rPr>
        <w:t>tr</w:t>
      </w:r>
      <w:r w:rsidR="009C7894" w:rsidRPr="009C7894">
        <w:rPr>
          <w:rFonts w:ascii="Arial" w:hAnsi="Arial"/>
          <w:sz w:val="22"/>
          <w:szCs w:val="22"/>
        </w:rPr>
        <w:t>eatment of the following indications:</w:t>
      </w:r>
    </w:p>
    <w:p w:rsidR="009C7894" w:rsidRPr="009C7894" w:rsidRDefault="009C7894" w:rsidP="00E251C8">
      <w:pPr>
        <w:widowControl w:val="0"/>
        <w:numPr>
          <w:ilvl w:val="0"/>
          <w:numId w:val="43"/>
        </w:numPr>
        <w:ind w:hanging="371"/>
        <w:contextualSpacing/>
        <w:jc w:val="both"/>
        <w:rPr>
          <w:rFonts w:ascii="Arial" w:hAnsi="Arial" w:cs="Arial"/>
          <w:snapToGrid w:val="0"/>
          <w:sz w:val="22"/>
          <w:szCs w:val="20"/>
          <w:lang w:eastAsia="en-US"/>
        </w:rPr>
      </w:pPr>
      <w:r w:rsidRPr="009C7894">
        <w:rPr>
          <w:rFonts w:ascii="Arial" w:hAnsi="Arial" w:cs="Arial"/>
          <w:snapToGrid w:val="0"/>
          <w:sz w:val="22"/>
          <w:szCs w:val="20"/>
          <w:lang w:eastAsia="en-US"/>
        </w:rPr>
        <w:t>First-line treatment of chronic lymphocytic leukaemia (</w:t>
      </w:r>
      <w:proofErr w:type="spellStart"/>
      <w:r w:rsidRPr="009C7894">
        <w:rPr>
          <w:rFonts w:ascii="Arial" w:hAnsi="Arial" w:cs="Arial"/>
          <w:snapToGrid w:val="0"/>
          <w:sz w:val="22"/>
          <w:szCs w:val="20"/>
          <w:lang w:eastAsia="en-US"/>
        </w:rPr>
        <w:t>Binet</w:t>
      </w:r>
      <w:proofErr w:type="spellEnd"/>
      <w:r w:rsidRPr="009C7894">
        <w:rPr>
          <w:rFonts w:ascii="Arial" w:hAnsi="Arial" w:cs="Arial"/>
          <w:snapToGrid w:val="0"/>
          <w:sz w:val="22"/>
          <w:szCs w:val="20"/>
          <w:lang w:eastAsia="en-US"/>
        </w:rPr>
        <w:t xml:space="preserve"> stage B or C);</w:t>
      </w:r>
    </w:p>
    <w:p w:rsidR="009C7894" w:rsidRPr="009C7894" w:rsidRDefault="009C7894" w:rsidP="00E251C8">
      <w:pPr>
        <w:widowControl w:val="0"/>
        <w:numPr>
          <w:ilvl w:val="0"/>
          <w:numId w:val="43"/>
        </w:numPr>
        <w:ind w:hanging="371"/>
        <w:contextualSpacing/>
        <w:jc w:val="both"/>
        <w:rPr>
          <w:rFonts w:ascii="Arial" w:hAnsi="Arial" w:cs="Arial"/>
          <w:snapToGrid w:val="0"/>
          <w:sz w:val="22"/>
          <w:szCs w:val="20"/>
          <w:lang w:eastAsia="en-US"/>
        </w:rPr>
      </w:pPr>
      <w:r w:rsidRPr="009C7894">
        <w:rPr>
          <w:rFonts w:ascii="Arial" w:hAnsi="Arial" w:cs="Arial"/>
          <w:snapToGrid w:val="0"/>
          <w:sz w:val="22"/>
          <w:szCs w:val="20"/>
          <w:lang w:eastAsia="en-US"/>
        </w:rPr>
        <w:t>Previously untreated, indolent CD20-positive, stage III-IV Non-Hodgkin’s Lymphoma, in combination with rituximab;</w:t>
      </w:r>
    </w:p>
    <w:p w:rsidR="009C7894" w:rsidRPr="009C7894" w:rsidRDefault="009C7894" w:rsidP="00E251C8">
      <w:pPr>
        <w:widowControl w:val="0"/>
        <w:numPr>
          <w:ilvl w:val="0"/>
          <w:numId w:val="43"/>
        </w:numPr>
        <w:ind w:hanging="371"/>
        <w:contextualSpacing/>
        <w:jc w:val="both"/>
        <w:rPr>
          <w:rFonts w:ascii="Arial" w:hAnsi="Arial" w:cs="Arial"/>
          <w:snapToGrid w:val="0"/>
          <w:sz w:val="22"/>
          <w:szCs w:val="20"/>
          <w:lang w:eastAsia="en-US"/>
        </w:rPr>
      </w:pPr>
      <w:r w:rsidRPr="009C7894">
        <w:rPr>
          <w:rFonts w:ascii="Arial" w:hAnsi="Arial" w:cs="Arial"/>
          <w:snapToGrid w:val="0"/>
          <w:sz w:val="22"/>
          <w:szCs w:val="20"/>
          <w:lang w:eastAsia="en-US"/>
        </w:rPr>
        <w:t>Previously untreated indolent CD20-positive, stage III-IV Mantle Cell Lymphoma in combination with rituximab, in patients ineligible for autologous stem cell transplantation; and</w:t>
      </w:r>
    </w:p>
    <w:p w:rsidR="009C7894" w:rsidRPr="009C7894" w:rsidRDefault="009C7894" w:rsidP="00E251C8">
      <w:pPr>
        <w:widowControl w:val="0"/>
        <w:numPr>
          <w:ilvl w:val="0"/>
          <w:numId w:val="43"/>
        </w:numPr>
        <w:ind w:hanging="371"/>
        <w:contextualSpacing/>
        <w:jc w:val="both"/>
        <w:rPr>
          <w:rFonts w:ascii="Arial" w:hAnsi="Arial" w:cs="Arial"/>
          <w:snapToGrid w:val="0"/>
          <w:sz w:val="22"/>
          <w:szCs w:val="20"/>
          <w:lang w:eastAsia="en-US"/>
        </w:rPr>
      </w:pPr>
      <w:r w:rsidRPr="009C7894">
        <w:rPr>
          <w:rFonts w:ascii="Arial" w:hAnsi="Arial" w:cs="Arial"/>
          <w:snapToGrid w:val="0"/>
          <w:sz w:val="22"/>
          <w:szCs w:val="20"/>
          <w:lang w:eastAsia="en-US"/>
        </w:rPr>
        <w:t>Relapsed/Refractory indolent Non-Hodgkin’s Lymphoma.</w:t>
      </w:r>
    </w:p>
    <w:p w:rsidR="006B0D94" w:rsidRPr="006D34B6" w:rsidRDefault="006B0D94" w:rsidP="006D34B6">
      <w:pPr>
        <w:jc w:val="both"/>
        <w:rPr>
          <w:rFonts w:ascii="Arial" w:hAnsi="Arial"/>
          <w:sz w:val="22"/>
          <w:szCs w:val="22"/>
        </w:rPr>
      </w:pPr>
    </w:p>
    <w:p w:rsidR="004213B6" w:rsidRDefault="004213B6" w:rsidP="004213B6">
      <w:pPr>
        <w:pStyle w:val="ListParagraph"/>
        <w:numPr>
          <w:ilvl w:val="1"/>
          <w:numId w:val="25"/>
        </w:numPr>
        <w:jc w:val="both"/>
        <w:rPr>
          <w:rFonts w:ascii="Arial" w:hAnsi="Arial"/>
          <w:sz w:val="22"/>
          <w:szCs w:val="22"/>
        </w:rPr>
      </w:pPr>
      <w:r>
        <w:rPr>
          <w:rFonts w:ascii="Arial" w:hAnsi="Arial"/>
          <w:sz w:val="22"/>
          <w:szCs w:val="22"/>
        </w:rPr>
        <w:t xml:space="preserve">Bendamustine is TGA registered </w:t>
      </w:r>
      <w:r w:rsidRPr="004213B6">
        <w:rPr>
          <w:rFonts w:ascii="Arial" w:hAnsi="Arial"/>
          <w:sz w:val="22"/>
          <w:szCs w:val="22"/>
        </w:rPr>
        <w:t xml:space="preserve">for use in previously untreated </w:t>
      </w:r>
      <w:proofErr w:type="spellStart"/>
      <w:r w:rsidRPr="004213B6">
        <w:rPr>
          <w:rFonts w:ascii="Arial" w:hAnsi="Arial"/>
          <w:sz w:val="22"/>
          <w:szCs w:val="22"/>
        </w:rPr>
        <w:t>iNHL</w:t>
      </w:r>
      <w:proofErr w:type="spellEnd"/>
      <w:r w:rsidRPr="004213B6">
        <w:rPr>
          <w:rFonts w:ascii="Arial" w:hAnsi="Arial"/>
          <w:sz w:val="22"/>
          <w:szCs w:val="22"/>
        </w:rPr>
        <w:t xml:space="preserve"> and MCL in combination with rituximab, and the clinical evidence for bendamustine in these indications is in combination with rituximab. </w:t>
      </w:r>
      <w:r w:rsidR="00E32D3D">
        <w:rPr>
          <w:rFonts w:ascii="Arial" w:hAnsi="Arial"/>
          <w:sz w:val="22"/>
          <w:szCs w:val="22"/>
        </w:rPr>
        <w:t xml:space="preserve">The PBAC </w:t>
      </w:r>
      <w:r w:rsidR="008B19B7">
        <w:rPr>
          <w:rFonts w:ascii="Arial" w:hAnsi="Arial"/>
          <w:sz w:val="22"/>
          <w:szCs w:val="22"/>
        </w:rPr>
        <w:t xml:space="preserve">had </w:t>
      </w:r>
      <w:r w:rsidR="00E32D3D">
        <w:rPr>
          <w:rFonts w:ascii="Arial" w:hAnsi="Arial"/>
          <w:sz w:val="22"/>
          <w:szCs w:val="22"/>
        </w:rPr>
        <w:t xml:space="preserve">noted the need for patients to have subsidised access to concomitant rituximab (paragraph 7.19, </w:t>
      </w:r>
      <w:r w:rsidR="006227B3">
        <w:rPr>
          <w:rFonts w:ascii="Arial" w:hAnsi="Arial"/>
          <w:sz w:val="22"/>
          <w:szCs w:val="22"/>
        </w:rPr>
        <w:t>March 2015 PSD</w:t>
      </w:r>
      <w:r w:rsidR="00E32D3D">
        <w:rPr>
          <w:rFonts w:ascii="Arial" w:hAnsi="Arial"/>
          <w:sz w:val="22"/>
          <w:szCs w:val="22"/>
        </w:rPr>
        <w:t>, bendamustine).</w:t>
      </w:r>
    </w:p>
    <w:p w:rsidR="004213B6" w:rsidRDefault="004213B6" w:rsidP="004213B6">
      <w:pPr>
        <w:pStyle w:val="ListParagraph"/>
        <w:jc w:val="both"/>
        <w:rPr>
          <w:rFonts w:ascii="Arial" w:hAnsi="Arial"/>
          <w:sz w:val="22"/>
          <w:szCs w:val="22"/>
        </w:rPr>
      </w:pPr>
    </w:p>
    <w:p w:rsidR="00B45434" w:rsidRPr="00404EFD" w:rsidRDefault="009C7894" w:rsidP="00404EFD">
      <w:pPr>
        <w:pStyle w:val="ListParagraph"/>
        <w:numPr>
          <w:ilvl w:val="1"/>
          <w:numId w:val="25"/>
        </w:numPr>
        <w:jc w:val="both"/>
        <w:rPr>
          <w:rFonts w:ascii="Arial" w:hAnsi="Arial"/>
          <w:sz w:val="22"/>
          <w:szCs w:val="22"/>
        </w:rPr>
      </w:pPr>
      <w:r>
        <w:rPr>
          <w:rFonts w:ascii="Arial" w:hAnsi="Arial"/>
          <w:sz w:val="22"/>
          <w:szCs w:val="22"/>
        </w:rPr>
        <w:t>Bendamustine was previously considered by PBAC in March 2015</w:t>
      </w:r>
      <w:r w:rsidR="00596B74">
        <w:rPr>
          <w:rFonts w:ascii="Arial" w:hAnsi="Arial"/>
          <w:sz w:val="22"/>
          <w:szCs w:val="22"/>
        </w:rPr>
        <w:t xml:space="preserve"> as a Major s</w:t>
      </w:r>
      <w:r w:rsidR="006D34B6">
        <w:rPr>
          <w:rFonts w:ascii="Arial" w:hAnsi="Arial"/>
          <w:sz w:val="22"/>
          <w:szCs w:val="22"/>
        </w:rPr>
        <w:t>ubmission</w:t>
      </w:r>
      <w:r>
        <w:rPr>
          <w:rFonts w:ascii="Arial" w:hAnsi="Arial"/>
          <w:sz w:val="22"/>
          <w:szCs w:val="22"/>
        </w:rPr>
        <w:t>.</w:t>
      </w:r>
      <w:r w:rsidR="00404EFD">
        <w:rPr>
          <w:rFonts w:ascii="Arial" w:hAnsi="Arial"/>
          <w:sz w:val="22"/>
          <w:szCs w:val="22"/>
        </w:rPr>
        <w:t xml:space="preserve"> </w:t>
      </w:r>
      <w:r w:rsidR="006D34B6" w:rsidRPr="00404EFD">
        <w:rPr>
          <w:rFonts w:ascii="Arial" w:hAnsi="Arial"/>
          <w:sz w:val="22"/>
          <w:szCs w:val="22"/>
        </w:rPr>
        <w:t xml:space="preserve">The PBAC deferred its decision on </w:t>
      </w:r>
      <w:r w:rsidR="00404EFD">
        <w:rPr>
          <w:rFonts w:ascii="Arial" w:hAnsi="Arial"/>
          <w:sz w:val="22"/>
          <w:szCs w:val="22"/>
        </w:rPr>
        <w:t xml:space="preserve">whether to recommend </w:t>
      </w:r>
      <w:r w:rsidR="006D34B6" w:rsidRPr="00404EFD">
        <w:rPr>
          <w:rFonts w:ascii="Arial" w:hAnsi="Arial"/>
          <w:sz w:val="22"/>
          <w:szCs w:val="22"/>
        </w:rPr>
        <w:t xml:space="preserve">bendamustine in previously untreated </w:t>
      </w:r>
      <w:proofErr w:type="spellStart"/>
      <w:r w:rsidR="006D34B6" w:rsidRPr="00404EFD">
        <w:rPr>
          <w:rFonts w:ascii="Arial" w:hAnsi="Arial"/>
          <w:sz w:val="22"/>
          <w:szCs w:val="22"/>
        </w:rPr>
        <w:t>iNHL</w:t>
      </w:r>
      <w:proofErr w:type="spellEnd"/>
      <w:r w:rsidR="006D34B6" w:rsidRPr="00404EFD">
        <w:rPr>
          <w:rFonts w:ascii="Arial" w:hAnsi="Arial"/>
          <w:sz w:val="22"/>
          <w:szCs w:val="22"/>
        </w:rPr>
        <w:t xml:space="preserve"> and MCL. The PBAC did not recommend bendamustine in the rituximab-refractory patient population (</w:t>
      </w:r>
      <w:r w:rsidR="007061BD">
        <w:rPr>
          <w:rFonts w:ascii="Arial" w:hAnsi="Arial"/>
          <w:sz w:val="22"/>
          <w:szCs w:val="22"/>
        </w:rPr>
        <w:t>paragraph</w:t>
      </w:r>
      <w:r w:rsidR="00596B74">
        <w:rPr>
          <w:rFonts w:ascii="Arial" w:hAnsi="Arial"/>
          <w:sz w:val="22"/>
          <w:szCs w:val="22"/>
        </w:rPr>
        <w:t xml:space="preserve"> 7.1,</w:t>
      </w:r>
      <w:r w:rsidR="006D34B6" w:rsidRPr="00404EFD">
        <w:rPr>
          <w:rFonts w:ascii="Arial" w:hAnsi="Arial"/>
          <w:sz w:val="22"/>
          <w:szCs w:val="22"/>
        </w:rPr>
        <w:t xml:space="preserve"> </w:t>
      </w:r>
      <w:r w:rsidR="006227B3">
        <w:rPr>
          <w:rFonts w:ascii="Arial" w:hAnsi="Arial"/>
          <w:sz w:val="22"/>
          <w:szCs w:val="22"/>
        </w:rPr>
        <w:t>March 2015 PSD</w:t>
      </w:r>
      <w:r w:rsidR="006D34B6" w:rsidRPr="00404EFD">
        <w:rPr>
          <w:rFonts w:ascii="Arial" w:hAnsi="Arial"/>
          <w:sz w:val="22"/>
          <w:szCs w:val="22"/>
        </w:rPr>
        <w:t xml:space="preserve">, </w:t>
      </w:r>
      <w:r w:rsidR="00596B74">
        <w:rPr>
          <w:rFonts w:ascii="Arial" w:hAnsi="Arial"/>
          <w:sz w:val="22"/>
          <w:szCs w:val="22"/>
        </w:rPr>
        <w:t>bendamustine</w:t>
      </w:r>
      <w:r w:rsidR="006D34B6" w:rsidRPr="00404EFD">
        <w:rPr>
          <w:rFonts w:ascii="Arial" w:hAnsi="Arial"/>
          <w:sz w:val="22"/>
          <w:szCs w:val="22"/>
        </w:rPr>
        <w:t>)</w:t>
      </w:r>
      <w:r w:rsidR="00D0313C">
        <w:rPr>
          <w:rFonts w:ascii="Arial" w:hAnsi="Arial"/>
          <w:sz w:val="22"/>
          <w:szCs w:val="22"/>
        </w:rPr>
        <w:t>.</w:t>
      </w:r>
    </w:p>
    <w:p w:rsidR="00B45434" w:rsidRPr="004213B6" w:rsidRDefault="00B45434" w:rsidP="004213B6">
      <w:pPr>
        <w:pStyle w:val="ListParagraph"/>
        <w:rPr>
          <w:rFonts w:ascii="Arial" w:hAnsi="Arial"/>
          <w:i/>
          <w:sz w:val="22"/>
          <w:szCs w:val="22"/>
        </w:rPr>
      </w:pPr>
    </w:p>
    <w:p w:rsidR="00935EB3" w:rsidRPr="00B45434" w:rsidRDefault="00596B74" w:rsidP="00557C0A">
      <w:pPr>
        <w:pStyle w:val="ListParagraph"/>
        <w:numPr>
          <w:ilvl w:val="1"/>
          <w:numId w:val="25"/>
        </w:numPr>
        <w:jc w:val="both"/>
        <w:rPr>
          <w:rFonts w:ascii="Arial" w:hAnsi="Arial"/>
          <w:sz w:val="22"/>
          <w:szCs w:val="22"/>
        </w:rPr>
      </w:pPr>
      <w:r w:rsidRPr="00404EFD">
        <w:rPr>
          <w:rFonts w:ascii="Arial" w:hAnsi="Arial"/>
          <w:sz w:val="22"/>
          <w:szCs w:val="22"/>
        </w:rPr>
        <w:t xml:space="preserve">The </w:t>
      </w:r>
      <w:r>
        <w:rPr>
          <w:rFonts w:ascii="Arial" w:hAnsi="Arial"/>
          <w:sz w:val="22"/>
          <w:szCs w:val="22"/>
        </w:rPr>
        <w:t>re</w:t>
      </w:r>
      <w:r w:rsidR="008D4E34">
        <w:rPr>
          <w:rFonts w:ascii="Arial" w:hAnsi="Arial"/>
          <w:sz w:val="22"/>
          <w:szCs w:val="22"/>
        </w:rPr>
        <w:t>-</w:t>
      </w:r>
      <w:r w:rsidR="006B3BCE">
        <w:rPr>
          <w:rFonts w:ascii="Arial" w:hAnsi="Arial"/>
          <w:sz w:val="22"/>
          <w:szCs w:val="22"/>
        </w:rPr>
        <w:t>submission</w:t>
      </w:r>
      <w:r w:rsidR="00935EB3" w:rsidRPr="00404EFD">
        <w:rPr>
          <w:rFonts w:ascii="Arial" w:hAnsi="Arial"/>
          <w:sz w:val="22"/>
          <w:szCs w:val="22"/>
        </w:rPr>
        <w:t xml:space="preserve"> </w:t>
      </w:r>
      <w:r w:rsidR="007A1EB1">
        <w:rPr>
          <w:rFonts w:ascii="Arial" w:hAnsi="Arial"/>
          <w:sz w:val="22"/>
          <w:szCs w:val="22"/>
        </w:rPr>
        <w:t>did</w:t>
      </w:r>
      <w:r w:rsidR="007A1EB1" w:rsidRPr="00404EFD">
        <w:rPr>
          <w:rFonts w:ascii="Arial" w:hAnsi="Arial"/>
          <w:sz w:val="22"/>
          <w:szCs w:val="22"/>
        </w:rPr>
        <w:t xml:space="preserve"> </w:t>
      </w:r>
      <w:r w:rsidR="00935EB3" w:rsidRPr="00404EFD">
        <w:rPr>
          <w:rFonts w:ascii="Arial" w:hAnsi="Arial"/>
          <w:sz w:val="22"/>
          <w:szCs w:val="22"/>
        </w:rPr>
        <w:t>not address the rejection of the previous requested listing for rituximab</w:t>
      </w:r>
      <w:r w:rsidR="00454248">
        <w:rPr>
          <w:rFonts w:ascii="Arial" w:hAnsi="Arial"/>
          <w:sz w:val="22"/>
          <w:szCs w:val="22"/>
        </w:rPr>
        <w:t>-</w:t>
      </w:r>
      <w:r w:rsidR="00935EB3" w:rsidRPr="00404EFD">
        <w:rPr>
          <w:rFonts w:ascii="Arial" w:hAnsi="Arial"/>
          <w:sz w:val="22"/>
          <w:szCs w:val="22"/>
        </w:rPr>
        <w:t xml:space="preserve">refractory </w:t>
      </w:r>
      <w:proofErr w:type="spellStart"/>
      <w:r w:rsidR="00935EB3" w:rsidRPr="00404EFD">
        <w:rPr>
          <w:rFonts w:ascii="Arial" w:hAnsi="Arial"/>
          <w:sz w:val="22"/>
          <w:szCs w:val="22"/>
        </w:rPr>
        <w:t>iNHL</w:t>
      </w:r>
      <w:proofErr w:type="spellEnd"/>
      <w:r w:rsidR="00B45434" w:rsidRPr="00B45434">
        <w:rPr>
          <w:rFonts w:ascii="Arial" w:hAnsi="Arial"/>
          <w:sz w:val="22"/>
          <w:szCs w:val="22"/>
        </w:rPr>
        <w:t xml:space="preserve"> </w:t>
      </w:r>
      <w:r w:rsidR="00B45434">
        <w:rPr>
          <w:rFonts w:ascii="Arial" w:hAnsi="Arial"/>
          <w:sz w:val="22"/>
          <w:szCs w:val="22"/>
        </w:rPr>
        <w:t xml:space="preserve">nor </w:t>
      </w:r>
      <w:r w:rsidR="007A1EB1">
        <w:rPr>
          <w:rFonts w:ascii="Arial" w:hAnsi="Arial"/>
          <w:sz w:val="22"/>
          <w:szCs w:val="22"/>
        </w:rPr>
        <w:t xml:space="preserve">did </w:t>
      </w:r>
      <w:r w:rsidR="00B45434">
        <w:rPr>
          <w:rFonts w:ascii="Arial" w:hAnsi="Arial"/>
          <w:sz w:val="22"/>
          <w:szCs w:val="22"/>
        </w:rPr>
        <w:t xml:space="preserve">it request </w:t>
      </w:r>
      <w:r w:rsidR="00D13237">
        <w:rPr>
          <w:rFonts w:ascii="Arial" w:hAnsi="Arial"/>
          <w:sz w:val="22"/>
          <w:szCs w:val="22"/>
        </w:rPr>
        <w:t xml:space="preserve">a </w:t>
      </w:r>
      <w:r w:rsidR="00D13237" w:rsidRPr="00404EFD">
        <w:rPr>
          <w:rFonts w:ascii="Arial" w:hAnsi="Arial"/>
          <w:sz w:val="22"/>
          <w:szCs w:val="22"/>
        </w:rPr>
        <w:t>PBS</w:t>
      </w:r>
      <w:r w:rsidR="00935EB3" w:rsidRPr="00404EFD">
        <w:rPr>
          <w:rFonts w:ascii="Arial" w:hAnsi="Arial"/>
          <w:sz w:val="22"/>
          <w:szCs w:val="22"/>
        </w:rPr>
        <w:t xml:space="preserve"> listing in this patient group</w:t>
      </w:r>
      <w:r w:rsidR="00B45434">
        <w:rPr>
          <w:rFonts w:ascii="Arial" w:hAnsi="Arial"/>
          <w:sz w:val="22"/>
          <w:szCs w:val="22"/>
        </w:rPr>
        <w:t>.</w:t>
      </w:r>
      <w:r w:rsidR="00935EB3" w:rsidRPr="00C15A17">
        <w:rPr>
          <w:rFonts w:ascii="Arial" w:hAnsi="Arial"/>
          <w:sz w:val="22"/>
          <w:szCs w:val="22"/>
        </w:rPr>
        <w:t xml:space="preserve"> </w:t>
      </w:r>
      <w:r w:rsidR="00454248">
        <w:rPr>
          <w:rFonts w:ascii="Arial" w:hAnsi="Arial"/>
          <w:sz w:val="22"/>
          <w:szCs w:val="22"/>
        </w:rPr>
        <w:t xml:space="preserve">The PBAC noted that there was a </w:t>
      </w:r>
      <w:r w:rsidR="00454248" w:rsidRPr="00454248">
        <w:rPr>
          <w:rFonts w:ascii="Arial" w:hAnsi="Arial"/>
          <w:sz w:val="22"/>
          <w:szCs w:val="22"/>
        </w:rPr>
        <w:t xml:space="preserve">lack of comparative information, and it was not possible to draw any conclusions regarding the comparative effectiveness, safety and cost effectiveness of bendamustine </w:t>
      </w:r>
      <w:r w:rsidR="00454248">
        <w:rPr>
          <w:rFonts w:ascii="Arial" w:hAnsi="Arial"/>
          <w:sz w:val="22"/>
          <w:szCs w:val="22"/>
        </w:rPr>
        <w:t xml:space="preserve">rituximab-refractory </w:t>
      </w:r>
      <w:proofErr w:type="spellStart"/>
      <w:r w:rsidR="00454248">
        <w:rPr>
          <w:rFonts w:ascii="Arial" w:hAnsi="Arial"/>
          <w:sz w:val="22"/>
          <w:szCs w:val="22"/>
        </w:rPr>
        <w:t>iNHL</w:t>
      </w:r>
      <w:proofErr w:type="spellEnd"/>
      <w:r w:rsidR="00454248">
        <w:rPr>
          <w:rFonts w:ascii="Arial" w:hAnsi="Arial"/>
          <w:sz w:val="22"/>
          <w:szCs w:val="22"/>
        </w:rPr>
        <w:t xml:space="preserve"> (paragraph 7.13, </w:t>
      </w:r>
      <w:r w:rsidR="006227B3">
        <w:rPr>
          <w:rFonts w:ascii="Arial" w:hAnsi="Arial"/>
          <w:sz w:val="22"/>
          <w:szCs w:val="22"/>
        </w:rPr>
        <w:t>March 2015 PSD</w:t>
      </w:r>
      <w:r w:rsidR="00454248">
        <w:rPr>
          <w:rFonts w:ascii="Arial" w:hAnsi="Arial"/>
          <w:sz w:val="22"/>
          <w:szCs w:val="22"/>
        </w:rPr>
        <w:t>, bendamustine).</w:t>
      </w:r>
    </w:p>
    <w:p w:rsidR="008A1956" w:rsidRDefault="008A1956" w:rsidP="00882085">
      <w:pPr>
        <w:jc w:val="both"/>
        <w:rPr>
          <w:rFonts w:ascii="Arial" w:hAnsi="Arial"/>
          <w:b/>
          <w:sz w:val="22"/>
          <w:szCs w:val="22"/>
        </w:rPr>
      </w:pPr>
    </w:p>
    <w:p w:rsidR="008C2F13" w:rsidRPr="00AE2115" w:rsidRDefault="008D4E34" w:rsidP="008C2F13">
      <w:pPr>
        <w:pStyle w:val="ListParagraph"/>
        <w:numPr>
          <w:ilvl w:val="1"/>
          <w:numId w:val="25"/>
        </w:numPr>
        <w:jc w:val="both"/>
        <w:rPr>
          <w:rFonts w:ascii="Arial" w:hAnsi="Arial"/>
          <w:b/>
          <w:sz w:val="22"/>
          <w:szCs w:val="22"/>
        </w:rPr>
      </w:pPr>
      <w:r>
        <w:rPr>
          <w:rFonts w:ascii="Arial" w:hAnsi="Arial"/>
          <w:sz w:val="22"/>
          <w:szCs w:val="22"/>
        </w:rPr>
        <w:t>The re-</w:t>
      </w:r>
      <w:r w:rsidR="008C2F13">
        <w:rPr>
          <w:rFonts w:ascii="Arial" w:hAnsi="Arial"/>
          <w:sz w:val="22"/>
          <w:szCs w:val="22"/>
        </w:rPr>
        <w:t>submission respond</w:t>
      </w:r>
      <w:r w:rsidR="007A1EB1">
        <w:rPr>
          <w:rFonts w:ascii="Arial" w:hAnsi="Arial"/>
          <w:sz w:val="22"/>
          <w:szCs w:val="22"/>
        </w:rPr>
        <w:t>ed</w:t>
      </w:r>
      <w:r w:rsidR="008C2F13">
        <w:rPr>
          <w:rFonts w:ascii="Arial" w:hAnsi="Arial"/>
          <w:sz w:val="22"/>
          <w:szCs w:val="22"/>
        </w:rPr>
        <w:t xml:space="preserve"> to the PBAC</w:t>
      </w:r>
      <w:r w:rsidR="00CC0585">
        <w:rPr>
          <w:rFonts w:ascii="Arial" w:hAnsi="Arial"/>
          <w:sz w:val="22"/>
          <w:szCs w:val="22"/>
        </w:rPr>
        <w:t>’</w:t>
      </w:r>
      <w:r w:rsidR="008C2F13">
        <w:rPr>
          <w:rFonts w:ascii="Arial" w:hAnsi="Arial"/>
          <w:sz w:val="22"/>
          <w:szCs w:val="22"/>
        </w:rPr>
        <w:t xml:space="preserve">s deferral of a decision to list bendamustine on the PBS for the treatment of first-line </w:t>
      </w:r>
      <w:proofErr w:type="spellStart"/>
      <w:r w:rsidR="000F112D">
        <w:rPr>
          <w:rFonts w:ascii="Arial" w:hAnsi="Arial"/>
          <w:sz w:val="22"/>
          <w:szCs w:val="22"/>
        </w:rPr>
        <w:t>iNHL</w:t>
      </w:r>
      <w:proofErr w:type="spellEnd"/>
      <w:r w:rsidR="008C2F13">
        <w:rPr>
          <w:rFonts w:ascii="Arial" w:hAnsi="Arial"/>
          <w:sz w:val="22"/>
          <w:szCs w:val="22"/>
        </w:rPr>
        <w:t xml:space="preserve"> and </w:t>
      </w:r>
      <w:r w:rsidR="000F112D">
        <w:rPr>
          <w:rFonts w:ascii="Arial" w:hAnsi="Arial"/>
          <w:sz w:val="22"/>
          <w:szCs w:val="22"/>
        </w:rPr>
        <w:t>MCL</w:t>
      </w:r>
      <w:r w:rsidR="008C2F13">
        <w:rPr>
          <w:rFonts w:ascii="Arial" w:hAnsi="Arial"/>
          <w:sz w:val="22"/>
          <w:szCs w:val="22"/>
        </w:rPr>
        <w:t xml:space="preserve"> at the March 2015 PBAC meeting.</w:t>
      </w:r>
      <w:r w:rsidR="00404EFD">
        <w:rPr>
          <w:rFonts w:ascii="Arial" w:hAnsi="Arial"/>
          <w:sz w:val="22"/>
          <w:szCs w:val="22"/>
        </w:rPr>
        <w:t xml:space="preserve"> </w:t>
      </w:r>
      <w:r w:rsidR="00596B74" w:rsidRPr="00AE2115">
        <w:rPr>
          <w:rFonts w:ascii="Arial" w:hAnsi="Arial"/>
          <w:sz w:val="22"/>
          <w:szCs w:val="22"/>
        </w:rPr>
        <w:t>Table 1</w:t>
      </w:r>
      <w:r w:rsidR="00404EFD" w:rsidRPr="00AE2115">
        <w:rPr>
          <w:rFonts w:ascii="Arial" w:hAnsi="Arial"/>
          <w:sz w:val="22"/>
          <w:szCs w:val="22"/>
        </w:rPr>
        <w:t xml:space="preserve"> provides a summary of the key differences between the</w:t>
      </w:r>
      <w:r w:rsidR="00596B74" w:rsidRPr="00AE2115">
        <w:rPr>
          <w:rFonts w:ascii="Arial" w:hAnsi="Arial"/>
          <w:sz w:val="22"/>
          <w:szCs w:val="22"/>
        </w:rPr>
        <w:t xml:space="preserve"> March 2015 submission and the</w:t>
      </w:r>
      <w:r w:rsidR="00404EFD" w:rsidRPr="00AE2115">
        <w:rPr>
          <w:rFonts w:ascii="Arial" w:hAnsi="Arial"/>
          <w:sz w:val="22"/>
          <w:szCs w:val="22"/>
        </w:rPr>
        <w:t xml:space="preserve"> re</w:t>
      </w:r>
      <w:r w:rsidRPr="00AE2115">
        <w:rPr>
          <w:rFonts w:ascii="Arial" w:hAnsi="Arial"/>
          <w:sz w:val="22"/>
          <w:szCs w:val="22"/>
        </w:rPr>
        <w:t>-</w:t>
      </w:r>
      <w:r w:rsidR="00404EFD" w:rsidRPr="00AE2115">
        <w:rPr>
          <w:rFonts w:ascii="Arial" w:hAnsi="Arial"/>
          <w:sz w:val="22"/>
          <w:szCs w:val="22"/>
        </w:rPr>
        <w:t xml:space="preserve">submission, including PBAC comments on the March 2015 submission. </w:t>
      </w:r>
    </w:p>
    <w:p w:rsidR="008C2F13" w:rsidRDefault="008C2F13" w:rsidP="00607929">
      <w:pPr>
        <w:ind w:firstLine="709"/>
      </w:pPr>
    </w:p>
    <w:p w:rsidR="008C2F13" w:rsidRPr="00607929" w:rsidRDefault="00251125" w:rsidP="007A1EB1">
      <w:pPr>
        <w:ind w:firstLine="720"/>
        <w:rPr>
          <w:rFonts w:ascii="Arial Narrow" w:hAnsi="Arial Narrow"/>
          <w:b/>
          <w:sz w:val="20"/>
          <w:szCs w:val="20"/>
        </w:rPr>
      </w:pPr>
      <w:proofErr w:type="gramStart"/>
      <w:r>
        <w:rPr>
          <w:rFonts w:ascii="Arial Narrow" w:hAnsi="Arial Narrow"/>
          <w:b/>
          <w:sz w:val="20"/>
          <w:szCs w:val="20"/>
        </w:rPr>
        <w:t>Table 1.</w:t>
      </w:r>
      <w:proofErr w:type="gramEnd"/>
      <w:r>
        <w:rPr>
          <w:rFonts w:ascii="Arial Narrow" w:hAnsi="Arial Narrow"/>
          <w:b/>
          <w:sz w:val="20"/>
          <w:szCs w:val="20"/>
        </w:rPr>
        <w:t xml:space="preserve"> </w:t>
      </w:r>
      <w:r w:rsidR="008C2F13" w:rsidRPr="00607929">
        <w:rPr>
          <w:rFonts w:ascii="Arial Narrow" w:hAnsi="Arial Narrow"/>
          <w:b/>
          <w:sz w:val="20"/>
          <w:szCs w:val="20"/>
        </w:rPr>
        <w:t xml:space="preserve">Key differences between the March 2015 submission and the July 2015 </w:t>
      </w:r>
      <w:r w:rsidR="006B3BCE">
        <w:rPr>
          <w:rFonts w:ascii="Arial Narrow" w:hAnsi="Arial Narrow"/>
          <w:b/>
          <w:sz w:val="20"/>
          <w:szCs w:val="20"/>
        </w:rPr>
        <w:t>minor submission</w:t>
      </w:r>
    </w:p>
    <w:tbl>
      <w:tblPr>
        <w:tblStyle w:val="TableGrid"/>
        <w:tblW w:w="0" w:type="auto"/>
        <w:tblInd w:w="817" w:type="dxa"/>
        <w:tblLook w:val="04A0" w:firstRow="1" w:lastRow="0" w:firstColumn="1" w:lastColumn="0" w:noHBand="0" w:noVBand="1"/>
        <w:tblCaption w:val="&quot;&quot;"/>
      </w:tblPr>
      <w:tblGrid>
        <w:gridCol w:w="1843"/>
        <w:gridCol w:w="3501"/>
        <w:gridCol w:w="3081"/>
      </w:tblGrid>
      <w:tr w:rsidR="008C2F13" w:rsidRPr="00607929" w:rsidTr="00B25B7F">
        <w:trPr>
          <w:tblHeader/>
        </w:trPr>
        <w:tc>
          <w:tcPr>
            <w:tcW w:w="1843" w:type="dxa"/>
          </w:tcPr>
          <w:p w:rsidR="008C2F13" w:rsidRPr="00D13237" w:rsidRDefault="008C2F13" w:rsidP="007229F5">
            <w:pPr>
              <w:pStyle w:val="NoSpacing"/>
              <w:rPr>
                <w:rFonts w:ascii="Arial Narrow" w:hAnsi="Arial Narrow"/>
                <w:sz w:val="20"/>
                <w:szCs w:val="20"/>
              </w:rPr>
            </w:pPr>
          </w:p>
        </w:tc>
        <w:tc>
          <w:tcPr>
            <w:tcW w:w="3501" w:type="dxa"/>
          </w:tcPr>
          <w:p w:rsidR="008C2F13" w:rsidRPr="00557C0A" w:rsidRDefault="008C2F13" w:rsidP="007229F5">
            <w:pPr>
              <w:pStyle w:val="NoSpacing"/>
              <w:rPr>
                <w:rFonts w:ascii="Arial Narrow" w:hAnsi="Arial Narrow"/>
                <w:sz w:val="20"/>
                <w:szCs w:val="20"/>
              </w:rPr>
            </w:pPr>
            <w:r w:rsidRPr="00557C0A">
              <w:rPr>
                <w:rFonts w:ascii="Arial Narrow" w:hAnsi="Arial Narrow"/>
                <w:sz w:val="20"/>
                <w:szCs w:val="20"/>
              </w:rPr>
              <w:t>March 2015 submission</w:t>
            </w:r>
          </w:p>
        </w:tc>
        <w:tc>
          <w:tcPr>
            <w:tcW w:w="3081" w:type="dxa"/>
          </w:tcPr>
          <w:p w:rsidR="008C2F13" w:rsidRPr="00557C0A" w:rsidRDefault="008C2F13" w:rsidP="007229F5">
            <w:pPr>
              <w:pStyle w:val="NoSpacing"/>
              <w:rPr>
                <w:rFonts w:ascii="Arial Narrow" w:hAnsi="Arial Narrow"/>
                <w:sz w:val="20"/>
                <w:szCs w:val="20"/>
              </w:rPr>
            </w:pPr>
            <w:r w:rsidRPr="00557C0A">
              <w:rPr>
                <w:rFonts w:ascii="Arial Narrow" w:hAnsi="Arial Narrow"/>
                <w:sz w:val="20"/>
                <w:szCs w:val="20"/>
              </w:rPr>
              <w:t>July 2015 re</w:t>
            </w:r>
            <w:r w:rsidR="00D13237" w:rsidRPr="00557C0A">
              <w:rPr>
                <w:rFonts w:ascii="Arial Narrow" w:hAnsi="Arial Narrow"/>
                <w:sz w:val="20"/>
                <w:szCs w:val="20"/>
              </w:rPr>
              <w:t>-</w:t>
            </w:r>
            <w:r w:rsidRPr="00557C0A">
              <w:rPr>
                <w:rFonts w:ascii="Arial Narrow" w:hAnsi="Arial Narrow"/>
                <w:sz w:val="20"/>
                <w:szCs w:val="20"/>
              </w:rPr>
              <w:t>submission</w:t>
            </w:r>
          </w:p>
        </w:tc>
      </w:tr>
      <w:tr w:rsidR="00D13237" w:rsidRPr="00607929" w:rsidTr="00307EF2">
        <w:tc>
          <w:tcPr>
            <w:tcW w:w="1843" w:type="dxa"/>
          </w:tcPr>
          <w:p w:rsidR="00D13237" w:rsidRPr="007E0A65" w:rsidRDefault="00D13237" w:rsidP="00307EF2">
            <w:pPr>
              <w:pStyle w:val="NoSpacing"/>
              <w:jc w:val="left"/>
              <w:rPr>
                <w:rFonts w:ascii="Arial Narrow" w:hAnsi="Arial Narrow"/>
                <w:sz w:val="20"/>
                <w:szCs w:val="20"/>
              </w:rPr>
            </w:pPr>
            <w:r w:rsidRPr="007E0A65">
              <w:rPr>
                <w:rFonts w:ascii="Arial Narrow" w:hAnsi="Arial Narrow"/>
                <w:sz w:val="20"/>
                <w:szCs w:val="20"/>
              </w:rPr>
              <w:t>Requested PBS listing</w:t>
            </w:r>
            <w:r w:rsidR="00596B74">
              <w:rPr>
                <w:rFonts w:ascii="Arial Narrow" w:hAnsi="Arial Narrow"/>
                <w:sz w:val="20"/>
                <w:szCs w:val="20"/>
              </w:rPr>
              <w:t xml:space="preserve"> for</w:t>
            </w:r>
            <w:r w:rsidR="00307EF2">
              <w:rPr>
                <w:rFonts w:ascii="Arial Narrow" w:hAnsi="Arial Narrow"/>
                <w:sz w:val="20"/>
                <w:szCs w:val="20"/>
              </w:rPr>
              <w:t>:</w:t>
            </w:r>
          </w:p>
        </w:tc>
        <w:tc>
          <w:tcPr>
            <w:tcW w:w="3501" w:type="dxa"/>
          </w:tcPr>
          <w:p w:rsidR="00D13237" w:rsidRPr="007E0A65" w:rsidRDefault="00D13237" w:rsidP="008D4E34">
            <w:pPr>
              <w:pStyle w:val="NoSpacing"/>
              <w:rPr>
                <w:rFonts w:ascii="Arial Narrow" w:hAnsi="Arial Narrow"/>
                <w:sz w:val="20"/>
                <w:szCs w:val="20"/>
              </w:rPr>
            </w:pPr>
            <w:r w:rsidRPr="007E0A65">
              <w:rPr>
                <w:rFonts w:ascii="Arial Narrow" w:hAnsi="Arial Narrow"/>
                <w:sz w:val="20"/>
                <w:szCs w:val="20"/>
              </w:rPr>
              <w:t>First line indolent NHL,</w:t>
            </w:r>
          </w:p>
          <w:p w:rsidR="00D13237" w:rsidRPr="007E0A65" w:rsidRDefault="00D13237" w:rsidP="008D4E34">
            <w:pPr>
              <w:pStyle w:val="NoSpacing"/>
              <w:rPr>
                <w:rFonts w:ascii="Arial Narrow" w:hAnsi="Arial Narrow"/>
                <w:sz w:val="20"/>
                <w:szCs w:val="20"/>
              </w:rPr>
            </w:pPr>
            <w:r w:rsidRPr="007E0A65">
              <w:rPr>
                <w:rFonts w:ascii="Arial Narrow" w:hAnsi="Arial Narrow"/>
                <w:sz w:val="20"/>
                <w:szCs w:val="20"/>
              </w:rPr>
              <w:t>First line MCL,</w:t>
            </w:r>
          </w:p>
          <w:p w:rsidR="00D13237" w:rsidRDefault="00D13237" w:rsidP="008D4E34">
            <w:pPr>
              <w:pStyle w:val="NoSpacing"/>
              <w:rPr>
                <w:rFonts w:ascii="Arial Narrow" w:hAnsi="Arial Narrow"/>
                <w:sz w:val="20"/>
                <w:szCs w:val="20"/>
              </w:rPr>
            </w:pPr>
            <w:r w:rsidRPr="007E0A65">
              <w:rPr>
                <w:rFonts w:ascii="Arial Narrow" w:hAnsi="Arial Narrow"/>
                <w:sz w:val="20"/>
                <w:szCs w:val="20"/>
              </w:rPr>
              <w:t>Rituximab-refractory indolent NHL</w:t>
            </w:r>
          </w:p>
          <w:p w:rsidR="00CE3AB1" w:rsidRPr="007E0A65" w:rsidRDefault="00CE3AB1" w:rsidP="008D4E34">
            <w:pPr>
              <w:pStyle w:val="NoSpacing"/>
              <w:rPr>
                <w:rFonts w:ascii="Arial Narrow" w:hAnsi="Arial Narrow"/>
                <w:sz w:val="20"/>
                <w:szCs w:val="20"/>
              </w:rPr>
            </w:pPr>
          </w:p>
          <w:p w:rsidR="00D13237" w:rsidRPr="007E0A65" w:rsidRDefault="00D13237" w:rsidP="003A5F58">
            <w:pPr>
              <w:pStyle w:val="NoSpacing"/>
              <w:rPr>
                <w:rFonts w:ascii="Arial Narrow" w:hAnsi="Arial Narrow"/>
                <w:b/>
                <w:sz w:val="20"/>
                <w:szCs w:val="20"/>
              </w:rPr>
            </w:pPr>
            <w:r w:rsidRPr="007E0A65">
              <w:rPr>
                <w:rFonts w:ascii="Arial Narrow" w:hAnsi="Arial Narrow"/>
                <w:b/>
                <w:sz w:val="20"/>
                <w:szCs w:val="20"/>
              </w:rPr>
              <w:t>P</w:t>
            </w:r>
            <w:r w:rsidR="003A5F58">
              <w:rPr>
                <w:rFonts w:ascii="Arial Narrow" w:hAnsi="Arial Narrow"/>
                <w:b/>
                <w:sz w:val="20"/>
                <w:szCs w:val="20"/>
              </w:rPr>
              <w:t xml:space="preserve">BAC comment (5.04 </w:t>
            </w:r>
            <w:r w:rsidR="006227B3">
              <w:rPr>
                <w:rFonts w:ascii="Arial Narrow" w:hAnsi="Arial Narrow"/>
                <w:b/>
                <w:sz w:val="20"/>
                <w:szCs w:val="20"/>
              </w:rPr>
              <w:t>March 2015 PSD</w:t>
            </w:r>
            <w:r>
              <w:rPr>
                <w:rFonts w:ascii="Arial Narrow" w:hAnsi="Arial Narrow"/>
                <w:b/>
                <w:sz w:val="20"/>
                <w:szCs w:val="20"/>
              </w:rPr>
              <w:t xml:space="preserve">, bendamustine, </w:t>
            </w:r>
            <w:r w:rsidR="007061BD" w:rsidRPr="007061BD">
              <w:rPr>
                <w:rFonts w:ascii="Arial Narrow" w:hAnsi="Arial Narrow"/>
                <w:b/>
                <w:sz w:val="20"/>
                <w:szCs w:val="20"/>
              </w:rPr>
              <w:t>paragraph</w:t>
            </w:r>
            <w:r>
              <w:rPr>
                <w:rFonts w:ascii="Arial Narrow" w:hAnsi="Arial Narrow"/>
                <w:b/>
                <w:sz w:val="20"/>
                <w:szCs w:val="20"/>
              </w:rPr>
              <w:t xml:space="preserve"> 7.1): “</w:t>
            </w:r>
            <w:r w:rsidRPr="007E0A65">
              <w:rPr>
                <w:rFonts w:ascii="Arial Narrow" w:hAnsi="Arial Narrow"/>
                <w:b/>
                <w:sz w:val="20"/>
                <w:szCs w:val="20"/>
              </w:rPr>
              <w:t xml:space="preserve">The PBAC deferred its decision on bendamustine in previously untreated </w:t>
            </w:r>
            <w:proofErr w:type="spellStart"/>
            <w:r w:rsidRPr="007E0A65">
              <w:rPr>
                <w:rFonts w:ascii="Arial Narrow" w:hAnsi="Arial Narrow"/>
                <w:b/>
                <w:sz w:val="20"/>
                <w:szCs w:val="20"/>
              </w:rPr>
              <w:t>iNHL</w:t>
            </w:r>
            <w:proofErr w:type="spellEnd"/>
            <w:r w:rsidRPr="007E0A65">
              <w:rPr>
                <w:rFonts w:ascii="Arial Narrow" w:hAnsi="Arial Narrow"/>
                <w:b/>
                <w:sz w:val="20"/>
                <w:szCs w:val="20"/>
              </w:rPr>
              <w:t xml:space="preserve"> and MCL. The PBAC did not recommend bendamustine in the rituximab-refractory patient population.</w:t>
            </w:r>
            <w:r>
              <w:rPr>
                <w:rFonts w:ascii="Arial Narrow" w:hAnsi="Arial Narrow"/>
                <w:b/>
                <w:sz w:val="20"/>
                <w:szCs w:val="20"/>
              </w:rPr>
              <w:t>”</w:t>
            </w:r>
            <w:r w:rsidR="003A5F58">
              <w:rPr>
                <w:rFonts w:ascii="Arial Narrow" w:hAnsi="Arial Narrow"/>
                <w:b/>
                <w:sz w:val="20"/>
                <w:szCs w:val="20"/>
              </w:rPr>
              <w:t xml:space="preserve"> The PBAC noted that “</w:t>
            </w:r>
            <w:r w:rsidR="003A5F58" w:rsidRPr="003A5F58">
              <w:rPr>
                <w:rFonts w:ascii="Arial Narrow" w:hAnsi="Arial Narrow"/>
                <w:b/>
                <w:sz w:val="20"/>
                <w:szCs w:val="20"/>
              </w:rPr>
              <w:t xml:space="preserve">there was a lack of comparative information, and it was not possible to draw any conclusions regarding the comparative effectiveness, safety and cost effectiveness of bendamustine in </w:t>
            </w:r>
            <w:r w:rsidR="003A5F58" w:rsidRPr="007E0A65">
              <w:rPr>
                <w:rFonts w:ascii="Arial Narrow" w:hAnsi="Arial Narrow"/>
                <w:b/>
                <w:sz w:val="20"/>
                <w:szCs w:val="20"/>
              </w:rPr>
              <w:t>the rituximab-refractory patient population</w:t>
            </w:r>
            <w:r w:rsidR="003A5F58">
              <w:rPr>
                <w:rFonts w:ascii="Arial Narrow" w:hAnsi="Arial Narrow"/>
                <w:b/>
                <w:sz w:val="20"/>
                <w:szCs w:val="20"/>
              </w:rPr>
              <w:t xml:space="preserve">” (5.04 </w:t>
            </w:r>
            <w:r w:rsidR="006227B3">
              <w:rPr>
                <w:rFonts w:ascii="Arial Narrow" w:hAnsi="Arial Narrow"/>
                <w:b/>
                <w:sz w:val="20"/>
                <w:szCs w:val="20"/>
              </w:rPr>
              <w:t>March 2015 PSD</w:t>
            </w:r>
            <w:r w:rsidR="003A5F58">
              <w:rPr>
                <w:rFonts w:ascii="Arial Narrow" w:hAnsi="Arial Narrow"/>
                <w:b/>
                <w:sz w:val="20"/>
                <w:szCs w:val="20"/>
              </w:rPr>
              <w:t xml:space="preserve">, bendamustine, </w:t>
            </w:r>
            <w:r w:rsidR="003A5F58" w:rsidRPr="007061BD">
              <w:rPr>
                <w:rFonts w:ascii="Arial Narrow" w:hAnsi="Arial Narrow"/>
                <w:b/>
                <w:sz w:val="20"/>
                <w:szCs w:val="20"/>
              </w:rPr>
              <w:t>paragraph</w:t>
            </w:r>
            <w:r w:rsidR="003A5F58">
              <w:rPr>
                <w:rFonts w:ascii="Arial Narrow" w:hAnsi="Arial Narrow"/>
                <w:b/>
                <w:sz w:val="20"/>
                <w:szCs w:val="20"/>
              </w:rPr>
              <w:t xml:space="preserve"> 7.13)</w:t>
            </w:r>
          </w:p>
        </w:tc>
        <w:tc>
          <w:tcPr>
            <w:tcW w:w="3081" w:type="dxa"/>
          </w:tcPr>
          <w:p w:rsidR="00D13237" w:rsidRPr="007E0A65" w:rsidRDefault="00D13237" w:rsidP="008D4E34">
            <w:pPr>
              <w:pStyle w:val="NoSpacing"/>
              <w:rPr>
                <w:rFonts w:ascii="Arial Narrow" w:hAnsi="Arial Narrow"/>
                <w:sz w:val="20"/>
                <w:szCs w:val="20"/>
              </w:rPr>
            </w:pPr>
            <w:r w:rsidRPr="007E0A65">
              <w:rPr>
                <w:rFonts w:ascii="Arial Narrow" w:hAnsi="Arial Narrow"/>
                <w:sz w:val="20"/>
                <w:szCs w:val="20"/>
              </w:rPr>
              <w:t>First line indolent NHL,</w:t>
            </w:r>
          </w:p>
          <w:p w:rsidR="00D13237" w:rsidRPr="007E0A65" w:rsidRDefault="00D13237" w:rsidP="008D4E34">
            <w:pPr>
              <w:pStyle w:val="NoSpacing"/>
              <w:rPr>
                <w:rFonts w:ascii="Arial Narrow" w:hAnsi="Arial Narrow"/>
                <w:sz w:val="20"/>
                <w:szCs w:val="20"/>
              </w:rPr>
            </w:pPr>
            <w:r w:rsidRPr="007E0A65">
              <w:rPr>
                <w:rFonts w:ascii="Arial Narrow" w:hAnsi="Arial Narrow"/>
                <w:sz w:val="20"/>
                <w:szCs w:val="20"/>
              </w:rPr>
              <w:t>First line MCL</w:t>
            </w:r>
          </w:p>
        </w:tc>
      </w:tr>
      <w:tr w:rsidR="00D13237" w:rsidRPr="00607929" w:rsidTr="00307EF2">
        <w:tc>
          <w:tcPr>
            <w:tcW w:w="1843" w:type="dxa"/>
          </w:tcPr>
          <w:p w:rsidR="00D13237" w:rsidRPr="007E0A65" w:rsidRDefault="00D13237" w:rsidP="008D4E34">
            <w:pPr>
              <w:pStyle w:val="NoSpacing"/>
              <w:rPr>
                <w:rFonts w:ascii="Arial Narrow" w:hAnsi="Arial Narrow"/>
                <w:sz w:val="20"/>
                <w:szCs w:val="20"/>
              </w:rPr>
            </w:pPr>
            <w:r>
              <w:rPr>
                <w:rFonts w:ascii="Arial Narrow" w:hAnsi="Arial Narrow"/>
                <w:sz w:val="20"/>
                <w:szCs w:val="20"/>
              </w:rPr>
              <w:t>Requested restriction</w:t>
            </w:r>
          </w:p>
        </w:tc>
        <w:tc>
          <w:tcPr>
            <w:tcW w:w="3501" w:type="dxa"/>
          </w:tcPr>
          <w:p w:rsidR="00D13237" w:rsidRDefault="00D13237" w:rsidP="008D4E34">
            <w:pPr>
              <w:pStyle w:val="NoSpacing"/>
              <w:rPr>
                <w:rFonts w:ascii="Arial Narrow" w:hAnsi="Arial Narrow"/>
                <w:sz w:val="20"/>
                <w:szCs w:val="20"/>
              </w:rPr>
            </w:pPr>
            <w:r>
              <w:rPr>
                <w:rFonts w:ascii="Arial Narrow" w:hAnsi="Arial Narrow"/>
                <w:sz w:val="20"/>
                <w:szCs w:val="20"/>
              </w:rPr>
              <w:t>Restriction level/method: Authority required (In writing, telephone, emergency , electronic); and</w:t>
            </w:r>
          </w:p>
          <w:p w:rsidR="00D13237" w:rsidRPr="007E0A65" w:rsidRDefault="00D13237" w:rsidP="008D4E34">
            <w:pPr>
              <w:pStyle w:val="NoSpacing"/>
              <w:rPr>
                <w:rFonts w:ascii="Arial Narrow" w:hAnsi="Arial Narrow"/>
                <w:sz w:val="20"/>
                <w:szCs w:val="20"/>
              </w:rPr>
            </w:pPr>
            <w:r>
              <w:rPr>
                <w:rFonts w:ascii="Arial Narrow" w:hAnsi="Arial Narrow"/>
                <w:sz w:val="20"/>
                <w:szCs w:val="20"/>
              </w:rPr>
              <w:t>Streamlined</w:t>
            </w:r>
          </w:p>
        </w:tc>
        <w:tc>
          <w:tcPr>
            <w:tcW w:w="3081" w:type="dxa"/>
          </w:tcPr>
          <w:p w:rsidR="00D13237" w:rsidRPr="007E0A65" w:rsidRDefault="00D13237" w:rsidP="008D4E34">
            <w:pPr>
              <w:pStyle w:val="NoSpacing"/>
              <w:rPr>
                <w:rFonts w:ascii="Arial Narrow" w:hAnsi="Arial Narrow"/>
                <w:sz w:val="20"/>
                <w:szCs w:val="20"/>
              </w:rPr>
            </w:pPr>
            <w:r>
              <w:rPr>
                <w:rFonts w:ascii="Arial Narrow" w:hAnsi="Arial Narrow"/>
                <w:sz w:val="20"/>
                <w:szCs w:val="20"/>
              </w:rPr>
              <w:t>Restriction level/method: Streamlined</w:t>
            </w:r>
          </w:p>
        </w:tc>
      </w:tr>
      <w:tr w:rsidR="00D13237" w:rsidRPr="00607929" w:rsidTr="00307EF2">
        <w:tc>
          <w:tcPr>
            <w:tcW w:w="1843" w:type="dxa"/>
          </w:tcPr>
          <w:p w:rsidR="00D13237" w:rsidRPr="007E0A65" w:rsidRDefault="00D13237" w:rsidP="008D4E34">
            <w:pPr>
              <w:pStyle w:val="NoSpacing"/>
              <w:rPr>
                <w:rFonts w:ascii="Arial Narrow" w:hAnsi="Arial Narrow"/>
                <w:sz w:val="20"/>
                <w:szCs w:val="20"/>
              </w:rPr>
            </w:pPr>
            <w:r w:rsidRPr="007E0A65">
              <w:rPr>
                <w:rFonts w:ascii="Arial Narrow" w:hAnsi="Arial Narrow"/>
                <w:sz w:val="20"/>
                <w:szCs w:val="20"/>
              </w:rPr>
              <w:t>Clinical evidence</w:t>
            </w:r>
          </w:p>
        </w:tc>
        <w:tc>
          <w:tcPr>
            <w:tcW w:w="3501" w:type="dxa"/>
          </w:tcPr>
          <w:p w:rsidR="00D13237" w:rsidRPr="007E0A65" w:rsidRDefault="00D13237" w:rsidP="008D4E34">
            <w:pPr>
              <w:pStyle w:val="NoSpacing"/>
              <w:rPr>
                <w:rFonts w:ascii="Arial Narrow" w:hAnsi="Arial Narrow"/>
                <w:sz w:val="20"/>
                <w:szCs w:val="20"/>
              </w:rPr>
            </w:pPr>
            <w:proofErr w:type="spellStart"/>
            <w:r w:rsidRPr="007E0A65">
              <w:rPr>
                <w:rFonts w:ascii="Arial Narrow" w:hAnsi="Arial Narrow"/>
                <w:sz w:val="20"/>
                <w:szCs w:val="20"/>
              </w:rPr>
              <w:t>StiL</w:t>
            </w:r>
            <w:proofErr w:type="spellEnd"/>
            <w:r w:rsidRPr="007E0A65">
              <w:rPr>
                <w:rFonts w:ascii="Arial Narrow" w:hAnsi="Arial Narrow"/>
                <w:sz w:val="20"/>
                <w:szCs w:val="20"/>
              </w:rPr>
              <w:t xml:space="preserve"> trial (main evidence)</w:t>
            </w:r>
            <w:r w:rsidR="00454248">
              <w:rPr>
                <w:rFonts w:ascii="Arial Narrow" w:hAnsi="Arial Narrow"/>
                <w:sz w:val="20"/>
                <w:szCs w:val="20"/>
              </w:rPr>
              <w:t>, median follow up 45 months</w:t>
            </w:r>
            <w:r w:rsidRPr="007E0A65">
              <w:rPr>
                <w:rFonts w:ascii="Arial Narrow" w:hAnsi="Arial Narrow"/>
                <w:sz w:val="20"/>
                <w:szCs w:val="20"/>
              </w:rPr>
              <w:t>:</w:t>
            </w:r>
          </w:p>
          <w:p w:rsidR="00D13237" w:rsidRPr="007E0A65" w:rsidRDefault="00AA54C7" w:rsidP="008D4E34">
            <w:pPr>
              <w:pStyle w:val="NoSpacing"/>
              <w:rPr>
                <w:rFonts w:ascii="Arial Narrow" w:hAnsi="Arial Narrow"/>
                <w:sz w:val="20"/>
                <w:szCs w:val="20"/>
              </w:rPr>
            </w:pPr>
            <w:r w:rsidRPr="00AA54C7">
              <w:rPr>
                <w:rFonts w:ascii="Arial Narrow" w:hAnsi="Arial Narrow"/>
                <w:sz w:val="20"/>
                <w:szCs w:val="20"/>
                <w:u w:val="single"/>
              </w:rPr>
              <w:t>Time to next treatment</w:t>
            </w:r>
            <w:r>
              <w:rPr>
                <w:rFonts w:ascii="Arial Narrow" w:hAnsi="Arial Narrow"/>
                <w:sz w:val="20"/>
                <w:szCs w:val="20"/>
                <w:u w:val="single"/>
              </w:rPr>
              <w:t xml:space="preserve">: </w:t>
            </w:r>
            <w:r w:rsidR="00D13237" w:rsidRPr="007E0A65">
              <w:rPr>
                <w:rFonts w:ascii="Arial Narrow" w:hAnsi="Arial Narrow"/>
                <w:sz w:val="20"/>
                <w:szCs w:val="20"/>
                <w:u w:val="single"/>
              </w:rPr>
              <w:t>HR</w:t>
            </w:r>
            <w:r w:rsidR="00D13237" w:rsidRPr="007E0A65">
              <w:rPr>
                <w:rFonts w:ascii="Arial Narrow" w:hAnsi="Arial Narrow"/>
                <w:sz w:val="20"/>
                <w:szCs w:val="20"/>
              </w:rPr>
              <w:t xml:space="preserve"> 0.58 [95% CI 0.44, 0.74) p&lt;0.0001);</w:t>
            </w:r>
          </w:p>
          <w:p w:rsidR="00D13237" w:rsidRDefault="00D13237" w:rsidP="008D4E34">
            <w:pPr>
              <w:pStyle w:val="NoSpacing"/>
              <w:rPr>
                <w:rFonts w:ascii="Arial Narrow" w:hAnsi="Arial Narrow"/>
                <w:sz w:val="20"/>
                <w:szCs w:val="20"/>
              </w:rPr>
            </w:pPr>
            <w:r w:rsidRPr="007E0A65">
              <w:rPr>
                <w:rFonts w:ascii="Arial Narrow" w:hAnsi="Arial Narrow"/>
                <w:sz w:val="20"/>
                <w:szCs w:val="20"/>
                <w:u w:val="single"/>
              </w:rPr>
              <w:t>Salvage treatment</w:t>
            </w:r>
            <w:r w:rsidRPr="007E0A65">
              <w:rPr>
                <w:rFonts w:ascii="Arial Narrow" w:hAnsi="Arial Narrow"/>
                <w:sz w:val="20"/>
                <w:szCs w:val="20"/>
              </w:rPr>
              <w:t>: B-R arm (n74 patients), R-CHOP arm (n=116 patients)</w:t>
            </w:r>
            <w:r w:rsidR="00AA54C7">
              <w:rPr>
                <w:rFonts w:ascii="Arial Narrow" w:hAnsi="Arial Narrow"/>
                <w:sz w:val="20"/>
                <w:szCs w:val="20"/>
              </w:rPr>
              <w:t>;</w:t>
            </w:r>
          </w:p>
          <w:p w:rsidR="00AA54C7" w:rsidRPr="007E0A65" w:rsidRDefault="00AA54C7" w:rsidP="008D4E34">
            <w:pPr>
              <w:pStyle w:val="NoSpacing"/>
              <w:rPr>
                <w:rFonts w:ascii="Arial Narrow" w:hAnsi="Arial Narrow"/>
                <w:sz w:val="20"/>
                <w:szCs w:val="20"/>
              </w:rPr>
            </w:pPr>
            <w:r>
              <w:rPr>
                <w:rFonts w:ascii="Arial Narrow" w:hAnsi="Arial Narrow"/>
                <w:sz w:val="20"/>
                <w:szCs w:val="20"/>
              </w:rPr>
              <w:t>OS</w:t>
            </w:r>
            <w:r w:rsidR="00A25120">
              <w:rPr>
                <w:rFonts w:ascii="Arial Narrow" w:hAnsi="Arial Narrow"/>
                <w:sz w:val="20"/>
                <w:szCs w:val="20"/>
              </w:rPr>
              <w:t xml:space="preserve"> at 5 years: complete response</w:t>
            </w:r>
            <w:r w:rsidR="00CE3AB1">
              <w:rPr>
                <w:rFonts w:ascii="Arial Narrow" w:hAnsi="Arial Narrow"/>
                <w:sz w:val="20"/>
                <w:szCs w:val="20"/>
              </w:rPr>
              <w:t xml:space="preserve"> (CR)</w:t>
            </w:r>
            <w:r w:rsidR="00A25120">
              <w:rPr>
                <w:rFonts w:ascii="Arial Narrow" w:hAnsi="Arial Narrow"/>
                <w:sz w:val="20"/>
                <w:szCs w:val="20"/>
              </w:rPr>
              <w:t xml:space="preserve"> (all patients): 90.3%; partial response</w:t>
            </w:r>
            <w:r w:rsidR="00CE3AB1">
              <w:rPr>
                <w:rFonts w:ascii="Arial Narrow" w:hAnsi="Arial Narrow"/>
                <w:sz w:val="20"/>
                <w:szCs w:val="20"/>
              </w:rPr>
              <w:t xml:space="preserve"> (PR)</w:t>
            </w:r>
            <w:r w:rsidR="00A25120">
              <w:rPr>
                <w:rFonts w:ascii="Arial Narrow" w:hAnsi="Arial Narrow"/>
                <w:sz w:val="20"/>
                <w:szCs w:val="20"/>
              </w:rPr>
              <w:t xml:space="preserve"> (all patients): 77.5% p=0.0008.</w:t>
            </w:r>
          </w:p>
          <w:p w:rsidR="00A25120" w:rsidRPr="007E0A65" w:rsidRDefault="00CE3AB1" w:rsidP="00A25120">
            <w:pPr>
              <w:pStyle w:val="NoSpacing"/>
              <w:rPr>
                <w:rFonts w:ascii="Arial Narrow" w:hAnsi="Arial Narrow"/>
                <w:sz w:val="20"/>
                <w:szCs w:val="20"/>
              </w:rPr>
            </w:pPr>
            <w:r>
              <w:rPr>
                <w:rFonts w:ascii="Arial Narrow" w:hAnsi="Arial Narrow"/>
                <w:sz w:val="20"/>
                <w:szCs w:val="20"/>
              </w:rPr>
              <w:t>CR</w:t>
            </w:r>
            <w:r w:rsidR="00A25120">
              <w:rPr>
                <w:rFonts w:ascii="Arial Narrow" w:hAnsi="Arial Narrow"/>
                <w:sz w:val="20"/>
                <w:szCs w:val="20"/>
              </w:rPr>
              <w:t xml:space="preserve"> (B-R patients): 91.0%; </w:t>
            </w:r>
            <w:r>
              <w:rPr>
                <w:rFonts w:ascii="Arial Narrow" w:hAnsi="Arial Narrow"/>
                <w:sz w:val="20"/>
                <w:szCs w:val="20"/>
              </w:rPr>
              <w:t>PR</w:t>
            </w:r>
            <w:r w:rsidR="00A25120">
              <w:rPr>
                <w:rFonts w:ascii="Arial Narrow" w:hAnsi="Arial Narrow"/>
                <w:sz w:val="20"/>
                <w:szCs w:val="20"/>
              </w:rPr>
              <w:t xml:space="preserve"> (B-R patients): 80.1% p=0.0044.</w:t>
            </w:r>
          </w:p>
          <w:p w:rsidR="00A25120" w:rsidRPr="007E0A65" w:rsidRDefault="00CE3AB1" w:rsidP="00A25120">
            <w:pPr>
              <w:pStyle w:val="NoSpacing"/>
              <w:rPr>
                <w:rFonts w:ascii="Arial Narrow" w:hAnsi="Arial Narrow"/>
                <w:sz w:val="20"/>
                <w:szCs w:val="20"/>
              </w:rPr>
            </w:pPr>
            <w:r>
              <w:rPr>
                <w:rFonts w:ascii="Arial Narrow" w:hAnsi="Arial Narrow"/>
                <w:sz w:val="20"/>
                <w:szCs w:val="20"/>
              </w:rPr>
              <w:t>CR</w:t>
            </w:r>
            <w:r w:rsidR="00A25120">
              <w:rPr>
                <w:rFonts w:ascii="Arial Narrow" w:hAnsi="Arial Narrow"/>
                <w:sz w:val="20"/>
                <w:szCs w:val="20"/>
              </w:rPr>
              <w:t xml:space="preserve"> (R-CHOP patients): 89.6%; </w:t>
            </w:r>
            <w:r>
              <w:rPr>
                <w:rFonts w:ascii="Arial Narrow" w:hAnsi="Arial Narrow"/>
                <w:sz w:val="20"/>
                <w:szCs w:val="20"/>
              </w:rPr>
              <w:t>PR</w:t>
            </w:r>
            <w:r w:rsidR="00A25120">
              <w:rPr>
                <w:rFonts w:ascii="Arial Narrow" w:hAnsi="Arial Narrow"/>
                <w:sz w:val="20"/>
                <w:szCs w:val="20"/>
              </w:rPr>
              <w:t xml:space="preserve"> (R-CHOP patients): 75.4% p=0.0737</w:t>
            </w:r>
          </w:p>
          <w:p w:rsidR="00D13237" w:rsidRPr="007E0A65" w:rsidRDefault="00D13237" w:rsidP="008D4E34">
            <w:pPr>
              <w:pStyle w:val="NoSpacing"/>
              <w:rPr>
                <w:rFonts w:ascii="Arial Narrow" w:hAnsi="Arial Narrow"/>
                <w:sz w:val="20"/>
                <w:szCs w:val="20"/>
              </w:rPr>
            </w:pPr>
          </w:p>
          <w:p w:rsidR="00D13237" w:rsidRPr="007E0A65" w:rsidRDefault="00D13237" w:rsidP="008D4E34">
            <w:pPr>
              <w:pStyle w:val="NoSpacing"/>
              <w:rPr>
                <w:rFonts w:ascii="Arial Narrow" w:hAnsi="Arial Narrow"/>
                <w:sz w:val="20"/>
                <w:szCs w:val="20"/>
              </w:rPr>
            </w:pPr>
          </w:p>
          <w:p w:rsidR="00D13237" w:rsidRPr="007E0A65" w:rsidRDefault="00D13237" w:rsidP="008D4E34">
            <w:pPr>
              <w:pStyle w:val="NoSpacing"/>
              <w:rPr>
                <w:rFonts w:ascii="Arial Narrow" w:hAnsi="Arial Narrow"/>
                <w:sz w:val="20"/>
                <w:szCs w:val="20"/>
              </w:rPr>
            </w:pPr>
            <w:r w:rsidRPr="007E0A65">
              <w:rPr>
                <w:rFonts w:ascii="Arial Narrow" w:hAnsi="Arial Narrow"/>
                <w:sz w:val="20"/>
                <w:szCs w:val="20"/>
              </w:rPr>
              <w:t>BRIGHT study (supportive evidence)</w:t>
            </w:r>
          </w:p>
        </w:tc>
        <w:tc>
          <w:tcPr>
            <w:tcW w:w="3081" w:type="dxa"/>
          </w:tcPr>
          <w:p w:rsidR="00D13237" w:rsidRPr="007E0A65" w:rsidRDefault="00D13237" w:rsidP="008D4E34">
            <w:pPr>
              <w:pStyle w:val="NoSpacing"/>
              <w:rPr>
                <w:rFonts w:ascii="Arial Narrow" w:hAnsi="Arial Narrow"/>
                <w:sz w:val="20"/>
                <w:szCs w:val="20"/>
              </w:rPr>
            </w:pPr>
            <w:proofErr w:type="spellStart"/>
            <w:r w:rsidRPr="007E0A65">
              <w:rPr>
                <w:rFonts w:ascii="Arial Narrow" w:hAnsi="Arial Narrow"/>
                <w:sz w:val="20"/>
                <w:szCs w:val="20"/>
              </w:rPr>
              <w:t>StiL</w:t>
            </w:r>
            <w:proofErr w:type="spellEnd"/>
            <w:r w:rsidRPr="007E0A65">
              <w:rPr>
                <w:rFonts w:ascii="Arial Narrow" w:hAnsi="Arial Narrow"/>
                <w:sz w:val="20"/>
                <w:szCs w:val="20"/>
              </w:rPr>
              <w:t xml:space="preserve"> trial (update December 2014)</w:t>
            </w:r>
            <w:r w:rsidR="00454248">
              <w:rPr>
                <w:rFonts w:ascii="Arial Narrow" w:hAnsi="Arial Narrow"/>
                <w:sz w:val="20"/>
                <w:szCs w:val="20"/>
              </w:rPr>
              <w:t>, median follow-up 87 months</w:t>
            </w:r>
            <w:r w:rsidRPr="007E0A65">
              <w:rPr>
                <w:rFonts w:ascii="Arial Narrow" w:hAnsi="Arial Narrow"/>
                <w:sz w:val="20"/>
                <w:szCs w:val="20"/>
              </w:rPr>
              <w:t>:</w:t>
            </w:r>
          </w:p>
          <w:p w:rsidR="00D13237" w:rsidRPr="007E0A65" w:rsidRDefault="00AA54C7" w:rsidP="008D4E34">
            <w:pPr>
              <w:pStyle w:val="NoSpacing"/>
              <w:rPr>
                <w:rFonts w:ascii="Arial Narrow" w:hAnsi="Arial Narrow"/>
                <w:sz w:val="20"/>
                <w:szCs w:val="20"/>
              </w:rPr>
            </w:pPr>
            <w:r>
              <w:rPr>
                <w:rFonts w:ascii="Arial Narrow" w:hAnsi="Arial Narrow"/>
                <w:sz w:val="20"/>
                <w:szCs w:val="20"/>
                <w:u w:val="single"/>
              </w:rPr>
              <w:t xml:space="preserve">Time to next treatment: </w:t>
            </w:r>
            <w:r w:rsidR="00D13237" w:rsidRPr="007E0A65">
              <w:rPr>
                <w:rFonts w:ascii="Arial Narrow" w:hAnsi="Arial Narrow"/>
                <w:sz w:val="20"/>
                <w:szCs w:val="20"/>
                <w:u w:val="single"/>
              </w:rPr>
              <w:t>HR</w:t>
            </w:r>
            <w:r w:rsidR="00D13237">
              <w:rPr>
                <w:rFonts w:ascii="Arial Narrow" w:hAnsi="Arial Narrow"/>
                <w:sz w:val="20"/>
                <w:szCs w:val="20"/>
              </w:rPr>
              <w:t xml:space="preserve"> </w:t>
            </w:r>
            <w:r w:rsidR="00D13237" w:rsidRPr="007E0A65">
              <w:rPr>
                <w:rFonts w:ascii="Arial Narrow" w:hAnsi="Arial Narrow"/>
                <w:sz w:val="20"/>
                <w:szCs w:val="20"/>
              </w:rPr>
              <w:t>0.53, 95% CI: 0.40, 0.68, p</w:t>
            </w:r>
            <w:r w:rsidR="00D13237" w:rsidRPr="007E0A65">
              <w:rPr>
                <w:rFonts w:ascii="Arial Narrow" w:hAnsi="Arial Narrow" w:cs="Arial"/>
                <w:sz w:val="20"/>
                <w:szCs w:val="20"/>
              </w:rPr>
              <w:t>&lt;</w:t>
            </w:r>
            <w:r w:rsidR="00D13237" w:rsidRPr="007E0A65">
              <w:rPr>
                <w:rFonts w:ascii="Arial Narrow" w:hAnsi="Arial Narrow"/>
                <w:sz w:val="20"/>
                <w:szCs w:val="20"/>
              </w:rPr>
              <w:t>0.001);</w:t>
            </w:r>
          </w:p>
          <w:p w:rsidR="00D13237" w:rsidRDefault="00D13237" w:rsidP="008D4E34">
            <w:pPr>
              <w:pStyle w:val="NoSpacing"/>
              <w:rPr>
                <w:rFonts w:ascii="Arial Narrow" w:hAnsi="Arial Narrow"/>
                <w:sz w:val="20"/>
                <w:szCs w:val="20"/>
              </w:rPr>
            </w:pPr>
            <w:r w:rsidRPr="007E0A65">
              <w:rPr>
                <w:rFonts w:ascii="Arial Narrow" w:hAnsi="Arial Narrow"/>
                <w:sz w:val="20"/>
                <w:szCs w:val="20"/>
                <w:u w:val="single"/>
              </w:rPr>
              <w:t>Salvage treatment</w:t>
            </w:r>
            <w:r w:rsidRPr="007E0A65">
              <w:rPr>
                <w:rFonts w:ascii="Arial Narrow" w:hAnsi="Arial Narrow"/>
                <w:sz w:val="20"/>
                <w:szCs w:val="20"/>
              </w:rPr>
              <w:t>: B-R arm (n=93</w:t>
            </w:r>
            <w:r w:rsidR="003A5F58">
              <w:rPr>
                <w:rFonts w:ascii="Arial Narrow" w:hAnsi="Arial Narrow"/>
                <w:sz w:val="20"/>
                <w:szCs w:val="20"/>
              </w:rPr>
              <w:t xml:space="preserve"> (36%)</w:t>
            </w:r>
            <w:r w:rsidRPr="007E0A65">
              <w:rPr>
                <w:rFonts w:ascii="Arial Narrow" w:hAnsi="Arial Narrow"/>
                <w:sz w:val="20"/>
                <w:szCs w:val="20"/>
              </w:rPr>
              <w:t xml:space="preserve"> patients), R-CHOP arm (n=140</w:t>
            </w:r>
            <w:r w:rsidR="003A5F58">
              <w:rPr>
                <w:rFonts w:ascii="Arial Narrow" w:hAnsi="Arial Narrow"/>
                <w:sz w:val="20"/>
                <w:szCs w:val="20"/>
              </w:rPr>
              <w:t xml:space="preserve"> (55%)</w:t>
            </w:r>
            <w:r w:rsidRPr="007E0A65">
              <w:rPr>
                <w:rFonts w:ascii="Arial Narrow" w:hAnsi="Arial Narrow"/>
                <w:sz w:val="20"/>
                <w:szCs w:val="20"/>
              </w:rPr>
              <w:t>) with cross over into B-R treatment (n=69</w:t>
            </w:r>
            <w:r w:rsidR="003A5F58">
              <w:rPr>
                <w:rFonts w:ascii="Arial Narrow" w:hAnsi="Arial Narrow"/>
                <w:sz w:val="20"/>
                <w:szCs w:val="20"/>
              </w:rPr>
              <w:t xml:space="preserve"> out of 140 </w:t>
            </w:r>
            <w:r w:rsidR="00A25120">
              <w:rPr>
                <w:rFonts w:ascii="Arial Narrow" w:hAnsi="Arial Narrow"/>
                <w:sz w:val="20"/>
                <w:szCs w:val="20"/>
              </w:rPr>
              <w:t>patients</w:t>
            </w:r>
            <w:r w:rsidRPr="007E0A65">
              <w:rPr>
                <w:rFonts w:ascii="Arial Narrow" w:hAnsi="Arial Narrow"/>
                <w:sz w:val="20"/>
                <w:szCs w:val="20"/>
              </w:rPr>
              <w:t>)</w:t>
            </w:r>
            <w:r w:rsidR="00AA54C7">
              <w:rPr>
                <w:rFonts w:ascii="Arial Narrow" w:hAnsi="Arial Narrow"/>
                <w:sz w:val="20"/>
                <w:szCs w:val="20"/>
              </w:rPr>
              <w:t>;</w:t>
            </w:r>
          </w:p>
          <w:p w:rsidR="003A5F58" w:rsidRDefault="00AA54C7" w:rsidP="003A5F58">
            <w:pPr>
              <w:pStyle w:val="ListParagraph"/>
              <w:ind w:left="0"/>
              <w:rPr>
                <w:rFonts w:ascii="Arial Narrow" w:hAnsi="Arial Narrow"/>
                <w:sz w:val="20"/>
                <w:szCs w:val="20"/>
              </w:rPr>
            </w:pPr>
            <w:r>
              <w:rPr>
                <w:rFonts w:ascii="Arial Narrow" w:hAnsi="Arial Narrow"/>
                <w:sz w:val="20"/>
                <w:szCs w:val="20"/>
              </w:rPr>
              <w:t>OS:</w:t>
            </w:r>
            <w:r w:rsidR="003A5F58">
              <w:rPr>
                <w:rFonts w:ascii="Arial Narrow" w:hAnsi="Arial Narrow"/>
                <w:sz w:val="20"/>
                <w:szCs w:val="20"/>
              </w:rPr>
              <w:t xml:space="preserve"> 10-year survival rates </w:t>
            </w:r>
          </w:p>
          <w:p w:rsidR="003A5F58" w:rsidRDefault="003A5F58" w:rsidP="003A5F58">
            <w:pPr>
              <w:pStyle w:val="ListParagraph"/>
              <w:ind w:left="0"/>
              <w:rPr>
                <w:rFonts w:ascii="Arial Narrow" w:hAnsi="Arial Narrow"/>
                <w:sz w:val="20"/>
                <w:szCs w:val="20"/>
              </w:rPr>
            </w:pPr>
            <w:proofErr w:type="spellStart"/>
            <w:r>
              <w:rPr>
                <w:rFonts w:ascii="Arial Narrow" w:hAnsi="Arial Narrow"/>
                <w:sz w:val="20"/>
                <w:szCs w:val="20"/>
              </w:rPr>
              <w:t>iNHL</w:t>
            </w:r>
            <w:proofErr w:type="spellEnd"/>
            <w:r>
              <w:rPr>
                <w:rFonts w:ascii="Arial Narrow" w:hAnsi="Arial Narrow"/>
                <w:sz w:val="20"/>
                <w:szCs w:val="20"/>
              </w:rPr>
              <w:t xml:space="preserve"> HR </w:t>
            </w:r>
            <w:r w:rsidRPr="00212042">
              <w:rPr>
                <w:rFonts w:ascii="Arial Narrow" w:hAnsi="Arial Narrow"/>
                <w:sz w:val="20"/>
                <w:szCs w:val="20"/>
              </w:rPr>
              <w:t>0.70 (0.48; 1.04) p=0.076</w:t>
            </w:r>
            <w:r>
              <w:rPr>
                <w:rFonts w:ascii="Arial Narrow" w:hAnsi="Arial Narrow"/>
                <w:sz w:val="20"/>
                <w:szCs w:val="20"/>
              </w:rPr>
              <w:t xml:space="preserve">; </w:t>
            </w:r>
          </w:p>
          <w:p w:rsidR="00AA54C7" w:rsidRPr="007E0A65" w:rsidRDefault="003A5F58" w:rsidP="003A5F58">
            <w:pPr>
              <w:pStyle w:val="ListParagraph"/>
              <w:ind w:left="0"/>
              <w:rPr>
                <w:rFonts w:ascii="Arial Narrow" w:hAnsi="Arial Narrow"/>
                <w:sz w:val="20"/>
                <w:szCs w:val="20"/>
              </w:rPr>
            </w:pPr>
            <w:r>
              <w:rPr>
                <w:rFonts w:ascii="Arial Narrow" w:hAnsi="Arial Narrow"/>
                <w:sz w:val="20"/>
                <w:szCs w:val="20"/>
              </w:rPr>
              <w:t xml:space="preserve">MCL HR </w:t>
            </w:r>
            <w:r w:rsidRPr="00212042">
              <w:rPr>
                <w:rFonts w:ascii="Arial Narrow" w:hAnsi="Arial Narrow"/>
                <w:sz w:val="20"/>
                <w:szCs w:val="20"/>
              </w:rPr>
              <w:t>1.28 (0.69; 2.39)</w:t>
            </w:r>
            <w:r>
              <w:rPr>
                <w:rFonts w:ascii="Arial Narrow" w:hAnsi="Arial Narrow"/>
                <w:sz w:val="20"/>
                <w:szCs w:val="20"/>
              </w:rPr>
              <w:t xml:space="preserve"> p</w:t>
            </w:r>
            <w:r w:rsidRPr="00212042">
              <w:rPr>
                <w:rFonts w:ascii="Arial Narrow" w:hAnsi="Arial Narrow"/>
                <w:sz w:val="20"/>
                <w:szCs w:val="20"/>
              </w:rPr>
              <w:t>=0.429</w:t>
            </w:r>
            <w:r>
              <w:rPr>
                <w:rFonts w:ascii="Arial Narrow" w:hAnsi="Arial Narrow"/>
                <w:sz w:val="20"/>
                <w:szCs w:val="20"/>
              </w:rPr>
              <w:t>.</w:t>
            </w:r>
          </w:p>
        </w:tc>
      </w:tr>
      <w:tr w:rsidR="00D13237" w:rsidRPr="00607929" w:rsidTr="00307EF2">
        <w:tc>
          <w:tcPr>
            <w:tcW w:w="1843" w:type="dxa"/>
          </w:tcPr>
          <w:p w:rsidR="00D13237" w:rsidRPr="007E0A65" w:rsidRDefault="00D13237" w:rsidP="008D4E34">
            <w:pPr>
              <w:pStyle w:val="NoSpacing"/>
              <w:rPr>
                <w:rFonts w:ascii="Arial Narrow" w:hAnsi="Arial Narrow"/>
                <w:sz w:val="20"/>
                <w:szCs w:val="20"/>
              </w:rPr>
            </w:pPr>
            <w:r w:rsidRPr="007E0A65">
              <w:rPr>
                <w:rFonts w:ascii="Arial Narrow" w:hAnsi="Arial Narrow"/>
                <w:sz w:val="20"/>
                <w:szCs w:val="20"/>
              </w:rPr>
              <w:t>Economic evaluation</w:t>
            </w:r>
          </w:p>
        </w:tc>
        <w:tc>
          <w:tcPr>
            <w:tcW w:w="3501" w:type="dxa"/>
          </w:tcPr>
          <w:p w:rsidR="00D13237" w:rsidRDefault="00D13237" w:rsidP="008D4E34">
            <w:pPr>
              <w:pStyle w:val="NoSpacing"/>
              <w:rPr>
                <w:rFonts w:ascii="Arial Narrow" w:hAnsi="Arial Narrow"/>
                <w:sz w:val="20"/>
                <w:szCs w:val="20"/>
              </w:rPr>
            </w:pPr>
            <w:r>
              <w:rPr>
                <w:rFonts w:ascii="Arial Narrow" w:hAnsi="Arial Narrow"/>
                <w:sz w:val="20"/>
                <w:szCs w:val="20"/>
              </w:rPr>
              <w:t>Rituximab maintenance therapy not included in the economic model.</w:t>
            </w:r>
          </w:p>
          <w:p w:rsidR="00A25120" w:rsidRDefault="00A25120" w:rsidP="008D4E34">
            <w:pPr>
              <w:pStyle w:val="NoSpacing"/>
              <w:rPr>
                <w:rFonts w:ascii="Arial Narrow" w:hAnsi="Arial Narrow"/>
                <w:sz w:val="20"/>
                <w:szCs w:val="20"/>
              </w:rPr>
            </w:pPr>
            <w:proofErr w:type="spellStart"/>
            <w:r>
              <w:rPr>
                <w:rFonts w:ascii="Arial Narrow" w:hAnsi="Arial Narrow"/>
                <w:sz w:val="20"/>
                <w:szCs w:val="20"/>
              </w:rPr>
              <w:t>iNHL</w:t>
            </w:r>
            <w:proofErr w:type="spellEnd"/>
            <w:r>
              <w:rPr>
                <w:rFonts w:ascii="Arial Narrow" w:hAnsi="Arial Narrow"/>
                <w:sz w:val="20"/>
                <w:szCs w:val="20"/>
              </w:rPr>
              <w:t xml:space="preserve"> and MCL patients combined</w:t>
            </w:r>
          </w:p>
          <w:p w:rsidR="00A25120" w:rsidRDefault="00A25120" w:rsidP="008D4E34">
            <w:pPr>
              <w:pStyle w:val="NoSpacing"/>
              <w:rPr>
                <w:rFonts w:ascii="Arial Narrow" w:hAnsi="Arial Narrow"/>
                <w:sz w:val="20"/>
                <w:szCs w:val="20"/>
              </w:rPr>
            </w:pPr>
            <w:r>
              <w:rPr>
                <w:rFonts w:ascii="Arial Narrow" w:hAnsi="Arial Narrow"/>
                <w:sz w:val="20"/>
                <w:szCs w:val="20"/>
              </w:rPr>
              <w:t>Time horizon: 20 years</w:t>
            </w:r>
          </w:p>
          <w:p w:rsidR="00A25120" w:rsidRDefault="00A25120" w:rsidP="008D4E34">
            <w:pPr>
              <w:pStyle w:val="NoSpacing"/>
              <w:rPr>
                <w:rFonts w:ascii="Arial Narrow" w:hAnsi="Arial Narrow"/>
                <w:sz w:val="20"/>
                <w:szCs w:val="20"/>
              </w:rPr>
            </w:pPr>
            <w:r>
              <w:rPr>
                <w:rFonts w:ascii="Arial Narrow" w:hAnsi="Arial Narrow"/>
                <w:sz w:val="20"/>
                <w:szCs w:val="20"/>
              </w:rPr>
              <w:t>3 state Markov model</w:t>
            </w:r>
          </w:p>
          <w:p w:rsidR="00D13237" w:rsidRDefault="00D13237" w:rsidP="008D4E34">
            <w:pPr>
              <w:pStyle w:val="NoSpacing"/>
              <w:rPr>
                <w:rFonts w:ascii="Arial Narrow" w:hAnsi="Arial Narrow"/>
                <w:sz w:val="20"/>
                <w:szCs w:val="20"/>
              </w:rPr>
            </w:pPr>
          </w:p>
          <w:p w:rsidR="0033405C" w:rsidRDefault="00D13237" w:rsidP="00CE3AB1">
            <w:pPr>
              <w:pStyle w:val="NoSpacing"/>
              <w:rPr>
                <w:rFonts w:ascii="Arial Narrow" w:hAnsi="Arial Narrow"/>
                <w:b/>
                <w:sz w:val="20"/>
                <w:szCs w:val="20"/>
              </w:rPr>
            </w:pPr>
            <w:r w:rsidRPr="00EC0147">
              <w:rPr>
                <w:rFonts w:ascii="Arial Narrow" w:hAnsi="Arial Narrow"/>
                <w:b/>
                <w:sz w:val="20"/>
                <w:szCs w:val="20"/>
              </w:rPr>
              <w:lastRenderedPageBreak/>
              <w:t>PBAC comment</w:t>
            </w:r>
            <w:r w:rsidR="00AA54C7">
              <w:rPr>
                <w:rFonts w:ascii="Arial Narrow" w:hAnsi="Arial Narrow"/>
                <w:sz w:val="20"/>
                <w:szCs w:val="20"/>
              </w:rPr>
              <w:t xml:space="preserve"> </w:t>
            </w:r>
            <w:r w:rsidR="00AA54C7" w:rsidRPr="00AA54C7">
              <w:rPr>
                <w:rFonts w:ascii="Arial Narrow" w:hAnsi="Arial Narrow"/>
                <w:b/>
                <w:sz w:val="20"/>
                <w:szCs w:val="20"/>
              </w:rPr>
              <w:t>(paragraph 7.15,</w:t>
            </w:r>
            <w:r w:rsidR="00AA54C7">
              <w:rPr>
                <w:rFonts w:ascii="Arial Narrow" w:hAnsi="Arial Narrow"/>
                <w:sz w:val="20"/>
                <w:szCs w:val="20"/>
              </w:rPr>
              <w:t xml:space="preserve"> </w:t>
            </w:r>
            <w:r w:rsidR="006227B3">
              <w:rPr>
                <w:rFonts w:ascii="Arial Narrow" w:hAnsi="Arial Narrow"/>
                <w:b/>
                <w:sz w:val="20"/>
                <w:szCs w:val="20"/>
              </w:rPr>
              <w:t>March 2015 PSD</w:t>
            </w:r>
            <w:r w:rsidRPr="007E0A65">
              <w:rPr>
                <w:rFonts w:ascii="Arial Narrow" w:hAnsi="Arial Narrow"/>
                <w:b/>
                <w:sz w:val="20"/>
                <w:szCs w:val="20"/>
              </w:rPr>
              <w:t>, bendamustine</w:t>
            </w:r>
            <w:r w:rsidR="00AA54C7">
              <w:rPr>
                <w:rFonts w:ascii="Arial Narrow" w:hAnsi="Arial Narrow"/>
                <w:b/>
                <w:sz w:val="20"/>
                <w:szCs w:val="20"/>
              </w:rPr>
              <w:t xml:space="preserve">): </w:t>
            </w:r>
          </w:p>
          <w:p w:rsidR="00CE3AB1" w:rsidRPr="00CE3AB1" w:rsidRDefault="00D13237" w:rsidP="007A1EB1">
            <w:pPr>
              <w:pStyle w:val="NoSpacing"/>
              <w:tabs>
                <w:tab w:val="left" w:pos="175"/>
              </w:tabs>
              <w:ind w:hanging="108"/>
              <w:rPr>
                <w:rFonts w:ascii="Arial Narrow" w:hAnsi="Arial Narrow"/>
                <w:b/>
                <w:sz w:val="20"/>
                <w:szCs w:val="20"/>
              </w:rPr>
            </w:pPr>
            <w:r>
              <w:rPr>
                <w:rFonts w:ascii="Arial Narrow" w:hAnsi="Arial Narrow"/>
                <w:b/>
                <w:sz w:val="20"/>
                <w:szCs w:val="20"/>
              </w:rPr>
              <w:t>“</w:t>
            </w:r>
            <w:r w:rsidR="00CE3AB1">
              <w:rPr>
                <w:rFonts w:ascii="Arial Narrow" w:hAnsi="Arial Narrow"/>
                <w:b/>
                <w:sz w:val="20"/>
                <w:szCs w:val="20"/>
              </w:rPr>
              <w:t>-</w:t>
            </w:r>
            <w:r w:rsidR="0033405C">
              <w:rPr>
                <w:rFonts w:ascii="Arial Narrow" w:hAnsi="Arial Narrow"/>
                <w:b/>
                <w:sz w:val="20"/>
                <w:szCs w:val="20"/>
              </w:rPr>
              <w:t xml:space="preserve"> </w:t>
            </w:r>
            <w:r w:rsidR="00CE3AB1">
              <w:rPr>
                <w:rFonts w:ascii="Arial Narrow" w:hAnsi="Arial Narrow"/>
                <w:b/>
                <w:sz w:val="20"/>
                <w:szCs w:val="20"/>
              </w:rPr>
              <w:t xml:space="preserve">Incorporate </w:t>
            </w:r>
            <w:r w:rsidR="00CE3AB1" w:rsidRPr="00CE3AB1">
              <w:rPr>
                <w:rFonts w:ascii="Arial Narrow" w:hAnsi="Arial Narrow"/>
                <w:b/>
                <w:sz w:val="20"/>
                <w:szCs w:val="20"/>
              </w:rPr>
              <w:t xml:space="preserve">a structure that appropriately reflects the different levels of disease progression using the five disease state utilities from Wild et al, rather than the two macro health state utilities. </w:t>
            </w:r>
          </w:p>
          <w:p w:rsidR="00CE3AB1" w:rsidRPr="00CE3AB1" w:rsidRDefault="00CE3AB1" w:rsidP="00CE3AB1">
            <w:pPr>
              <w:pStyle w:val="NoSpacing"/>
              <w:rPr>
                <w:rFonts w:ascii="Arial Narrow" w:hAnsi="Arial Narrow"/>
                <w:b/>
                <w:sz w:val="20"/>
                <w:szCs w:val="20"/>
              </w:rPr>
            </w:pPr>
            <w:r w:rsidRPr="00CE3AB1">
              <w:rPr>
                <w:rFonts w:ascii="Arial Narrow" w:hAnsi="Arial Narrow"/>
                <w:b/>
                <w:sz w:val="20"/>
                <w:szCs w:val="20"/>
              </w:rPr>
              <w:t>-</w:t>
            </w:r>
            <w:r w:rsidR="0033405C">
              <w:rPr>
                <w:rFonts w:ascii="Arial Narrow" w:hAnsi="Arial Narrow"/>
                <w:b/>
                <w:sz w:val="20"/>
                <w:szCs w:val="20"/>
              </w:rPr>
              <w:t xml:space="preserve">  </w:t>
            </w:r>
            <w:r w:rsidRPr="00CE3AB1">
              <w:rPr>
                <w:rFonts w:ascii="Arial Narrow" w:hAnsi="Arial Narrow"/>
                <w:b/>
                <w:sz w:val="20"/>
                <w:szCs w:val="20"/>
              </w:rPr>
              <w:t xml:space="preserve">Incorporate the impact of further lines of treatment with their costs and health benefits; </w:t>
            </w:r>
          </w:p>
          <w:p w:rsidR="00CE3AB1" w:rsidRPr="00CE3AB1" w:rsidRDefault="00CE3AB1" w:rsidP="00CE3AB1">
            <w:pPr>
              <w:pStyle w:val="NoSpacing"/>
              <w:rPr>
                <w:rFonts w:ascii="Arial Narrow" w:hAnsi="Arial Narrow"/>
                <w:b/>
                <w:sz w:val="20"/>
                <w:szCs w:val="20"/>
              </w:rPr>
            </w:pPr>
            <w:r w:rsidRPr="00CE3AB1">
              <w:rPr>
                <w:rFonts w:ascii="Arial Narrow" w:hAnsi="Arial Narrow"/>
                <w:b/>
                <w:sz w:val="20"/>
                <w:szCs w:val="20"/>
              </w:rPr>
              <w:t>-</w:t>
            </w:r>
            <w:r w:rsidR="0033405C">
              <w:rPr>
                <w:rFonts w:ascii="Arial Narrow" w:hAnsi="Arial Narrow"/>
                <w:b/>
                <w:sz w:val="20"/>
                <w:szCs w:val="20"/>
              </w:rPr>
              <w:t xml:space="preserve">   </w:t>
            </w:r>
            <w:r w:rsidRPr="00CE3AB1">
              <w:rPr>
                <w:rFonts w:ascii="Arial Narrow" w:hAnsi="Arial Narrow"/>
                <w:b/>
                <w:sz w:val="20"/>
                <w:szCs w:val="20"/>
              </w:rPr>
              <w:t xml:space="preserve">Provide separate economic evaluations for indolent NHL and MCL; </w:t>
            </w:r>
          </w:p>
          <w:p w:rsidR="00CE3AB1" w:rsidRPr="00CE3AB1" w:rsidRDefault="00CE3AB1" w:rsidP="00CE3AB1">
            <w:pPr>
              <w:pStyle w:val="NoSpacing"/>
              <w:rPr>
                <w:rFonts w:ascii="Arial Narrow" w:hAnsi="Arial Narrow"/>
                <w:b/>
                <w:sz w:val="20"/>
                <w:szCs w:val="20"/>
              </w:rPr>
            </w:pPr>
            <w:r w:rsidRPr="00CE3AB1">
              <w:rPr>
                <w:rFonts w:ascii="Arial Narrow" w:hAnsi="Arial Narrow"/>
                <w:b/>
                <w:sz w:val="20"/>
                <w:szCs w:val="20"/>
              </w:rPr>
              <w:t>-</w:t>
            </w:r>
            <w:r w:rsidR="0033405C">
              <w:rPr>
                <w:rFonts w:ascii="Arial Narrow" w:hAnsi="Arial Narrow"/>
                <w:b/>
                <w:sz w:val="20"/>
                <w:szCs w:val="20"/>
              </w:rPr>
              <w:t xml:space="preserve"> </w:t>
            </w:r>
            <w:r w:rsidRPr="00CE3AB1">
              <w:rPr>
                <w:rFonts w:ascii="Arial Narrow" w:hAnsi="Arial Narrow"/>
                <w:b/>
                <w:sz w:val="20"/>
                <w:szCs w:val="20"/>
              </w:rPr>
              <w:t>Use a 10 year time horizon for the economic evaluation for MCL, with a 7 year time horizon used in a sensitivity analysis; and</w:t>
            </w:r>
          </w:p>
          <w:p w:rsidR="00D13237" w:rsidRPr="007E0A65" w:rsidRDefault="00CE3AB1" w:rsidP="00CE3AB1">
            <w:pPr>
              <w:pStyle w:val="NoSpacing"/>
              <w:rPr>
                <w:rFonts w:ascii="Arial Narrow" w:hAnsi="Arial Narrow"/>
                <w:sz w:val="20"/>
                <w:szCs w:val="20"/>
              </w:rPr>
            </w:pPr>
            <w:r w:rsidRPr="00CE3AB1">
              <w:rPr>
                <w:rFonts w:ascii="Arial Narrow" w:hAnsi="Arial Narrow"/>
                <w:b/>
                <w:sz w:val="20"/>
                <w:szCs w:val="20"/>
              </w:rPr>
              <w:t>-</w:t>
            </w:r>
            <w:r w:rsidR="0033405C">
              <w:rPr>
                <w:rFonts w:ascii="Arial Narrow" w:hAnsi="Arial Narrow"/>
                <w:b/>
                <w:sz w:val="20"/>
                <w:szCs w:val="20"/>
              </w:rPr>
              <w:t xml:space="preserve"> </w:t>
            </w:r>
            <w:r w:rsidRPr="00CE3AB1">
              <w:rPr>
                <w:rFonts w:ascii="Arial Narrow" w:hAnsi="Arial Narrow"/>
                <w:b/>
                <w:sz w:val="20"/>
                <w:szCs w:val="20"/>
              </w:rPr>
              <w:t>Justify the use of a 20 year time horizon fo</w:t>
            </w:r>
            <w:r>
              <w:rPr>
                <w:rFonts w:ascii="Arial Narrow" w:hAnsi="Arial Narrow"/>
                <w:b/>
                <w:sz w:val="20"/>
                <w:szCs w:val="20"/>
              </w:rPr>
              <w:t>r indolent NHL</w:t>
            </w:r>
            <w:proofErr w:type="gramStart"/>
            <w:r w:rsidR="00D13237">
              <w:rPr>
                <w:rFonts w:ascii="Arial Narrow" w:hAnsi="Arial Narrow"/>
                <w:b/>
                <w:sz w:val="20"/>
                <w:szCs w:val="20"/>
              </w:rPr>
              <w:t xml:space="preserve">” </w:t>
            </w:r>
            <w:r w:rsidR="00AA54C7">
              <w:rPr>
                <w:rFonts w:ascii="Arial Narrow" w:hAnsi="Arial Narrow"/>
                <w:b/>
                <w:sz w:val="20"/>
                <w:szCs w:val="20"/>
              </w:rPr>
              <w:t>.</w:t>
            </w:r>
            <w:proofErr w:type="gramEnd"/>
          </w:p>
        </w:tc>
        <w:tc>
          <w:tcPr>
            <w:tcW w:w="3081" w:type="dxa"/>
          </w:tcPr>
          <w:p w:rsidR="00CE3AB1" w:rsidRDefault="00CE3AB1" w:rsidP="008D4E34">
            <w:pPr>
              <w:pStyle w:val="NoSpacing"/>
              <w:rPr>
                <w:rFonts w:ascii="Arial Narrow" w:hAnsi="Arial Narrow"/>
                <w:sz w:val="20"/>
                <w:szCs w:val="20"/>
              </w:rPr>
            </w:pPr>
            <w:r>
              <w:rPr>
                <w:rFonts w:ascii="Arial Narrow" w:hAnsi="Arial Narrow"/>
                <w:sz w:val="20"/>
                <w:szCs w:val="20"/>
              </w:rPr>
              <w:lastRenderedPageBreak/>
              <w:t>The re-submission addressed but did not provide</w:t>
            </w:r>
            <w:r w:rsidR="0033405C">
              <w:rPr>
                <w:rFonts w:ascii="Arial Narrow" w:hAnsi="Arial Narrow"/>
                <w:sz w:val="20"/>
                <w:szCs w:val="20"/>
              </w:rPr>
              <w:t>:</w:t>
            </w:r>
          </w:p>
          <w:p w:rsidR="00CE3AB1" w:rsidRDefault="00CE3AB1" w:rsidP="007A1EB1">
            <w:pPr>
              <w:pStyle w:val="NoSpacing"/>
              <w:numPr>
                <w:ilvl w:val="0"/>
                <w:numId w:val="67"/>
              </w:numPr>
              <w:ind w:left="360"/>
              <w:jc w:val="left"/>
              <w:rPr>
                <w:rFonts w:ascii="Arial Narrow" w:hAnsi="Arial Narrow"/>
                <w:sz w:val="20"/>
                <w:szCs w:val="20"/>
              </w:rPr>
            </w:pPr>
            <w:r>
              <w:rPr>
                <w:rFonts w:ascii="Arial Narrow" w:hAnsi="Arial Narrow"/>
                <w:sz w:val="20"/>
                <w:szCs w:val="20"/>
              </w:rPr>
              <w:t xml:space="preserve">The separate economic evaluation for </w:t>
            </w:r>
            <w:proofErr w:type="spellStart"/>
            <w:r>
              <w:rPr>
                <w:rFonts w:ascii="Arial Narrow" w:hAnsi="Arial Narrow"/>
                <w:sz w:val="20"/>
                <w:szCs w:val="20"/>
              </w:rPr>
              <w:t>iNHL</w:t>
            </w:r>
            <w:proofErr w:type="spellEnd"/>
            <w:r>
              <w:rPr>
                <w:rFonts w:ascii="Arial Narrow" w:hAnsi="Arial Narrow"/>
                <w:sz w:val="20"/>
                <w:szCs w:val="20"/>
              </w:rPr>
              <w:t xml:space="preserve"> and MCL patients;</w:t>
            </w:r>
          </w:p>
          <w:p w:rsidR="00CE3AB1" w:rsidRDefault="00CE3AB1" w:rsidP="007A1EB1">
            <w:pPr>
              <w:pStyle w:val="NoSpacing"/>
              <w:numPr>
                <w:ilvl w:val="0"/>
                <w:numId w:val="67"/>
              </w:numPr>
              <w:ind w:left="360"/>
              <w:jc w:val="left"/>
              <w:rPr>
                <w:rFonts w:ascii="Arial Narrow" w:hAnsi="Arial Narrow"/>
                <w:sz w:val="20"/>
                <w:szCs w:val="20"/>
              </w:rPr>
            </w:pPr>
            <w:r>
              <w:rPr>
                <w:rFonts w:ascii="Arial Narrow" w:hAnsi="Arial Narrow"/>
                <w:sz w:val="20"/>
                <w:szCs w:val="20"/>
              </w:rPr>
              <w:t xml:space="preserve">The time horizon for </w:t>
            </w:r>
            <w:proofErr w:type="spellStart"/>
            <w:r>
              <w:rPr>
                <w:rFonts w:ascii="Arial Narrow" w:hAnsi="Arial Narrow"/>
                <w:sz w:val="20"/>
                <w:szCs w:val="20"/>
              </w:rPr>
              <w:t>iNHL</w:t>
            </w:r>
            <w:proofErr w:type="spellEnd"/>
            <w:r>
              <w:rPr>
                <w:rFonts w:ascii="Arial Narrow" w:hAnsi="Arial Narrow"/>
                <w:sz w:val="20"/>
                <w:szCs w:val="20"/>
              </w:rPr>
              <w:t xml:space="preserve"> </w:t>
            </w:r>
            <w:r>
              <w:rPr>
                <w:rFonts w:ascii="Arial Narrow" w:hAnsi="Arial Narrow"/>
                <w:sz w:val="20"/>
                <w:szCs w:val="20"/>
              </w:rPr>
              <w:lastRenderedPageBreak/>
              <w:t>patients;</w:t>
            </w:r>
          </w:p>
          <w:p w:rsidR="00CE3AB1" w:rsidRDefault="00CE3AB1" w:rsidP="007A1EB1">
            <w:pPr>
              <w:pStyle w:val="NoSpacing"/>
              <w:numPr>
                <w:ilvl w:val="0"/>
                <w:numId w:val="67"/>
              </w:numPr>
              <w:ind w:left="360"/>
              <w:jc w:val="left"/>
              <w:rPr>
                <w:rFonts w:ascii="Arial Narrow" w:hAnsi="Arial Narrow"/>
                <w:sz w:val="20"/>
                <w:szCs w:val="20"/>
              </w:rPr>
            </w:pPr>
            <w:r>
              <w:rPr>
                <w:rFonts w:ascii="Arial Narrow" w:hAnsi="Arial Narrow"/>
                <w:sz w:val="20"/>
                <w:szCs w:val="20"/>
              </w:rPr>
              <w:t>The 5 disease state model</w:t>
            </w:r>
            <w:r w:rsidR="0033405C">
              <w:rPr>
                <w:rFonts w:ascii="Arial Narrow" w:hAnsi="Arial Narrow"/>
                <w:sz w:val="20"/>
                <w:szCs w:val="20"/>
              </w:rPr>
              <w:t>;</w:t>
            </w:r>
          </w:p>
          <w:p w:rsidR="00CE3AB1" w:rsidRDefault="00CE3AB1" w:rsidP="007A1EB1">
            <w:pPr>
              <w:pStyle w:val="NoSpacing"/>
              <w:numPr>
                <w:ilvl w:val="0"/>
                <w:numId w:val="67"/>
              </w:numPr>
              <w:ind w:left="360"/>
              <w:jc w:val="left"/>
              <w:rPr>
                <w:rFonts w:ascii="Arial Narrow" w:hAnsi="Arial Narrow"/>
                <w:sz w:val="20"/>
                <w:szCs w:val="20"/>
              </w:rPr>
            </w:pPr>
            <w:r>
              <w:rPr>
                <w:rFonts w:ascii="Arial Narrow" w:hAnsi="Arial Narrow"/>
                <w:sz w:val="20"/>
                <w:szCs w:val="20"/>
              </w:rPr>
              <w:t>The impact of subsequent therapies.</w:t>
            </w:r>
          </w:p>
          <w:p w:rsidR="00D13237" w:rsidRPr="007E0A65" w:rsidRDefault="00CE3AB1" w:rsidP="00CE3AB1">
            <w:pPr>
              <w:pStyle w:val="NoSpacing"/>
              <w:rPr>
                <w:rFonts w:ascii="Arial Narrow" w:hAnsi="Arial Narrow"/>
                <w:sz w:val="20"/>
                <w:szCs w:val="20"/>
              </w:rPr>
            </w:pPr>
            <w:r>
              <w:rPr>
                <w:rFonts w:ascii="Arial Narrow" w:hAnsi="Arial Narrow"/>
                <w:sz w:val="20"/>
                <w:szCs w:val="20"/>
              </w:rPr>
              <w:t>The re-submission presented a se</w:t>
            </w:r>
            <w:r w:rsidR="00D13237">
              <w:rPr>
                <w:rFonts w:ascii="Arial Narrow" w:hAnsi="Arial Narrow"/>
                <w:sz w:val="20"/>
                <w:szCs w:val="20"/>
              </w:rPr>
              <w:t>nsitivity analysis</w:t>
            </w:r>
            <w:r>
              <w:rPr>
                <w:rFonts w:ascii="Arial Narrow" w:hAnsi="Arial Narrow"/>
                <w:sz w:val="20"/>
                <w:szCs w:val="20"/>
              </w:rPr>
              <w:t xml:space="preserve"> which included </w:t>
            </w:r>
            <w:r w:rsidR="00D13237">
              <w:rPr>
                <w:rFonts w:ascii="Arial Narrow" w:hAnsi="Arial Narrow"/>
                <w:sz w:val="20"/>
                <w:szCs w:val="20"/>
              </w:rPr>
              <w:t>rituximab maintenance</w:t>
            </w:r>
            <w:r>
              <w:rPr>
                <w:rFonts w:ascii="Arial Narrow" w:hAnsi="Arial Narrow"/>
                <w:sz w:val="20"/>
                <w:szCs w:val="20"/>
              </w:rPr>
              <w:t xml:space="preserve"> in the R-CHOP patients.</w:t>
            </w:r>
          </w:p>
        </w:tc>
      </w:tr>
      <w:tr w:rsidR="00D13237" w:rsidRPr="00607929" w:rsidTr="00307EF2">
        <w:tc>
          <w:tcPr>
            <w:tcW w:w="1843" w:type="dxa"/>
          </w:tcPr>
          <w:p w:rsidR="00D13237" w:rsidRPr="007E0A65" w:rsidRDefault="00D13237" w:rsidP="008D4E34">
            <w:pPr>
              <w:pStyle w:val="NoSpacing"/>
              <w:rPr>
                <w:rFonts w:ascii="Arial Narrow" w:hAnsi="Arial Narrow"/>
                <w:sz w:val="20"/>
                <w:szCs w:val="20"/>
              </w:rPr>
            </w:pPr>
            <w:r>
              <w:rPr>
                <w:rFonts w:ascii="Arial Narrow" w:hAnsi="Arial Narrow"/>
                <w:sz w:val="20"/>
                <w:szCs w:val="20"/>
              </w:rPr>
              <w:lastRenderedPageBreak/>
              <w:t>Financial estimates</w:t>
            </w:r>
          </w:p>
        </w:tc>
        <w:tc>
          <w:tcPr>
            <w:tcW w:w="3501" w:type="dxa"/>
          </w:tcPr>
          <w:p w:rsidR="00D13237" w:rsidRDefault="00D13237" w:rsidP="008D4E34">
            <w:pPr>
              <w:pStyle w:val="NoSpacing"/>
              <w:rPr>
                <w:rFonts w:ascii="Arial Narrow" w:hAnsi="Arial Narrow"/>
                <w:sz w:val="20"/>
                <w:szCs w:val="20"/>
              </w:rPr>
            </w:pPr>
            <w:r w:rsidRPr="00EC0147">
              <w:rPr>
                <w:rFonts w:ascii="Arial Narrow" w:hAnsi="Arial Narrow"/>
                <w:sz w:val="20"/>
                <w:szCs w:val="20"/>
              </w:rPr>
              <w:t>Rituximab maintenance therapy not included in the economic model.</w:t>
            </w:r>
          </w:p>
          <w:p w:rsidR="00D13237" w:rsidRDefault="00D13237" w:rsidP="008D4E34">
            <w:pPr>
              <w:pStyle w:val="NoSpacing"/>
              <w:rPr>
                <w:rFonts w:ascii="Arial Narrow" w:hAnsi="Arial Narrow"/>
                <w:sz w:val="20"/>
                <w:szCs w:val="20"/>
              </w:rPr>
            </w:pPr>
            <w:r>
              <w:rPr>
                <w:rFonts w:ascii="Arial Narrow" w:hAnsi="Arial Narrow"/>
                <w:sz w:val="20"/>
                <w:szCs w:val="20"/>
              </w:rPr>
              <w:t>Net cost for Government Health budget</w:t>
            </w:r>
            <w:r w:rsidR="00F92E13">
              <w:rPr>
                <w:rFonts w:ascii="Arial Narrow" w:hAnsi="Arial Narrow"/>
                <w:sz w:val="20"/>
                <w:szCs w:val="20"/>
              </w:rPr>
              <w:t xml:space="preserve"> over 5 years was</w:t>
            </w:r>
            <w:r>
              <w:rPr>
                <w:rFonts w:ascii="Arial Narrow" w:hAnsi="Arial Narrow"/>
                <w:sz w:val="20"/>
                <w:szCs w:val="20"/>
              </w:rPr>
              <w:t xml:space="preserve"> $</w:t>
            </w:r>
            <w:r w:rsidR="006309B2">
              <w:rPr>
                <w:rFonts w:ascii="Arial Narrow" w:hAnsi="Arial Narrow"/>
                <w:sz w:val="20"/>
                <w:szCs w:val="20"/>
              </w:rPr>
              <w:t>60 – 100 million</w:t>
            </w:r>
            <w:r>
              <w:rPr>
                <w:rFonts w:ascii="Arial Narrow" w:hAnsi="Arial Narrow"/>
                <w:sz w:val="20"/>
                <w:szCs w:val="20"/>
              </w:rPr>
              <w:t xml:space="preserve"> (excluding rituximab refractory patients, excluding rituximab maintenance</w:t>
            </w:r>
            <w:r w:rsidR="00F92E13">
              <w:rPr>
                <w:rFonts w:ascii="Arial Narrow" w:hAnsi="Arial Narrow"/>
                <w:sz w:val="20"/>
                <w:szCs w:val="20"/>
              </w:rPr>
              <w:t xml:space="preserve"> in R-CHOP arm</w:t>
            </w:r>
            <w:r>
              <w:rPr>
                <w:rFonts w:ascii="Arial Narrow" w:hAnsi="Arial Narrow"/>
                <w:sz w:val="20"/>
                <w:szCs w:val="20"/>
              </w:rPr>
              <w:t>)</w:t>
            </w:r>
          </w:p>
          <w:p w:rsidR="00D13237" w:rsidRDefault="00D13237" w:rsidP="008D4E34">
            <w:pPr>
              <w:pStyle w:val="NoSpacing"/>
              <w:rPr>
                <w:rFonts w:ascii="Arial Narrow" w:hAnsi="Arial Narrow"/>
                <w:sz w:val="20"/>
                <w:szCs w:val="20"/>
              </w:rPr>
            </w:pPr>
          </w:p>
          <w:p w:rsidR="00D13237" w:rsidRPr="007E0A65" w:rsidRDefault="00D13237" w:rsidP="00AA54C7">
            <w:pPr>
              <w:pStyle w:val="NoSpacing"/>
              <w:rPr>
                <w:rFonts w:ascii="Arial Narrow" w:hAnsi="Arial Narrow"/>
                <w:sz w:val="20"/>
                <w:szCs w:val="20"/>
              </w:rPr>
            </w:pPr>
            <w:r w:rsidRPr="00EC0147">
              <w:rPr>
                <w:rFonts w:ascii="Arial Narrow" w:hAnsi="Arial Narrow"/>
                <w:b/>
                <w:sz w:val="20"/>
                <w:szCs w:val="20"/>
              </w:rPr>
              <w:t>PBAC comment</w:t>
            </w:r>
            <w:r>
              <w:rPr>
                <w:rFonts w:ascii="Arial Narrow" w:hAnsi="Arial Narrow"/>
                <w:sz w:val="20"/>
                <w:szCs w:val="20"/>
              </w:rPr>
              <w:t xml:space="preserve"> (</w:t>
            </w:r>
            <w:r w:rsidR="00AA54C7" w:rsidRPr="00AA54C7">
              <w:rPr>
                <w:rFonts w:ascii="Arial Narrow" w:hAnsi="Arial Narrow"/>
                <w:b/>
                <w:sz w:val="20"/>
                <w:szCs w:val="20"/>
              </w:rPr>
              <w:t>paragraph 7.1</w:t>
            </w:r>
            <w:r w:rsidR="00AA54C7">
              <w:rPr>
                <w:rFonts w:ascii="Arial Narrow" w:hAnsi="Arial Narrow"/>
                <w:b/>
                <w:sz w:val="20"/>
                <w:szCs w:val="20"/>
              </w:rPr>
              <w:t>8</w:t>
            </w:r>
            <w:r w:rsidR="00AA54C7" w:rsidRPr="00AA54C7">
              <w:rPr>
                <w:rFonts w:ascii="Arial Narrow" w:hAnsi="Arial Narrow"/>
                <w:b/>
                <w:sz w:val="20"/>
                <w:szCs w:val="20"/>
              </w:rPr>
              <w:t>,</w:t>
            </w:r>
            <w:r w:rsidR="00AA54C7">
              <w:rPr>
                <w:rFonts w:ascii="Arial Narrow" w:hAnsi="Arial Narrow"/>
                <w:sz w:val="20"/>
                <w:szCs w:val="20"/>
              </w:rPr>
              <w:t xml:space="preserve"> </w:t>
            </w:r>
            <w:r w:rsidR="006227B3">
              <w:rPr>
                <w:rFonts w:ascii="Arial Narrow" w:hAnsi="Arial Narrow"/>
                <w:b/>
                <w:sz w:val="20"/>
                <w:szCs w:val="20"/>
              </w:rPr>
              <w:t>March 2015 PSD</w:t>
            </w:r>
            <w:r w:rsidR="00AA54C7" w:rsidRPr="007E0A65">
              <w:rPr>
                <w:rFonts w:ascii="Arial Narrow" w:hAnsi="Arial Narrow"/>
                <w:b/>
                <w:sz w:val="20"/>
                <w:szCs w:val="20"/>
              </w:rPr>
              <w:t>, bendamustine</w:t>
            </w:r>
            <w:r>
              <w:rPr>
                <w:rFonts w:ascii="Arial Narrow" w:hAnsi="Arial Narrow"/>
                <w:b/>
                <w:sz w:val="20"/>
                <w:szCs w:val="20"/>
              </w:rPr>
              <w:t>): “…the PBAC considered that the financial estimates should account for the exclusion of rituximab maintenance therapy following treatment with bendamustine.”</w:t>
            </w:r>
          </w:p>
        </w:tc>
        <w:tc>
          <w:tcPr>
            <w:tcW w:w="3081" w:type="dxa"/>
          </w:tcPr>
          <w:p w:rsidR="00D13237" w:rsidRDefault="00D13237" w:rsidP="008D4E34">
            <w:pPr>
              <w:pStyle w:val="NoSpacing"/>
              <w:rPr>
                <w:rFonts w:ascii="Arial Narrow" w:hAnsi="Arial Narrow"/>
                <w:sz w:val="20"/>
                <w:szCs w:val="20"/>
              </w:rPr>
            </w:pPr>
            <w:r w:rsidRPr="00EC0147">
              <w:rPr>
                <w:rFonts w:ascii="Arial Narrow" w:hAnsi="Arial Narrow"/>
                <w:sz w:val="20"/>
                <w:szCs w:val="20"/>
              </w:rPr>
              <w:t>Sensitivity analysis: R-CHOP + rituximab maintenance</w:t>
            </w:r>
            <w:r>
              <w:rPr>
                <w:rFonts w:ascii="Arial Narrow" w:hAnsi="Arial Narrow"/>
                <w:sz w:val="20"/>
                <w:szCs w:val="20"/>
              </w:rPr>
              <w:t>.</w:t>
            </w:r>
          </w:p>
          <w:p w:rsidR="00D13237" w:rsidRPr="007E0A65" w:rsidRDefault="00D13237" w:rsidP="006309B2">
            <w:pPr>
              <w:pStyle w:val="NoSpacing"/>
              <w:rPr>
                <w:rFonts w:ascii="Arial Narrow" w:hAnsi="Arial Narrow"/>
                <w:sz w:val="20"/>
                <w:szCs w:val="20"/>
              </w:rPr>
            </w:pPr>
            <w:r>
              <w:rPr>
                <w:rFonts w:ascii="Arial Narrow" w:hAnsi="Arial Narrow"/>
                <w:sz w:val="20"/>
                <w:szCs w:val="20"/>
              </w:rPr>
              <w:t xml:space="preserve">Net cost </w:t>
            </w:r>
            <w:r w:rsidRPr="007021AE">
              <w:rPr>
                <w:rFonts w:ascii="Arial Narrow" w:hAnsi="Arial Narrow"/>
                <w:sz w:val="20"/>
                <w:szCs w:val="20"/>
                <w:u w:val="single"/>
              </w:rPr>
              <w:t>saving</w:t>
            </w:r>
            <w:r>
              <w:rPr>
                <w:rFonts w:ascii="Arial Narrow" w:hAnsi="Arial Narrow"/>
                <w:sz w:val="20"/>
                <w:szCs w:val="20"/>
              </w:rPr>
              <w:t xml:space="preserve"> for Government Health budgets</w:t>
            </w:r>
            <w:r w:rsidR="00F92E13">
              <w:rPr>
                <w:rFonts w:ascii="Arial Narrow" w:hAnsi="Arial Narrow"/>
                <w:sz w:val="20"/>
                <w:szCs w:val="20"/>
              </w:rPr>
              <w:t xml:space="preserve"> over 5 years was</w:t>
            </w:r>
            <w:r w:rsidR="006309B2">
              <w:rPr>
                <w:rFonts w:ascii="Arial Narrow" w:hAnsi="Arial Narrow"/>
                <w:sz w:val="20"/>
                <w:szCs w:val="20"/>
              </w:rPr>
              <w:t xml:space="preserve"> under</w:t>
            </w:r>
            <w:r>
              <w:rPr>
                <w:rFonts w:ascii="Arial Narrow" w:hAnsi="Arial Narrow"/>
                <w:sz w:val="20"/>
                <w:szCs w:val="20"/>
              </w:rPr>
              <w:t xml:space="preserve"> $</w:t>
            </w:r>
            <w:r w:rsidR="006309B2">
              <w:rPr>
                <w:rFonts w:ascii="Arial Narrow" w:hAnsi="Arial Narrow"/>
                <w:sz w:val="20"/>
                <w:szCs w:val="20"/>
              </w:rPr>
              <w:t>10 million</w:t>
            </w:r>
            <w:r>
              <w:rPr>
                <w:rFonts w:ascii="Arial Narrow" w:hAnsi="Arial Narrow"/>
                <w:sz w:val="20"/>
                <w:szCs w:val="20"/>
              </w:rPr>
              <w:t xml:space="preserve"> (excluding rituximab refractory patients, including rituximab maintenance</w:t>
            </w:r>
            <w:r w:rsidR="00F92E13">
              <w:rPr>
                <w:rFonts w:ascii="Arial Narrow" w:hAnsi="Arial Narrow"/>
                <w:sz w:val="20"/>
                <w:szCs w:val="20"/>
              </w:rPr>
              <w:t xml:space="preserve"> in R-CHOP arm</w:t>
            </w:r>
            <w:r>
              <w:rPr>
                <w:rFonts w:ascii="Arial Narrow" w:hAnsi="Arial Narrow"/>
                <w:sz w:val="20"/>
                <w:szCs w:val="20"/>
              </w:rPr>
              <w:t>)</w:t>
            </w:r>
          </w:p>
        </w:tc>
      </w:tr>
      <w:tr w:rsidR="00D13237" w:rsidRPr="0044607D" w:rsidTr="00307EF2">
        <w:tc>
          <w:tcPr>
            <w:tcW w:w="1843" w:type="dxa"/>
          </w:tcPr>
          <w:p w:rsidR="00D13237" w:rsidRPr="007E0A65" w:rsidRDefault="00D13237" w:rsidP="008D4E34">
            <w:pPr>
              <w:pStyle w:val="NoSpacing"/>
              <w:rPr>
                <w:rFonts w:ascii="Arial Narrow" w:hAnsi="Arial Narrow"/>
                <w:sz w:val="20"/>
                <w:szCs w:val="20"/>
              </w:rPr>
            </w:pPr>
            <w:r>
              <w:rPr>
                <w:rFonts w:ascii="Arial Narrow" w:hAnsi="Arial Narrow"/>
                <w:sz w:val="20"/>
                <w:szCs w:val="20"/>
              </w:rPr>
              <w:t>PBAC decision</w:t>
            </w:r>
          </w:p>
        </w:tc>
        <w:tc>
          <w:tcPr>
            <w:tcW w:w="3501" w:type="dxa"/>
          </w:tcPr>
          <w:p w:rsidR="00D13237" w:rsidRPr="007E0A65" w:rsidRDefault="00D13237" w:rsidP="008D4E34">
            <w:pPr>
              <w:pStyle w:val="NoSpacing"/>
              <w:rPr>
                <w:rFonts w:ascii="Arial Narrow" w:hAnsi="Arial Narrow"/>
                <w:sz w:val="20"/>
                <w:szCs w:val="20"/>
              </w:rPr>
            </w:pPr>
            <w:r>
              <w:rPr>
                <w:rFonts w:ascii="Arial Narrow" w:hAnsi="Arial Narrow"/>
                <w:sz w:val="20"/>
                <w:szCs w:val="20"/>
              </w:rPr>
              <w:t>Deferred</w:t>
            </w:r>
          </w:p>
        </w:tc>
        <w:tc>
          <w:tcPr>
            <w:tcW w:w="3081" w:type="dxa"/>
          </w:tcPr>
          <w:p w:rsidR="00D13237" w:rsidRPr="007E0A65" w:rsidRDefault="00D13237" w:rsidP="008D4E34">
            <w:pPr>
              <w:pStyle w:val="NoSpacing"/>
              <w:rPr>
                <w:rFonts w:ascii="Arial Narrow" w:hAnsi="Arial Narrow"/>
                <w:sz w:val="20"/>
                <w:szCs w:val="20"/>
              </w:rPr>
            </w:pPr>
          </w:p>
        </w:tc>
      </w:tr>
    </w:tbl>
    <w:p w:rsidR="00BB7EC3" w:rsidRPr="00F92E13" w:rsidRDefault="005C38D1" w:rsidP="00F92E13">
      <w:pPr>
        <w:ind w:left="720"/>
        <w:jc w:val="both"/>
        <w:rPr>
          <w:rFonts w:ascii="Arial Narrow" w:hAnsi="Arial Narrow"/>
          <w:sz w:val="20"/>
          <w:szCs w:val="20"/>
        </w:rPr>
      </w:pPr>
      <w:r w:rsidRPr="00607929">
        <w:rPr>
          <w:rFonts w:ascii="Arial Narrow" w:hAnsi="Arial Narrow"/>
          <w:sz w:val="20"/>
          <w:szCs w:val="20"/>
        </w:rPr>
        <w:t xml:space="preserve">Abbreviations: </w:t>
      </w:r>
      <w:r w:rsidR="00596B74">
        <w:rPr>
          <w:rFonts w:ascii="Arial Narrow" w:hAnsi="Arial Narrow"/>
          <w:sz w:val="20"/>
          <w:szCs w:val="20"/>
        </w:rPr>
        <w:t xml:space="preserve">HR = hazard ratio, B-R = bendamustine+ rituximab, R-CHOP = </w:t>
      </w:r>
      <w:r w:rsidR="00596B74" w:rsidRPr="00596B74">
        <w:rPr>
          <w:rFonts w:ascii="Arial Narrow" w:hAnsi="Arial Narrow"/>
          <w:sz w:val="20"/>
          <w:szCs w:val="20"/>
        </w:rPr>
        <w:t>rituximab, cyclophosphamide, doxorubicin, vincristine and prednisolone</w:t>
      </w:r>
      <w:r w:rsidR="00596B74">
        <w:rPr>
          <w:rFonts w:ascii="Arial Narrow" w:hAnsi="Arial Narrow"/>
          <w:sz w:val="20"/>
          <w:szCs w:val="20"/>
        </w:rPr>
        <w:t>.</w:t>
      </w:r>
    </w:p>
    <w:p w:rsidR="004C6A3B" w:rsidRDefault="004C6A3B" w:rsidP="00AE2115">
      <w:pPr>
        <w:pStyle w:val="Header"/>
        <w:tabs>
          <w:tab w:val="clear" w:pos="4153"/>
          <w:tab w:val="clear" w:pos="8306"/>
        </w:tabs>
        <w:ind w:firstLine="720"/>
        <w:jc w:val="both"/>
        <w:rPr>
          <w:rFonts w:ascii="Arial" w:hAnsi="Arial"/>
          <w:i/>
          <w:sz w:val="22"/>
          <w:szCs w:val="22"/>
          <w:highlight w:val="yellow"/>
        </w:rPr>
      </w:pPr>
    </w:p>
    <w:p w:rsidR="008A1956" w:rsidRDefault="00AE2115" w:rsidP="00AE2115">
      <w:pPr>
        <w:pStyle w:val="Header"/>
        <w:tabs>
          <w:tab w:val="clear" w:pos="4153"/>
          <w:tab w:val="clear" w:pos="8306"/>
        </w:tabs>
        <w:ind w:firstLine="720"/>
        <w:jc w:val="both"/>
        <w:rPr>
          <w:rFonts w:ascii="Arial" w:hAnsi="Arial"/>
          <w:i/>
          <w:sz w:val="22"/>
          <w:szCs w:val="22"/>
        </w:rPr>
      </w:pPr>
      <w:r w:rsidRPr="000A0781">
        <w:rPr>
          <w:rFonts w:ascii="Arial" w:hAnsi="Arial"/>
          <w:i/>
          <w:sz w:val="22"/>
          <w:szCs w:val="22"/>
        </w:rPr>
        <w:t xml:space="preserve">For more detail on PBAC’s view, </w:t>
      </w:r>
      <w:r w:rsidR="0084547B">
        <w:rPr>
          <w:rFonts w:ascii="Arial" w:hAnsi="Arial"/>
          <w:i/>
          <w:sz w:val="22"/>
          <w:szCs w:val="22"/>
        </w:rPr>
        <w:t>see section 7</w:t>
      </w:r>
      <w:r w:rsidRPr="000A0781">
        <w:rPr>
          <w:rFonts w:ascii="Arial" w:hAnsi="Arial"/>
          <w:i/>
          <w:sz w:val="22"/>
          <w:szCs w:val="22"/>
        </w:rPr>
        <w:t xml:space="preserve"> “PBAC outcome”</w:t>
      </w:r>
    </w:p>
    <w:p w:rsidR="0084547B" w:rsidRDefault="0084547B" w:rsidP="00AE2115">
      <w:pPr>
        <w:pStyle w:val="Header"/>
        <w:tabs>
          <w:tab w:val="clear" w:pos="4153"/>
          <w:tab w:val="clear" w:pos="8306"/>
        </w:tabs>
        <w:ind w:firstLine="720"/>
        <w:jc w:val="both"/>
        <w:rPr>
          <w:rFonts w:ascii="Arial" w:hAnsi="Arial"/>
          <w:i/>
          <w:sz w:val="22"/>
          <w:szCs w:val="22"/>
        </w:rPr>
      </w:pPr>
    </w:p>
    <w:p w:rsidR="00AC169B" w:rsidRDefault="00AC169B" w:rsidP="00AE2115">
      <w:pPr>
        <w:pStyle w:val="Header"/>
        <w:tabs>
          <w:tab w:val="clear" w:pos="4153"/>
          <w:tab w:val="clear" w:pos="8306"/>
        </w:tabs>
        <w:ind w:firstLine="720"/>
        <w:jc w:val="both"/>
        <w:rPr>
          <w:rFonts w:ascii="Arial" w:hAnsi="Arial"/>
          <w:i/>
          <w:sz w:val="22"/>
          <w:szCs w:val="22"/>
        </w:rPr>
      </w:pPr>
    </w:p>
    <w:p w:rsidR="0084547B" w:rsidRPr="0084547B" w:rsidRDefault="0084547B" w:rsidP="0084547B">
      <w:pPr>
        <w:pStyle w:val="PBACHeading1"/>
        <w:numPr>
          <w:ilvl w:val="0"/>
          <w:numId w:val="25"/>
        </w:numPr>
      </w:pPr>
      <w:bookmarkStart w:id="0" w:name="_Toc409442438"/>
      <w:r w:rsidRPr="0084547B">
        <w:t>Clinical place for the proposed therapy</w:t>
      </w:r>
      <w:bookmarkEnd w:id="0"/>
    </w:p>
    <w:p w:rsidR="0084547B" w:rsidRPr="0084547B" w:rsidRDefault="0084547B" w:rsidP="0084547B">
      <w:pPr>
        <w:rPr>
          <w:rFonts w:ascii="Arial" w:hAnsi="Arial" w:cs="Arial"/>
          <w:sz w:val="22"/>
          <w:szCs w:val="22"/>
        </w:rPr>
      </w:pPr>
    </w:p>
    <w:p w:rsidR="0084547B" w:rsidRPr="0084547B" w:rsidRDefault="0084547B" w:rsidP="0084547B">
      <w:pPr>
        <w:pStyle w:val="ListParagraph"/>
        <w:numPr>
          <w:ilvl w:val="1"/>
          <w:numId w:val="25"/>
        </w:numPr>
        <w:jc w:val="both"/>
        <w:rPr>
          <w:rFonts w:ascii="Arial" w:hAnsi="Arial" w:cs="Arial"/>
          <w:sz w:val="22"/>
          <w:szCs w:val="22"/>
        </w:rPr>
      </w:pPr>
      <w:r w:rsidRPr="0084547B">
        <w:rPr>
          <w:rFonts w:ascii="Arial" w:hAnsi="Arial" w:cs="Arial"/>
          <w:sz w:val="22"/>
          <w:szCs w:val="22"/>
        </w:rPr>
        <w:t xml:space="preserve">The submission proposed a change to the clinical management algorithm as follows: use of bendamustine plus rituximab as a first-line treatment in </w:t>
      </w:r>
      <w:proofErr w:type="spellStart"/>
      <w:r w:rsidRPr="0084547B">
        <w:rPr>
          <w:rFonts w:ascii="Arial" w:hAnsi="Arial" w:cs="Arial"/>
          <w:sz w:val="22"/>
          <w:szCs w:val="22"/>
        </w:rPr>
        <w:t>iNHL</w:t>
      </w:r>
      <w:proofErr w:type="spellEnd"/>
      <w:r w:rsidRPr="0084547B">
        <w:rPr>
          <w:rFonts w:ascii="Arial" w:hAnsi="Arial" w:cs="Arial"/>
          <w:sz w:val="22"/>
          <w:szCs w:val="22"/>
        </w:rPr>
        <w:t xml:space="preserve"> and MCL</w:t>
      </w:r>
      <w:r w:rsidR="00CC0585">
        <w:rPr>
          <w:rFonts w:ascii="Arial" w:hAnsi="Arial" w:cs="Arial"/>
          <w:sz w:val="22"/>
          <w:szCs w:val="22"/>
        </w:rPr>
        <w:t>.</w:t>
      </w:r>
    </w:p>
    <w:p w:rsidR="00AE2115" w:rsidRDefault="00AE2115" w:rsidP="00AE2115">
      <w:pPr>
        <w:pStyle w:val="Header"/>
        <w:tabs>
          <w:tab w:val="clear" w:pos="4153"/>
          <w:tab w:val="clear" w:pos="8306"/>
        </w:tabs>
        <w:ind w:firstLine="720"/>
        <w:jc w:val="both"/>
        <w:rPr>
          <w:rFonts w:ascii="Arial" w:hAnsi="Arial"/>
          <w:sz w:val="22"/>
          <w:szCs w:val="22"/>
        </w:rPr>
      </w:pPr>
    </w:p>
    <w:p w:rsidR="00AC169B" w:rsidRPr="00882085" w:rsidRDefault="00AC169B" w:rsidP="00AE2115">
      <w:pPr>
        <w:pStyle w:val="Header"/>
        <w:tabs>
          <w:tab w:val="clear" w:pos="4153"/>
          <w:tab w:val="clear" w:pos="8306"/>
        </w:tabs>
        <w:ind w:firstLine="720"/>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8A1956" w:rsidRPr="00A26724" w:rsidRDefault="00476245" w:rsidP="00476245">
      <w:pPr>
        <w:pStyle w:val="ListParagraph"/>
        <w:numPr>
          <w:ilvl w:val="1"/>
          <w:numId w:val="25"/>
        </w:numPr>
        <w:jc w:val="both"/>
        <w:rPr>
          <w:rFonts w:ascii="Arial" w:hAnsi="Arial"/>
          <w:sz w:val="22"/>
          <w:szCs w:val="22"/>
        </w:rPr>
      </w:pPr>
      <w:r w:rsidRPr="00A26724">
        <w:rPr>
          <w:rFonts w:ascii="Arial" w:hAnsi="Arial"/>
          <w:sz w:val="22"/>
          <w:szCs w:val="22"/>
        </w:rPr>
        <w:t xml:space="preserve">The previous major submission considered by the PBAC in </w:t>
      </w:r>
      <w:r w:rsidR="008C6F99" w:rsidRPr="00A26724">
        <w:rPr>
          <w:rFonts w:ascii="Arial" w:hAnsi="Arial"/>
          <w:sz w:val="22"/>
          <w:szCs w:val="22"/>
        </w:rPr>
        <w:t>March 2015</w:t>
      </w:r>
      <w:r w:rsidRPr="00A26724">
        <w:rPr>
          <w:rFonts w:ascii="Arial" w:hAnsi="Arial"/>
          <w:sz w:val="22"/>
          <w:szCs w:val="22"/>
        </w:rPr>
        <w:t xml:space="preserve"> nominated </w:t>
      </w:r>
      <w:r w:rsidR="008C6F99" w:rsidRPr="00A26724">
        <w:rPr>
          <w:rFonts w:ascii="Arial" w:hAnsi="Arial"/>
          <w:sz w:val="22"/>
          <w:szCs w:val="22"/>
        </w:rPr>
        <w:t>R-CHOP</w:t>
      </w:r>
      <w:r w:rsidR="007D0281" w:rsidRPr="00A26724">
        <w:rPr>
          <w:rFonts w:ascii="Arial" w:hAnsi="Arial"/>
          <w:sz w:val="22"/>
          <w:szCs w:val="22"/>
        </w:rPr>
        <w:t xml:space="preserve"> as the comparator</w:t>
      </w:r>
      <w:r w:rsidR="008C6F99" w:rsidRPr="00A26724">
        <w:rPr>
          <w:rFonts w:ascii="Arial" w:hAnsi="Arial"/>
          <w:sz w:val="22"/>
          <w:szCs w:val="22"/>
        </w:rPr>
        <w:t xml:space="preserve">. </w:t>
      </w:r>
      <w:r w:rsidR="006B3BCE" w:rsidRPr="00A26724">
        <w:rPr>
          <w:rFonts w:ascii="Arial" w:hAnsi="Arial"/>
          <w:sz w:val="22"/>
          <w:szCs w:val="22"/>
        </w:rPr>
        <w:t xml:space="preserve">The PBAC </w:t>
      </w:r>
      <w:r w:rsidR="008B19B7" w:rsidRPr="00A26724">
        <w:rPr>
          <w:rFonts w:ascii="Arial" w:hAnsi="Arial"/>
          <w:sz w:val="22"/>
          <w:szCs w:val="22"/>
        </w:rPr>
        <w:t xml:space="preserve">had </w:t>
      </w:r>
      <w:r w:rsidR="006B3BCE" w:rsidRPr="00A26724">
        <w:rPr>
          <w:rFonts w:ascii="Arial" w:hAnsi="Arial"/>
          <w:sz w:val="22"/>
          <w:szCs w:val="22"/>
        </w:rPr>
        <w:t xml:space="preserve">considered the nominated comparator to be appropriate in the </w:t>
      </w:r>
      <w:proofErr w:type="spellStart"/>
      <w:r w:rsidR="006B3BCE" w:rsidRPr="00A26724">
        <w:rPr>
          <w:rFonts w:ascii="Arial" w:hAnsi="Arial"/>
          <w:sz w:val="22"/>
          <w:szCs w:val="22"/>
        </w:rPr>
        <w:t>iNHL</w:t>
      </w:r>
      <w:proofErr w:type="spellEnd"/>
      <w:r w:rsidR="006B3BCE" w:rsidRPr="00A26724">
        <w:rPr>
          <w:rFonts w:ascii="Arial" w:hAnsi="Arial"/>
          <w:sz w:val="22"/>
          <w:szCs w:val="22"/>
        </w:rPr>
        <w:t xml:space="preserve"> and MCL patient populations (</w:t>
      </w:r>
      <w:r w:rsidR="00E152B1" w:rsidRPr="00A26724">
        <w:rPr>
          <w:rFonts w:ascii="Arial" w:hAnsi="Arial"/>
          <w:sz w:val="22"/>
          <w:szCs w:val="22"/>
        </w:rPr>
        <w:t>paragraph</w:t>
      </w:r>
      <w:r w:rsidR="009B1DDF" w:rsidRPr="00A26724">
        <w:rPr>
          <w:rFonts w:ascii="Arial" w:hAnsi="Arial"/>
          <w:sz w:val="22"/>
          <w:szCs w:val="22"/>
        </w:rPr>
        <w:t xml:space="preserve"> </w:t>
      </w:r>
      <w:r w:rsidR="006B3BCE" w:rsidRPr="00A26724">
        <w:rPr>
          <w:rFonts w:ascii="Arial" w:hAnsi="Arial"/>
          <w:sz w:val="22"/>
          <w:szCs w:val="22"/>
        </w:rPr>
        <w:t>7.2</w:t>
      </w:r>
      <w:r w:rsidR="007B557A" w:rsidRPr="00A26724">
        <w:rPr>
          <w:rFonts w:ascii="Arial" w:hAnsi="Arial"/>
          <w:sz w:val="22"/>
          <w:szCs w:val="22"/>
        </w:rPr>
        <w:t>,</w:t>
      </w:r>
      <w:r w:rsidR="006B3BCE" w:rsidRPr="00A26724">
        <w:rPr>
          <w:rFonts w:ascii="Arial" w:hAnsi="Arial"/>
          <w:sz w:val="22"/>
          <w:szCs w:val="22"/>
        </w:rPr>
        <w:t xml:space="preserve"> </w:t>
      </w:r>
      <w:r w:rsidR="006227B3" w:rsidRPr="00A26724">
        <w:rPr>
          <w:rFonts w:ascii="Arial" w:hAnsi="Arial"/>
          <w:sz w:val="22"/>
          <w:szCs w:val="22"/>
        </w:rPr>
        <w:t>March 2015 PSD</w:t>
      </w:r>
      <w:r w:rsidR="00D45E21" w:rsidRPr="00A26724">
        <w:rPr>
          <w:rFonts w:ascii="Arial" w:hAnsi="Arial"/>
          <w:sz w:val="22"/>
          <w:szCs w:val="22"/>
        </w:rPr>
        <w:t>, bendamustine</w:t>
      </w:r>
      <w:r w:rsidR="007C0A65" w:rsidRPr="00A26724">
        <w:rPr>
          <w:rFonts w:ascii="Arial" w:hAnsi="Arial"/>
          <w:sz w:val="22"/>
          <w:szCs w:val="22"/>
        </w:rPr>
        <w:t>)</w:t>
      </w:r>
      <w:r w:rsidR="006B3BCE" w:rsidRPr="00A26724">
        <w:rPr>
          <w:rFonts w:ascii="Arial" w:hAnsi="Arial"/>
          <w:sz w:val="22"/>
          <w:szCs w:val="22"/>
        </w:rPr>
        <w:t xml:space="preserve">. </w:t>
      </w:r>
      <w:r w:rsidR="008C6F99" w:rsidRPr="00A26724">
        <w:rPr>
          <w:rFonts w:ascii="Arial" w:hAnsi="Arial"/>
          <w:sz w:val="22"/>
          <w:szCs w:val="22"/>
        </w:rPr>
        <w:t>Th</w:t>
      </w:r>
      <w:r w:rsidR="006B3BCE" w:rsidRPr="00A26724">
        <w:rPr>
          <w:rFonts w:ascii="Arial" w:hAnsi="Arial"/>
          <w:sz w:val="22"/>
          <w:szCs w:val="22"/>
        </w:rPr>
        <w:t>e nomination of R-CHOP</w:t>
      </w:r>
      <w:r w:rsidR="00DF69C2" w:rsidRPr="00A26724">
        <w:rPr>
          <w:rFonts w:ascii="Arial" w:hAnsi="Arial"/>
          <w:sz w:val="22"/>
          <w:szCs w:val="22"/>
        </w:rPr>
        <w:t xml:space="preserve"> (rituximab, cyclophosphamide, </w:t>
      </w:r>
      <w:r w:rsidR="00DF69C2" w:rsidRPr="00A26724">
        <w:rPr>
          <w:rFonts w:ascii="Arial" w:hAnsi="Arial"/>
          <w:sz w:val="22"/>
          <w:szCs w:val="22"/>
        </w:rPr>
        <w:lastRenderedPageBreak/>
        <w:t>doxorubicin, vincristine and prednisolone)</w:t>
      </w:r>
      <w:r w:rsidR="006B3BCE" w:rsidRPr="00A26724">
        <w:rPr>
          <w:rFonts w:ascii="Arial" w:hAnsi="Arial"/>
          <w:sz w:val="22"/>
          <w:szCs w:val="22"/>
        </w:rPr>
        <w:t xml:space="preserve"> as the comparator </w:t>
      </w:r>
      <w:r w:rsidR="007C0A65" w:rsidRPr="00A26724">
        <w:rPr>
          <w:rFonts w:ascii="Arial" w:hAnsi="Arial"/>
          <w:sz w:val="22"/>
          <w:szCs w:val="22"/>
        </w:rPr>
        <w:t xml:space="preserve">in the minor submission </w:t>
      </w:r>
      <w:r w:rsidR="006B3BCE" w:rsidRPr="00A26724">
        <w:rPr>
          <w:rFonts w:ascii="Arial" w:hAnsi="Arial"/>
          <w:sz w:val="22"/>
          <w:szCs w:val="22"/>
        </w:rPr>
        <w:t>remained</w:t>
      </w:r>
      <w:r w:rsidR="008C6F99" w:rsidRPr="00A26724">
        <w:rPr>
          <w:rFonts w:ascii="Arial" w:hAnsi="Arial"/>
          <w:sz w:val="22"/>
          <w:szCs w:val="22"/>
        </w:rPr>
        <w:t xml:space="preserve"> unchanged</w:t>
      </w:r>
      <w:r w:rsidRPr="00A26724">
        <w:rPr>
          <w:rFonts w:ascii="Arial" w:hAnsi="Arial"/>
          <w:sz w:val="22"/>
          <w:szCs w:val="22"/>
        </w:rPr>
        <w:t>.</w:t>
      </w:r>
    </w:p>
    <w:p w:rsidR="00E251C8" w:rsidRDefault="00E251C8" w:rsidP="00476245">
      <w:pPr>
        <w:jc w:val="both"/>
        <w:rPr>
          <w:rFonts w:ascii="Arial" w:hAnsi="Arial"/>
          <w:sz w:val="22"/>
          <w:szCs w:val="22"/>
        </w:rPr>
      </w:pPr>
    </w:p>
    <w:p w:rsidR="000B558D" w:rsidRPr="00882085" w:rsidRDefault="008D7A41" w:rsidP="00D84934">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D84934">
        <w:rPr>
          <w:rFonts w:ascii="Arial" w:hAnsi="Arial"/>
          <w:b/>
          <w:sz w:val="22"/>
          <w:szCs w:val="22"/>
        </w:rPr>
        <w:t>onsideration of the evidence</w:t>
      </w:r>
    </w:p>
    <w:p w:rsidR="00BB7EC3" w:rsidRDefault="00BB7EC3" w:rsidP="00F9629A">
      <w:pPr>
        <w:jc w:val="both"/>
        <w:rPr>
          <w:rFonts w:ascii="Arial" w:hAnsi="Arial"/>
          <w:sz w:val="22"/>
          <w:szCs w:val="22"/>
        </w:rPr>
      </w:pPr>
    </w:p>
    <w:p w:rsidR="00AE2115" w:rsidRPr="00AE2115" w:rsidRDefault="00AE2115" w:rsidP="00AE2115">
      <w:pPr>
        <w:widowControl w:val="0"/>
        <w:spacing w:after="200" w:line="276" w:lineRule="auto"/>
        <w:jc w:val="both"/>
        <w:rPr>
          <w:rFonts w:ascii="Arial" w:hAnsi="Arial" w:cs="Arial"/>
          <w:b/>
          <w:bCs/>
          <w:i/>
          <w:snapToGrid w:val="0"/>
          <w:sz w:val="22"/>
          <w:szCs w:val="22"/>
        </w:rPr>
      </w:pPr>
      <w:r w:rsidRPr="00AE2115">
        <w:rPr>
          <w:rFonts w:ascii="Arial" w:hAnsi="Arial" w:cs="Arial"/>
          <w:b/>
          <w:bCs/>
          <w:i/>
          <w:snapToGrid w:val="0"/>
          <w:sz w:val="22"/>
          <w:szCs w:val="22"/>
        </w:rPr>
        <w:t>Sponsor hearing</w:t>
      </w:r>
    </w:p>
    <w:p w:rsidR="00AE2115" w:rsidRPr="00AE2115" w:rsidRDefault="00AE2115" w:rsidP="00AE2115">
      <w:pPr>
        <w:widowControl w:val="0"/>
        <w:numPr>
          <w:ilvl w:val="1"/>
          <w:numId w:val="25"/>
        </w:numPr>
        <w:contextualSpacing/>
        <w:jc w:val="both"/>
        <w:rPr>
          <w:rFonts w:ascii="Arial" w:hAnsi="Arial" w:cs="Arial"/>
          <w:bCs/>
          <w:snapToGrid w:val="0"/>
          <w:sz w:val="22"/>
          <w:szCs w:val="22"/>
        </w:rPr>
      </w:pPr>
      <w:r w:rsidRPr="00AE2115">
        <w:rPr>
          <w:rFonts w:ascii="Arial" w:hAnsi="Arial" w:cs="Arial"/>
          <w:bCs/>
          <w:snapToGrid w:val="0"/>
          <w:sz w:val="22"/>
          <w:szCs w:val="22"/>
        </w:rPr>
        <w:t>There was no hearing for this item as it was a minor submission.</w:t>
      </w:r>
    </w:p>
    <w:p w:rsidR="00AE2115" w:rsidRPr="003A49F2" w:rsidRDefault="00AE2115" w:rsidP="00AE2115">
      <w:pPr>
        <w:jc w:val="both"/>
        <w:rPr>
          <w:rFonts w:ascii="Arial" w:hAnsi="Arial" w:cs="Arial"/>
          <w:bCs/>
          <w:snapToGrid w:val="0"/>
          <w:sz w:val="22"/>
          <w:szCs w:val="22"/>
          <w:highlight w:val="yellow"/>
        </w:rPr>
      </w:pPr>
    </w:p>
    <w:p w:rsidR="00AE2115" w:rsidRPr="00D5006C" w:rsidRDefault="00AE2115" w:rsidP="00AE2115">
      <w:pPr>
        <w:widowControl w:val="0"/>
        <w:spacing w:after="200" w:line="276" w:lineRule="auto"/>
        <w:jc w:val="both"/>
        <w:rPr>
          <w:rFonts w:ascii="Arial" w:hAnsi="Arial" w:cs="Arial"/>
          <w:b/>
          <w:bCs/>
          <w:i/>
          <w:snapToGrid w:val="0"/>
          <w:sz w:val="22"/>
          <w:szCs w:val="22"/>
        </w:rPr>
      </w:pPr>
      <w:r w:rsidRPr="00D5006C">
        <w:rPr>
          <w:rFonts w:ascii="Arial" w:hAnsi="Arial" w:cs="Arial"/>
          <w:b/>
          <w:bCs/>
          <w:i/>
          <w:snapToGrid w:val="0"/>
          <w:sz w:val="22"/>
          <w:szCs w:val="22"/>
        </w:rPr>
        <w:t>Consumer comments</w:t>
      </w:r>
    </w:p>
    <w:p w:rsidR="008417BE" w:rsidRPr="00D5006C" w:rsidRDefault="008417BE" w:rsidP="009F5112">
      <w:pPr>
        <w:widowControl w:val="0"/>
        <w:numPr>
          <w:ilvl w:val="1"/>
          <w:numId w:val="25"/>
        </w:numPr>
        <w:contextualSpacing/>
        <w:jc w:val="both"/>
        <w:rPr>
          <w:rFonts w:ascii="Arial" w:hAnsi="Arial" w:cs="Arial"/>
          <w:bCs/>
          <w:snapToGrid w:val="0"/>
          <w:sz w:val="22"/>
          <w:szCs w:val="22"/>
        </w:rPr>
      </w:pPr>
      <w:r w:rsidRPr="00D5006C">
        <w:rPr>
          <w:rFonts w:ascii="Arial" w:hAnsi="Arial" w:cs="Arial"/>
          <w:bCs/>
          <w:snapToGrid w:val="0"/>
          <w:sz w:val="22"/>
          <w:szCs w:val="22"/>
        </w:rPr>
        <w:t>The PBAC noted and welcomed the input from individuals (2), health care professionals (2) and organisations (1) via the Consumer Comments facility on the PBS website.  The comments described a range of benefits of treatment with bendamustine, including improved quality of life and survival, in addition to a reduction in adverse events compared with alternative, more toxic, treatments.</w:t>
      </w:r>
    </w:p>
    <w:p w:rsidR="00AE2115" w:rsidRPr="00D5006C" w:rsidRDefault="00AE2115" w:rsidP="00D84934">
      <w:pPr>
        <w:jc w:val="both"/>
        <w:rPr>
          <w:rFonts w:ascii="Arial" w:hAnsi="Arial"/>
          <w:b/>
          <w:i/>
          <w:sz w:val="22"/>
          <w:szCs w:val="22"/>
        </w:rPr>
      </w:pPr>
    </w:p>
    <w:p w:rsidR="00D84934" w:rsidRPr="00D5006C" w:rsidRDefault="00D84934" w:rsidP="00D84934">
      <w:pPr>
        <w:jc w:val="both"/>
        <w:rPr>
          <w:rFonts w:ascii="Arial" w:hAnsi="Arial"/>
          <w:b/>
          <w:i/>
          <w:sz w:val="22"/>
          <w:szCs w:val="22"/>
        </w:rPr>
      </w:pPr>
      <w:r w:rsidRPr="00D5006C">
        <w:rPr>
          <w:rFonts w:ascii="Arial" w:hAnsi="Arial"/>
          <w:b/>
          <w:i/>
          <w:sz w:val="22"/>
          <w:szCs w:val="22"/>
        </w:rPr>
        <w:t>Clinical trials</w:t>
      </w:r>
    </w:p>
    <w:p w:rsidR="00D84934" w:rsidRPr="00D5006C" w:rsidRDefault="00D84934" w:rsidP="00F9629A">
      <w:pPr>
        <w:jc w:val="both"/>
        <w:rPr>
          <w:rFonts w:ascii="Arial" w:hAnsi="Arial"/>
          <w:sz w:val="22"/>
          <w:szCs w:val="22"/>
        </w:rPr>
      </w:pPr>
    </w:p>
    <w:p w:rsidR="0076420C" w:rsidRPr="00D5006C" w:rsidRDefault="00413B95" w:rsidP="009F5112">
      <w:pPr>
        <w:pStyle w:val="ListParagraph"/>
        <w:numPr>
          <w:ilvl w:val="1"/>
          <w:numId w:val="25"/>
        </w:numPr>
        <w:jc w:val="both"/>
        <w:rPr>
          <w:rFonts w:ascii="Arial" w:hAnsi="Arial"/>
          <w:sz w:val="22"/>
          <w:szCs w:val="22"/>
        </w:rPr>
      </w:pPr>
      <w:r w:rsidRPr="00D5006C">
        <w:rPr>
          <w:rFonts w:ascii="Arial" w:hAnsi="Arial"/>
          <w:sz w:val="22"/>
          <w:szCs w:val="22"/>
        </w:rPr>
        <w:t>N</w:t>
      </w:r>
      <w:r w:rsidR="008C6F99" w:rsidRPr="00D5006C">
        <w:rPr>
          <w:rFonts w:ascii="Arial" w:hAnsi="Arial"/>
          <w:sz w:val="22"/>
          <w:szCs w:val="22"/>
        </w:rPr>
        <w:t xml:space="preserve">o new </w:t>
      </w:r>
      <w:r w:rsidR="0076420C" w:rsidRPr="00D5006C">
        <w:rPr>
          <w:rFonts w:ascii="Arial" w:hAnsi="Arial"/>
          <w:sz w:val="22"/>
          <w:szCs w:val="22"/>
        </w:rPr>
        <w:t>clinic</w:t>
      </w:r>
      <w:r w:rsidR="008C6F99" w:rsidRPr="00D5006C">
        <w:rPr>
          <w:rFonts w:ascii="Arial" w:hAnsi="Arial"/>
          <w:sz w:val="22"/>
          <w:szCs w:val="22"/>
        </w:rPr>
        <w:t xml:space="preserve">al trials </w:t>
      </w:r>
      <w:r w:rsidR="000B0D4C" w:rsidRPr="00D5006C">
        <w:rPr>
          <w:rFonts w:ascii="Arial" w:hAnsi="Arial"/>
          <w:sz w:val="22"/>
          <w:szCs w:val="22"/>
        </w:rPr>
        <w:t>were</w:t>
      </w:r>
      <w:r w:rsidR="008C6F99" w:rsidRPr="00D5006C">
        <w:rPr>
          <w:rFonts w:ascii="Arial" w:hAnsi="Arial"/>
          <w:sz w:val="22"/>
          <w:szCs w:val="22"/>
        </w:rPr>
        <w:t xml:space="preserve"> presented in the re</w:t>
      </w:r>
      <w:r w:rsidR="0076420C" w:rsidRPr="00D5006C">
        <w:rPr>
          <w:rFonts w:ascii="Arial" w:hAnsi="Arial"/>
          <w:sz w:val="22"/>
          <w:szCs w:val="22"/>
        </w:rPr>
        <w:t>-submission.</w:t>
      </w:r>
      <w:r w:rsidR="008C6F99" w:rsidRPr="00D5006C">
        <w:rPr>
          <w:rFonts w:ascii="Arial" w:hAnsi="Arial"/>
          <w:sz w:val="22"/>
          <w:szCs w:val="22"/>
        </w:rPr>
        <w:t xml:space="preserve"> However, updated data from the previously presented </w:t>
      </w:r>
      <w:proofErr w:type="spellStart"/>
      <w:r w:rsidR="008C6F99" w:rsidRPr="00D5006C">
        <w:rPr>
          <w:rFonts w:ascii="Arial" w:hAnsi="Arial"/>
          <w:sz w:val="22"/>
          <w:szCs w:val="22"/>
        </w:rPr>
        <w:t>StiL</w:t>
      </w:r>
      <w:proofErr w:type="spellEnd"/>
      <w:r w:rsidR="008C6F99" w:rsidRPr="00D5006C">
        <w:rPr>
          <w:rFonts w:ascii="Arial" w:hAnsi="Arial"/>
          <w:sz w:val="22"/>
          <w:szCs w:val="22"/>
        </w:rPr>
        <w:t xml:space="preserve"> trial was </w:t>
      </w:r>
      <w:r w:rsidR="007C0A65" w:rsidRPr="00D5006C">
        <w:rPr>
          <w:rFonts w:ascii="Arial" w:hAnsi="Arial"/>
          <w:sz w:val="22"/>
          <w:szCs w:val="22"/>
        </w:rPr>
        <w:t>presented</w:t>
      </w:r>
      <w:r w:rsidR="007C0A65" w:rsidRPr="00D5006C">
        <w:t xml:space="preserve">. </w:t>
      </w:r>
      <w:r w:rsidR="006D34B6" w:rsidRPr="00D5006C">
        <w:rPr>
          <w:rFonts w:ascii="Arial" w:hAnsi="Arial"/>
          <w:sz w:val="22"/>
          <w:szCs w:val="22"/>
        </w:rPr>
        <w:t>There was no update from the BRIGH</w:t>
      </w:r>
      <w:r w:rsidR="008D4E34" w:rsidRPr="00D5006C">
        <w:rPr>
          <w:rFonts w:ascii="Arial" w:hAnsi="Arial"/>
          <w:sz w:val="22"/>
          <w:szCs w:val="22"/>
        </w:rPr>
        <w:t>T</w:t>
      </w:r>
      <w:r w:rsidR="006D34B6" w:rsidRPr="00D5006C">
        <w:rPr>
          <w:rFonts w:ascii="Arial" w:hAnsi="Arial"/>
          <w:sz w:val="22"/>
          <w:szCs w:val="22"/>
        </w:rPr>
        <w:t xml:space="preserve"> study</w:t>
      </w:r>
      <w:r w:rsidR="000B0D4C" w:rsidRPr="00D5006C">
        <w:rPr>
          <w:rFonts w:ascii="Arial" w:hAnsi="Arial"/>
          <w:sz w:val="22"/>
          <w:szCs w:val="22"/>
        </w:rPr>
        <w:t xml:space="preserve">. </w:t>
      </w:r>
    </w:p>
    <w:p w:rsidR="007C0A65" w:rsidRPr="008E6046" w:rsidRDefault="007C0A65" w:rsidP="008E6046">
      <w:pPr>
        <w:pStyle w:val="ListParagraph"/>
        <w:jc w:val="both"/>
        <w:rPr>
          <w:rFonts w:ascii="Arial" w:hAnsi="Arial"/>
          <w:sz w:val="22"/>
          <w:szCs w:val="22"/>
        </w:rPr>
      </w:pPr>
    </w:p>
    <w:p w:rsidR="009F4E46" w:rsidRPr="008E6046" w:rsidRDefault="009F4E46" w:rsidP="008E6046">
      <w:pPr>
        <w:pStyle w:val="ListParagraph"/>
        <w:numPr>
          <w:ilvl w:val="1"/>
          <w:numId w:val="25"/>
        </w:numPr>
        <w:jc w:val="both"/>
        <w:rPr>
          <w:rFonts w:ascii="Arial" w:hAnsi="Arial"/>
          <w:sz w:val="22"/>
          <w:szCs w:val="22"/>
        </w:rPr>
      </w:pPr>
      <w:r w:rsidRPr="008E6046">
        <w:rPr>
          <w:rFonts w:ascii="Arial" w:hAnsi="Arial"/>
          <w:sz w:val="22"/>
          <w:szCs w:val="22"/>
        </w:rPr>
        <w:t>The minor submission presented the following clinical trials:</w:t>
      </w:r>
    </w:p>
    <w:p w:rsidR="0033405C" w:rsidRDefault="0033405C">
      <w:pPr>
        <w:rPr>
          <w:rFonts w:ascii="Arial Narrow" w:hAnsi="Arial Narrow"/>
          <w:b/>
          <w:sz w:val="20"/>
          <w:szCs w:val="22"/>
        </w:rPr>
      </w:pPr>
    </w:p>
    <w:p w:rsidR="0076420C" w:rsidRPr="00D84934" w:rsidRDefault="00251125" w:rsidP="00D84934">
      <w:pPr>
        <w:pStyle w:val="NoSpacing"/>
        <w:ind w:left="709"/>
        <w:rPr>
          <w:rFonts w:ascii="Arial Narrow" w:hAnsi="Arial Narrow"/>
          <w:b/>
          <w:sz w:val="20"/>
        </w:rPr>
      </w:pPr>
      <w:proofErr w:type="gramStart"/>
      <w:r>
        <w:rPr>
          <w:rFonts w:ascii="Arial Narrow" w:hAnsi="Arial Narrow"/>
          <w:b/>
          <w:sz w:val="20"/>
        </w:rPr>
        <w:t>Table 2.</w:t>
      </w:r>
      <w:proofErr w:type="gramEnd"/>
      <w:r>
        <w:rPr>
          <w:rFonts w:ascii="Arial Narrow" w:hAnsi="Arial Narrow"/>
          <w:b/>
          <w:sz w:val="20"/>
        </w:rPr>
        <w:t xml:space="preserve"> </w:t>
      </w:r>
      <w:r w:rsidR="0076420C" w:rsidRPr="00D84934">
        <w:rPr>
          <w:rFonts w:ascii="Arial Narrow" w:hAnsi="Arial Narrow"/>
          <w:b/>
          <w:sz w:val="20"/>
        </w:rPr>
        <w:t>Trials and associated reports presented in the re-submission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76420C" w:rsidRPr="005838CB" w:rsidTr="00C27B58">
        <w:trPr>
          <w:cantSplit/>
          <w:tblHeader/>
        </w:trPr>
        <w:tc>
          <w:tcPr>
            <w:tcW w:w="1701" w:type="dxa"/>
          </w:tcPr>
          <w:p w:rsidR="0076420C" w:rsidRPr="005838CB" w:rsidRDefault="0076420C" w:rsidP="00D84934">
            <w:pPr>
              <w:pStyle w:val="NoSpacing"/>
              <w:rPr>
                <w:rFonts w:ascii="Arial Narrow" w:hAnsi="Arial Narrow"/>
                <w:b/>
                <w:sz w:val="20"/>
              </w:rPr>
            </w:pPr>
            <w:r w:rsidRPr="005838CB">
              <w:rPr>
                <w:rFonts w:ascii="Arial Narrow" w:hAnsi="Arial Narrow"/>
                <w:b/>
                <w:sz w:val="20"/>
              </w:rPr>
              <w:t>Trial ID</w:t>
            </w:r>
          </w:p>
        </w:tc>
        <w:tc>
          <w:tcPr>
            <w:tcW w:w="4820" w:type="dxa"/>
          </w:tcPr>
          <w:p w:rsidR="0076420C" w:rsidRPr="005838CB" w:rsidRDefault="0076420C" w:rsidP="0062748A">
            <w:pPr>
              <w:keepNext/>
              <w:jc w:val="center"/>
              <w:rPr>
                <w:rFonts w:ascii="Arial Narrow" w:hAnsi="Arial Narrow"/>
                <w:b/>
                <w:sz w:val="20"/>
              </w:rPr>
            </w:pPr>
            <w:r w:rsidRPr="005838CB">
              <w:rPr>
                <w:rFonts w:ascii="Arial Narrow" w:hAnsi="Arial Narrow"/>
                <w:b/>
                <w:sz w:val="20"/>
              </w:rPr>
              <w:t>Protocol title/ Publication title</w:t>
            </w:r>
          </w:p>
        </w:tc>
        <w:tc>
          <w:tcPr>
            <w:tcW w:w="1843" w:type="dxa"/>
          </w:tcPr>
          <w:p w:rsidR="0076420C" w:rsidRPr="005838CB" w:rsidRDefault="0076420C" w:rsidP="0062748A">
            <w:pPr>
              <w:keepNext/>
              <w:rPr>
                <w:rFonts w:ascii="Arial Narrow" w:hAnsi="Arial Narrow"/>
                <w:b/>
                <w:sz w:val="20"/>
              </w:rPr>
            </w:pPr>
            <w:r w:rsidRPr="005838CB">
              <w:rPr>
                <w:rFonts w:ascii="Arial Narrow" w:hAnsi="Arial Narrow"/>
                <w:b/>
                <w:sz w:val="20"/>
              </w:rPr>
              <w:t>Publication citation</w:t>
            </w:r>
          </w:p>
        </w:tc>
      </w:tr>
      <w:tr w:rsidR="0076420C" w:rsidRPr="005838CB" w:rsidTr="00C27B58">
        <w:trPr>
          <w:cantSplit/>
        </w:trPr>
        <w:tc>
          <w:tcPr>
            <w:tcW w:w="8364" w:type="dxa"/>
            <w:gridSpan w:val="3"/>
          </w:tcPr>
          <w:p w:rsidR="0076420C" w:rsidRPr="005838CB" w:rsidRDefault="0076420C" w:rsidP="00D84934">
            <w:pPr>
              <w:pStyle w:val="NoSpacing"/>
              <w:rPr>
                <w:rFonts w:ascii="Arial Narrow" w:hAnsi="Arial Narrow"/>
                <w:b/>
                <w:sz w:val="20"/>
              </w:rPr>
            </w:pPr>
            <w:r w:rsidRPr="005838CB">
              <w:rPr>
                <w:rFonts w:ascii="Arial Narrow" w:hAnsi="Arial Narrow"/>
                <w:b/>
                <w:sz w:val="20"/>
              </w:rPr>
              <w:t>Direct randomised trials</w:t>
            </w:r>
          </w:p>
        </w:tc>
      </w:tr>
      <w:tr w:rsidR="0076420C" w:rsidRPr="005838CB" w:rsidTr="008C6F99">
        <w:trPr>
          <w:cantSplit/>
        </w:trPr>
        <w:tc>
          <w:tcPr>
            <w:tcW w:w="1701" w:type="dxa"/>
          </w:tcPr>
          <w:p w:rsidR="0076420C" w:rsidRPr="00D84934" w:rsidRDefault="008C6F99" w:rsidP="00D84934">
            <w:pPr>
              <w:pStyle w:val="NoSpacing"/>
              <w:rPr>
                <w:rFonts w:ascii="Arial Narrow" w:hAnsi="Arial Narrow"/>
                <w:b/>
                <w:sz w:val="20"/>
              </w:rPr>
            </w:pPr>
            <w:proofErr w:type="spellStart"/>
            <w:r>
              <w:rPr>
                <w:rFonts w:ascii="Arial Narrow" w:hAnsi="Arial Narrow"/>
                <w:b/>
                <w:sz w:val="20"/>
              </w:rPr>
              <w:t>StiL</w:t>
            </w:r>
            <w:proofErr w:type="spellEnd"/>
          </w:p>
        </w:tc>
        <w:tc>
          <w:tcPr>
            <w:tcW w:w="4820" w:type="dxa"/>
          </w:tcPr>
          <w:p w:rsidR="0076420C" w:rsidRPr="008C6F99" w:rsidRDefault="008C6F99" w:rsidP="008C6F99">
            <w:pPr>
              <w:keepNext/>
              <w:rPr>
                <w:rFonts w:ascii="Arial Narrow" w:hAnsi="Arial Narrow"/>
                <w:sz w:val="20"/>
              </w:rPr>
            </w:pPr>
            <w:proofErr w:type="spellStart"/>
            <w:r>
              <w:rPr>
                <w:rFonts w:ascii="Arial Narrow" w:hAnsi="Arial Narrow"/>
                <w:sz w:val="20"/>
              </w:rPr>
              <w:t>Rummel</w:t>
            </w:r>
            <w:proofErr w:type="spellEnd"/>
            <w:r>
              <w:rPr>
                <w:rFonts w:ascii="Arial Narrow" w:hAnsi="Arial Narrow"/>
                <w:sz w:val="20"/>
              </w:rPr>
              <w:t xml:space="preserve"> et al</w:t>
            </w:r>
            <w:r w:rsidRPr="008C6F99">
              <w:rPr>
                <w:rFonts w:ascii="Arial Narrow" w:hAnsi="Arial Narrow"/>
                <w:sz w:val="20"/>
              </w:rPr>
              <w:t xml:space="preserve">.  Bendamustine Plus Rituximab (B-R) Versus CHOP Plus Rituximab (CHOP-R) As First-Line Treatment in Patients with Indolent and Mantle Cell Lymphomas (MCL) – 7 Year Updated Results from the </w:t>
            </w:r>
            <w:proofErr w:type="spellStart"/>
            <w:r w:rsidRPr="008C6F99">
              <w:rPr>
                <w:rFonts w:ascii="Arial Narrow" w:hAnsi="Arial Narrow"/>
                <w:sz w:val="20"/>
              </w:rPr>
              <w:t>StiL</w:t>
            </w:r>
            <w:proofErr w:type="spellEnd"/>
            <w:r w:rsidRPr="008C6F99">
              <w:rPr>
                <w:rFonts w:ascii="Arial Narrow" w:hAnsi="Arial Narrow"/>
                <w:sz w:val="20"/>
              </w:rPr>
              <w:t xml:space="preserve"> NHL1 Study. </w:t>
            </w:r>
          </w:p>
        </w:tc>
        <w:tc>
          <w:tcPr>
            <w:tcW w:w="1843" w:type="dxa"/>
          </w:tcPr>
          <w:p w:rsidR="0076420C" w:rsidRPr="008C6F99" w:rsidRDefault="008C6F99" w:rsidP="0062748A">
            <w:pPr>
              <w:keepNext/>
              <w:rPr>
                <w:rFonts w:ascii="Arial Narrow" w:hAnsi="Arial Narrow"/>
                <w:sz w:val="20"/>
              </w:rPr>
            </w:pPr>
            <w:r w:rsidRPr="008C6F99">
              <w:rPr>
                <w:rFonts w:ascii="Arial Narrow" w:hAnsi="Arial Narrow"/>
                <w:sz w:val="20"/>
              </w:rPr>
              <w:t xml:space="preserve">2014. 56th ASH Annual Meeting and Exposition. </w:t>
            </w:r>
            <w:proofErr w:type="spellStart"/>
            <w:r w:rsidRPr="008C6F99">
              <w:rPr>
                <w:rFonts w:ascii="Arial Narrow" w:hAnsi="Arial Narrow"/>
                <w:sz w:val="20"/>
              </w:rPr>
              <w:t>Abst</w:t>
            </w:r>
            <w:proofErr w:type="spellEnd"/>
            <w:r w:rsidRPr="008C6F99">
              <w:rPr>
                <w:rFonts w:ascii="Arial Narrow" w:hAnsi="Arial Narrow"/>
                <w:sz w:val="20"/>
              </w:rPr>
              <w:t xml:space="preserve"> 4407</w:t>
            </w:r>
          </w:p>
        </w:tc>
      </w:tr>
    </w:tbl>
    <w:p w:rsidR="0076420C" w:rsidRPr="0076420C" w:rsidRDefault="0076420C" w:rsidP="0076420C">
      <w:pPr>
        <w:pStyle w:val="tablenotes"/>
        <w:ind w:firstLine="709"/>
        <w:rPr>
          <w:rFonts w:ascii="Arial Narrow" w:hAnsi="Arial Narrow"/>
          <w:sz w:val="18"/>
          <w:szCs w:val="18"/>
        </w:rPr>
      </w:pPr>
      <w:r w:rsidRPr="005838CB">
        <w:rPr>
          <w:rFonts w:ascii="Arial Narrow" w:hAnsi="Arial Narrow"/>
          <w:sz w:val="18"/>
          <w:szCs w:val="18"/>
        </w:rPr>
        <w:t xml:space="preserve">Source: </w:t>
      </w:r>
      <w:r w:rsidR="000B0D4C">
        <w:rPr>
          <w:rFonts w:ascii="Arial Narrow" w:hAnsi="Arial Narrow"/>
          <w:sz w:val="18"/>
          <w:szCs w:val="18"/>
        </w:rPr>
        <w:t>the</w:t>
      </w:r>
      <w:r w:rsidR="0033405C">
        <w:rPr>
          <w:rFonts w:ascii="Arial Narrow" w:hAnsi="Arial Narrow"/>
          <w:sz w:val="18"/>
          <w:szCs w:val="18"/>
        </w:rPr>
        <w:t xml:space="preserve"> minor</w:t>
      </w:r>
      <w:r w:rsidR="000B0D4C">
        <w:rPr>
          <w:rFonts w:ascii="Arial Narrow" w:hAnsi="Arial Narrow"/>
          <w:sz w:val="18"/>
          <w:szCs w:val="18"/>
        </w:rPr>
        <w:t xml:space="preserve"> </w:t>
      </w:r>
      <w:r w:rsidR="008C6F99">
        <w:rPr>
          <w:rFonts w:ascii="Arial Narrow" w:hAnsi="Arial Narrow"/>
          <w:sz w:val="18"/>
          <w:szCs w:val="18"/>
        </w:rPr>
        <w:t>re-submission</w:t>
      </w:r>
    </w:p>
    <w:p w:rsidR="00BB7EC3" w:rsidRPr="00882085" w:rsidRDefault="00BB7EC3" w:rsidP="009B0F67">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effectiveness</w:t>
      </w:r>
    </w:p>
    <w:p w:rsidR="005A3173" w:rsidRPr="00882085" w:rsidRDefault="005A3173" w:rsidP="00882085">
      <w:pPr>
        <w:jc w:val="both"/>
        <w:rPr>
          <w:rFonts w:ascii="Arial" w:hAnsi="Arial"/>
          <w:sz w:val="22"/>
          <w:szCs w:val="22"/>
        </w:rPr>
      </w:pPr>
    </w:p>
    <w:p w:rsidR="00B44164" w:rsidRPr="00B44164" w:rsidRDefault="00A309D7" w:rsidP="0031192A">
      <w:pPr>
        <w:pStyle w:val="ListParagraph"/>
        <w:numPr>
          <w:ilvl w:val="1"/>
          <w:numId w:val="25"/>
        </w:numPr>
        <w:jc w:val="both"/>
      </w:pPr>
      <w:r w:rsidRPr="0031192A">
        <w:rPr>
          <w:rFonts w:ascii="Arial" w:hAnsi="Arial"/>
          <w:sz w:val="22"/>
          <w:szCs w:val="22"/>
        </w:rPr>
        <w:t>The resubmission presented an up</w:t>
      </w:r>
      <w:r w:rsidR="000B0D4C">
        <w:rPr>
          <w:rFonts w:ascii="Arial" w:hAnsi="Arial"/>
          <w:sz w:val="22"/>
          <w:szCs w:val="22"/>
        </w:rPr>
        <w:t xml:space="preserve">date of the </w:t>
      </w:r>
      <w:proofErr w:type="spellStart"/>
      <w:r w:rsidR="000B0D4C">
        <w:rPr>
          <w:rFonts w:ascii="Arial" w:hAnsi="Arial"/>
          <w:sz w:val="22"/>
          <w:szCs w:val="22"/>
        </w:rPr>
        <w:t>StiL</w:t>
      </w:r>
      <w:proofErr w:type="spellEnd"/>
      <w:r w:rsidR="000B0D4C">
        <w:rPr>
          <w:rFonts w:ascii="Arial" w:hAnsi="Arial"/>
          <w:sz w:val="22"/>
          <w:szCs w:val="22"/>
        </w:rPr>
        <w:t xml:space="preserve"> trial outcomes:</w:t>
      </w:r>
      <w:r w:rsidRPr="0031192A">
        <w:rPr>
          <w:rFonts w:ascii="Arial" w:hAnsi="Arial"/>
          <w:sz w:val="22"/>
          <w:szCs w:val="22"/>
        </w:rPr>
        <w:t xml:space="preserve"> median time to next treatment and </w:t>
      </w:r>
      <w:r w:rsidR="00AA54C7">
        <w:rPr>
          <w:rFonts w:ascii="Arial" w:hAnsi="Arial"/>
          <w:sz w:val="22"/>
          <w:szCs w:val="22"/>
        </w:rPr>
        <w:t xml:space="preserve">proportion of patients treated with </w:t>
      </w:r>
      <w:r w:rsidRPr="0031192A">
        <w:rPr>
          <w:rFonts w:ascii="Arial" w:hAnsi="Arial"/>
          <w:sz w:val="22"/>
          <w:szCs w:val="22"/>
        </w:rPr>
        <w:t>salvage treatment</w:t>
      </w:r>
      <w:r w:rsidR="00B44164">
        <w:rPr>
          <w:rFonts w:ascii="Arial" w:hAnsi="Arial"/>
          <w:sz w:val="22"/>
          <w:szCs w:val="22"/>
        </w:rPr>
        <w:t xml:space="preserve"> in both arms B-R and R-CHOP</w:t>
      </w:r>
      <w:r w:rsidR="00E41AD8">
        <w:rPr>
          <w:rFonts w:ascii="Arial" w:hAnsi="Arial"/>
          <w:sz w:val="22"/>
          <w:szCs w:val="22"/>
        </w:rPr>
        <w:t>;</w:t>
      </w:r>
      <w:r w:rsidR="00E152B1">
        <w:rPr>
          <w:rFonts w:ascii="Arial" w:hAnsi="Arial"/>
          <w:sz w:val="22"/>
          <w:szCs w:val="22"/>
        </w:rPr>
        <w:t xml:space="preserve"> 10-year survival dat</w:t>
      </w:r>
      <w:r w:rsidR="0033405C">
        <w:rPr>
          <w:rFonts w:ascii="Arial" w:hAnsi="Arial"/>
          <w:sz w:val="22"/>
          <w:szCs w:val="22"/>
        </w:rPr>
        <w:t xml:space="preserve">a were </w:t>
      </w:r>
      <w:r w:rsidR="00E152B1">
        <w:rPr>
          <w:rFonts w:ascii="Arial" w:hAnsi="Arial"/>
          <w:sz w:val="22"/>
          <w:szCs w:val="22"/>
        </w:rPr>
        <w:t>also presented</w:t>
      </w:r>
      <w:r w:rsidR="00B44164">
        <w:rPr>
          <w:rFonts w:ascii="Arial" w:hAnsi="Arial"/>
          <w:sz w:val="22"/>
          <w:szCs w:val="22"/>
        </w:rPr>
        <w:t xml:space="preserve">. </w:t>
      </w:r>
    </w:p>
    <w:p w:rsidR="00B44164" w:rsidRDefault="00B44164" w:rsidP="00B44164">
      <w:pPr>
        <w:pStyle w:val="ListParagraph"/>
        <w:jc w:val="both"/>
        <w:rPr>
          <w:rFonts w:ascii="Arial" w:hAnsi="Arial"/>
          <w:sz w:val="22"/>
          <w:szCs w:val="22"/>
        </w:rPr>
      </w:pPr>
    </w:p>
    <w:p w:rsidR="00B44164" w:rsidRPr="00B14C75" w:rsidRDefault="00B44164" w:rsidP="007A1EB1">
      <w:pPr>
        <w:pStyle w:val="ListParagraph"/>
        <w:numPr>
          <w:ilvl w:val="1"/>
          <w:numId w:val="25"/>
        </w:numPr>
        <w:jc w:val="both"/>
        <w:rPr>
          <w:rFonts w:ascii="Arial" w:hAnsi="Arial" w:cs="Arial"/>
          <w:sz w:val="22"/>
          <w:szCs w:val="22"/>
        </w:rPr>
      </w:pPr>
      <w:r w:rsidRPr="00B14C75">
        <w:rPr>
          <w:rFonts w:ascii="Arial" w:hAnsi="Arial" w:cs="Arial"/>
          <w:sz w:val="22"/>
          <w:szCs w:val="22"/>
        </w:rPr>
        <w:t>In</w:t>
      </w:r>
      <w:r w:rsidR="00A309D7" w:rsidRPr="00B14C75">
        <w:rPr>
          <w:rFonts w:ascii="Arial" w:hAnsi="Arial" w:cs="Arial"/>
          <w:sz w:val="22"/>
          <w:szCs w:val="22"/>
        </w:rPr>
        <w:t xml:space="preserve"> the R-CHOP arm 49% of the patients who received salvage treatment received B-R. </w:t>
      </w:r>
      <w:r w:rsidRPr="007A1EB1">
        <w:rPr>
          <w:rFonts w:ascii="Arial" w:hAnsi="Arial" w:cs="Arial"/>
          <w:sz w:val="22"/>
          <w:szCs w:val="22"/>
        </w:rPr>
        <w:t xml:space="preserve">This </w:t>
      </w:r>
      <w:r w:rsidR="00E410E1" w:rsidRPr="007A1EB1">
        <w:rPr>
          <w:rFonts w:ascii="Arial" w:hAnsi="Arial" w:cs="Arial"/>
          <w:sz w:val="22"/>
          <w:szCs w:val="22"/>
        </w:rPr>
        <w:t>show</w:t>
      </w:r>
      <w:r w:rsidR="00E410E1">
        <w:rPr>
          <w:rFonts w:ascii="Arial" w:hAnsi="Arial" w:cs="Arial"/>
          <w:sz w:val="22"/>
          <w:szCs w:val="22"/>
        </w:rPr>
        <w:t>ed</w:t>
      </w:r>
      <w:r w:rsidR="00E410E1" w:rsidRPr="007A1EB1">
        <w:rPr>
          <w:rFonts w:ascii="Arial" w:hAnsi="Arial" w:cs="Arial"/>
          <w:sz w:val="22"/>
          <w:szCs w:val="22"/>
        </w:rPr>
        <w:t xml:space="preserve"> </w:t>
      </w:r>
      <w:r w:rsidR="002442A2" w:rsidRPr="007A1EB1">
        <w:rPr>
          <w:rFonts w:ascii="Arial" w:hAnsi="Arial" w:cs="Arial"/>
          <w:sz w:val="22"/>
          <w:szCs w:val="22"/>
        </w:rPr>
        <w:t>switching/cross-over</w:t>
      </w:r>
      <w:r w:rsidR="00A309D7" w:rsidRPr="007A1EB1">
        <w:rPr>
          <w:rFonts w:ascii="Arial" w:hAnsi="Arial" w:cs="Arial"/>
          <w:sz w:val="22"/>
          <w:szCs w:val="22"/>
        </w:rPr>
        <w:t xml:space="preserve"> </w:t>
      </w:r>
      <w:r w:rsidR="002442A2" w:rsidRPr="007A1EB1">
        <w:rPr>
          <w:rFonts w:ascii="Arial" w:hAnsi="Arial" w:cs="Arial"/>
          <w:sz w:val="22"/>
          <w:szCs w:val="22"/>
        </w:rPr>
        <w:t>with</w:t>
      </w:r>
      <w:r w:rsidR="00A309D7" w:rsidRPr="007A1EB1">
        <w:rPr>
          <w:rFonts w:ascii="Arial" w:hAnsi="Arial" w:cs="Arial"/>
          <w:sz w:val="22"/>
          <w:szCs w:val="22"/>
        </w:rPr>
        <w:t>in the trial</w:t>
      </w:r>
      <w:r w:rsidRPr="007A1EB1">
        <w:rPr>
          <w:rFonts w:ascii="Arial" w:hAnsi="Arial" w:cs="Arial"/>
          <w:sz w:val="22"/>
          <w:szCs w:val="22"/>
        </w:rPr>
        <w:t xml:space="preserve">, and </w:t>
      </w:r>
      <w:r w:rsidR="00E410E1" w:rsidRPr="007A1EB1">
        <w:rPr>
          <w:rFonts w:ascii="Arial" w:hAnsi="Arial" w:cs="Arial"/>
          <w:sz w:val="22"/>
          <w:szCs w:val="22"/>
        </w:rPr>
        <w:t>demonstrate</w:t>
      </w:r>
      <w:r w:rsidR="00E410E1">
        <w:rPr>
          <w:rFonts w:ascii="Arial" w:hAnsi="Arial" w:cs="Arial"/>
          <w:sz w:val="22"/>
          <w:szCs w:val="22"/>
        </w:rPr>
        <w:t>d</w:t>
      </w:r>
      <w:r w:rsidR="00E410E1" w:rsidRPr="007A1EB1">
        <w:rPr>
          <w:rFonts w:ascii="Arial" w:hAnsi="Arial" w:cs="Arial"/>
          <w:sz w:val="22"/>
          <w:szCs w:val="22"/>
        </w:rPr>
        <w:t xml:space="preserve"> </w:t>
      </w:r>
      <w:r w:rsidR="002442A2" w:rsidRPr="007A1EB1">
        <w:rPr>
          <w:rFonts w:ascii="Arial" w:hAnsi="Arial" w:cs="Arial"/>
          <w:sz w:val="22"/>
          <w:szCs w:val="22"/>
        </w:rPr>
        <w:t>the</w:t>
      </w:r>
      <w:r w:rsidR="000B0D4C" w:rsidRPr="007A1EB1">
        <w:rPr>
          <w:rFonts w:ascii="Arial" w:hAnsi="Arial" w:cs="Arial"/>
          <w:sz w:val="22"/>
          <w:szCs w:val="22"/>
        </w:rPr>
        <w:t xml:space="preserve"> potential for leakage of B-</w:t>
      </w:r>
      <w:r w:rsidRPr="007A1EB1">
        <w:rPr>
          <w:rFonts w:ascii="Arial" w:hAnsi="Arial" w:cs="Arial"/>
          <w:sz w:val="22"/>
          <w:szCs w:val="22"/>
        </w:rPr>
        <w:t>R being in</w:t>
      </w:r>
      <w:r w:rsidR="00644AC2" w:rsidRPr="007A1EB1">
        <w:rPr>
          <w:rFonts w:ascii="Arial" w:hAnsi="Arial" w:cs="Arial"/>
          <w:sz w:val="22"/>
          <w:szCs w:val="22"/>
        </w:rPr>
        <w:t>to</w:t>
      </w:r>
      <w:r w:rsidRPr="007A1EB1">
        <w:rPr>
          <w:rFonts w:ascii="Arial" w:hAnsi="Arial" w:cs="Arial"/>
          <w:sz w:val="22"/>
          <w:szCs w:val="22"/>
        </w:rPr>
        <w:t xml:space="preserve"> second-line therapy in practice.</w:t>
      </w:r>
    </w:p>
    <w:p w:rsidR="00B44164" w:rsidRPr="00B14C75" w:rsidRDefault="00B44164" w:rsidP="00B14C75">
      <w:pPr>
        <w:pStyle w:val="ListParagraph"/>
        <w:jc w:val="both"/>
        <w:rPr>
          <w:rFonts w:ascii="Arial" w:hAnsi="Arial" w:cs="Arial"/>
          <w:sz w:val="22"/>
          <w:szCs w:val="22"/>
        </w:rPr>
      </w:pPr>
    </w:p>
    <w:p w:rsidR="00101B92" w:rsidRPr="007A1EB1" w:rsidRDefault="0031192A" w:rsidP="007A1EB1">
      <w:pPr>
        <w:pStyle w:val="ListParagraph"/>
        <w:numPr>
          <w:ilvl w:val="1"/>
          <w:numId w:val="25"/>
        </w:numPr>
        <w:jc w:val="both"/>
        <w:rPr>
          <w:rFonts w:ascii="Arial" w:hAnsi="Arial" w:cs="Arial"/>
          <w:sz w:val="22"/>
          <w:szCs w:val="22"/>
        </w:rPr>
      </w:pPr>
      <w:r w:rsidRPr="00B14C75">
        <w:rPr>
          <w:rFonts w:ascii="Arial" w:hAnsi="Arial" w:cs="Arial"/>
          <w:sz w:val="22"/>
          <w:szCs w:val="22"/>
        </w:rPr>
        <w:t xml:space="preserve">The updated </w:t>
      </w:r>
      <w:r w:rsidR="00B44164" w:rsidRPr="00B14C75">
        <w:rPr>
          <w:rFonts w:ascii="Arial" w:hAnsi="Arial" w:cs="Arial"/>
          <w:sz w:val="22"/>
          <w:szCs w:val="22"/>
        </w:rPr>
        <w:t>HR</w:t>
      </w:r>
      <w:r w:rsidR="001E4BFB" w:rsidRPr="00B14C75">
        <w:rPr>
          <w:rFonts w:ascii="Arial" w:hAnsi="Arial" w:cs="Arial"/>
          <w:sz w:val="22"/>
          <w:szCs w:val="22"/>
        </w:rPr>
        <w:t xml:space="preserve"> for the time to next treatment </w:t>
      </w:r>
      <w:r w:rsidR="00E410E1">
        <w:rPr>
          <w:rFonts w:ascii="Arial" w:hAnsi="Arial" w:cs="Arial"/>
          <w:sz w:val="22"/>
          <w:szCs w:val="22"/>
        </w:rPr>
        <w:t>was</w:t>
      </w:r>
      <w:r w:rsidR="00E410E1" w:rsidRPr="00B14C75">
        <w:rPr>
          <w:rFonts w:ascii="Arial" w:hAnsi="Arial" w:cs="Arial"/>
          <w:sz w:val="22"/>
          <w:szCs w:val="22"/>
        </w:rPr>
        <w:t xml:space="preserve"> </w:t>
      </w:r>
      <w:r w:rsidRPr="00B14C75">
        <w:rPr>
          <w:rFonts w:ascii="Arial" w:hAnsi="Arial" w:cs="Arial"/>
          <w:sz w:val="22"/>
          <w:szCs w:val="22"/>
        </w:rPr>
        <w:t>0.53 (</w:t>
      </w:r>
      <w:r w:rsidR="001E4BFB" w:rsidRPr="00B14C75">
        <w:rPr>
          <w:rFonts w:ascii="Arial" w:hAnsi="Arial" w:cs="Arial"/>
          <w:sz w:val="22"/>
          <w:szCs w:val="22"/>
        </w:rPr>
        <w:t xml:space="preserve">95% CI: </w:t>
      </w:r>
      <w:r w:rsidRPr="00B14C75">
        <w:rPr>
          <w:rFonts w:ascii="Arial" w:hAnsi="Arial" w:cs="Arial"/>
          <w:sz w:val="22"/>
          <w:szCs w:val="22"/>
        </w:rPr>
        <w:t xml:space="preserve">0.40; 0.68, p&lt;0.001) </w:t>
      </w:r>
      <w:r w:rsidR="001E4BFB" w:rsidRPr="00B14C75">
        <w:rPr>
          <w:rFonts w:ascii="Arial" w:hAnsi="Arial" w:cs="Arial"/>
          <w:sz w:val="22"/>
          <w:szCs w:val="22"/>
        </w:rPr>
        <w:t xml:space="preserve">compared with </w:t>
      </w:r>
      <w:r w:rsidRPr="007A1EB1">
        <w:rPr>
          <w:rFonts w:ascii="Arial" w:hAnsi="Arial" w:cs="Arial"/>
          <w:sz w:val="22"/>
          <w:szCs w:val="22"/>
        </w:rPr>
        <w:t xml:space="preserve">0.58 </w:t>
      </w:r>
      <w:r w:rsidR="001E4BFB" w:rsidRPr="007A1EB1">
        <w:rPr>
          <w:rFonts w:ascii="Arial" w:hAnsi="Arial" w:cs="Arial"/>
          <w:sz w:val="22"/>
          <w:szCs w:val="22"/>
        </w:rPr>
        <w:t>(</w:t>
      </w:r>
      <w:r w:rsidRPr="007A1EB1">
        <w:rPr>
          <w:rFonts w:ascii="Arial" w:hAnsi="Arial" w:cs="Arial"/>
          <w:sz w:val="22"/>
          <w:szCs w:val="22"/>
        </w:rPr>
        <w:t>95% CI 0.44, 0.74</w:t>
      </w:r>
      <w:r w:rsidR="001E4BFB" w:rsidRPr="007A1EB1">
        <w:rPr>
          <w:rFonts w:ascii="Arial" w:hAnsi="Arial" w:cs="Arial"/>
          <w:sz w:val="22"/>
          <w:szCs w:val="22"/>
        </w:rPr>
        <w:t>,</w:t>
      </w:r>
      <w:r w:rsidRPr="007A1EB1">
        <w:rPr>
          <w:rFonts w:ascii="Arial" w:hAnsi="Arial" w:cs="Arial"/>
          <w:sz w:val="22"/>
          <w:szCs w:val="22"/>
        </w:rPr>
        <w:t xml:space="preserve"> p&lt;0.000)</w:t>
      </w:r>
      <w:r w:rsidR="001E4BFB" w:rsidRPr="007A1EB1">
        <w:rPr>
          <w:rFonts w:ascii="Arial" w:hAnsi="Arial" w:cs="Arial"/>
          <w:sz w:val="22"/>
          <w:szCs w:val="22"/>
        </w:rPr>
        <w:t xml:space="preserve"> presented in the March 2015 submission</w:t>
      </w:r>
      <w:r w:rsidRPr="007A1EB1">
        <w:rPr>
          <w:rFonts w:ascii="Arial" w:hAnsi="Arial" w:cs="Arial"/>
          <w:sz w:val="22"/>
          <w:szCs w:val="22"/>
        </w:rPr>
        <w:t>.</w:t>
      </w:r>
      <w:r w:rsidRPr="00B14C75">
        <w:rPr>
          <w:rFonts w:ascii="Arial" w:hAnsi="Arial" w:cs="Arial"/>
          <w:sz w:val="22"/>
          <w:szCs w:val="22"/>
        </w:rPr>
        <w:t xml:space="preserve"> </w:t>
      </w:r>
      <w:r w:rsidR="001E4BFB" w:rsidRPr="007A1EB1">
        <w:rPr>
          <w:rFonts w:ascii="Arial" w:hAnsi="Arial" w:cs="Arial"/>
          <w:sz w:val="22"/>
          <w:szCs w:val="22"/>
        </w:rPr>
        <w:t>R</w:t>
      </w:r>
      <w:r w:rsidRPr="007A1EB1">
        <w:rPr>
          <w:rFonts w:ascii="Arial" w:hAnsi="Arial" w:cs="Arial"/>
          <w:sz w:val="22"/>
          <w:szCs w:val="22"/>
        </w:rPr>
        <w:t>esults</w:t>
      </w:r>
      <w:r w:rsidR="001E4BFB" w:rsidRPr="007A1EB1">
        <w:rPr>
          <w:rFonts w:ascii="Arial" w:hAnsi="Arial" w:cs="Arial"/>
          <w:sz w:val="22"/>
          <w:szCs w:val="22"/>
        </w:rPr>
        <w:t xml:space="preserve"> were not</w:t>
      </w:r>
      <w:r w:rsidRPr="007A1EB1">
        <w:rPr>
          <w:rFonts w:ascii="Arial" w:hAnsi="Arial" w:cs="Arial"/>
          <w:sz w:val="22"/>
          <w:szCs w:val="22"/>
        </w:rPr>
        <w:t xml:space="preserve"> reported</w:t>
      </w:r>
      <w:r w:rsidR="001E4BFB" w:rsidRPr="007A1EB1">
        <w:rPr>
          <w:rFonts w:ascii="Arial" w:hAnsi="Arial" w:cs="Arial"/>
          <w:sz w:val="22"/>
          <w:szCs w:val="22"/>
        </w:rPr>
        <w:t xml:space="preserve"> by</w:t>
      </w:r>
      <w:r w:rsidRPr="007A1EB1">
        <w:rPr>
          <w:rFonts w:ascii="Arial" w:hAnsi="Arial" w:cs="Arial"/>
          <w:sz w:val="22"/>
          <w:szCs w:val="22"/>
        </w:rPr>
        <w:t xml:space="preserve"> </w:t>
      </w:r>
      <w:r w:rsidR="002262D8" w:rsidRPr="007A1EB1">
        <w:rPr>
          <w:rFonts w:ascii="Arial" w:hAnsi="Arial" w:cs="Arial"/>
          <w:sz w:val="22"/>
          <w:szCs w:val="22"/>
        </w:rPr>
        <w:t xml:space="preserve">histological </w:t>
      </w:r>
      <w:r w:rsidRPr="007A1EB1">
        <w:rPr>
          <w:rFonts w:ascii="Arial" w:hAnsi="Arial" w:cs="Arial"/>
          <w:sz w:val="22"/>
          <w:szCs w:val="22"/>
        </w:rPr>
        <w:t>subtype</w:t>
      </w:r>
      <w:r w:rsidR="00B44164" w:rsidRPr="007A1EB1">
        <w:rPr>
          <w:rFonts w:ascii="Arial" w:hAnsi="Arial" w:cs="Arial"/>
          <w:sz w:val="22"/>
          <w:szCs w:val="22"/>
        </w:rPr>
        <w:t xml:space="preserve"> of the disease.</w:t>
      </w:r>
    </w:p>
    <w:p w:rsidR="00F92E13" w:rsidRPr="007A1EB1" w:rsidRDefault="00F92E13" w:rsidP="00B14C75">
      <w:pPr>
        <w:pStyle w:val="ListParagraph"/>
        <w:jc w:val="both"/>
        <w:rPr>
          <w:rFonts w:ascii="Arial" w:hAnsi="Arial" w:cs="Arial"/>
          <w:sz w:val="22"/>
          <w:szCs w:val="22"/>
        </w:rPr>
      </w:pPr>
    </w:p>
    <w:p w:rsidR="00CE3AB1" w:rsidRPr="00B14C75" w:rsidRDefault="00CE3AB1" w:rsidP="007A1EB1">
      <w:pPr>
        <w:pStyle w:val="ListParagraph"/>
        <w:numPr>
          <w:ilvl w:val="1"/>
          <w:numId w:val="25"/>
        </w:numPr>
        <w:jc w:val="both"/>
        <w:rPr>
          <w:rFonts w:ascii="Arial" w:hAnsi="Arial" w:cs="Arial"/>
          <w:sz w:val="22"/>
          <w:szCs w:val="22"/>
        </w:rPr>
      </w:pPr>
      <w:r w:rsidRPr="00B14C75">
        <w:rPr>
          <w:rFonts w:ascii="Arial" w:hAnsi="Arial" w:cs="Arial"/>
          <w:sz w:val="22"/>
          <w:szCs w:val="22"/>
        </w:rPr>
        <w:t>The re</w:t>
      </w:r>
      <w:r w:rsidR="00A52A19" w:rsidRPr="00B14C75">
        <w:rPr>
          <w:rFonts w:ascii="Arial" w:hAnsi="Arial" w:cs="Arial"/>
          <w:sz w:val="22"/>
          <w:szCs w:val="22"/>
        </w:rPr>
        <w:t>submission</w:t>
      </w:r>
      <w:r w:rsidRPr="00B14C75">
        <w:rPr>
          <w:rFonts w:ascii="Arial" w:hAnsi="Arial" w:cs="Arial"/>
          <w:sz w:val="22"/>
          <w:szCs w:val="22"/>
        </w:rPr>
        <w:t xml:space="preserve"> presented update</w:t>
      </w:r>
      <w:r w:rsidR="00E41AD8">
        <w:rPr>
          <w:rFonts w:ascii="Arial" w:hAnsi="Arial" w:cs="Arial"/>
          <w:sz w:val="22"/>
          <w:szCs w:val="22"/>
        </w:rPr>
        <w:t>d</w:t>
      </w:r>
      <w:r w:rsidRPr="00B14C75">
        <w:rPr>
          <w:rFonts w:ascii="Arial" w:hAnsi="Arial" w:cs="Arial"/>
          <w:sz w:val="22"/>
          <w:szCs w:val="22"/>
        </w:rPr>
        <w:t xml:space="preserve"> </w:t>
      </w:r>
      <w:r w:rsidR="00F92415">
        <w:rPr>
          <w:rFonts w:ascii="Arial" w:hAnsi="Arial" w:cs="Arial"/>
          <w:sz w:val="22"/>
          <w:szCs w:val="22"/>
        </w:rPr>
        <w:t>overall survival (</w:t>
      </w:r>
      <w:r w:rsidRPr="00B14C75">
        <w:rPr>
          <w:rFonts w:ascii="Arial" w:hAnsi="Arial" w:cs="Arial"/>
          <w:sz w:val="22"/>
          <w:szCs w:val="22"/>
        </w:rPr>
        <w:t>O</w:t>
      </w:r>
      <w:r w:rsidR="00A52A19" w:rsidRPr="00B14C75">
        <w:rPr>
          <w:rFonts w:ascii="Arial" w:hAnsi="Arial" w:cs="Arial"/>
          <w:sz w:val="22"/>
          <w:szCs w:val="22"/>
        </w:rPr>
        <w:t>S</w:t>
      </w:r>
      <w:r w:rsidR="00F92415">
        <w:rPr>
          <w:rFonts w:ascii="Arial" w:hAnsi="Arial" w:cs="Arial"/>
          <w:sz w:val="22"/>
          <w:szCs w:val="22"/>
        </w:rPr>
        <w:t>)</w:t>
      </w:r>
      <w:r w:rsidR="00A52A19" w:rsidRPr="00B14C75">
        <w:rPr>
          <w:rFonts w:ascii="Arial" w:hAnsi="Arial" w:cs="Arial"/>
          <w:sz w:val="22"/>
          <w:szCs w:val="22"/>
        </w:rPr>
        <w:t xml:space="preserve"> </w:t>
      </w:r>
      <w:r w:rsidR="000C7056" w:rsidRPr="00B14C75">
        <w:rPr>
          <w:rFonts w:ascii="Arial" w:hAnsi="Arial" w:cs="Arial"/>
          <w:sz w:val="22"/>
          <w:szCs w:val="22"/>
        </w:rPr>
        <w:t>data;</w:t>
      </w:r>
      <w:r w:rsidR="00A52A19" w:rsidRPr="00B14C75">
        <w:rPr>
          <w:rFonts w:ascii="Arial" w:hAnsi="Arial" w:cs="Arial"/>
          <w:sz w:val="22"/>
          <w:szCs w:val="22"/>
        </w:rPr>
        <w:t xml:space="preserve"> the results between the treatment arms were not statically significant. There was no difference in OS between the subgroups. </w:t>
      </w:r>
    </w:p>
    <w:p w:rsidR="00B44164" w:rsidRPr="007A1EB1" w:rsidRDefault="00B44164" w:rsidP="007A1EB1">
      <w:pPr>
        <w:pStyle w:val="ListParagraph"/>
        <w:jc w:val="both"/>
        <w:rPr>
          <w:rFonts w:ascii="Arial" w:hAnsi="Arial" w:cs="Arial"/>
          <w:sz w:val="22"/>
          <w:szCs w:val="22"/>
        </w:rPr>
      </w:pPr>
    </w:p>
    <w:p w:rsidR="00AF326A" w:rsidRDefault="000B0D4C" w:rsidP="00AF326A">
      <w:pPr>
        <w:pStyle w:val="ListParagraph"/>
        <w:numPr>
          <w:ilvl w:val="1"/>
          <w:numId w:val="25"/>
        </w:numPr>
        <w:jc w:val="both"/>
        <w:rPr>
          <w:rFonts w:ascii="Arial" w:hAnsi="Arial" w:cs="Arial"/>
          <w:sz w:val="22"/>
          <w:szCs w:val="22"/>
        </w:rPr>
      </w:pPr>
      <w:r w:rsidRPr="00B14C75">
        <w:rPr>
          <w:rFonts w:ascii="Arial" w:hAnsi="Arial" w:cs="Arial"/>
          <w:sz w:val="22"/>
          <w:szCs w:val="22"/>
        </w:rPr>
        <w:t>Table 3</w:t>
      </w:r>
      <w:r w:rsidR="0031192A" w:rsidRPr="00B14C75">
        <w:rPr>
          <w:rFonts w:ascii="Arial" w:hAnsi="Arial" w:cs="Arial"/>
          <w:sz w:val="22"/>
          <w:szCs w:val="22"/>
        </w:rPr>
        <w:t xml:space="preserve"> </w:t>
      </w:r>
      <w:r w:rsidR="00101B92" w:rsidRPr="00B14C75">
        <w:rPr>
          <w:rFonts w:ascii="Arial" w:hAnsi="Arial" w:cs="Arial"/>
          <w:sz w:val="22"/>
          <w:szCs w:val="22"/>
        </w:rPr>
        <w:t xml:space="preserve">summarises the updated results of </w:t>
      </w:r>
      <w:proofErr w:type="spellStart"/>
      <w:r w:rsidR="00101B92" w:rsidRPr="00B14C75">
        <w:rPr>
          <w:rFonts w:ascii="Arial" w:hAnsi="Arial" w:cs="Arial"/>
          <w:sz w:val="22"/>
          <w:szCs w:val="22"/>
        </w:rPr>
        <w:t>StiL</w:t>
      </w:r>
      <w:proofErr w:type="spellEnd"/>
      <w:r w:rsidR="00101B92" w:rsidRPr="00B14C75">
        <w:rPr>
          <w:rFonts w:ascii="Arial" w:hAnsi="Arial" w:cs="Arial"/>
          <w:sz w:val="22"/>
          <w:szCs w:val="22"/>
        </w:rPr>
        <w:t xml:space="preserve"> trial</w:t>
      </w:r>
      <w:r w:rsidR="00AF326A">
        <w:rPr>
          <w:rFonts w:ascii="Arial" w:hAnsi="Arial" w:cs="Arial"/>
          <w:sz w:val="22"/>
          <w:szCs w:val="22"/>
        </w:rPr>
        <w:t>.</w:t>
      </w:r>
    </w:p>
    <w:p w:rsidR="00101B92" w:rsidRPr="006F4AD5" w:rsidRDefault="00101B92" w:rsidP="006F4AD5">
      <w:pPr>
        <w:jc w:val="both"/>
        <w:rPr>
          <w:rFonts w:ascii="Arial" w:hAnsi="Arial" w:cs="Arial"/>
          <w:sz w:val="22"/>
          <w:szCs w:val="22"/>
        </w:rPr>
      </w:pPr>
    </w:p>
    <w:p w:rsidR="00E152B1" w:rsidRPr="000B0D4C" w:rsidRDefault="00E152B1" w:rsidP="007A1EB1">
      <w:pPr>
        <w:ind w:firstLine="720"/>
        <w:rPr>
          <w:rFonts w:ascii="Arial Narrow" w:hAnsi="Arial Narrow"/>
          <w:b/>
          <w:sz w:val="20"/>
          <w:szCs w:val="20"/>
        </w:rPr>
      </w:pPr>
      <w:proofErr w:type="gramStart"/>
      <w:r w:rsidRPr="000B0D4C">
        <w:rPr>
          <w:rFonts w:ascii="Arial Narrow" w:hAnsi="Arial Narrow"/>
          <w:b/>
          <w:sz w:val="20"/>
          <w:szCs w:val="20"/>
        </w:rPr>
        <w:t>Table 3.</w:t>
      </w:r>
      <w:proofErr w:type="gramEnd"/>
      <w:r w:rsidRPr="000B0D4C">
        <w:rPr>
          <w:rFonts w:ascii="Arial Narrow" w:hAnsi="Arial Narrow"/>
          <w:b/>
          <w:sz w:val="20"/>
          <w:szCs w:val="20"/>
        </w:rPr>
        <w:t xml:space="preserve"> Updated results for </w:t>
      </w:r>
      <w:proofErr w:type="spellStart"/>
      <w:r w:rsidRPr="000B0D4C">
        <w:rPr>
          <w:rFonts w:ascii="Arial Narrow" w:hAnsi="Arial Narrow"/>
          <w:b/>
          <w:sz w:val="20"/>
          <w:szCs w:val="20"/>
        </w:rPr>
        <w:t>StiL</w:t>
      </w:r>
      <w:proofErr w:type="spellEnd"/>
      <w:r w:rsidRPr="000B0D4C">
        <w:rPr>
          <w:rFonts w:ascii="Arial Narrow" w:hAnsi="Arial Narrow"/>
          <w:b/>
          <w:sz w:val="20"/>
          <w:szCs w:val="20"/>
        </w:rPr>
        <w:t xml:space="preserve"> trial</w:t>
      </w:r>
    </w:p>
    <w:tbl>
      <w:tblPr>
        <w:tblStyle w:val="TableGrid"/>
        <w:tblW w:w="4558" w:type="pct"/>
        <w:tblInd w:w="817" w:type="dxa"/>
        <w:tblLook w:val="04A0" w:firstRow="1" w:lastRow="0" w:firstColumn="1" w:lastColumn="0" w:noHBand="0" w:noVBand="1"/>
        <w:tblCaption w:val="&quot;&quot;"/>
      </w:tblPr>
      <w:tblGrid>
        <w:gridCol w:w="1998"/>
        <w:gridCol w:w="2091"/>
        <w:gridCol w:w="2009"/>
        <w:gridCol w:w="2327"/>
      </w:tblGrid>
      <w:tr w:rsidR="00E152B1" w:rsidTr="00B25B7F">
        <w:trPr>
          <w:trHeight w:val="345"/>
          <w:tblHeader/>
        </w:trPr>
        <w:tc>
          <w:tcPr>
            <w:tcW w:w="1186" w:type="pct"/>
          </w:tcPr>
          <w:p w:rsidR="00E152B1" w:rsidRPr="00212042" w:rsidRDefault="00E152B1" w:rsidP="007061BD">
            <w:pPr>
              <w:pStyle w:val="ListParagraph"/>
              <w:ind w:left="0"/>
              <w:jc w:val="both"/>
              <w:rPr>
                <w:rFonts w:ascii="Arial Narrow" w:hAnsi="Arial Narrow"/>
                <w:b/>
                <w:sz w:val="20"/>
                <w:szCs w:val="20"/>
              </w:rPr>
            </w:pPr>
          </w:p>
        </w:tc>
        <w:tc>
          <w:tcPr>
            <w:tcW w:w="1241" w:type="pct"/>
          </w:tcPr>
          <w:p w:rsidR="00E152B1" w:rsidRDefault="00E152B1" w:rsidP="007061BD">
            <w:pPr>
              <w:pStyle w:val="ListParagraph"/>
              <w:ind w:left="0"/>
              <w:jc w:val="both"/>
              <w:rPr>
                <w:rFonts w:ascii="Arial Narrow" w:hAnsi="Arial Narrow"/>
                <w:b/>
                <w:sz w:val="20"/>
                <w:szCs w:val="20"/>
              </w:rPr>
            </w:pPr>
            <w:r>
              <w:rPr>
                <w:rFonts w:ascii="Arial Narrow" w:hAnsi="Arial Narrow"/>
                <w:b/>
                <w:sz w:val="20"/>
                <w:szCs w:val="20"/>
              </w:rPr>
              <w:t>Salvage</w:t>
            </w:r>
            <w:r w:rsidRPr="00212042">
              <w:rPr>
                <w:rFonts w:ascii="Arial Narrow" w:hAnsi="Arial Narrow"/>
                <w:b/>
                <w:sz w:val="20"/>
                <w:szCs w:val="20"/>
              </w:rPr>
              <w:t xml:space="preserve"> treatment</w:t>
            </w:r>
            <w:r>
              <w:rPr>
                <w:rFonts w:ascii="Arial Narrow" w:hAnsi="Arial Narrow"/>
                <w:b/>
                <w:sz w:val="20"/>
                <w:szCs w:val="20"/>
              </w:rPr>
              <w:t xml:space="preserve"> all</w:t>
            </w:r>
            <w:r w:rsidRPr="00212042">
              <w:rPr>
                <w:rFonts w:ascii="Arial Narrow" w:hAnsi="Arial Narrow"/>
                <w:b/>
                <w:sz w:val="20"/>
                <w:szCs w:val="20"/>
              </w:rPr>
              <w:t xml:space="preserve">, </w:t>
            </w:r>
          </w:p>
          <w:p w:rsidR="00E152B1" w:rsidRPr="00212042" w:rsidRDefault="00E152B1" w:rsidP="007061BD">
            <w:pPr>
              <w:pStyle w:val="ListParagraph"/>
              <w:ind w:left="0"/>
              <w:jc w:val="both"/>
              <w:rPr>
                <w:rFonts w:ascii="Arial Narrow" w:hAnsi="Arial Narrow"/>
                <w:b/>
                <w:sz w:val="20"/>
                <w:szCs w:val="20"/>
              </w:rPr>
            </w:pPr>
            <w:proofErr w:type="gramStart"/>
            <w:r>
              <w:rPr>
                <w:rFonts w:ascii="Arial Narrow" w:hAnsi="Arial Narrow"/>
                <w:b/>
                <w:sz w:val="20"/>
                <w:szCs w:val="20"/>
              </w:rPr>
              <w:t>n</w:t>
            </w:r>
            <w:r w:rsidRPr="00212042">
              <w:rPr>
                <w:rFonts w:ascii="Arial Narrow" w:hAnsi="Arial Narrow"/>
                <w:b/>
                <w:sz w:val="20"/>
                <w:szCs w:val="20"/>
              </w:rPr>
              <w:t>(</w:t>
            </w:r>
            <w:proofErr w:type="gramEnd"/>
            <w:r w:rsidRPr="00212042">
              <w:rPr>
                <w:rFonts w:ascii="Arial Narrow" w:hAnsi="Arial Narrow"/>
                <w:b/>
                <w:sz w:val="20"/>
                <w:szCs w:val="20"/>
              </w:rPr>
              <w:t>%)</w:t>
            </w:r>
          </w:p>
        </w:tc>
        <w:tc>
          <w:tcPr>
            <w:tcW w:w="1192" w:type="pct"/>
          </w:tcPr>
          <w:p w:rsidR="00E152B1" w:rsidRPr="00212042" w:rsidRDefault="00E152B1" w:rsidP="007061BD">
            <w:pPr>
              <w:pStyle w:val="ListParagraph"/>
              <w:ind w:left="0"/>
              <w:jc w:val="both"/>
              <w:rPr>
                <w:rFonts w:ascii="Arial Narrow" w:hAnsi="Arial Narrow"/>
                <w:b/>
                <w:sz w:val="20"/>
                <w:szCs w:val="20"/>
              </w:rPr>
            </w:pPr>
            <w:r>
              <w:rPr>
                <w:rFonts w:ascii="Arial Narrow" w:hAnsi="Arial Narrow"/>
                <w:b/>
                <w:sz w:val="20"/>
                <w:szCs w:val="20"/>
              </w:rPr>
              <w:t>Salvage</w:t>
            </w:r>
            <w:r w:rsidRPr="00212042">
              <w:rPr>
                <w:rFonts w:ascii="Arial Narrow" w:hAnsi="Arial Narrow"/>
                <w:b/>
                <w:sz w:val="20"/>
                <w:szCs w:val="20"/>
              </w:rPr>
              <w:t xml:space="preserve"> treatment</w:t>
            </w:r>
            <w:r>
              <w:rPr>
                <w:rFonts w:ascii="Arial Narrow" w:hAnsi="Arial Narrow"/>
                <w:b/>
                <w:sz w:val="20"/>
                <w:szCs w:val="20"/>
              </w:rPr>
              <w:t xml:space="preserve"> with B-R, </w:t>
            </w:r>
            <w:proofErr w:type="gramStart"/>
            <w:r>
              <w:rPr>
                <w:rFonts w:ascii="Arial Narrow" w:hAnsi="Arial Narrow"/>
                <w:b/>
                <w:sz w:val="20"/>
                <w:szCs w:val="20"/>
              </w:rPr>
              <w:t>n</w:t>
            </w:r>
            <w:r w:rsidRPr="00212042">
              <w:rPr>
                <w:rFonts w:ascii="Arial Narrow" w:hAnsi="Arial Narrow"/>
                <w:b/>
                <w:sz w:val="20"/>
                <w:szCs w:val="20"/>
              </w:rPr>
              <w:t>(</w:t>
            </w:r>
            <w:proofErr w:type="gramEnd"/>
            <w:r w:rsidRPr="00212042">
              <w:rPr>
                <w:rFonts w:ascii="Arial Narrow" w:hAnsi="Arial Narrow"/>
                <w:b/>
                <w:sz w:val="20"/>
                <w:szCs w:val="20"/>
              </w:rPr>
              <w:t>%)</w:t>
            </w:r>
          </w:p>
        </w:tc>
        <w:tc>
          <w:tcPr>
            <w:tcW w:w="1381" w:type="pct"/>
          </w:tcPr>
          <w:p w:rsidR="00E152B1" w:rsidRPr="00212042" w:rsidRDefault="00E152B1" w:rsidP="007061BD">
            <w:pPr>
              <w:pStyle w:val="ListParagraph"/>
              <w:ind w:left="0"/>
              <w:jc w:val="both"/>
              <w:rPr>
                <w:rFonts w:ascii="Arial Narrow" w:hAnsi="Arial Narrow"/>
                <w:b/>
                <w:sz w:val="20"/>
                <w:szCs w:val="20"/>
              </w:rPr>
            </w:pPr>
            <w:r w:rsidRPr="00212042">
              <w:rPr>
                <w:rFonts w:ascii="Arial Narrow" w:hAnsi="Arial Narrow"/>
                <w:b/>
                <w:sz w:val="20"/>
                <w:szCs w:val="20"/>
              </w:rPr>
              <w:t>Time to next treatment</w:t>
            </w:r>
          </w:p>
          <w:p w:rsidR="00E152B1" w:rsidRPr="00212042" w:rsidRDefault="00E152B1" w:rsidP="007061BD">
            <w:pPr>
              <w:pStyle w:val="ListParagraph"/>
              <w:ind w:left="0"/>
              <w:jc w:val="both"/>
              <w:rPr>
                <w:rFonts w:ascii="Arial Narrow" w:hAnsi="Arial Narrow"/>
                <w:b/>
                <w:sz w:val="20"/>
                <w:szCs w:val="20"/>
              </w:rPr>
            </w:pPr>
            <w:r w:rsidRPr="00212042">
              <w:rPr>
                <w:rFonts w:ascii="Arial Narrow" w:hAnsi="Arial Narrow"/>
                <w:b/>
                <w:sz w:val="20"/>
                <w:szCs w:val="20"/>
              </w:rPr>
              <w:t>HR (CI 95%)</w:t>
            </w:r>
          </w:p>
        </w:tc>
      </w:tr>
      <w:tr w:rsidR="00E152B1" w:rsidTr="00307EF2">
        <w:trPr>
          <w:trHeight w:val="167"/>
        </w:trPr>
        <w:tc>
          <w:tcPr>
            <w:tcW w:w="1186" w:type="pct"/>
          </w:tcPr>
          <w:p w:rsidR="00E152B1" w:rsidRPr="00212042" w:rsidRDefault="00E152B1" w:rsidP="007061BD">
            <w:pPr>
              <w:pStyle w:val="ListParagraph"/>
              <w:ind w:left="0"/>
              <w:jc w:val="both"/>
              <w:rPr>
                <w:rFonts w:ascii="Arial Narrow" w:hAnsi="Arial Narrow"/>
                <w:b/>
                <w:sz w:val="20"/>
                <w:szCs w:val="20"/>
              </w:rPr>
            </w:pPr>
            <w:r>
              <w:rPr>
                <w:rFonts w:ascii="Arial Narrow" w:hAnsi="Arial Narrow"/>
                <w:b/>
                <w:sz w:val="20"/>
                <w:szCs w:val="20"/>
              </w:rPr>
              <w:t>Time to Next treatment</w:t>
            </w:r>
          </w:p>
        </w:tc>
        <w:tc>
          <w:tcPr>
            <w:tcW w:w="1241" w:type="pct"/>
          </w:tcPr>
          <w:p w:rsidR="00E152B1" w:rsidRDefault="00E152B1" w:rsidP="007061BD">
            <w:pPr>
              <w:pStyle w:val="ListParagraph"/>
              <w:ind w:left="0"/>
              <w:jc w:val="both"/>
              <w:rPr>
                <w:rFonts w:ascii="Arial Narrow" w:hAnsi="Arial Narrow"/>
                <w:b/>
                <w:sz w:val="20"/>
                <w:szCs w:val="20"/>
              </w:rPr>
            </w:pPr>
          </w:p>
        </w:tc>
        <w:tc>
          <w:tcPr>
            <w:tcW w:w="1192" w:type="pct"/>
          </w:tcPr>
          <w:p w:rsidR="00E152B1" w:rsidRDefault="00E152B1" w:rsidP="007061BD">
            <w:pPr>
              <w:pStyle w:val="ListParagraph"/>
              <w:ind w:left="0"/>
              <w:jc w:val="both"/>
              <w:rPr>
                <w:rFonts w:ascii="Arial Narrow" w:hAnsi="Arial Narrow"/>
                <w:b/>
                <w:sz w:val="20"/>
                <w:szCs w:val="20"/>
              </w:rPr>
            </w:pPr>
          </w:p>
        </w:tc>
        <w:tc>
          <w:tcPr>
            <w:tcW w:w="1381" w:type="pct"/>
          </w:tcPr>
          <w:p w:rsidR="00E152B1" w:rsidRPr="00212042" w:rsidRDefault="00E152B1" w:rsidP="007061BD">
            <w:pPr>
              <w:pStyle w:val="ListParagraph"/>
              <w:ind w:left="0"/>
              <w:jc w:val="both"/>
              <w:rPr>
                <w:rFonts w:ascii="Arial Narrow" w:hAnsi="Arial Narrow"/>
                <w:b/>
                <w:sz w:val="20"/>
                <w:szCs w:val="20"/>
              </w:rPr>
            </w:pPr>
          </w:p>
        </w:tc>
      </w:tr>
      <w:tr w:rsidR="00E152B1" w:rsidTr="00307EF2">
        <w:tc>
          <w:tcPr>
            <w:tcW w:w="1186" w:type="pct"/>
          </w:tcPr>
          <w:p w:rsidR="00E152B1" w:rsidRPr="00212042" w:rsidRDefault="00E152B1" w:rsidP="007061BD">
            <w:pPr>
              <w:pStyle w:val="ListParagraph"/>
              <w:ind w:left="0"/>
              <w:jc w:val="both"/>
              <w:rPr>
                <w:rFonts w:ascii="Arial Narrow" w:hAnsi="Arial Narrow"/>
                <w:sz w:val="20"/>
                <w:szCs w:val="20"/>
              </w:rPr>
            </w:pPr>
            <w:r w:rsidRPr="00212042">
              <w:rPr>
                <w:rFonts w:ascii="Arial Narrow" w:hAnsi="Arial Narrow"/>
                <w:sz w:val="20"/>
                <w:szCs w:val="20"/>
              </w:rPr>
              <w:t>B-R (N=261)</w:t>
            </w:r>
          </w:p>
        </w:tc>
        <w:tc>
          <w:tcPr>
            <w:tcW w:w="1241" w:type="pc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93 (36%)</w:t>
            </w:r>
          </w:p>
        </w:tc>
        <w:tc>
          <w:tcPr>
            <w:tcW w:w="1192" w:type="pct"/>
          </w:tcPr>
          <w:p w:rsidR="00E152B1" w:rsidRPr="00212042" w:rsidRDefault="00E152B1" w:rsidP="007061BD">
            <w:pPr>
              <w:pStyle w:val="ListParagraph"/>
              <w:ind w:left="0"/>
              <w:jc w:val="center"/>
              <w:rPr>
                <w:rFonts w:ascii="Arial Narrow" w:hAnsi="Arial Narrow"/>
                <w:sz w:val="20"/>
                <w:szCs w:val="20"/>
              </w:rPr>
            </w:pPr>
            <w:r>
              <w:rPr>
                <w:rFonts w:ascii="Arial Narrow" w:hAnsi="Arial Narrow"/>
                <w:sz w:val="20"/>
                <w:szCs w:val="20"/>
              </w:rPr>
              <w:t>NA</w:t>
            </w:r>
          </w:p>
        </w:tc>
        <w:tc>
          <w:tcPr>
            <w:tcW w:w="1381" w:type="pct"/>
            <w:vMerge w:val="restar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0.53</w:t>
            </w:r>
          </w:p>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(0.40; 0.68), p</w:t>
            </w:r>
            <w:r w:rsidRPr="00212042">
              <w:rPr>
                <w:rFonts w:ascii="Arial Narrow" w:hAnsi="Arial Narrow" w:cs="Arial"/>
                <w:sz w:val="20"/>
                <w:szCs w:val="20"/>
              </w:rPr>
              <w:t>&lt;</w:t>
            </w:r>
            <w:r w:rsidRPr="00212042">
              <w:rPr>
                <w:rFonts w:ascii="Arial Narrow" w:hAnsi="Arial Narrow"/>
                <w:sz w:val="20"/>
                <w:szCs w:val="20"/>
              </w:rPr>
              <w:t>0.001</w:t>
            </w:r>
          </w:p>
        </w:tc>
      </w:tr>
      <w:tr w:rsidR="00E152B1" w:rsidTr="00307EF2">
        <w:tc>
          <w:tcPr>
            <w:tcW w:w="1186" w:type="pct"/>
          </w:tcPr>
          <w:p w:rsidR="00E152B1" w:rsidRPr="00212042" w:rsidRDefault="00E152B1" w:rsidP="007061BD">
            <w:pPr>
              <w:pStyle w:val="ListParagraph"/>
              <w:ind w:left="0"/>
              <w:jc w:val="both"/>
              <w:rPr>
                <w:rFonts w:ascii="Arial Narrow" w:hAnsi="Arial Narrow"/>
                <w:sz w:val="20"/>
                <w:szCs w:val="20"/>
              </w:rPr>
            </w:pPr>
            <w:r w:rsidRPr="00212042">
              <w:rPr>
                <w:rFonts w:ascii="Arial Narrow" w:hAnsi="Arial Narrow"/>
                <w:sz w:val="20"/>
                <w:szCs w:val="20"/>
              </w:rPr>
              <w:t>R-CHOP (N=253)</w:t>
            </w:r>
          </w:p>
        </w:tc>
        <w:tc>
          <w:tcPr>
            <w:tcW w:w="1241" w:type="pc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140 (55%)</w:t>
            </w:r>
          </w:p>
        </w:tc>
        <w:tc>
          <w:tcPr>
            <w:tcW w:w="1192" w:type="pc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69 (49%</w:t>
            </w:r>
            <w:r w:rsidR="00F92E13">
              <w:rPr>
                <w:rFonts w:ascii="Arial Narrow" w:hAnsi="Arial Narrow"/>
                <w:sz w:val="20"/>
                <w:szCs w:val="20"/>
              </w:rPr>
              <w:t xml:space="preserve"> of 140 patients receiving salvage</w:t>
            </w:r>
            <w:r w:rsidRPr="00212042">
              <w:rPr>
                <w:rFonts w:ascii="Arial Narrow" w:hAnsi="Arial Narrow"/>
                <w:sz w:val="20"/>
                <w:szCs w:val="20"/>
              </w:rPr>
              <w:t>)</w:t>
            </w:r>
            <w:r w:rsidR="00F92E13">
              <w:rPr>
                <w:rFonts w:ascii="Arial Narrow" w:hAnsi="Arial Narrow"/>
                <w:sz w:val="20"/>
                <w:szCs w:val="20"/>
              </w:rPr>
              <w:t xml:space="preserve"> </w:t>
            </w:r>
          </w:p>
        </w:tc>
        <w:tc>
          <w:tcPr>
            <w:tcW w:w="1381" w:type="pct"/>
            <w:vMerge/>
          </w:tcPr>
          <w:p w:rsidR="00E152B1" w:rsidRPr="00212042" w:rsidRDefault="00E152B1" w:rsidP="007061BD">
            <w:pPr>
              <w:pStyle w:val="ListParagraph"/>
              <w:ind w:left="0"/>
              <w:jc w:val="center"/>
              <w:rPr>
                <w:rFonts w:ascii="Arial Narrow" w:hAnsi="Arial Narrow"/>
                <w:sz w:val="20"/>
                <w:szCs w:val="20"/>
              </w:rPr>
            </w:pPr>
          </w:p>
        </w:tc>
      </w:tr>
      <w:tr w:rsidR="00E152B1" w:rsidTr="00307EF2">
        <w:trPr>
          <w:trHeight w:val="209"/>
        </w:trPr>
        <w:tc>
          <w:tcPr>
            <w:tcW w:w="1186" w:type="pct"/>
            <w:vAlign w:val="bottom"/>
          </w:tcPr>
          <w:p w:rsidR="00E152B1" w:rsidRPr="00212042" w:rsidRDefault="00E152B1" w:rsidP="00E152B1">
            <w:pPr>
              <w:pStyle w:val="ListParagraph"/>
              <w:ind w:left="0"/>
              <w:rPr>
                <w:rFonts w:ascii="Arial Narrow" w:hAnsi="Arial Narrow"/>
                <w:b/>
                <w:sz w:val="20"/>
                <w:szCs w:val="20"/>
              </w:rPr>
            </w:pPr>
            <w:r>
              <w:rPr>
                <w:rFonts w:ascii="Arial Narrow" w:hAnsi="Arial Narrow"/>
                <w:b/>
                <w:sz w:val="20"/>
                <w:szCs w:val="20"/>
              </w:rPr>
              <w:t>OS</w:t>
            </w:r>
          </w:p>
        </w:tc>
        <w:tc>
          <w:tcPr>
            <w:tcW w:w="1241" w:type="pct"/>
            <w:vAlign w:val="bottom"/>
          </w:tcPr>
          <w:p w:rsidR="00E152B1" w:rsidRPr="00212042" w:rsidRDefault="00E152B1" w:rsidP="007061BD">
            <w:pPr>
              <w:pStyle w:val="ListParagraph"/>
              <w:ind w:left="0"/>
              <w:jc w:val="center"/>
              <w:rPr>
                <w:rFonts w:ascii="Arial Narrow" w:hAnsi="Arial Narrow"/>
                <w:b/>
                <w:sz w:val="20"/>
                <w:szCs w:val="20"/>
              </w:rPr>
            </w:pPr>
            <w:r w:rsidRPr="00212042">
              <w:rPr>
                <w:rFonts w:ascii="Arial Narrow" w:hAnsi="Arial Narrow"/>
                <w:b/>
                <w:sz w:val="20"/>
                <w:szCs w:val="20"/>
              </w:rPr>
              <w:t>Deaths</w:t>
            </w:r>
          </w:p>
        </w:tc>
        <w:tc>
          <w:tcPr>
            <w:tcW w:w="1192" w:type="pct"/>
            <w:vAlign w:val="bottom"/>
          </w:tcPr>
          <w:p w:rsidR="00E152B1" w:rsidRPr="00212042" w:rsidRDefault="00E152B1" w:rsidP="007061BD">
            <w:pPr>
              <w:pStyle w:val="ListParagraph"/>
              <w:ind w:left="0"/>
              <w:jc w:val="center"/>
              <w:rPr>
                <w:rFonts w:ascii="Arial Narrow" w:hAnsi="Arial Narrow"/>
                <w:b/>
                <w:sz w:val="20"/>
                <w:szCs w:val="20"/>
              </w:rPr>
            </w:pPr>
            <w:r w:rsidRPr="00212042">
              <w:rPr>
                <w:rFonts w:ascii="Arial Narrow" w:hAnsi="Arial Narrow"/>
                <w:b/>
                <w:sz w:val="20"/>
                <w:szCs w:val="20"/>
              </w:rPr>
              <w:t>10-year survival rate</w:t>
            </w:r>
          </w:p>
        </w:tc>
        <w:tc>
          <w:tcPr>
            <w:tcW w:w="1381" w:type="pct"/>
            <w:vAlign w:val="bottom"/>
          </w:tcPr>
          <w:p w:rsidR="00E152B1" w:rsidRPr="00212042" w:rsidRDefault="00E152B1" w:rsidP="007061BD">
            <w:pPr>
              <w:pStyle w:val="ListParagraph"/>
              <w:ind w:left="0"/>
              <w:jc w:val="center"/>
              <w:rPr>
                <w:rFonts w:ascii="Arial Narrow" w:hAnsi="Arial Narrow"/>
                <w:b/>
                <w:sz w:val="20"/>
                <w:szCs w:val="20"/>
              </w:rPr>
            </w:pPr>
            <w:r w:rsidRPr="00212042">
              <w:rPr>
                <w:rFonts w:ascii="Arial Narrow" w:hAnsi="Arial Narrow"/>
                <w:b/>
                <w:sz w:val="20"/>
                <w:szCs w:val="20"/>
              </w:rPr>
              <w:t>HR</w:t>
            </w:r>
          </w:p>
        </w:tc>
      </w:tr>
      <w:tr w:rsidR="00E152B1" w:rsidTr="00307EF2">
        <w:trPr>
          <w:trHeight w:val="189"/>
        </w:trPr>
        <w:tc>
          <w:tcPr>
            <w:tcW w:w="5000" w:type="pct"/>
            <w:gridSpan w:val="4"/>
          </w:tcPr>
          <w:p w:rsidR="00E152B1" w:rsidRPr="00212042" w:rsidRDefault="00E152B1" w:rsidP="007061BD">
            <w:pPr>
              <w:pStyle w:val="ListParagraph"/>
              <w:ind w:left="0"/>
              <w:rPr>
                <w:rFonts w:ascii="Arial Narrow" w:hAnsi="Arial Narrow"/>
                <w:sz w:val="20"/>
                <w:szCs w:val="20"/>
              </w:rPr>
            </w:pPr>
            <w:r>
              <w:rPr>
                <w:rFonts w:ascii="Arial Narrow" w:hAnsi="Arial Narrow"/>
                <w:sz w:val="20"/>
                <w:szCs w:val="20"/>
              </w:rPr>
              <w:t>All lymphomas</w:t>
            </w:r>
          </w:p>
        </w:tc>
      </w:tr>
      <w:tr w:rsidR="00E152B1" w:rsidTr="00307EF2">
        <w:trPr>
          <w:trHeight w:val="189"/>
        </w:trPr>
        <w:tc>
          <w:tcPr>
            <w:tcW w:w="1186" w:type="pct"/>
          </w:tcPr>
          <w:p w:rsidR="00E152B1" w:rsidRPr="00212042" w:rsidRDefault="00E152B1" w:rsidP="007061BD">
            <w:pPr>
              <w:pStyle w:val="ListParagraph"/>
              <w:ind w:left="0"/>
              <w:jc w:val="right"/>
              <w:rPr>
                <w:rFonts w:ascii="Arial Narrow" w:hAnsi="Arial Narrow"/>
                <w:sz w:val="20"/>
                <w:szCs w:val="20"/>
              </w:rPr>
            </w:pPr>
            <w:r w:rsidRPr="00212042">
              <w:rPr>
                <w:rFonts w:ascii="Arial Narrow" w:hAnsi="Arial Narrow"/>
                <w:sz w:val="20"/>
                <w:szCs w:val="20"/>
              </w:rPr>
              <w:t>B-R (N=261)</w:t>
            </w:r>
          </w:p>
        </w:tc>
        <w:tc>
          <w:tcPr>
            <w:tcW w:w="1241" w:type="pc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65 (</w:t>
            </w:r>
            <w:r>
              <w:rPr>
                <w:rFonts w:ascii="Arial Narrow" w:hAnsi="Arial Narrow"/>
                <w:sz w:val="20"/>
                <w:szCs w:val="20"/>
              </w:rPr>
              <w:t>25</w:t>
            </w:r>
            <w:r w:rsidRPr="00212042">
              <w:rPr>
                <w:rFonts w:ascii="Arial Narrow" w:hAnsi="Arial Narrow"/>
                <w:sz w:val="20"/>
                <w:szCs w:val="20"/>
              </w:rPr>
              <w:t>%)</w:t>
            </w:r>
          </w:p>
        </w:tc>
        <w:tc>
          <w:tcPr>
            <w:tcW w:w="1192" w:type="pc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67.4%</w:t>
            </w:r>
          </w:p>
        </w:tc>
        <w:tc>
          <w:tcPr>
            <w:tcW w:w="1381" w:type="pct"/>
            <w:vMerge w:val="restart"/>
          </w:tcPr>
          <w:p w:rsidR="00E152B1"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 xml:space="preserve">0.70 </w:t>
            </w:r>
          </w:p>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(0.48; 1.04) p=0.076</w:t>
            </w:r>
          </w:p>
        </w:tc>
      </w:tr>
      <w:tr w:rsidR="00E152B1" w:rsidTr="00307EF2">
        <w:trPr>
          <w:trHeight w:val="63"/>
        </w:trPr>
        <w:tc>
          <w:tcPr>
            <w:tcW w:w="1186" w:type="pct"/>
          </w:tcPr>
          <w:p w:rsidR="00E152B1" w:rsidRPr="00212042" w:rsidRDefault="00E152B1" w:rsidP="007061BD">
            <w:pPr>
              <w:pStyle w:val="ListParagraph"/>
              <w:ind w:left="0"/>
              <w:jc w:val="right"/>
              <w:rPr>
                <w:rFonts w:ascii="Arial Narrow" w:hAnsi="Arial Narrow"/>
                <w:sz w:val="20"/>
                <w:szCs w:val="20"/>
              </w:rPr>
            </w:pPr>
            <w:r w:rsidRPr="00212042">
              <w:rPr>
                <w:rFonts w:ascii="Arial Narrow" w:hAnsi="Arial Narrow"/>
                <w:sz w:val="20"/>
                <w:szCs w:val="20"/>
              </w:rPr>
              <w:t>R-CHOP (N=253)</w:t>
            </w:r>
          </w:p>
        </w:tc>
        <w:tc>
          <w:tcPr>
            <w:tcW w:w="1241" w:type="pct"/>
          </w:tcPr>
          <w:p w:rsidR="00E152B1" w:rsidRPr="00212042" w:rsidRDefault="00E152B1" w:rsidP="007061BD">
            <w:pPr>
              <w:pStyle w:val="ListParagraph"/>
              <w:ind w:left="0"/>
              <w:jc w:val="center"/>
              <w:rPr>
                <w:rFonts w:ascii="Arial Narrow" w:hAnsi="Arial Narrow"/>
                <w:sz w:val="20"/>
                <w:szCs w:val="20"/>
              </w:rPr>
            </w:pPr>
            <w:r>
              <w:rPr>
                <w:rFonts w:ascii="Arial Narrow" w:hAnsi="Arial Narrow"/>
                <w:sz w:val="20"/>
                <w:szCs w:val="20"/>
              </w:rPr>
              <w:t>76 (30%</w:t>
            </w:r>
            <w:r w:rsidRPr="00212042">
              <w:rPr>
                <w:rFonts w:ascii="Arial Narrow" w:hAnsi="Arial Narrow"/>
                <w:sz w:val="20"/>
                <w:szCs w:val="20"/>
              </w:rPr>
              <w:t>)</w:t>
            </w:r>
          </w:p>
        </w:tc>
        <w:tc>
          <w:tcPr>
            <w:tcW w:w="1192" w:type="pc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60.1%</w:t>
            </w:r>
          </w:p>
        </w:tc>
        <w:tc>
          <w:tcPr>
            <w:tcW w:w="1381" w:type="pct"/>
            <w:vMerge/>
          </w:tcPr>
          <w:p w:rsidR="00E152B1" w:rsidRPr="00212042" w:rsidRDefault="00E152B1" w:rsidP="007061BD">
            <w:pPr>
              <w:pStyle w:val="ListParagraph"/>
              <w:ind w:left="0"/>
              <w:jc w:val="center"/>
              <w:rPr>
                <w:rFonts w:ascii="Arial Narrow" w:hAnsi="Arial Narrow"/>
                <w:sz w:val="20"/>
                <w:szCs w:val="20"/>
              </w:rPr>
            </w:pPr>
          </w:p>
        </w:tc>
      </w:tr>
      <w:tr w:rsidR="00E152B1" w:rsidTr="00307EF2">
        <w:tc>
          <w:tcPr>
            <w:tcW w:w="5000" w:type="pct"/>
            <w:gridSpan w:val="4"/>
          </w:tcPr>
          <w:p w:rsidR="00E152B1" w:rsidRPr="00212042" w:rsidRDefault="00E152B1" w:rsidP="007061BD">
            <w:pPr>
              <w:pStyle w:val="ListParagraph"/>
              <w:ind w:left="0"/>
              <w:rPr>
                <w:rFonts w:ascii="Arial Narrow" w:hAnsi="Arial Narrow"/>
                <w:sz w:val="20"/>
                <w:szCs w:val="20"/>
              </w:rPr>
            </w:pPr>
            <w:r>
              <w:rPr>
                <w:rFonts w:ascii="Arial Narrow" w:hAnsi="Arial Narrow"/>
                <w:sz w:val="20"/>
                <w:szCs w:val="20"/>
              </w:rPr>
              <w:t>Excluding MCL patients</w:t>
            </w:r>
          </w:p>
        </w:tc>
      </w:tr>
      <w:tr w:rsidR="00E152B1" w:rsidTr="00307EF2">
        <w:tc>
          <w:tcPr>
            <w:tcW w:w="1186" w:type="pct"/>
          </w:tcPr>
          <w:p w:rsidR="00E152B1" w:rsidRPr="00212042" w:rsidRDefault="00E152B1" w:rsidP="007061BD">
            <w:pPr>
              <w:pStyle w:val="ListParagraph"/>
              <w:ind w:left="0"/>
              <w:jc w:val="right"/>
              <w:rPr>
                <w:rFonts w:ascii="Arial Narrow" w:hAnsi="Arial Narrow"/>
                <w:sz w:val="20"/>
                <w:szCs w:val="20"/>
              </w:rPr>
            </w:pPr>
            <w:r>
              <w:rPr>
                <w:rFonts w:ascii="Arial Narrow" w:hAnsi="Arial Narrow"/>
                <w:sz w:val="20"/>
                <w:szCs w:val="20"/>
              </w:rPr>
              <w:t>B-R (N=215)</w:t>
            </w:r>
          </w:p>
        </w:tc>
        <w:tc>
          <w:tcPr>
            <w:tcW w:w="1241" w:type="pct"/>
          </w:tcPr>
          <w:p w:rsidR="00E152B1" w:rsidRPr="00212042" w:rsidRDefault="00E152B1" w:rsidP="007061BD">
            <w:pPr>
              <w:pStyle w:val="ListParagraph"/>
              <w:ind w:left="0"/>
              <w:jc w:val="center"/>
              <w:rPr>
                <w:rFonts w:ascii="Arial Narrow" w:hAnsi="Arial Narrow"/>
                <w:sz w:val="20"/>
                <w:szCs w:val="20"/>
              </w:rPr>
            </w:pPr>
            <w:r>
              <w:rPr>
                <w:rFonts w:ascii="Arial Narrow" w:hAnsi="Arial Narrow"/>
                <w:sz w:val="20"/>
                <w:szCs w:val="20"/>
              </w:rPr>
              <w:t>43 (20%)</w:t>
            </w:r>
          </w:p>
        </w:tc>
        <w:tc>
          <w:tcPr>
            <w:tcW w:w="1192" w:type="pc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71.9%</w:t>
            </w:r>
          </w:p>
        </w:tc>
        <w:tc>
          <w:tcPr>
            <w:tcW w:w="1381" w:type="pct"/>
          </w:tcPr>
          <w:p w:rsidR="00E152B1" w:rsidRPr="00212042" w:rsidRDefault="00E152B1" w:rsidP="007061BD">
            <w:pPr>
              <w:pStyle w:val="ListParagraph"/>
              <w:ind w:left="0"/>
              <w:jc w:val="center"/>
              <w:rPr>
                <w:rFonts w:ascii="Arial Narrow" w:hAnsi="Arial Narrow"/>
                <w:sz w:val="20"/>
                <w:szCs w:val="20"/>
              </w:rPr>
            </w:pPr>
            <w:r>
              <w:rPr>
                <w:rFonts w:ascii="Arial Narrow" w:hAnsi="Arial Narrow"/>
                <w:sz w:val="20"/>
                <w:szCs w:val="20"/>
              </w:rPr>
              <w:t>-</w:t>
            </w:r>
          </w:p>
        </w:tc>
      </w:tr>
      <w:tr w:rsidR="00E152B1" w:rsidTr="00307EF2">
        <w:tc>
          <w:tcPr>
            <w:tcW w:w="1186" w:type="pct"/>
          </w:tcPr>
          <w:p w:rsidR="00E152B1" w:rsidRPr="00212042" w:rsidRDefault="00E152B1" w:rsidP="007061BD">
            <w:pPr>
              <w:pStyle w:val="ListParagraph"/>
              <w:ind w:left="0"/>
              <w:jc w:val="right"/>
              <w:rPr>
                <w:rFonts w:ascii="Arial Narrow" w:hAnsi="Arial Narrow"/>
                <w:sz w:val="20"/>
                <w:szCs w:val="20"/>
              </w:rPr>
            </w:pPr>
            <w:r>
              <w:rPr>
                <w:rFonts w:ascii="Arial Narrow" w:hAnsi="Arial Narrow"/>
                <w:sz w:val="20"/>
                <w:szCs w:val="20"/>
              </w:rPr>
              <w:t>R-CHOP (N=205)</w:t>
            </w:r>
          </w:p>
        </w:tc>
        <w:tc>
          <w:tcPr>
            <w:tcW w:w="1241" w:type="pct"/>
          </w:tcPr>
          <w:p w:rsidR="00E152B1" w:rsidRPr="00212042" w:rsidRDefault="00E152B1" w:rsidP="007061BD">
            <w:pPr>
              <w:pStyle w:val="ListParagraph"/>
              <w:ind w:left="0"/>
              <w:jc w:val="center"/>
              <w:rPr>
                <w:rFonts w:ascii="Arial Narrow" w:hAnsi="Arial Narrow"/>
                <w:sz w:val="20"/>
                <w:szCs w:val="20"/>
              </w:rPr>
            </w:pPr>
            <w:r>
              <w:rPr>
                <w:rFonts w:ascii="Arial Narrow" w:hAnsi="Arial Narrow"/>
                <w:sz w:val="20"/>
                <w:szCs w:val="20"/>
              </w:rPr>
              <w:t>58 (28.3%)</w:t>
            </w:r>
          </w:p>
        </w:tc>
        <w:tc>
          <w:tcPr>
            <w:tcW w:w="1192" w:type="pc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61.5%</w:t>
            </w:r>
          </w:p>
        </w:tc>
        <w:tc>
          <w:tcPr>
            <w:tcW w:w="1381" w:type="pct"/>
          </w:tcPr>
          <w:p w:rsidR="00E152B1" w:rsidRPr="00212042" w:rsidRDefault="00E152B1" w:rsidP="007061BD">
            <w:pPr>
              <w:pStyle w:val="ListParagraph"/>
              <w:ind w:left="0"/>
              <w:jc w:val="center"/>
              <w:rPr>
                <w:rFonts w:ascii="Arial Narrow" w:hAnsi="Arial Narrow"/>
                <w:sz w:val="20"/>
                <w:szCs w:val="20"/>
              </w:rPr>
            </w:pPr>
            <w:r>
              <w:rPr>
                <w:rFonts w:ascii="Arial Narrow" w:hAnsi="Arial Narrow"/>
                <w:sz w:val="20"/>
                <w:szCs w:val="20"/>
              </w:rPr>
              <w:t>-</w:t>
            </w:r>
          </w:p>
        </w:tc>
      </w:tr>
      <w:tr w:rsidR="00E152B1" w:rsidTr="00307EF2">
        <w:tc>
          <w:tcPr>
            <w:tcW w:w="1186" w:type="pct"/>
          </w:tcPr>
          <w:p w:rsidR="00E152B1" w:rsidRDefault="00E152B1" w:rsidP="007061BD">
            <w:pPr>
              <w:pStyle w:val="ListParagraph"/>
              <w:ind w:left="0"/>
              <w:rPr>
                <w:rFonts w:ascii="Arial Narrow" w:hAnsi="Arial Narrow"/>
                <w:sz w:val="20"/>
                <w:szCs w:val="20"/>
              </w:rPr>
            </w:pPr>
            <w:r>
              <w:rPr>
                <w:rFonts w:ascii="Arial Narrow" w:hAnsi="Arial Narrow"/>
                <w:sz w:val="20"/>
                <w:szCs w:val="20"/>
              </w:rPr>
              <w:t>MCL patients (N=95)</w:t>
            </w:r>
          </w:p>
        </w:tc>
        <w:tc>
          <w:tcPr>
            <w:tcW w:w="1241" w:type="pct"/>
          </w:tcPr>
          <w:p w:rsidR="00E152B1" w:rsidRDefault="00E152B1" w:rsidP="007061BD">
            <w:pPr>
              <w:pStyle w:val="ListParagraph"/>
              <w:ind w:left="0"/>
              <w:jc w:val="center"/>
              <w:rPr>
                <w:rFonts w:ascii="Arial Narrow" w:hAnsi="Arial Narrow"/>
                <w:sz w:val="20"/>
                <w:szCs w:val="20"/>
              </w:rPr>
            </w:pPr>
            <w:r>
              <w:rPr>
                <w:rFonts w:ascii="Arial Narrow" w:hAnsi="Arial Narrow"/>
                <w:sz w:val="20"/>
                <w:szCs w:val="20"/>
              </w:rPr>
              <w:t>-</w:t>
            </w:r>
          </w:p>
        </w:tc>
        <w:tc>
          <w:tcPr>
            <w:tcW w:w="1192" w:type="pct"/>
          </w:tcPr>
          <w:p w:rsidR="00E152B1" w:rsidRPr="00212042" w:rsidRDefault="00E152B1" w:rsidP="007061BD">
            <w:pPr>
              <w:pStyle w:val="ListParagraph"/>
              <w:ind w:left="0"/>
              <w:jc w:val="center"/>
              <w:rPr>
                <w:rFonts w:ascii="Arial Narrow" w:hAnsi="Arial Narrow"/>
                <w:sz w:val="20"/>
                <w:szCs w:val="20"/>
              </w:rPr>
            </w:pPr>
            <w:r>
              <w:rPr>
                <w:rFonts w:ascii="Arial Narrow" w:hAnsi="Arial Narrow"/>
                <w:sz w:val="20"/>
                <w:szCs w:val="20"/>
              </w:rPr>
              <w:t>-</w:t>
            </w:r>
          </w:p>
        </w:tc>
        <w:tc>
          <w:tcPr>
            <w:tcW w:w="1381" w:type="pct"/>
          </w:tcPr>
          <w:p w:rsidR="00E152B1" w:rsidRPr="00212042" w:rsidRDefault="00E152B1" w:rsidP="007061BD">
            <w:pPr>
              <w:pStyle w:val="ListParagraph"/>
              <w:ind w:left="0"/>
              <w:jc w:val="center"/>
              <w:rPr>
                <w:rFonts w:ascii="Arial Narrow" w:hAnsi="Arial Narrow"/>
                <w:sz w:val="20"/>
                <w:szCs w:val="20"/>
              </w:rPr>
            </w:pPr>
            <w:r w:rsidRPr="00212042">
              <w:rPr>
                <w:rFonts w:ascii="Arial Narrow" w:hAnsi="Arial Narrow"/>
                <w:sz w:val="20"/>
                <w:szCs w:val="20"/>
              </w:rPr>
              <w:t>1.28 (0.69; 2.39)</w:t>
            </w:r>
          </w:p>
          <w:p w:rsidR="00E152B1" w:rsidRPr="00212042" w:rsidRDefault="003A5F58" w:rsidP="007061BD">
            <w:pPr>
              <w:pStyle w:val="ListParagraph"/>
              <w:ind w:left="0"/>
              <w:jc w:val="center"/>
              <w:rPr>
                <w:rFonts w:ascii="Arial Narrow" w:hAnsi="Arial Narrow"/>
                <w:sz w:val="20"/>
                <w:szCs w:val="20"/>
              </w:rPr>
            </w:pPr>
            <w:r>
              <w:rPr>
                <w:rFonts w:ascii="Arial Narrow" w:hAnsi="Arial Narrow"/>
                <w:sz w:val="20"/>
                <w:szCs w:val="20"/>
              </w:rPr>
              <w:t>p</w:t>
            </w:r>
            <w:r w:rsidR="00E152B1" w:rsidRPr="00212042">
              <w:rPr>
                <w:rFonts w:ascii="Arial Narrow" w:hAnsi="Arial Narrow"/>
                <w:sz w:val="20"/>
                <w:szCs w:val="20"/>
              </w:rPr>
              <w:t>=0.429</w:t>
            </w:r>
          </w:p>
        </w:tc>
      </w:tr>
    </w:tbl>
    <w:p w:rsidR="00E152B1" w:rsidRPr="00BE5152" w:rsidRDefault="00E152B1" w:rsidP="00307EF2">
      <w:pPr>
        <w:ind w:left="720"/>
        <w:jc w:val="both"/>
        <w:rPr>
          <w:rFonts w:ascii="Arial Narrow" w:hAnsi="Arial Narrow"/>
          <w:sz w:val="18"/>
          <w:szCs w:val="18"/>
        </w:rPr>
      </w:pPr>
      <w:r w:rsidRPr="00BE5152">
        <w:rPr>
          <w:rFonts w:ascii="Arial Narrow" w:hAnsi="Arial Narrow"/>
          <w:sz w:val="18"/>
          <w:szCs w:val="18"/>
        </w:rPr>
        <w:t>Source</w:t>
      </w:r>
      <w:r w:rsidRPr="00E152B1">
        <w:rPr>
          <w:rFonts w:ascii="Arial Narrow" w:hAnsi="Arial Narrow"/>
          <w:sz w:val="18"/>
          <w:szCs w:val="18"/>
        </w:rPr>
        <w:t>: compiled from p11,</w:t>
      </w:r>
      <w:r w:rsidRPr="00BE5152">
        <w:rPr>
          <w:rFonts w:ascii="Arial Narrow" w:hAnsi="Arial Narrow"/>
          <w:sz w:val="18"/>
          <w:szCs w:val="18"/>
        </w:rPr>
        <w:t xml:space="preserve"> of the re-submission</w:t>
      </w:r>
      <w:r>
        <w:rPr>
          <w:rFonts w:ascii="Arial Narrow" w:hAnsi="Arial Narrow"/>
          <w:sz w:val="18"/>
          <w:szCs w:val="18"/>
        </w:rPr>
        <w:t xml:space="preserve">. Notes: NSA = not applicable; B-R = bendamustine – rituximab; R-CHOP = </w:t>
      </w:r>
      <w:r w:rsidRPr="00123CEB">
        <w:rPr>
          <w:rFonts w:ascii="Arial Narrow" w:hAnsi="Arial Narrow"/>
          <w:sz w:val="18"/>
          <w:szCs w:val="18"/>
        </w:rPr>
        <w:t>rituximab, cyclophosphamide, doxorubicin, vincristine and prednisolone</w:t>
      </w:r>
    </w:p>
    <w:p w:rsidR="00E152B1" w:rsidRDefault="00E152B1" w:rsidP="00596B74">
      <w:pPr>
        <w:ind w:firstLine="709"/>
        <w:rPr>
          <w:rFonts w:ascii="Arial Narrow" w:hAnsi="Arial Narrow"/>
          <w:b/>
          <w:sz w:val="20"/>
          <w:szCs w:val="20"/>
        </w:rPr>
      </w:pPr>
    </w:p>
    <w:p w:rsidR="005A3173" w:rsidRPr="00882085" w:rsidRDefault="005A3173" w:rsidP="004C6A3B">
      <w:pPr>
        <w:rPr>
          <w:rFonts w:ascii="Arial" w:hAnsi="Arial"/>
          <w:b/>
          <w:i/>
          <w:sz w:val="22"/>
          <w:szCs w:val="22"/>
        </w:rPr>
      </w:pPr>
      <w:r w:rsidRPr="00882085">
        <w:rPr>
          <w:rFonts w:ascii="Arial" w:hAnsi="Arial"/>
          <w:b/>
          <w:i/>
          <w:sz w:val="22"/>
          <w:szCs w:val="22"/>
        </w:rPr>
        <w:t>Comparative harms</w:t>
      </w:r>
    </w:p>
    <w:p w:rsidR="00101B92" w:rsidRPr="00307EF2" w:rsidRDefault="00101B92" w:rsidP="000B0D4C">
      <w:pPr>
        <w:jc w:val="both"/>
        <w:rPr>
          <w:rFonts w:ascii="Arial" w:hAnsi="Arial" w:cs="Arial"/>
          <w:b/>
          <w:sz w:val="22"/>
          <w:szCs w:val="22"/>
        </w:rPr>
      </w:pPr>
    </w:p>
    <w:p w:rsidR="00101B92" w:rsidRPr="00A309D7" w:rsidRDefault="00101B92" w:rsidP="00A309D7">
      <w:pPr>
        <w:pStyle w:val="ListParagraph"/>
        <w:numPr>
          <w:ilvl w:val="1"/>
          <w:numId w:val="25"/>
        </w:numPr>
        <w:jc w:val="both"/>
        <w:rPr>
          <w:rFonts w:ascii="Arial" w:hAnsi="Arial" w:cs="Arial"/>
          <w:sz w:val="22"/>
          <w:szCs w:val="22"/>
        </w:rPr>
      </w:pPr>
      <w:r w:rsidRPr="00A309D7">
        <w:rPr>
          <w:rFonts w:ascii="Arial" w:hAnsi="Arial" w:cs="Arial"/>
          <w:sz w:val="22"/>
          <w:szCs w:val="22"/>
        </w:rPr>
        <w:t>The PBAC</w:t>
      </w:r>
      <w:r w:rsidR="00F372E6" w:rsidRPr="00A309D7">
        <w:rPr>
          <w:rFonts w:ascii="Arial" w:hAnsi="Arial" w:cs="Arial"/>
          <w:sz w:val="22"/>
          <w:szCs w:val="22"/>
        </w:rPr>
        <w:t xml:space="preserve"> </w:t>
      </w:r>
      <w:r w:rsidR="008B19B7">
        <w:rPr>
          <w:rFonts w:ascii="Arial" w:hAnsi="Arial" w:cs="Arial"/>
          <w:sz w:val="22"/>
          <w:szCs w:val="22"/>
        </w:rPr>
        <w:t xml:space="preserve">had </w:t>
      </w:r>
      <w:r w:rsidR="00F372E6" w:rsidRPr="00A309D7">
        <w:rPr>
          <w:rFonts w:ascii="Arial" w:hAnsi="Arial" w:cs="Arial"/>
          <w:sz w:val="22"/>
          <w:szCs w:val="22"/>
        </w:rPr>
        <w:t xml:space="preserve">considered that for the first-line treatment of </w:t>
      </w:r>
      <w:proofErr w:type="spellStart"/>
      <w:r w:rsidR="00F372E6" w:rsidRPr="00A309D7">
        <w:rPr>
          <w:rFonts w:ascii="Arial" w:hAnsi="Arial" w:cs="Arial"/>
          <w:sz w:val="22"/>
          <w:szCs w:val="22"/>
        </w:rPr>
        <w:t>iNHL</w:t>
      </w:r>
      <w:proofErr w:type="spellEnd"/>
      <w:r w:rsidR="00F372E6" w:rsidRPr="00A309D7">
        <w:rPr>
          <w:rFonts w:ascii="Arial" w:hAnsi="Arial" w:cs="Arial"/>
          <w:sz w:val="22"/>
          <w:szCs w:val="22"/>
        </w:rPr>
        <w:t xml:space="preserve"> and for MCL, bendamustine plus rituximab was superior to R-CHOP in terms of comparative safety, but </w:t>
      </w:r>
      <w:r w:rsidR="008B19B7">
        <w:rPr>
          <w:rFonts w:ascii="Arial" w:hAnsi="Arial" w:cs="Arial"/>
          <w:sz w:val="22"/>
          <w:szCs w:val="22"/>
        </w:rPr>
        <w:t xml:space="preserve">had </w:t>
      </w:r>
      <w:r w:rsidR="00F372E6" w:rsidRPr="00A309D7">
        <w:rPr>
          <w:rFonts w:ascii="Arial" w:hAnsi="Arial" w:cs="Arial"/>
          <w:sz w:val="22"/>
          <w:szCs w:val="22"/>
        </w:rPr>
        <w:t>noted that bendamustine is not without adverse events (</w:t>
      </w:r>
      <w:r w:rsidR="007061BD">
        <w:rPr>
          <w:rFonts w:ascii="Arial" w:hAnsi="Arial"/>
          <w:sz w:val="22"/>
          <w:szCs w:val="22"/>
        </w:rPr>
        <w:t>paragraph</w:t>
      </w:r>
      <w:r w:rsidR="00F372E6" w:rsidRPr="00A309D7">
        <w:rPr>
          <w:rFonts w:ascii="Arial" w:hAnsi="Arial" w:cs="Arial"/>
          <w:sz w:val="22"/>
          <w:szCs w:val="22"/>
        </w:rPr>
        <w:t xml:space="preserve"> 7.11,</w:t>
      </w:r>
      <w:r w:rsidR="007B557A" w:rsidRPr="00A309D7">
        <w:rPr>
          <w:rFonts w:ascii="Arial" w:hAnsi="Arial" w:cs="Arial"/>
          <w:sz w:val="22"/>
          <w:szCs w:val="22"/>
        </w:rPr>
        <w:t xml:space="preserve"> </w:t>
      </w:r>
      <w:r w:rsidR="006227B3">
        <w:rPr>
          <w:rFonts w:ascii="Arial" w:hAnsi="Arial"/>
          <w:sz w:val="22"/>
          <w:szCs w:val="22"/>
        </w:rPr>
        <w:t>March 2015 PSD</w:t>
      </w:r>
      <w:r w:rsidR="00D45E21" w:rsidRPr="00D45E21">
        <w:rPr>
          <w:rFonts w:ascii="Arial" w:hAnsi="Arial"/>
          <w:sz w:val="22"/>
          <w:szCs w:val="22"/>
        </w:rPr>
        <w:t>, bendamustine</w:t>
      </w:r>
      <w:r w:rsidR="00F372E6" w:rsidRPr="00A309D7">
        <w:rPr>
          <w:rFonts w:ascii="Arial" w:hAnsi="Arial" w:cs="Arial"/>
          <w:sz w:val="22"/>
          <w:szCs w:val="22"/>
        </w:rPr>
        <w:t>)</w:t>
      </w:r>
      <w:r w:rsidR="00F92E13">
        <w:rPr>
          <w:rFonts w:ascii="Arial" w:hAnsi="Arial" w:cs="Arial"/>
          <w:sz w:val="22"/>
          <w:szCs w:val="22"/>
        </w:rPr>
        <w:t>.</w:t>
      </w:r>
    </w:p>
    <w:p w:rsidR="00E41AD8" w:rsidRDefault="00E41AD8"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9B3CCC" w:rsidRPr="00120901" w:rsidRDefault="006B62D4" w:rsidP="006C05B8">
      <w:pPr>
        <w:pStyle w:val="ListParagraph"/>
        <w:numPr>
          <w:ilvl w:val="1"/>
          <w:numId w:val="25"/>
        </w:numPr>
        <w:jc w:val="both"/>
        <w:rPr>
          <w:rFonts w:ascii="Arial" w:hAnsi="Arial" w:cs="Arial"/>
          <w:sz w:val="22"/>
          <w:szCs w:val="22"/>
        </w:rPr>
      </w:pPr>
      <w:r w:rsidRPr="006B62D4">
        <w:rPr>
          <w:rFonts w:ascii="Arial" w:hAnsi="Arial"/>
          <w:sz w:val="22"/>
          <w:szCs w:val="22"/>
        </w:rPr>
        <w:t xml:space="preserve">The </w:t>
      </w:r>
      <w:r>
        <w:rPr>
          <w:rFonts w:ascii="Arial" w:hAnsi="Arial"/>
          <w:sz w:val="22"/>
          <w:szCs w:val="22"/>
        </w:rPr>
        <w:t xml:space="preserve">March 2015 </w:t>
      </w:r>
      <w:r w:rsidRPr="006B62D4">
        <w:rPr>
          <w:rFonts w:ascii="Arial" w:hAnsi="Arial"/>
          <w:sz w:val="22"/>
          <w:szCs w:val="22"/>
        </w:rPr>
        <w:t>submission claimed that bendamustine plus rituximab was superior</w:t>
      </w:r>
      <w:r>
        <w:rPr>
          <w:rFonts w:ascii="Arial" w:hAnsi="Arial"/>
          <w:sz w:val="22"/>
          <w:szCs w:val="22"/>
        </w:rPr>
        <w:t xml:space="preserve"> in terms of</w:t>
      </w:r>
      <w:r w:rsidRPr="006B62D4">
        <w:rPr>
          <w:rFonts w:ascii="Arial" w:hAnsi="Arial"/>
          <w:sz w:val="22"/>
          <w:szCs w:val="22"/>
        </w:rPr>
        <w:t xml:space="preserve"> effectiveness and safety </w:t>
      </w:r>
      <w:r>
        <w:rPr>
          <w:rFonts w:ascii="Arial" w:hAnsi="Arial"/>
          <w:sz w:val="22"/>
          <w:szCs w:val="22"/>
        </w:rPr>
        <w:t>compared with</w:t>
      </w:r>
      <w:r w:rsidRPr="006B62D4">
        <w:rPr>
          <w:rFonts w:ascii="Arial" w:hAnsi="Arial"/>
          <w:sz w:val="22"/>
          <w:szCs w:val="22"/>
        </w:rPr>
        <w:t xml:space="preserve"> R-CHOP for the </w:t>
      </w:r>
      <w:r>
        <w:rPr>
          <w:rFonts w:ascii="Arial" w:hAnsi="Arial"/>
          <w:sz w:val="22"/>
          <w:szCs w:val="22"/>
        </w:rPr>
        <w:t>first-</w:t>
      </w:r>
      <w:r w:rsidRPr="006B62D4">
        <w:rPr>
          <w:rFonts w:ascii="Arial" w:hAnsi="Arial"/>
          <w:sz w:val="22"/>
          <w:szCs w:val="22"/>
        </w:rPr>
        <w:t xml:space="preserve">line treatment of </w:t>
      </w:r>
      <w:proofErr w:type="spellStart"/>
      <w:r w:rsidRPr="006B62D4">
        <w:rPr>
          <w:rFonts w:ascii="Arial" w:hAnsi="Arial"/>
          <w:sz w:val="22"/>
          <w:szCs w:val="22"/>
        </w:rPr>
        <w:t>iNHL</w:t>
      </w:r>
      <w:proofErr w:type="spellEnd"/>
      <w:r w:rsidRPr="006B62D4">
        <w:rPr>
          <w:rFonts w:ascii="Arial" w:hAnsi="Arial"/>
          <w:sz w:val="22"/>
          <w:szCs w:val="22"/>
        </w:rPr>
        <w:t xml:space="preserve"> and MCL in patients who meet certain criteria. </w:t>
      </w:r>
      <w:r w:rsidR="002262D8" w:rsidRPr="00413B95">
        <w:rPr>
          <w:rFonts w:ascii="Arial" w:hAnsi="Arial"/>
          <w:sz w:val="22"/>
          <w:szCs w:val="22"/>
        </w:rPr>
        <w:t>The re</w:t>
      </w:r>
      <w:r w:rsidR="002262D8">
        <w:rPr>
          <w:rFonts w:ascii="Arial" w:hAnsi="Arial"/>
          <w:sz w:val="22"/>
          <w:szCs w:val="22"/>
        </w:rPr>
        <w:t>-</w:t>
      </w:r>
      <w:r w:rsidR="001D1327">
        <w:rPr>
          <w:rFonts w:ascii="Arial" w:hAnsi="Arial"/>
          <w:sz w:val="22"/>
          <w:szCs w:val="22"/>
        </w:rPr>
        <w:t>submission did</w:t>
      </w:r>
      <w:r w:rsidR="002262D8" w:rsidRPr="00413B95">
        <w:rPr>
          <w:rFonts w:ascii="Arial" w:hAnsi="Arial"/>
          <w:sz w:val="22"/>
          <w:szCs w:val="22"/>
        </w:rPr>
        <w:t xml:space="preserve"> not seek to change the clinical claim presented in the original submission and acce</w:t>
      </w:r>
      <w:r w:rsidR="002262D8">
        <w:rPr>
          <w:rFonts w:ascii="Arial" w:hAnsi="Arial"/>
          <w:sz w:val="22"/>
          <w:szCs w:val="22"/>
        </w:rPr>
        <w:t>pted by PBAC.</w:t>
      </w:r>
      <w:r w:rsidR="002262D8" w:rsidRPr="00413B95">
        <w:rPr>
          <w:rFonts w:ascii="Arial" w:hAnsi="Arial"/>
          <w:sz w:val="22"/>
          <w:szCs w:val="22"/>
        </w:rPr>
        <w:t xml:space="preserve"> </w:t>
      </w:r>
      <w:r w:rsidR="009B3CCC" w:rsidRPr="00E410E1">
        <w:rPr>
          <w:rFonts w:ascii="Arial" w:hAnsi="Arial" w:cs="Arial"/>
          <w:sz w:val="22"/>
          <w:szCs w:val="22"/>
        </w:rPr>
        <w:t xml:space="preserve">The PBAC </w:t>
      </w:r>
      <w:r w:rsidR="008B19B7">
        <w:rPr>
          <w:rFonts w:ascii="Arial" w:hAnsi="Arial" w:cs="Arial"/>
          <w:sz w:val="22"/>
          <w:szCs w:val="22"/>
        </w:rPr>
        <w:t xml:space="preserve">had </w:t>
      </w:r>
      <w:r w:rsidR="009B3CCC" w:rsidRPr="00E410E1">
        <w:rPr>
          <w:rFonts w:ascii="Arial" w:hAnsi="Arial" w:cs="Arial"/>
          <w:sz w:val="22"/>
          <w:szCs w:val="22"/>
        </w:rPr>
        <w:t xml:space="preserve">considered that the claim of superior </w:t>
      </w:r>
      <w:r w:rsidR="00E152B1" w:rsidRPr="00E410E1">
        <w:rPr>
          <w:rFonts w:ascii="Arial" w:hAnsi="Arial" w:cs="Arial"/>
          <w:sz w:val="22"/>
          <w:szCs w:val="22"/>
        </w:rPr>
        <w:t xml:space="preserve">comparative </w:t>
      </w:r>
      <w:r w:rsidR="009B3CCC" w:rsidRPr="00E410E1">
        <w:rPr>
          <w:rFonts w:ascii="Arial" w:hAnsi="Arial" w:cs="Arial"/>
          <w:sz w:val="22"/>
          <w:szCs w:val="22"/>
        </w:rPr>
        <w:t xml:space="preserve">effectiveness of B-R compared to R-CHOP was adequately supported for the outcome of </w:t>
      </w:r>
      <w:r w:rsidR="006227B3">
        <w:rPr>
          <w:rFonts w:ascii="Arial" w:hAnsi="Arial" w:cs="Arial"/>
          <w:sz w:val="22"/>
          <w:szCs w:val="22"/>
        </w:rPr>
        <w:t>progression free survival (</w:t>
      </w:r>
      <w:r w:rsidR="009B3CCC" w:rsidRPr="00E410E1">
        <w:rPr>
          <w:rFonts w:ascii="Arial" w:hAnsi="Arial" w:cs="Arial"/>
          <w:sz w:val="22"/>
          <w:szCs w:val="22"/>
        </w:rPr>
        <w:t>PFS</w:t>
      </w:r>
      <w:r w:rsidR="006227B3">
        <w:rPr>
          <w:rFonts w:ascii="Arial" w:hAnsi="Arial" w:cs="Arial"/>
          <w:sz w:val="22"/>
          <w:szCs w:val="22"/>
        </w:rPr>
        <w:t>)</w:t>
      </w:r>
      <w:r w:rsidR="009B3CCC" w:rsidRPr="00E410E1">
        <w:rPr>
          <w:rFonts w:ascii="Arial" w:hAnsi="Arial" w:cs="Arial"/>
          <w:sz w:val="22"/>
          <w:szCs w:val="22"/>
        </w:rPr>
        <w:t xml:space="preserve">, based on the </w:t>
      </w:r>
      <w:proofErr w:type="spellStart"/>
      <w:r w:rsidR="009B3CCC" w:rsidRPr="00E410E1">
        <w:rPr>
          <w:rFonts w:ascii="Arial" w:hAnsi="Arial" w:cs="Arial"/>
          <w:sz w:val="22"/>
          <w:szCs w:val="22"/>
        </w:rPr>
        <w:t>StiL</w:t>
      </w:r>
      <w:proofErr w:type="spellEnd"/>
      <w:r w:rsidR="009B3CCC" w:rsidRPr="00E410E1">
        <w:rPr>
          <w:rFonts w:ascii="Arial" w:hAnsi="Arial" w:cs="Arial"/>
          <w:sz w:val="22"/>
          <w:szCs w:val="22"/>
        </w:rPr>
        <w:t xml:space="preserve"> trial data for the first-line treatment of</w:t>
      </w:r>
      <w:r w:rsidR="00E152B1" w:rsidRPr="00E410E1">
        <w:rPr>
          <w:rFonts w:ascii="Arial" w:hAnsi="Arial" w:cs="Arial"/>
          <w:sz w:val="22"/>
          <w:szCs w:val="22"/>
        </w:rPr>
        <w:t xml:space="preserve"> </w:t>
      </w:r>
      <w:proofErr w:type="spellStart"/>
      <w:r w:rsidR="00E152B1" w:rsidRPr="00E410E1">
        <w:rPr>
          <w:rFonts w:ascii="Arial" w:hAnsi="Arial" w:cs="Arial"/>
          <w:sz w:val="22"/>
          <w:szCs w:val="22"/>
        </w:rPr>
        <w:t>iNHL</w:t>
      </w:r>
      <w:proofErr w:type="spellEnd"/>
      <w:r w:rsidR="00E152B1" w:rsidRPr="00E410E1">
        <w:rPr>
          <w:rFonts w:ascii="Arial" w:hAnsi="Arial" w:cs="Arial"/>
          <w:sz w:val="22"/>
          <w:szCs w:val="22"/>
        </w:rPr>
        <w:t xml:space="preserve"> and</w:t>
      </w:r>
      <w:r w:rsidR="009B3CCC" w:rsidRPr="00E410E1">
        <w:rPr>
          <w:rFonts w:ascii="Arial" w:hAnsi="Arial" w:cs="Arial"/>
          <w:sz w:val="22"/>
          <w:szCs w:val="22"/>
        </w:rPr>
        <w:t xml:space="preserve"> MCL.</w:t>
      </w:r>
      <w:r w:rsidR="009B3CCC" w:rsidRPr="00350685">
        <w:rPr>
          <w:rFonts w:ascii="Arial" w:hAnsi="Arial" w:cs="Arial"/>
          <w:sz w:val="22"/>
          <w:szCs w:val="22"/>
        </w:rPr>
        <w:t xml:space="preserve"> </w:t>
      </w:r>
      <w:r w:rsidR="006C05B8" w:rsidRPr="00E410E1">
        <w:rPr>
          <w:rFonts w:ascii="Arial" w:hAnsi="Arial" w:cs="Arial"/>
          <w:sz w:val="22"/>
          <w:szCs w:val="22"/>
        </w:rPr>
        <w:t xml:space="preserve">The PBAC </w:t>
      </w:r>
      <w:r w:rsidR="008B19B7">
        <w:rPr>
          <w:rFonts w:ascii="Arial" w:hAnsi="Arial" w:cs="Arial"/>
          <w:sz w:val="22"/>
          <w:szCs w:val="22"/>
        </w:rPr>
        <w:t xml:space="preserve">had </w:t>
      </w:r>
      <w:r w:rsidR="006C05B8" w:rsidRPr="00E410E1">
        <w:rPr>
          <w:rFonts w:ascii="Arial" w:hAnsi="Arial" w:cs="Arial"/>
          <w:sz w:val="22"/>
          <w:szCs w:val="22"/>
        </w:rPr>
        <w:t xml:space="preserve">also considered that B-R was superior to R-CHOP in terms of comparative safety, but noted that bendamustine is not without adverse events (paragraphs 7.8, 7.11 and 7.12, </w:t>
      </w:r>
      <w:r w:rsidR="006227B3">
        <w:rPr>
          <w:rFonts w:ascii="Arial" w:hAnsi="Arial" w:cs="Arial"/>
          <w:sz w:val="22"/>
          <w:szCs w:val="22"/>
        </w:rPr>
        <w:t>March 2015 PSD</w:t>
      </w:r>
      <w:r w:rsidR="006C05B8" w:rsidRPr="00E410E1">
        <w:rPr>
          <w:rFonts w:ascii="Arial" w:hAnsi="Arial" w:cs="Arial"/>
          <w:sz w:val="22"/>
          <w:szCs w:val="22"/>
        </w:rPr>
        <w:t>, bendamustine).</w:t>
      </w:r>
      <w:r w:rsidR="006C05B8" w:rsidRPr="00350685">
        <w:rPr>
          <w:rFonts w:ascii="Arial" w:hAnsi="Arial" w:cs="Arial"/>
          <w:sz w:val="22"/>
          <w:szCs w:val="22"/>
        </w:rPr>
        <w:t xml:space="preserve"> </w:t>
      </w:r>
    </w:p>
    <w:p w:rsidR="00F57A6D" w:rsidRPr="00882085" w:rsidRDefault="00F57A6D" w:rsidP="00A52A19">
      <w:pPr>
        <w:jc w:val="both"/>
        <w:rPr>
          <w:rFonts w:ascii="Arial" w:hAnsi="Arial"/>
          <w:sz w:val="22"/>
          <w:szCs w:val="22"/>
        </w:rPr>
      </w:pPr>
    </w:p>
    <w:p w:rsidR="005A3173" w:rsidRPr="001D1327" w:rsidRDefault="005A3173" w:rsidP="001D1327">
      <w:pPr>
        <w:jc w:val="both"/>
        <w:rPr>
          <w:rFonts w:ascii="Arial" w:hAnsi="Arial"/>
          <w:b/>
          <w:i/>
          <w:sz w:val="22"/>
          <w:szCs w:val="22"/>
        </w:rPr>
      </w:pPr>
      <w:r w:rsidRPr="00882085">
        <w:rPr>
          <w:rFonts w:ascii="Arial" w:hAnsi="Arial"/>
          <w:b/>
          <w:i/>
          <w:sz w:val="22"/>
          <w:szCs w:val="22"/>
        </w:rPr>
        <w:t>Economic analysis</w:t>
      </w:r>
    </w:p>
    <w:p w:rsidR="00D95DA3" w:rsidRPr="00307EF2" w:rsidRDefault="00D95DA3" w:rsidP="009B3CCC">
      <w:pPr>
        <w:jc w:val="both"/>
        <w:rPr>
          <w:rFonts w:ascii="Arial" w:hAnsi="Arial"/>
          <w:sz w:val="22"/>
          <w:szCs w:val="22"/>
        </w:rPr>
      </w:pPr>
    </w:p>
    <w:p w:rsidR="00E41AD8" w:rsidRDefault="00F621C4" w:rsidP="001D1327">
      <w:pPr>
        <w:pStyle w:val="ListParagraph"/>
        <w:numPr>
          <w:ilvl w:val="1"/>
          <w:numId w:val="25"/>
        </w:numPr>
        <w:jc w:val="both"/>
        <w:rPr>
          <w:rFonts w:ascii="Arial" w:hAnsi="Arial" w:cs="Arial"/>
          <w:sz w:val="22"/>
          <w:szCs w:val="22"/>
        </w:rPr>
      </w:pPr>
      <w:r>
        <w:rPr>
          <w:rFonts w:ascii="Arial" w:hAnsi="Arial" w:cs="Arial"/>
          <w:sz w:val="22"/>
          <w:szCs w:val="22"/>
        </w:rPr>
        <w:t>In March 2015 t</w:t>
      </w:r>
      <w:r w:rsidR="001D1327" w:rsidRPr="001D1327">
        <w:rPr>
          <w:rFonts w:ascii="Arial" w:hAnsi="Arial" w:cs="Arial"/>
          <w:sz w:val="22"/>
          <w:szCs w:val="22"/>
        </w:rPr>
        <w:t xml:space="preserve">he PBAC deferred its decision on bendamustine in previously untreated </w:t>
      </w:r>
      <w:proofErr w:type="spellStart"/>
      <w:r w:rsidR="001D1327" w:rsidRPr="001D1327">
        <w:rPr>
          <w:rFonts w:ascii="Arial" w:hAnsi="Arial" w:cs="Arial"/>
          <w:sz w:val="22"/>
          <w:szCs w:val="22"/>
        </w:rPr>
        <w:t>iNHL</w:t>
      </w:r>
      <w:proofErr w:type="spellEnd"/>
      <w:r w:rsidR="001D1327" w:rsidRPr="001D1327">
        <w:rPr>
          <w:rFonts w:ascii="Arial" w:hAnsi="Arial" w:cs="Arial"/>
          <w:sz w:val="22"/>
          <w:szCs w:val="22"/>
        </w:rPr>
        <w:t xml:space="preserve"> and MCL noting: </w:t>
      </w:r>
    </w:p>
    <w:p w:rsidR="002D7806" w:rsidRDefault="002D7806" w:rsidP="007A1EB1">
      <w:pPr>
        <w:pStyle w:val="ListParagraph"/>
        <w:numPr>
          <w:ilvl w:val="0"/>
          <w:numId w:val="51"/>
        </w:numPr>
        <w:jc w:val="both"/>
        <w:rPr>
          <w:rFonts w:ascii="Arial" w:hAnsi="Arial" w:cs="Arial"/>
          <w:sz w:val="22"/>
          <w:szCs w:val="22"/>
        </w:rPr>
      </w:pPr>
      <w:r w:rsidRPr="001D1327">
        <w:rPr>
          <w:rFonts w:ascii="Arial" w:hAnsi="Arial" w:cs="Arial"/>
          <w:sz w:val="22"/>
          <w:szCs w:val="22"/>
        </w:rPr>
        <w:t>the pending trial data (BRIGHT);</w:t>
      </w:r>
      <w:r>
        <w:rPr>
          <w:rFonts w:ascii="Arial" w:hAnsi="Arial" w:cs="Arial"/>
          <w:sz w:val="22"/>
          <w:szCs w:val="22"/>
        </w:rPr>
        <w:t xml:space="preserve"> </w:t>
      </w:r>
    </w:p>
    <w:p w:rsidR="00E41AD8" w:rsidRPr="009F5112" w:rsidRDefault="001D1327" w:rsidP="0074256D">
      <w:pPr>
        <w:pStyle w:val="ListParagraph"/>
        <w:numPr>
          <w:ilvl w:val="0"/>
          <w:numId w:val="51"/>
        </w:numPr>
        <w:jc w:val="both"/>
        <w:rPr>
          <w:rFonts w:ascii="Arial" w:hAnsi="Arial" w:cs="Arial"/>
          <w:sz w:val="22"/>
          <w:szCs w:val="22"/>
        </w:rPr>
      </w:pPr>
      <w:r w:rsidRPr="001D1327">
        <w:rPr>
          <w:rFonts w:ascii="Arial" w:hAnsi="Arial" w:cs="Arial"/>
          <w:sz w:val="22"/>
          <w:szCs w:val="22"/>
        </w:rPr>
        <w:t>the economic model submitted by the sponsor did not provide reliable estimate of the cost-effectiveness of bendamustine;</w:t>
      </w:r>
      <w:r w:rsidR="002D7806">
        <w:rPr>
          <w:rFonts w:ascii="Arial" w:hAnsi="Arial" w:cs="Arial"/>
          <w:sz w:val="22"/>
          <w:szCs w:val="22"/>
        </w:rPr>
        <w:t xml:space="preserve"> and</w:t>
      </w:r>
      <w:r w:rsidRPr="001D1327">
        <w:rPr>
          <w:rFonts w:ascii="Arial" w:hAnsi="Arial" w:cs="Arial"/>
          <w:sz w:val="22"/>
          <w:szCs w:val="22"/>
        </w:rPr>
        <w:t xml:space="preserve"> </w:t>
      </w:r>
    </w:p>
    <w:p w:rsidR="001D1327" w:rsidRPr="001D1327" w:rsidRDefault="001D1327" w:rsidP="007A1EB1">
      <w:pPr>
        <w:pStyle w:val="ListParagraph"/>
        <w:numPr>
          <w:ilvl w:val="0"/>
          <w:numId w:val="51"/>
        </w:numPr>
        <w:jc w:val="both"/>
        <w:rPr>
          <w:rFonts w:ascii="Arial" w:hAnsi="Arial" w:cs="Arial"/>
          <w:sz w:val="22"/>
          <w:szCs w:val="22"/>
        </w:rPr>
      </w:pPr>
      <w:r w:rsidRPr="001D1327">
        <w:rPr>
          <w:rFonts w:ascii="Arial" w:hAnsi="Arial" w:cs="Arial"/>
          <w:sz w:val="22"/>
          <w:szCs w:val="22"/>
        </w:rPr>
        <w:lastRenderedPageBreak/>
        <w:t xml:space="preserve"> </w:t>
      </w:r>
      <w:proofErr w:type="gramStart"/>
      <w:r w:rsidRPr="001D1327">
        <w:rPr>
          <w:rFonts w:ascii="Arial" w:hAnsi="Arial" w:cs="Arial"/>
          <w:sz w:val="22"/>
          <w:szCs w:val="22"/>
        </w:rPr>
        <w:t>the</w:t>
      </w:r>
      <w:proofErr w:type="gramEnd"/>
      <w:r w:rsidRPr="001D1327">
        <w:rPr>
          <w:rFonts w:ascii="Arial" w:hAnsi="Arial" w:cs="Arial"/>
          <w:sz w:val="22"/>
          <w:szCs w:val="22"/>
        </w:rPr>
        <w:t xml:space="preserve"> high price compared to other brands of bendamustine imported under the TGA Special Access Scheme.</w:t>
      </w:r>
    </w:p>
    <w:p w:rsidR="001D1327" w:rsidRPr="001D1327" w:rsidRDefault="001D1327" w:rsidP="001D1327">
      <w:pPr>
        <w:pStyle w:val="ListParagraph"/>
        <w:jc w:val="both"/>
        <w:rPr>
          <w:rFonts w:ascii="Arial" w:hAnsi="Arial" w:cs="Arial"/>
          <w:sz w:val="22"/>
          <w:szCs w:val="22"/>
        </w:rPr>
      </w:pPr>
    </w:p>
    <w:p w:rsidR="002D7806" w:rsidRDefault="002D7806" w:rsidP="002D7806">
      <w:pPr>
        <w:pStyle w:val="ListParagraph"/>
        <w:numPr>
          <w:ilvl w:val="1"/>
          <w:numId w:val="25"/>
        </w:numPr>
        <w:jc w:val="both"/>
        <w:rPr>
          <w:rFonts w:ascii="Arial" w:hAnsi="Arial" w:cs="Arial"/>
          <w:sz w:val="22"/>
          <w:szCs w:val="22"/>
        </w:rPr>
      </w:pPr>
      <w:r w:rsidRPr="00AD4ACF">
        <w:rPr>
          <w:rFonts w:ascii="Arial" w:hAnsi="Arial" w:cs="Arial"/>
          <w:sz w:val="22"/>
          <w:szCs w:val="22"/>
        </w:rPr>
        <w:t xml:space="preserve">The PBAC </w:t>
      </w:r>
      <w:r w:rsidR="001C7B87">
        <w:rPr>
          <w:rFonts w:ascii="Arial" w:hAnsi="Arial" w:cs="Arial"/>
          <w:sz w:val="22"/>
          <w:szCs w:val="22"/>
        </w:rPr>
        <w:t xml:space="preserve">had </w:t>
      </w:r>
      <w:r w:rsidRPr="00AD4ACF">
        <w:rPr>
          <w:rFonts w:ascii="Arial" w:hAnsi="Arial" w:cs="Arial"/>
          <w:sz w:val="22"/>
          <w:szCs w:val="22"/>
        </w:rPr>
        <w:t xml:space="preserve">requested that the listing of bendamustine to be reviewed by the Department upon the availability of longer term follow-up data from the BRIGHT study, to ensure that the PFS data from the BRIGHT trial are consistent with the data presented from the </w:t>
      </w:r>
      <w:proofErr w:type="spellStart"/>
      <w:r w:rsidRPr="00AD4ACF">
        <w:rPr>
          <w:rFonts w:ascii="Arial" w:hAnsi="Arial" w:cs="Arial"/>
          <w:sz w:val="22"/>
          <w:szCs w:val="22"/>
        </w:rPr>
        <w:t>StiL</w:t>
      </w:r>
      <w:proofErr w:type="spellEnd"/>
      <w:r w:rsidRPr="00AD4ACF">
        <w:rPr>
          <w:rFonts w:ascii="Arial" w:hAnsi="Arial" w:cs="Arial"/>
          <w:sz w:val="22"/>
          <w:szCs w:val="22"/>
        </w:rPr>
        <w:t xml:space="preserve"> trial. The PBAC </w:t>
      </w:r>
      <w:r w:rsidR="001C7B87">
        <w:rPr>
          <w:rFonts w:ascii="Arial" w:hAnsi="Arial" w:cs="Arial"/>
          <w:sz w:val="22"/>
          <w:szCs w:val="22"/>
        </w:rPr>
        <w:t xml:space="preserve">had </w:t>
      </w:r>
      <w:r w:rsidRPr="00AD4ACF">
        <w:rPr>
          <w:rFonts w:ascii="Arial" w:hAnsi="Arial" w:cs="Arial"/>
          <w:sz w:val="22"/>
          <w:szCs w:val="22"/>
        </w:rPr>
        <w:t xml:space="preserve">noted that should there be substantially less incremental improvement over R-CHOP in PFS (hazard ratio, median) observed in the BRIGHT study compared to the </w:t>
      </w:r>
      <w:proofErr w:type="spellStart"/>
      <w:r w:rsidRPr="00AD4ACF">
        <w:rPr>
          <w:rFonts w:ascii="Arial" w:hAnsi="Arial" w:cs="Arial"/>
          <w:sz w:val="22"/>
          <w:szCs w:val="22"/>
        </w:rPr>
        <w:t>StiL</w:t>
      </w:r>
      <w:proofErr w:type="spellEnd"/>
      <w:r w:rsidRPr="00AD4ACF">
        <w:rPr>
          <w:rFonts w:ascii="Arial" w:hAnsi="Arial" w:cs="Arial"/>
          <w:sz w:val="22"/>
          <w:szCs w:val="22"/>
        </w:rPr>
        <w:t xml:space="preserve"> trial, the sponsor would need to provide a reliable economic evaluation to support continued listing of the product at the listed price (</w:t>
      </w:r>
      <w:r>
        <w:rPr>
          <w:rFonts w:ascii="Arial" w:hAnsi="Arial"/>
          <w:sz w:val="22"/>
          <w:szCs w:val="22"/>
        </w:rPr>
        <w:t>paragraph</w:t>
      </w:r>
      <w:r w:rsidRPr="00AD4ACF">
        <w:rPr>
          <w:rFonts w:ascii="Arial" w:hAnsi="Arial" w:cs="Arial"/>
          <w:sz w:val="22"/>
          <w:szCs w:val="22"/>
        </w:rPr>
        <w:t xml:space="preserve"> 7.16, </w:t>
      </w:r>
      <w:r w:rsidR="006227B3">
        <w:rPr>
          <w:rFonts w:ascii="Arial" w:hAnsi="Arial"/>
          <w:sz w:val="22"/>
          <w:szCs w:val="22"/>
        </w:rPr>
        <w:t>March 2015 PSD</w:t>
      </w:r>
      <w:r w:rsidRPr="00D45E21">
        <w:rPr>
          <w:rFonts w:ascii="Arial" w:hAnsi="Arial"/>
          <w:sz w:val="22"/>
          <w:szCs w:val="22"/>
        </w:rPr>
        <w:t>, bendamustine</w:t>
      </w:r>
      <w:r>
        <w:rPr>
          <w:rFonts w:ascii="Arial" w:hAnsi="Arial" w:cs="Arial"/>
          <w:sz w:val="22"/>
          <w:szCs w:val="22"/>
        </w:rPr>
        <w:t xml:space="preserve">). </w:t>
      </w:r>
    </w:p>
    <w:p w:rsidR="002D7806" w:rsidRDefault="002D7806" w:rsidP="002D7806">
      <w:pPr>
        <w:pStyle w:val="ListParagraph"/>
        <w:jc w:val="both"/>
        <w:rPr>
          <w:rFonts w:ascii="Arial" w:hAnsi="Arial" w:cs="Arial"/>
          <w:sz w:val="22"/>
          <w:szCs w:val="22"/>
        </w:rPr>
      </w:pPr>
    </w:p>
    <w:p w:rsidR="002D7806" w:rsidRPr="00120901" w:rsidRDefault="002D7806" w:rsidP="002D7806">
      <w:pPr>
        <w:pStyle w:val="ListParagraph"/>
        <w:numPr>
          <w:ilvl w:val="1"/>
          <w:numId w:val="25"/>
        </w:numPr>
        <w:jc w:val="both"/>
        <w:rPr>
          <w:rFonts w:ascii="Arial" w:hAnsi="Arial" w:cs="Arial"/>
          <w:sz w:val="22"/>
          <w:szCs w:val="22"/>
        </w:rPr>
      </w:pPr>
      <w:r w:rsidRPr="00120901">
        <w:rPr>
          <w:rFonts w:ascii="Arial" w:hAnsi="Arial" w:cs="Arial"/>
          <w:sz w:val="22"/>
          <w:szCs w:val="22"/>
        </w:rPr>
        <w:t xml:space="preserve">The minor resubmission stated that the suggestion by PBAC to </w:t>
      </w:r>
      <w:r>
        <w:rPr>
          <w:rFonts w:ascii="Arial" w:hAnsi="Arial" w:cs="Arial"/>
          <w:sz w:val="22"/>
          <w:szCs w:val="22"/>
        </w:rPr>
        <w:t>use the</w:t>
      </w:r>
      <w:r w:rsidRPr="00120901">
        <w:rPr>
          <w:rFonts w:ascii="Arial" w:hAnsi="Arial" w:cs="Arial"/>
          <w:sz w:val="22"/>
          <w:szCs w:val="22"/>
        </w:rPr>
        <w:t xml:space="preserve"> BRIGHT study to confirm the cost-effectiveness of bendamustine post-listing </w:t>
      </w:r>
      <w:r>
        <w:rPr>
          <w:rFonts w:ascii="Arial" w:hAnsi="Arial" w:cs="Arial"/>
          <w:sz w:val="22"/>
          <w:szCs w:val="22"/>
        </w:rPr>
        <w:t>was</w:t>
      </w:r>
      <w:r w:rsidRPr="00120901">
        <w:rPr>
          <w:rFonts w:ascii="Arial" w:hAnsi="Arial" w:cs="Arial"/>
          <w:sz w:val="22"/>
          <w:szCs w:val="22"/>
        </w:rPr>
        <w:t xml:space="preserve"> inappropriate</w:t>
      </w:r>
      <w:r>
        <w:rPr>
          <w:rFonts w:ascii="Arial" w:hAnsi="Arial" w:cs="Arial"/>
          <w:sz w:val="22"/>
          <w:szCs w:val="22"/>
        </w:rPr>
        <w:t>, because</w:t>
      </w:r>
      <w:r w:rsidRPr="00120901">
        <w:rPr>
          <w:rFonts w:ascii="Arial" w:hAnsi="Arial" w:cs="Arial"/>
          <w:sz w:val="22"/>
          <w:szCs w:val="22"/>
        </w:rPr>
        <w:t>:</w:t>
      </w:r>
    </w:p>
    <w:p w:rsidR="002D7806" w:rsidRPr="00120901" w:rsidRDefault="002D7806" w:rsidP="002D7806">
      <w:pPr>
        <w:pStyle w:val="ListParagraph"/>
        <w:numPr>
          <w:ilvl w:val="0"/>
          <w:numId w:val="45"/>
        </w:numPr>
        <w:jc w:val="both"/>
        <w:rPr>
          <w:rFonts w:ascii="Arial" w:hAnsi="Arial" w:cs="Arial"/>
          <w:sz w:val="22"/>
          <w:szCs w:val="22"/>
        </w:rPr>
      </w:pPr>
      <w:r w:rsidRPr="00120901">
        <w:rPr>
          <w:rFonts w:ascii="Arial" w:hAnsi="Arial" w:cs="Arial"/>
          <w:sz w:val="22"/>
          <w:szCs w:val="22"/>
        </w:rPr>
        <w:t xml:space="preserve">The BRIGHT study </w:t>
      </w:r>
      <w:r>
        <w:rPr>
          <w:rFonts w:ascii="Arial" w:hAnsi="Arial" w:cs="Arial"/>
          <w:sz w:val="22"/>
          <w:szCs w:val="22"/>
        </w:rPr>
        <w:t>was used as</w:t>
      </w:r>
      <w:r w:rsidRPr="00120901">
        <w:rPr>
          <w:rFonts w:ascii="Arial" w:hAnsi="Arial" w:cs="Arial"/>
          <w:sz w:val="22"/>
          <w:szCs w:val="22"/>
        </w:rPr>
        <w:t xml:space="preserve"> supportive evidence for short term endpoints such as complete response and safety;</w:t>
      </w:r>
    </w:p>
    <w:p w:rsidR="002D7806" w:rsidRPr="008D4582" w:rsidRDefault="002D7806" w:rsidP="002D7806">
      <w:pPr>
        <w:pStyle w:val="ListParagraph"/>
        <w:numPr>
          <w:ilvl w:val="0"/>
          <w:numId w:val="45"/>
        </w:numPr>
        <w:jc w:val="both"/>
        <w:rPr>
          <w:rFonts w:ascii="Arial" w:hAnsi="Arial" w:cs="Arial"/>
          <w:sz w:val="22"/>
          <w:szCs w:val="22"/>
        </w:rPr>
      </w:pPr>
      <w:r w:rsidRPr="00120901">
        <w:rPr>
          <w:rFonts w:ascii="Arial" w:hAnsi="Arial" w:cs="Arial"/>
          <w:sz w:val="22"/>
          <w:szCs w:val="22"/>
        </w:rPr>
        <w:t xml:space="preserve">The sponsor </w:t>
      </w:r>
      <w:r>
        <w:rPr>
          <w:rFonts w:ascii="Arial" w:hAnsi="Arial" w:cs="Arial"/>
          <w:sz w:val="22"/>
          <w:szCs w:val="22"/>
        </w:rPr>
        <w:t>was</w:t>
      </w:r>
      <w:r w:rsidRPr="00120901">
        <w:rPr>
          <w:rFonts w:ascii="Arial" w:hAnsi="Arial" w:cs="Arial"/>
          <w:sz w:val="22"/>
          <w:szCs w:val="22"/>
        </w:rPr>
        <w:t xml:space="preserve"> not aware of the date of release of BRIGHT study publication</w:t>
      </w:r>
      <w:r w:rsidR="00F92415">
        <w:rPr>
          <w:rFonts w:ascii="Arial" w:hAnsi="Arial" w:cs="Arial"/>
          <w:sz w:val="22"/>
          <w:szCs w:val="22"/>
        </w:rPr>
        <w:t>; although a</w:t>
      </w:r>
      <w:r w:rsidRPr="00BF36A2">
        <w:rPr>
          <w:rFonts w:ascii="Arial" w:hAnsi="Arial" w:cs="Arial"/>
          <w:sz w:val="22"/>
          <w:szCs w:val="22"/>
        </w:rPr>
        <w:t>ccording to the ClinicalTrials.gov trial registry</w:t>
      </w:r>
      <w:r w:rsidR="00F92415">
        <w:rPr>
          <w:rFonts w:ascii="Arial" w:hAnsi="Arial" w:cs="Arial"/>
          <w:sz w:val="22"/>
          <w:szCs w:val="22"/>
        </w:rPr>
        <w:t>,</w:t>
      </w:r>
      <w:r w:rsidRPr="00BF36A2">
        <w:rPr>
          <w:rFonts w:ascii="Arial" w:hAnsi="Arial" w:cs="Arial"/>
          <w:sz w:val="22"/>
          <w:szCs w:val="22"/>
        </w:rPr>
        <w:t xml:space="preserve"> the </w:t>
      </w:r>
      <w:r w:rsidR="00F92415">
        <w:rPr>
          <w:rFonts w:ascii="Arial" w:hAnsi="Arial" w:cs="Arial"/>
          <w:sz w:val="22"/>
          <w:szCs w:val="22"/>
        </w:rPr>
        <w:t xml:space="preserve">results for </w:t>
      </w:r>
      <w:r w:rsidRPr="00BF36A2">
        <w:rPr>
          <w:rFonts w:ascii="Arial" w:hAnsi="Arial" w:cs="Arial"/>
          <w:sz w:val="22"/>
          <w:szCs w:val="22"/>
        </w:rPr>
        <w:t xml:space="preserve">PFS and OS at </w:t>
      </w:r>
      <w:r w:rsidR="00F92415">
        <w:rPr>
          <w:rFonts w:ascii="Arial" w:hAnsi="Arial" w:cs="Arial"/>
          <w:sz w:val="22"/>
          <w:szCs w:val="22"/>
        </w:rPr>
        <w:t xml:space="preserve">the </w:t>
      </w:r>
      <w:r w:rsidRPr="00BF36A2">
        <w:rPr>
          <w:rFonts w:ascii="Arial" w:hAnsi="Arial" w:cs="Arial"/>
          <w:sz w:val="22"/>
          <w:szCs w:val="22"/>
        </w:rPr>
        <w:t>end of follow-up are anticipated to be reported in July 2017</w:t>
      </w:r>
      <w:r w:rsidRPr="00BF36A2">
        <w:rPr>
          <w:rStyle w:val="FootnoteReference"/>
          <w:rFonts w:ascii="Arial" w:hAnsi="Arial" w:cs="Arial"/>
          <w:sz w:val="22"/>
          <w:szCs w:val="22"/>
        </w:rPr>
        <w:footnoteReference w:id="1"/>
      </w:r>
      <w:r w:rsidRPr="00BF36A2">
        <w:rPr>
          <w:rFonts w:ascii="Arial" w:hAnsi="Arial" w:cs="Arial"/>
          <w:sz w:val="22"/>
          <w:szCs w:val="22"/>
        </w:rPr>
        <w:t>;</w:t>
      </w:r>
    </w:p>
    <w:p w:rsidR="002D7806" w:rsidRPr="008D4582" w:rsidRDefault="002D7806" w:rsidP="002D7806">
      <w:pPr>
        <w:pStyle w:val="ListParagraph"/>
        <w:numPr>
          <w:ilvl w:val="0"/>
          <w:numId w:val="45"/>
        </w:numPr>
        <w:jc w:val="both"/>
        <w:rPr>
          <w:rFonts w:ascii="Arial" w:hAnsi="Arial" w:cs="Arial"/>
          <w:sz w:val="22"/>
          <w:szCs w:val="22"/>
        </w:rPr>
      </w:pPr>
      <w:r w:rsidRPr="008D4582">
        <w:rPr>
          <w:rFonts w:ascii="Arial" w:hAnsi="Arial" w:cs="Arial"/>
          <w:sz w:val="22"/>
          <w:szCs w:val="22"/>
        </w:rPr>
        <w:t>The BRIGHT study was not powered to detect differences in PFS and w</w:t>
      </w:r>
      <w:r w:rsidR="000C7056">
        <w:rPr>
          <w:rFonts w:ascii="Arial" w:hAnsi="Arial" w:cs="Arial"/>
          <w:sz w:val="22"/>
          <w:szCs w:val="22"/>
        </w:rPr>
        <w:t>ould</w:t>
      </w:r>
      <w:r w:rsidRPr="008D4582">
        <w:rPr>
          <w:rFonts w:ascii="Arial" w:hAnsi="Arial" w:cs="Arial"/>
          <w:sz w:val="22"/>
          <w:szCs w:val="22"/>
        </w:rPr>
        <w:t xml:space="preserve"> not have long term follow-up data, resulting in higher uncertainty in the estimates of PFS and OS;</w:t>
      </w:r>
      <w:r>
        <w:rPr>
          <w:rFonts w:ascii="Arial" w:hAnsi="Arial" w:cs="Arial"/>
          <w:sz w:val="22"/>
          <w:szCs w:val="22"/>
        </w:rPr>
        <w:t xml:space="preserve"> and</w:t>
      </w:r>
    </w:p>
    <w:p w:rsidR="002D7806" w:rsidRPr="00A52A19" w:rsidRDefault="002D7806" w:rsidP="002D7806">
      <w:pPr>
        <w:pStyle w:val="ListParagraph"/>
        <w:numPr>
          <w:ilvl w:val="0"/>
          <w:numId w:val="45"/>
        </w:numPr>
        <w:jc w:val="both"/>
        <w:rPr>
          <w:rFonts w:ascii="Arial" w:hAnsi="Arial" w:cs="Arial"/>
          <w:sz w:val="22"/>
          <w:szCs w:val="22"/>
        </w:rPr>
      </w:pPr>
      <w:r w:rsidRPr="008D4582">
        <w:rPr>
          <w:rFonts w:ascii="Arial" w:hAnsi="Arial" w:cs="Arial"/>
          <w:sz w:val="22"/>
          <w:szCs w:val="22"/>
        </w:rPr>
        <w:t>The comparator of the BRIGHT study was R-</w:t>
      </w:r>
      <w:r w:rsidRPr="00A52A19">
        <w:rPr>
          <w:rFonts w:ascii="Arial" w:hAnsi="Arial" w:cs="Arial"/>
          <w:sz w:val="22"/>
          <w:szCs w:val="22"/>
        </w:rPr>
        <w:t xml:space="preserve">CHOP (N=104) and R-CVP (N=119), which reduced the sample size in the R-CHOP arm. </w:t>
      </w:r>
    </w:p>
    <w:p w:rsidR="002D7806" w:rsidRDefault="002D7806" w:rsidP="000A4264">
      <w:pPr>
        <w:pStyle w:val="ListParagraph"/>
        <w:jc w:val="both"/>
        <w:rPr>
          <w:rFonts w:ascii="Arial" w:hAnsi="Arial" w:cs="Arial"/>
          <w:sz w:val="22"/>
          <w:szCs w:val="22"/>
        </w:rPr>
      </w:pPr>
    </w:p>
    <w:p w:rsidR="002D7806" w:rsidRDefault="002D7806" w:rsidP="002D7806">
      <w:pPr>
        <w:pStyle w:val="ListParagraph"/>
        <w:numPr>
          <w:ilvl w:val="1"/>
          <w:numId w:val="25"/>
        </w:numPr>
        <w:jc w:val="both"/>
        <w:rPr>
          <w:rFonts w:ascii="Arial" w:hAnsi="Arial" w:cs="Arial"/>
          <w:sz w:val="22"/>
          <w:szCs w:val="22"/>
        </w:rPr>
      </w:pPr>
      <w:r>
        <w:rPr>
          <w:rFonts w:ascii="Arial" w:hAnsi="Arial" w:cs="Arial"/>
          <w:sz w:val="22"/>
          <w:szCs w:val="22"/>
        </w:rPr>
        <w:t>The</w:t>
      </w:r>
      <w:r w:rsidRPr="00120901">
        <w:rPr>
          <w:rFonts w:ascii="Arial" w:hAnsi="Arial" w:cs="Arial"/>
          <w:sz w:val="22"/>
          <w:szCs w:val="22"/>
        </w:rPr>
        <w:t xml:space="preserve"> previous major submission</w:t>
      </w:r>
      <w:r>
        <w:rPr>
          <w:rFonts w:ascii="Arial" w:hAnsi="Arial" w:cs="Arial"/>
          <w:sz w:val="22"/>
          <w:szCs w:val="22"/>
        </w:rPr>
        <w:t>,</w:t>
      </w:r>
      <w:r w:rsidRPr="00120901">
        <w:rPr>
          <w:rFonts w:ascii="Arial" w:hAnsi="Arial" w:cs="Arial"/>
          <w:sz w:val="22"/>
          <w:szCs w:val="22"/>
        </w:rPr>
        <w:t xml:space="preserve"> consid</w:t>
      </w:r>
      <w:r>
        <w:rPr>
          <w:rFonts w:ascii="Arial" w:hAnsi="Arial" w:cs="Arial"/>
          <w:sz w:val="22"/>
          <w:szCs w:val="22"/>
        </w:rPr>
        <w:t xml:space="preserve">ered by PBAC in March 2015, </w:t>
      </w:r>
      <w:r w:rsidRPr="00251125">
        <w:rPr>
          <w:rFonts w:ascii="Arial" w:hAnsi="Arial" w:cs="Arial"/>
          <w:sz w:val="22"/>
          <w:szCs w:val="22"/>
        </w:rPr>
        <w:t xml:space="preserve">presented a cost-utility analysis against R-CHOP, based on a Markov model with three disease states (progression-free, progressed disease and dead). The PBAC </w:t>
      </w:r>
      <w:r w:rsidR="001C7B87">
        <w:rPr>
          <w:rFonts w:ascii="Arial" w:hAnsi="Arial" w:cs="Arial"/>
          <w:sz w:val="22"/>
          <w:szCs w:val="22"/>
        </w:rPr>
        <w:t xml:space="preserve">had </w:t>
      </w:r>
      <w:r w:rsidRPr="00251125">
        <w:rPr>
          <w:rFonts w:ascii="Arial" w:hAnsi="Arial" w:cs="Arial"/>
          <w:sz w:val="22"/>
          <w:szCs w:val="22"/>
        </w:rPr>
        <w:t>considered that model submitted in March 2015 did not provide a reliable basis for estimating the cost-effectiveness of bendamustine and requested that a more appropriate model would include five disease states (diagnosed, active disease relapsed, partial response to therapy, remission/full response to therapy and disease-free) and their corresponding utility values (</w:t>
      </w:r>
      <w:r>
        <w:rPr>
          <w:rFonts w:ascii="Arial" w:hAnsi="Arial"/>
          <w:sz w:val="22"/>
          <w:szCs w:val="22"/>
        </w:rPr>
        <w:t>paragraph</w:t>
      </w:r>
      <w:r w:rsidRPr="00251125">
        <w:rPr>
          <w:rFonts w:ascii="Arial" w:hAnsi="Arial" w:cs="Arial"/>
          <w:sz w:val="22"/>
          <w:szCs w:val="22"/>
        </w:rPr>
        <w:t xml:space="preserve"> 7.14, </w:t>
      </w:r>
      <w:r w:rsidR="006227B3">
        <w:rPr>
          <w:rFonts w:ascii="Arial" w:hAnsi="Arial"/>
          <w:sz w:val="22"/>
          <w:szCs w:val="22"/>
        </w:rPr>
        <w:t>March 2015 PSD</w:t>
      </w:r>
      <w:r w:rsidRPr="00D45E21">
        <w:rPr>
          <w:rFonts w:ascii="Arial" w:hAnsi="Arial"/>
          <w:sz w:val="22"/>
          <w:szCs w:val="22"/>
        </w:rPr>
        <w:t>, bendamustine</w:t>
      </w:r>
      <w:r w:rsidRPr="00251125">
        <w:rPr>
          <w:rFonts w:ascii="Arial" w:hAnsi="Arial" w:cs="Arial"/>
          <w:sz w:val="22"/>
          <w:szCs w:val="22"/>
        </w:rPr>
        <w:t>).</w:t>
      </w:r>
    </w:p>
    <w:p w:rsidR="002D7806" w:rsidRDefault="002D7806" w:rsidP="002D7806">
      <w:pPr>
        <w:pStyle w:val="ListParagraph"/>
        <w:jc w:val="both"/>
        <w:rPr>
          <w:rFonts w:ascii="Arial" w:hAnsi="Arial" w:cs="Arial"/>
          <w:sz w:val="22"/>
          <w:szCs w:val="22"/>
        </w:rPr>
      </w:pPr>
    </w:p>
    <w:p w:rsidR="002D7806" w:rsidRDefault="002D7806" w:rsidP="002D7806">
      <w:pPr>
        <w:pStyle w:val="ListParagraph"/>
        <w:numPr>
          <w:ilvl w:val="1"/>
          <w:numId w:val="25"/>
        </w:numPr>
        <w:jc w:val="both"/>
        <w:rPr>
          <w:rFonts w:ascii="Arial" w:hAnsi="Arial" w:cs="Arial"/>
          <w:sz w:val="22"/>
          <w:szCs w:val="22"/>
        </w:rPr>
      </w:pPr>
      <w:r>
        <w:rPr>
          <w:rFonts w:ascii="Arial" w:hAnsi="Arial" w:cs="Arial"/>
          <w:sz w:val="22"/>
          <w:szCs w:val="22"/>
        </w:rPr>
        <w:t xml:space="preserve">The </w:t>
      </w:r>
      <w:r w:rsidRPr="001D1327">
        <w:rPr>
          <w:rFonts w:ascii="Arial" w:hAnsi="Arial" w:cs="Arial"/>
          <w:sz w:val="22"/>
          <w:szCs w:val="22"/>
        </w:rPr>
        <w:t>re-submission did not alter the economic model structure from the M</w:t>
      </w:r>
      <w:r>
        <w:rPr>
          <w:rFonts w:ascii="Arial" w:hAnsi="Arial" w:cs="Arial"/>
          <w:sz w:val="22"/>
          <w:szCs w:val="22"/>
        </w:rPr>
        <w:t xml:space="preserve">arch 2015 submission. The </w:t>
      </w:r>
      <w:r w:rsidRPr="001D1327">
        <w:rPr>
          <w:rFonts w:ascii="Arial" w:hAnsi="Arial" w:cs="Arial"/>
          <w:sz w:val="22"/>
          <w:szCs w:val="22"/>
        </w:rPr>
        <w:t xml:space="preserve">re-submission stated that due to lack of access to patient level data the 5-disease state model </w:t>
      </w:r>
      <w:r w:rsidR="000C7056">
        <w:rPr>
          <w:rFonts w:ascii="Arial" w:hAnsi="Arial" w:cs="Arial"/>
          <w:sz w:val="22"/>
          <w:szCs w:val="22"/>
        </w:rPr>
        <w:t>wa</w:t>
      </w:r>
      <w:r w:rsidRPr="001D1327">
        <w:rPr>
          <w:rFonts w:ascii="Arial" w:hAnsi="Arial" w:cs="Arial"/>
          <w:sz w:val="22"/>
          <w:szCs w:val="22"/>
        </w:rPr>
        <w:t>s not possible</w:t>
      </w:r>
      <w:r>
        <w:rPr>
          <w:rFonts w:ascii="Arial" w:hAnsi="Arial" w:cs="Arial"/>
          <w:sz w:val="22"/>
          <w:szCs w:val="22"/>
        </w:rPr>
        <w:t>. The re-</w:t>
      </w:r>
      <w:r w:rsidRPr="001D1327">
        <w:rPr>
          <w:rFonts w:ascii="Arial" w:hAnsi="Arial" w:cs="Arial"/>
          <w:sz w:val="22"/>
          <w:szCs w:val="22"/>
        </w:rPr>
        <w:t>submission stated that according to Wild et al (2006) it was reasonable to pool the 5-disease state utilities i</w:t>
      </w:r>
      <w:r>
        <w:rPr>
          <w:rFonts w:ascii="Arial" w:hAnsi="Arial" w:cs="Arial"/>
          <w:sz w:val="22"/>
          <w:szCs w:val="22"/>
        </w:rPr>
        <w:t>nto two ‘macro disease states’. The re-submission claimed that grouping three (</w:t>
      </w:r>
      <w:r w:rsidRPr="00C65EAE">
        <w:rPr>
          <w:rFonts w:ascii="Arial" w:hAnsi="Arial" w:cs="Arial"/>
          <w:sz w:val="22"/>
          <w:szCs w:val="22"/>
        </w:rPr>
        <w:t>partial response to therapy, remission/full re</w:t>
      </w:r>
      <w:r>
        <w:rPr>
          <w:rFonts w:ascii="Arial" w:hAnsi="Arial" w:cs="Arial"/>
          <w:sz w:val="22"/>
          <w:szCs w:val="22"/>
        </w:rPr>
        <w:t>sponse to therapy, disease-free) of the five utility states into one utility state (pre-progression) for the economic model was appropriate.</w:t>
      </w:r>
    </w:p>
    <w:p w:rsidR="002D7806" w:rsidRDefault="002D7806" w:rsidP="002D7806">
      <w:pPr>
        <w:pStyle w:val="ListParagraph"/>
        <w:rPr>
          <w:rFonts w:ascii="Arial" w:hAnsi="Arial" w:cs="Arial"/>
          <w:sz w:val="22"/>
          <w:szCs w:val="22"/>
        </w:rPr>
      </w:pPr>
    </w:p>
    <w:p w:rsidR="002D7806" w:rsidRDefault="002D7806" w:rsidP="002D7806">
      <w:pPr>
        <w:pStyle w:val="ListParagraph"/>
        <w:numPr>
          <w:ilvl w:val="1"/>
          <w:numId w:val="25"/>
        </w:numPr>
        <w:jc w:val="both"/>
        <w:rPr>
          <w:rFonts w:ascii="Arial" w:hAnsi="Arial" w:cs="Arial"/>
          <w:sz w:val="22"/>
          <w:szCs w:val="22"/>
        </w:rPr>
      </w:pPr>
      <w:r w:rsidRPr="008D4582">
        <w:rPr>
          <w:rFonts w:ascii="Arial" w:hAnsi="Arial" w:cs="Arial"/>
          <w:sz w:val="22"/>
          <w:szCs w:val="22"/>
        </w:rPr>
        <w:t xml:space="preserve">The PBAC </w:t>
      </w:r>
      <w:r w:rsidR="001C7B87">
        <w:rPr>
          <w:rFonts w:ascii="Arial" w:hAnsi="Arial" w:cs="Arial"/>
          <w:sz w:val="22"/>
          <w:szCs w:val="22"/>
        </w:rPr>
        <w:t xml:space="preserve">had also </w:t>
      </w:r>
      <w:r w:rsidRPr="008D4582">
        <w:rPr>
          <w:rFonts w:ascii="Arial" w:hAnsi="Arial" w:cs="Arial"/>
          <w:sz w:val="22"/>
          <w:szCs w:val="22"/>
        </w:rPr>
        <w:t>considered that an economic model should incorporate the impact of further lines of treatment with their costs and health benefits (</w:t>
      </w:r>
      <w:r>
        <w:rPr>
          <w:rFonts w:ascii="Arial" w:hAnsi="Arial"/>
          <w:sz w:val="22"/>
          <w:szCs w:val="22"/>
        </w:rPr>
        <w:t>paragraph</w:t>
      </w:r>
      <w:r w:rsidRPr="00364DFD">
        <w:rPr>
          <w:rFonts w:ascii="Arial" w:hAnsi="Arial" w:cs="Arial"/>
          <w:sz w:val="22"/>
          <w:szCs w:val="22"/>
        </w:rPr>
        <w:t xml:space="preserve"> </w:t>
      </w:r>
      <w:r w:rsidRPr="00364DFD">
        <w:rPr>
          <w:rFonts w:ascii="Arial" w:hAnsi="Arial" w:cs="Arial"/>
          <w:sz w:val="22"/>
          <w:szCs w:val="22"/>
        </w:rPr>
        <w:lastRenderedPageBreak/>
        <w:t>7.15</w:t>
      </w:r>
      <w:r>
        <w:rPr>
          <w:rFonts w:ascii="Arial" w:hAnsi="Arial" w:cs="Arial"/>
          <w:sz w:val="22"/>
          <w:szCs w:val="22"/>
        </w:rPr>
        <w:t xml:space="preserve">, </w:t>
      </w:r>
      <w:r w:rsidRPr="00D45E21">
        <w:rPr>
          <w:rFonts w:ascii="Arial" w:hAnsi="Arial"/>
          <w:sz w:val="22"/>
          <w:szCs w:val="22"/>
        </w:rPr>
        <w:t>March 2015</w:t>
      </w:r>
      <w:r>
        <w:rPr>
          <w:rFonts w:ascii="Arial" w:hAnsi="Arial"/>
          <w:sz w:val="22"/>
          <w:szCs w:val="22"/>
        </w:rPr>
        <w:t xml:space="preserve"> PSD</w:t>
      </w:r>
      <w:r w:rsidRPr="00D45E21">
        <w:rPr>
          <w:rFonts w:ascii="Arial" w:hAnsi="Arial"/>
          <w:sz w:val="22"/>
          <w:szCs w:val="22"/>
        </w:rPr>
        <w:t>, bendamustine</w:t>
      </w:r>
      <w:r w:rsidRPr="008D4582">
        <w:rPr>
          <w:rFonts w:ascii="Arial" w:hAnsi="Arial" w:cs="Arial"/>
          <w:sz w:val="22"/>
          <w:szCs w:val="22"/>
        </w:rPr>
        <w:t>). Th</w:t>
      </w:r>
      <w:r>
        <w:rPr>
          <w:rFonts w:ascii="Arial" w:hAnsi="Arial" w:cs="Arial"/>
          <w:sz w:val="22"/>
          <w:szCs w:val="22"/>
        </w:rPr>
        <w:t>e</w:t>
      </w:r>
      <w:r w:rsidRPr="008D4582">
        <w:rPr>
          <w:rFonts w:ascii="Arial" w:hAnsi="Arial" w:cs="Arial"/>
          <w:sz w:val="22"/>
          <w:szCs w:val="22"/>
        </w:rPr>
        <w:t xml:space="preserve"> re-submission stated that the exclusion of further therapies in the economic analysis is a conservative approach as it favours R-CHOP. </w:t>
      </w:r>
    </w:p>
    <w:p w:rsidR="002D7806" w:rsidRDefault="002D7806" w:rsidP="002D7806">
      <w:pPr>
        <w:pStyle w:val="ListParagraph"/>
        <w:jc w:val="both"/>
        <w:rPr>
          <w:rFonts w:ascii="Arial" w:hAnsi="Arial" w:cs="Arial"/>
          <w:sz w:val="22"/>
          <w:szCs w:val="22"/>
        </w:rPr>
      </w:pPr>
    </w:p>
    <w:p w:rsidR="002D7806" w:rsidRPr="009C1689" w:rsidRDefault="002D7806" w:rsidP="002D7806">
      <w:pPr>
        <w:pStyle w:val="ListParagraph"/>
        <w:numPr>
          <w:ilvl w:val="1"/>
          <w:numId w:val="25"/>
        </w:numPr>
        <w:jc w:val="both"/>
        <w:rPr>
          <w:rFonts w:ascii="Arial" w:hAnsi="Arial" w:cs="Arial"/>
          <w:sz w:val="22"/>
          <w:szCs w:val="22"/>
        </w:rPr>
      </w:pPr>
      <w:r>
        <w:rPr>
          <w:rFonts w:ascii="Arial" w:hAnsi="Arial" w:cs="Arial"/>
          <w:sz w:val="22"/>
          <w:szCs w:val="22"/>
        </w:rPr>
        <w:t>The re-submission claimed that</w:t>
      </w:r>
      <w:r w:rsidRPr="008D4582">
        <w:rPr>
          <w:rFonts w:ascii="Arial" w:hAnsi="Arial" w:cs="Arial"/>
          <w:sz w:val="22"/>
          <w:szCs w:val="22"/>
        </w:rPr>
        <w:t xml:space="preserve"> patients in the R-CHOP arm (according to the </w:t>
      </w:r>
      <w:proofErr w:type="spellStart"/>
      <w:r w:rsidRPr="008D4582">
        <w:rPr>
          <w:rFonts w:ascii="Arial" w:hAnsi="Arial" w:cs="Arial"/>
          <w:sz w:val="22"/>
          <w:szCs w:val="22"/>
        </w:rPr>
        <w:t>StiL</w:t>
      </w:r>
      <w:proofErr w:type="spellEnd"/>
      <w:r w:rsidRPr="008D4582">
        <w:rPr>
          <w:rFonts w:ascii="Arial" w:hAnsi="Arial" w:cs="Arial"/>
          <w:sz w:val="22"/>
          <w:szCs w:val="22"/>
        </w:rPr>
        <w:t xml:space="preserve"> trial results) would be more likely to receive subsequent therapies faster than patients in the B-R arm. </w:t>
      </w:r>
      <w:r w:rsidRPr="009C1689">
        <w:rPr>
          <w:rFonts w:ascii="Arial" w:hAnsi="Arial" w:cs="Arial"/>
          <w:sz w:val="22"/>
          <w:szCs w:val="22"/>
        </w:rPr>
        <w:t>The re-submission presented a graphical illustration to support its statement. See Figure 1 belo</w:t>
      </w:r>
      <w:bookmarkStart w:id="1" w:name="_GoBack"/>
      <w:bookmarkEnd w:id="1"/>
      <w:r w:rsidRPr="009C1689">
        <w:rPr>
          <w:rFonts w:ascii="Arial" w:hAnsi="Arial" w:cs="Arial"/>
          <w:sz w:val="22"/>
          <w:szCs w:val="22"/>
        </w:rPr>
        <w:t>w.</w:t>
      </w:r>
    </w:p>
    <w:p w:rsidR="002D7806" w:rsidRDefault="002D7806" w:rsidP="002D7806">
      <w:pPr>
        <w:pStyle w:val="ListParagraph"/>
        <w:keepNext/>
        <w:jc w:val="both"/>
        <w:rPr>
          <w:rFonts w:ascii="Arial Narrow" w:hAnsi="Arial Narrow" w:cs="Arial"/>
          <w:b/>
          <w:sz w:val="20"/>
          <w:szCs w:val="20"/>
        </w:rPr>
      </w:pPr>
    </w:p>
    <w:p w:rsidR="002D7806" w:rsidRPr="001D1327" w:rsidRDefault="002D7806" w:rsidP="002D7806">
      <w:pPr>
        <w:pStyle w:val="ListParagraph"/>
        <w:keepNext/>
        <w:jc w:val="both"/>
        <w:rPr>
          <w:rFonts w:ascii="Arial Narrow" w:hAnsi="Arial Narrow" w:cs="Arial"/>
          <w:b/>
          <w:sz w:val="20"/>
          <w:szCs w:val="20"/>
        </w:rPr>
      </w:pPr>
      <w:proofErr w:type="gramStart"/>
      <w:r w:rsidRPr="001D1327">
        <w:rPr>
          <w:rFonts w:ascii="Arial Narrow" w:hAnsi="Arial Narrow" w:cs="Arial"/>
          <w:b/>
          <w:sz w:val="20"/>
          <w:szCs w:val="20"/>
        </w:rPr>
        <w:t>Figure 1.</w:t>
      </w:r>
      <w:proofErr w:type="gramEnd"/>
      <w:r w:rsidRPr="001D1327">
        <w:rPr>
          <w:rFonts w:ascii="Arial Narrow" w:hAnsi="Arial Narrow" w:cs="Arial"/>
          <w:b/>
          <w:sz w:val="20"/>
          <w:szCs w:val="20"/>
        </w:rPr>
        <w:t xml:space="preserve"> Illustration of the impact that subsequent therapies have on health outcomes</w:t>
      </w:r>
    </w:p>
    <w:p w:rsidR="002D7806" w:rsidRPr="001D1327" w:rsidRDefault="002E1102" w:rsidP="002D7806">
      <w:pPr>
        <w:ind w:left="720"/>
        <w:jc w:val="both"/>
        <w:rPr>
          <w:rFonts w:ascii="Arial" w:hAnsi="Arial" w:cs="Arial"/>
          <w:sz w:val="22"/>
          <w:szCs w:val="22"/>
        </w:rPr>
      </w:pPr>
      <w:r w:rsidRPr="008D4582">
        <w:rPr>
          <w:rFonts w:ascii="Arial" w:hAnsi="Arial"/>
          <w:noProof/>
          <w:sz w:val="22"/>
          <w:szCs w:val="22"/>
        </w:rPr>
        <w:drawing>
          <wp:inline distT="0" distB="0" distL="0" distR="0" wp14:anchorId="40296593" wp14:editId="0F2A9611">
            <wp:extent cx="5731510" cy="3366135"/>
            <wp:effectExtent l="0" t="0" r="2540" b="5715"/>
            <wp:docPr id="2" name="Picture 2" descr="cid:image001.png@01D07DC1.566D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7DC1.566DF0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3366135"/>
                    </a:xfrm>
                    <a:prstGeom prst="rect">
                      <a:avLst/>
                    </a:prstGeom>
                    <a:noFill/>
                    <a:ln>
                      <a:noFill/>
                    </a:ln>
                  </pic:spPr>
                </pic:pic>
              </a:graphicData>
            </a:graphic>
          </wp:inline>
        </w:drawing>
      </w:r>
      <w:r w:rsidR="002D7806" w:rsidRPr="001D1327">
        <w:rPr>
          <w:rFonts w:ascii="Arial Narrow" w:hAnsi="Arial Narrow" w:cs="Arial"/>
          <w:sz w:val="18"/>
          <w:szCs w:val="18"/>
        </w:rPr>
        <w:t>Source: the re-submission</w:t>
      </w:r>
    </w:p>
    <w:p w:rsidR="002D7806" w:rsidRPr="001D1327" w:rsidRDefault="002D7806" w:rsidP="002D7806">
      <w:pPr>
        <w:pStyle w:val="ListParagraph"/>
        <w:jc w:val="both"/>
        <w:rPr>
          <w:rFonts w:ascii="Arial" w:hAnsi="Arial" w:cs="Arial"/>
          <w:i/>
          <w:sz w:val="22"/>
          <w:szCs w:val="22"/>
        </w:rPr>
      </w:pPr>
    </w:p>
    <w:p w:rsidR="002D7806" w:rsidRPr="007A1EB1" w:rsidRDefault="002D7806" w:rsidP="002D7806">
      <w:pPr>
        <w:pStyle w:val="ListParagraph"/>
        <w:numPr>
          <w:ilvl w:val="1"/>
          <w:numId w:val="25"/>
        </w:numPr>
        <w:jc w:val="both"/>
        <w:rPr>
          <w:rFonts w:ascii="Arial" w:hAnsi="Arial" w:cs="Arial"/>
          <w:i/>
          <w:sz w:val="22"/>
          <w:szCs w:val="22"/>
        </w:rPr>
      </w:pPr>
      <w:r>
        <w:rPr>
          <w:rFonts w:ascii="Arial" w:hAnsi="Arial" w:cs="Arial"/>
          <w:sz w:val="22"/>
          <w:szCs w:val="22"/>
        </w:rPr>
        <w:t xml:space="preserve">The resubmission claimed that (based on the figure above), R-CHOP patients were likely to experience more lines of subsequent therapies than B-R patients, and therefore the cost of subsequent therapies will be greater in R-CHOP patients than in B-R patients. </w:t>
      </w:r>
      <w:r w:rsidRPr="00E410E1">
        <w:rPr>
          <w:rFonts w:ascii="Arial" w:hAnsi="Arial" w:cs="Arial"/>
          <w:sz w:val="22"/>
          <w:szCs w:val="22"/>
        </w:rPr>
        <w:t xml:space="preserve">Furthermore, the updated </w:t>
      </w:r>
      <w:proofErr w:type="spellStart"/>
      <w:r w:rsidRPr="00E410E1">
        <w:rPr>
          <w:rFonts w:ascii="Arial" w:hAnsi="Arial" w:cs="Arial"/>
          <w:sz w:val="22"/>
          <w:szCs w:val="22"/>
        </w:rPr>
        <w:t>StiL</w:t>
      </w:r>
      <w:proofErr w:type="spellEnd"/>
      <w:r w:rsidRPr="00E410E1">
        <w:rPr>
          <w:rFonts w:ascii="Arial" w:hAnsi="Arial" w:cs="Arial"/>
          <w:sz w:val="22"/>
          <w:szCs w:val="22"/>
        </w:rPr>
        <w:t xml:space="preserve"> trial data indicated that there was cross over in the R-CHOP arm and 49% received B-R as salvage treatment. The potential of B-R being administered after R-CHOP may need to be incorporated with the subsequent lines of treatment.</w:t>
      </w:r>
    </w:p>
    <w:p w:rsidR="002D7806" w:rsidRPr="008D4582" w:rsidRDefault="002D7806" w:rsidP="002D7806">
      <w:pPr>
        <w:pStyle w:val="ListParagraph"/>
        <w:jc w:val="both"/>
        <w:rPr>
          <w:rFonts w:ascii="Arial" w:hAnsi="Arial" w:cs="Arial"/>
          <w:i/>
          <w:sz w:val="22"/>
          <w:szCs w:val="22"/>
        </w:rPr>
      </w:pPr>
    </w:p>
    <w:p w:rsidR="002D7806" w:rsidRDefault="002D7806" w:rsidP="002D7806">
      <w:pPr>
        <w:pStyle w:val="ListParagraph"/>
        <w:numPr>
          <w:ilvl w:val="1"/>
          <w:numId w:val="25"/>
        </w:numPr>
        <w:jc w:val="both"/>
        <w:rPr>
          <w:rFonts w:ascii="Arial" w:hAnsi="Arial" w:cs="Arial"/>
          <w:i/>
          <w:sz w:val="22"/>
          <w:szCs w:val="22"/>
        </w:rPr>
      </w:pPr>
      <w:r w:rsidRPr="00A72EB4">
        <w:rPr>
          <w:rFonts w:ascii="Arial" w:hAnsi="Arial" w:cs="Arial"/>
          <w:sz w:val="22"/>
          <w:szCs w:val="22"/>
        </w:rPr>
        <w:t xml:space="preserve">The </w:t>
      </w:r>
      <w:r>
        <w:rPr>
          <w:rFonts w:ascii="Arial" w:hAnsi="Arial" w:cs="Arial"/>
          <w:sz w:val="22"/>
          <w:szCs w:val="22"/>
        </w:rPr>
        <w:t>re-</w:t>
      </w:r>
      <w:r w:rsidRPr="00A72EB4">
        <w:rPr>
          <w:rFonts w:ascii="Arial" w:hAnsi="Arial" w:cs="Arial"/>
          <w:sz w:val="22"/>
          <w:szCs w:val="22"/>
        </w:rPr>
        <w:t xml:space="preserve">submission presented a sensitivity analysis of the </w:t>
      </w:r>
      <w:r>
        <w:rPr>
          <w:rFonts w:ascii="Arial" w:hAnsi="Arial" w:cs="Arial"/>
          <w:sz w:val="22"/>
          <w:szCs w:val="22"/>
        </w:rPr>
        <w:t xml:space="preserve">economic model </w:t>
      </w:r>
      <w:r w:rsidRPr="00A72EB4">
        <w:rPr>
          <w:rFonts w:ascii="Arial" w:hAnsi="Arial" w:cs="Arial"/>
          <w:sz w:val="22"/>
          <w:szCs w:val="22"/>
        </w:rPr>
        <w:t>by including rituximab maintenance</w:t>
      </w:r>
      <w:r>
        <w:rPr>
          <w:rFonts w:ascii="Arial" w:hAnsi="Arial" w:cs="Arial"/>
          <w:sz w:val="22"/>
          <w:szCs w:val="22"/>
        </w:rPr>
        <w:t xml:space="preserve"> for the responding follicular lymphoma patients who were treated with</w:t>
      </w:r>
      <w:r w:rsidRPr="00A72EB4">
        <w:rPr>
          <w:rFonts w:ascii="Arial" w:hAnsi="Arial" w:cs="Arial"/>
          <w:sz w:val="22"/>
          <w:szCs w:val="22"/>
        </w:rPr>
        <w:t xml:space="preserve"> R-CHOP</w:t>
      </w:r>
      <w:r>
        <w:rPr>
          <w:rFonts w:ascii="Arial" w:hAnsi="Arial" w:cs="Arial"/>
          <w:sz w:val="22"/>
          <w:szCs w:val="22"/>
        </w:rPr>
        <w:t xml:space="preserve"> (applied to subgroup of follicular lymphoma patients who achieved a partial or complete response after treatment with R-CHOP)</w:t>
      </w:r>
      <w:r w:rsidRPr="00A72EB4">
        <w:rPr>
          <w:rFonts w:ascii="Arial" w:hAnsi="Arial" w:cs="Arial"/>
          <w:sz w:val="22"/>
          <w:szCs w:val="22"/>
        </w:rPr>
        <w:t xml:space="preserve">. The assumption was that </w:t>
      </w:r>
      <w:r>
        <w:rPr>
          <w:rFonts w:ascii="Arial" w:hAnsi="Arial" w:cs="Arial"/>
          <w:sz w:val="22"/>
          <w:szCs w:val="22"/>
        </w:rPr>
        <w:t xml:space="preserve">these </w:t>
      </w:r>
      <w:r w:rsidRPr="00A72EB4">
        <w:rPr>
          <w:rFonts w:ascii="Arial" w:hAnsi="Arial" w:cs="Arial"/>
          <w:sz w:val="22"/>
          <w:szCs w:val="22"/>
        </w:rPr>
        <w:t xml:space="preserve">R-CHOP patients would </w:t>
      </w:r>
      <w:r w:rsidR="00105D30">
        <w:rPr>
          <w:rFonts w:ascii="Arial" w:hAnsi="Arial" w:cs="Arial"/>
          <w:sz w:val="22"/>
          <w:szCs w:val="22"/>
        </w:rPr>
        <w:t xml:space="preserve">all </w:t>
      </w:r>
      <w:r w:rsidRPr="00A72EB4">
        <w:rPr>
          <w:rFonts w:ascii="Arial" w:hAnsi="Arial" w:cs="Arial"/>
          <w:sz w:val="22"/>
          <w:szCs w:val="22"/>
        </w:rPr>
        <w:t>receive rituximab maintenance therapy.</w:t>
      </w:r>
      <w:r>
        <w:rPr>
          <w:rFonts w:ascii="Arial" w:hAnsi="Arial" w:cs="Arial"/>
          <w:sz w:val="22"/>
          <w:szCs w:val="22"/>
        </w:rPr>
        <w:t xml:space="preserve"> The re-submission claimed that</w:t>
      </w:r>
      <w:r w:rsidRPr="00A72EB4">
        <w:rPr>
          <w:rFonts w:ascii="Arial" w:hAnsi="Arial" w:cs="Arial"/>
          <w:sz w:val="22"/>
          <w:szCs w:val="22"/>
        </w:rPr>
        <w:t xml:space="preserve"> </w:t>
      </w:r>
      <w:r>
        <w:rPr>
          <w:rFonts w:ascii="Arial" w:hAnsi="Arial" w:cs="Arial"/>
          <w:sz w:val="22"/>
          <w:szCs w:val="22"/>
        </w:rPr>
        <w:t>t</w:t>
      </w:r>
      <w:r w:rsidRPr="00A72EB4">
        <w:rPr>
          <w:rFonts w:ascii="Arial" w:hAnsi="Arial" w:cs="Arial"/>
          <w:sz w:val="22"/>
          <w:szCs w:val="22"/>
        </w:rPr>
        <w:t xml:space="preserve">his </w:t>
      </w:r>
      <w:r>
        <w:rPr>
          <w:rFonts w:ascii="Arial" w:hAnsi="Arial" w:cs="Arial"/>
          <w:sz w:val="22"/>
          <w:szCs w:val="22"/>
        </w:rPr>
        <w:t>was</w:t>
      </w:r>
      <w:r w:rsidRPr="00A72EB4">
        <w:rPr>
          <w:rFonts w:ascii="Arial" w:hAnsi="Arial" w:cs="Arial"/>
          <w:sz w:val="22"/>
          <w:szCs w:val="22"/>
        </w:rPr>
        <w:t xml:space="preserve"> an extreme assumption. </w:t>
      </w:r>
    </w:p>
    <w:p w:rsidR="002D7806" w:rsidRPr="00307EF2" w:rsidRDefault="002D7806" w:rsidP="002D7806">
      <w:pPr>
        <w:pStyle w:val="ListParagraph"/>
        <w:numPr>
          <w:ilvl w:val="0"/>
          <w:numId w:val="57"/>
        </w:numPr>
        <w:ind w:left="1440"/>
        <w:jc w:val="both"/>
        <w:rPr>
          <w:rFonts w:ascii="Arial" w:hAnsi="Arial" w:cs="Arial"/>
          <w:sz w:val="22"/>
          <w:szCs w:val="22"/>
        </w:rPr>
      </w:pPr>
      <w:r w:rsidRPr="00307EF2">
        <w:rPr>
          <w:rFonts w:ascii="Arial" w:hAnsi="Arial" w:cs="Arial"/>
          <w:sz w:val="22"/>
          <w:szCs w:val="22"/>
        </w:rPr>
        <w:t>The re-submission adjusted the efficacy and cost values in the economic model;</w:t>
      </w:r>
    </w:p>
    <w:p w:rsidR="002D7806" w:rsidRPr="00307EF2" w:rsidRDefault="002D7806" w:rsidP="002D7806">
      <w:pPr>
        <w:pStyle w:val="ListParagraph"/>
        <w:numPr>
          <w:ilvl w:val="0"/>
          <w:numId w:val="57"/>
        </w:numPr>
        <w:ind w:left="1440"/>
        <w:jc w:val="both"/>
        <w:rPr>
          <w:rFonts w:ascii="Arial" w:hAnsi="Arial" w:cs="Arial"/>
          <w:sz w:val="22"/>
          <w:szCs w:val="22"/>
        </w:rPr>
      </w:pPr>
      <w:r w:rsidRPr="00307EF2">
        <w:rPr>
          <w:rFonts w:ascii="Arial" w:hAnsi="Arial" w:cs="Arial"/>
          <w:sz w:val="22"/>
          <w:szCs w:val="22"/>
        </w:rPr>
        <w:lastRenderedPageBreak/>
        <w:t>The re-submission noted the existing PRIMA trial (N=1217) (</w:t>
      </w:r>
      <w:proofErr w:type="spellStart"/>
      <w:r w:rsidRPr="00307EF2">
        <w:rPr>
          <w:rFonts w:ascii="Arial" w:hAnsi="Arial" w:cs="Arial"/>
          <w:sz w:val="22"/>
          <w:szCs w:val="22"/>
        </w:rPr>
        <w:t>Salles</w:t>
      </w:r>
      <w:proofErr w:type="spellEnd"/>
      <w:r w:rsidRPr="00307EF2">
        <w:rPr>
          <w:rFonts w:ascii="Arial" w:hAnsi="Arial" w:cs="Arial"/>
          <w:sz w:val="22"/>
          <w:szCs w:val="22"/>
        </w:rPr>
        <w:t xml:space="preserve"> et al 2010) evidence comparing (R-CHOP vs R-CVP vs R-FCM) + rituximab maintenance (versus observation) in first-line treatment of follicular lymphoma patients, resulting in the PFS HR of 0.55 (95% CI 0.44, 0.68, p&lt;0.0001);</w:t>
      </w:r>
    </w:p>
    <w:p w:rsidR="002D7806" w:rsidRPr="00307EF2" w:rsidRDefault="002D7806" w:rsidP="002D7806">
      <w:pPr>
        <w:pStyle w:val="ListParagraph"/>
        <w:numPr>
          <w:ilvl w:val="0"/>
          <w:numId w:val="57"/>
        </w:numPr>
        <w:ind w:left="1440"/>
        <w:jc w:val="both"/>
        <w:rPr>
          <w:rFonts w:ascii="Arial" w:hAnsi="Arial" w:cs="Arial"/>
          <w:sz w:val="22"/>
          <w:szCs w:val="22"/>
        </w:rPr>
      </w:pPr>
      <w:r w:rsidRPr="00307EF2">
        <w:rPr>
          <w:rFonts w:ascii="Arial" w:hAnsi="Arial" w:cs="Arial"/>
          <w:sz w:val="22"/>
          <w:szCs w:val="22"/>
        </w:rPr>
        <w:t xml:space="preserve">The HR of 0.55 was applied to the product of the proportion of follicular lymphoma patients in the </w:t>
      </w:r>
      <w:proofErr w:type="spellStart"/>
      <w:r w:rsidRPr="00307EF2">
        <w:rPr>
          <w:rFonts w:ascii="Arial" w:hAnsi="Arial" w:cs="Arial"/>
          <w:sz w:val="22"/>
          <w:szCs w:val="22"/>
        </w:rPr>
        <w:t>StiL</w:t>
      </w:r>
      <w:proofErr w:type="spellEnd"/>
      <w:r w:rsidRPr="00307EF2">
        <w:rPr>
          <w:rFonts w:ascii="Arial" w:hAnsi="Arial" w:cs="Arial"/>
          <w:sz w:val="22"/>
          <w:szCs w:val="22"/>
        </w:rPr>
        <w:t xml:space="preserve"> trial (54.3%) and the proportion of patients achieving CR or PR (91.3%). The resulting probability was applied to the Kaplan-Meier PFS estimates for R-CHOP (</w:t>
      </w:r>
      <w:proofErr w:type="spellStart"/>
      <w:r w:rsidRPr="00307EF2">
        <w:rPr>
          <w:rFonts w:ascii="Arial" w:hAnsi="Arial" w:cs="Arial"/>
          <w:sz w:val="22"/>
          <w:szCs w:val="22"/>
        </w:rPr>
        <w:t>StiL</w:t>
      </w:r>
      <w:proofErr w:type="spellEnd"/>
      <w:r w:rsidRPr="00307EF2">
        <w:rPr>
          <w:rFonts w:ascii="Arial" w:hAnsi="Arial" w:cs="Arial"/>
          <w:sz w:val="22"/>
          <w:szCs w:val="22"/>
        </w:rPr>
        <w:t xml:space="preserve"> trial) to estimate the proportion of patients whose hazard of progression was reduced due to rituximab maintenance;</w:t>
      </w:r>
    </w:p>
    <w:p w:rsidR="002D7806" w:rsidRPr="00307EF2" w:rsidRDefault="002D7806" w:rsidP="002D7806">
      <w:pPr>
        <w:pStyle w:val="ListParagraph"/>
        <w:numPr>
          <w:ilvl w:val="0"/>
          <w:numId w:val="57"/>
        </w:numPr>
        <w:ind w:left="1440"/>
        <w:jc w:val="both"/>
        <w:rPr>
          <w:rFonts w:ascii="Arial" w:hAnsi="Arial" w:cs="Arial"/>
          <w:sz w:val="22"/>
          <w:szCs w:val="22"/>
        </w:rPr>
      </w:pPr>
      <w:r w:rsidRPr="00307EF2">
        <w:rPr>
          <w:rFonts w:ascii="Arial" w:hAnsi="Arial" w:cs="Arial"/>
          <w:sz w:val="22"/>
          <w:szCs w:val="22"/>
        </w:rPr>
        <w:t xml:space="preserve">The result of including rituximab maintenance therapy to the R-CHOP arm for the treatment of follicular lymphoma patients, indicated that the outcomes of R-CHOP + rituximab maintenance were not superior to B-R arm; and </w:t>
      </w:r>
    </w:p>
    <w:p w:rsidR="002D7806" w:rsidRDefault="002D7806" w:rsidP="002D7806">
      <w:pPr>
        <w:pStyle w:val="ListParagraph"/>
        <w:numPr>
          <w:ilvl w:val="0"/>
          <w:numId w:val="57"/>
        </w:numPr>
        <w:ind w:left="1440"/>
        <w:jc w:val="both"/>
        <w:rPr>
          <w:rFonts w:ascii="Arial" w:hAnsi="Arial" w:cs="Arial"/>
          <w:sz w:val="22"/>
          <w:szCs w:val="22"/>
        </w:rPr>
      </w:pPr>
      <w:proofErr w:type="gramStart"/>
      <w:r w:rsidRPr="00307EF2">
        <w:rPr>
          <w:rFonts w:ascii="Arial" w:hAnsi="Arial" w:cs="Arial"/>
          <w:sz w:val="22"/>
          <w:szCs w:val="22"/>
        </w:rPr>
        <w:t>the</w:t>
      </w:r>
      <w:proofErr w:type="gramEnd"/>
      <w:r w:rsidRPr="00307EF2">
        <w:rPr>
          <w:rFonts w:ascii="Arial" w:hAnsi="Arial" w:cs="Arial"/>
          <w:sz w:val="22"/>
          <w:szCs w:val="22"/>
        </w:rPr>
        <w:t xml:space="preserve"> cost of R-CHOP + rituximab maintenance exceeded the cost of B-R alone. </w:t>
      </w:r>
    </w:p>
    <w:p w:rsidR="002D7806" w:rsidRDefault="002D7806" w:rsidP="002D7806">
      <w:pPr>
        <w:pStyle w:val="ListParagraph"/>
        <w:jc w:val="both"/>
        <w:rPr>
          <w:rFonts w:ascii="Arial" w:hAnsi="Arial" w:cs="Arial"/>
          <w:sz w:val="22"/>
          <w:szCs w:val="22"/>
        </w:rPr>
      </w:pPr>
    </w:p>
    <w:p w:rsidR="002D7806" w:rsidRPr="004F7F7F" w:rsidRDefault="002D7806" w:rsidP="002D7806">
      <w:pPr>
        <w:pStyle w:val="ListParagraph"/>
        <w:numPr>
          <w:ilvl w:val="1"/>
          <w:numId w:val="25"/>
        </w:numPr>
        <w:jc w:val="both"/>
        <w:rPr>
          <w:rFonts w:ascii="Arial" w:hAnsi="Arial" w:cs="Arial"/>
          <w:sz w:val="22"/>
          <w:szCs w:val="22"/>
        </w:rPr>
      </w:pPr>
      <w:r>
        <w:rPr>
          <w:rFonts w:ascii="Arial" w:hAnsi="Arial" w:cs="Arial"/>
          <w:sz w:val="22"/>
          <w:szCs w:val="22"/>
        </w:rPr>
        <w:t xml:space="preserve">The submission claimed that </w:t>
      </w:r>
      <w:r w:rsidRPr="004F7F7F">
        <w:rPr>
          <w:rFonts w:ascii="Arial" w:hAnsi="Arial" w:cs="Arial"/>
          <w:sz w:val="22"/>
          <w:szCs w:val="22"/>
        </w:rPr>
        <w:t>B-R dominated R-CHOP+ rituximab maintenance even without taking into account the costs of managing potential adverse events that might arise from rituximab maintenance therapy</w:t>
      </w:r>
      <w:r>
        <w:rPr>
          <w:rFonts w:ascii="Arial" w:hAnsi="Arial" w:cs="Arial"/>
          <w:sz w:val="22"/>
          <w:szCs w:val="22"/>
        </w:rPr>
        <w:t xml:space="preserve">. </w:t>
      </w:r>
    </w:p>
    <w:p w:rsidR="002D7806" w:rsidRDefault="002D7806" w:rsidP="002D7806">
      <w:pPr>
        <w:jc w:val="both"/>
        <w:rPr>
          <w:rFonts w:ascii="Arial" w:hAnsi="Arial" w:cs="Arial"/>
          <w:i/>
          <w:sz w:val="22"/>
          <w:szCs w:val="22"/>
        </w:rPr>
      </w:pPr>
    </w:p>
    <w:p w:rsidR="002D7806" w:rsidRDefault="002D7806" w:rsidP="002D7806">
      <w:pPr>
        <w:pStyle w:val="ListParagraph"/>
        <w:numPr>
          <w:ilvl w:val="1"/>
          <w:numId w:val="25"/>
        </w:numPr>
        <w:jc w:val="both"/>
        <w:rPr>
          <w:rFonts w:ascii="Arial" w:hAnsi="Arial" w:cs="Arial"/>
          <w:sz w:val="22"/>
          <w:szCs w:val="22"/>
        </w:rPr>
      </w:pPr>
      <w:r>
        <w:rPr>
          <w:rFonts w:ascii="Arial" w:hAnsi="Arial" w:cs="Arial"/>
          <w:sz w:val="22"/>
          <w:szCs w:val="22"/>
        </w:rPr>
        <w:t xml:space="preserve">This </w:t>
      </w:r>
      <w:r w:rsidRPr="006E4C6B">
        <w:rPr>
          <w:rFonts w:ascii="Arial" w:hAnsi="Arial" w:cs="Arial"/>
          <w:sz w:val="22"/>
          <w:szCs w:val="22"/>
        </w:rPr>
        <w:t xml:space="preserve">assumption of rituximab maintenance in R-CHOP </w:t>
      </w:r>
      <w:r w:rsidR="00F621C4">
        <w:rPr>
          <w:rFonts w:ascii="Arial" w:hAnsi="Arial" w:cs="Arial"/>
          <w:sz w:val="22"/>
          <w:szCs w:val="22"/>
        </w:rPr>
        <w:t xml:space="preserve">did </w:t>
      </w:r>
      <w:r>
        <w:rPr>
          <w:rFonts w:ascii="Arial" w:hAnsi="Arial" w:cs="Arial"/>
          <w:sz w:val="22"/>
          <w:szCs w:val="22"/>
        </w:rPr>
        <w:t xml:space="preserve">not consider </w:t>
      </w:r>
      <w:r w:rsidRPr="006E4C6B">
        <w:rPr>
          <w:rFonts w:ascii="Arial" w:hAnsi="Arial" w:cs="Arial"/>
          <w:sz w:val="22"/>
          <w:szCs w:val="22"/>
        </w:rPr>
        <w:t xml:space="preserve">subsequent lines of therapy of the B-R arm which could receive R-CHOP as a second line therapy and other rituximab based therapies. The economic model presented in the resubmission </w:t>
      </w:r>
      <w:r w:rsidR="00F621C4">
        <w:rPr>
          <w:rFonts w:ascii="Arial" w:hAnsi="Arial" w:cs="Arial"/>
          <w:sz w:val="22"/>
          <w:szCs w:val="22"/>
        </w:rPr>
        <w:t>was</w:t>
      </w:r>
      <w:r w:rsidR="00F621C4" w:rsidRPr="006E4C6B">
        <w:rPr>
          <w:rFonts w:ascii="Arial" w:hAnsi="Arial" w:cs="Arial"/>
          <w:sz w:val="22"/>
          <w:szCs w:val="22"/>
        </w:rPr>
        <w:t xml:space="preserve"> </w:t>
      </w:r>
      <w:r w:rsidRPr="006E4C6B">
        <w:rPr>
          <w:rFonts w:ascii="Arial" w:hAnsi="Arial" w:cs="Arial"/>
          <w:sz w:val="22"/>
          <w:szCs w:val="22"/>
        </w:rPr>
        <w:t>a simplification of the subsequent lines of therapy</w:t>
      </w:r>
      <w:r>
        <w:rPr>
          <w:rFonts w:ascii="Arial" w:hAnsi="Arial" w:cs="Arial"/>
          <w:sz w:val="22"/>
          <w:szCs w:val="22"/>
        </w:rPr>
        <w:t xml:space="preserve"> (in the sensitivity analysis)</w:t>
      </w:r>
      <w:r w:rsidRPr="006E4C6B">
        <w:rPr>
          <w:rFonts w:ascii="Arial" w:hAnsi="Arial" w:cs="Arial"/>
          <w:sz w:val="22"/>
          <w:szCs w:val="22"/>
        </w:rPr>
        <w:t xml:space="preserve">. The PBAC </w:t>
      </w:r>
      <w:r w:rsidR="001C7B87">
        <w:rPr>
          <w:rFonts w:ascii="Arial" w:hAnsi="Arial" w:cs="Arial"/>
          <w:sz w:val="22"/>
          <w:szCs w:val="22"/>
        </w:rPr>
        <w:t xml:space="preserve">had </w:t>
      </w:r>
      <w:r w:rsidRPr="006E4C6B">
        <w:rPr>
          <w:rFonts w:ascii="Arial" w:hAnsi="Arial" w:cs="Arial"/>
          <w:sz w:val="22"/>
          <w:szCs w:val="22"/>
        </w:rPr>
        <w:t>considered it appropriate to incorporate the impact of further lines of treatment with their costs and health benefits in the economic model (</w:t>
      </w:r>
      <w:r>
        <w:rPr>
          <w:rFonts w:ascii="Arial" w:hAnsi="Arial" w:cs="Arial"/>
          <w:sz w:val="22"/>
          <w:szCs w:val="22"/>
        </w:rPr>
        <w:t>paragraph</w:t>
      </w:r>
      <w:r w:rsidRPr="006E4C6B">
        <w:rPr>
          <w:rFonts w:ascii="Arial" w:hAnsi="Arial" w:cs="Arial"/>
          <w:sz w:val="22"/>
          <w:szCs w:val="22"/>
        </w:rPr>
        <w:t xml:space="preserve"> 7.15, </w:t>
      </w:r>
      <w:r w:rsidR="006227B3">
        <w:rPr>
          <w:rFonts w:ascii="Arial" w:hAnsi="Arial" w:cs="Arial"/>
          <w:sz w:val="22"/>
          <w:szCs w:val="22"/>
        </w:rPr>
        <w:t>2015 PSD</w:t>
      </w:r>
      <w:r w:rsidRPr="006E4C6B">
        <w:rPr>
          <w:rFonts w:ascii="Arial" w:hAnsi="Arial" w:cs="Arial"/>
          <w:sz w:val="22"/>
          <w:szCs w:val="22"/>
        </w:rPr>
        <w:t>, bendamustine</w:t>
      </w:r>
      <w:r>
        <w:rPr>
          <w:rFonts w:ascii="Arial" w:hAnsi="Arial" w:cs="Arial"/>
          <w:sz w:val="22"/>
          <w:szCs w:val="22"/>
        </w:rPr>
        <w:t>).</w:t>
      </w:r>
    </w:p>
    <w:p w:rsidR="002D7806" w:rsidRDefault="002D7806" w:rsidP="002D7806">
      <w:pPr>
        <w:pStyle w:val="ListParagraph"/>
        <w:jc w:val="both"/>
        <w:rPr>
          <w:rFonts w:ascii="Arial" w:hAnsi="Arial" w:cs="Arial"/>
          <w:sz w:val="22"/>
          <w:szCs w:val="22"/>
        </w:rPr>
      </w:pPr>
    </w:p>
    <w:p w:rsidR="002D7806" w:rsidRPr="006E4C6B" w:rsidRDefault="002D7806" w:rsidP="002D7806">
      <w:pPr>
        <w:pStyle w:val="ListParagraph"/>
        <w:numPr>
          <w:ilvl w:val="1"/>
          <w:numId w:val="25"/>
        </w:numPr>
        <w:jc w:val="both"/>
        <w:rPr>
          <w:rFonts w:ascii="Arial" w:hAnsi="Arial" w:cs="Arial"/>
          <w:sz w:val="22"/>
          <w:szCs w:val="22"/>
        </w:rPr>
      </w:pPr>
      <w:r w:rsidRPr="009C0C0D">
        <w:rPr>
          <w:rFonts w:ascii="Arial" w:hAnsi="Arial" w:cs="Arial"/>
          <w:sz w:val="22"/>
          <w:szCs w:val="22"/>
        </w:rPr>
        <w:t xml:space="preserve">The PBAC </w:t>
      </w:r>
      <w:r w:rsidR="001C7B87">
        <w:rPr>
          <w:rFonts w:ascii="Arial" w:hAnsi="Arial" w:cs="Arial"/>
          <w:sz w:val="22"/>
          <w:szCs w:val="22"/>
        </w:rPr>
        <w:t xml:space="preserve">had </w:t>
      </w:r>
      <w:r w:rsidRPr="009C0C0D">
        <w:rPr>
          <w:rFonts w:ascii="Arial" w:hAnsi="Arial" w:cs="Arial"/>
          <w:sz w:val="22"/>
          <w:szCs w:val="22"/>
        </w:rPr>
        <w:t xml:space="preserve">considered that a separate economic evaluation for </w:t>
      </w:r>
      <w:proofErr w:type="spellStart"/>
      <w:r w:rsidRPr="009C0C0D">
        <w:rPr>
          <w:rFonts w:ascii="Arial" w:hAnsi="Arial" w:cs="Arial"/>
          <w:sz w:val="22"/>
          <w:szCs w:val="22"/>
        </w:rPr>
        <w:t>iNHL</w:t>
      </w:r>
      <w:proofErr w:type="spellEnd"/>
      <w:r w:rsidRPr="009C0C0D">
        <w:rPr>
          <w:rFonts w:ascii="Arial" w:hAnsi="Arial" w:cs="Arial"/>
          <w:sz w:val="22"/>
          <w:szCs w:val="22"/>
        </w:rPr>
        <w:t xml:space="preserve"> and MCL </w:t>
      </w:r>
      <w:r w:rsidR="0074256D">
        <w:rPr>
          <w:rFonts w:ascii="Arial" w:hAnsi="Arial" w:cs="Arial"/>
          <w:sz w:val="22"/>
          <w:szCs w:val="22"/>
        </w:rPr>
        <w:t>wa</w:t>
      </w:r>
      <w:r w:rsidRPr="009C0C0D">
        <w:rPr>
          <w:rFonts w:ascii="Arial" w:hAnsi="Arial" w:cs="Arial"/>
          <w:sz w:val="22"/>
          <w:szCs w:val="22"/>
        </w:rPr>
        <w:t>s more appropriate (</w:t>
      </w:r>
      <w:r>
        <w:rPr>
          <w:rFonts w:ascii="Arial" w:hAnsi="Arial"/>
          <w:sz w:val="22"/>
          <w:szCs w:val="22"/>
        </w:rPr>
        <w:t>paragraph</w:t>
      </w:r>
      <w:r w:rsidRPr="009C0C0D">
        <w:rPr>
          <w:rFonts w:ascii="Arial" w:hAnsi="Arial" w:cs="Arial"/>
          <w:sz w:val="22"/>
          <w:szCs w:val="22"/>
        </w:rPr>
        <w:t xml:space="preserve"> 7.15, </w:t>
      </w:r>
      <w:r w:rsidR="006227B3">
        <w:rPr>
          <w:rFonts w:ascii="Arial" w:hAnsi="Arial"/>
          <w:sz w:val="22"/>
          <w:szCs w:val="22"/>
        </w:rPr>
        <w:t>March 2015 PSD</w:t>
      </w:r>
      <w:r w:rsidRPr="00D45E21">
        <w:rPr>
          <w:rFonts w:ascii="Arial" w:hAnsi="Arial"/>
          <w:sz w:val="22"/>
          <w:szCs w:val="22"/>
        </w:rPr>
        <w:t>, bendamustine</w:t>
      </w:r>
      <w:r w:rsidRPr="009C0C0D">
        <w:rPr>
          <w:rFonts w:ascii="Arial" w:hAnsi="Arial" w:cs="Arial"/>
          <w:sz w:val="22"/>
          <w:szCs w:val="22"/>
        </w:rPr>
        <w:t>). The minor re-submission disagreed with the PBAC, viewing such a model unnecessary, based on the following factors:</w:t>
      </w:r>
    </w:p>
    <w:p w:rsidR="002D7806" w:rsidRPr="009C0C0D" w:rsidRDefault="002D7806" w:rsidP="002D7806">
      <w:pPr>
        <w:pStyle w:val="ListParagraph"/>
        <w:numPr>
          <w:ilvl w:val="0"/>
          <w:numId w:val="53"/>
        </w:numPr>
        <w:jc w:val="both"/>
        <w:rPr>
          <w:rFonts w:ascii="Arial" w:hAnsi="Arial" w:cs="Arial"/>
          <w:sz w:val="22"/>
          <w:szCs w:val="22"/>
        </w:rPr>
      </w:pPr>
      <w:r>
        <w:rPr>
          <w:rFonts w:ascii="Arial" w:hAnsi="Arial" w:cs="Arial"/>
          <w:sz w:val="22"/>
          <w:szCs w:val="22"/>
        </w:rPr>
        <w:t>t</w:t>
      </w:r>
      <w:r w:rsidRPr="009C0C0D">
        <w:rPr>
          <w:rFonts w:ascii="Arial" w:hAnsi="Arial" w:cs="Arial"/>
          <w:sz w:val="22"/>
          <w:szCs w:val="22"/>
        </w:rPr>
        <w:t xml:space="preserve">he limitation of the available data (aggregated results published from </w:t>
      </w:r>
      <w:proofErr w:type="spellStart"/>
      <w:r w:rsidRPr="009C0C0D">
        <w:rPr>
          <w:rFonts w:ascii="Arial" w:hAnsi="Arial" w:cs="Arial"/>
          <w:sz w:val="22"/>
          <w:szCs w:val="22"/>
        </w:rPr>
        <w:t>StiL</w:t>
      </w:r>
      <w:proofErr w:type="spellEnd"/>
      <w:r w:rsidRPr="009C0C0D">
        <w:rPr>
          <w:rFonts w:ascii="Arial" w:hAnsi="Arial" w:cs="Arial"/>
          <w:sz w:val="22"/>
          <w:szCs w:val="22"/>
        </w:rPr>
        <w:t xml:space="preserve"> trial); </w:t>
      </w:r>
    </w:p>
    <w:p w:rsidR="002D7806" w:rsidRPr="009C0C0D" w:rsidRDefault="002D7806" w:rsidP="002D7806">
      <w:pPr>
        <w:pStyle w:val="ListParagraph"/>
        <w:numPr>
          <w:ilvl w:val="0"/>
          <w:numId w:val="53"/>
        </w:numPr>
        <w:jc w:val="both"/>
        <w:rPr>
          <w:rFonts w:ascii="Arial" w:hAnsi="Arial" w:cs="Arial"/>
          <w:sz w:val="22"/>
          <w:szCs w:val="22"/>
        </w:rPr>
      </w:pPr>
      <w:r w:rsidRPr="009C0C0D">
        <w:rPr>
          <w:rFonts w:ascii="Arial" w:hAnsi="Arial" w:cs="Arial"/>
          <w:sz w:val="22"/>
          <w:szCs w:val="22"/>
        </w:rPr>
        <w:t xml:space="preserve">the re-submission analysed the difference between the subgroups based on the overall cohort that was recruited; </w:t>
      </w:r>
    </w:p>
    <w:p w:rsidR="002D7806" w:rsidRPr="00EB1203" w:rsidRDefault="002D7806" w:rsidP="002D7806">
      <w:pPr>
        <w:pStyle w:val="ListParagraph"/>
        <w:numPr>
          <w:ilvl w:val="0"/>
          <w:numId w:val="53"/>
        </w:numPr>
        <w:jc w:val="both"/>
        <w:rPr>
          <w:rFonts w:ascii="Arial" w:hAnsi="Arial" w:cs="Arial"/>
          <w:sz w:val="22"/>
          <w:szCs w:val="22"/>
        </w:rPr>
      </w:pPr>
      <w:proofErr w:type="gramStart"/>
      <w:r w:rsidRPr="009C0C0D">
        <w:rPr>
          <w:rFonts w:ascii="Arial" w:hAnsi="Arial" w:cs="Arial"/>
          <w:sz w:val="22"/>
          <w:szCs w:val="22"/>
        </w:rPr>
        <w:t>the</w:t>
      </w:r>
      <w:proofErr w:type="gramEnd"/>
      <w:r w:rsidRPr="009C0C0D">
        <w:rPr>
          <w:rFonts w:ascii="Arial" w:hAnsi="Arial" w:cs="Arial"/>
          <w:sz w:val="22"/>
          <w:szCs w:val="22"/>
        </w:rPr>
        <w:t xml:space="preserve"> </w:t>
      </w:r>
      <w:r>
        <w:rPr>
          <w:rFonts w:ascii="Arial" w:hAnsi="Arial" w:cs="Arial"/>
          <w:sz w:val="22"/>
          <w:szCs w:val="22"/>
        </w:rPr>
        <w:t>HR</w:t>
      </w:r>
      <w:r w:rsidRPr="009C0C0D">
        <w:rPr>
          <w:rFonts w:ascii="Arial" w:hAnsi="Arial" w:cs="Arial"/>
          <w:sz w:val="22"/>
          <w:szCs w:val="22"/>
        </w:rPr>
        <w:t xml:space="preserve"> for MCL was 0.49 (95% CI: 0.28, 0.79, p=0.0044), while HR for whole cohort was 0.58</w:t>
      </w:r>
      <w:r>
        <w:rPr>
          <w:rFonts w:ascii="Arial" w:hAnsi="Arial" w:cs="Arial"/>
          <w:sz w:val="22"/>
          <w:szCs w:val="22"/>
        </w:rPr>
        <w:t xml:space="preserve"> (95% CI: 0.44, 0.74, 0&lt;0.0001). The re-submission reiterated that ESC noted that if the PFS for the MCL sub-group could be used, the cost-effectiveness may improve, even with the shorter time horizons (</w:t>
      </w:r>
      <w:r>
        <w:rPr>
          <w:rFonts w:ascii="Arial" w:hAnsi="Arial"/>
          <w:sz w:val="22"/>
          <w:szCs w:val="22"/>
        </w:rPr>
        <w:t>paragraph</w:t>
      </w:r>
      <w:r w:rsidRPr="0015681B">
        <w:rPr>
          <w:rFonts w:ascii="Arial" w:hAnsi="Arial" w:cs="Arial"/>
          <w:sz w:val="22"/>
          <w:szCs w:val="22"/>
        </w:rPr>
        <w:t xml:space="preserve"> </w:t>
      </w:r>
      <w:r>
        <w:rPr>
          <w:rFonts w:ascii="Arial" w:hAnsi="Arial" w:cs="Arial"/>
          <w:sz w:val="22"/>
          <w:szCs w:val="22"/>
        </w:rPr>
        <w:t xml:space="preserve">6.34, </w:t>
      </w:r>
      <w:r w:rsidR="006227B3">
        <w:rPr>
          <w:rFonts w:ascii="Arial" w:hAnsi="Arial" w:cs="Arial"/>
          <w:sz w:val="22"/>
          <w:szCs w:val="22"/>
        </w:rPr>
        <w:t>March 2015 PSD</w:t>
      </w:r>
      <w:r>
        <w:rPr>
          <w:rFonts w:ascii="Arial" w:hAnsi="Arial" w:cs="Arial"/>
          <w:sz w:val="22"/>
          <w:szCs w:val="22"/>
        </w:rPr>
        <w:t>, bendamustine);</w:t>
      </w:r>
    </w:p>
    <w:p w:rsidR="002D7806" w:rsidRPr="009C0C0D" w:rsidRDefault="002D7806" w:rsidP="002D7806">
      <w:pPr>
        <w:pStyle w:val="ListParagraph"/>
        <w:numPr>
          <w:ilvl w:val="0"/>
          <w:numId w:val="53"/>
        </w:numPr>
        <w:jc w:val="both"/>
        <w:rPr>
          <w:rFonts w:ascii="Arial" w:hAnsi="Arial" w:cs="Arial"/>
          <w:sz w:val="22"/>
          <w:szCs w:val="22"/>
        </w:rPr>
      </w:pPr>
      <w:r w:rsidRPr="009C0C0D">
        <w:rPr>
          <w:rFonts w:ascii="Arial" w:hAnsi="Arial" w:cs="Arial"/>
          <w:sz w:val="22"/>
          <w:szCs w:val="22"/>
        </w:rPr>
        <w:t xml:space="preserve">the proportion of MCL patients in trial compared to expected PBS population  was 18.3% and </w:t>
      </w:r>
      <w:r w:rsidR="000E331D">
        <w:rPr>
          <w:rFonts w:ascii="Arial" w:hAnsi="Arial" w:cs="Arial"/>
          <w:noProof/>
          <w:color w:val="000000"/>
          <w:sz w:val="22"/>
          <w:szCs w:val="22"/>
          <w:highlight w:val="black"/>
        </w:rPr>
        <w:t>''''''''''</w:t>
      </w:r>
      <w:r w:rsidRPr="006F4AD5">
        <w:rPr>
          <w:rFonts w:ascii="Arial" w:hAnsi="Arial" w:cs="Arial"/>
          <w:sz w:val="22"/>
          <w:szCs w:val="22"/>
        </w:rPr>
        <w:t>%,</w:t>
      </w:r>
      <w:r w:rsidRPr="009C0C0D">
        <w:rPr>
          <w:rFonts w:ascii="Arial" w:hAnsi="Arial" w:cs="Arial"/>
          <w:sz w:val="22"/>
          <w:szCs w:val="22"/>
        </w:rPr>
        <w:t xml:space="preserve"> respectively;</w:t>
      </w:r>
      <w:r>
        <w:rPr>
          <w:rFonts w:ascii="Arial" w:hAnsi="Arial" w:cs="Arial"/>
          <w:sz w:val="22"/>
          <w:szCs w:val="22"/>
        </w:rPr>
        <w:t xml:space="preserve"> and</w:t>
      </w:r>
    </w:p>
    <w:p w:rsidR="002D7806" w:rsidRDefault="002D7806" w:rsidP="002D7806">
      <w:pPr>
        <w:pStyle w:val="ListParagraph"/>
        <w:numPr>
          <w:ilvl w:val="0"/>
          <w:numId w:val="53"/>
        </w:numPr>
        <w:jc w:val="both"/>
        <w:rPr>
          <w:rFonts w:ascii="Arial" w:hAnsi="Arial" w:cs="Arial"/>
          <w:sz w:val="22"/>
          <w:szCs w:val="22"/>
        </w:rPr>
      </w:pPr>
      <w:proofErr w:type="gramStart"/>
      <w:r>
        <w:rPr>
          <w:rFonts w:ascii="Arial" w:hAnsi="Arial" w:cs="Arial"/>
          <w:sz w:val="22"/>
          <w:szCs w:val="22"/>
        </w:rPr>
        <w:t>a</w:t>
      </w:r>
      <w:proofErr w:type="gramEnd"/>
      <w:r w:rsidRPr="009C0C0D">
        <w:rPr>
          <w:rFonts w:ascii="Arial" w:hAnsi="Arial" w:cs="Arial"/>
          <w:sz w:val="22"/>
          <w:szCs w:val="22"/>
        </w:rPr>
        <w:t xml:space="preserve"> sensitivity analysis was presented in the major submission, where HR was adjusted in the overall cohort, which resulted in an increase of ICER by </w:t>
      </w:r>
      <w:r w:rsidR="006309B2">
        <w:rPr>
          <w:rFonts w:ascii="Arial" w:hAnsi="Arial" w:cs="Arial"/>
          <w:sz w:val="22"/>
          <w:szCs w:val="22"/>
        </w:rPr>
        <w:t xml:space="preserve">less than </w:t>
      </w:r>
      <w:r w:rsidRPr="009C0C0D">
        <w:rPr>
          <w:rFonts w:ascii="Arial" w:hAnsi="Arial" w:cs="Arial"/>
          <w:sz w:val="22"/>
          <w:szCs w:val="22"/>
        </w:rPr>
        <w:t>$</w:t>
      </w:r>
      <w:r w:rsidR="006309B2">
        <w:rPr>
          <w:rFonts w:ascii="Arial" w:hAnsi="Arial" w:cs="Arial"/>
          <w:sz w:val="22"/>
          <w:szCs w:val="22"/>
        </w:rPr>
        <w:t>15,000</w:t>
      </w:r>
      <w:r w:rsidRPr="009C0C0D">
        <w:rPr>
          <w:rFonts w:ascii="Arial" w:hAnsi="Arial" w:cs="Arial"/>
          <w:sz w:val="22"/>
          <w:szCs w:val="22"/>
        </w:rPr>
        <w:t>.</w:t>
      </w:r>
    </w:p>
    <w:p w:rsidR="002D7806" w:rsidRPr="009C0C0D" w:rsidRDefault="002D7806" w:rsidP="002D7806">
      <w:pPr>
        <w:pStyle w:val="ListParagraph"/>
        <w:ind w:left="1440"/>
        <w:jc w:val="both"/>
        <w:rPr>
          <w:rFonts w:ascii="Arial" w:hAnsi="Arial" w:cs="Arial"/>
          <w:sz w:val="22"/>
          <w:szCs w:val="22"/>
        </w:rPr>
      </w:pPr>
    </w:p>
    <w:p w:rsidR="002D7806" w:rsidRPr="00E410E1" w:rsidRDefault="002D7806" w:rsidP="002D7806">
      <w:pPr>
        <w:pStyle w:val="ListParagraph"/>
        <w:numPr>
          <w:ilvl w:val="1"/>
          <w:numId w:val="25"/>
        </w:numPr>
        <w:jc w:val="both"/>
        <w:rPr>
          <w:rFonts w:ascii="Arial" w:hAnsi="Arial" w:cs="Arial"/>
          <w:sz w:val="22"/>
          <w:szCs w:val="22"/>
        </w:rPr>
      </w:pPr>
      <w:r w:rsidRPr="0015681B">
        <w:rPr>
          <w:rFonts w:ascii="Arial" w:hAnsi="Arial" w:cs="Arial"/>
          <w:sz w:val="22"/>
          <w:szCs w:val="22"/>
        </w:rPr>
        <w:t xml:space="preserve">The PBAC </w:t>
      </w:r>
      <w:r w:rsidR="001C7B87">
        <w:rPr>
          <w:rFonts w:ascii="Arial" w:hAnsi="Arial" w:cs="Arial"/>
          <w:sz w:val="22"/>
          <w:szCs w:val="22"/>
        </w:rPr>
        <w:t xml:space="preserve">had </w:t>
      </w:r>
      <w:r w:rsidRPr="0015681B">
        <w:rPr>
          <w:rFonts w:ascii="Arial" w:hAnsi="Arial" w:cs="Arial"/>
          <w:sz w:val="22"/>
          <w:szCs w:val="22"/>
        </w:rPr>
        <w:t xml:space="preserve">considered that for the economic evaluation of MCL a 10-year time horizon </w:t>
      </w:r>
      <w:r>
        <w:rPr>
          <w:rFonts w:ascii="Arial" w:hAnsi="Arial" w:cs="Arial"/>
          <w:sz w:val="22"/>
          <w:szCs w:val="22"/>
        </w:rPr>
        <w:t>was</w:t>
      </w:r>
      <w:r w:rsidRPr="0015681B">
        <w:rPr>
          <w:rFonts w:ascii="Arial" w:hAnsi="Arial" w:cs="Arial"/>
          <w:sz w:val="22"/>
          <w:szCs w:val="22"/>
        </w:rPr>
        <w:t xml:space="preserve"> more appropriate</w:t>
      </w:r>
      <w:r w:rsidR="0074256D">
        <w:rPr>
          <w:rFonts w:ascii="Arial" w:hAnsi="Arial" w:cs="Arial"/>
          <w:sz w:val="22"/>
          <w:szCs w:val="22"/>
        </w:rPr>
        <w:t>,</w:t>
      </w:r>
      <w:r w:rsidRPr="0015681B">
        <w:rPr>
          <w:rFonts w:ascii="Arial" w:hAnsi="Arial" w:cs="Arial"/>
          <w:sz w:val="22"/>
          <w:szCs w:val="22"/>
        </w:rPr>
        <w:t xml:space="preserve"> and a 7-year time horizon </w:t>
      </w:r>
      <w:r>
        <w:rPr>
          <w:rFonts w:ascii="Arial" w:hAnsi="Arial" w:cs="Arial"/>
          <w:sz w:val="22"/>
          <w:szCs w:val="22"/>
        </w:rPr>
        <w:t>was to</w:t>
      </w:r>
      <w:r w:rsidRPr="0015681B">
        <w:rPr>
          <w:rFonts w:ascii="Arial" w:hAnsi="Arial" w:cs="Arial"/>
          <w:sz w:val="22"/>
          <w:szCs w:val="22"/>
        </w:rPr>
        <w:t xml:space="preserve"> be tested in the </w:t>
      </w:r>
      <w:r w:rsidRPr="0015681B">
        <w:rPr>
          <w:rFonts w:ascii="Arial" w:hAnsi="Arial" w:cs="Arial"/>
          <w:sz w:val="22"/>
          <w:szCs w:val="22"/>
        </w:rPr>
        <w:lastRenderedPageBreak/>
        <w:t>sensitivity analysis (</w:t>
      </w:r>
      <w:r>
        <w:rPr>
          <w:rFonts w:ascii="Arial" w:hAnsi="Arial"/>
          <w:sz w:val="22"/>
          <w:szCs w:val="22"/>
        </w:rPr>
        <w:t>paragraph</w:t>
      </w:r>
      <w:r w:rsidRPr="0015681B">
        <w:rPr>
          <w:rFonts w:ascii="Arial" w:hAnsi="Arial" w:cs="Arial"/>
          <w:sz w:val="22"/>
          <w:szCs w:val="22"/>
        </w:rPr>
        <w:t xml:space="preserve"> 7.15</w:t>
      </w:r>
      <w:r>
        <w:rPr>
          <w:rFonts w:ascii="Arial" w:hAnsi="Arial" w:cs="Arial"/>
          <w:sz w:val="22"/>
          <w:szCs w:val="22"/>
        </w:rPr>
        <w:t xml:space="preserve">, </w:t>
      </w:r>
      <w:r w:rsidR="006227B3">
        <w:rPr>
          <w:rFonts w:ascii="Arial" w:hAnsi="Arial" w:cs="Arial"/>
          <w:sz w:val="22"/>
          <w:szCs w:val="22"/>
        </w:rPr>
        <w:t>March 2015 PSD</w:t>
      </w:r>
      <w:r>
        <w:rPr>
          <w:rFonts w:ascii="Arial" w:hAnsi="Arial" w:cs="Arial"/>
          <w:sz w:val="22"/>
          <w:szCs w:val="22"/>
        </w:rPr>
        <w:t>, bendamustine</w:t>
      </w:r>
      <w:r w:rsidRPr="0015681B">
        <w:rPr>
          <w:rFonts w:ascii="Arial" w:hAnsi="Arial" w:cs="Arial"/>
          <w:sz w:val="22"/>
          <w:szCs w:val="22"/>
        </w:rPr>
        <w:t>).</w:t>
      </w:r>
      <w:r w:rsidRPr="00A658EA">
        <w:rPr>
          <w:rFonts w:ascii="Arial" w:hAnsi="Arial" w:cs="Arial"/>
          <w:sz w:val="22"/>
          <w:szCs w:val="22"/>
        </w:rPr>
        <w:t>The PBAC noted that MCL ha</w:t>
      </w:r>
      <w:r>
        <w:rPr>
          <w:rFonts w:ascii="Arial" w:hAnsi="Arial" w:cs="Arial"/>
          <w:sz w:val="22"/>
          <w:szCs w:val="22"/>
        </w:rPr>
        <w:t>d</w:t>
      </w:r>
      <w:r w:rsidRPr="00A658EA">
        <w:rPr>
          <w:rFonts w:ascii="Arial" w:hAnsi="Arial" w:cs="Arial"/>
          <w:sz w:val="22"/>
          <w:szCs w:val="22"/>
        </w:rPr>
        <w:t xml:space="preserve"> a median OS between 5 and 7 years (</w:t>
      </w:r>
      <w:r>
        <w:rPr>
          <w:rFonts w:ascii="Arial" w:hAnsi="Arial"/>
          <w:sz w:val="22"/>
          <w:szCs w:val="22"/>
        </w:rPr>
        <w:t>paragraph</w:t>
      </w:r>
      <w:r w:rsidRPr="00D62F83">
        <w:rPr>
          <w:rFonts w:ascii="Arial" w:hAnsi="Arial" w:cs="Arial"/>
          <w:sz w:val="22"/>
          <w:szCs w:val="22"/>
        </w:rPr>
        <w:t xml:space="preserve"> 6.33</w:t>
      </w:r>
      <w:r>
        <w:rPr>
          <w:rFonts w:ascii="Arial" w:hAnsi="Arial" w:cs="Arial"/>
          <w:sz w:val="22"/>
          <w:szCs w:val="22"/>
        </w:rPr>
        <w:t xml:space="preserve">, </w:t>
      </w:r>
      <w:r w:rsidR="006227B3">
        <w:rPr>
          <w:rFonts w:ascii="Arial" w:hAnsi="Arial" w:cs="Arial"/>
          <w:sz w:val="22"/>
          <w:szCs w:val="22"/>
        </w:rPr>
        <w:t>March 2015 PSD</w:t>
      </w:r>
      <w:r>
        <w:rPr>
          <w:rFonts w:ascii="Arial" w:hAnsi="Arial" w:cs="Arial"/>
          <w:sz w:val="22"/>
          <w:szCs w:val="22"/>
        </w:rPr>
        <w:t>, bendamustine).</w:t>
      </w:r>
      <w:r w:rsidRPr="00A658EA">
        <w:rPr>
          <w:rFonts w:ascii="Arial" w:hAnsi="Arial" w:cs="Arial"/>
          <w:sz w:val="22"/>
          <w:szCs w:val="22"/>
        </w:rPr>
        <w:t xml:space="preserve"> </w:t>
      </w:r>
      <w:r w:rsidRPr="00E410E1">
        <w:rPr>
          <w:rFonts w:ascii="Arial" w:hAnsi="Arial" w:cs="Arial"/>
          <w:sz w:val="22"/>
          <w:szCs w:val="22"/>
        </w:rPr>
        <w:t>The minor re-submission did not directly address this issue.</w:t>
      </w:r>
      <w:r w:rsidRPr="00E410E1" w:rsidDel="0068122D">
        <w:rPr>
          <w:rFonts w:ascii="Arial" w:hAnsi="Arial" w:cs="Arial"/>
          <w:sz w:val="22"/>
          <w:szCs w:val="22"/>
        </w:rPr>
        <w:t xml:space="preserve"> </w:t>
      </w:r>
    </w:p>
    <w:p w:rsidR="002D7806" w:rsidRPr="00A658EA" w:rsidRDefault="002D7806" w:rsidP="002D7806">
      <w:pPr>
        <w:pStyle w:val="ListParagraph"/>
        <w:jc w:val="both"/>
        <w:rPr>
          <w:rFonts w:ascii="Arial" w:hAnsi="Arial" w:cs="Arial"/>
          <w:sz w:val="22"/>
          <w:szCs w:val="22"/>
        </w:rPr>
      </w:pPr>
    </w:p>
    <w:p w:rsidR="002D7806" w:rsidRDefault="002D7806" w:rsidP="002D7806">
      <w:pPr>
        <w:pStyle w:val="ListParagraph"/>
        <w:numPr>
          <w:ilvl w:val="1"/>
          <w:numId w:val="25"/>
        </w:numPr>
        <w:jc w:val="both"/>
        <w:rPr>
          <w:rFonts w:ascii="Arial" w:hAnsi="Arial" w:cs="Arial"/>
          <w:sz w:val="22"/>
          <w:szCs w:val="22"/>
        </w:rPr>
      </w:pPr>
      <w:r w:rsidRPr="0015681B">
        <w:rPr>
          <w:rFonts w:ascii="Arial" w:hAnsi="Arial" w:cs="Arial"/>
          <w:sz w:val="22"/>
          <w:szCs w:val="22"/>
        </w:rPr>
        <w:t xml:space="preserve">The PBAC </w:t>
      </w:r>
      <w:r w:rsidR="001C7B87">
        <w:rPr>
          <w:rFonts w:ascii="Arial" w:hAnsi="Arial" w:cs="Arial"/>
          <w:sz w:val="22"/>
          <w:szCs w:val="22"/>
        </w:rPr>
        <w:t xml:space="preserve">had </w:t>
      </w:r>
      <w:r>
        <w:rPr>
          <w:rFonts w:ascii="Arial" w:hAnsi="Arial" w:cs="Arial"/>
          <w:sz w:val="22"/>
          <w:szCs w:val="22"/>
        </w:rPr>
        <w:t>also noted that an appropriate economic model should</w:t>
      </w:r>
      <w:r w:rsidRPr="0015681B">
        <w:rPr>
          <w:rFonts w:ascii="Arial" w:hAnsi="Arial" w:cs="Arial"/>
          <w:sz w:val="22"/>
          <w:szCs w:val="22"/>
        </w:rPr>
        <w:t xml:space="preserve"> justif</w:t>
      </w:r>
      <w:r>
        <w:rPr>
          <w:rFonts w:ascii="Arial" w:hAnsi="Arial" w:cs="Arial"/>
          <w:sz w:val="22"/>
          <w:szCs w:val="22"/>
        </w:rPr>
        <w:t xml:space="preserve">y the use of a 20 year time horizon </w:t>
      </w:r>
      <w:r w:rsidRPr="0015681B">
        <w:rPr>
          <w:rFonts w:ascii="Arial" w:hAnsi="Arial" w:cs="Arial"/>
          <w:sz w:val="22"/>
          <w:szCs w:val="22"/>
        </w:rPr>
        <w:t xml:space="preserve">for </w:t>
      </w:r>
      <w:proofErr w:type="spellStart"/>
      <w:r w:rsidRPr="0015681B">
        <w:rPr>
          <w:rFonts w:ascii="Arial" w:hAnsi="Arial" w:cs="Arial"/>
          <w:sz w:val="22"/>
          <w:szCs w:val="22"/>
        </w:rPr>
        <w:t>iNHL</w:t>
      </w:r>
      <w:proofErr w:type="spellEnd"/>
      <w:r w:rsidRPr="0015681B">
        <w:rPr>
          <w:rFonts w:ascii="Arial" w:hAnsi="Arial" w:cs="Arial"/>
          <w:sz w:val="22"/>
          <w:szCs w:val="22"/>
        </w:rPr>
        <w:t xml:space="preserve"> (</w:t>
      </w:r>
      <w:r>
        <w:rPr>
          <w:rFonts w:ascii="Arial" w:hAnsi="Arial"/>
          <w:sz w:val="22"/>
          <w:szCs w:val="22"/>
        </w:rPr>
        <w:t>paragraph</w:t>
      </w:r>
      <w:r w:rsidRPr="0015681B">
        <w:rPr>
          <w:rFonts w:ascii="Arial" w:hAnsi="Arial" w:cs="Arial"/>
          <w:sz w:val="22"/>
          <w:szCs w:val="22"/>
        </w:rPr>
        <w:t xml:space="preserve"> 7.15</w:t>
      </w:r>
      <w:r>
        <w:rPr>
          <w:rFonts w:ascii="Arial" w:hAnsi="Arial" w:cs="Arial"/>
          <w:sz w:val="22"/>
          <w:szCs w:val="22"/>
        </w:rPr>
        <w:t xml:space="preserve">, </w:t>
      </w:r>
      <w:r w:rsidR="006227B3">
        <w:rPr>
          <w:rFonts w:ascii="Arial" w:hAnsi="Arial"/>
          <w:sz w:val="22"/>
          <w:szCs w:val="22"/>
        </w:rPr>
        <w:t>March 2015 PSD</w:t>
      </w:r>
      <w:r w:rsidRPr="00D45E21">
        <w:rPr>
          <w:rFonts w:ascii="Arial" w:hAnsi="Arial"/>
          <w:sz w:val="22"/>
          <w:szCs w:val="22"/>
        </w:rPr>
        <w:t>, bendamustine</w:t>
      </w:r>
      <w:r w:rsidRPr="0015681B">
        <w:rPr>
          <w:rFonts w:ascii="Arial" w:hAnsi="Arial" w:cs="Arial"/>
          <w:sz w:val="22"/>
          <w:szCs w:val="22"/>
        </w:rPr>
        <w:t xml:space="preserve">). The minor re-submission provided evidence from the AIHW report, “Cancer in Australia, An Overview, 2014” which </w:t>
      </w:r>
      <w:r>
        <w:rPr>
          <w:rFonts w:ascii="Arial" w:hAnsi="Arial" w:cs="Arial"/>
          <w:sz w:val="22"/>
          <w:szCs w:val="22"/>
        </w:rPr>
        <w:t>presented</w:t>
      </w:r>
      <w:r w:rsidRPr="0015681B">
        <w:rPr>
          <w:rFonts w:ascii="Arial" w:hAnsi="Arial" w:cs="Arial"/>
          <w:sz w:val="22"/>
          <w:szCs w:val="22"/>
        </w:rPr>
        <w:t xml:space="preserve"> a 20 year relativ</w:t>
      </w:r>
      <w:r>
        <w:rPr>
          <w:rFonts w:ascii="Arial" w:hAnsi="Arial" w:cs="Arial"/>
          <w:sz w:val="22"/>
          <w:szCs w:val="22"/>
        </w:rPr>
        <w:t>e survival data for NHL patient</w:t>
      </w:r>
      <w:r w:rsidRPr="0015681B">
        <w:rPr>
          <w:rFonts w:ascii="Arial" w:hAnsi="Arial" w:cs="Arial"/>
          <w:sz w:val="22"/>
          <w:szCs w:val="22"/>
        </w:rPr>
        <w:t>s (all form</w:t>
      </w:r>
      <w:r>
        <w:rPr>
          <w:rFonts w:ascii="Arial" w:hAnsi="Arial" w:cs="Arial"/>
          <w:sz w:val="22"/>
          <w:szCs w:val="22"/>
        </w:rPr>
        <w:t>s</w:t>
      </w:r>
      <w:r w:rsidRPr="0015681B">
        <w:rPr>
          <w:rFonts w:ascii="Arial" w:hAnsi="Arial" w:cs="Arial"/>
          <w:sz w:val="22"/>
          <w:szCs w:val="22"/>
        </w:rPr>
        <w:t xml:space="preserve"> of NHL). The data demonstrated that 50% of the cohort was al</w:t>
      </w:r>
      <w:r>
        <w:rPr>
          <w:rFonts w:ascii="Arial" w:hAnsi="Arial" w:cs="Arial"/>
          <w:sz w:val="22"/>
          <w:szCs w:val="22"/>
        </w:rPr>
        <w:t>ive at 20 years post diagnosis</w:t>
      </w:r>
      <w:r w:rsidRPr="0015681B">
        <w:rPr>
          <w:rFonts w:ascii="Arial" w:hAnsi="Arial" w:cs="Arial"/>
          <w:sz w:val="22"/>
          <w:szCs w:val="22"/>
        </w:rPr>
        <w:t xml:space="preserve">. </w:t>
      </w:r>
    </w:p>
    <w:p w:rsidR="002D7806" w:rsidRDefault="002D7806" w:rsidP="002D7806">
      <w:pPr>
        <w:pStyle w:val="ListParagraph"/>
        <w:jc w:val="both"/>
        <w:rPr>
          <w:rFonts w:ascii="Arial" w:hAnsi="Arial" w:cs="Arial"/>
          <w:sz w:val="22"/>
          <w:szCs w:val="22"/>
        </w:rPr>
      </w:pPr>
    </w:p>
    <w:p w:rsidR="002D7806" w:rsidRDefault="002D7806" w:rsidP="002D7806">
      <w:pPr>
        <w:pStyle w:val="ListParagraph"/>
        <w:numPr>
          <w:ilvl w:val="1"/>
          <w:numId w:val="25"/>
        </w:numPr>
        <w:jc w:val="both"/>
        <w:rPr>
          <w:rFonts w:ascii="Arial" w:hAnsi="Arial" w:cs="Arial"/>
          <w:sz w:val="22"/>
          <w:szCs w:val="22"/>
        </w:rPr>
      </w:pPr>
      <w:r w:rsidRPr="00A658EA">
        <w:rPr>
          <w:rFonts w:ascii="Arial" w:hAnsi="Arial" w:cs="Arial"/>
          <w:sz w:val="22"/>
          <w:szCs w:val="22"/>
        </w:rPr>
        <w:t xml:space="preserve">The minor re-submission </w:t>
      </w:r>
      <w:r>
        <w:rPr>
          <w:rFonts w:ascii="Arial" w:hAnsi="Arial" w:cs="Arial"/>
          <w:sz w:val="22"/>
          <w:szCs w:val="22"/>
        </w:rPr>
        <w:t>noted that at 8 years approximately 40% of B-R patients had not progressed compared to 20% of R-CHOP patients.</w:t>
      </w:r>
    </w:p>
    <w:p w:rsidR="002D7806" w:rsidRPr="00A658EA" w:rsidRDefault="002D7806" w:rsidP="002D7806">
      <w:pPr>
        <w:pStyle w:val="ListParagraph"/>
        <w:jc w:val="both"/>
        <w:rPr>
          <w:rFonts w:ascii="Arial" w:hAnsi="Arial" w:cs="Arial"/>
          <w:sz w:val="22"/>
          <w:szCs w:val="22"/>
        </w:rPr>
      </w:pPr>
    </w:p>
    <w:p w:rsidR="002D7806" w:rsidRDefault="002D7806" w:rsidP="00C74C5E">
      <w:pPr>
        <w:pStyle w:val="ListParagraph"/>
        <w:numPr>
          <w:ilvl w:val="1"/>
          <w:numId w:val="25"/>
        </w:numPr>
        <w:jc w:val="both"/>
        <w:rPr>
          <w:rFonts w:ascii="Arial" w:hAnsi="Arial" w:cs="Arial"/>
          <w:sz w:val="22"/>
          <w:szCs w:val="22"/>
        </w:rPr>
      </w:pPr>
      <w:r w:rsidRPr="0015681B">
        <w:rPr>
          <w:rFonts w:ascii="Arial" w:hAnsi="Arial" w:cs="Arial"/>
          <w:sz w:val="22"/>
          <w:szCs w:val="22"/>
        </w:rPr>
        <w:t>The minor re-submission state</w:t>
      </w:r>
      <w:r>
        <w:rPr>
          <w:rFonts w:ascii="Arial" w:hAnsi="Arial" w:cs="Arial"/>
          <w:sz w:val="22"/>
          <w:szCs w:val="22"/>
        </w:rPr>
        <w:t>d</w:t>
      </w:r>
      <w:r w:rsidRPr="0015681B">
        <w:rPr>
          <w:rFonts w:ascii="Arial" w:hAnsi="Arial" w:cs="Arial"/>
          <w:sz w:val="22"/>
          <w:szCs w:val="22"/>
        </w:rPr>
        <w:t xml:space="preserve"> that the ICER was unchanged from the previous submission ($</w:t>
      </w:r>
      <w:r w:rsidR="00C74C5E">
        <w:rPr>
          <w:rFonts w:ascii="Arial" w:hAnsi="Arial" w:cs="Arial"/>
          <w:sz w:val="22"/>
          <w:szCs w:val="22"/>
        </w:rPr>
        <w:t>15,000 - $45,000</w:t>
      </w:r>
      <w:r>
        <w:rPr>
          <w:rFonts w:ascii="Arial" w:hAnsi="Arial" w:cs="Arial"/>
          <w:sz w:val="22"/>
          <w:szCs w:val="22"/>
        </w:rPr>
        <w:t>/QALY</w:t>
      </w:r>
      <w:r w:rsidRPr="0015681B">
        <w:rPr>
          <w:rFonts w:ascii="Arial" w:hAnsi="Arial" w:cs="Arial"/>
          <w:sz w:val="22"/>
          <w:szCs w:val="22"/>
        </w:rPr>
        <w:t xml:space="preserve">). However, due </w:t>
      </w:r>
      <w:r>
        <w:rPr>
          <w:rFonts w:ascii="Arial" w:hAnsi="Arial" w:cs="Arial"/>
          <w:sz w:val="22"/>
          <w:szCs w:val="22"/>
        </w:rPr>
        <w:t>to</w:t>
      </w:r>
      <w:r w:rsidR="00E251C8">
        <w:rPr>
          <w:rFonts w:ascii="Arial" w:hAnsi="Arial" w:cs="Arial"/>
          <w:sz w:val="22"/>
          <w:szCs w:val="22"/>
        </w:rPr>
        <w:t xml:space="preserve"> updates in the co</w:t>
      </w:r>
      <w:r w:rsidR="00E251C8">
        <w:rPr>
          <w:rFonts w:ascii="Arial" w:hAnsi="Arial" w:cs="Arial"/>
          <w:sz w:val="22"/>
          <w:szCs w:val="22"/>
        </w:rPr>
        <w:noBreakHyphen/>
      </w:r>
      <w:r w:rsidRPr="0015681B">
        <w:rPr>
          <w:rFonts w:ascii="Arial" w:hAnsi="Arial" w:cs="Arial"/>
          <w:sz w:val="22"/>
          <w:szCs w:val="22"/>
        </w:rPr>
        <w:t>payment and prices of doxorubicin, the new ICER is $</w:t>
      </w:r>
      <w:r w:rsidR="00C74C5E" w:rsidRPr="00C74C5E">
        <w:rPr>
          <w:rFonts w:ascii="Arial" w:hAnsi="Arial" w:cs="Arial"/>
          <w:sz w:val="22"/>
          <w:szCs w:val="22"/>
        </w:rPr>
        <w:t>15,000 - $45,000</w:t>
      </w:r>
      <w:r>
        <w:rPr>
          <w:rFonts w:ascii="Arial" w:hAnsi="Arial" w:cs="Arial"/>
          <w:sz w:val="22"/>
          <w:szCs w:val="22"/>
        </w:rPr>
        <w:t>/QALY.</w:t>
      </w:r>
    </w:p>
    <w:p w:rsidR="001D1327" w:rsidRPr="000A4264" w:rsidRDefault="001D1327" w:rsidP="000A4264">
      <w:pPr>
        <w:jc w:val="both"/>
        <w:rPr>
          <w:rFonts w:ascii="Arial" w:hAnsi="Arial" w:cs="Arial"/>
          <w:sz w:val="22"/>
          <w:szCs w:val="22"/>
        </w:rPr>
      </w:pPr>
    </w:p>
    <w:p w:rsidR="005A50E9" w:rsidRDefault="001D1327" w:rsidP="00E41AD8">
      <w:pPr>
        <w:pStyle w:val="ListParagraph"/>
        <w:numPr>
          <w:ilvl w:val="1"/>
          <w:numId w:val="25"/>
        </w:numPr>
        <w:jc w:val="both"/>
        <w:rPr>
          <w:rFonts w:ascii="Arial" w:hAnsi="Arial" w:cs="Arial"/>
          <w:sz w:val="22"/>
          <w:szCs w:val="22"/>
        </w:rPr>
      </w:pPr>
      <w:r w:rsidRPr="001D1327">
        <w:rPr>
          <w:rFonts w:ascii="Arial" w:hAnsi="Arial" w:cs="Arial"/>
          <w:sz w:val="22"/>
          <w:szCs w:val="22"/>
        </w:rPr>
        <w:t xml:space="preserve">The PBAC </w:t>
      </w:r>
      <w:r w:rsidR="001C7B87">
        <w:rPr>
          <w:rFonts w:ascii="Arial" w:hAnsi="Arial" w:cs="Arial"/>
          <w:sz w:val="22"/>
          <w:szCs w:val="22"/>
        </w:rPr>
        <w:t xml:space="preserve">had </w:t>
      </w:r>
      <w:r w:rsidRPr="001D1327">
        <w:rPr>
          <w:rFonts w:ascii="Arial" w:hAnsi="Arial" w:cs="Arial"/>
          <w:sz w:val="22"/>
          <w:szCs w:val="22"/>
        </w:rPr>
        <w:t>noted that addressing the issues in the model may require patient level data and that the sponsor may not have access to such data (</w:t>
      </w:r>
      <w:r w:rsidR="007061BD">
        <w:rPr>
          <w:rFonts w:ascii="Arial" w:hAnsi="Arial"/>
          <w:sz w:val="22"/>
          <w:szCs w:val="22"/>
        </w:rPr>
        <w:t>paragraph</w:t>
      </w:r>
      <w:r w:rsidRPr="001D1327">
        <w:rPr>
          <w:rFonts w:ascii="Arial" w:hAnsi="Arial" w:cs="Arial"/>
          <w:sz w:val="22"/>
          <w:szCs w:val="22"/>
        </w:rPr>
        <w:t xml:space="preserve"> 7.16, </w:t>
      </w:r>
      <w:r w:rsidR="006227B3">
        <w:rPr>
          <w:rFonts w:ascii="Arial" w:hAnsi="Arial"/>
          <w:sz w:val="22"/>
          <w:szCs w:val="22"/>
        </w:rPr>
        <w:t>March 2015 PSD</w:t>
      </w:r>
      <w:r w:rsidR="00D45E21" w:rsidRPr="00D45E21">
        <w:rPr>
          <w:rFonts w:ascii="Arial" w:hAnsi="Arial"/>
          <w:sz w:val="22"/>
          <w:szCs w:val="22"/>
        </w:rPr>
        <w:t>, bendamustine</w:t>
      </w:r>
      <w:r w:rsidRPr="001D1327">
        <w:rPr>
          <w:rFonts w:ascii="Arial" w:hAnsi="Arial" w:cs="Arial"/>
          <w:sz w:val="22"/>
          <w:szCs w:val="22"/>
        </w:rPr>
        <w:t>). In regards to a proposed entry price, the minor re-submission did not propose a new price of bendamustine</w:t>
      </w:r>
      <w:r w:rsidR="00E41AD8">
        <w:rPr>
          <w:rFonts w:ascii="Arial" w:hAnsi="Arial" w:cs="Arial"/>
          <w:sz w:val="22"/>
          <w:szCs w:val="22"/>
        </w:rPr>
        <w:t xml:space="preserve">. </w:t>
      </w:r>
    </w:p>
    <w:p w:rsidR="000A4264" w:rsidRDefault="000A4264" w:rsidP="000A4264">
      <w:pPr>
        <w:pStyle w:val="ListParagraph"/>
        <w:jc w:val="both"/>
        <w:rPr>
          <w:rFonts w:ascii="Arial" w:hAnsi="Arial" w:cs="Arial"/>
          <w:sz w:val="22"/>
          <w:szCs w:val="22"/>
        </w:rPr>
      </w:pPr>
    </w:p>
    <w:p w:rsidR="000A4264" w:rsidRPr="001D1327" w:rsidRDefault="000A4264" w:rsidP="000A4264">
      <w:pPr>
        <w:pStyle w:val="ListParagraph"/>
        <w:numPr>
          <w:ilvl w:val="1"/>
          <w:numId w:val="25"/>
        </w:numPr>
        <w:jc w:val="both"/>
        <w:rPr>
          <w:rFonts w:ascii="Arial" w:hAnsi="Arial" w:cs="Arial"/>
          <w:sz w:val="22"/>
          <w:szCs w:val="22"/>
        </w:rPr>
      </w:pPr>
      <w:r w:rsidRPr="001D1327">
        <w:rPr>
          <w:rFonts w:ascii="Arial" w:hAnsi="Arial" w:cs="Arial"/>
          <w:sz w:val="22"/>
          <w:szCs w:val="22"/>
        </w:rPr>
        <w:t xml:space="preserve">Based on the issues with the economic model, the PBAC </w:t>
      </w:r>
      <w:r w:rsidR="001C7B87">
        <w:rPr>
          <w:rFonts w:ascii="Arial" w:hAnsi="Arial" w:cs="Arial"/>
          <w:sz w:val="22"/>
          <w:szCs w:val="22"/>
        </w:rPr>
        <w:t xml:space="preserve">had </w:t>
      </w:r>
      <w:r w:rsidRPr="001D1327">
        <w:rPr>
          <w:rFonts w:ascii="Arial" w:hAnsi="Arial" w:cs="Arial"/>
          <w:sz w:val="22"/>
          <w:szCs w:val="22"/>
        </w:rPr>
        <w:t xml:space="preserve">requested that for the previously untreated </w:t>
      </w:r>
      <w:proofErr w:type="spellStart"/>
      <w:r w:rsidRPr="001D1327">
        <w:rPr>
          <w:rFonts w:ascii="Arial" w:hAnsi="Arial" w:cs="Arial"/>
          <w:sz w:val="22"/>
          <w:szCs w:val="22"/>
        </w:rPr>
        <w:t>iNHL</w:t>
      </w:r>
      <w:proofErr w:type="spellEnd"/>
      <w:r w:rsidRPr="001D1327">
        <w:rPr>
          <w:rFonts w:ascii="Arial" w:hAnsi="Arial" w:cs="Arial"/>
          <w:sz w:val="22"/>
          <w:szCs w:val="22"/>
        </w:rPr>
        <w:t xml:space="preserve"> and MCL patient populations, the sponsor either:</w:t>
      </w:r>
    </w:p>
    <w:p w:rsidR="000A4264" w:rsidRPr="001D1327" w:rsidRDefault="000A4264" w:rsidP="000A4264">
      <w:pPr>
        <w:pStyle w:val="ListParagraph"/>
        <w:numPr>
          <w:ilvl w:val="0"/>
          <w:numId w:val="51"/>
        </w:numPr>
        <w:jc w:val="both"/>
        <w:rPr>
          <w:rFonts w:ascii="Arial" w:hAnsi="Arial" w:cs="Arial"/>
          <w:sz w:val="22"/>
          <w:szCs w:val="22"/>
        </w:rPr>
      </w:pPr>
      <w:r w:rsidRPr="001D1327">
        <w:rPr>
          <w:rFonts w:ascii="Arial" w:hAnsi="Arial" w:cs="Arial"/>
          <w:sz w:val="22"/>
          <w:szCs w:val="22"/>
        </w:rPr>
        <w:t>Provide a major resubmission that address</w:t>
      </w:r>
      <w:r>
        <w:rPr>
          <w:rFonts w:ascii="Arial" w:hAnsi="Arial" w:cs="Arial"/>
          <w:sz w:val="22"/>
          <w:szCs w:val="22"/>
        </w:rPr>
        <w:t>ed</w:t>
      </w:r>
      <w:r w:rsidRPr="001D1327">
        <w:rPr>
          <w:rFonts w:ascii="Arial" w:hAnsi="Arial" w:cs="Arial"/>
          <w:sz w:val="22"/>
          <w:szCs w:val="22"/>
        </w:rPr>
        <w:t xml:space="preserve"> the issues in the models; OR</w:t>
      </w:r>
    </w:p>
    <w:p w:rsidR="000A4264" w:rsidRPr="006C05B8" w:rsidRDefault="000A4264" w:rsidP="000A4264">
      <w:pPr>
        <w:pStyle w:val="ListParagraph"/>
        <w:numPr>
          <w:ilvl w:val="0"/>
          <w:numId w:val="51"/>
        </w:numPr>
        <w:jc w:val="both"/>
        <w:rPr>
          <w:rFonts w:ascii="Arial" w:hAnsi="Arial" w:cs="Arial"/>
          <w:sz w:val="22"/>
          <w:szCs w:val="22"/>
        </w:rPr>
      </w:pPr>
      <w:r w:rsidRPr="001D1327">
        <w:rPr>
          <w:rFonts w:ascii="Arial" w:hAnsi="Arial" w:cs="Arial"/>
          <w:sz w:val="22"/>
          <w:szCs w:val="22"/>
        </w:rPr>
        <w:t xml:space="preserve">Propose an entry price that mitigates the risk that the model does not </w:t>
      </w:r>
      <w:r w:rsidRPr="006C05B8">
        <w:rPr>
          <w:rFonts w:ascii="Arial" w:hAnsi="Arial" w:cs="Arial"/>
          <w:sz w:val="22"/>
          <w:szCs w:val="22"/>
        </w:rPr>
        <w:t xml:space="preserve">accurately estimate the true cost-effectiveness of bendamustine. </w:t>
      </w:r>
    </w:p>
    <w:p w:rsidR="00E41AD8" w:rsidRPr="007A1EB1" w:rsidRDefault="000A4264" w:rsidP="001323F0">
      <w:pPr>
        <w:pStyle w:val="ListParagraph"/>
        <w:tabs>
          <w:tab w:val="left" w:pos="993"/>
        </w:tabs>
        <w:jc w:val="both"/>
      </w:pPr>
      <w:r w:rsidRPr="006C05B8">
        <w:rPr>
          <w:rFonts w:ascii="Arial" w:hAnsi="Arial" w:cs="Arial"/>
          <w:sz w:val="22"/>
          <w:szCs w:val="22"/>
        </w:rPr>
        <w:t>(</w:t>
      </w:r>
      <w:proofErr w:type="gramStart"/>
      <w:r w:rsidRPr="006C05B8">
        <w:rPr>
          <w:rFonts w:ascii="Arial" w:hAnsi="Arial" w:cs="Arial"/>
          <w:sz w:val="22"/>
          <w:szCs w:val="22"/>
        </w:rPr>
        <w:t>paragraph</w:t>
      </w:r>
      <w:proofErr w:type="gramEnd"/>
      <w:r w:rsidRPr="006C05B8">
        <w:rPr>
          <w:rFonts w:ascii="Arial" w:hAnsi="Arial" w:cs="Arial"/>
          <w:sz w:val="22"/>
          <w:szCs w:val="22"/>
        </w:rPr>
        <w:t xml:space="preserve"> 7.16, </w:t>
      </w:r>
      <w:r>
        <w:rPr>
          <w:rFonts w:ascii="Arial" w:hAnsi="Arial" w:cs="Arial"/>
          <w:sz w:val="22"/>
          <w:szCs w:val="22"/>
        </w:rPr>
        <w:t>March 2015 PSD</w:t>
      </w:r>
      <w:r w:rsidRPr="006C05B8">
        <w:rPr>
          <w:rFonts w:ascii="Arial" w:hAnsi="Arial" w:cs="Arial"/>
          <w:sz w:val="22"/>
          <w:szCs w:val="22"/>
        </w:rPr>
        <w:t>, bendamustine)</w:t>
      </w:r>
      <w:r>
        <w:rPr>
          <w:rFonts w:ascii="Arial" w:hAnsi="Arial" w:cs="Arial"/>
          <w:sz w:val="22"/>
          <w:szCs w:val="22"/>
        </w:rPr>
        <w:t>.</w:t>
      </w:r>
    </w:p>
    <w:p w:rsidR="00E41AD8" w:rsidRDefault="00E41AD8" w:rsidP="00B14C75">
      <w:pPr>
        <w:pStyle w:val="ListParagraph"/>
        <w:jc w:val="both"/>
        <w:rPr>
          <w:rFonts w:ascii="Arial" w:hAnsi="Arial" w:cs="Arial"/>
          <w:sz w:val="22"/>
          <w:szCs w:val="22"/>
        </w:rPr>
      </w:pPr>
    </w:p>
    <w:p w:rsidR="001D1327" w:rsidRPr="001D1327" w:rsidRDefault="00E41AD8" w:rsidP="007A1EB1">
      <w:pPr>
        <w:pStyle w:val="ListParagraph"/>
        <w:numPr>
          <w:ilvl w:val="1"/>
          <w:numId w:val="25"/>
        </w:numPr>
        <w:jc w:val="both"/>
        <w:rPr>
          <w:rFonts w:ascii="Arial" w:hAnsi="Arial" w:cs="Arial"/>
          <w:sz w:val="22"/>
          <w:szCs w:val="22"/>
        </w:rPr>
      </w:pPr>
      <w:r>
        <w:rPr>
          <w:rFonts w:ascii="Arial" w:hAnsi="Arial" w:cs="Arial"/>
          <w:sz w:val="22"/>
          <w:szCs w:val="22"/>
        </w:rPr>
        <w:t xml:space="preserve">The minor </w:t>
      </w:r>
      <w:r w:rsidR="005A50E9">
        <w:rPr>
          <w:rFonts w:ascii="Arial" w:hAnsi="Arial" w:cs="Arial"/>
          <w:sz w:val="22"/>
          <w:szCs w:val="22"/>
        </w:rPr>
        <w:t>re-</w:t>
      </w:r>
      <w:r>
        <w:rPr>
          <w:rFonts w:ascii="Arial" w:hAnsi="Arial" w:cs="Arial"/>
          <w:sz w:val="22"/>
          <w:szCs w:val="22"/>
        </w:rPr>
        <w:t xml:space="preserve">submission provided the following arguments as to why a new entry price was not proposed: </w:t>
      </w:r>
    </w:p>
    <w:p w:rsidR="001D1327" w:rsidRPr="001D1327" w:rsidRDefault="001D1327" w:rsidP="001D1327">
      <w:pPr>
        <w:pStyle w:val="ListParagraph"/>
        <w:numPr>
          <w:ilvl w:val="0"/>
          <w:numId w:val="51"/>
        </w:numPr>
        <w:jc w:val="both"/>
        <w:rPr>
          <w:rFonts w:ascii="Arial" w:hAnsi="Arial" w:cs="Arial"/>
          <w:sz w:val="22"/>
          <w:szCs w:val="22"/>
        </w:rPr>
      </w:pPr>
      <w:r w:rsidRPr="001D1327">
        <w:rPr>
          <w:rFonts w:ascii="Arial" w:hAnsi="Arial" w:cs="Arial"/>
          <w:sz w:val="22"/>
          <w:szCs w:val="22"/>
        </w:rPr>
        <w:t>Bendamustine (Ribomustin) is the only brand of bendamustine which is listed on the ARTG and the sponsor was not involved in the supply of bendamustine in Australia under any other price;</w:t>
      </w:r>
    </w:p>
    <w:p w:rsidR="001D1327" w:rsidRPr="00020F9A" w:rsidDel="00AF326A" w:rsidRDefault="001D1327" w:rsidP="001D1327">
      <w:pPr>
        <w:pStyle w:val="ListParagraph"/>
        <w:numPr>
          <w:ilvl w:val="0"/>
          <w:numId w:val="51"/>
        </w:numPr>
        <w:jc w:val="both"/>
        <w:rPr>
          <w:rFonts w:ascii="Arial" w:hAnsi="Arial" w:cs="Arial"/>
          <w:sz w:val="22"/>
          <w:szCs w:val="22"/>
        </w:rPr>
      </w:pPr>
      <w:r w:rsidRPr="00020F9A" w:rsidDel="00AF326A">
        <w:rPr>
          <w:rFonts w:ascii="Arial" w:hAnsi="Arial" w:cs="Arial"/>
          <w:sz w:val="22"/>
          <w:szCs w:val="22"/>
        </w:rPr>
        <w:t>Several changes to the economic model (subsequent therapies, rituximab maintenance) would improve the ICER in favour of bendamustine; while other changes (5-state disease model, separate economic evaluations for indolent NHL and MCL) would not have a major impact on the ICER;</w:t>
      </w:r>
      <w:r w:rsidR="00E41AD8" w:rsidRPr="00020F9A" w:rsidDel="00AF326A">
        <w:rPr>
          <w:rFonts w:ascii="Arial" w:hAnsi="Arial" w:cs="Arial"/>
          <w:sz w:val="22"/>
          <w:szCs w:val="22"/>
        </w:rPr>
        <w:t xml:space="preserve"> </w:t>
      </w:r>
    </w:p>
    <w:p w:rsidR="001D1327" w:rsidRPr="001D1327" w:rsidRDefault="001D1327" w:rsidP="001D1327">
      <w:pPr>
        <w:pStyle w:val="ListParagraph"/>
        <w:numPr>
          <w:ilvl w:val="0"/>
          <w:numId w:val="51"/>
        </w:numPr>
        <w:jc w:val="both"/>
        <w:rPr>
          <w:rFonts w:ascii="Arial" w:hAnsi="Arial" w:cs="Arial"/>
          <w:sz w:val="22"/>
          <w:szCs w:val="22"/>
        </w:rPr>
      </w:pPr>
      <w:r w:rsidRPr="001D1327">
        <w:rPr>
          <w:rFonts w:ascii="Arial" w:hAnsi="Arial" w:cs="Arial"/>
          <w:sz w:val="22"/>
          <w:szCs w:val="22"/>
        </w:rPr>
        <w:t xml:space="preserve">The comparative effectiveness, safety and cost-effectiveness of bendamustine was demonstrated through the incremental analysis, </w:t>
      </w:r>
      <w:r w:rsidR="00372E8D">
        <w:rPr>
          <w:rFonts w:ascii="Arial" w:hAnsi="Arial" w:cs="Arial"/>
          <w:sz w:val="22"/>
          <w:szCs w:val="22"/>
        </w:rPr>
        <w:t>with</w:t>
      </w:r>
      <w:r w:rsidRPr="001D1327">
        <w:rPr>
          <w:rFonts w:ascii="Arial" w:hAnsi="Arial" w:cs="Arial"/>
          <w:sz w:val="22"/>
          <w:szCs w:val="22"/>
        </w:rPr>
        <w:t xml:space="preserve"> </w:t>
      </w:r>
      <w:r w:rsidR="00372E8D">
        <w:rPr>
          <w:rFonts w:ascii="Arial" w:hAnsi="Arial" w:cs="Arial"/>
          <w:sz w:val="22"/>
          <w:szCs w:val="22"/>
        </w:rPr>
        <w:t>a</w:t>
      </w:r>
      <w:r w:rsidRPr="001D1327">
        <w:rPr>
          <w:rFonts w:ascii="Arial" w:hAnsi="Arial" w:cs="Arial"/>
          <w:sz w:val="22"/>
          <w:szCs w:val="22"/>
        </w:rPr>
        <w:t xml:space="preserve"> resulting ICER of B-R over R-CHOP of $</w:t>
      </w:r>
      <w:r w:rsidR="00C74C5E">
        <w:rPr>
          <w:rFonts w:ascii="Arial" w:hAnsi="Arial" w:cs="Arial"/>
          <w:sz w:val="22"/>
          <w:szCs w:val="22"/>
        </w:rPr>
        <w:t>15,000 - $45,000</w:t>
      </w:r>
      <w:r w:rsidR="00372E8D">
        <w:rPr>
          <w:rFonts w:ascii="Arial" w:hAnsi="Arial" w:cs="Arial"/>
          <w:sz w:val="22"/>
          <w:szCs w:val="22"/>
        </w:rPr>
        <w:t>/QALY</w:t>
      </w:r>
      <w:r>
        <w:rPr>
          <w:rFonts w:ascii="Arial" w:hAnsi="Arial" w:cs="Arial"/>
          <w:sz w:val="22"/>
          <w:szCs w:val="22"/>
        </w:rPr>
        <w:t>;</w:t>
      </w:r>
      <w:r w:rsidR="004F7F7F">
        <w:rPr>
          <w:rFonts w:ascii="Arial" w:hAnsi="Arial" w:cs="Arial"/>
          <w:sz w:val="22"/>
          <w:szCs w:val="22"/>
        </w:rPr>
        <w:t xml:space="preserve"> </w:t>
      </w:r>
      <w:r w:rsidR="00E41AD8">
        <w:rPr>
          <w:rFonts w:ascii="Arial" w:hAnsi="Arial" w:cs="Arial"/>
          <w:sz w:val="22"/>
          <w:szCs w:val="22"/>
        </w:rPr>
        <w:t>and</w:t>
      </w:r>
    </w:p>
    <w:p w:rsidR="009C0C0D" w:rsidRDefault="001D1327" w:rsidP="00FB33A2">
      <w:pPr>
        <w:pStyle w:val="ListParagraph"/>
        <w:numPr>
          <w:ilvl w:val="0"/>
          <w:numId w:val="51"/>
        </w:numPr>
        <w:jc w:val="both"/>
        <w:rPr>
          <w:rFonts w:ascii="Arial" w:hAnsi="Arial" w:cs="Arial"/>
          <w:b/>
          <w:i/>
          <w:sz w:val="22"/>
          <w:szCs w:val="22"/>
        </w:rPr>
      </w:pPr>
      <w:r w:rsidRPr="001D1327">
        <w:rPr>
          <w:rFonts w:ascii="Arial" w:hAnsi="Arial" w:cs="Arial"/>
          <w:sz w:val="22"/>
          <w:szCs w:val="22"/>
        </w:rPr>
        <w:t>All sensitivity analyses resulted in ICERs in the range of $</w:t>
      </w:r>
      <w:r w:rsidR="00C74C5E">
        <w:rPr>
          <w:rFonts w:ascii="Arial" w:hAnsi="Arial" w:cs="Arial"/>
          <w:sz w:val="22"/>
          <w:szCs w:val="22"/>
        </w:rPr>
        <w:t>15,000</w:t>
      </w:r>
      <w:r w:rsidR="00FB33A2">
        <w:rPr>
          <w:rFonts w:ascii="Arial" w:hAnsi="Arial" w:cs="Arial"/>
          <w:sz w:val="22"/>
          <w:szCs w:val="22"/>
        </w:rPr>
        <w:t xml:space="preserve"> - </w:t>
      </w:r>
      <w:r w:rsidR="00C74C5E">
        <w:rPr>
          <w:rFonts w:ascii="Arial" w:hAnsi="Arial" w:cs="Arial"/>
          <w:sz w:val="22"/>
          <w:szCs w:val="22"/>
        </w:rPr>
        <w:t>$45,000</w:t>
      </w:r>
      <w:r w:rsidR="00372E8D">
        <w:rPr>
          <w:rFonts w:ascii="Arial" w:hAnsi="Arial" w:cs="Arial"/>
          <w:sz w:val="22"/>
          <w:szCs w:val="22"/>
        </w:rPr>
        <w:t>/QALY</w:t>
      </w:r>
      <w:r w:rsidRPr="001D1327">
        <w:rPr>
          <w:rFonts w:ascii="Arial" w:hAnsi="Arial" w:cs="Arial"/>
          <w:sz w:val="22"/>
          <w:szCs w:val="22"/>
        </w:rPr>
        <w:t xml:space="preserve"> to $</w:t>
      </w:r>
      <w:r w:rsidR="00C74C5E">
        <w:rPr>
          <w:rFonts w:ascii="Arial" w:hAnsi="Arial" w:cs="Arial"/>
          <w:sz w:val="22"/>
          <w:szCs w:val="22"/>
        </w:rPr>
        <w:t>45,000 - $75,000</w:t>
      </w:r>
      <w:r w:rsidR="00372E8D">
        <w:rPr>
          <w:rFonts w:ascii="Arial" w:hAnsi="Arial" w:cs="Arial"/>
          <w:sz w:val="22"/>
          <w:szCs w:val="22"/>
        </w:rPr>
        <w:t>/QALY</w:t>
      </w:r>
      <w:r w:rsidRPr="001D1327">
        <w:rPr>
          <w:rFonts w:ascii="Arial" w:hAnsi="Arial" w:cs="Arial"/>
          <w:sz w:val="22"/>
          <w:szCs w:val="22"/>
        </w:rPr>
        <w:t>. This range of ICERs represents the sensitivity analyses presented the major submission and current re-submission; however, the sensitivity analysis conducted by the evaluator and presented in the Commentary to the major submission for progressed disease state demonstrated that ICER varied between $</w:t>
      </w:r>
      <w:r w:rsidR="00C74C5E">
        <w:rPr>
          <w:rFonts w:ascii="Arial" w:hAnsi="Arial" w:cs="Arial"/>
          <w:sz w:val="22"/>
          <w:szCs w:val="22"/>
        </w:rPr>
        <w:t>15,000 - $45,000</w:t>
      </w:r>
      <w:r w:rsidR="00372E8D">
        <w:rPr>
          <w:rFonts w:ascii="Arial" w:hAnsi="Arial" w:cs="Arial"/>
          <w:sz w:val="22"/>
          <w:szCs w:val="22"/>
        </w:rPr>
        <w:t>/QALY</w:t>
      </w:r>
      <w:r w:rsidRPr="001D1327">
        <w:rPr>
          <w:rFonts w:ascii="Arial" w:hAnsi="Arial" w:cs="Arial"/>
          <w:sz w:val="22"/>
          <w:szCs w:val="22"/>
        </w:rPr>
        <w:t xml:space="preserve"> to </w:t>
      </w:r>
      <w:r w:rsidRPr="001D1327">
        <w:rPr>
          <w:rFonts w:ascii="Arial" w:hAnsi="Arial" w:cs="Arial"/>
          <w:sz w:val="22"/>
          <w:szCs w:val="22"/>
        </w:rPr>
        <w:lastRenderedPageBreak/>
        <w:t>$</w:t>
      </w:r>
      <w:r w:rsidR="00C74C5E">
        <w:rPr>
          <w:rFonts w:ascii="Arial" w:hAnsi="Arial" w:cs="Arial"/>
          <w:sz w:val="22"/>
          <w:szCs w:val="22"/>
        </w:rPr>
        <w:t>75,000 - $105,000</w:t>
      </w:r>
      <w:r w:rsidR="00372E8D">
        <w:rPr>
          <w:rFonts w:ascii="Arial" w:hAnsi="Arial" w:cs="Arial"/>
          <w:sz w:val="22"/>
          <w:szCs w:val="22"/>
        </w:rPr>
        <w:t>/QALY</w:t>
      </w:r>
      <w:r w:rsidRPr="001D1327">
        <w:rPr>
          <w:rFonts w:ascii="Arial" w:hAnsi="Arial" w:cs="Arial"/>
          <w:sz w:val="22"/>
          <w:szCs w:val="22"/>
        </w:rPr>
        <w:t xml:space="preserve"> (</w:t>
      </w:r>
      <w:r w:rsidR="005B59AC">
        <w:rPr>
          <w:rFonts w:ascii="Arial" w:hAnsi="Arial" w:cs="Arial"/>
          <w:sz w:val="22"/>
          <w:szCs w:val="22"/>
        </w:rPr>
        <w:t>paragraph 6.26</w:t>
      </w:r>
      <w:r w:rsidR="005B59AC" w:rsidRPr="006C05B8">
        <w:rPr>
          <w:rFonts w:ascii="Arial" w:hAnsi="Arial" w:cs="Arial"/>
          <w:sz w:val="22"/>
          <w:szCs w:val="22"/>
        </w:rPr>
        <w:t xml:space="preserve">, </w:t>
      </w:r>
      <w:r w:rsidR="006227B3">
        <w:rPr>
          <w:rFonts w:ascii="Arial" w:hAnsi="Arial" w:cs="Arial"/>
          <w:sz w:val="22"/>
          <w:szCs w:val="22"/>
        </w:rPr>
        <w:t>March 2015 PSD</w:t>
      </w:r>
      <w:r w:rsidR="005B59AC" w:rsidRPr="006C05B8">
        <w:rPr>
          <w:rFonts w:ascii="Arial" w:hAnsi="Arial" w:cs="Arial"/>
          <w:sz w:val="22"/>
          <w:szCs w:val="22"/>
        </w:rPr>
        <w:t>, bendamustine</w:t>
      </w:r>
      <w:r w:rsidRPr="001D1327">
        <w:rPr>
          <w:rFonts w:ascii="Arial" w:hAnsi="Arial" w:cs="Arial"/>
          <w:sz w:val="22"/>
          <w:szCs w:val="22"/>
        </w:rPr>
        <w:t>)</w:t>
      </w:r>
      <w:r w:rsidR="005B59AC">
        <w:rPr>
          <w:rFonts w:ascii="Arial" w:hAnsi="Arial" w:cs="Arial"/>
          <w:sz w:val="22"/>
          <w:szCs w:val="22"/>
        </w:rPr>
        <w:t>.</w:t>
      </w:r>
    </w:p>
    <w:p w:rsidR="00FB33A2" w:rsidRDefault="00FB33A2" w:rsidP="009C0C0D">
      <w:pPr>
        <w:ind w:left="720" w:hanging="720"/>
        <w:jc w:val="both"/>
        <w:rPr>
          <w:rFonts w:ascii="Arial" w:hAnsi="Arial" w:cs="Arial"/>
          <w:b/>
          <w:i/>
          <w:sz w:val="22"/>
          <w:szCs w:val="22"/>
        </w:rPr>
      </w:pPr>
    </w:p>
    <w:p w:rsidR="009C0C0D" w:rsidRPr="007C0A65" w:rsidRDefault="009C0C0D" w:rsidP="009C0C0D">
      <w:pPr>
        <w:ind w:left="720" w:hanging="720"/>
        <w:jc w:val="both"/>
        <w:rPr>
          <w:rFonts w:ascii="Arial" w:hAnsi="Arial" w:cs="Arial"/>
          <w:b/>
          <w:i/>
          <w:sz w:val="22"/>
          <w:szCs w:val="22"/>
        </w:rPr>
      </w:pPr>
      <w:r w:rsidRPr="00101B92">
        <w:rPr>
          <w:rFonts w:ascii="Arial" w:hAnsi="Arial" w:cs="Arial"/>
          <w:b/>
          <w:i/>
          <w:sz w:val="22"/>
          <w:szCs w:val="22"/>
        </w:rPr>
        <w:t>Estimated PBS usage &amp; financial implications</w:t>
      </w:r>
    </w:p>
    <w:p w:rsidR="009C0C0D" w:rsidRPr="00101B92" w:rsidRDefault="009C0C0D" w:rsidP="009C0C0D">
      <w:pPr>
        <w:jc w:val="both"/>
        <w:rPr>
          <w:rFonts w:ascii="Arial" w:hAnsi="Arial" w:cs="Arial"/>
          <w:sz w:val="22"/>
          <w:szCs w:val="22"/>
        </w:rPr>
      </w:pPr>
    </w:p>
    <w:p w:rsidR="0071341C" w:rsidRPr="001D1327" w:rsidRDefault="0071341C" w:rsidP="0071341C">
      <w:pPr>
        <w:pStyle w:val="ListParagraph"/>
        <w:numPr>
          <w:ilvl w:val="1"/>
          <w:numId w:val="25"/>
        </w:numPr>
        <w:jc w:val="both"/>
        <w:rPr>
          <w:rFonts w:ascii="Arial" w:hAnsi="Arial" w:cs="Arial"/>
          <w:sz w:val="22"/>
          <w:szCs w:val="22"/>
        </w:rPr>
      </w:pPr>
      <w:r w:rsidRPr="001D1327">
        <w:rPr>
          <w:rFonts w:ascii="Arial" w:hAnsi="Arial" w:cs="Arial"/>
          <w:sz w:val="22"/>
          <w:szCs w:val="22"/>
        </w:rPr>
        <w:t>The PBAC</w:t>
      </w:r>
      <w:r w:rsidRPr="0071341C">
        <w:rPr>
          <w:rFonts w:ascii="Arial" w:hAnsi="Arial" w:cs="Arial"/>
          <w:sz w:val="22"/>
          <w:szCs w:val="22"/>
        </w:rPr>
        <w:t xml:space="preserve"> </w:t>
      </w:r>
      <w:r w:rsidR="003A3061">
        <w:rPr>
          <w:rFonts w:ascii="Arial" w:hAnsi="Arial" w:cs="Arial"/>
          <w:sz w:val="22"/>
          <w:szCs w:val="22"/>
        </w:rPr>
        <w:t xml:space="preserve">had </w:t>
      </w:r>
      <w:r w:rsidRPr="0071341C">
        <w:rPr>
          <w:rFonts w:ascii="Arial" w:hAnsi="Arial" w:cs="Arial"/>
          <w:sz w:val="22"/>
          <w:szCs w:val="22"/>
        </w:rPr>
        <w:t>considered that the financial estimates should account for the exclusion of rituximab maintenance therapy followi</w:t>
      </w:r>
      <w:r>
        <w:rPr>
          <w:rFonts w:ascii="Arial" w:hAnsi="Arial" w:cs="Arial"/>
          <w:sz w:val="22"/>
          <w:szCs w:val="22"/>
        </w:rPr>
        <w:t xml:space="preserve">ng treatment with bendamustine </w:t>
      </w:r>
      <w:r w:rsidRPr="0015681B">
        <w:rPr>
          <w:rFonts w:ascii="Arial" w:hAnsi="Arial" w:cs="Arial"/>
          <w:sz w:val="22"/>
          <w:szCs w:val="22"/>
        </w:rPr>
        <w:t>(</w:t>
      </w:r>
      <w:r>
        <w:rPr>
          <w:rFonts w:ascii="Arial" w:hAnsi="Arial"/>
          <w:sz w:val="22"/>
          <w:szCs w:val="22"/>
        </w:rPr>
        <w:t>paragraph</w:t>
      </w:r>
      <w:r w:rsidRPr="0015681B">
        <w:rPr>
          <w:rFonts w:ascii="Arial" w:hAnsi="Arial" w:cs="Arial"/>
          <w:sz w:val="22"/>
          <w:szCs w:val="22"/>
        </w:rPr>
        <w:t xml:space="preserve"> 7.1</w:t>
      </w:r>
      <w:r>
        <w:rPr>
          <w:rFonts w:ascii="Arial" w:hAnsi="Arial" w:cs="Arial"/>
          <w:sz w:val="22"/>
          <w:szCs w:val="22"/>
        </w:rPr>
        <w:t xml:space="preserve">8, </w:t>
      </w:r>
      <w:r w:rsidR="006227B3">
        <w:rPr>
          <w:rFonts w:ascii="Arial" w:hAnsi="Arial"/>
          <w:sz w:val="22"/>
          <w:szCs w:val="22"/>
        </w:rPr>
        <w:t>March 2015 PSD</w:t>
      </w:r>
      <w:r w:rsidR="00171982" w:rsidRPr="00D45E21">
        <w:rPr>
          <w:rFonts w:ascii="Arial" w:hAnsi="Arial"/>
          <w:sz w:val="22"/>
          <w:szCs w:val="22"/>
        </w:rPr>
        <w:t>, bendamustine</w:t>
      </w:r>
      <w:r w:rsidRPr="0015681B">
        <w:rPr>
          <w:rFonts w:ascii="Arial" w:hAnsi="Arial" w:cs="Arial"/>
          <w:sz w:val="22"/>
          <w:szCs w:val="22"/>
        </w:rPr>
        <w:t>)</w:t>
      </w:r>
      <w:r>
        <w:rPr>
          <w:rFonts w:ascii="Arial" w:hAnsi="Arial" w:cs="Arial"/>
          <w:sz w:val="22"/>
          <w:szCs w:val="22"/>
        </w:rPr>
        <w:t>.</w:t>
      </w:r>
    </w:p>
    <w:p w:rsidR="0071341C" w:rsidRPr="0071341C" w:rsidRDefault="0071341C" w:rsidP="0071341C">
      <w:pPr>
        <w:pStyle w:val="ListParagraph"/>
        <w:jc w:val="both"/>
        <w:rPr>
          <w:rFonts w:ascii="Arial" w:hAnsi="Arial" w:cs="Arial"/>
          <w:i/>
          <w:sz w:val="22"/>
          <w:szCs w:val="22"/>
        </w:rPr>
      </w:pPr>
    </w:p>
    <w:p w:rsidR="009C0C0D" w:rsidRPr="004D1D25" w:rsidRDefault="009C0C0D" w:rsidP="009C0C0D">
      <w:pPr>
        <w:pStyle w:val="ListParagraph"/>
        <w:numPr>
          <w:ilvl w:val="1"/>
          <w:numId w:val="25"/>
        </w:numPr>
        <w:jc w:val="both"/>
        <w:rPr>
          <w:rFonts w:ascii="Arial" w:hAnsi="Arial" w:cs="Arial"/>
          <w:i/>
          <w:sz w:val="22"/>
          <w:szCs w:val="22"/>
        </w:rPr>
      </w:pPr>
      <w:r w:rsidRPr="004D1D25">
        <w:rPr>
          <w:rFonts w:ascii="Arial" w:hAnsi="Arial" w:cs="Arial"/>
          <w:sz w:val="22"/>
          <w:szCs w:val="22"/>
        </w:rPr>
        <w:t>The re</w:t>
      </w:r>
      <w:r>
        <w:rPr>
          <w:rFonts w:ascii="Arial" w:hAnsi="Arial" w:cs="Arial"/>
          <w:sz w:val="22"/>
          <w:szCs w:val="22"/>
        </w:rPr>
        <w:t>-</w:t>
      </w:r>
      <w:r w:rsidRPr="004D1D25">
        <w:rPr>
          <w:rFonts w:ascii="Arial" w:hAnsi="Arial" w:cs="Arial"/>
          <w:sz w:val="22"/>
          <w:szCs w:val="22"/>
        </w:rPr>
        <w:t xml:space="preserve">submission presented a sensitivity analysis of the financial estimates by including rituximab maintenance therapy following the first-line treatment of responding follicular lymphoma patients who were treated with R-CHOP. </w:t>
      </w:r>
    </w:p>
    <w:p w:rsidR="009C0C0D" w:rsidRPr="004F7F7F" w:rsidRDefault="009C0C0D" w:rsidP="004F7F7F">
      <w:pPr>
        <w:pStyle w:val="ListParagraph"/>
        <w:numPr>
          <w:ilvl w:val="0"/>
          <w:numId w:val="53"/>
        </w:numPr>
        <w:jc w:val="both"/>
        <w:rPr>
          <w:rFonts w:ascii="Arial" w:hAnsi="Arial" w:cs="Arial"/>
          <w:sz w:val="22"/>
          <w:szCs w:val="22"/>
        </w:rPr>
      </w:pPr>
      <w:r w:rsidRPr="004F7F7F">
        <w:rPr>
          <w:rFonts w:ascii="Arial" w:hAnsi="Arial" w:cs="Arial"/>
          <w:sz w:val="22"/>
          <w:szCs w:val="22"/>
        </w:rPr>
        <w:t>The re</w:t>
      </w:r>
      <w:r w:rsidR="0074256D">
        <w:rPr>
          <w:rFonts w:ascii="Arial" w:hAnsi="Arial" w:cs="Arial"/>
          <w:sz w:val="22"/>
          <w:szCs w:val="22"/>
        </w:rPr>
        <w:t>-</w:t>
      </w:r>
      <w:r w:rsidRPr="004F7F7F">
        <w:rPr>
          <w:rFonts w:ascii="Arial" w:hAnsi="Arial" w:cs="Arial"/>
          <w:sz w:val="22"/>
          <w:szCs w:val="22"/>
        </w:rPr>
        <w:t xml:space="preserve">submission reported an estimated net cost-saving to government health budgets of </w:t>
      </w:r>
      <w:r w:rsidR="00C74C5E">
        <w:rPr>
          <w:rFonts w:ascii="Arial" w:hAnsi="Arial" w:cs="Arial"/>
          <w:sz w:val="22"/>
          <w:szCs w:val="22"/>
        </w:rPr>
        <w:t xml:space="preserve">less than </w:t>
      </w:r>
      <w:r w:rsidRPr="004F7F7F">
        <w:rPr>
          <w:rFonts w:ascii="Arial" w:hAnsi="Arial" w:cs="Arial"/>
          <w:sz w:val="22"/>
          <w:szCs w:val="22"/>
        </w:rPr>
        <w:t>$</w:t>
      </w:r>
      <w:r w:rsidR="00C74C5E">
        <w:rPr>
          <w:rFonts w:ascii="Arial" w:hAnsi="Arial" w:cs="Arial"/>
          <w:sz w:val="22"/>
          <w:szCs w:val="22"/>
        </w:rPr>
        <w:t>10 million</w:t>
      </w:r>
      <w:r w:rsidRPr="004F7F7F">
        <w:rPr>
          <w:rFonts w:ascii="Arial" w:hAnsi="Arial" w:cs="Arial"/>
          <w:sz w:val="22"/>
          <w:szCs w:val="22"/>
        </w:rPr>
        <w:t xml:space="preserve"> over 5 years if rituximab maintenance were included only in the R-CHOP arm.</w:t>
      </w:r>
    </w:p>
    <w:p w:rsidR="009C0C0D" w:rsidRDefault="009C0C0D" w:rsidP="009C0C0D">
      <w:pPr>
        <w:pStyle w:val="ListParagraph"/>
        <w:jc w:val="both"/>
        <w:rPr>
          <w:rFonts w:ascii="Arial" w:hAnsi="Arial" w:cs="Arial"/>
          <w:i/>
          <w:sz w:val="22"/>
          <w:szCs w:val="22"/>
        </w:rPr>
      </w:pPr>
    </w:p>
    <w:p w:rsidR="00093D6C" w:rsidRPr="00093D6C" w:rsidRDefault="009C0C0D" w:rsidP="00093D6C">
      <w:pPr>
        <w:pStyle w:val="ListParagraph"/>
        <w:numPr>
          <w:ilvl w:val="1"/>
          <w:numId w:val="25"/>
        </w:numPr>
        <w:jc w:val="both"/>
        <w:rPr>
          <w:rFonts w:ascii="Arial" w:hAnsi="Arial" w:cs="Arial"/>
          <w:i/>
          <w:sz w:val="22"/>
          <w:szCs w:val="22"/>
        </w:rPr>
      </w:pPr>
      <w:r w:rsidRPr="00CA072D">
        <w:rPr>
          <w:rFonts w:ascii="Arial" w:hAnsi="Arial" w:cs="Arial"/>
          <w:sz w:val="22"/>
          <w:szCs w:val="22"/>
        </w:rPr>
        <w:t>The re</w:t>
      </w:r>
      <w:r w:rsidR="0074256D">
        <w:rPr>
          <w:rFonts w:ascii="Arial" w:hAnsi="Arial" w:cs="Arial"/>
          <w:sz w:val="22"/>
          <w:szCs w:val="22"/>
        </w:rPr>
        <w:t>-</w:t>
      </w:r>
      <w:r w:rsidRPr="00CA072D">
        <w:rPr>
          <w:rFonts w:ascii="Arial" w:hAnsi="Arial" w:cs="Arial"/>
          <w:sz w:val="22"/>
          <w:szCs w:val="22"/>
        </w:rPr>
        <w:t xml:space="preserve">submission also revised the financial estimates with updated PBS and MBS costs where relevant </w:t>
      </w:r>
      <w:r>
        <w:rPr>
          <w:rFonts w:ascii="Arial" w:hAnsi="Arial" w:cs="Arial"/>
          <w:sz w:val="22"/>
          <w:szCs w:val="22"/>
        </w:rPr>
        <w:t xml:space="preserve">(reduced </w:t>
      </w:r>
      <w:r w:rsidRPr="00CA072D">
        <w:rPr>
          <w:rFonts w:ascii="Arial" w:hAnsi="Arial" w:cs="Arial"/>
          <w:sz w:val="22"/>
          <w:szCs w:val="22"/>
        </w:rPr>
        <w:t xml:space="preserve">and a change in patient co-payment as of January 2015. </w:t>
      </w:r>
      <w:r w:rsidRPr="00E55104">
        <w:rPr>
          <w:rFonts w:ascii="Arial" w:hAnsi="Arial" w:cs="Arial"/>
          <w:sz w:val="22"/>
          <w:szCs w:val="22"/>
        </w:rPr>
        <w:t>The revised estimates have minor differences to the base case presented in the previous submission.</w:t>
      </w:r>
    </w:p>
    <w:p w:rsidR="00093D6C" w:rsidRPr="00093D6C" w:rsidRDefault="00093D6C" w:rsidP="00093D6C">
      <w:pPr>
        <w:pStyle w:val="ListParagraph"/>
        <w:jc w:val="both"/>
        <w:rPr>
          <w:rFonts w:ascii="Arial" w:hAnsi="Arial" w:cs="Arial"/>
          <w:i/>
          <w:sz w:val="22"/>
          <w:szCs w:val="22"/>
        </w:rPr>
      </w:pPr>
    </w:p>
    <w:p w:rsidR="00093D6C" w:rsidRPr="00093D6C" w:rsidRDefault="00093D6C" w:rsidP="00093D6C">
      <w:pPr>
        <w:pStyle w:val="ListParagraph"/>
        <w:numPr>
          <w:ilvl w:val="1"/>
          <w:numId w:val="25"/>
        </w:numPr>
        <w:jc w:val="both"/>
        <w:rPr>
          <w:rFonts w:ascii="Arial" w:hAnsi="Arial" w:cs="Arial"/>
          <w:i/>
          <w:sz w:val="22"/>
          <w:szCs w:val="22"/>
        </w:rPr>
      </w:pPr>
      <w:r w:rsidRPr="009D6A79">
        <w:rPr>
          <w:rFonts w:ascii="Arial" w:hAnsi="Arial" w:cs="Arial"/>
          <w:sz w:val="22"/>
          <w:szCs w:val="22"/>
        </w:rPr>
        <w:t xml:space="preserve">At the July 2015 meeting the PBAC recommended that tiered financial caps should apply in order to limit the risk of use of bendamustine outside the recommended restriction. The PBAC considered that the first level of caps should be based on the patient numbers provided in the major submission for bendamustine (March 2015), with a rebate to apply above that </w:t>
      </w:r>
      <w:r w:rsidRPr="000A50F5">
        <w:rPr>
          <w:rFonts w:ascii="Arial" w:hAnsi="Arial" w:cs="Arial"/>
          <w:sz w:val="22"/>
          <w:szCs w:val="22"/>
        </w:rPr>
        <w:t xml:space="preserve">cap to </w:t>
      </w:r>
      <w:r w:rsidR="000E331D">
        <w:rPr>
          <w:rFonts w:ascii="Arial" w:hAnsi="Arial" w:cs="Arial"/>
          <w:noProof/>
          <w:color w:val="000000"/>
          <w:sz w:val="22"/>
          <w:szCs w:val="22"/>
          <w:highlight w:val="black"/>
        </w:rPr>
        <w:t>'''''''''''''''''' ''''''' ''''''''''' '''' '''''''''' ''''' ''''''''' '''' ''''''''''''''''''''''</w:t>
      </w:r>
      <w:r w:rsidRPr="000A50F5">
        <w:rPr>
          <w:rFonts w:ascii="Arial" w:hAnsi="Arial" w:cs="Arial"/>
          <w:sz w:val="22"/>
          <w:szCs w:val="22"/>
        </w:rPr>
        <w:t>.</w:t>
      </w:r>
      <w:r w:rsidRPr="009D6A79">
        <w:rPr>
          <w:rFonts w:ascii="Arial" w:hAnsi="Arial" w:cs="Arial"/>
          <w:sz w:val="22"/>
          <w:szCs w:val="22"/>
        </w:rPr>
        <w:t xml:space="preserve"> The PBAC considered that if patient numbers substantially exceeded the estimates, it would most likely be driven by utilisation outside of the restriction e.g. in patients with CLL.   The PBAC therefore recommended that if utilisation exceeded </w:t>
      </w:r>
      <w:r w:rsidR="000E331D">
        <w:rPr>
          <w:rFonts w:ascii="Arial" w:hAnsi="Arial" w:cs="Arial"/>
          <w:noProof/>
          <w:color w:val="000000"/>
          <w:sz w:val="22"/>
          <w:szCs w:val="22"/>
          <w:highlight w:val="black"/>
        </w:rPr>
        <w:t>''''''</w:t>
      </w:r>
      <w:r w:rsidRPr="009D6A79">
        <w:rPr>
          <w:rFonts w:ascii="Arial" w:hAnsi="Arial" w:cs="Arial"/>
          <w:sz w:val="22"/>
          <w:szCs w:val="22"/>
        </w:rPr>
        <w:t xml:space="preserve">% above the cap, a </w:t>
      </w:r>
      <w:r w:rsidR="000E331D">
        <w:rPr>
          <w:rFonts w:ascii="Arial" w:hAnsi="Arial" w:cs="Arial"/>
          <w:noProof/>
          <w:color w:val="000000"/>
          <w:sz w:val="22"/>
          <w:szCs w:val="22"/>
          <w:highlight w:val="black"/>
        </w:rPr>
        <w:t>''''''''''</w:t>
      </w:r>
      <w:r w:rsidRPr="000A50F5">
        <w:rPr>
          <w:rFonts w:ascii="Arial" w:hAnsi="Arial" w:cs="Arial"/>
          <w:sz w:val="22"/>
          <w:szCs w:val="22"/>
        </w:rPr>
        <w:t>% rebate</w:t>
      </w:r>
      <w:r w:rsidRPr="009D6A79">
        <w:rPr>
          <w:rFonts w:ascii="Arial" w:hAnsi="Arial" w:cs="Arial"/>
          <w:sz w:val="22"/>
          <w:szCs w:val="22"/>
        </w:rPr>
        <w:t xml:space="preserve"> should be implemented</w:t>
      </w:r>
      <w:r w:rsidRPr="00093D6C">
        <w:rPr>
          <w:rFonts w:ascii="Arial" w:hAnsi="Arial" w:cs="Arial"/>
          <w:sz w:val="22"/>
          <w:szCs w:val="22"/>
        </w:rPr>
        <w:t>.</w:t>
      </w:r>
    </w:p>
    <w:p w:rsidR="00093D6C" w:rsidRDefault="00093D6C" w:rsidP="00AE2115">
      <w:pPr>
        <w:ind w:left="720"/>
        <w:jc w:val="both"/>
        <w:rPr>
          <w:rFonts w:ascii="Arial" w:hAnsi="Arial" w:cs="Arial"/>
          <w:i/>
          <w:sz w:val="22"/>
          <w:szCs w:val="22"/>
        </w:rPr>
      </w:pPr>
    </w:p>
    <w:p w:rsidR="00AE2115" w:rsidRPr="00AE2115" w:rsidRDefault="00AE2115" w:rsidP="00387C66">
      <w:pPr>
        <w:ind w:firstLine="720"/>
        <w:jc w:val="both"/>
        <w:rPr>
          <w:rFonts w:ascii="Arial" w:hAnsi="Arial" w:cs="Arial"/>
          <w:i/>
          <w:sz w:val="22"/>
          <w:szCs w:val="22"/>
        </w:rPr>
      </w:pPr>
      <w:r w:rsidRPr="00BF4F08">
        <w:rPr>
          <w:rFonts w:ascii="Arial" w:hAnsi="Arial"/>
          <w:i/>
          <w:sz w:val="22"/>
          <w:szCs w:val="22"/>
        </w:rPr>
        <w:t xml:space="preserve">For more detail on PBAC’s view, </w:t>
      </w:r>
      <w:r w:rsidR="0084547B">
        <w:rPr>
          <w:rFonts w:ascii="Arial" w:hAnsi="Arial"/>
          <w:i/>
          <w:sz w:val="22"/>
          <w:szCs w:val="22"/>
        </w:rPr>
        <w:t>see section 7</w:t>
      </w:r>
      <w:r w:rsidRPr="00BF4F08">
        <w:rPr>
          <w:rFonts w:ascii="Arial" w:hAnsi="Arial"/>
          <w:i/>
          <w:sz w:val="22"/>
          <w:szCs w:val="22"/>
        </w:rPr>
        <w:t xml:space="preserve"> “PBAC outcome”</w:t>
      </w:r>
    </w:p>
    <w:p w:rsidR="001D1327" w:rsidRDefault="001D1327" w:rsidP="00995C36">
      <w:pPr>
        <w:pStyle w:val="ListParagraph"/>
        <w:jc w:val="both"/>
        <w:rPr>
          <w:rFonts w:ascii="Arial" w:hAnsi="Arial" w:cs="Arial"/>
          <w:sz w:val="22"/>
          <w:szCs w:val="22"/>
        </w:rPr>
      </w:pPr>
    </w:p>
    <w:p w:rsidR="00AC169B" w:rsidRDefault="00AC169B" w:rsidP="00995C36">
      <w:pPr>
        <w:pStyle w:val="ListParagraph"/>
        <w:jc w:val="both"/>
        <w:rPr>
          <w:rFonts w:ascii="Arial" w:hAnsi="Arial" w:cs="Arial"/>
          <w:sz w:val="22"/>
          <w:szCs w:val="22"/>
        </w:rPr>
      </w:pPr>
    </w:p>
    <w:p w:rsidR="001323F0" w:rsidRPr="005519CD" w:rsidRDefault="001323F0" w:rsidP="001323F0">
      <w:pPr>
        <w:widowControl w:val="0"/>
        <w:numPr>
          <w:ilvl w:val="0"/>
          <w:numId w:val="25"/>
        </w:numPr>
        <w:jc w:val="both"/>
        <w:rPr>
          <w:rFonts w:ascii="Arial" w:hAnsi="Arial" w:cs="Arial"/>
          <w:b/>
          <w:bCs/>
          <w:snapToGrid w:val="0"/>
          <w:sz w:val="22"/>
          <w:szCs w:val="22"/>
        </w:rPr>
      </w:pPr>
      <w:r w:rsidRPr="005519CD">
        <w:rPr>
          <w:rFonts w:ascii="Arial" w:hAnsi="Arial" w:cs="Arial"/>
          <w:b/>
          <w:bCs/>
          <w:snapToGrid w:val="0"/>
          <w:sz w:val="22"/>
          <w:szCs w:val="22"/>
        </w:rPr>
        <w:t>PBAC Outcome</w:t>
      </w:r>
    </w:p>
    <w:p w:rsidR="001323F0" w:rsidRPr="005519CD" w:rsidRDefault="001323F0" w:rsidP="001323F0">
      <w:pPr>
        <w:contextualSpacing/>
        <w:jc w:val="both"/>
        <w:rPr>
          <w:rFonts w:ascii="Arial" w:hAnsi="Arial" w:cs="Arial"/>
          <w:b/>
          <w:bCs/>
          <w:snapToGrid w:val="0"/>
          <w:sz w:val="22"/>
          <w:szCs w:val="22"/>
          <w:lang w:val="en-GB"/>
        </w:rPr>
      </w:pPr>
    </w:p>
    <w:p w:rsidR="001323F0" w:rsidRPr="005519CD" w:rsidRDefault="001323F0" w:rsidP="001323F0">
      <w:pPr>
        <w:pStyle w:val="ListParagraph"/>
        <w:numPr>
          <w:ilvl w:val="1"/>
          <w:numId w:val="25"/>
        </w:numPr>
        <w:jc w:val="both"/>
        <w:rPr>
          <w:rFonts w:ascii="Arial" w:hAnsi="Arial" w:cs="Arial"/>
          <w:sz w:val="22"/>
          <w:szCs w:val="22"/>
        </w:rPr>
      </w:pPr>
      <w:r w:rsidRPr="005519CD">
        <w:rPr>
          <w:rFonts w:ascii="Arial" w:hAnsi="Arial" w:cs="Arial"/>
          <w:sz w:val="22"/>
          <w:szCs w:val="22"/>
        </w:rPr>
        <w:t>The PBAC recommended the listing of bendamustine for the treatment of indolent non-</w:t>
      </w:r>
      <w:proofErr w:type="spellStart"/>
      <w:r w:rsidRPr="005519CD">
        <w:rPr>
          <w:rFonts w:ascii="Arial" w:hAnsi="Arial" w:cs="Arial"/>
          <w:sz w:val="22"/>
          <w:szCs w:val="22"/>
        </w:rPr>
        <w:t>Hodgkins</w:t>
      </w:r>
      <w:proofErr w:type="spellEnd"/>
      <w:r w:rsidRPr="005519CD">
        <w:rPr>
          <w:rFonts w:ascii="Arial" w:hAnsi="Arial" w:cs="Arial"/>
          <w:sz w:val="22"/>
          <w:szCs w:val="22"/>
        </w:rPr>
        <w:t xml:space="preserve"> Lymphoma and Mantle Cell Lymphoma.</w:t>
      </w:r>
    </w:p>
    <w:p w:rsidR="001323F0" w:rsidRPr="005519CD" w:rsidRDefault="001323F0" w:rsidP="001323F0">
      <w:pPr>
        <w:pStyle w:val="ListParagraph"/>
        <w:jc w:val="both"/>
        <w:rPr>
          <w:rFonts w:ascii="Arial" w:hAnsi="Arial" w:cs="Arial"/>
          <w:sz w:val="22"/>
          <w:szCs w:val="22"/>
        </w:rPr>
      </w:pPr>
    </w:p>
    <w:p w:rsidR="001323F0" w:rsidRDefault="001323F0" w:rsidP="001323F0">
      <w:pPr>
        <w:pStyle w:val="ListParagraph"/>
        <w:numPr>
          <w:ilvl w:val="1"/>
          <w:numId w:val="25"/>
        </w:numPr>
        <w:jc w:val="both"/>
        <w:rPr>
          <w:rFonts w:ascii="Arial" w:hAnsi="Arial" w:cs="Arial"/>
          <w:sz w:val="22"/>
          <w:szCs w:val="22"/>
        </w:rPr>
      </w:pPr>
      <w:r w:rsidRPr="005519CD">
        <w:rPr>
          <w:rFonts w:ascii="Arial" w:hAnsi="Arial" w:cs="Arial"/>
          <w:sz w:val="22"/>
          <w:szCs w:val="22"/>
        </w:rPr>
        <w:t>The PBAC considered that bendamustine presented a less toxic alternative to existing treatments for NHL and MCL and accepted that it improved progression free survival</w:t>
      </w:r>
      <w:r>
        <w:rPr>
          <w:rFonts w:ascii="Arial" w:hAnsi="Arial" w:cs="Arial"/>
          <w:sz w:val="22"/>
          <w:szCs w:val="22"/>
        </w:rPr>
        <w:t>.</w:t>
      </w:r>
      <w:r w:rsidRPr="005519CD">
        <w:rPr>
          <w:rFonts w:ascii="Arial" w:hAnsi="Arial" w:cs="Arial"/>
          <w:sz w:val="22"/>
          <w:szCs w:val="22"/>
        </w:rPr>
        <w:t xml:space="preserve"> </w:t>
      </w:r>
    </w:p>
    <w:p w:rsidR="001323F0" w:rsidRPr="00EB590C" w:rsidRDefault="001323F0" w:rsidP="001323F0">
      <w:pPr>
        <w:jc w:val="both"/>
        <w:rPr>
          <w:rFonts w:ascii="Arial" w:hAnsi="Arial" w:cs="Arial"/>
          <w:sz w:val="22"/>
          <w:szCs w:val="22"/>
        </w:rPr>
      </w:pPr>
    </w:p>
    <w:p w:rsidR="001323F0" w:rsidRPr="002C69AF" w:rsidRDefault="001323F0" w:rsidP="001323F0">
      <w:pPr>
        <w:pStyle w:val="ListParagraph"/>
        <w:numPr>
          <w:ilvl w:val="1"/>
          <w:numId w:val="25"/>
        </w:numPr>
        <w:jc w:val="both"/>
        <w:rPr>
          <w:rFonts w:ascii="Arial" w:hAnsi="Arial" w:cs="Arial"/>
          <w:sz w:val="22"/>
          <w:szCs w:val="22"/>
        </w:rPr>
      </w:pPr>
      <w:r>
        <w:rPr>
          <w:rFonts w:ascii="Arial" w:hAnsi="Arial" w:cs="Arial"/>
          <w:sz w:val="22"/>
          <w:szCs w:val="22"/>
        </w:rPr>
        <w:t>The PBAC noted that the end of follow-up results for PFS and OS from the BRIGHT trial were anticipated to be reported in July 2017 and reiterated that it would wish to see and review th</w:t>
      </w:r>
      <w:r w:rsidR="003A3061">
        <w:rPr>
          <w:rFonts w:ascii="Arial" w:hAnsi="Arial" w:cs="Arial"/>
          <w:sz w:val="22"/>
          <w:szCs w:val="22"/>
        </w:rPr>
        <w:t>e</w:t>
      </w:r>
      <w:r>
        <w:rPr>
          <w:rFonts w:ascii="Arial" w:hAnsi="Arial" w:cs="Arial"/>
          <w:sz w:val="22"/>
          <w:szCs w:val="22"/>
        </w:rPr>
        <w:t>s</w:t>
      </w:r>
      <w:r w:rsidR="003A3061">
        <w:rPr>
          <w:rFonts w:ascii="Arial" w:hAnsi="Arial" w:cs="Arial"/>
          <w:sz w:val="22"/>
          <w:szCs w:val="22"/>
        </w:rPr>
        <w:t>e</w:t>
      </w:r>
      <w:r>
        <w:rPr>
          <w:rFonts w:ascii="Arial" w:hAnsi="Arial" w:cs="Arial"/>
          <w:sz w:val="22"/>
          <w:szCs w:val="22"/>
        </w:rPr>
        <w:t xml:space="preserve"> data </w:t>
      </w:r>
      <w:r w:rsidR="003A3061">
        <w:rPr>
          <w:rFonts w:ascii="Arial" w:hAnsi="Arial" w:cs="Arial"/>
          <w:sz w:val="22"/>
          <w:szCs w:val="22"/>
        </w:rPr>
        <w:t>when</w:t>
      </w:r>
      <w:r>
        <w:rPr>
          <w:rFonts w:ascii="Arial" w:hAnsi="Arial" w:cs="Arial"/>
          <w:sz w:val="22"/>
          <w:szCs w:val="22"/>
        </w:rPr>
        <w:t xml:space="preserve"> release</w:t>
      </w:r>
      <w:r w:rsidR="003A3061">
        <w:rPr>
          <w:rFonts w:ascii="Arial" w:hAnsi="Arial" w:cs="Arial"/>
          <w:sz w:val="22"/>
          <w:szCs w:val="22"/>
        </w:rPr>
        <w:t>d</w:t>
      </w:r>
      <w:r>
        <w:rPr>
          <w:rFonts w:ascii="Arial" w:hAnsi="Arial" w:cs="Arial"/>
          <w:sz w:val="22"/>
          <w:szCs w:val="22"/>
        </w:rPr>
        <w:t xml:space="preserve">. </w:t>
      </w:r>
    </w:p>
    <w:p w:rsidR="001323F0" w:rsidRPr="009C12D3" w:rsidRDefault="001323F0" w:rsidP="001323F0"/>
    <w:p w:rsidR="001323F0" w:rsidRDefault="001323F0" w:rsidP="001323F0">
      <w:pPr>
        <w:pStyle w:val="ListParagraph"/>
        <w:numPr>
          <w:ilvl w:val="1"/>
          <w:numId w:val="25"/>
        </w:numPr>
        <w:jc w:val="both"/>
        <w:rPr>
          <w:rFonts w:ascii="Arial" w:hAnsi="Arial" w:cs="Arial"/>
          <w:sz w:val="22"/>
          <w:szCs w:val="22"/>
        </w:rPr>
      </w:pPr>
      <w:r>
        <w:rPr>
          <w:rFonts w:ascii="Arial" w:hAnsi="Arial" w:cs="Arial"/>
          <w:sz w:val="22"/>
          <w:szCs w:val="22"/>
        </w:rPr>
        <w:t xml:space="preserve">The PBAC noted the submission’s arguments as to why the economic model should incorporate the impact of further lines of treatment with their cost and health benefits, </w:t>
      </w:r>
      <w:r>
        <w:rPr>
          <w:rFonts w:ascii="Arial" w:hAnsi="Arial" w:cs="Arial"/>
          <w:sz w:val="22"/>
          <w:szCs w:val="22"/>
        </w:rPr>
        <w:lastRenderedPageBreak/>
        <w:t xml:space="preserve">however restated its strong preference </w:t>
      </w:r>
      <w:r w:rsidR="003A3061">
        <w:rPr>
          <w:rFonts w:ascii="Arial" w:hAnsi="Arial" w:cs="Arial"/>
          <w:sz w:val="22"/>
          <w:szCs w:val="22"/>
        </w:rPr>
        <w:t xml:space="preserve">in general </w:t>
      </w:r>
      <w:r>
        <w:rPr>
          <w:rFonts w:ascii="Arial" w:hAnsi="Arial" w:cs="Arial"/>
          <w:sz w:val="22"/>
          <w:szCs w:val="22"/>
        </w:rPr>
        <w:t xml:space="preserve">to include subsequent therapies to enable robust assessments of cost-effectiveness in diseases such as </w:t>
      </w:r>
      <w:proofErr w:type="spellStart"/>
      <w:r>
        <w:rPr>
          <w:rFonts w:ascii="Arial" w:hAnsi="Arial" w:cs="Arial"/>
          <w:sz w:val="22"/>
          <w:szCs w:val="22"/>
        </w:rPr>
        <w:t>iNHL</w:t>
      </w:r>
      <w:proofErr w:type="spellEnd"/>
      <w:r>
        <w:rPr>
          <w:rFonts w:ascii="Arial" w:hAnsi="Arial" w:cs="Arial"/>
          <w:sz w:val="22"/>
          <w:szCs w:val="22"/>
        </w:rPr>
        <w:t>.</w:t>
      </w:r>
    </w:p>
    <w:p w:rsidR="001323F0" w:rsidRDefault="001323F0" w:rsidP="001323F0">
      <w:pPr>
        <w:pStyle w:val="ListParagraph"/>
        <w:jc w:val="both"/>
        <w:rPr>
          <w:rFonts w:ascii="Arial" w:hAnsi="Arial" w:cs="Arial"/>
          <w:sz w:val="22"/>
          <w:szCs w:val="22"/>
        </w:rPr>
      </w:pPr>
    </w:p>
    <w:p w:rsidR="001323F0" w:rsidRDefault="001323F0" w:rsidP="001323F0">
      <w:pPr>
        <w:pStyle w:val="ListParagraph"/>
        <w:numPr>
          <w:ilvl w:val="1"/>
          <w:numId w:val="25"/>
        </w:numPr>
        <w:jc w:val="both"/>
        <w:rPr>
          <w:rFonts w:ascii="Arial" w:hAnsi="Arial" w:cs="Arial"/>
          <w:sz w:val="22"/>
          <w:szCs w:val="22"/>
        </w:rPr>
      </w:pPr>
      <w:r>
        <w:rPr>
          <w:rFonts w:ascii="Arial" w:hAnsi="Arial" w:cs="Arial"/>
          <w:sz w:val="22"/>
          <w:szCs w:val="22"/>
        </w:rPr>
        <w:t xml:space="preserve">The PBAC noted the sensitivity analyses presented by the re-submission and considered that they provided some assurance that BR will not be inferior to R-CHOP </w:t>
      </w:r>
      <w:r w:rsidR="003A3061">
        <w:rPr>
          <w:rFonts w:ascii="Arial" w:hAnsi="Arial" w:cs="Arial"/>
          <w:sz w:val="22"/>
          <w:szCs w:val="22"/>
        </w:rPr>
        <w:t xml:space="preserve">followed by </w:t>
      </w:r>
      <w:r>
        <w:rPr>
          <w:rFonts w:ascii="Arial" w:hAnsi="Arial" w:cs="Arial"/>
          <w:sz w:val="22"/>
          <w:szCs w:val="22"/>
        </w:rPr>
        <w:t xml:space="preserve">rituximab maintenance in patients with follicular lymphoma. </w:t>
      </w:r>
    </w:p>
    <w:p w:rsidR="001323F0" w:rsidRPr="00BF36A2" w:rsidRDefault="001323F0" w:rsidP="001323F0">
      <w:pPr>
        <w:rPr>
          <w:rFonts w:ascii="Arial" w:hAnsi="Arial" w:cs="Arial"/>
          <w:sz w:val="22"/>
          <w:szCs w:val="22"/>
        </w:rPr>
      </w:pPr>
    </w:p>
    <w:p w:rsidR="001323F0" w:rsidRDefault="001323F0" w:rsidP="001323F0">
      <w:pPr>
        <w:pStyle w:val="ListParagraph"/>
        <w:numPr>
          <w:ilvl w:val="1"/>
          <w:numId w:val="25"/>
        </w:numPr>
        <w:jc w:val="both"/>
        <w:rPr>
          <w:rFonts w:ascii="Arial" w:hAnsi="Arial" w:cs="Arial"/>
          <w:sz w:val="22"/>
          <w:szCs w:val="22"/>
        </w:rPr>
      </w:pPr>
      <w:r>
        <w:rPr>
          <w:rFonts w:ascii="Arial" w:hAnsi="Arial" w:cs="Arial"/>
          <w:sz w:val="22"/>
          <w:szCs w:val="22"/>
        </w:rPr>
        <w:t xml:space="preserve">The PBAC noted the submission’s arguments as to why </w:t>
      </w:r>
      <w:r w:rsidRPr="009C0C0D">
        <w:rPr>
          <w:rFonts w:ascii="Arial" w:hAnsi="Arial" w:cs="Arial"/>
          <w:sz w:val="22"/>
          <w:szCs w:val="22"/>
        </w:rPr>
        <w:t>separate economic evaluation</w:t>
      </w:r>
      <w:r>
        <w:rPr>
          <w:rFonts w:ascii="Arial" w:hAnsi="Arial" w:cs="Arial"/>
          <w:sz w:val="22"/>
          <w:szCs w:val="22"/>
        </w:rPr>
        <w:t>s</w:t>
      </w:r>
      <w:r w:rsidRPr="009C0C0D">
        <w:rPr>
          <w:rFonts w:ascii="Arial" w:hAnsi="Arial" w:cs="Arial"/>
          <w:sz w:val="22"/>
          <w:szCs w:val="22"/>
        </w:rPr>
        <w:t xml:space="preserve"> for</w:t>
      </w:r>
      <w:r>
        <w:rPr>
          <w:rFonts w:ascii="Arial" w:hAnsi="Arial" w:cs="Arial"/>
          <w:sz w:val="22"/>
          <w:szCs w:val="22"/>
        </w:rPr>
        <w:t xml:space="preserve"> </w:t>
      </w:r>
      <w:proofErr w:type="spellStart"/>
      <w:r>
        <w:rPr>
          <w:rFonts w:ascii="Arial" w:hAnsi="Arial" w:cs="Arial"/>
          <w:sz w:val="22"/>
          <w:szCs w:val="22"/>
        </w:rPr>
        <w:t>iNHL</w:t>
      </w:r>
      <w:proofErr w:type="spellEnd"/>
      <w:r>
        <w:rPr>
          <w:rFonts w:ascii="Arial" w:hAnsi="Arial" w:cs="Arial"/>
          <w:sz w:val="22"/>
          <w:szCs w:val="22"/>
        </w:rPr>
        <w:t xml:space="preserve"> and MCL would be unnecessary, and considered that they were </w:t>
      </w:r>
      <w:r w:rsidR="00F621C4">
        <w:rPr>
          <w:rFonts w:ascii="Arial" w:hAnsi="Arial" w:cs="Arial"/>
          <w:sz w:val="22"/>
          <w:szCs w:val="22"/>
        </w:rPr>
        <w:t>acceptable</w:t>
      </w:r>
      <w:r>
        <w:rPr>
          <w:rFonts w:ascii="Arial" w:hAnsi="Arial" w:cs="Arial"/>
          <w:sz w:val="22"/>
          <w:szCs w:val="22"/>
        </w:rPr>
        <w:t xml:space="preserve">. The PBAC also considered that while the </w:t>
      </w:r>
      <w:r w:rsidR="003A3061">
        <w:rPr>
          <w:rFonts w:ascii="Arial" w:hAnsi="Arial" w:cs="Arial"/>
          <w:sz w:val="22"/>
          <w:szCs w:val="22"/>
        </w:rPr>
        <w:t xml:space="preserve">trial </w:t>
      </w:r>
      <w:r>
        <w:rPr>
          <w:rFonts w:ascii="Arial" w:hAnsi="Arial" w:cs="Arial"/>
          <w:sz w:val="22"/>
          <w:szCs w:val="22"/>
        </w:rPr>
        <w:t xml:space="preserve">was underpowered to detect important differences in overall survival in the MCL subgroup, the data overall were supportive of a benefit in this small subgroup of patients with high and unmet clinical need. </w:t>
      </w:r>
    </w:p>
    <w:p w:rsidR="001323F0" w:rsidRPr="00DD3C8B" w:rsidRDefault="001323F0" w:rsidP="001323F0">
      <w:pPr>
        <w:jc w:val="both"/>
        <w:rPr>
          <w:rFonts w:ascii="Arial" w:hAnsi="Arial" w:cs="Arial"/>
          <w:sz w:val="22"/>
          <w:szCs w:val="22"/>
        </w:rPr>
      </w:pPr>
    </w:p>
    <w:p w:rsidR="001323F0" w:rsidRPr="00F621C4" w:rsidRDefault="001323F0" w:rsidP="001323F0">
      <w:pPr>
        <w:pStyle w:val="ListParagraph"/>
        <w:numPr>
          <w:ilvl w:val="1"/>
          <w:numId w:val="25"/>
        </w:numPr>
        <w:jc w:val="both"/>
        <w:rPr>
          <w:rFonts w:ascii="Arial" w:hAnsi="Arial" w:cs="Arial"/>
          <w:b/>
          <w:bCs/>
          <w:snapToGrid w:val="0"/>
          <w:sz w:val="22"/>
          <w:szCs w:val="22"/>
          <w:lang w:val="en-GB"/>
        </w:rPr>
      </w:pPr>
      <w:r w:rsidRPr="00DD3C8B">
        <w:rPr>
          <w:rFonts w:ascii="Arial" w:hAnsi="Arial" w:cs="Arial"/>
          <w:bCs/>
          <w:snapToGrid w:val="0"/>
          <w:sz w:val="22"/>
          <w:szCs w:val="22"/>
          <w:lang w:val="en-GB"/>
        </w:rPr>
        <w:t xml:space="preserve">The PBAC </w:t>
      </w:r>
      <w:r>
        <w:rPr>
          <w:rFonts w:ascii="Arial" w:hAnsi="Arial" w:cs="Arial"/>
          <w:bCs/>
          <w:snapToGrid w:val="0"/>
          <w:sz w:val="22"/>
          <w:szCs w:val="22"/>
          <w:lang w:val="en-GB"/>
        </w:rPr>
        <w:t>noted</w:t>
      </w:r>
      <w:r w:rsidRPr="00DD3C8B">
        <w:rPr>
          <w:rFonts w:ascii="Arial" w:hAnsi="Arial" w:cs="Arial"/>
          <w:bCs/>
          <w:snapToGrid w:val="0"/>
          <w:sz w:val="22"/>
          <w:szCs w:val="22"/>
          <w:lang w:val="en-GB"/>
        </w:rPr>
        <w:t xml:space="preserve"> the submission’s argument that the</w:t>
      </w:r>
      <w:r w:rsidRPr="00DD3C8B">
        <w:rPr>
          <w:rFonts w:ascii="Arial" w:hAnsi="Arial" w:cs="Arial"/>
          <w:sz w:val="22"/>
          <w:szCs w:val="22"/>
        </w:rPr>
        <w:t xml:space="preserve"> lack of access to patient level data prevented the use of the 5-disease state model, however rejected the conclusions of Wild et al that it was reasonable to pool the 5-disease state utilities into two ‘macro disease states’. The PBAC considered that such pooling creates additional uncertainty, and is highly undesirable for use in applications for indolent lymphomas and like diseases, such as </w:t>
      </w:r>
      <w:proofErr w:type="spellStart"/>
      <w:r w:rsidR="002C4649">
        <w:rPr>
          <w:rFonts w:ascii="Arial" w:hAnsi="Arial" w:cs="Arial"/>
          <w:sz w:val="22"/>
          <w:szCs w:val="22"/>
        </w:rPr>
        <w:t>iNHL</w:t>
      </w:r>
      <w:proofErr w:type="spellEnd"/>
      <w:r w:rsidR="002C4649">
        <w:rPr>
          <w:rFonts w:ascii="Arial" w:hAnsi="Arial" w:cs="Arial"/>
          <w:sz w:val="22"/>
          <w:szCs w:val="22"/>
        </w:rPr>
        <w:t xml:space="preserve"> and </w:t>
      </w:r>
      <w:r w:rsidRPr="00DD3C8B">
        <w:rPr>
          <w:rFonts w:ascii="Arial" w:hAnsi="Arial" w:cs="Arial"/>
          <w:sz w:val="22"/>
          <w:szCs w:val="22"/>
        </w:rPr>
        <w:t>CLL</w:t>
      </w:r>
      <w:r>
        <w:rPr>
          <w:rFonts w:ascii="Arial" w:hAnsi="Arial" w:cs="Arial"/>
          <w:sz w:val="22"/>
          <w:szCs w:val="22"/>
        </w:rPr>
        <w:t xml:space="preserve">. </w:t>
      </w:r>
      <w:r w:rsidRPr="00DD3C8B">
        <w:rPr>
          <w:rFonts w:ascii="Arial" w:hAnsi="Arial" w:cs="Arial"/>
          <w:sz w:val="22"/>
          <w:szCs w:val="22"/>
        </w:rPr>
        <w:t xml:space="preserve">The PBAC also noted the AIHW report </w:t>
      </w:r>
      <w:r w:rsidRPr="001B28AB">
        <w:rPr>
          <w:rFonts w:ascii="Arial" w:hAnsi="Arial" w:cs="Arial"/>
          <w:sz w:val="22"/>
          <w:szCs w:val="22"/>
        </w:rPr>
        <w:t xml:space="preserve">“Cancer in Australia, An Overview, 2014” and considered that </w:t>
      </w:r>
      <w:r w:rsidR="00F621C4">
        <w:rPr>
          <w:rFonts w:ascii="Arial" w:hAnsi="Arial" w:cs="Arial"/>
          <w:sz w:val="22"/>
          <w:szCs w:val="22"/>
        </w:rPr>
        <w:t>these</w:t>
      </w:r>
      <w:r w:rsidRPr="001B28AB">
        <w:rPr>
          <w:rFonts w:ascii="Arial" w:hAnsi="Arial" w:cs="Arial"/>
          <w:sz w:val="22"/>
          <w:szCs w:val="22"/>
        </w:rPr>
        <w:t xml:space="preserve"> data, while not conclusive, did support the sponsor’s contention that a 20 year time horizon would be appropriate</w:t>
      </w:r>
      <w:r w:rsidR="003E6D97">
        <w:rPr>
          <w:rFonts w:ascii="Arial" w:hAnsi="Arial" w:cs="Arial"/>
          <w:sz w:val="22"/>
          <w:szCs w:val="22"/>
        </w:rPr>
        <w:t xml:space="preserve"> for </w:t>
      </w:r>
      <w:proofErr w:type="spellStart"/>
      <w:r w:rsidR="003E6D97">
        <w:rPr>
          <w:rFonts w:ascii="Arial" w:hAnsi="Arial" w:cs="Arial"/>
          <w:sz w:val="22"/>
          <w:szCs w:val="22"/>
        </w:rPr>
        <w:t>iNHL</w:t>
      </w:r>
      <w:proofErr w:type="spellEnd"/>
      <w:r w:rsidRPr="001B28AB">
        <w:rPr>
          <w:rFonts w:ascii="Arial" w:hAnsi="Arial" w:cs="Arial"/>
          <w:sz w:val="22"/>
          <w:szCs w:val="22"/>
        </w:rPr>
        <w:t>. The PBAC noted that implicit in accepting a prolonged time horizon is the responsibility for the model to take into account all important health states and additional therapies, wherever possible.</w:t>
      </w:r>
      <w:r>
        <w:rPr>
          <w:rFonts w:ascii="Arial" w:hAnsi="Arial" w:cs="Arial"/>
          <w:sz w:val="22"/>
          <w:szCs w:val="22"/>
        </w:rPr>
        <w:t xml:space="preserve"> The PBAC noted the inherent </w:t>
      </w:r>
      <w:r w:rsidRPr="00F621C4">
        <w:rPr>
          <w:rFonts w:ascii="Arial" w:hAnsi="Arial" w:cs="Arial"/>
          <w:sz w:val="22"/>
          <w:szCs w:val="22"/>
        </w:rPr>
        <w:t>disconnect between using both a three-state health model and a 20 year time horizon</w:t>
      </w:r>
      <w:r w:rsidR="002C4649">
        <w:rPr>
          <w:rFonts w:ascii="Arial" w:hAnsi="Arial" w:cs="Arial"/>
          <w:sz w:val="22"/>
          <w:szCs w:val="22"/>
        </w:rPr>
        <w:t>.</w:t>
      </w:r>
      <w:r w:rsidRPr="00F621C4">
        <w:rPr>
          <w:rFonts w:ascii="Arial" w:hAnsi="Arial" w:cs="Arial"/>
          <w:sz w:val="22"/>
          <w:szCs w:val="22"/>
        </w:rPr>
        <w:t xml:space="preserve"> </w:t>
      </w:r>
    </w:p>
    <w:p w:rsidR="001323F0" w:rsidRPr="00F621C4" w:rsidRDefault="001323F0" w:rsidP="001323F0">
      <w:pPr>
        <w:pStyle w:val="ListParagraph"/>
        <w:jc w:val="both"/>
        <w:rPr>
          <w:rFonts w:ascii="Arial" w:hAnsi="Arial" w:cs="Arial"/>
          <w:sz w:val="22"/>
          <w:szCs w:val="22"/>
        </w:rPr>
      </w:pPr>
    </w:p>
    <w:p w:rsidR="001323F0" w:rsidRPr="00F621C4" w:rsidRDefault="001323F0" w:rsidP="001323F0">
      <w:pPr>
        <w:pStyle w:val="ListParagraph"/>
        <w:numPr>
          <w:ilvl w:val="1"/>
          <w:numId w:val="25"/>
        </w:numPr>
        <w:jc w:val="both"/>
        <w:rPr>
          <w:rFonts w:ascii="Arial" w:hAnsi="Arial" w:cs="Arial"/>
          <w:b/>
          <w:bCs/>
          <w:snapToGrid w:val="0"/>
          <w:sz w:val="22"/>
          <w:szCs w:val="22"/>
          <w:lang w:val="en-GB"/>
        </w:rPr>
      </w:pPr>
      <w:r w:rsidRPr="00F621C4">
        <w:rPr>
          <w:rFonts w:ascii="Arial" w:hAnsi="Arial" w:cs="Arial"/>
          <w:sz w:val="22"/>
          <w:szCs w:val="22"/>
        </w:rPr>
        <w:t>The PBAC noted analys</w:t>
      </w:r>
      <w:r w:rsidR="00F621C4">
        <w:rPr>
          <w:rFonts w:ascii="Arial" w:hAnsi="Arial" w:cs="Arial"/>
          <w:sz w:val="22"/>
          <w:szCs w:val="22"/>
        </w:rPr>
        <w:t>e</w:t>
      </w:r>
      <w:r w:rsidRPr="00F621C4">
        <w:rPr>
          <w:rFonts w:ascii="Arial" w:hAnsi="Arial" w:cs="Arial"/>
          <w:sz w:val="22"/>
          <w:szCs w:val="22"/>
        </w:rPr>
        <w:t xml:space="preserve">s performed </w:t>
      </w:r>
      <w:r w:rsidR="00105D30">
        <w:rPr>
          <w:rFonts w:ascii="Arial" w:hAnsi="Arial" w:cs="Arial"/>
          <w:sz w:val="22"/>
          <w:szCs w:val="22"/>
        </w:rPr>
        <w:t>i</w:t>
      </w:r>
      <w:r w:rsidR="00105D30" w:rsidRPr="00F621C4">
        <w:rPr>
          <w:rFonts w:ascii="Arial" w:hAnsi="Arial" w:cs="Arial"/>
          <w:sz w:val="22"/>
          <w:szCs w:val="22"/>
        </w:rPr>
        <w:t xml:space="preserve">n </w:t>
      </w:r>
      <w:r w:rsidRPr="00F621C4">
        <w:rPr>
          <w:rFonts w:ascii="Arial" w:hAnsi="Arial" w:cs="Arial"/>
          <w:sz w:val="22"/>
          <w:szCs w:val="22"/>
        </w:rPr>
        <w:t xml:space="preserve">the minor submission exploring the </w:t>
      </w:r>
      <w:r w:rsidR="00105D30">
        <w:rPr>
          <w:rFonts w:ascii="Arial" w:hAnsi="Arial" w:cs="Arial"/>
          <w:sz w:val="22"/>
          <w:szCs w:val="22"/>
        </w:rPr>
        <w:t xml:space="preserve">financial </w:t>
      </w:r>
      <w:r w:rsidR="0058299F">
        <w:rPr>
          <w:rFonts w:ascii="Arial" w:hAnsi="Arial" w:cs="Arial"/>
          <w:sz w:val="22"/>
          <w:szCs w:val="22"/>
        </w:rPr>
        <w:t xml:space="preserve">impact of no use of rituximab maintenance after induction therapy with bendamustine plus rituximab. Such maintenance is commonly used after R-CHOP induction for patients with follicular lymphoma, but is not part of the bendamustine plus rituximab regimen. The PBAC noted that the analysis included the extreme </w:t>
      </w:r>
      <w:r w:rsidRPr="00F621C4">
        <w:rPr>
          <w:rFonts w:ascii="Arial" w:hAnsi="Arial" w:cs="Arial"/>
          <w:sz w:val="22"/>
          <w:szCs w:val="22"/>
        </w:rPr>
        <w:t xml:space="preserve">assumption that all patients on R-CHOP would receive subsequent rituximab maintenance therapy. </w:t>
      </w:r>
      <w:r w:rsidR="0058299F">
        <w:rPr>
          <w:rFonts w:ascii="Arial" w:hAnsi="Arial" w:cs="Arial"/>
          <w:sz w:val="22"/>
          <w:szCs w:val="22"/>
        </w:rPr>
        <w:t xml:space="preserve">Therefore the projected cost savings of </w:t>
      </w:r>
      <w:r w:rsidR="00C74C5E">
        <w:rPr>
          <w:rFonts w:ascii="Arial" w:hAnsi="Arial" w:cs="Arial"/>
          <w:sz w:val="22"/>
          <w:szCs w:val="22"/>
        </w:rPr>
        <w:t xml:space="preserve">less than </w:t>
      </w:r>
      <w:r w:rsidR="0058299F" w:rsidRPr="004F7F7F">
        <w:rPr>
          <w:rFonts w:ascii="Arial" w:hAnsi="Arial" w:cs="Arial"/>
          <w:sz w:val="22"/>
          <w:szCs w:val="22"/>
        </w:rPr>
        <w:t>$</w:t>
      </w:r>
      <w:r w:rsidR="00C74C5E">
        <w:rPr>
          <w:rFonts w:ascii="Arial" w:hAnsi="Arial" w:cs="Arial"/>
          <w:sz w:val="22"/>
          <w:szCs w:val="22"/>
        </w:rPr>
        <w:t>10 million</w:t>
      </w:r>
      <w:r w:rsidR="0058299F" w:rsidRPr="004F7F7F">
        <w:rPr>
          <w:rFonts w:ascii="Arial" w:hAnsi="Arial" w:cs="Arial"/>
          <w:sz w:val="22"/>
          <w:szCs w:val="22"/>
        </w:rPr>
        <w:t xml:space="preserve"> over 5 years</w:t>
      </w:r>
      <w:r w:rsidR="0058299F" w:rsidRPr="00F621C4">
        <w:rPr>
          <w:rFonts w:ascii="Arial" w:hAnsi="Arial" w:cs="Arial"/>
          <w:sz w:val="22"/>
          <w:szCs w:val="22"/>
        </w:rPr>
        <w:t xml:space="preserve"> </w:t>
      </w:r>
      <w:r w:rsidR="0058299F">
        <w:rPr>
          <w:rFonts w:ascii="Arial" w:hAnsi="Arial" w:cs="Arial"/>
          <w:sz w:val="22"/>
          <w:szCs w:val="22"/>
        </w:rPr>
        <w:t>were considered the upper limit of what may occu</w:t>
      </w:r>
      <w:r w:rsidR="00E251C8">
        <w:rPr>
          <w:rFonts w:ascii="Arial" w:hAnsi="Arial" w:cs="Arial"/>
          <w:sz w:val="22"/>
          <w:szCs w:val="22"/>
        </w:rPr>
        <w:t>r if bendamustine was to be PBS</w:t>
      </w:r>
      <w:r w:rsidR="00E251C8">
        <w:rPr>
          <w:rFonts w:ascii="Arial" w:hAnsi="Arial" w:cs="Arial"/>
          <w:sz w:val="22"/>
          <w:szCs w:val="22"/>
        </w:rPr>
        <w:noBreakHyphen/>
      </w:r>
      <w:r w:rsidR="0058299F">
        <w:rPr>
          <w:rFonts w:ascii="Arial" w:hAnsi="Arial" w:cs="Arial"/>
          <w:sz w:val="22"/>
          <w:szCs w:val="22"/>
        </w:rPr>
        <w:t>listed. Nevertheless, t</w:t>
      </w:r>
      <w:r w:rsidRPr="00F621C4">
        <w:rPr>
          <w:rFonts w:ascii="Arial" w:hAnsi="Arial" w:cs="Arial"/>
          <w:sz w:val="22"/>
          <w:szCs w:val="22"/>
        </w:rPr>
        <w:t xml:space="preserve">he </w:t>
      </w:r>
      <w:r w:rsidR="00F621C4">
        <w:rPr>
          <w:rFonts w:ascii="Arial" w:hAnsi="Arial" w:cs="Arial"/>
          <w:sz w:val="22"/>
          <w:szCs w:val="22"/>
        </w:rPr>
        <w:t xml:space="preserve">PBAC </w:t>
      </w:r>
      <w:r w:rsidR="0058299F">
        <w:rPr>
          <w:rFonts w:ascii="Arial" w:hAnsi="Arial" w:cs="Arial"/>
          <w:sz w:val="22"/>
          <w:szCs w:val="22"/>
        </w:rPr>
        <w:t xml:space="preserve">did </w:t>
      </w:r>
      <w:r w:rsidR="00F621C4">
        <w:rPr>
          <w:rFonts w:ascii="Arial" w:hAnsi="Arial" w:cs="Arial"/>
          <w:sz w:val="22"/>
          <w:szCs w:val="22"/>
        </w:rPr>
        <w:t>consider t</w:t>
      </w:r>
      <w:r w:rsidRPr="00F621C4">
        <w:rPr>
          <w:rFonts w:ascii="Arial" w:hAnsi="Arial" w:cs="Arial"/>
          <w:sz w:val="22"/>
          <w:szCs w:val="22"/>
        </w:rPr>
        <w:t xml:space="preserve">hat </w:t>
      </w:r>
      <w:r w:rsidR="0058299F">
        <w:rPr>
          <w:rFonts w:ascii="Arial" w:hAnsi="Arial" w:cs="Arial"/>
          <w:sz w:val="22"/>
          <w:szCs w:val="22"/>
        </w:rPr>
        <w:t>there would be reduced expenditure on rituximab maintenance and that</w:t>
      </w:r>
      <w:r w:rsidRPr="00F621C4">
        <w:rPr>
          <w:rFonts w:ascii="Arial" w:hAnsi="Arial" w:cs="Arial"/>
          <w:sz w:val="22"/>
          <w:szCs w:val="22"/>
        </w:rPr>
        <w:t xml:space="preserve"> listing of bendamustine on the PBS </w:t>
      </w:r>
      <w:r w:rsidR="0058299F">
        <w:rPr>
          <w:rFonts w:ascii="Arial" w:hAnsi="Arial" w:cs="Arial"/>
          <w:sz w:val="22"/>
          <w:szCs w:val="22"/>
        </w:rPr>
        <w:t xml:space="preserve">for first line therapy of </w:t>
      </w:r>
      <w:proofErr w:type="spellStart"/>
      <w:r w:rsidR="0058299F">
        <w:rPr>
          <w:rFonts w:ascii="Arial" w:hAnsi="Arial" w:cs="Arial"/>
          <w:sz w:val="22"/>
          <w:szCs w:val="22"/>
        </w:rPr>
        <w:t>iNHL</w:t>
      </w:r>
      <w:proofErr w:type="spellEnd"/>
      <w:r w:rsidR="0058299F">
        <w:rPr>
          <w:rFonts w:ascii="Arial" w:hAnsi="Arial" w:cs="Arial"/>
          <w:sz w:val="22"/>
          <w:szCs w:val="22"/>
        </w:rPr>
        <w:t xml:space="preserve"> and mantle cell lymphoma could reasonably be expected to</w:t>
      </w:r>
      <w:r w:rsidRPr="00F621C4">
        <w:rPr>
          <w:rFonts w:ascii="Arial" w:hAnsi="Arial" w:cs="Arial"/>
          <w:sz w:val="22"/>
          <w:szCs w:val="22"/>
        </w:rPr>
        <w:t xml:space="preserve"> result in cost savings to the Commonwealth.</w:t>
      </w:r>
      <w:r w:rsidRPr="00F621C4">
        <w:t xml:space="preserve"> </w:t>
      </w:r>
      <w:r w:rsidR="00F621C4" w:rsidRPr="00F621C4">
        <w:t xml:space="preserve"> </w:t>
      </w:r>
      <w:r w:rsidR="00F621C4">
        <w:rPr>
          <w:rFonts w:ascii="Arial" w:hAnsi="Arial" w:cs="Arial"/>
          <w:sz w:val="22"/>
          <w:szCs w:val="22"/>
        </w:rPr>
        <w:t>While t</w:t>
      </w:r>
      <w:r w:rsidR="00F621C4" w:rsidRPr="00F621C4">
        <w:rPr>
          <w:rFonts w:ascii="Arial" w:hAnsi="Arial" w:cs="Arial"/>
          <w:sz w:val="22"/>
          <w:szCs w:val="22"/>
        </w:rPr>
        <w:t xml:space="preserve">he PBAC </w:t>
      </w:r>
      <w:r w:rsidR="00F621C4">
        <w:rPr>
          <w:rFonts w:ascii="Arial" w:hAnsi="Arial" w:cs="Arial"/>
          <w:sz w:val="22"/>
          <w:szCs w:val="22"/>
        </w:rPr>
        <w:t>remained</w:t>
      </w:r>
      <w:r w:rsidR="00F621C4" w:rsidRPr="00F621C4">
        <w:rPr>
          <w:rFonts w:ascii="Arial" w:hAnsi="Arial" w:cs="Arial"/>
          <w:sz w:val="22"/>
          <w:szCs w:val="22"/>
        </w:rPr>
        <w:t xml:space="preserve"> concern</w:t>
      </w:r>
      <w:r w:rsidR="00F621C4">
        <w:rPr>
          <w:rFonts w:ascii="Arial" w:hAnsi="Arial" w:cs="Arial"/>
          <w:sz w:val="22"/>
          <w:szCs w:val="22"/>
        </w:rPr>
        <w:t>ed</w:t>
      </w:r>
      <w:r w:rsidR="00F621C4" w:rsidRPr="00F621C4">
        <w:rPr>
          <w:rFonts w:ascii="Arial" w:hAnsi="Arial" w:cs="Arial"/>
          <w:sz w:val="22"/>
          <w:szCs w:val="22"/>
        </w:rPr>
        <w:t xml:space="preserve"> about </w:t>
      </w:r>
      <w:r w:rsidR="00F621C4" w:rsidRPr="00F621C4">
        <w:rPr>
          <w:rFonts w:ascii="Arial" w:hAnsi="Arial" w:cs="Arial"/>
          <w:bCs/>
          <w:snapToGrid w:val="0"/>
          <w:sz w:val="22"/>
          <w:szCs w:val="22"/>
          <w:lang w:val="en-GB"/>
        </w:rPr>
        <w:t xml:space="preserve">the </w:t>
      </w:r>
      <w:r w:rsidR="00F621C4">
        <w:rPr>
          <w:rFonts w:ascii="Arial" w:hAnsi="Arial" w:cs="Arial"/>
          <w:bCs/>
          <w:snapToGrid w:val="0"/>
          <w:sz w:val="22"/>
          <w:szCs w:val="22"/>
          <w:lang w:val="en-GB"/>
        </w:rPr>
        <w:t xml:space="preserve">limitations </w:t>
      </w:r>
      <w:r w:rsidR="00F621C4" w:rsidRPr="00F621C4">
        <w:rPr>
          <w:rFonts w:ascii="Arial" w:hAnsi="Arial" w:cs="Arial"/>
          <w:bCs/>
          <w:snapToGrid w:val="0"/>
          <w:sz w:val="22"/>
          <w:szCs w:val="22"/>
          <w:lang w:val="en-GB"/>
        </w:rPr>
        <w:t xml:space="preserve">of </w:t>
      </w:r>
      <w:r w:rsidR="00F621C4">
        <w:rPr>
          <w:rFonts w:ascii="Arial" w:hAnsi="Arial" w:cs="Arial"/>
          <w:bCs/>
          <w:snapToGrid w:val="0"/>
          <w:sz w:val="22"/>
          <w:szCs w:val="22"/>
          <w:lang w:val="en-GB"/>
        </w:rPr>
        <w:t>the</w:t>
      </w:r>
      <w:r w:rsidR="00F621C4" w:rsidRPr="00F621C4">
        <w:rPr>
          <w:rFonts w:ascii="Arial" w:hAnsi="Arial" w:cs="Arial"/>
          <w:bCs/>
          <w:snapToGrid w:val="0"/>
          <w:sz w:val="22"/>
          <w:szCs w:val="22"/>
          <w:lang w:val="en-GB"/>
        </w:rPr>
        <w:t xml:space="preserve"> 3-state health model </w:t>
      </w:r>
      <w:r w:rsidR="00F621C4">
        <w:rPr>
          <w:rFonts w:ascii="Arial" w:hAnsi="Arial" w:cs="Arial"/>
          <w:bCs/>
          <w:snapToGrid w:val="0"/>
          <w:sz w:val="22"/>
          <w:szCs w:val="22"/>
          <w:lang w:val="en-GB"/>
        </w:rPr>
        <w:t xml:space="preserve">and the application of a 20-year time horizon </w:t>
      </w:r>
      <w:r w:rsidR="00F621C4" w:rsidRPr="00F621C4">
        <w:rPr>
          <w:rFonts w:ascii="Arial" w:hAnsi="Arial" w:cs="Arial"/>
          <w:bCs/>
          <w:snapToGrid w:val="0"/>
          <w:sz w:val="22"/>
          <w:szCs w:val="22"/>
          <w:lang w:val="en-GB"/>
        </w:rPr>
        <w:t>in the context of this disease</w:t>
      </w:r>
      <w:r w:rsidR="00F621C4">
        <w:rPr>
          <w:rFonts w:ascii="Arial" w:hAnsi="Arial" w:cs="Arial"/>
          <w:bCs/>
          <w:snapToGrid w:val="0"/>
          <w:sz w:val="22"/>
          <w:szCs w:val="22"/>
          <w:lang w:val="en-GB"/>
        </w:rPr>
        <w:t xml:space="preserve">, these concerns were diminished </w:t>
      </w:r>
      <w:r w:rsidR="0058299F">
        <w:rPr>
          <w:rFonts w:ascii="Arial" w:hAnsi="Arial" w:cs="Arial"/>
          <w:bCs/>
          <w:snapToGrid w:val="0"/>
          <w:sz w:val="22"/>
          <w:szCs w:val="22"/>
          <w:lang w:val="en-GB"/>
        </w:rPr>
        <w:t>given projections</w:t>
      </w:r>
      <w:r w:rsidR="00F621C4">
        <w:rPr>
          <w:rFonts w:ascii="Arial" w:hAnsi="Arial" w:cs="Arial"/>
          <w:bCs/>
          <w:snapToGrid w:val="0"/>
          <w:sz w:val="22"/>
          <w:szCs w:val="22"/>
          <w:lang w:val="en-GB"/>
        </w:rPr>
        <w:t xml:space="preserve"> that the listing of bendamustine </w:t>
      </w:r>
      <w:r w:rsidR="0058299F">
        <w:rPr>
          <w:rFonts w:ascii="Arial" w:hAnsi="Arial" w:cs="Arial"/>
          <w:bCs/>
          <w:snapToGrid w:val="0"/>
          <w:sz w:val="22"/>
          <w:szCs w:val="22"/>
          <w:lang w:val="en-GB"/>
        </w:rPr>
        <w:t xml:space="preserve">could be </w:t>
      </w:r>
      <w:r w:rsidR="00F621C4">
        <w:rPr>
          <w:rFonts w:ascii="Arial" w:hAnsi="Arial" w:cs="Arial"/>
          <w:bCs/>
          <w:snapToGrid w:val="0"/>
          <w:sz w:val="22"/>
          <w:szCs w:val="22"/>
          <w:lang w:val="en-GB"/>
        </w:rPr>
        <w:t xml:space="preserve">cost saving to the Commonwealth.  </w:t>
      </w:r>
      <w:r w:rsidR="0058299F">
        <w:rPr>
          <w:rFonts w:ascii="Arial" w:hAnsi="Arial" w:cs="Arial"/>
          <w:bCs/>
          <w:snapToGrid w:val="0"/>
          <w:sz w:val="22"/>
          <w:szCs w:val="22"/>
          <w:lang w:val="en-GB"/>
        </w:rPr>
        <w:t>In this context, t</w:t>
      </w:r>
      <w:r w:rsidR="00F621C4">
        <w:rPr>
          <w:rFonts w:ascii="Arial" w:hAnsi="Arial" w:cs="Arial"/>
          <w:bCs/>
          <w:snapToGrid w:val="0"/>
          <w:sz w:val="22"/>
          <w:szCs w:val="22"/>
          <w:lang w:val="en-GB"/>
        </w:rPr>
        <w:t xml:space="preserve">he PBAC considered that </w:t>
      </w:r>
      <w:r w:rsidR="00F621C4" w:rsidRPr="00F621C4">
        <w:rPr>
          <w:rFonts w:ascii="Arial" w:hAnsi="Arial" w:cs="Arial"/>
          <w:sz w:val="22"/>
          <w:szCs w:val="22"/>
        </w:rPr>
        <w:t>the re-submission’s ICER of $</w:t>
      </w:r>
      <w:r w:rsidR="00C74C5E">
        <w:rPr>
          <w:rFonts w:ascii="Arial" w:hAnsi="Arial" w:cs="Arial"/>
          <w:sz w:val="22"/>
          <w:szCs w:val="22"/>
        </w:rPr>
        <w:t>15,000 - $45,000</w:t>
      </w:r>
      <w:r w:rsidR="00F621C4" w:rsidRPr="00F621C4">
        <w:rPr>
          <w:rFonts w:ascii="Arial" w:hAnsi="Arial" w:cs="Arial"/>
          <w:sz w:val="22"/>
          <w:szCs w:val="22"/>
        </w:rPr>
        <w:t>/QALY</w:t>
      </w:r>
      <w:r w:rsidR="00F621C4">
        <w:rPr>
          <w:rFonts w:ascii="Arial" w:hAnsi="Arial" w:cs="Arial"/>
          <w:sz w:val="22"/>
          <w:szCs w:val="22"/>
        </w:rPr>
        <w:t xml:space="preserve"> </w:t>
      </w:r>
      <w:proofErr w:type="gramStart"/>
      <w:r w:rsidR="00F621C4">
        <w:rPr>
          <w:rFonts w:ascii="Arial" w:hAnsi="Arial" w:cs="Arial"/>
          <w:sz w:val="22"/>
          <w:szCs w:val="22"/>
        </w:rPr>
        <w:t>was</w:t>
      </w:r>
      <w:proofErr w:type="gramEnd"/>
      <w:r w:rsidR="00F621C4">
        <w:rPr>
          <w:rFonts w:ascii="Arial" w:hAnsi="Arial" w:cs="Arial"/>
          <w:sz w:val="22"/>
          <w:szCs w:val="22"/>
        </w:rPr>
        <w:t xml:space="preserve"> a reason</w:t>
      </w:r>
      <w:r w:rsidR="00E251C8">
        <w:rPr>
          <w:rFonts w:ascii="Arial" w:hAnsi="Arial" w:cs="Arial"/>
          <w:sz w:val="22"/>
          <w:szCs w:val="22"/>
        </w:rPr>
        <w:t>able representation of the cost</w:t>
      </w:r>
      <w:r w:rsidR="00E251C8">
        <w:rPr>
          <w:rFonts w:ascii="Arial" w:hAnsi="Arial" w:cs="Arial"/>
          <w:sz w:val="22"/>
          <w:szCs w:val="22"/>
        </w:rPr>
        <w:noBreakHyphen/>
      </w:r>
      <w:r w:rsidR="00F621C4">
        <w:rPr>
          <w:rFonts w:ascii="Arial" w:hAnsi="Arial" w:cs="Arial"/>
          <w:sz w:val="22"/>
          <w:szCs w:val="22"/>
        </w:rPr>
        <w:t>effectiveness of bendamustine</w:t>
      </w:r>
      <w:r w:rsidR="00F621C4" w:rsidRPr="00F621C4">
        <w:rPr>
          <w:rFonts w:ascii="Arial" w:hAnsi="Arial" w:cs="Arial"/>
          <w:sz w:val="22"/>
          <w:szCs w:val="22"/>
        </w:rPr>
        <w:t>.</w:t>
      </w:r>
    </w:p>
    <w:p w:rsidR="001323F0" w:rsidRPr="00F621C4" w:rsidRDefault="001323F0" w:rsidP="001323F0">
      <w:pPr>
        <w:pStyle w:val="ListParagraph"/>
        <w:widowControl w:val="0"/>
        <w:jc w:val="both"/>
        <w:rPr>
          <w:rFonts w:ascii="Arial" w:hAnsi="Arial" w:cs="Arial"/>
          <w:b/>
          <w:bCs/>
          <w:snapToGrid w:val="0"/>
          <w:sz w:val="22"/>
          <w:szCs w:val="22"/>
          <w:lang w:val="en-GB"/>
        </w:rPr>
      </w:pPr>
    </w:p>
    <w:p w:rsidR="001323F0" w:rsidRDefault="001323F0" w:rsidP="001323F0">
      <w:pPr>
        <w:pStyle w:val="ListParagraph"/>
        <w:numPr>
          <w:ilvl w:val="1"/>
          <w:numId w:val="25"/>
        </w:numPr>
        <w:jc w:val="both"/>
        <w:rPr>
          <w:rFonts w:ascii="Arial" w:hAnsi="Arial" w:cs="Arial"/>
          <w:sz w:val="22"/>
          <w:szCs w:val="22"/>
        </w:rPr>
      </w:pPr>
      <w:r w:rsidRPr="00F621C4">
        <w:rPr>
          <w:rFonts w:ascii="Arial" w:hAnsi="Arial" w:cs="Arial"/>
          <w:sz w:val="22"/>
          <w:szCs w:val="22"/>
        </w:rPr>
        <w:t xml:space="preserve">The PBAC considered, however, that these cost savings </w:t>
      </w:r>
      <w:r w:rsidR="008368B7">
        <w:rPr>
          <w:rFonts w:ascii="Arial" w:hAnsi="Arial" w:cs="Arial"/>
          <w:sz w:val="22"/>
          <w:szCs w:val="22"/>
        </w:rPr>
        <w:t>would</w:t>
      </w:r>
      <w:r w:rsidR="008368B7" w:rsidRPr="00F621C4">
        <w:rPr>
          <w:rFonts w:ascii="Arial" w:hAnsi="Arial" w:cs="Arial"/>
          <w:sz w:val="22"/>
          <w:szCs w:val="22"/>
        </w:rPr>
        <w:t xml:space="preserve"> </w:t>
      </w:r>
      <w:r w:rsidRPr="00F621C4">
        <w:rPr>
          <w:rFonts w:ascii="Arial" w:hAnsi="Arial" w:cs="Arial"/>
          <w:sz w:val="22"/>
          <w:szCs w:val="22"/>
        </w:rPr>
        <w:t xml:space="preserve">not be realised in practice if </w:t>
      </w:r>
      <w:r w:rsidR="0058299F" w:rsidRPr="00F621C4">
        <w:rPr>
          <w:rFonts w:ascii="Arial" w:hAnsi="Arial" w:cs="Arial"/>
          <w:sz w:val="22"/>
          <w:szCs w:val="22"/>
        </w:rPr>
        <w:t xml:space="preserve">maintenance therapy with rituximab </w:t>
      </w:r>
      <w:r w:rsidR="0058299F">
        <w:rPr>
          <w:rFonts w:ascii="Arial" w:hAnsi="Arial" w:cs="Arial"/>
          <w:sz w:val="22"/>
          <w:szCs w:val="22"/>
        </w:rPr>
        <w:t xml:space="preserve">was used following </w:t>
      </w:r>
      <w:r w:rsidR="008368B7">
        <w:rPr>
          <w:rFonts w:ascii="Arial" w:hAnsi="Arial" w:cs="Arial"/>
          <w:sz w:val="22"/>
          <w:szCs w:val="22"/>
        </w:rPr>
        <w:t>BR</w:t>
      </w:r>
      <w:r w:rsidR="008368B7" w:rsidRPr="00F621C4">
        <w:rPr>
          <w:rFonts w:ascii="Arial" w:hAnsi="Arial" w:cs="Arial"/>
          <w:sz w:val="22"/>
          <w:szCs w:val="22"/>
        </w:rPr>
        <w:t xml:space="preserve"> </w:t>
      </w:r>
      <w:r w:rsidRPr="00F621C4">
        <w:rPr>
          <w:rFonts w:ascii="Arial" w:hAnsi="Arial" w:cs="Arial"/>
          <w:sz w:val="22"/>
          <w:szCs w:val="22"/>
        </w:rPr>
        <w:t xml:space="preserve">induction therapy, </w:t>
      </w:r>
      <w:r w:rsidR="00F621C4" w:rsidRPr="00F621C4">
        <w:rPr>
          <w:rFonts w:ascii="Arial" w:hAnsi="Arial" w:cs="Arial"/>
          <w:sz w:val="22"/>
          <w:szCs w:val="22"/>
        </w:rPr>
        <w:t xml:space="preserve">noting that </w:t>
      </w:r>
      <w:r w:rsidRPr="00F621C4">
        <w:rPr>
          <w:rFonts w:ascii="Arial" w:hAnsi="Arial" w:cs="Arial"/>
          <w:sz w:val="22"/>
          <w:szCs w:val="22"/>
        </w:rPr>
        <w:t xml:space="preserve">the cost-effectiveness of </w:t>
      </w:r>
      <w:r w:rsidR="00F621C4" w:rsidRPr="00F621C4">
        <w:rPr>
          <w:rFonts w:ascii="Arial" w:hAnsi="Arial" w:cs="Arial"/>
          <w:sz w:val="22"/>
          <w:szCs w:val="22"/>
        </w:rPr>
        <w:t>this</w:t>
      </w:r>
      <w:r w:rsidR="00F621C4">
        <w:rPr>
          <w:rFonts w:ascii="Arial" w:hAnsi="Arial" w:cs="Arial"/>
          <w:sz w:val="22"/>
          <w:szCs w:val="22"/>
        </w:rPr>
        <w:t xml:space="preserve"> approach</w:t>
      </w:r>
      <w:r>
        <w:rPr>
          <w:rFonts w:ascii="Arial" w:hAnsi="Arial" w:cs="Arial"/>
          <w:sz w:val="22"/>
          <w:szCs w:val="22"/>
        </w:rPr>
        <w:t xml:space="preserve"> had not been established. </w:t>
      </w:r>
      <w:r w:rsidRPr="001C0A67">
        <w:rPr>
          <w:rFonts w:ascii="Arial" w:hAnsi="Arial" w:cs="Arial"/>
          <w:sz w:val="22"/>
          <w:szCs w:val="22"/>
        </w:rPr>
        <w:lastRenderedPageBreak/>
        <w:t>The PBAC recalled</w:t>
      </w:r>
      <w:r>
        <w:rPr>
          <w:rFonts w:ascii="Arial" w:hAnsi="Arial" w:cs="Arial"/>
          <w:sz w:val="22"/>
          <w:szCs w:val="22"/>
        </w:rPr>
        <w:t xml:space="preserve"> its advice from March 2015</w:t>
      </w:r>
      <w:r w:rsidRPr="001C0A67">
        <w:rPr>
          <w:rFonts w:ascii="Arial" w:hAnsi="Arial" w:cs="Arial"/>
          <w:sz w:val="22"/>
          <w:szCs w:val="22"/>
        </w:rPr>
        <w:t xml:space="preserve"> that the use of rituximab maintenance should not be permitted following induction with </w:t>
      </w:r>
      <w:r>
        <w:rPr>
          <w:rFonts w:ascii="Arial" w:hAnsi="Arial" w:cs="Arial"/>
          <w:sz w:val="22"/>
          <w:szCs w:val="22"/>
        </w:rPr>
        <w:t>bendamustine, and that t</w:t>
      </w:r>
      <w:r w:rsidRPr="001C0A67">
        <w:rPr>
          <w:rFonts w:ascii="Arial" w:hAnsi="Arial" w:cs="Arial"/>
          <w:sz w:val="22"/>
          <w:szCs w:val="22"/>
        </w:rPr>
        <w:t>his would require a flow-on change to the PBS restrictions for rituximab in the maintenance setting</w:t>
      </w:r>
      <w:r w:rsidR="008B19B7">
        <w:rPr>
          <w:rFonts w:ascii="Arial" w:hAnsi="Arial" w:cs="Arial"/>
          <w:sz w:val="22"/>
          <w:szCs w:val="22"/>
        </w:rPr>
        <w:t>.</w:t>
      </w:r>
      <w:r>
        <w:rPr>
          <w:rFonts w:ascii="Arial" w:hAnsi="Arial" w:cs="Arial"/>
          <w:sz w:val="22"/>
          <w:szCs w:val="22"/>
        </w:rPr>
        <w:t xml:space="preserve"> The PBAC thus recommended that</w:t>
      </w:r>
      <w:r w:rsidRPr="007B10D5">
        <w:rPr>
          <w:rFonts w:ascii="Arial" w:hAnsi="Arial" w:cs="Arial"/>
          <w:sz w:val="22"/>
          <w:szCs w:val="22"/>
        </w:rPr>
        <w:t xml:space="preserve"> the clinical criterion “The treatment must be for induction purposes only” should remain in the</w:t>
      </w:r>
      <w:r>
        <w:rPr>
          <w:rFonts w:ascii="Arial" w:hAnsi="Arial" w:cs="Arial"/>
          <w:sz w:val="22"/>
          <w:szCs w:val="22"/>
        </w:rPr>
        <w:t xml:space="preserve"> requested </w:t>
      </w:r>
      <w:r w:rsidRPr="007B10D5">
        <w:rPr>
          <w:rFonts w:ascii="Arial" w:hAnsi="Arial" w:cs="Arial"/>
          <w:sz w:val="22"/>
          <w:szCs w:val="22"/>
        </w:rPr>
        <w:t>restriction</w:t>
      </w:r>
      <w:r>
        <w:rPr>
          <w:rFonts w:ascii="Arial" w:hAnsi="Arial" w:cs="Arial"/>
          <w:sz w:val="22"/>
          <w:szCs w:val="22"/>
        </w:rPr>
        <w:t xml:space="preserve"> for bendamustine, and that the current maintenance listing for rituximab be amended to include an additional clinical criterion</w:t>
      </w:r>
      <w:r w:rsidRPr="00093D6C">
        <w:rPr>
          <w:rFonts w:ascii="Arial" w:hAnsi="Arial" w:cs="Arial"/>
          <w:sz w:val="22"/>
          <w:szCs w:val="22"/>
        </w:rPr>
        <w:t xml:space="preserve"> </w:t>
      </w:r>
      <w:r w:rsidR="008368B7" w:rsidRPr="00093D6C">
        <w:rPr>
          <w:rFonts w:ascii="Arial" w:hAnsi="Arial" w:cs="Arial"/>
          <w:sz w:val="22"/>
          <w:szCs w:val="22"/>
        </w:rPr>
        <w:t>that precludes maintenance following bendamustine plus rituximab induction.</w:t>
      </w:r>
      <w:r w:rsidR="008368B7" w:rsidRPr="008B19B7">
        <w:rPr>
          <w:rFonts w:ascii="Arial" w:hAnsi="Arial" w:cs="Arial"/>
          <w:sz w:val="22"/>
          <w:szCs w:val="22"/>
        </w:rPr>
        <w:t xml:space="preserve"> </w:t>
      </w:r>
    </w:p>
    <w:p w:rsidR="001323F0" w:rsidRDefault="001323F0" w:rsidP="00093D6C">
      <w:pPr>
        <w:widowControl w:val="0"/>
        <w:contextualSpacing/>
        <w:jc w:val="both"/>
        <w:rPr>
          <w:rFonts w:ascii="Arial" w:hAnsi="Arial" w:cs="Arial"/>
          <w:bCs/>
          <w:snapToGrid w:val="0"/>
          <w:sz w:val="22"/>
          <w:szCs w:val="22"/>
          <w:lang w:val="en-GB"/>
        </w:rPr>
      </w:pPr>
    </w:p>
    <w:p w:rsidR="001323F0" w:rsidRPr="000D4F19" w:rsidRDefault="001323F0" w:rsidP="001323F0">
      <w:pPr>
        <w:pStyle w:val="ListParagraph"/>
        <w:numPr>
          <w:ilvl w:val="1"/>
          <w:numId w:val="25"/>
        </w:numPr>
        <w:jc w:val="both"/>
        <w:rPr>
          <w:rFonts w:ascii="Arial" w:hAnsi="Arial" w:cs="Arial"/>
          <w:bCs/>
          <w:snapToGrid w:val="0"/>
          <w:sz w:val="22"/>
          <w:szCs w:val="22"/>
          <w:u w:val="single"/>
          <w:lang w:val="en-GB"/>
        </w:rPr>
      </w:pPr>
      <w:r w:rsidRPr="000D4F19">
        <w:rPr>
          <w:rFonts w:ascii="Arial" w:hAnsi="Arial" w:cs="Arial"/>
          <w:bCs/>
          <w:snapToGrid w:val="0"/>
          <w:sz w:val="22"/>
          <w:szCs w:val="22"/>
          <w:u w:val="single"/>
          <w:lang w:val="en-GB"/>
        </w:rPr>
        <w:t xml:space="preserve">Advice to the Minister under subsection 101(3BA) of the National Health Act 1953 </w:t>
      </w:r>
    </w:p>
    <w:p w:rsidR="001323F0" w:rsidRPr="006E5839" w:rsidRDefault="001323F0" w:rsidP="001323F0">
      <w:pPr>
        <w:widowControl w:val="0"/>
        <w:ind w:left="720"/>
        <w:contextualSpacing/>
        <w:jc w:val="both"/>
        <w:rPr>
          <w:rFonts w:ascii="Arial" w:hAnsi="Arial" w:cs="Arial"/>
          <w:bCs/>
          <w:snapToGrid w:val="0"/>
          <w:sz w:val="22"/>
          <w:szCs w:val="22"/>
          <w:lang w:val="en-GB"/>
        </w:rPr>
      </w:pPr>
      <w:r w:rsidRPr="006E5839">
        <w:rPr>
          <w:rFonts w:ascii="Arial" w:hAnsi="Arial" w:cs="Arial"/>
          <w:bCs/>
          <w:snapToGrid w:val="0"/>
          <w:sz w:val="22"/>
          <w:szCs w:val="22"/>
          <w:lang w:val="en-GB"/>
        </w:rPr>
        <w:t xml:space="preserve">In accordance with subsection 101(3BA) of the National Health Act 1953, the PBAC advised that it is of the opinion that, on the basis of the material available to it, </w:t>
      </w:r>
      <w:r>
        <w:rPr>
          <w:rFonts w:ascii="Arial" w:hAnsi="Arial" w:cs="Arial"/>
          <w:bCs/>
          <w:snapToGrid w:val="0"/>
          <w:sz w:val="22"/>
          <w:szCs w:val="22"/>
          <w:lang w:val="en-GB"/>
        </w:rPr>
        <w:t>bendamustine</w:t>
      </w:r>
      <w:r w:rsidRPr="006E5839">
        <w:rPr>
          <w:rFonts w:ascii="Arial" w:hAnsi="Arial" w:cs="Arial"/>
          <w:bCs/>
          <w:snapToGrid w:val="0"/>
          <w:sz w:val="22"/>
          <w:szCs w:val="22"/>
          <w:lang w:val="en-GB"/>
        </w:rPr>
        <w:t xml:space="preserve"> should not be treated as interchangeable on an individual patient basis with any other drugs(s) or medicinal preparation(s).</w:t>
      </w:r>
    </w:p>
    <w:p w:rsidR="001323F0" w:rsidRPr="002803BD" w:rsidRDefault="001323F0" w:rsidP="001323F0">
      <w:pPr>
        <w:widowControl w:val="0"/>
        <w:ind w:left="720"/>
        <w:contextualSpacing/>
        <w:jc w:val="both"/>
        <w:rPr>
          <w:rFonts w:ascii="Arial" w:hAnsi="Arial" w:cs="Arial"/>
          <w:b/>
          <w:bCs/>
          <w:snapToGrid w:val="0"/>
          <w:sz w:val="22"/>
          <w:szCs w:val="22"/>
          <w:highlight w:val="yellow"/>
          <w:lang w:val="en-GB"/>
        </w:rPr>
      </w:pPr>
    </w:p>
    <w:p w:rsidR="001323F0" w:rsidRPr="006E5839" w:rsidRDefault="001323F0" w:rsidP="001323F0">
      <w:pPr>
        <w:widowControl w:val="0"/>
        <w:numPr>
          <w:ilvl w:val="1"/>
          <w:numId w:val="25"/>
        </w:numPr>
        <w:contextualSpacing/>
        <w:jc w:val="both"/>
        <w:rPr>
          <w:rFonts w:ascii="Arial" w:hAnsi="Arial" w:cs="Arial"/>
          <w:b/>
          <w:bCs/>
          <w:snapToGrid w:val="0"/>
          <w:sz w:val="22"/>
          <w:szCs w:val="22"/>
          <w:lang w:val="en-GB"/>
        </w:rPr>
      </w:pPr>
      <w:r w:rsidRPr="006E5839">
        <w:rPr>
          <w:rFonts w:ascii="Arial" w:hAnsi="Arial" w:cs="Arial"/>
          <w:snapToGrid w:val="0"/>
          <w:sz w:val="22"/>
          <w:szCs w:val="22"/>
          <w:lang w:val="en-GB"/>
        </w:rPr>
        <w:t xml:space="preserve">The PBAC considered that bendamustine was not suitable for prescribing by nurse practitioners. </w:t>
      </w:r>
    </w:p>
    <w:p w:rsidR="001323F0" w:rsidRPr="006E5839" w:rsidRDefault="001323F0" w:rsidP="001323F0">
      <w:pPr>
        <w:widowControl w:val="0"/>
        <w:ind w:left="720"/>
        <w:contextualSpacing/>
        <w:jc w:val="both"/>
        <w:rPr>
          <w:rFonts w:ascii="Arial" w:hAnsi="Arial" w:cs="Arial"/>
          <w:b/>
          <w:bCs/>
          <w:snapToGrid w:val="0"/>
          <w:sz w:val="22"/>
          <w:szCs w:val="22"/>
          <w:lang w:val="en-GB"/>
        </w:rPr>
      </w:pPr>
    </w:p>
    <w:p w:rsidR="001323F0" w:rsidRPr="006E5839" w:rsidRDefault="001323F0" w:rsidP="001323F0">
      <w:pPr>
        <w:widowControl w:val="0"/>
        <w:numPr>
          <w:ilvl w:val="1"/>
          <w:numId w:val="25"/>
        </w:numPr>
        <w:contextualSpacing/>
        <w:jc w:val="both"/>
        <w:rPr>
          <w:rFonts w:ascii="Arial" w:hAnsi="Arial" w:cs="Arial"/>
          <w:b/>
          <w:bCs/>
          <w:snapToGrid w:val="0"/>
          <w:sz w:val="22"/>
          <w:szCs w:val="22"/>
          <w:lang w:val="en-GB"/>
        </w:rPr>
      </w:pPr>
      <w:r w:rsidRPr="006E5839">
        <w:rPr>
          <w:rFonts w:ascii="Arial" w:hAnsi="Arial" w:cs="Arial"/>
          <w:snapToGrid w:val="0"/>
          <w:sz w:val="22"/>
          <w:szCs w:val="22"/>
          <w:lang w:val="en-GB"/>
        </w:rPr>
        <w:t>The PBAC considered that the 20 Day Rule should not apply</w:t>
      </w:r>
      <w:r>
        <w:rPr>
          <w:rFonts w:ascii="Arial" w:hAnsi="Arial" w:cs="Arial"/>
          <w:snapToGrid w:val="0"/>
          <w:sz w:val="22"/>
          <w:szCs w:val="22"/>
          <w:lang w:val="en-GB"/>
        </w:rPr>
        <w:t>, noting that Section 100 EFC listings require dispensing of a PBS supply per treatment dose and that dispensing may be required at shorter than 20 day intervals</w:t>
      </w:r>
      <w:r w:rsidRPr="006E5839">
        <w:rPr>
          <w:rFonts w:ascii="Arial" w:hAnsi="Arial" w:cs="Arial"/>
          <w:snapToGrid w:val="0"/>
          <w:sz w:val="22"/>
          <w:szCs w:val="22"/>
          <w:lang w:val="en-GB"/>
        </w:rPr>
        <w:t xml:space="preserve">. </w:t>
      </w:r>
    </w:p>
    <w:p w:rsidR="001323F0" w:rsidRPr="006E5839" w:rsidRDefault="001323F0" w:rsidP="001323F0">
      <w:pPr>
        <w:widowControl w:val="0"/>
        <w:ind w:left="720"/>
        <w:contextualSpacing/>
        <w:jc w:val="both"/>
        <w:rPr>
          <w:rFonts w:ascii="Arial" w:hAnsi="Arial" w:cs="Arial"/>
          <w:b/>
          <w:bCs/>
          <w:snapToGrid w:val="0"/>
          <w:sz w:val="22"/>
          <w:szCs w:val="22"/>
          <w:lang w:val="en-GB"/>
        </w:rPr>
      </w:pPr>
    </w:p>
    <w:p w:rsidR="001323F0" w:rsidRPr="006E5839" w:rsidRDefault="001323F0" w:rsidP="001323F0">
      <w:pPr>
        <w:widowControl w:val="0"/>
        <w:numPr>
          <w:ilvl w:val="1"/>
          <w:numId w:val="25"/>
        </w:numPr>
        <w:contextualSpacing/>
        <w:jc w:val="both"/>
        <w:rPr>
          <w:rFonts w:ascii="Arial" w:hAnsi="Arial" w:cs="Arial"/>
          <w:b/>
          <w:bCs/>
          <w:snapToGrid w:val="0"/>
          <w:sz w:val="22"/>
          <w:szCs w:val="22"/>
          <w:lang w:val="en-GB"/>
        </w:rPr>
      </w:pPr>
      <w:r w:rsidRPr="006E5839">
        <w:rPr>
          <w:rFonts w:ascii="Arial" w:hAnsi="Arial" w:cs="Arial"/>
          <w:snapToGrid w:val="0"/>
          <w:sz w:val="22"/>
          <w:szCs w:val="22"/>
          <w:lang w:val="en-GB"/>
        </w:rPr>
        <w:t xml:space="preserve">The PBAC considered that no increase to the maximum quantities or repeats should be authorised. </w:t>
      </w:r>
    </w:p>
    <w:p w:rsidR="001323F0" w:rsidRPr="006E5839" w:rsidRDefault="001323F0" w:rsidP="001323F0">
      <w:pPr>
        <w:widowControl w:val="0"/>
        <w:ind w:left="720"/>
        <w:contextualSpacing/>
        <w:jc w:val="both"/>
        <w:rPr>
          <w:rFonts w:ascii="Arial" w:hAnsi="Arial" w:cs="Arial"/>
          <w:b/>
          <w:bCs/>
          <w:snapToGrid w:val="0"/>
          <w:sz w:val="22"/>
          <w:szCs w:val="22"/>
          <w:lang w:val="en-GB"/>
        </w:rPr>
      </w:pPr>
    </w:p>
    <w:p w:rsidR="001323F0" w:rsidRPr="001323F0" w:rsidRDefault="001323F0" w:rsidP="001323F0">
      <w:pPr>
        <w:widowControl w:val="0"/>
        <w:numPr>
          <w:ilvl w:val="1"/>
          <w:numId w:val="25"/>
        </w:numPr>
        <w:contextualSpacing/>
        <w:jc w:val="both"/>
        <w:rPr>
          <w:rFonts w:ascii="Arial" w:hAnsi="Arial" w:cs="Arial"/>
          <w:b/>
          <w:snapToGrid w:val="0"/>
          <w:sz w:val="22"/>
          <w:szCs w:val="22"/>
          <w:lang w:val="en-GB"/>
        </w:rPr>
      </w:pPr>
      <w:r w:rsidRPr="001323F0">
        <w:rPr>
          <w:rFonts w:ascii="Arial" w:hAnsi="Arial" w:cs="Arial"/>
          <w:snapToGrid w:val="0"/>
          <w:sz w:val="22"/>
          <w:szCs w:val="22"/>
          <w:lang w:val="en-GB"/>
        </w:rPr>
        <w:t>The PBAC also noted that the submission did not address the use of bendamustine in CLL, and considered that a future submission for CLL would address the concerns regarding utilisation outside the restriction requested in the current restriction.</w:t>
      </w:r>
    </w:p>
    <w:p w:rsidR="001323F0" w:rsidRPr="001323F0" w:rsidRDefault="001323F0" w:rsidP="001323F0">
      <w:pPr>
        <w:jc w:val="both"/>
        <w:rPr>
          <w:rFonts w:ascii="Arial" w:hAnsi="Arial" w:cs="Arial"/>
          <w:b/>
          <w:bCs/>
          <w:snapToGrid w:val="0"/>
          <w:sz w:val="22"/>
          <w:szCs w:val="22"/>
          <w:lang w:val="en-GB"/>
        </w:rPr>
      </w:pPr>
    </w:p>
    <w:p w:rsidR="001323F0" w:rsidRPr="001323F0" w:rsidRDefault="001323F0" w:rsidP="001323F0">
      <w:pPr>
        <w:jc w:val="both"/>
        <w:rPr>
          <w:rFonts w:ascii="Arial" w:hAnsi="Arial" w:cs="Arial"/>
          <w:b/>
          <w:bCs/>
          <w:snapToGrid w:val="0"/>
          <w:sz w:val="22"/>
          <w:szCs w:val="22"/>
          <w:lang w:val="en-GB"/>
        </w:rPr>
      </w:pPr>
      <w:r w:rsidRPr="001323F0">
        <w:rPr>
          <w:rFonts w:ascii="Arial" w:hAnsi="Arial" w:cs="Arial"/>
          <w:b/>
          <w:bCs/>
          <w:snapToGrid w:val="0"/>
          <w:sz w:val="22"/>
          <w:szCs w:val="22"/>
          <w:lang w:val="en-GB"/>
        </w:rPr>
        <w:t>Outcome:</w:t>
      </w:r>
    </w:p>
    <w:p w:rsidR="001323F0" w:rsidRPr="001323F0" w:rsidRDefault="001323F0" w:rsidP="001323F0">
      <w:pPr>
        <w:jc w:val="both"/>
        <w:rPr>
          <w:rFonts w:ascii="Arial" w:hAnsi="Arial" w:cs="Arial"/>
          <w:bCs/>
          <w:snapToGrid w:val="0"/>
          <w:sz w:val="22"/>
          <w:szCs w:val="22"/>
          <w:lang w:val="en-GB"/>
        </w:rPr>
      </w:pPr>
      <w:r w:rsidRPr="001323F0">
        <w:rPr>
          <w:rFonts w:ascii="Arial" w:hAnsi="Arial" w:cs="Arial"/>
          <w:bCs/>
          <w:snapToGrid w:val="0"/>
          <w:sz w:val="22"/>
          <w:szCs w:val="22"/>
          <w:lang w:val="en-GB"/>
        </w:rPr>
        <w:t xml:space="preserve">Recommended </w:t>
      </w:r>
    </w:p>
    <w:p w:rsidR="001323F0" w:rsidRPr="009F5112" w:rsidRDefault="001323F0" w:rsidP="001323F0">
      <w:pPr>
        <w:jc w:val="both"/>
        <w:rPr>
          <w:rFonts w:ascii="Arial" w:hAnsi="Arial" w:cs="Arial"/>
          <w:bCs/>
          <w:snapToGrid w:val="0"/>
          <w:sz w:val="22"/>
          <w:szCs w:val="22"/>
          <w:lang w:val="en-GB"/>
        </w:rPr>
      </w:pPr>
    </w:p>
    <w:p w:rsidR="000A0781" w:rsidRPr="001323F0" w:rsidRDefault="000A0781" w:rsidP="001323F0">
      <w:pPr>
        <w:rPr>
          <w:bCs/>
          <w:snapToGrid w:val="0"/>
          <w:highlight w:val="yellow"/>
        </w:rPr>
      </w:pPr>
      <w:r w:rsidRPr="001323F0">
        <w:rPr>
          <w:bCs/>
          <w:snapToGrid w:val="0"/>
          <w:highlight w:val="yellow"/>
        </w:rPr>
        <w:br w:type="page"/>
      </w:r>
    </w:p>
    <w:p w:rsidR="00AE2115" w:rsidRDefault="00AE2115" w:rsidP="00AE2115">
      <w:pPr>
        <w:widowControl w:val="0"/>
        <w:jc w:val="both"/>
        <w:rPr>
          <w:rFonts w:ascii="Arial" w:hAnsi="Arial" w:cs="Arial"/>
          <w:bCs/>
          <w:snapToGrid w:val="0"/>
          <w:sz w:val="22"/>
          <w:szCs w:val="22"/>
          <w:highlight w:val="yellow"/>
        </w:rPr>
      </w:pPr>
    </w:p>
    <w:p w:rsidR="00AE2115" w:rsidRPr="001323F0" w:rsidRDefault="00AE2115" w:rsidP="00AE2115">
      <w:pPr>
        <w:widowControl w:val="0"/>
        <w:jc w:val="both"/>
        <w:rPr>
          <w:rFonts w:ascii="Arial" w:hAnsi="Arial" w:cs="Arial"/>
          <w:bCs/>
          <w:snapToGrid w:val="0"/>
          <w:sz w:val="22"/>
          <w:szCs w:val="22"/>
          <w:highlight w:val="yellow"/>
        </w:rPr>
      </w:pPr>
    </w:p>
    <w:p w:rsidR="00AE2115" w:rsidRPr="00F621C4" w:rsidRDefault="00AE2115" w:rsidP="00AE2115">
      <w:pPr>
        <w:widowControl w:val="0"/>
        <w:numPr>
          <w:ilvl w:val="0"/>
          <w:numId w:val="25"/>
        </w:numPr>
        <w:jc w:val="both"/>
        <w:rPr>
          <w:rFonts w:ascii="Arial" w:hAnsi="Arial" w:cs="Arial"/>
          <w:b/>
          <w:bCs/>
          <w:snapToGrid w:val="0"/>
          <w:sz w:val="22"/>
          <w:szCs w:val="22"/>
          <w:lang w:val="en-GB"/>
        </w:rPr>
      </w:pPr>
      <w:r w:rsidRPr="001323F0">
        <w:rPr>
          <w:rFonts w:ascii="Arial" w:hAnsi="Arial" w:cs="Arial"/>
          <w:b/>
          <w:bCs/>
          <w:snapToGrid w:val="0"/>
          <w:sz w:val="22"/>
          <w:szCs w:val="22"/>
          <w:lang w:val="en-GB"/>
        </w:rPr>
        <w:t>Recommended listing</w:t>
      </w:r>
    </w:p>
    <w:p w:rsidR="00AE2115" w:rsidRPr="004F21D7" w:rsidRDefault="00AE2115" w:rsidP="00AE2115">
      <w:pPr>
        <w:jc w:val="both"/>
        <w:rPr>
          <w:rFonts w:ascii="Arial" w:hAnsi="Arial" w:cs="Arial"/>
          <w:b/>
          <w:bCs/>
          <w:i/>
          <w:snapToGrid w:val="0"/>
          <w:sz w:val="22"/>
          <w:szCs w:val="22"/>
          <w:lang w:val="en-GB"/>
        </w:rPr>
      </w:pPr>
    </w:p>
    <w:p w:rsidR="00AE2115" w:rsidRPr="004F21D7" w:rsidRDefault="00AE2115" w:rsidP="008109DA">
      <w:pPr>
        <w:widowControl w:val="0"/>
        <w:numPr>
          <w:ilvl w:val="1"/>
          <w:numId w:val="25"/>
        </w:numPr>
        <w:contextualSpacing/>
        <w:jc w:val="both"/>
        <w:rPr>
          <w:rFonts w:ascii="Arial" w:hAnsi="Arial" w:cs="Arial"/>
          <w:bCs/>
          <w:snapToGrid w:val="0"/>
          <w:sz w:val="22"/>
          <w:szCs w:val="22"/>
        </w:rPr>
      </w:pPr>
      <w:r w:rsidRPr="004F21D7">
        <w:rPr>
          <w:rFonts w:ascii="Arial" w:hAnsi="Arial" w:cs="Arial"/>
          <w:bCs/>
          <w:snapToGrid w:val="0"/>
          <w:sz w:val="22"/>
          <w:szCs w:val="22"/>
        </w:rPr>
        <w:t>Add new item:</w:t>
      </w:r>
    </w:p>
    <w:p w:rsidR="00AE2115" w:rsidRPr="006C307E" w:rsidRDefault="00AE2115" w:rsidP="00AE2115">
      <w:pPr>
        <w:widowControl w:val="0"/>
        <w:jc w:val="both"/>
        <w:rPr>
          <w:rFonts w:ascii="Arial" w:hAnsi="Arial" w:cs="Arial"/>
          <w:b/>
          <w:bCs/>
          <w:snapToGrid w:val="0"/>
          <w:sz w:val="22"/>
          <w:szCs w:val="22"/>
          <w:highlight w:val="yellow"/>
        </w:rPr>
      </w:pPr>
    </w:p>
    <w:p w:rsidR="000A0781" w:rsidRPr="00995C36" w:rsidRDefault="000A0781" w:rsidP="000A0781">
      <w:pPr>
        <w:pStyle w:val="NoSpacing"/>
        <w:ind w:firstLine="720"/>
        <w:rPr>
          <w:rFonts w:ascii="Arial Narrow" w:hAnsi="Arial Narrow"/>
          <w:b/>
          <w:sz w:val="20"/>
          <w:szCs w:val="20"/>
          <w:u w:val="single"/>
        </w:rPr>
      </w:pPr>
      <w:r w:rsidRPr="00995C36">
        <w:rPr>
          <w:rFonts w:ascii="Arial Narrow" w:hAnsi="Arial Narrow"/>
          <w:b/>
          <w:sz w:val="20"/>
          <w:szCs w:val="20"/>
          <w:u w:val="single"/>
        </w:rPr>
        <w:t>First-line indolent non-Hodgkin’s lymphoma</w:t>
      </w:r>
    </w:p>
    <w:tbl>
      <w:tblPr>
        <w:tblW w:w="8505" w:type="dxa"/>
        <w:tblInd w:w="817" w:type="dxa"/>
        <w:tblLayout w:type="fixed"/>
        <w:tblLook w:val="0000" w:firstRow="0" w:lastRow="0" w:firstColumn="0" w:lastColumn="0" w:noHBand="0" w:noVBand="0"/>
      </w:tblPr>
      <w:tblGrid>
        <w:gridCol w:w="1985"/>
        <w:gridCol w:w="567"/>
        <w:gridCol w:w="1275"/>
        <w:gridCol w:w="567"/>
        <w:gridCol w:w="284"/>
        <w:gridCol w:w="283"/>
        <w:gridCol w:w="709"/>
        <w:gridCol w:w="1559"/>
        <w:gridCol w:w="1276"/>
      </w:tblGrid>
      <w:tr w:rsidR="000A0781" w:rsidRPr="00995C36" w:rsidTr="004F21D7">
        <w:trPr>
          <w:cantSplit/>
          <w:trHeight w:val="471"/>
        </w:trPr>
        <w:tc>
          <w:tcPr>
            <w:tcW w:w="2552" w:type="dxa"/>
            <w:gridSpan w:val="2"/>
            <w:tcBorders>
              <w:bottom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Name, Restriction,</w:t>
            </w:r>
          </w:p>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Manner of administration and form</w:t>
            </w:r>
          </w:p>
        </w:tc>
        <w:tc>
          <w:tcPr>
            <w:tcW w:w="1275" w:type="dxa"/>
            <w:tcBorders>
              <w:bottom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Max.</w:t>
            </w:r>
          </w:p>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Qty</w:t>
            </w:r>
          </w:p>
        </w:tc>
        <w:tc>
          <w:tcPr>
            <w:tcW w:w="851" w:type="dxa"/>
            <w:gridSpan w:val="2"/>
            <w:tcBorders>
              <w:bottom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№.of</w:t>
            </w:r>
          </w:p>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Rpt</w:t>
            </w:r>
            <w:r>
              <w:rPr>
                <w:rFonts w:ascii="Arial Narrow" w:hAnsi="Arial Narrow"/>
                <w:b/>
                <w:sz w:val="20"/>
                <w:szCs w:val="20"/>
              </w:rPr>
              <w:t>s</w:t>
            </w:r>
          </w:p>
        </w:tc>
        <w:tc>
          <w:tcPr>
            <w:tcW w:w="283" w:type="dxa"/>
            <w:tcBorders>
              <w:bottom w:val="single" w:sz="4" w:space="0" w:color="auto"/>
            </w:tcBorders>
          </w:tcPr>
          <w:p w:rsidR="000A0781" w:rsidRPr="00995C36" w:rsidRDefault="000A0781" w:rsidP="008C29CA">
            <w:pPr>
              <w:pStyle w:val="NoSpacing"/>
              <w:rPr>
                <w:rFonts w:ascii="Arial Narrow" w:hAnsi="Arial Narrow"/>
                <w:b/>
                <w:sz w:val="20"/>
                <w:szCs w:val="20"/>
              </w:rPr>
            </w:pPr>
          </w:p>
        </w:tc>
        <w:tc>
          <w:tcPr>
            <w:tcW w:w="3544" w:type="dxa"/>
            <w:gridSpan w:val="3"/>
            <w:tcBorders>
              <w:bottom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Proprietary Name and Manufacturer</w:t>
            </w:r>
          </w:p>
        </w:tc>
      </w:tr>
      <w:tr w:rsidR="000A0781" w:rsidRPr="00995C36" w:rsidTr="004F21D7">
        <w:trPr>
          <w:cantSplit/>
          <w:trHeight w:val="1005"/>
        </w:trPr>
        <w:tc>
          <w:tcPr>
            <w:tcW w:w="2552" w:type="dxa"/>
            <w:gridSpan w:val="2"/>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bendamustine</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powder for injection 100 mg x 1 vial</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powder for injection 25 mg x 1 vial</w:t>
            </w:r>
          </w:p>
        </w:tc>
        <w:tc>
          <w:tcPr>
            <w:tcW w:w="1275" w:type="dxa"/>
          </w:tcPr>
          <w:p w:rsidR="000A0781" w:rsidRPr="00995C36" w:rsidRDefault="000A0781" w:rsidP="008C29CA">
            <w:pPr>
              <w:pStyle w:val="NoSpacing"/>
              <w:rPr>
                <w:rFonts w:ascii="Arial Narrow" w:hAnsi="Arial Narrow"/>
                <w:sz w:val="20"/>
                <w:szCs w:val="20"/>
              </w:rPr>
            </w:pP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200 mg</w:t>
            </w:r>
          </w:p>
        </w:tc>
        <w:tc>
          <w:tcPr>
            <w:tcW w:w="567" w:type="dxa"/>
          </w:tcPr>
          <w:p w:rsidR="000A0781" w:rsidRPr="00995C36" w:rsidRDefault="000A0781" w:rsidP="008C29CA">
            <w:pPr>
              <w:pStyle w:val="NoSpacing"/>
              <w:rPr>
                <w:rFonts w:ascii="Arial Narrow" w:hAnsi="Arial Narrow"/>
                <w:sz w:val="20"/>
                <w:szCs w:val="20"/>
              </w:rPr>
            </w:pP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11</w:t>
            </w:r>
          </w:p>
        </w:tc>
        <w:tc>
          <w:tcPr>
            <w:tcW w:w="1276" w:type="dxa"/>
            <w:gridSpan w:val="3"/>
          </w:tcPr>
          <w:p w:rsidR="000A0781" w:rsidRPr="00995C36" w:rsidRDefault="000A0781" w:rsidP="008C29CA">
            <w:pPr>
              <w:pStyle w:val="NoSpacing"/>
              <w:rPr>
                <w:rFonts w:ascii="Arial Narrow" w:hAnsi="Arial Narrow"/>
                <w:sz w:val="20"/>
                <w:szCs w:val="20"/>
              </w:rPr>
            </w:pPr>
          </w:p>
        </w:tc>
        <w:tc>
          <w:tcPr>
            <w:tcW w:w="1559" w:type="dxa"/>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Ribomustin</w:t>
            </w:r>
          </w:p>
        </w:tc>
        <w:tc>
          <w:tcPr>
            <w:tcW w:w="1276" w:type="dxa"/>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Janssen-Cilag Pty Ltd</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 xml:space="preserve">Category / </w:t>
            </w:r>
          </w:p>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Program</w:t>
            </w:r>
          </w:p>
        </w:tc>
        <w:tc>
          <w:tcPr>
            <w:tcW w:w="6520" w:type="dxa"/>
            <w:gridSpan w:val="8"/>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Section 100 (efficient funding of chemotherapy arrangements) public/private hospital</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Prescriber type:</w:t>
            </w:r>
          </w:p>
        </w:tc>
        <w:tc>
          <w:tcPr>
            <w:tcW w:w="6520" w:type="dxa"/>
            <w:gridSpan w:val="8"/>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fldChar w:fldCharType="begin">
                <w:ffData>
                  <w:name w:val="Check1"/>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Dental  </w:t>
            </w:r>
            <w:r w:rsidRPr="00995C36">
              <w:rPr>
                <w:rFonts w:ascii="Arial Narrow" w:hAnsi="Arial Narrow"/>
                <w:sz w:val="20"/>
                <w:szCs w:val="20"/>
              </w:rPr>
              <w:fldChar w:fldCharType="begin">
                <w:ffData>
                  <w:name w:val=""/>
                  <w:enabled/>
                  <w:calcOnExit w:val="0"/>
                  <w:checkBox>
                    <w:sizeAuto/>
                    <w:default w:val="1"/>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Medical Practitioners  </w:t>
            </w:r>
            <w:r w:rsidRPr="00995C36">
              <w:rPr>
                <w:rFonts w:ascii="Arial Narrow" w:hAnsi="Arial Narrow"/>
                <w:sz w:val="20"/>
                <w:szCs w:val="20"/>
              </w:rPr>
              <w:fldChar w:fldCharType="begin">
                <w:ffData>
                  <w:name w:val="Check3"/>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Nurse practitioners  </w:t>
            </w:r>
            <w:r w:rsidRPr="00995C36">
              <w:rPr>
                <w:rFonts w:ascii="Arial Narrow" w:hAnsi="Arial Narrow"/>
                <w:sz w:val="20"/>
                <w:szCs w:val="20"/>
              </w:rPr>
              <w:fldChar w:fldCharType="begin">
                <w:ffData>
                  <w:name w:val=""/>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Optometrists</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fldChar w:fldCharType="begin">
                <w:ffData>
                  <w:name w:val="Check5"/>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Midwives</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proofErr w:type="spellStart"/>
            <w:r w:rsidRPr="00995C36">
              <w:rPr>
                <w:rFonts w:ascii="Arial Narrow" w:hAnsi="Arial Narrow"/>
                <w:b/>
                <w:sz w:val="20"/>
                <w:szCs w:val="20"/>
              </w:rPr>
              <w:t>Episodicity</w:t>
            </w:r>
            <w:proofErr w:type="spellEnd"/>
            <w:r w:rsidRPr="00995C36">
              <w:rPr>
                <w:rFonts w:ascii="Arial Narrow" w:hAnsi="Arial Narrow"/>
                <w:b/>
                <w:sz w:val="20"/>
                <w:szCs w:val="20"/>
              </w:rPr>
              <w:t>:</w:t>
            </w:r>
          </w:p>
        </w:tc>
        <w:tc>
          <w:tcPr>
            <w:tcW w:w="6520" w:type="dxa"/>
            <w:gridSpan w:val="8"/>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Previously untreated</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Severity:</w:t>
            </w:r>
          </w:p>
        </w:tc>
        <w:tc>
          <w:tcPr>
            <w:tcW w:w="6520" w:type="dxa"/>
            <w:gridSpan w:val="8"/>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lang w:val="en-US"/>
              </w:rPr>
              <w:t>Stage III or IV</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Condition:</w:t>
            </w:r>
          </w:p>
        </w:tc>
        <w:tc>
          <w:tcPr>
            <w:tcW w:w="6520" w:type="dxa"/>
            <w:gridSpan w:val="8"/>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Indolent CD20 positive non-Hodgkin’s lymphoma</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i/>
                <w:sz w:val="20"/>
                <w:szCs w:val="20"/>
              </w:rPr>
            </w:pPr>
            <w:r w:rsidRPr="00995C36">
              <w:rPr>
                <w:rFonts w:ascii="Arial Narrow" w:hAnsi="Arial Narrow"/>
                <w:b/>
                <w:sz w:val="20"/>
                <w:szCs w:val="20"/>
              </w:rPr>
              <w:t>Treatment phase:</w:t>
            </w:r>
          </w:p>
        </w:tc>
        <w:tc>
          <w:tcPr>
            <w:tcW w:w="6520" w:type="dxa"/>
            <w:gridSpan w:val="8"/>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lang w:val="en-US"/>
              </w:rPr>
              <w:t>Induction treatment</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Restriction Level / Method:</w:t>
            </w:r>
          </w:p>
          <w:p w:rsidR="000A0781" w:rsidRPr="00995C36" w:rsidRDefault="000A0781" w:rsidP="008C29CA">
            <w:pPr>
              <w:pStyle w:val="NoSpacing"/>
              <w:rPr>
                <w:rFonts w:ascii="Arial Narrow" w:hAnsi="Arial Narrow"/>
                <w:sz w:val="20"/>
                <w:szCs w:val="20"/>
              </w:rPr>
            </w:pPr>
          </w:p>
        </w:tc>
        <w:tc>
          <w:tcPr>
            <w:tcW w:w="6520" w:type="dxa"/>
            <w:gridSpan w:val="8"/>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fldChar w:fldCharType="begin">
                <w:ffData>
                  <w:name w:val="Check1"/>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Restricted benefit</w:t>
            </w:r>
          </w:p>
          <w:p w:rsidR="000A0781" w:rsidRPr="000A0781" w:rsidRDefault="000A0781" w:rsidP="008C29CA">
            <w:pPr>
              <w:pStyle w:val="NoSpacing"/>
              <w:rPr>
                <w:rFonts w:ascii="Arial Narrow" w:hAnsi="Arial Narrow"/>
                <w:sz w:val="20"/>
                <w:szCs w:val="20"/>
              </w:rPr>
            </w:pPr>
            <w:r w:rsidRPr="000A0781">
              <w:rPr>
                <w:rFonts w:ascii="Arial Narrow" w:hAnsi="Arial Narrow"/>
                <w:sz w:val="20"/>
                <w:szCs w:val="20"/>
              </w:rPr>
              <w:fldChar w:fldCharType="begin">
                <w:ffData>
                  <w:name w:val="Check1"/>
                  <w:enabled/>
                  <w:calcOnExit w:val="0"/>
                  <w:checkBox>
                    <w:sizeAuto/>
                    <w:default w:val="0"/>
                  </w:checkBox>
                </w:ffData>
              </w:fldChar>
            </w:r>
            <w:r w:rsidRPr="000A0781">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0A0781">
              <w:rPr>
                <w:rFonts w:ascii="Arial Narrow" w:hAnsi="Arial Narrow"/>
                <w:sz w:val="20"/>
                <w:szCs w:val="20"/>
              </w:rPr>
              <w:fldChar w:fldCharType="end"/>
            </w:r>
            <w:r w:rsidRPr="000A0781">
              <w:rPr>
                <w:rFonts w:ascii="Arial Narrow" w:hAnsi="Arial Narrow"/>
                <w:sz w:val="20"/>
                <w:szCs w:val="20"/>
              </w:rPr>
              <w:t>Authority Required - In Writing</w:t>
            </w:r>
          </w:p>
          <w:p w:rsidR="000A0781" w:rsidRPr="000A0781" w:rsidRDefault="000A0781" w:rsidP="008C29CA">
            <w:pPr>
              <w:pStyle w:val="NoSpacing"/>
              <w:rPr>
                <w:rFonts w:ascii="Arial Narrow" w:hAnsi="Arial Narrow"/>
                <w:sz w:val="20"/>
                <w:szCs w:val="20"/>
              </w:rPr>
            </w:pPr>
            <w:r w:rsidRPr="000A0781">
              <w:rPr>
                <w:rFonts w:ascii="Arial Narrow" w:hAnsi="Arial Narrow"/>
                <w:sz w:val="20"/>
                <w:szCs w:val="20"/>
              </w:rPr>
              <w:fldChar w:fldCharType="begin">
                <w:ffData>
                  <w:name w:val="Check1"/>
                  <w:enabled/>
                  <w:calcOnExit w:val="0"/>
                  <w:checkBox>
                    <w:sizeAuto/>
                    <w:default w:val="0"/>
                  </w:checkBox>
                </w:ffData>
              </w:fldChar>
            </w:r>
            <w:r w:rsidRPr="000A0781">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0A0781">
              <w:rPr>
                <w:rFonts w:ascii="Arial Narrow" w:hAnsi="Arial Narrow"/>
                <w:sz w:val="20"/>
                <w:szCs w:val="20"/>
              </w:rPr>
              <w:fldChar w:fldCharType="end"/>
            </w:r>
            <w:r w:rsidRPr="000A0781">
              <w:rPr>
                <w:rFonts w:ascii="Arial Narrow" w:hAnsi="Arial Narrow"/>
                <w:sz w:val="20"/>
                <w:szCs w:val="20"/>
              </w:rPr>
              <w:t>Authority Required - Telephone</w:t>
            </w:r>
          </w:p>
          <w:p w:rsidR="000A0781" w:rsidRPr="000A0781" w:rsidRDefault="000A0781" w:rsidP="008C29CA">
            <w:pPr>
              <w:pStyle w:val="NoSpacing"/>
              <w:rPr>
                <w:rFonts w:ascii="Arial Narrow" w:hAnsi="Arial Narrow"/>
                <w:sz w:val="20"/>
                <w:szCs w:val="20"/>
              </w:rPr>
            </w:pPr>
            <w:r w:rsidRPr="000A0781">
              <w:rPr>
                <w:rFonts w:ascii="Arial Narrow" w:hAnsi="Arial Narrow"/>
                <w:sz w:val="20"/>
                <w:szCs w:val="20"/>
              </w:rPr>
              <w:fldChar w:fldCharType="begin">
                <w:ffData>
                  <w:name w:val="Check1"/>
                  <w:enabled/>
                  <w:calcOnExit w:val="0"/>
                  <w:checkBox>
                    <w:sizeAuto/>
                    <w:default w:val="0"/>
                  </w:checkBox>
                </w:ffData>
              </w:fldChar>
            </w:r>
            <w:r w:rsidRPr="000A0781">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0A0781">
              <w:rPr>
                <w:rFonts w:ascii="Arial Narrow" w:hAnsi="Arial Narrow"/>
                <w:sz w:val="20"/>
                <w:szCs w:val="20"/>
              </w:rPr>
              <w:fldChar w:fldCharType="end"/>
            </w:r>
            <w:r w:rsidRPr="000A0781">
              <w:rPr>
                <w:rFonts w:ascii="Arial Narrow" w:hAnsi="Arial Narrow"/>
                <w:sz w:val="20"/>
                <w:szCs w:val="20"/>
              </w:rPr>
              <w:t>Authority Required – Emergency</w:t>
            </w:r>
          </w:p>
          <w:p w:rsidR="000A0781" w:rsidRPr="000A0781" w:rsidRDefault="000A0781" w:rsidP="008C29CA">
            <w:pPr>
              <w:pStyle w:val="NoSpacing"/>
              <w:rPr>
                <w:rFonts w:ascii="Arial Narrow" w:hAnsi="Arial Narrow"/>
                <w:sz w:val="20"/>
                <w:szCs w:val="20"/>
              </w:rPr>
            </w:pPr>
            <w:r w:rsidRPr="000A0781">
              <w:rPr>
                <w:rFonts w:ascii="Arial Narrow" w:hAnsi="Arial Narrow"/>
                <w:sz w:val="20"/>
                <w:szCs w:val="20"/>
              </w:rPr>
              <w:fldChar w:fldCharType="begin">
                <w:ffData>
                  <w:name w:val="Check1"/>
                  <w:enabled/>
                  <w:calcOnExit w:val="0"/>
                  <w:checkBox>
                    <w:sizeAuto/>
                    <w:default w:val="0"/>
                  </w:checkBox>
                </w:ffData>
              </w:fldChar>
            </w:r>
            <w:r w:rsidRPr="000A0781">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0A0781">
              <w:rPr>
                <w:rFonts w:ascii="Arial Narrow" w:hAnsi="Arial Narrow"/>
                <w:sz w:val="20"/>
                <w:szCs w:val="20"/>
              </w:rPr>
              <w:fldChar w:fldCharType="end"/>
            </w:r>
            <w:r w:rsidRPr="000A0781">
              <w:rPr>
                <w:rFonts w:ascii="Arial Narrow" w:hAnsi="Arial Narrow"/>
                <w:sz w:val="20"/>
                <w:szCs w:val="20"/>
              </w:rPr>
              <w:t>Authority Required - Electronic</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fldChar w:fldCharType="begin">
                <w:ffData>
                  <w:name w:val="Check5"/>
                  <w:enabled/>
                  <w:calcOnExit w:val="0"/>
                  <w:checkBox>
                    <w:sizeAuto/>
                    <w:default w:val="1"/>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Streamlined</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Clinical criteria:</w:t>
            </w:r>
          </w:p>
          <w:p w:rsidR="000A0781" w:rsidRPr="00995C36" w:rsidRDefault="000A0781" w:rsidP="008C29CA">
            <w:pPr>
              <w:pStyle w:val="NoSpacing"/>
              <w:rPr>
                <w:rFonts w:ascii="Arial Narrow" w:hAnsi="Arial Narrow"/>
                <w:i/>
                <w:sz w:val="20"/>
                <w:szCs w:val="20"/>
              </w:rPr>
            </w:pPr>
          </w:p>
          <w:p w:rsidR="000A0781" w:rsidRPr="00995C36" w:rsidRDefault="000A0781" w:rsidP="008C29CA">
            <w:pPr>
              <w:pStyle w:val="NoSpacing"/>
              <w:rPr>
                <w:rFonts w:ascii="Arial Narrow" w:hAnsi="Arial Narrow"/>
                <w:sz w:val="20"/>
                <w:szCs w:val="20"/>
              </w:rPr>
            </w:pPr>
          </w:p>
        </w:tc>
        <w:tc>
          <w:tcPr>
            <w:tcW w:w="6520" w:type="dxa"/>
            <w:gridSpan w:val="8"/>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lang w:val="en-US"/>
              </w:rPr>
            </w:pPr>
            <w:r w:rsidRPr="00995C36">
              <w:rPr>
                <w:rFonts w:ascii="Arial Narrow" w:hAnsi="Arial Narrow"/>
                <w:sz w:val="20"/>
                <w:szCs w:val="20"/>
                <w:lang w:val="en-US"/>
              </w:rPr>
              <w:t>The treatment must be in combination with rituximab,</w:t>
            </w:r>
          </w:p>
          <w:p w:rsidR="000A0781" w:rsidRPr="00995C36" w:rsidRDefault="000A0781" w:rsidP="008C29CA">
            <w:pPr>
              <w:pStyle w:val="NoSpacing"/>
              <w:rPr>
                <w:rFonts w:ascii="Arial Narrow" w:hAnsi="Arial Narrow"/>
                <w:i/>
                <w:sz w:val="20"/>
                <w:szCs w:val="20"/>
                <w:lang w:val="en-US"/>
              </w:rPr>
            </w:pPr>
            <w:r w:rsidRPr="00995C36">
              <w:rPr>
                <w:rFonts w:ascii="Arial Narrow" w:hAnsi="Arial Narrow"/>
                <w:i/>
                <w:sz w:val="20"/>
                <w:szCs w:val="20"/>
                <w:lang w:val="en-US"/>
              </w:rPr>
              <w:t>AND</w:t>
            </w:r>
          </w:p>
          <w:p w:rsidR="000A0781" w:rsidRPr="00995C36" w:rsidRDefault="000A0781" w:rsidP="008C29CA">
            <w:pPr>
              <w:pStyle w:val="NoSpacing"/>
              <w:rPr>
                <w:rFonts w:ascii="Arial Narrow" w:hAnsi="Arial Narrow"/>
                <w:sz w:val="20"/>
                <w:szCs w:val="20"/>
                <w:lang w:val="en-US"/>
              </w:rPr>
            </w:pPr>
            <w:r w:rsidRPr="00995C36">
              <w:rPr>
                <w:rFonts w:ascii="Arial Narrow" w:hAnsi="Arial Narrow"/>
                <w:sz w:val="20"/>
                <w:szCs w:val="20"/>
                <w:lang w:val="en-US"/>
              </w:rPr>
              <w:t>The condition must be previously untreated,</w:t>
            </w:r>
          </w:p>
          <w:p w:rsidR="000A0781" w:rsidRPr="00995C36" w:rsidRDefault="000A0781" w:rsidP="008C29CA">
            <w:pPr>
              <w:pStyle w:val="NoSpacing"/>
              <w:rPr>
                <w:rFonts w:ascii="Arial Narrow" w:hAnsi="Arial Narrow"/>
                <w:i/>
                <w:sz w:val="20"/>
                <w:szCs w:val="20"/>
                <w:lang w:val="en-US"/>
              </w:rPr>
            </w:pPr>
            <w:r w:rsidRPr="00995C36">
              <w:rPr>
                <w:rFonts w:ascii="Arial Narrow" w:hAnsi="Arial Narrow"/>
                <w:i/>
                <w:sz w:val="20"/>
                <w:szCs w:val="20"/>
                <w:lang w:val="en-US"/>
              </w:rPr>
              <w:t>AND</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The condition must be symptomatic,</w:t>
            </w:r>
          </w:p>
          <w:p w:rsidR="000A0781" w:rsidRPr="00995C36" w:rsidRDefault="000A0781" w:rsidP="008C29CA">
            <w:pPr>
              <w:pStyle w:val="NoSpacing"/>
              <w:rPr>
                <w:rFonts w:ascii="Arial Narrow" w:hAnsi="Arial Narrow"/>
                <w:i/>
                <w:sz w:val="20"/>
                <w:szCs w:val="20"/>
                <w:lang w:val="en-US"/>
              </w:rPr>
            </w:pPr>
            <w:r w:rsidRPr="00995C36">
              <w:rPr>
                <w:rFonts w:ascii="Arial Narrow" w:hAnsi="Arial Narrow"/>
                <w:i/>
                <w:sz w:val="20"/>
                <w:szCs w:val="20"/>
                <w:lang w:val="en-US"/>
              </w:rPr>
              <w:t>AND</w:t>
            </w:r>
          </w:p>
          <w:p w:rsidR="000A0781" w:rsidRPr="000A0781" w:rsidRDefault="000A0781" w:rsidP="008C29CA">
            <w:pPr>
              <w:pStyle w:val="NoSpacing"/>
              <w:rPr>
                <w:rFonts w:ascii="Arial Narrow" w:hAnsi="Arial Narrow"/>
                <w:i/>
                <w:sz w:val="20"/>
                <w:szCs w:val="20"/>
                <w:lang w:val="en-US"/>
              </w:rPr>
            </w:pPr>
            <w:r w:rsidRPr="000A0781">
              <w:rPr>
                <w:rFonts w:ascii="Arial Narrow" w:hAnsi="Arial Narrow"/>
                <w:i/>
                <w:sz w:val="20"/>
                <w:szCs w:val="20"/>
                <w:lang w:val="en-US"/>
              </w:rPr>
              <w:t>The treatment must be for induction treatment purposes only,</w:t>
            </w:r>
          </w:p>
          <w:p w:rsidR="000A0781" w:rsidRPr="00995C36" w:rsidRDefault="000A0781" w:rsidP="008C29CA">
            <w:pPr>
              <w:pStyle w:val="NoSpacing"/>
              <w:rPr>
                <w:rFonts w:ascii="Arial Narrow" w:hAnsi="Arial Narrow"/>
                <w:i/>
                <w:sz w:val="20"/>
                <w:szCs w:val="20"/>
              </w:rPr>
            </w:pPr>
            <w:r w:rsidRPr="00995C36">
              <w:rPr>
                <w:rFonts w:ascii="Arial Narrow" w:hAnsi="Arial Narrow"/>
                <w:i/>
                <w:sz w:val="20"/>
                <w:szCs w:val="20"/>
                <w:lang w:val="en-US"/>
              </w:rPr>
              <w:t>AND</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Patient must not receive more than 6 cycles (12 doses) of treatment under this restriction.</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i/>
                <w:sz w:val="20"/>
                <w:szCs w:val="20"/>
              </w:rPr>
            </w:pPr>
            <w:r w:rsidRPr="00995C36">
              <w:rPr>
                <w:rFonts w:ascii="Arial Narrow" w:hAnsi="Arial Narrow"/>
                <w:b/>
                <w:i/>
                <w:sz w:val="20"/>
                <w:szCs w:val="20"/>
              </w:rPr>
              <w:t>Administrative Advice</w:t>
            </w:r>
          </w:p>
        </w:tc>
        <w:tc>
          <w:tcPr>
            <w:tcW w:w="6520" w:type="dxa"/>
            <w:gridSpan w:val="8"/>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lang w:val="en-US"/>
              </w:rPr>
            </w:pPr>
            <w:r w:rsidRPr="00995C36">
              <w:rPr>
                <w:rFonts w:ascii="Arial Narrow" w:hAnsi="Arial Narrow"/>
                <w:sz w:val="20"/>
                <w:szCs w:val="20"/>
                <w:lang w:val="en-US"/>
              </w:rPr>
              <w:t xml:space="preserve">No increase in the maximum number of repeats may be </w:t>
            </w:r>
            <w:proofErr w:type="spellStart"/>
            <w:r w:rsidRPr="00995C36">
              <w:rPr>
                <w:rFonts w:ascii="Arial Narrow" w:hAnsi="Arial Narrow"/>
                <w:sz w:val="20"/>
                <w:szCs w:val="20"/>
                <w:lang w:val="en-US"/>
              </w:rPr>
              <w:t>authorised</w:t>
            </w:r>
            <w:proofErr w:type="spellEnd"/>
          </w:p>
        </w:tc>
      </w:tr>
    </w:tbl>
    <w:p w:rsidR="000A0781" w:rsidRPr="00995C36" w:rsidRDefault="000A0781" w:rsidP="000A0781">
      <w:pPr>
        <w:pStyle w:val="NoSpacing"/>
        <w:rPr>
          <w:rFonts w:ascii="Arial Narrow" w:hAnsi="Arial Narrow"/>
          <w:sz w:val="20"/>
          <w:szCs w:val="20"/>
        </w:rPr>
      </w:pPr>
    </w:p>
    <w:p w:rsidR="000A0781" w:rsidRPr="00995C36" w:rsidRDefault="000A0781" w:rsidP="000A0781">
      <w:pPr>
        <w:pStyle w:val="NoSpacing"/>
        <w:ind w:firstLine="720"/>
        <w:rPr>
          <w:rFonts w:ascii="Arial Narrow" w:hAnsi="Arial Narrow"/>
          <w:b/>
          <w:sz w:val="20"/>
          <w:szCs w:val="20"/>
          <w:u w:val="single"/>
        </w:rPr>
      </w:pPr>
      <w:r w:rsidRPr="00995C36">
        <w:rPr>
          <w:rFonts w:ascii="Arial Narrow" w:hAnsi="Arial Narrow"/>
          <w:b/>
          <w:sz w:val="20"/>
          <w:szCs w:val="20"/>
          <w:u w:val="single"/>
        </w:rPr>
        <w:t>First-line mantle cell lymphoma</w:t>
      </w:r>
    </w:p>
    <w:tbl>
      <w:tblPr>
        <w:tblW w:w="8505" w:type="dxa"/>
        <w:tblInd w:w="817" w:type="dxa"/>
        <w:tblLayout w:type="fixed"/>
        <w:tblLook w:val="0000" w:firstRow="0" w:lastRow="0" w:firstColumn="0" w:lastColumn="0" w:noHBand="0" w:noVBand="0"/>
      </w:tblPr>
      <w:tblGrid>
        <w:gridCol w:w="1985"/>
        <w:gridCol w:w="567"/>
        <w:gridCol w:w="1134"/>
        <w:gridCol w:w="1134"/>
        <w:gridCol w:w="283"/>
        <w:gridCol w:w="2126"/>
        <w:gridCol w:w="1276"/>
      </w:tblGrid>
      <w:tr w:rsidR="000A0781" w:rsidRPr="00307EF2" w:rsidTr="004F21D7">
        <w:trPr>
          <w:cantSplit/>
          <w:trHeight w:val="471"/>
        </w:trPr>
        <w:tc>
          <w:tcPr>
            <w:tcW w:w="2552" w:type="dxa"/>
            <w:gridSpan w:val="2"/>
            <w:tcBorders>
              <w:bottom w:val="single" w:sz="4" w:space="0" w:color="auto"/>
            </w:tcBorders>
          </w:tcPr>
          <w:p w:rsidR="000A0781" w:rsidRPr="00307EF2" w:rsidRDefault="000A0781" w:rsidP="008C29CA">
            <w:pPr>
              <w:pStyle w:val="NoSpacing"/>
              <w:rPr>
                <w:rFonts w:ascii="Arial Narrow" w:hAnsi="Arial Narrow"/>
                <w:b/>
                <w:sz w:val="20"/>
                <w:szCs w:val="20"/>
              </w:rPr>
            </w:pPr>
            <w:r w:rsidRPr="00307EF2">
              <w:rPr>
                <w:rFonts w:ascii="Arial Narrow" w:hAnsi="Arial Narrow"/>
                <w:b/>
                <w:sz w:val="20"/>
                <w:szCs w:val="20"/>
              </w:rPr>
              <w:t>Name, Restriction,</w:t>
            </w:r>
          </w:p>
          <w:p w:rsidR="000A0781" w:rsidRPr="00307EF2" w:rsidRDefault="000A0781" w:rsidP="008C29CA">
            <w:pPr>
              <w:pStyle w:val="NoSpacing"/>
              <w:rPr>
                <w:rFonts w:ascii="Arial Narrow" w:hAnsi="Arial Narrow"/>
                <w:b/>
                <w:sz w:val="20"/>
                <w:szCs w:val="20"/>
              </w:rPr>
            </w:pPr>
            <w:r w:rsidRPr="00307EF2">
              <w:rPr>
                <w:rFonts w:ascii="Arial Narrow" w:hAnsi="Arial Narrow"/>
                <w:b/>
                <w:sz w:val="20"/>
                <w:szCs w:val="20"/>
              </w:rPr>
              <w:t>Manner of administration and form</w:t>
            </w:r>
          </w:p>
        </w:tc>
        <w:tc>
          <w:tcPr>
            <w:tcW w:w="1134" w:type="dxa"/>
            <w:tcBorders>
              <w:bottom w:val="single" w:sz="4" w:space="0" w:color="auto"/>
            </w:tcBorders>
          </w:tcPr>
          <w:p w:rsidR="000A0781" w:rsidRPr="00307EF2" w:rsidRDefault="000A0781" w:rsidP="008C29CA">
            <w:pPr>
              <w:pStyle w:val="NoSpacing"/>
              <w:rPr>
                <w:rFonts w:ascii="Arial Narrow" w:hAnsi="Arial Narrow"/>
                <w:b/>
                <w:sz w:val="20"/>
                <w:szCs w:val="20"/>
              </w:rPr>
            </w:pPr>
            <w:r w:rsidRPr="00307EF2">
              <w:rPr>
                <w:rFonts w:ascii="Arial Narrow" w:hAnsi="Arial Narrow"/>
                <w:b/>
                <w:sz w:val="20"/>
                <w:szCs w:val="20"/>
              </w:rPr>
              <w:t>Max.</w:t>
            </w:r>
          </w:p>
          <w:p w:rsidR="000A0781" w:rsidRPr="00307EF2" w:rsidRDefault="000A0781" w:rsidP="008C29CA">
            <w:pPr>
              <w:pStyle w:val="NoSpacing"/>
              <w:rPr>
                <w:rFonts w:ascii="Arial Narrow" w:hAnsi="Arial Narrow"/>
                <w:b/>
                <w:sz w:val="20"/>
                <w:szCs w:val="20"/>
              </w:rPr>
            </w:pPr>
            <w:r w:rsidRPr="00307EF2">
              <w:rPr>
                <w:rFonts w:ascii="Arial Narrow" w:hAnsi="Arial Narrow"/>
                <w:b/>
                <w:sz w:val="20"/>
                <w:szCs w:val="20"/>
              </w:rPr>
              <w:t>Qty</w:t>
            </w:r>
          </w:p>
        </w:tc>
        <w:tc>
          <w:tcPr>
            <w:tcW w:w="1134" w:type="dxa"/>
            <w:tcBorders>
              <w:bottom w:val="single" w:sz="4" w:space="0" w:color="auto"/>
            </w:tcBorders>
          </w:tcPr>
          <w:p w:rsidR="000A0781" w:rsidRPr="00307EF2" w:rsidRDefault="000A0781" w:rsidP="008C29CA">
            <w:pPr>
              <w:pStyle w:val="NoSpacing"/>
              <w:rPr>
                <w:rFonts w:ascii="Arial Narrow" w:hAnsi="Arial Narrow"/>
                <w:b/>
                <w:sz w:val="20"/>
                <w:szCs w:val="20"/>
              </w:rPr>
            </w:pPr>
            <w:r w:rsidRPr="00307EF2">
              <w:rPr>
                <w:rFonts w:ascii="Arial Narrow" w:hAnsi="Arial Narrow"/>
                <w:b/>
                <w:sz w:val="20"/>
                <w:szCs w:val="20"/>
              </w:rPr>
              <w:t>№.of</w:t>
            </w:r>
          </w:p>
          <w:p w:rsidR="000A0781" w:rsidRPr="00307EF2" w:rsidRDefault="000A0781" w:rsidP="008C29CA">
            <w:pPr>
              <w:pStyle w:val="NoSpacing"/>
              <w:rPr>
                <w:rFonts w:ascii="Arial Narrow" w:hAnsi="Arial Narrow"/>
                <w:b/>
                <w:sz w:val="20"/>
                <w:szCs w:val="20"/>
              </w:rPr>
            </w:pPr>
            <w:r w:rsidRPr="00307EF2">
              <w:rPr>
                <w:rFonts w:ascii="Arial Narrow" w:hAnsi="Arial Narrow"/>
                <w:b/>
                <w:sz w:val="20"/>
                <w:szCs w:val="20"/>
              </w:rPr>
              <w:t>Rpts</w:t>
            </w:r>
          </w:p>
        </w:tc>
        <w:tc>
          <w:tcPr>
            <w:tcW w:w="283" w:type="dxa"/>
            <w:tcBorders>
              <w:bottom w:val="single" w:sz="4" w:space="0" w:color="auto"/>
            </w:tcBorders>
          </w:tcPr>
          <w:p w:rsidR="000A0781" w:rsidRPr="00307EF2" w:rsidRDefault="000A0781" w:rsidP="008C29CA">
            <w:pPr>
              <w:pStyle w:val="NoSpacing"/>
              <w:rPr>
                <w:rFonts w:ascii="Arial Narrow" w:hAnsi="Arial Narrow"/>
                <w:b/>
                <w:sz w:val="20"/>
                <w:szCs w:val="20"/>
              </w:rPr>
            </w:pPr>
          </w:p>
        </w:tc>
        <w:tc>
          <w:tcPr>
            <w:tcW w:w="3402" w:type="dxa"/>
            <w:gridSpan w:val="2"/>
            <w:tcBorders>
              <w:bottom w:val="single" w:sz="4" w:space="0" w:color="auto"/>
            </w:tcBorders>
          </w:tcPr>
          <w:p w:rsidR="000A0781" w:rsidRPr="00307EF2" w:rsidRDefault="000A0781" w:rsidP="008C29CA">
            <w:pPr>
              <w:pStyle w:val="NoSpacing"/>
              <w:rPr>
                <w:rFonts w:ascii="Arial Narrow" w:hAnsi="Arial Narrow"/>
                <w:b/>
                <w:sz w:val="20"/>
                <w:szCs w:val="20"/>
                <w:lang w:val="fr-FR"/>
              </w:rPr>
            </w:pPr>
            <w:r w:rsidRPr="00307EF2">
              <w:rPr>
                <w:rFonts w:ascii="Arial Narrow" w:hAnsi="Arial Narrow"/>
                <w:b/>
                <w:sz w:val="20"/>
                <w:szCs w:val="20"/>
              </w:rPr>
              <w:t>Proprietary Name and Manufacturer</w:t>
            </w:r>
          </w:p>
        </w:tc>
      </w:tr>
      <w:tr w:rsidR="000A0781" w:rsidRPr="00995C36" w:rsidTr="004F21D7">
        <w:trPr>
          <w:cantSplit/>
          <w:trHeight w:val="577"/>
        </w:trPr>
        <w:tc>
          <w:tcPr>
            <w:tcW w:w="2552" w:type="dxa"/>
            <w:gridSpan w:val="2"/>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bendamustine</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powder for injection 100 mg x 1 vial</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powder for injection 25 mg x 1 vial</w:t>
            </w:r>
          </w:p>
        </w:tc>
        <w:tc>
          <w:tcPr>
            <w:tcW w:w="1134" w:type="dxa"/>
          </w:tcPr>
          <w:p w:rsidR="000A0781" w:rsidRPr="00995C36" w:rsidRDefault="000A0781" w:rsidP="008C29CA">
            <w:pPr>
              <w:pStyle w:val="NoSpacing"/>
              <w:rPr>
                <w:rFonts w:ascii="Arial Narrow" w:hAnsi="Arial Narrow"/>
                <w:sz w:val="20"/>
                <w:szCs w:val="20"/>
              </w:rPr>
            </w:pP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200 mg</w:t>
            </w:r>
          </w:p>
        </w:tc>
        <w:tc>
          <w:tcPr>
            <w:tcW w:w="1134" w:type="dxa"/>
          </w:tcPr>
          <w:p w:rsidR="000A0781" w:rsidRPr="00995C36" w:rsidRDefault="000A0781" w:rsidP="008C29CA">
            <w:pPr>
              <w:pStyle w:val="NoSpacing"/>
              <w:rPr>
                <w:rFonts w:ascii="Arial Narrow" w:hAnsi="Arial Narrow"/>
                <w:sz w:val="20"/>
                <w:szCs w:val="20"/>
              </w:rPr>
            </w:pP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11</w:t>
            </w:r>
          </w:p>
        </w:tc>
        <w:tc>
          <w:tcPr>
            <w:tcW w:w="283" w:type="dxa"/>
          </w:tcPr>
          <w:p w:rsidR="000A0781" w:rsidRPr="00995C36" w:rsidRDefault="000A0781" w:rsidP="008C29CA">
            <w:pPr>
              <w:pStyle w:val="NoSpacing"/>
              <w:rPr>
                <w:rFonts w:ascii="Arial Narrow" w:hAnsi="Arial Narrow"/>
                <w:sz w:val="20"/>
                <w:szCs w:val="20"/>
              </w:rPr>
            </w:pPr>
          </w:p>
          <w:p w:rsidR="000A0781" w:rsidRPr="00995C36" w:rsidRDefault="000A0781" w:rsidP="008C29CA">
            <w:pPr>
              <w:pStyle w:val="NoSpacing"/>
              <w:rPr>
                <w:rFonts w:ascii="Arial Narrow" w:hAnsi="Arial Narrow"/>
                <w:sz w:val="20"/>
                <w:szCs w:val="20"/>
              </w:rPr>
            </w:pPr>
          </w:p>
        </w:tc>
        <w:tc>
          <w:tcPr>
            <w:tcW w:w="2126" w:type="dxa"/>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Ribomustin</w:t>
            </w:r>
          </w:p>
        </w:tc>
        <w:tc>
          <w:tcPr>
            <w:tcW w:w="1276" w:type="dxa"/>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Janssen-Cilag Pty Ltd</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lastRenderedPageBreak/>
              <w:t xml:space="preserve">Category / </w:t>
            </w:r>
          </w:p>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Program</w:t>
            </w:r>
          </w:p>
        </w:tc>
        <w:tc>
          <w:tcPr>
            <w:tcW w:w="6520" w:type="dxa"/>
            <w:gridSpan w:val="6"/>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Section 100 (efficient funding of chemotherapy arrangements) public/private hospital</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fldChar w:fldCharType="begin">
                <w:ffData>
                  <w:name w:val="Check1"/>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Dental  </w:t>
            </w:r>
            <w:r w:rsidRPr="00995C36">
              <w:rPr>
                <w:rFonts w:ascii="Arial Narrow" w:hAnsi="Arial Narrow"/>
                <w:sz w:val="20"/>
                <w:szCs w:val="20"/>
              </w:rPr>
              <w:fldChar w:fldCharType="begin">
                <w:ffData>
                  <w:name w:val=""/>
                  <w:enabled/>
                  <w:calcOnExit w:val="0"/>
                  <w:checkBox>
                    <w:sizeAuto/>
                    <w:default w:val="1"/>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Medical Practitioners  </w:t>
            </w:r>
            <w:r w:rsidRPr="00995C36">
              <w:rPr>
                <w:rFonts w:ascii="Arial Narrow" w:hAnsi="Arial Narrow"/>
                <w:sz w:val="20"/>
                <w:szCs w:val="20"/>
              </w:rPr>
              <w:fldChar w:fldCharType="begin">
                <w:ffData>
                  <w:name w:val="Check3"/>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 xml:space="preserve">Nurse practitioners  </w:t>
            </w:r>
            <w:r w:rsidRPr="00995C36">
              <w:rPr>
                <w:rFonts w:ascii="Arial Narrow" w:hAnsi="Arial Narrow"/>
                <w:sz w:val="20"/>
                <w:szCs w:val="20"/>
              </w:rPr>
              <w:fldChar w:fldCharType="begin">
                <w:ffData>
                  <w:name w:val=""/>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Optometrists</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fldChar w:fldCharType="begin">
                <w:ffData>
                  <w:name w:val="Check5"/>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Midwives</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proofErr w:type="spellStart"/>
            <w:r w:rsidRPr="00995C36">
              <w:rPr>
                <w:rFonts w:ascii="Arial Narrow" w:hAnsi="Arial Narrow"/>
                <w:b/>
                <w:sz w:val="20"/>
                <w:szCs w:val="20"/>
              </w:rPr>
              <w:t>Episodicity</w:t>
            </w:r>
            <w:proofErr w:type="spellEnd"/>
            <w:r w:rsidRPr="00995C36">
              <w:rPr>
                <w:rFonts w:ascii="Arial Narrow" w:hAnsi="Arial Narrow"/>
                <w:b/>
                <w:sz w:val="20"/>
                <w:szCs w:val="20"/>
              </w:rPr>
              <w:t>:</w:t>
            </w:r>
          </w:p>
        </w:tc>
        <w:tc>
          <w:tcPr>
            <w:tcW w:w="6520" w:type="dxa"/>
            <w:gridSpan w:val="6"/>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Previously untreated</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Severity:</w:t>
            </w:r>
          </w:p>
        </w:tc>
        <w:tc>
          <w:tcPr>
            <w:tcW w:w="6520" w:type="dxa"/>
            <w:gridSpan w:val="6"/>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lang w:val="en-US"/>
              </w:rPr>
              <w:t>Stage III or IV</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CD20 positive mantle cell lymphoma</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Treatment phase:</w:t>
            </w:r>
          </w:p>
          <w:p w:rsidR="000A0781" w:rsidRPr="00995C36" w:rsidRDefault="000A0781" w:rsidP="008C29CA">
            <w:pPr>
              <w:pStyle w:val="NoSpacing"/>
              <w:rPr>
                <w:rFonts w:ascii="Arial Narrow" w:hAnsi="Arial Narrow"/>
                <w:i/>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lang w:val="en-US"/>
              </w:rPr>
              <w:t>Induction treatment</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Restriction Level / Method:</w:t>
            </w:r>
          </w:p>
          <w:p w:rsidR="000A0781" w:rsidRPr="00995C36" w:rsidRDefault="000A0781" w:rsidP="008C29CA">
            <w:pPr>
              <w:pStyle w:val="NoSpacing"/>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fldChar w:fldCharType="begin">
                <w:ffData>
                  <w:name w:val="Check1"/>
                  <w:enabled/>
                  <w:calcOnExit w:val="0"/>
                  <w:checkBox>
                    <w:sizeAuto/>
                    <w:default w:val="0"/>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Restricted benefit</w:t>
            </w:r>
          </w:p>
          <w:p w:rsidR="000A0781" w:rsidRPr="000A0781" w:rsidRDefault="000A0781" w:rsidP="008C29CA">
            <w:pPr>
              <w:pStyle w:val="NoSpacing"/>
              <w:rPr>
                <w:rFonts w:ascii="Arial Narrow" w:hAnsi="Arial Narrow"/>
                <w:sz w:val="20"/>
                <w:szCs w:val="20"/>
              </w:rPr>
            </w:pPr>
            <w:r w:rsidRPr="000A0781">
              <w:rPr>
                <w:rFonts w:ascii="Arial Narrow" w:hAnsi="Arial Narrow"/>
                <w:sz w:val="20"/>
                <w:szCs w:val="20"/>
              </w:rPr>
              <w:fldChar w:fldCharType="begin">
                <w:ffData>
                  <w:name w:val="Check1"/>
                  <w:enabled/>
                  <w:calcOnExit w:val="0"/>
                  <w:checkBox>
                    <w:sizeAuto/>
                    <w:default w:val="0"/>
                  </w:checkBox>
                </w:ffData>
              </w:fldChar>
            </w:r>
            <w:r w:rsidRPr="000A0781">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0A0781">
              <w:rPr>
                <w:rFonts w:ascii="Arial Narrow" w:hAnsi="Arial Narrow"/>
                <w:sz w:val="20"/>
                <w:szCs w:val="20"/>
              </w:rPr>
              <w:fldChar w:fldCharType="end"/>
            </w:r>
            <w:r w:rsidRPr="000A0781">
              <w:rPr>
                <w:rFonts w:ascii="Arial Narrow" w:hAnsi="Arial Narrow"/>
                <w:sz w:val="20"/>
                <w:szCs w:val="20"/>
              </w:rPr>
              <w:t>Authority Required - In Writing</w:t>
            </w:r>
          </w:p>
          <w:p w:rsidR="000A0781" w:rsidRPr="000A0781" w:rsidRDefault="000A0781" w:rsidP="008C29CA">
            <w:pPr>
              <w:pStyle w:val="NoSpacing"/>
              <w:rPr>
                <w:rFonts w:ascii="Arial Narrow" w:hAnsi="Arial Narrow"/>
                <w:sz w:val="20"/>
                <w:szCs w:val="20"/>
              </w:rPr>
            </w:pPr>
            <w:r w:rsidRPr="000A0781">
              <w:rPr>
                <w:rFonts w:ascii="Arial Narrow" w:hAnsi="Arial Narrow"/>
                <w:sz w:val="20"/>
                <w:szCs w:val="20"/>
              </w:rPr>
              <w:fldChar w:fldCharType="begin">
                <w:ffData>
                  <w:name w:val="Check1"/>
                  <w:enabled/>
                  <w:calcOnExit w:val="0"/>
                  <w:checkBox>
                    <w:sizeAuto/>
                    <w:default w:val="0"/>
                  </w:checkBox>
                </w:ffData>
              </w:fldChar>
            </w:r>
            <w:r w:rsidRPr="000A0781">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0A0781">
              <w:rPr>
                <w:rFonts w:ascii="Arial Narrow" w:hAnsi="Arial Narrow"/>
                <w:sz w:val="20"/>
                <w:szCs w:val="20"/>
              </w:rPr>
              <w:fldChar w:fldCharType="end"/>
            </w:r>
            <w:r w:rsidRPr="000A0781">
              <w:rPr>
                <w:rFonts w:ascii="Arial Narrow" w:hAnsi="Arial Narrow"/>
                <w:sz w:val="20"/>
                <w:szCs w:val="20"/>
              </w:rPr>
              <w:t>Authority Required - Telephone</w:t>
            </w:r>
          </w:p>
          <w:p w:rsidR="000A0781" w:rsidRPr="000A0781" w:rsidRDefault="000A0781" w:rsidP="008C29CA">
            <w:pPr>
              <w:pStyle w:val="NoSpacing"/>
              <w:rPr>
                <w:rFonts w:ascii="Arial Narrow" w:hAnsi="Arial Narrow"/>
                <w:sz w:val="20"/>
                <w:szCs w:val="20"/>
              </w:rPr>
            </w:pPr>
            <w:r w:rsidRPr="000A0781">
              <w:rPr>
                <w:rFonts w:ascii="Arial Narrow" w:hAnsi="Arial Narrow"/>
                <w:sz w:val="20"/>
                <w:szCs w:val="20"/>
              </w:rPr>
              <w:fldChar w:fldCharType="begin">
                <w:ffData>
                  <w:name w:val="Check1"/>
                  <w:enabled/>
                  <w:calcOnExit w:val="0"/>
                  <w:checkBox>
                    <w:sizeAuto/>
                    <w:default w:val="0"/>
                  </w:checkBox>
                </w:ffData>
              </w:fldChar>
            </w:r>
            <w:r w:rsidRPr="000A0781">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0A0781">
              <w:rPr>
                <w:rFonts w:ascii="Arial Narrow" w:hAnsi="Arial Narrow"/>
                <w:sz w:val="20"/>
                <w:szCs w:val="20"/>
              </w:rPr>
              <w:fldChar w:fldCharType="end"/>
            </w:r>
            <w:r w:rsidRPr="000A0781">
              <w:rPr>
                <w:rFonts w:ascii="Arial Narrow" w:hAnsi="Arial Narrow"/>
                <w:sz w:val="20"/>
                <w:szCs w:val="20"/>
              </w:rPr>
              <w:t>Authority Required – Emergency</w:t>
            </w:r>
          </w:p>
          <w:p w:rsidR="000A0781" w:rsidRPr="000A0781" w:rsidRDefault="000A0781" w:rsidP="008C29CA">
            <w:pPr>
              <w:pStyle w:val="NoSpacing"/>
              <w:rPr>
                <w:rFonts w:ascii="Arial Narrow" w:hAnsi="Arial Narrow"/>
                <w:sz w:val="20"/>
                <w:szCs w:val="20"/>
              </w:rPr>
            </w:pPr>
            <w:r w:rsidRPr="000A0781">
              <w:rPr>
                <w:rFonts w:ascii="Arial Narrow" w:hAnsi="Arial Narrow"/>
                <w:sz w:val="20"/>
                <w:szCs w:val="20"/>
              </w:rPr>
              <w:fldChar w:fldCharType="begin">
                <w:ffData>
                  <w:name w:val="Check1"/>
                  <w:enabled/>
                  <w:calcOnExit w:val="0"/>
                  <w:checkBox>
                    <w:sizeAuto/>
                    <w:default w:val="0"/>
                  </w:checkBox>
                </w:ffData>
              </w:fldChar>
            </w:r>
            <w:r w:rsidRPr="000A0781">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0A0781">
              <w:rPr>
                <w:rFonts w:ascii="Arial Narrow" w:hAnsi="Arial Narrow"/>
                <w:sz w:val="20"/>
                <w:szCs w:val="20"/>
              </w:rPr>
              <w:fldChar w:fldCharType="end"/>
            </w:r>
            <w:r w:rsidRPr="000A0781">
              <w:rPr>
                <w:rFonts w:ascii="Arial Narrow" w:hAnsi="Arial Narrow"/>
                <w:sz w:val="20"/>
                <w:szCs w:val="20"/>
              </w:rPr>
              <w:t>Authority Required - Electronic</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fldChar w:fldCharType="begin">
                <w:ffData>
                  <w:name w:val="Check5"/>
                  <w:enabled/>
                  <w:calcOnExit w:val="0"/>
                  <w:checkBox>
                    <w:sizeAuto/>
                    <w:default w:val="1"/>
                  </w:checkBox>
                </w:ffData>
              </w:fldChar>
            </w:r>
            <w:r w:rsidRPr="00995C36">
              <w:rPr>
                <w:rFonts w:ascii="Arial Narrow" w:hAnsi="Arial Narrow"/>
                <w:sz w:val="20"/>
                <w:szCs w:val="20"/>
              </w:rPr>
              <w:instrText xml:space="preserve"> FORMCHECKBOX </w:instrText>
            </w:r>
            <w:r w:rsidR="006F59BC">
              <w:rPr>
                <w:rFonts w:ascii="Arial Narrow" w:hAnsi="Arial Narrow"/>
                <w:sz w:val="20"/>
                <w:szCs w:val="20"/>
              </w:rPr>
            </w:r>
            <w:r w:rsidR="006F59BC">
              <w:rPr>
                <w:rFonts w:ascii="Arial Narrow" w:hAnsi="Arial Narrow"/>
                <w:sz w:val="20"/>
                <w:szCs w:val="20"/>
              </w:rPr>
              <w:fldChar w:fldCharType="separate"/>
            </w:r>
            <w:r w:rsidRPr="00995C36">
              <w:rPr>
                <w:rFonts w:ascii="Arial Narrow" w:hAnsi="Arial Narrow"/>
                <w:sz w:val="20"/>
                <w:szCs w:val="20"/>
              </w:rPr>
              <w:fldChar w:fldCharType="end"/>
            </w:r>
            <w:r w:rsidRPr="00995C36">
              <w:rPr>
                <w:rFonts w:ascii="Arial Narrow" w:hAnsi="Arial Narrow"/>
                <w:sz w:val="20"/>
                <w:szCs w:val="20"/>
              </w:rPr>
              <w:t>Streamlined</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sz w:val="20"/>
                <w:szCs w:val="20"/>
              </w:rPr>
            </w:pPr>
            <w:r w:rsidRPr="00995C36">
              <w:rPr>
                <w:rFonts w:ascii="Arial Narrow" w:hAnsi="Arial Narrow"/>
                <w:b/>
                <w:sz w:val="20"/>
                <w:szCs w:val="20"/>
              </w:rPr>
              <w:t>Clinical criteria:</w:t>
            </w:r>
          </w:p>
          <w:p w:rsidR="000A0781" w:rsidRPr="00995C36" w:rsidRDefault="000A0781" w:rsidP="008C29CA">
            <w:pPr>
              <w:pStyle w:val="NoSpacing"/>
              <w:rPr>
                <w:rFonts w:ascii="Arial Narrow" w:hAnsi="Arial Narrow"/>
                <w:i/>
                <w:sz w:val="20"/>
                <w:szCs w:val="20"/>
              </w:rPr>
            </w:pPr>
          </w:p>
          <w:p w:rsidR="000A0781" w:rsidRPr="00995C36" w:rsidRDefault="000A0781" w:rsidP="008C29CA">
            <w:pPr>
              <w:pStyle w:val="NoSpacing"/>
              <w:rPr>
                <w:rFonts w:ascii="Arial Narrow" w:hAnsi="Arial Narrow"/>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lang w:val="en-US"/>
              </w:rPr>
            </w:pPr>
            <w:r w:rsidRPr="00995C36">
              <w:rPr>
                <w:rFonts w:ascii="Arial Narrow" w:hAnsi="Arial Narrow"/>
                <w:sz w:val="20"/>
                <w:szCs w:val="20"/>
                <w:lang w:val="en-US"/>
              </w:rPr>
              <w:t>The treatment must be in combination with rituximab,</w:t>
            </w:r>
          </w:p>
          <w:p w:rsidR="000A0781" w:rsidRPr="00995C36" w:rsidRDefault="000A0781" w:rsidP="008C29CA">
            <w:pPr>
              <w:pStyle w:val="NoSpacing"/>
              <w:rPr>
                <w:rFonts w:ascii="Arial Narrow" w:hAnsi="Arial Narrow"/>
                <w:sz w:val="20"/>
                <w:szCs w:val="20"/>
                <w:lang w:val="en-US"/>
              </w:rPr>
            </w:pPr>
            <w:r w:rsidRPr="00995C36">
              <w:rPr>
                <w:rFonts w:ascii="Arial Narrow" w:hAnsi="Arial Narrow"/>
                <w:sz w:val="20"/>
                <w:szCs w:val="20"/>
                <w:lang w:val="en-US"/>
              </w:rPr>
              <w:t>AND</w:t>
            </w:r>
          </w:p>
          <w:p w:rsidR="000A0781" w:rsidRPr="00995C36" w:rsidRDefault="000A0781" w:rsidP="008C29CA">
            <w:pPr>
              <w:pStyle w:val="NoSpacing"/>
              <w:rPr>
                <w:rFonts w:ascii="Arial Narrow" w:hAnsi="Arial Narrow"/>
                <w:sz w:val="20"/>
                <w:szCs w:val="20"/>
                <w:lang w:val="en-US"/>
              </w:rPr>
            </w:pPr>
            <w:r w:rsidRPr="00995C36">
              <w:rPr>
                <w:rFonts w:ascii="Arial Narrow" w:hAnsi="Arial Narrow"/>
                <w:sz w:val="20"/>
                <w:szCs w:val="20"/>
                <w:lang w:val="en-US"/>
              </w:rPr>
              <w:t>The condition must be previously untreated,</w:t>
            </w:r>
          </w:p>
          <w:p w:rsidR="000A0781" w:rsidRPr="00995C36" w:rsidRDefault="000A0781" w:rsidP="008C29CA">
            <w:pPr>
              <w:pStyle w:val="NoSpacing"/>
              <w:rPr>
                <w:rFonts w:ascii="Arial Narrow" w:hAnsi="Arial Narrow"/>
                <w:sz w:val="20"/>
                <w:szCs w:val="20"/>
                <w:lang w:val="en-US"/>
              </w:rPr>
            </w:pPr>
            <w:r w:rsidRPr="00995C36">
              <w:rPr>
                <w:rFonts w:ascii="Arial Narrow" w:hAnsi="Arial Narrow"/>
                <w:sz w:val="20"/>
                <w:szCs w:val="20"/>
                <w:lang w:val="en-US"/>
              </w:rPr>
              <w:t>AND</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The condition must be symptomatic,</w:t>
            </w:r>
          </w:p>
          <w:p w:rsidR="000A0781" w:rsidRPr="00995C36" w:rsidRDefault="000A0781" w:rsidP="008C29CA">
            <w:pPr>
              <w:pStyle w:val="NoSpacing"/>
              <w:rPr>
                <w:rFonts w:ascii="Arial Narrow" w:hAnsi="Arial Narrow"/>
                <w:sz w:val="20"/>
                <w:szCs w:val="20"/>
                <w:lang w:val="en-US"/>
              </w:rPr>
            </w:pPr>
            <w:r w:rsidRPr="00995C36">
              <w:rPr>
                <w:rFonts w:ascii="Arial Narrow" w:hAnsi="Arial Narrow"/>
                <w:sz w:val="20"/>
                <w:szCs w:val="20"/>
                <w:lang w:val="en-US"/>
              </w:rPr>
              <w:t>AND</w:t>
            </w:r>
          </w:p>
          <w:p w:rsidR="000A0781" w:rsidRPr="000A0781" w:rsidRDefault="000A0781" w:rsidP="008C29CA">
            <w:pPr>
              <w:pStyle w:val="NoSpacing"/>
              <w:rPr>
                <w:rFonts w:ascii="Arial Narrow" w:hAnsi="Arial Narrow"/>
                <w:i/>
                <w:sz w:val="20"/>
                <w:szCs w:val="20"/>
                <w:lang w:val="en-US"/>
              </w:rPr>
            </w:pPr>
            <w:r w:rsidRPr="000A0781">
              <w:rPr>
                <w:rFonts w:ascii="Arial Narrow" w:hAnsi="Arial Narrow"/>
                <w:i/>
                <w:sz w:val="20"/>
                <w:szCs w:val="20"/>
                <w:lang w:val="en-US"/>
              </w:rPr>
              <w:t>The treatment must be for induction treatment purposes only,</w:t>
            </w:r>
          </w:p>
          <w:p w:rsidR="000A0781" w:rsidRPr="00995C36" w:rsidRDefault="000A0781" w:rsidP="008C29CA">
            <w:pPr>
              <w:pStyle w:val="NoSpacing"/>
              <w:rPr>
                <w:rFonts w:ascii="Arial Narrow" w:hAnsi="Arial Narrow"/>
                <w:i/>
                <w:sz w:val="20"/>
                <w:szCs w:val="20"/>
              </w:rPr>
            </w:pPr>
            <w:r w:rsidRPr="00995C36">
              <w:rPr>
                <w:rFonts w:ascii="Arial Narrow" w:hAnsi="Arial Narrow"/>
                <w:i/>
                <w:sz w:val="20"/>
                <w:szCs w:val="20"/>
                <w:lang w:val="en-US"/>
              </w:rPr>
              <w:t>AND</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Patient must not receive more than 6 cycles (12 doses) of treatment under this restriction</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AND</w:t>
            </w:r>
          </w:p>
          <w:p w:rsidR="000A0781" w:rsidRPr="00995C36" w:rsidRDefault="000A0781" w:rsidP="008C29CA">
            <w:pPr>
              <w:pStyle w:val="NoSpacing"/>
              <w:rPr>
                <w:rFonts w:ascii="Arial Narrow" w:hAnsi="Arial Narrow"/>
                <w:sz w:val="20"/>
                <w:szCs w:val="20"/>
              </w:rPr>
            </w:pPr>
            <w:r w:rsidRPr="00995C36">
              <w:rPr>
                <w:rFonts w:ascii="Arial Narrow" w:hAnsi="Arial Narrow"/>
                <w:sz w:val="20"/>
                <w:szCs w:val="20"/>
              </w:rPr>
              <w:t>The patient must not be eligible for stem cell transplantation.</w:t>
            </w:r>
          </w:p>
        </w:tc>
      </w:tr>
      <w:tr w:rsidR="000A0781" w:rsidRPr="00995C36" w:rsidTr="008C29C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b/>
                <w:i/>
                <w:sz w:val="20"/>
                <w:szCs w:val="20"/>
              </w:rPr>
            </w:pPr>
            <w:r w:rsidRPr="00995C36">
              <w:rPr>
                <w:rFonts w:ascii="Arial Narrow" w:hAnsi="Arial Narrow"/>
                <w:b/>
                <w:i/>
                <w:sz w:val="20"/>
                <w:szCs w:val="20"/>
              </w:rPr>
              <w:t>Administrative Advice</w:t>
            </w:r>
          </w:p>
        </w:tc>
        <w:tc>
          <w:tcPr>
            <w:tcW w:w="6520" w:type="dxa"/>
            <w:gridSpan w:val="6"/>
            <w:tcBorders>
              <w:top w:val="single" w:sz="4" w:space="0" w:color="auto"/>
              <w:left w:val="single" w:sz="4" w:space="0" w:color="auto"/>
              <w:bottom w:val="single" w:sz="4" w:space="0" w:color="auto"/>
              <w:right w:val="single" w:sz="4" w:space="0" w:color="auto"/>
            </w:tcBorders>
          </w:tcPr>
          <w:p w:rsidR="000A0781" w:rsidRPr="00995C36" w:rsidRDefault="000A0781" w:rsidP="008C29CA">
            <w:pPr>
              <w:pStyle w:val="NoSpacing"/>
              <w:rPr>
                <w:rFonts w:ascii="Arial Narrow" w:hAnsi="Arial Narrow"/>
                <w:sz w:val="20"/>
                <w:szCs w:val="20"/>
                <w:lang w:val="en-US"/>
              </w:rPr>
            </w:pPr>
            <w:r w:rsidRPr="00995C36">
              <w:rPr>
                <w:rFonts w:ascii="Arial Narrow" w:hAnsi="Arial Narrow"/>
                <w:sz w:val="20"/>
                <w:szCs w:val="20"/>
                <w:lang w:val="en-US"/>
              </w:rPr>
              <w:t>No increase in the maximum number of repeats may be authorized</w:t>
            </w:r>
          </w:p>
        </w:tc>
      </w:tr>
    </w:tbl>
    <w:p w:rsidR="00AE2115" w:rsidRPr="006C307E" w:rsidRDefault="00AE2115" w:rsidP="00AE2115">
      <w:pPr>
        <w:widowControl w:val="0"/>
        <w:contextualSpacing/>
        <w:jc w:val="both"/>
        <w:rPr>
          <w:rFonts w:ascii="Arial" w:hAnsi="Arial" w:cs="Arial"/>
          <w:bCs/>
          <w:snapToGrid w:val="0"/>
          <w:sz w:val="22"/>
          <w:szCs w:val="22"/>
        </w:rPr>
      </w:pPr>
    </w:p>
    <w:p w:rsidR="00AE2115" w:rsidRDefault="00AE2115" w:rsidP="00AE2115">
      <w:pPr>
        <w:pStyle w:val="NoSpacing"/>
        <w:rPr>
          <w:lang w:val="en-GB"/>
        </w:rPr>
      </w:pPr>
    </w:p>
    <w:p w:rsidR="00C74C5E" w:rsidRPr="00E251C8" w:rsidRDefault="00C74C5E" w:rsidP="00C74C5E">
      <w:pPr>
        <w:rPr>
          <w:rFonts w:ascii="Arial" w:hAnsi="Arial" w:cs="Arial"/>
          <w:b/>
          <w:bCs/>
          <w:sz w:val="22"/>
          <w:szCs w:val="22"/>
          <w:lang w:val="en-GB"/>
        </w:rPr>
      </w:pPr>
      <w:r w:rsidRPr="00E251C8">
        <w:rPr>
          <w:rFonts w:ascii="Arial" w:hAnsi="Arial" w:cs="Arial"/>
          <w:b/>
          <w:bCs/>
          <w:sz w:val="22"/>
          <w:szCs w:val="22"/>
          <w:lang w:val="en-GB"/>
        </w:rPr>
        <w:t>9</w:t>
      </w:r>
      <w:r w:rsidRPr="00E251C8">
        <w:rPr>
          <w:rFonts w:ascii="Arial" w:hAnsi="Arial" w:cs="Arial"/>
          <w:b/>
          <w:bCs/>
          <w:sz w:val="22"/>
          <w:szCs w:val="22"/>
          <w:lang w:val="en-GB"/>
        </w:rPr>
        <w:tab/>
        <w:t xml:space="preserve">Context for Decision </w:t>
      </w:r>
    </w:p>
    <w:p w:rsidR="00C74C5E" w:rsidRPr="00E251C8" w:rsidRDefault="00C74C5E" w:rsidP="00C74C5E">
      <w:pPr>
        <w:rPr>
          <w:rFonts w:ascii="Arial" w:hAnsi="Arial" w:cs="Arial"/>
          <w:sz w:val="22"/>
          <w:szCs w:val="22"/>
        </w:rPr>
      </w:pPr>
    </w:p>
    <w:p w:rsidR="00C74C5E" w:rsidRPr="00E251C8" w:rsidRDefault="00C74C5E" w:rsidP="00E251C8">
      <w:pPr>
        <w:ind w:left="709"/>
        <w:rPr>
          <w:rFonts w:ascii="Arial" w:hAnsi="Arial" w:cs="Arial"/>
          <w:sz w:val="22"/>
          <w:szCs w:val="22"/>
        </w:rPr>
      </w:pPr>
      <w:r w:rsidRPr="00E251C8">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74C5E" w:rsidRPr="00E251C8" w:rsidRDefault="00C74C5E" w:rsidP="00C74C5E">
      <w:pPr>
        <w:rPr>
          <w:rFonts w:ascii="Arial" w:hAnsi="Arial" w:cs="Arial"/>
          <w:sz w:val="22"/>
          <w:szCs w:val="22"/>
        </w:rPr>
      </w:pPr>
    </w:p>
    <w:p w:rsidR="00C74C5E" w:rsidRPr="00E251C8" w:rsidRDefault="00C74C5E" w:rsidP="00C74C5E">
      <w:pPr>
        <w:rPr>
          <w:rFonts w:ascii="Arial" w:hAnsi="Arial" w:cs="Arial"/>
          <w:sz w:val="22"/>
          <w:szCs w:val="22"/>
        </w:rPr>
      </w:pPr>
    </w:p>
    <w:p w:rsidR="00C74C5E" w:rsidRPr="00E251C8" w:rsidRDefault="00C74C5E" w:rsidP="00C74C5E">
      <w:pPr>
        <w:rPr>
          <w:rFonts w:ascii="Arial" w:hAnsi="Arial" w:cs="Arial"/>
          <w:b/>
          <w:sz w:val="22"/>
          <w:szCs w:val="22"/>
        </w:rPr>
      </w:pPr>
      <w:r w:rsidRPr="00E251C8">
        <w:rPr>
          <w:rFonts w:ascii="Arial" w:hAnsi="Arial" w:cs="Arial"/>
          <w:b/>
          <w:sz w:val="22"/>
          <w:szCs w:val="22"/>
        </w:rPr>
        <w:t>10</w:t>
      </w:r>
      <w:r w:rsidRPr="00E251C8">
        <w:rPr>
          <w:rFonts w:ascii="Arial" w:hAnsi="Arial" w:cs="Arial"/>
          <w:b/>
          <w:sz w:val="22"/>
          <w:szCs w:val="22"/>
        </w:rPr>
        <w:tab/>
        <w:t xml:space="preserve"> Sponsor’s Comment</w:t>
      </w:r>
    </w:p>
    <w:p w:rsidR="003872CF" w:rsidRPr="00E91BF2" w:rsidRDefault="003872CF" w:rsidP="001F45DF">
      <w:pPr>
        <w:jc w:val="both"/>
        <w:rPr>
          <w:rFonts w:ascii="Arial" w:hAnsi="Arial" w:cs="Arial"/>
          <w:sz w:val="22"/>
          <w:szCs w:val="22"/>
        </w:rPr>
      </w:pPr>
    </w:p>
    <w:p w:rsidR="004271A1" w:rsidRDefault="00D7396A" w:rsidP="000E0B9F">
      <w:pPr>
        <w:ind w:left="720"/>
        <w:rPr>
          <w:rFonts w:ascii="Arial" w:hAnsi="Arial" w:cs="Arial"/>
        </w:rPr>
      </w:pPr>
      <w:r w:rsidRPr="00820F1E">
        <w:rPr>
          <w:rFonts w:ascii="Arial" w:hAnsi="Arial" w:cs="Arial"/>
        </w:rPr>
        <w:t xml:space="preserve">Janssen is pleased the PBAC recognised that bendamustine in combination with rituximab is superior to R-CHOP in terms of comparative efficacy and safety. Additionally the PBAC recognised that listing bendamustine on the PBS </w:t>
      </w:r>
      <w:r w:rsidR="004271A1">
        <w:rPr>
          <w:rFonts w:ascii="Arial" w:hAnsi="Arial" w:cs="Arial"/>
          <w:sz w:val="22"/>
          <w:szCs w:val="22"/>
        </w:rPr>
        <w:t>could reasonably be expected to</w:t>
      </w:r>
      <w:r w:rsidR="004271A1" w:rsidRPr="00F621C4">
        <w:rPr>
          <w:rFonts w:ascii="Arial" w:hAnsi="Arial" w:cs="Arial"/>
          <w:sz w:val="22"/>
          <w:szCs w:val="22"/>
        </w:rPr>
        <w:t xml:space="preserve"> result in cost savings to the Commonwealth</w:t>
      </w:r>
      <w:r w:rsidRPr="00820F1E">
        <w:rPr>
          <w:rFonts w:ascii="Arial" w:hAnsi="Arial" w:cs="Arial"/>
        </w:rPr>
        <w:t xml:space="preserve">. </w:t>
      </w:r>
    </w:p>
    <w:p w:rsidR="000E0B9F" w:rsidRDefault="000E0B9F" w:rsidP="000E0B9F">
      <w:pPr>
        <w:ind w:left="720"/>
        <w:rPr>
          <w:rFonts w:ascii="Arial" w:hAnsi="Arial" w:cs="Arial"/>
        </w:rPr>
      </w:pPr>
    </w:p>
    <w:p w:rsidR="004271A1" w:rsidRDefault="004271A1" w:rsidP="000E0B9F">
      <w:pPr>
        <w:ind w:left="720"/>
        <w:rPr>
          <w:rFonts w:ascii="Arial" w:hAnsi="Arial" w:cs="Arial"/>
        </w:rPr>
      </w:pPr>
      <w:r>
        <w:rPr>
          <w:rFonts w:ascii="Arial" w:hAnsi="Arial" w:cs="Arial"/>
        </w:rPr>
        <w:t xml:space="preserve">Janssen has no issue in principle with risk-sharing arrangements as a mechanism to share and manage uncertainty. However, the proposed arrangement places the burden of risk of use outside the intended population </w:t>
      </w:r>
      <w:r>
        <w:rPr>
          <w:rFonts w:ascii="Arial" w:hAnsi="Arial" w:cs="Arial"/>
        </w:rPr>
        <w:lastRenderedPageBreak/>
        <w:t>entirely on the Sponsor. Further, it places cost containment measures on the Sponsor for use that is greater than forecast but still within the intended population. </w:t>
      </w:r>
    </w:p>
    <w:p w:rsidR="0097776B" w:rsidRDefault="0097776B" w:rsidP="001F45DF">
      <w:pPr>
        <w:jc w:val="both"/>
        <w:rPr>
          <w:rFonts w:ascii="Arial" w:hAnsi="Arial"/>
          <w:sz w:val="22"/>
          <w:szCs w:val="22"/>
        </w:rPr>
      </w:pPr>
    </w:p>
    <w:p w:rsidR="004271A1" w:rsidRDefault="004271A1" w:rsidP="000E0B9F">
      <w:pPr>
        <w:ind w:left="720"/>
      </w:pPr>
      <w:r>
        <w:rPr>
          <w:rFonts w:ascii="Arial" w:hAnsi="Arial" w:cs="Arial"/>
        </w:rPr>
        <w:t>Janssen is currently working through the issues with the Department of Health.</w:t>
      </w:r>
    </w:p>
    <w:p w:rsidR="004271A1" w:rsidRPr="00D84934" w:rsidRDefault="004271A1" w:rsidP="001F45DF">
      <w:pPr>
        <w:jc w:val="both"/>
        <w:rPr>
          <w:rFonts w:ascii="Arial" w:hAnsi="Arial"/>
          <w:sz w:val="22"/>
          <w:szCs w:val="22"/>
        </w:rPr>
      </w:pPr>
    </w:p>
    <w:sectPr w:rsidR="004271A1" w:rsidRPr="00D84934" w:rsidSect="00C27B58">
      <w:headerReference w:type="even" r:id="rId11"/>
      <w:headerReference w:type="default" r:id="rId12"/>
      <w:footerReference w:type="even" r:id="rId13"/>
      <w:footerReference w:type="defaul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31D" w:rsidRDefault="000E331D">
      <w:r>
        <w:separator/>
      </w:r>
    </w:p>
    <w:p w:rsidR="000E331D" w:rsidRDefault="000E331D"/>
  </w:endnote>
  <w:endnote w:type="continuationSeparator" w:id="0">
    <w:p w:rsidR="000E331D" w:rsidRDefault="000E331D">
      <w:r>
        <w:continuationSeparator/>
      </w:r>
    </w:p>
    <w:p w:rsidR="000E331D" w:rsidRDefault="000E3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25B7F" w:rsidTr="005A3173">
      <w:trPr>
        <w:trHeight w:val="151"/>
      </w:trPr>
      <w:tc>
        <w:tcPr>
          <w:tcW w:w="2250" w:type="pct"/>
          <w:tcBorders>
            <w:top w:val="nil"/>
            <w:left w:val="nil"/>
            <w:bottom w:val="single" w:sz="4" w:space="0" w:color="4F81BD"/>
            <w:right w:val="nil"/>
          </w:tcBorders>
        </w:tcPr>
        <w:p w:rsidR="00B25B7F" w:rsidRPr="005A3173" w:rsidRDefault="00B25B7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B7F" w:rsidRPr="005A3173" w:rsidRDefault="00B25B7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B7F" w:rsidRPr="005A3173" w:rsidRDefault="00B25B7F" w:rsidP="005A3173">
          <w:pPr>
            <w:pStyle w:val="Header"/>
            <w:spacing w:line="276" w:lineRule="auto"/>
            <w:rPr>
              <w:rFonts w:ascii="Calibri" w:eastAsia="MS Gothic" w:hAnsi="Calibri"/>
              <w:b/>
              <w:bCs/>
              <w:color w:val="4F81BD"/>
            </w:rPr>
          </w:pPr>
        </w:p>
      </w:tc>
    </w:tr>
    <w:tr w:rsidR="00B25B7F" w:rsidTr="005A3173">
      <w:trPr>
        <w:trHeight w:val="150"/>
      </w:trPr>
      <w:tc>
        <w:tcPr>
          <w:tcW w:w="2250" w:type="pct"/>
          <w:tcBorders>
            <w:top w:val="single" w:sz="4" w:space="0" w:color="4F81BD"/>
            <w:left w:val="nil"/>
            <w:bottom w:val="nil"/>
            <w:right w:val="nil"/>
          </w:tcBorders>
        </w:tcPr>
        <w:p w:rsidR="00B25B7F" w:rsidRPr="005A3173" w:rsidRDefault="00B25B7F" w:rsidP="005A3173">
          <w:pPr>
            <w:pStyle w:val="Header"/>
            <w:spacing w:line="276" w:lineRule="auto"/>
            <w:rPr>
              <w:rFonts w:ascii="Calibri" w:eastAsia="MS Gothic" w:hAnsi="Calibri"/>
              <w:b/>
              <w:bCs/>
              <w:color w:val="4F81BD"/>
            </w:rPr>
          </w:pPr>
        </w:p>
      </w:tc>
      <w:tc>
        <w:tcPr>
          <w:tcW w:w="0" w:type="auto"/>
          <w:vMerge/>
          <w:vAlign w:val="center"/>
          <w:hideMark/>
        </w:tcPr>
        <w:p w:rsidR="00B25B7F" w:rsidRPr="005A3173" w:rsidRDefault="00B25B7F"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B7F" w:rsidRPr="005A3173" w:rsidRDefault="00B25B7F" w:rsidP="005A3173">
          <w:pPr>
            <w:pStyle w:val="Header"/>
            <w:spacing w:line="276" w:lineRule="auto"/>
            <w:rPr>
              <w:rFonts w:ascii="Calibri" w:eastAsia="MS Gothic" w:hAnsi="Calibri"/>
              <w:b/>
              <w:bCs/>
              <w:color w:val="4F81BD"/>
            </w:rPr>
          </w:pPr>
        </w:p>
      </w:tc>
    </w:tr>
  </w:tbl>
  <w:p w:rsidR="00B25B7F" w:rsidRDefault="00B25B7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B7F" w:rsidRDefault="00B25B7F">
    <w:pPr>
      <w:pStyle w:val="Footer"/>
    </w:pPr>
  </w:p>
  <w:p w:rsidR="00B25B7F" w:rsidRDefault="00B25B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B7F" w:rsidRDefault="00B25B7F" w:rsidP="00EF44A0">
    <w:pPr>
      <w:pStyle w:val="Footer"/>
      <w:jc w:val="center"/>
      <w:rPr>
        <w:rFonts w:ascii="Arial" w:hAnsi="Arial" w:cs="Arial"/>
        <w:b/>
        <w:sz w:val="20"/>
        <w:szCs w:val="20"/>
      </w:rPr>
    </w:pPr>
  </w:p>
  <w:p w:rsidR="00B25B7F" w:rsidRPr="00651169" w:rsidRDefault="00B25B7F" w:rsidP="00AE2115">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6F59BC">
      <w:rPr>
        <w:rFonts w:ascii="Arial" w:hAnsi="Arial" w:cs="Arial"/>
        <w:noProof/>
        <w:sz w:val="20"/>
        <w:szCs w:val="20"/>
      </w:rPr>
      <w:t>1</w:t>
    </w:r>
    <w:r w:rsidRPr="00651169">
      <w:rPr>
        <w:rFonts w:ascii="Arial" w:hAnsi="Arial" w:cs="Arial"/>
        <w:noProof/>
        <w:sz w:val="20"/>
        <w:szCs w:val="20"/>
      </w:rPr>
      <w:fldChar w:fldCharType="end"/>
    </w:r>
  </w:p>
  <w:p w:rsidR="00B25B7F" w:rsidRDefault="00B25B7F"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25B7F" w:rsidTr="005A3173">
      <w:trPr>
        <w:trHeight w:val="151"/>
      </w:trPr>
      <w:tc>
        <w:tcPr>
          <w:tcW w:w="2250" w:type="pct"/>
          <w:tcBorders>
            <w:top w:val="nil"/>
            <w:left w:val="nil"/>
            <w:bottom w:val="single" w:sz="4" w:space="0" w:color="4F81BD"/>
            <w:right w:val="nil"/>
          </w:tcBorders>
        </w:tcPr>
        <w:p w:rsidR="00B25B7F" w:rsidRPr="005A3173" w:rsidRDefault="00B25B7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B7F" w:rsidRPr="005A3173" w:rsidRDefault="00B25B7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B7F" w:rsidRPr="005A3173" w:rsidRDefault="00B25B7F" w:rsidP="005A3173">
          <w:pPr>
            <w:pStyle w:val="Header"/>
            <w:spacing w:line="276" w:lineRule="auto"/>
            <w:rPr>
              <w:rFonts w:ascii="Calibri" w:eastAsia="MS Gothic" w:hAnsi="Calibri"/>
              <w:b/>
              <w:bCs/>
              <w:color w:val="4F81BD"/>
            </w:rPr>
          </w:pPr>
        </w:p>
      </w:tc>
    </w:tr>
    <w:tr w:rsidR="00B25B7F" w:rsidTr="005A3173">
      <w:trPr>
        <w:trHeight w:val="150"/>
      </w:trPr>
      <w:tc>
        <w:tcPr>
          <w:tcW w:w="2250" w:type="pct"/>
          <w:tcBorders>
            <w:top w:val="single" w:sz="4" w:space="0" w:color="4F81BD"/>
            <w:left w:val="nil"/>
            <w:bottom w:val="nil"/>
            <w:right w:val="nil"/>
          </w:tcBorders>
        </w:tcPr>
        <w:p w:rsidR="00B25B7F" w:rsidRPr="005A3173" w:rsidRDefault="00B25B7F" w:rsidP="005A3173">
          <w:pPr>
            <w:pStyle w:val="Header"/>
            <w:spacing w:line="276" w:lineRule="auto"/>
            <w:rPr>
              <w:rFonts w:ascii="Calibri" w:eastAsia="MS Gothic" w:hAnsi="Calibri"/>
              <w:b/>
              <w:bCs/>
              <w:color w:val="4F81BD"/>
            </w:rPr>
          </w:pPr>
        </w:p>
      </w:tc>
      <w:tc>
        <w:tcPr>
          <w:tcW w:w="0" w:type="auto"/>
          <w:vMerge/>
          <w:vAlign w:val="center"/>
          <w:hideMark/>
        </w:tcPr>
        <w:p w:rsidR="00B25B7F" w:rsidRPr="005A3173" w:rsidRDefault="00B25B7F"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B7F" w:rsidRPr="005A3173" w:rsidRDefault="00B25B7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25B7F" w:rsidTr="005A3173">
      <w:trPr>
        <w:trHeight w:val="151"/>
      </w:trPr>
      <w:tc>
        <w:tcPr>
          <w:tcW w:w="2250" w:type="pct"/>
          <w:tcBorders>
            <w:top w:val="nil"/>
            <w:left w:val="nil"/>
            <w:bottom w:val="single" w:sz="4" w:space="0" w:color="4F81BD"/>
            <w:right w:val="nil"/>
          </w:tcBorders>
        </w:tcPr>
        <w:p w:rsidR="00B25B7F" w:rsidRPr="005A3173" w:rsidRDefault="00B25B7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B7F" w:rsidRPr="005A3173" w:rsidRDefault="00B25B7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B7F" w:rsidRPr="005A3173" w:rsidRDefault="00B25B7F" w:rsidP="005A3173">
          <w:pPr>
            <w:pStyle w:val="Header"/>
            <w:spacing w:line="276" w:lineRule="auto"/>
            <w:rPr>
              <w:rFonts w:ascii="Calibri" w:eastAsia="MS Gothic" w:hAnsi="Calibri"/>
              <w:b/>
              <w:bCs/>
              <w:color w:val="4F81BD"/>
            </w:rPr>
          </w:pPr>
        </w:p>
      </w:tc>
    </w:tr>
    <w:tr w:rsidR="00B25B7F" w:rsidTr="005A3173">
      <w:trPr>
        <w:trHeight w:val="150"/>
      </w:trPr>
      <w:tc>
        <w:tcPr>
          <w:tcW w:w="2250" w:type="pct"/>
          <w:tcBorders>
            <w:top w:val="single" w:sz="4" w:space="0" w:color="4F81BD"/>
            <w:left w:val="nil"/>
            <w:bottom w:val="nil"/>
            <w:right w:val="nil"/>
          </w:tcBorders>
        </w:tcPr>
        <w:p w:rsidR="00B25B7F" w:rsidRPr="005A3173" w:rsidRDefault="00B25B7F" w:rsidP="005A3173">
          <w:pPr>
            <w:pStyle w:val="Header"/>
            <w:spacing w:line="276" w:lineRule="auto"/>
            <w:rPr>
              <w:rFonts w:ascii="Calibri" w:eastAsia="MS Gothic" w:hAnsi="Calibri"/>
              <w:b/>
              <w:bCs/>
              <w:color w:val="4F81BD"/>
            </w:rPr>
          </w:pPr>
        </w:p>
      </w:tc>
      <w:tc>
        <w:tcPr>
          <w:tcW w:w="0" w:type="auto"/>
          <w:vMerge/>
          <w:vAlign w:val="center"/>
          <w:hideMark/>
        </w:tcPr>
        <w:p w:rsidR="00B25B7F" w:rsidRPr="005A3173" w:rsidRDefault="00B25B7F"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B7F" w:rsidRPr="005A3173" w:rsidRDefault="00B25B7F" w:rsidP="005A3173">
          <w:pPr>
            <w:pStyle w:val="Header"/>
            <w:spacing w:line="276" w:lineRule="auto"/>
            <w:rPr>
              <w:rFonts w:ascii="Calibri" w:eastAsia="MS Gothic" w:hAnsi="Calibri"/>
              <w:b/>
              <w:bCs/>
              <w:color w:val="4F81BD"/>
            </w:rPr>
          </w:pPr>
        </w:p>
      </w:tc>
    </w:tr>
  </w:tbl>
  <w:p w:rsidR="00B25B7F" w:rsidRPr="007C0F57" w:rsidRDefault="00B25B7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25B7F" w:rsidRPr="007C0F57" w:rsidRDefault="00B25B7F" w:rsidP="007C0F57">
    <w:pPr>
      <w:pStyle w:val="Footer"/>
      <w:jc w:val="center"/>
      <w:rPr>
        <w:b/>
        <w:i/>
        <w:sz w:val="20"/>
        <w:szCs w:val="20"/>
      </w:rPr>
    </w:pPr>
    <w:r w:rsidRPr="007C0F57">
      <w:rPr>
        <w:b/>
        <w:i/>
        <w:sz w:val="20"/>
        <w:szCs w:val="20"/>
      </w:rPr>
      <w:t>Commercial-in-Confidence</w:t>
    </w:r>
  </w:p>
  <w:p w:rsidR="00B25B7F" w:rsidRDefault="00B25B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31D" w:rsidRDefault="000E331D">
      <w:r>
        <w:separator/>
      </w:r>
    </w:p>
    <w:p w:rsidR="000E331D" w:rsidRDefault="000E331D"/>
  </w:footnote>
  <w:footnote w:type="continuationSeparator" w:id="0">
    <w:p w:rsidR="000E331D" w:rsidRDefault="000E331D">
      <w:r>
        <w:continuationSeparator/>
      </w:r>
    </w:p>
    <w:p w:rsidR="000E331D" w:rsidRDefault="000E331D"/>
  </w:footnote>
  <w:footnote w:id="1">
    <w:p w:rsidR="00B25B7F" w:rsidRDefault="00B25B7F" w:rsidP="002D7806">
      <w:pPr>
        <w:pStyle w:val="FootnoteText"/>
      </w:pPr>
      <w:r>
        <w:rPr>
          <w:rStyle w:val="FootnoteReference"/>
        </w:rPr>
        <w:footnoteRef/>
      </w:r>
      <w:r>
        <w:t xml:space="preserve"> </w:t>
      </w:r>
      <w:hyperlink r:id="rId1" w:anchor="outcome3" w:history="1">
        <w:proofErr w:type="gramStart"/>
        <w:r>
          <w:rPr>
            <w:rStyle w:val="Hyperlink"/>
          </w:rPr>
          <w:t>clinicaltrials.gov</w:t>
        </w:r>
        <w:proofErr w:type="gramEnd"/>
        <w:r>
          <w:rPr>
            <w:rStyle w:val="Hyperlink"/>
          </w:rPr>
          <w:t xml:space="preserve"> </w:t>
        </w:r>
        <w:r w:rsidRPr="00E251C8">
          <w:rPr>
            <w:rStyle w:val="Hyperlink"/>
          </w:rPr>
          <w:t>website for BRIGHT study, bendamustine, NCT00877006</w:t>
        </w:r>
      </w:hyperlink>
      <w:r>
        <w:t xml:space="preserve">. </w:t>
      </w:r>
      <w:proofErr w:type="gramStart"/>
      <w:r>
        <w:t>Accessed: 28 May 2015.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25B7F" w:rsidRPr="008E0D90" w:rsidTr="00A06225">
      <w:trPr>
        <w:trHeight w:val="151"/>
      </w:trPr>
      <w:tc>
        <w:tcPr>
          <w:tcW w:w="2389" w:type="pct"/>
          <w:tcBorders>
            <w:top w:val="nil"/>
            <w:left w:val="nil"/>
            <w:bottom w:val="single" w:sz="4" w:space="0" w:color="4F81BD"/>
            <w:right w:val="nil"/>
          </w:tcBorders>
        </w:tcPr>
        <w:p w:rsidR="00B25B7F" w:rsidRPr="00A06225" w:rsidRDefault="00B25B7F">
          <w:pPr>
            <w:pStyle w:val="Header"/>
            <w:spacing w:line="276" w:lineRule="auto"/>
            <w:rPr>
              <w:rFonts w:ascii="Cambria" w:eastAsia="MS Gothic" w:hAnsi="Cambria"/>
              <w:b/>
              <w:bCs/>
              <w:color w:val="4F81BD"/>
            </w:rPr>
          </w:pPr>
        </w:p>
      </w:tc>
      <w:tc>
        <w:tcPr>
          <w:tcW w:w="333" w:type="pct"/>
          <w:vMerge w:val="restart"/>
          <w:noWrap/>
          <w:vAlign w:val="center"/>
          <w:hideMark/>
        </w:tcPr>
        <w:p w:rsidR="00B25B7F" w:rsidRPr="00A06225" w:rsidRDefault="00B25B7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25B7F" w:rsidRPr="00A06225" w:rsidRDefault="00B25B7F">
          <w:pPr>
            <w:pStyle w:val="Header"/>
            <w:spacing w:line="276" w:lineRule="auto"/>
            <w:rPr>
              <w:rFonts w:ascii="Cambria" w:eastAsia="MS Gothic" w:hAnsi="Cambria"/>
              <w:b/>
              <w:bCs/>
              <w:color w:val="4F81BD"/>
            </w:rPr>
          </w:pPr>
        </w:p>
      </w:tc>
    </w:tr>
    <w:tr w:rsidR="00B25B7F" w:rsidRPr="008E0D90" w:rsidTr="00A06225">
      <w:trPr>
        <w:trHeight w:val="150"/>
      </w:trPr>
      <w:tc>
        <w:tcPr>
          <w:tcW w:w="2389" w:type="pct"/>
          <w:tcBorders>
            <w:top w:val="single" w:sz="4" w:space="0" w:color="4F81BD"/>
            <w:left w:val="nil"/>
            <w:bottom w:val="nil"/>
            <w:right w:val="nil"/>
          </w:tcBorders>
        </w:tcPr>
        <w:p w:rsidR="00B25B7F" w:rsidRPr="00A06225" w:rsidRDefault="00B25B7F">
          <w:pPr>
            <w:pStyle w:val="Header"/>
            <w:spacing w:line="276" w:lineRule="auto"/>
            <w:rPr>
              <w:rFonts w:ascii="Cambria" w:eastAsia="MS Gothic" w:hAnsi="Cambria"/>
              <w:b/>
              <w:bCs/>
              <w:color w:val="4F81BD"/>
            </w:rPr>
          </w:pPr>
        </w:p>
      </w:tc>
      <w:tc>
        <w:tcPr>
          <w:tcW w:w="0" w:type="auto"/>
          <w:vMerge/>
          <w:vAlign w:val="center"/>
          <w:hideMark/>
        </w:tcPr>
        <w:p w:rsidR="00B25B7F" w:rsidRPr="00A06225" w:rsidRDefault="00B25B7F">
          <w:pPr>
            <w:rPr>
              <w:rFonts w:ascii="Cambria" w:hAnsi="Cambria"/>
              <w:color w:val="4F81BD"/>
              <w:sz w:val="22"/>
              <w:szCs w:val="22"/>
            </w:rPr>
          </w:pPr>
        </w:p>
      </w:tc>
      <w:tc>
        <w:tcPr>
          <w:tcW w:w="2278" w:type="pct"/>
          <w:tcBorders>
            <w:top w:val="single" w:sz="4" w:space="0" w:color="4F81BD"/>
            <w:left w:val="nil"/>
            <w:bottom w:val="nil"/>
            <w:right w:val="nil"/>
          </w:tcBorders>
        </w:tcPr>
        <w:p w:rsidR="00B25B7F" w:rsidRPr="00A06225" w:rsidRDefault="00B25B7F">
          <w:pPr>
            <w:pStyle w:val="Header"/>
            <w:spacing w:line="276" w:lineRule="auto"/>
            <w:rPr>
              <w:rFonts w:ascii="Cambria" w:eastAsia="MS Gothic" w:hAnsi="Cambria"/>
              <w:b/>
              <w:bCs/>
              <w:color w:val="4F81BD"/>
            </w:rPr>
          </w:pPr>
        </w:p>
      </w:tc>
    </w:tr>
  </w:tbl>
  <w:p w:rsidR="00B25B7F" w:rsidRDefault="00B25B7F">
    <w:pPr>
      <w:pStyle w:val="Header"/>
    </w:pPr>
  </w:p>
  <w:p w:rsidR="00B25B7F" w:rsidRDefault="00B25B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B7F" w:rsidRPr="00DF217D" w:rsidRDefault="00B25B7F" w:rsidP="00AE2115">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B25B7F" w:rsidRDefault="00B25B7F"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61"/>
    <w:multiLevelType w:val="hybridMultilevel"/>
    <w:tmpl w:val="C3648398"/>
    <w:lvl w:ilvl="0" w:tplc="57609244">
      <w:start w:val="3"/>
      <w:numFmt w:val="bullet"/>
      <w:lvlText w:val="-"/>
      <w:lvlJc w:val="left"/>
      <w:pPr>
        <w:ind w:left="720" w:hanging="360"/>
      </w:pPr>
      <w:rPr>
        <w:rFonts w:ascii="Arial Narrow" w:eastAsia="Times New Roman" w:hAnsi="Arial Narro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3866CC1"/>
    <w:multiLevelType w:val="hybridMultilevel"/>
    <w:tmpl w:val="E6748EB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nsid w:val="06825A2E"/>
    <w:multiLevelType w:val="hybridMultilevel"/>
    <w:tmpl w:val="D4929A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85B3CF1"/>
    <w:multiLevelType w:val="hybridMultilevel"/>
    <w:tmpl w:val="2C50691E"/>
    <w:lvl w:ilvl="0" w:tplc="EA5ECED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0AEB09D1"/>
    <w:multiLevelType w:val="hybridMultilevel"/>
    <w:tmpl w:val="8AD4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11">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2">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nsid w:val="16917694"/>
    <w:multiLevelType w:val="hybridMultilevel"/>
    <w:tmpl w:val="CA7ED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7">
    <w:nsid w:val="1E8A570F"/>
    <w:multiLevelType w:val="hybridMultilevel"/>
    <w:tmpl w:val="372847C2"/>
    <w:lvl w:ilvl="0" w:tplc="5D4EED54">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9">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1">
    <w:nsid w:val="2ACD4130"/>
    <w:multiLevelType w:val="hybridMultilevel"/>
    <w:tmpl w:val="0E0E9D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2CB314F2"/>
    <w:multiLevelType w:val="hybridMultilevel"/>
    <w:tmpl w:val="5ECA098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6">
    <w:nsid w:val="35845709"/>
    <w:multiLevelType w:val="hybridMultilevel"/>
    <w:tmpl w:val="98928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863BC8"/>
    <w:multiLevelType w:val="hybridMultilevel"/>
    <w:tmpl w:val="352EA038"/>
    <w:lvl w:ilvl="0" w:tplc="22D238BE">
      <w:start w:val="3"/>
      <w:numFmt w:val="bullet"/>
      <w:lvlText w:val="-"/>
      <w:lvlJc w:val="left"/>
      <w:pPr>
        <w:ind w:left="1080" w:hanging="360"/>
      </w:pPr>
      <w:rPr>
        <w:rFonts w:ascii="Arial" w:eastAsia="SimSu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30">
    <w:nsid w:val="3CB657C1"/>
    <w:multiLevelType w:val="hybridMultilevel"/>
    <w:tmpl w:val="A4106616"/>
    <w:lvl w:ilvl="0" w:tplc="68D42E88">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32">
    <w:nsid w:val="42E930F3"/>
    <w:multiLevelType w:val="hybridMultilevel"/>
    <w:tmpl w:val="0B7CD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44A52491"/>
    <w:multiLevelType w:val="hybridMultilevel"/>
    <w:tmpl w:val="F412DF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475F4E8A"/>
    <w:multiLevelType w:val="hybridMultilevel"/>
    <w:tmpl w:val="A6C8DD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49087361"/>
    <w:multiLevelType w:val="hybridMultilevel"/>
    <w:tmpl w:val="C1767FBA"/>
    <w:lvl w:ilvl="0" w:tplc="1BC829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3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nsid w:val="4D742A74"/>
    <w:multiLevelType w:val="hybridMultilevel"/>
    <w:tmpl w:val="CF987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2">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nsid w:val="52066CBC"/>
    <w:multiLevelType w:val="hybridMultilevel"/>
    <w:tmpl w:val="5A7219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5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5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5">
    <w:nsid w:val="73D86E47"/>
    <w:multiLevelType w:val="hybridMultilevel"/>
    <w:tmpl w:val="03505ABA"/>
    <w:lvl w:ilvl="0" w:tplc="0C090001">
      <w:start w:val="1"/>
      <w:numFmt w:val="bullet"/>
      <w:lvlText w:val=""/>
      <w:lvlJc w:val="left"/>
      <w:pPr>
        <w:ind w:left="1440" w:hanging="360"/>
      </w:pPr>
      <w:rPr>
        <w:rFonts w:ascii="Symbol" w:hAnsi="Symbol" w:hint="default"/>
      </w:rPr>
    </w:lvl>
    <w:lvl w:ilvl="1" w:tplc="F3B883EC">
      <w:numFmt w:val="bullet"/>
      <w:lvlText w:val="-"/>
      <w:lvlJc w:val="left"/>
      <w:pPr>
        <w:ind w:left="2685" w:hanging="885"/>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7">
    <w:nsid w:val="77513395"/>
    <w:multiLevelType w:val="hybridMultilevel"/>
    <w:tmpl w:val="110A07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9">
    <w:nsid w:val="784D033C"/>
    <w:multiLevelType w:val="multilevel"/>
    <w:tmpl w:val="BDD2D46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6"/>
  </w:num>
  <w:num w:numId="2">
    <w:abstractNumId w:val="53"/>
  </w:num>
  <w:num w:numId="3">
    <w:abstractNumId w:val="36"/>
  </w:num>
  <w:num w:numId="4">
    <w:abstractNumId w:val="1"/>
  </w:num>
  <w:num w:numId="5">
    <w:abstractNumId w:val="11"/>
  </w:num>
  <w:num w:numId="6">
    <w:abstractNumId w:val="31"/>
  </w:num>
  <w:num w:numId="7">
    <w:abstractNumId w:val="25"/>
  </w:num>
  <w:num w:numId="8">
    <w:abstractNumId w:val="10"/>
  </w:num>
  <w:num w:numId="9">
    <w:abstractNumId w:val="14"/>
  </w:num>
  <w:num w:numId="10">
    <w:abstractNumId w:val="51"/>
  </w:num>
  <w:num w:numId="1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54"/>
  </w:num>
  <w:num w:numId="15">
    <w:abstractNumId w:val="46"/>
  </w:num>
  <w:num w:numId="16">
    <w:abstractNumId w:val="40"/>
  </w:num>
  <w:num w:numId="17">
    <w:abstractNumId w:val="58"/>
  </w:num>
  <w:num w:numId="18">
    <w:abstractNumId w:val="20"/>
  </w:num>
  <w:num w:numId="19">
    <w:abstractNumId w:val="29"/>
  </w:num>
  <w:num w:numId="20">
    <w:abstractNumId w:val="9"/>
  </w:num>
  <w:num w:numId="21">
    <w:abstractNumId w:val="49"/>
  </w:num>
  <w:num w:numId="22">
    <w:abstractNumId w:val="52"/>
  </w:num>
  <w:num w:numId="23">
    <w:abstractNumId w:val="60"/>
  </w:num>
  <w:num w:numId="24">
    <w:abstractNumId w:val="24"/>
  </w:num>
  <w:num w:numId="25">
    <w:abstractNumId w:val="59"/>
  </w:num>
  <w:num w:numId="26">
    <w:abstractNumId w:val="47"/>
  </w:num>
  <w:num w:numId="27">
    <w:abstractNumId w:val="19"/>
  </w:num>
  <w:num w:numId="28">
    <w:abstractNumId w:val="12"/>
  </w:num>
  <w:num w:numId="29">
    <w:abstractNumId w:val="42"/>
  </w:num>
  <w:num w:numId="30">
    <w:abstractNumId w:val="8"/>
  </w:num>
  <w:num w:numId="31">
    <w:abstractNumId w:val="45"/>
  </w:num>
  <w:num w:numId="32">
    <w:abstractNumId w:val="56"/>
  </w:num>
  <w:num w:numId="33">
    <w:abstractNumId w:val="41"/>
  </w:num>
  <w:num w:numId="34">
    <w:abstractNumId w:val="61"/>
  </w:num>
  <w:num w:numId="35">
    <w:abstractNumId w:val="18"/>
  </w:num>
  <w:num w:numId="36">
    <w:abstractNumId w:val="38"/>
  </w:num>
  <w:num w:numId="37">
    <w:abstractNumId w:val="48"/>
  </w:num>
  <w:num w:numId="38">
    <w:abstractNumId w:val="15"/>
  </w:num>
  <w:num w:numId="39">
    <w:abstractNumId w:val="27"/>
  </w:num>
  <w:num w:numId="40">
    <w:abstractNumId w:val="4"/>
  </w:num>
  <w:num w:numId="41">
    <w:abstractNumId w:val="23"/>
  </w:num>
  <w:num w:numId="42">
    <w:abstractNumId w:val="50"/>
  </w:num>
  <w:num w:numId="43">
    <w:abstractNumId w:val="35"/>
  </w:num>
  <w:num w:numId="44">
    <w:abstractNumId w:val="28"/>
  </w:num>
  <w:num w:numId="45">
    <w:abstractNumId w:val="55"/>
  </w:num>
  <w:num w:numId="46">
    <w:abstractNumId w:val="3"/>
  </w:num>
  <w:num w:numId="47">
    <w:abstractNumId w:val="39"/>
  </w:num>
  <w:num w:numId="48">
    <w:abstractNumId w:val="26"/>
  </w:num>
  <w:num w:numId="49">
    <w:abstractNumId w:val="22"/>
  </w:num>
  <w:num w:numId="50">
    <w:abstractNumId w:val="2"/>
  </w:num>
  <w:num w:numId="51">
    <w:abstractNumId w:val="43"/>
  </w:num>
  <w:num w:numId="52">
    <w:abstractNumId w:val="32"/>
  </w:num>
  <w:num w:numId="53">
    <w:abstractNumId w:val="34"/>
  </w:num>
  <w:num w:numId="54">
    <w:abstractNumId w:val="17"/>
  </w:num>
  <w:num w:numId="55">
    <w:abstractNumId w:val="33"/>
  </w:num>
  <w:num w:numId="56">
    <w:abstractNumId w:val="30"/>
  </w:num>
  <w:num w:numId="57">
    <w:abstractNumId w:val="13"/>
  </w:num>
  <w:num w:numId="58">
    <w:abstractNumId w:val="21"/>
  </w:num>
  <w:num w:numId="59">
    <w:abstractNumId w:val="57"/>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num>
  <w:num w:numId="66">
    <w:abstractNumId w:val="7"/>
  </w:num>
  <w:num w:numId="67">
    <w:abstractNumId w:val="0"/>
  </w:num>
  <w:num w:numId="68">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0F9A"/>
    <w:rsid w:val="0002464A"/>
    <w:rsid w:val="0003106B"/>
    <w:rsid w:val="000421A1"/>
    <w:rsid w:val="0004240E"/>
    <w:rsid w:val="000457DC"/>
    <w:rsid w:val="00045E26"/>
    <w:rsid w:val="000514B5"/>
    <w:rsid w:val="00060E64"/>
    <w:rsid w:val="000636F4"/>
    <w:rsid w:val="00066755"/>
    <w:rsid w:val="000726B0"/>
    <w:rsid w:val="0007410E"/>
    <w:rsid w:val="000914E9"/>
    <w:rsid w:val="00093D6C"/>
    <w:rsid w:val="00095416"/>
    <w:rsid w:val="000969AD"/>
    <w:rsid w:val="000A0781"/>
    <w:rsid w:val="000A4264"/>
    <w:rsid w:val="000A50F5"/>
    <w:rsid w:val="000B0468"/>
    <w:rsid w:val="000B0D4C"/>
    <w:rsid w:val="000B558D"/>
    <w:rsid w:val="000B6D4B"/>
    <w:rsid w:val="000C6996"/>
    <w:rsid w:val="000C7056"/>
    <w:rsid w:val="000D23BA"/>
    <w:rsid w:val="000D4F19"/>
    <w:rsid w:val="000E0B9F"/>
    <w:rsid w:val="000E331D"/>
    <w:rsid w:val="000E4E41"/>
    <w:rsid w:val="000E681E"/>
    <w:rsid w:val="000F112D"/>
    <w:rsid w:val="000F4E6A"/>
    <w:rsid w:val="00101B92"/>
    <w:rsid w:val="00105D30"/>
    <w:rsid w:val="00107C71"/>
    <w:rsid w:val="001107BF"/>
    <w:rsid w:val="001112E0"/>
    <w:rsid w:val="00120901"/>
    <w:rsid w:val="0012417C"/>
    <w:rsid w:val="0012523D"/>
    <w:rsid w:val="001275EC"/>
    <w:rsid w:val="001323F0"/>
    <w:rsid w:val="00142395"/>
    <w:rsid w:val="00142714"/>
    <w:rsid w:val="00142845"/>
    <w:rsid w:val="001452ED"/>
    <w:rsid w:val="00146902"/>
    <w:rsid w:val="00151022"/>
    <w:rsid w:val="00161618"/>
    <w:rsid w:val="0016336E"/>
    <w:rsid w:val="001645BD"/>
    <w:rsid w:val="00166204"/>
    <w:rsid w:val="00171982"/>
    <w:rsid w:val="0018159F"/>
    <w:rsid w:val="001830CE"/>
    <w:rsid w:val="00184819"/>
    <w:rsid w:val="00196307"/>
    <w:rsid w:val="00197895"/>
    <w:rsid w:val="001A1E66"/>
    <w:rsid w:val="001B017F"/>
    <w:rsid w:val="001B211F"/>
    <w:rsid w:val="001B28AB"/>
    <w:rsid w:val="001B5129"/>
    <w:rsid w:val="001C0A67"/>
    <w:rsid w:val="001C1195"/>
    <w:rsid w:val="001C7B87"/>
    <w:rsid w:val="001D1327"/>
    <w:rsid w:val="001E4BFB"/>
    <w:rsid w:val="001F45DF"/>
    <w:rsid w:val="001F4B75"/>
    <w:rsid w:val="00205484"/>
    <w:rsid w:val="00212042"/>
    <w:rsid w:val="00213CFB"/>
    <w:rsid w:val="002262D8"/>
    <w:rsid w:val="002442A2"/>
    <w:rsid w:val="002454B1"/>
    <w:rsid w:val="00251125"/>
    <w:rsid w:val="00271BA1"/>
    <w:rsid w:val="002745C5"/>
    <w:rsid w:val="00277505"/>
    <w:rsid w:val="002803BD"/>
    <w:rsid w:val="0028331F"/>
    <w:rsid w:val="0029458F"/>
    <w:rsid w:val="002946B5"/>
    <w:rsid w:val="002A104C"/>
    <w:rsid w:val="002A4960"/>
    <w:rsid w:val="002A7FBC"/>
    <w:rsid w:val="002B1AE6"/>
    <w:rsid w:val="002B30F8"/>
    <w:rsid w:val="002B69D6"/>
    <w:rsid w:val="002C212F"/>
    <w:rsid w:val="002C4649"/>
    <w:rsid w:val="002C69AF"/>
    <w:rsid w:val="002D7806"/>
    <w:rsid w:val="002E1102"/>
    <w:rsid w:val="002E3153"/>
    <w:rsid w:val="002E5CC6"/>
    <w:rsid w:val="002E72CA"/>
    <w:rsid w:val="0030513F"/>
    <w:rsid w:val="00307EF2"/>
    <w:rsid w:val="003115B7"/>
    <w:rsid w:val="0031192A"/>
    <w:rsid w:val="00315B85"/>
    <w:rsid w:val="00326E79"/>
    <w:rsid w:val="0033405C"/>
    <w:rsid w:val="003341C3"/>
    <w:rsid w:val="003367EF"/>
    <w:rsid w:val="00340D59"/>
    <w:rsid w:val="00341AE4"/>
    <w:rsid w:val="0034667F"/>
    <w:rsid w:val="00350685"/>
    <w:rsid w:val="00351F2D"/>
    <w:rsid w:val="00372E8D"/>
    <w:rsid w:val="0037318B"/>
    <w:rsid w:val="003772D5"/>
    <w:rsid w:val="003872CF"/>
    <w:rsid w:val="00387497"/>
    <w:rsid w:val="00387C66"/>
    <w:rsid w:val="003912E3"/>
    <w:rsid w:val="0039782C"/>
    <w:rsid w:val="003A3061"/>
    <w:rsid w:val="003A314F"/>
    <w:rsid w:val="003A5B4A"/>
    <w:rsid w:val="003A5F58"/>
    <w:rsid w:val="003B23C5"/>
    <w:rsid w:val="003B2A75"/>
    <w:rsid w:val="003B3D42"/>
    <w:rsid w:val="003D4AC4"/>
    <w:rsid w:val="003D63B7"/>
    <w:rsid w:val="003E468B"/>
    <w:rsid w:val="003E6D97"/>
    <w:rsid w:val="003F1E19"/>
    <w:rsid w:val="003F3311"/>
    <w:rsid w:val="003F5564"/>
    <w:rsid w:val="003F5C8C"/>
    <w:rsid w:val="003F6C11"/>
    <w:rsid w:val="003F772D"/>
    <w:rsid w:val="0040146F"/>
    <w:rsid w:val="00404EFD"/>
    <w:rsid w:val="00412B09"/>
    <w:rsid w:val="00413B95"/>
    <w:rsid w:val="004213B6"/>
    <w:rsid w:val="004271A1"/>
    <w:rsid w:val="00430B03"/>
    <w:rsid w:val="004352CE"/>
    <w:rsid w:val="0044607D"/>
    <w:rsid w:val="004465BD"/>
    <w:rsid w:val="00454248"/>
    <w:rsid w:val="00456014"/>
    <w:rsid w:val="004561B3"/>
    <w:rsid w:val="0046450A"/>
    <w:rsid w:val="00465BBF"/>
    <w:rsid w:val="00465FFB"/>
    <w:rsid w:val="00466ADA"/>
    <w:rsid w:val="00471CAA"/>
    <w:rsid w:val="00476245"/>
    <w:rsid w:val="00485940"/>
    <w:rsid w:val="00486E10"/>
    <w:rsid w:val="00496E84"/>
    <w:rsid w:val="004A5A85"/>
    <w:rsid w:val="004B3495"/>
    <w:rsid w:val="004B5640"/>
    <w:rsid w:val="004C0F78"/>
    <w:rsid w:val="004C1BD7"/>
    <w:rsid w:val="004C4C1C"/>
    <w:rsid w:val="004C691D"/>
    <w:rsid w:val="004C6A3B"/>
    <w:rsid w:val="004E692D"/>
    <w:rsid w:val="004F21D7"/>
    <w:rsid w:val="004F7F7F"/>
    <w:rsid w:val="00501554"/>
    <w:rsid w:val="00514CD7"/>
    <w:rsid w:val="00520323"/>
    <w:rsid w:val="005211D0"/>
    <w:rsid w:val="0053035C"/>
    <w:rsid w:val="005317D2"/>
    <w:rsid w:val="005319B2"/>
    <w:rsid w:val="00532C74"/>
    <w:rsid w:val="00534E2E"/>
    <w:rsid w:val="00534EFE"/>
    <w:rsid w:val="00544552"/>
    <w:rsid w:val="005519CD"/>
    <w:rsid w:val="00557C0A"/>
    <w:rsid w:val="00575DF1"/>
    <w:rsid w:val="00580CDD"/>
    <w:rsid w:val="00581932"/>
    <w:rsid w:val="0058299F"/>
    <w:rsid w:val="005963BB"/>
    <w:rsid w:val="00596B74"/>
    <w:rsid w:val="00596F2C"/>
    <w:rsid w:val="005A186D"/>
    <w:rsid w:val="005A3173"/>
    <w:rsid w:val="005A3223"/>
    <w:rsid w:val="005A3DA3"/>
    <w:rsid w:val="005A50E9"/>
    <w:rsid w:val="005A52C4"/>
    <w:rsid w:val="005B59AC"/>
    <w:rsid w:val="005C38D1"/>
    <w:rsid w:val="005C5169"/>
    <w:rsid w:val="005C51DB"/>
    <w:rsid w:val="005D03AB"/>
    <w:rsid w:val="005D2170"/>
    <w:rsid w:val="005D5017"/>
    <w:rsid w:val="005F4519"/>
    <w:rsid w:val="00601A91"/>
    <w:rsid w:val="00602BA3"/>
    <w:rsid w:val="00605EC0"/>
    <w:rsid w:val="00607929"/>
    <w:rsid w:val="00614159"/>
    <w:rsid w:val="00617311"/>
    <w:rsid w:val="00617C00"/>
    <w:rsid w:val="006227B3"/>
    <w:rsid w:val="006263BF"/>
    <w:rsid w:val="00626A57"/>
    <w:rsid w:val="0062748A"/>
    <w:rsid w:val="006309B2"/>
    <w:rsid w:val="00630A2C"/>
    <w:rsid w:val="00644AC2"/>
    <w:rsid w:val="00651169"/>
    <w:rsid w:val="00651336"/>
    <w:rsid w:val="00653D69"/>
    <w:rsid w:val="00656223"/>
    <w:rsid w:val="00667BA9"/>
    <w:rsid w:val="00670A76"/>
    <w:rsid w:val="006711AA"/>
    <w:rsid w:val="00672B57"/>
    <w:rsid w:val="00675622"/>
    <w:rsid w:val="0068794C"/>
    <w:rsid w:val="006906DB"/>
    <w:rsid w:val="0069071B"/>
    <w:rsid w:val="00693B7E"/>
    <w:rsid w:val="006A12A5"/>
    <w:rsid w:val="006A6F75"/>
    <w:rsid w:val="006B0D94"/>
    <w:rsid w:val="006B3BCE"/>
    <w:rsid w:val="006B485D"/>
    <w:rsid w:val="006B62D4"/>
    <w:rsid w:val="006C05B8"/>
    <w:rsid w:val="006C480B"/>
    <w:rsid w:val="006C708E"/>
    <w:rsid w:val="006D34B6"/>
    <w:rsid w:val="006D6EC7"/>
    <w:rsid w:val="006E1632"/>
    <w:rsid w:val="006E4C6B"/>
    <w:rsid w:val="006E5839"/>
    <w:rsid w:val="006F4AD5"/>
    <w:rsid w:val="006F5125"/>
    <w:rsid w:val="006F59BC"/>
    <w:rsid w:val="007061BD"/>
    <w:rsid w:val="0071341C"/>
    <w:rsid w:val="00715AF8"/>
    <w:rsid w:val="00716B77"/>
    <w:rsid w:val="007174BB"/>
    <w:rsid w:val="007229F5"/>
    <w:rsid w:val="00726D95"/>
    <w:rsid w:val="00733763"/>
    <w:rsid w:val="007344EB"/>
    <w:rsid w:val="00734C74"/>
    <w:rsid w:val="0074256D"/>
    <w:rsid w:val="007504B7"/>
    <w:rsid w:val="00755870"/>
    <w:rsid w:val="0076420C"/>
    <w:rsid w:val="00774D83"/>
    <w:rsid w:val="007753C2"/>
    <w:rsid w:val="007812A7"/>
    <w:rsid w:val="007838B8"/>
    <w:rsid w:val="007A1EB1"/>
    <w:rsid w:val="007B10D5"/>
    <w:rsid w:val="007B557A"/>
    <w:rsid w:val="007C00CB"/>
    <w:rsid w:val="007C0A65"/>
    <w:rsid w:val="007C0F57"/>
    <w:rsid w:val="007C40B6"/>
    <w:rsid w:val="007C729F"/>
    <w:rsid w:val="007D0281"/>
    <w:rsid w:val="007D5969"/>
    <w:rsid w:val="007D6293"/>
    <w:rsid w:val="007D720F"/>
    <w:rsid w:val="007E1D28"/>
    <w:rsid w:val="007F2641"/>
    <w:rsid w:val="007F7C36"/>
    <w:rsid w:val="00801DC4"/>
    <w:rsid w:val="00802F57"/>
    <w:rsid w:val="00806796"/>
    <w:rsid w:val="00807609"/>
    <w:rsid w:val="008109DA"/>
    <w:rsid w:val="00812EFE"/>
    <w:rsid w:val="00816BE4"/>
    <w:rsid w:val="00820F1E"/>
    <w:rsid w:val="00826F6D"/>
    <w:rsid w:val="00835C59"/>
    <w:rsid w:val="008368B7"/>
    <w:rsid w:val="008417BE"/>
    <w:rsid w:val="0084547B"/>
    <w:rsid w:val="00856DDD"/>
    <w:rsid w:val="00863E68"/>
    <w:rsid w:val="00882085"/>
    <w:rsid w:val="00883188"/>
    <w:rsid w:val="00885BAF"/>
    <w:rsid w:val="00892789"/>
    <w:rsid w:val="00897D58"/>
    <w:rsid w:val="008A0641"/>
    <w:rsid w:val="008A1956"/>
    <w:rsid w:val="008A4937"/>
    <w:rsid w:val="008A4C9F"/>
    <w:rsid w:val="008A679B"/>
    <w:rsid w:val="008B18A4"/>
    <w:rsid w:val="008B19B7"/>
    <w:rsid w:val="008B6407"/>
    <w:rsid w:val="008C29CA"/>
    <w:rsid w:val="008C2F13"/>
    <w:rsid w:val="008C3D38"/>
    <w:rsid w:val="008C6F99"/>
    <w:rsid w:val="008C796E"/>
    <w:rsid w:val="008D10F3"/>
    <w:rsid w:val="008D3C82"/>
    <w:rsid w:val="008D447E"/>
    <w:rsid w:val="008D4E34"/>
    <w:rsid w:val="008D7A41"/>
    <w:rsid w:val="008E3680"/>
    <w:rsid w:val="008E46A1"/>
    <w:rsid w:val="008E51B4"/>
    <w:rsid w:val="008E5870"/>
    <w:rsid w:val="008E6046"/>
    <w:rsid w:val="008F1434"/>
    <w:rsid w:val="008F7355"/>
    <w:rsid w:val="00902021"/>
    <w:rsid w:val="009065FD"/>
    <w:rsid w:val="009067B7"/>
    <w:rsid w:val="009068D0"/>
    <w:rsid w:val="00906F04"/>
    <w:rsid w:val="0091518F"/>
    <w:rsid w:val="0092251F"/>
    <w:rsid w:val="00923431"/>
    <w:rsid w:val="00930937"/>
    <w:rsid w:val="00933E3E"/>
    <w:rsid w:val="00933E6C"/>
    <w:rsid w:val="00935EB3"/>
    <w:rsid w:val="0093793B"/>
    <w:rsid w:val="00942160"/>
    <w:rsid w:val="00945630"/>
    <w:rsid w:val="00956C73"/>
    <w:rsid w:val="009602C5"/>
    <w:rsid w:val="009625A5"/>
    <w:rsid w:val="009712EB"/>
    <w:rsid w:val="00974C21"/>
    <w:rsid w:val="0097776B"/>
    <w:rsid w:val="00984C21"/>
    <w:rsid w:val="009945F0"/>
    <w:rsid w:val="00995C36"/>
    <w:rsid w:val="009A62A8"/>
    <w:rsid w:val="009B0F67"/>
    <w:rsid w:val="009B1DDF"/>
    <w:rsid w:val="009B3CCC"/>
    <w:rsid w:val="009C0C0D"/>
    <w:rsid w:val="009C12D3"/>
    <w:rsid w:val="009C45C0"/>
    <w:rsid w:val="009C703C"/>
    <w:rsid w:val="009C7894"/>
    <w:rsid w:val="009D3CAA"/>
    <w:rsid w:val="009D6A79"/>
    <w:rsid w:val="009E203C"/>
    <w:rsid w:val="009F4E46"/>
    <w:rsid w:val="009F5112"/>
    <w:rsid w:val="009F5B65"/>
    <w:rsid w:val="009F5F2E"/>
    <w:rsid w:val="00A06225"/>
    <w:rsid w:val="00A128E6"/>
    <w:rsid w:val="00A2236A"/>
    <w:rsid w:val="00A25120"/>
    <w:rsid w:val="00A26724"/>
    <w:rsid w:val="00A309D7"/>
    <w:rsid w:val="00A343F9"/>
    <w:rsid w:val="00A37C8D"/>
    <w:rsid w:val="00A5273B"/>
    <w:rsid w:val="00A52A19"/>
    <w:rsid w:val="00A53A9D"/>
    <w:rsid w:val="00A55FEE"/>
    <w:rsid w:val="00A62B00"/>
    <w:rsid w:val="00A62C1A"/>
    <w:rsid w:val="00A6426D"/>
    <w:rsid w:val="00A67762"/>
    <w:rsid w:val="00A70622"/>
    <w:rsid w:val="00A70977"/>
    <w:rsid w:val="00A8390C"/>
    <w:rsid w:val="00A928BD"/>
    <w:rsid w:val="00A94ADF"/>
    <w:rsid w:val="00AA3C2C"/>
    <w:rsid w:val="00AA4D1C"/>
    <w:rsid w:val="00AA54C7"/>
    <w:rsid w:val="00AB105B"/>
    <w:rsid w:val="00AB6693"/>
    <w:rsid w:val="00AC169B"/>
    <w:rsid w:val="00AC5206"/>
    <w:rsid w:val="00AE11A5"/>
    <w:rsid w:val="00AE13E2"/>
    <w:rsid w:val="00AE2115"/>
    <w:rsid w:val="00AF326A"/>
    <w:rsid w:val="00AF68CC"/>
    <w:rsid w:val="00B01F4F"/>
    <w:rsid w:val="00B047A3"/>
    <w:rsid w:val="00B051D0"/>
    <w:rsid w:val="00B106F3"/>
    <w:rsid w:val="00B14372"/>
    <w:rsid w:val="00B14C75"/>
    <w:rsid w:val="00B15CB8"/>
    <w:rsid w:val="00B16003"/>
    <w:rsid w:val="00B17A96"/>
    <w:rsid w:val="00B205AA"/>
    <w:rsid w:val="00B2117F"/>
    <w:rsid w:val="00B22E84"/>
    <w:rsid w:val="00B2503F"/>
    <w:rsid w:val="00B25B7F"/>
    <w:rsid w:val="00B25F75"/>
    <w:rsid w:val="00B26AB6"/>
    <w:rsid w:val="00B34F00"/>
    <w:rsid w:val="00B36F8E"/>
    <w:rsid w:val="00B43E90"/>
    <w:rsid w:val="00B44164"/>
    <w:rsid w:val="00B45434"/>
    <w:rsid w:val="00B56118"/>
    <w:rsid w:val="00B6773F"/>
    <w:rsid w:val="00B7454C"/>
    <w:rsid w:val="00B769E4"/>
    <w:rsid w:val="00B801BA"/>
    <w:rsid w:val="00B90A60"/>
    <w:rsid w:val="00B953F0"/>
    <w:rsid w:val="00BA3746"/>
    <w:rsid w:val="00BB69F5"/>
    <w:rsid w:val="00BB7EC3"/>
    <w:rsid w:val="00BC4B9A"/>
    <w:rsid w:val="00BD784C"/>
    <w:rsid w:val="00BE25DA"/>
    <w:rsid w:val="00BE50C1"/>
    <w:rsid w:val="00BF16C6"/>
    <w:rsid w:val="00BF2154"/>
    <w:rsid w:val="00BF36A2"/>
    <w:rsid w:val="00BF4CB6"/>
    <w:rsid w:val="00BF4F08"/>
    <w:rsid w:val="00C00DA7"/>
    <w:rsid w:val="00C117CD"/>
    <w:rsid w:val="00C12768"/>
    <w:rsid w:val="00C15A17"/>
    <w:rsid w:val="00C2108B"/>
    <w:rsid w:val="00C27B58"/>
    <w:rsid w:val="00C35996"/>
    <w:rsid w:val="00C46045"/>
    <w:rsid w:val="00C50134"/>
    <w:rsid w:val="00C5342C"/>
    <w:rsid w:val="00C53DD6"/>
    <w:rsid w:val="00C6182A"/>
    <w:rsid w:val="00C6256A"/>
    <w:rsid w:val="00C65EAE"/>
    <w:rsid w:val="00C67DDF"/>
    <w:rsid w:val="00C7051A"/>
    <w:rsid w:val="00C74C5E"/>
    <w:rsid w:val="00C91449"/>
    <w:rsid w:val="00C92D10"/>
    <w:rsid w:val="00C95064"/>
    <w:rsid w:val="00C9647A"/>
    <w:rsid w:val="00CC0585"/>
    <w:rsid w:val="00CC594F"/>
    <w:rsid w:val="00CE10C4"/>
    <w:rsid w:val="00CE27B5"/>
    <w:rsid w:val="00CE3AB1"/>
    <w:rsid w:val="00CF3E84"/>
    <w:rsid w:val="00D0313C"/>
    <w:rsid w:val="00D0321E"/>
    <w:rsid w:val="00D115BC"/>
    <w:rsid w:val="00D11A60"/>
    <w:rsid w:val="00D13237"/>
    <w:rsid w:val="00D1455A"/>
    <w:rsid w:val="00D22357"/>
    <w:rsid w:val="00D3280C"/>
    <w:rsid w:val="00D33347"/>
    <w:rsid w:val="00D3406A"/>
    <w:rsid w:val="00D431AD"/>
    <w:rsid w:val="00D45E21"/>
    <w:rsid w:val="00D469B2"/>
    <w:rsid w:val="00D5006C"/>
    <w:rsid w:val="00D60851"/>
    <w:rsid w:val="00D60EEA"/>
    <w:rsid w:val="00D63930"/>
    <w:rsid w:val="00D6544B"/>
    <w:rsid w:val="00D7396A"/>
    <w:rsid w:val="00D741EB"/>
    <w:rsid w:val="00D84934"/>
    <w:rsid w:val="00D91271"/>
    <w:rsid w:val="00D93E39"/>
    <w:rsid w:val="00D95DA3"/>
    <w:rsid w:val="00DA18AD"/>
    <w:rsid w:val="00DA2CB5"/>
    <w:rsid w:val="00DA4BAC"/>
    <w:rsid w:val="00DA6A88"/>
    <w:rsid w:val="00DC5FEA"/>
    <w:rsid w:val="00DC6A28"/>
    <w:rsid w:val="00DC7BCD"/>
    <w:rsid w:val="00DD3C8B"/>
    <w:rsid w:val="00DD650F"/>
    <w:rsid w:val="00DE6D27"/>
    <w:rsid w:val="00DF217D"/>
    <w:rsid w:val="00DF26A7"/>
    <w:rsid w:val="00DF69C2"/>
    <w:rsid w:val="00E152B1"/>
    <w:rsid w:val="00E164B3"/>
    <w:rsid w:val="00E16910"/>
    <w:rsid w:val="00E224BF"/>
    <w:rsid w:val="00E251C8"/>
    <w:rsid w:val="00E27631"/>
    <w:rsid w:val="00E32D3D"/>
    <w:rsid w:val="00E410E1"/>
    <w:rsid w:val="00E41AD8"/>
    <w:rsid w:val="00E5416F"/>
    <w:rsid w:val="00E55104"/>
    <w:rsid w:val="00E65E54"/>
    <w:rsid w:val="00E6764E"/>
    <w:rsid w:val="00E80155"/>
    <w:rsid w:val="00E81417"/>
    <w:rsid w:val="00E844BE"/>
    <w:rsid w:val="00E848C0"/>
    <w:rsid w:val="00E85EE8"/>
    <w:rsid w:val="00E91B96"/>
    <w:rsid w:val="00E91BF2"/>
    <w:rsid w:val="00E941A1"/>
    <w:rsid w:val="00E95962"/>
    <w:rsid w:val="00E95CE3"/>
    <w:rsid w:val="00EA2825"/>
    <w:rsid w:val="00EB1203"/>
    <w:rsid w:val="00EB2370"/>
    <w:rsid w:val="00EB4730"/>
    <w:rsid w:val="00EB4CC0"/>
    <w:rsid w:val="00EB5088"/>
    <w:rsid w:val="00EB590C"/>
    <w:rsid w:val="00EC4EF3"/>
    <w:rsid w:val="00ED05FE"/>
    <w:rsid w:val="00ED1644"/>
    <w:rsid w:val="00EE1605"/>
    <w:rsid w:val="00EE202B"/>
    <w:rsid w:val="00EF44A0"/>
    <w:rsid w:val="00F01325"/>
    <w:rsid w:val="00F0219E"/>
    <w:rsid w:val="00F050BD"/>
    <w:rsid w:val="00F05657"/>
    <w:rsid w:val="00F06D8F"/>
    <w:rsid w:val="00F25578"/>
    <w:rsid w:val="00F258E5"/>
    <w:rsid w:val="00F300BC"/>
    <w:rsid w:val="00F31421"/>
    <w:rsid w:val="00F32201"/>
    <w:rsid w:val="00F3334E"/>
    <w:rsid w:val="00F372E6"/>
    <w:rsid w:val="00F50EC4"/>
    <w:rsid w:val="00F57A6D"/>
    <w:rsid w:val="00F621C4"/>
    <w:rsid w:val="00F638CC"/>
    <w:rsid w:val="00F8247A"/>
    <w:rsid w:val="00F92415"/>
    <w:rsid w:val="00F92E13"/>
    <w:rsid w:val="00F93CB8"/>
    <w:rsid w:val="00F9629A"/>
    <w:rsid w:val="00F97AE7"/>
    <w:rsid w:val="00FA5883"/>
    <w:rsid w:val="00FA6055"/>
    <w:rsid w:val="00FB0E15"/>
    <w:rsid w:val="00FB322F"/>
    <w:rsid w:val="00FB33A2"/>
    <w:rsid w:val="00FB442F"/>
    <w:rsid w:val="00FC16BD"/>
    <w:rsid w:val="00FC1929"/>
    <w:rsid w:val="00FC5B46"/>
    <w:rsid w:val="00FD14BE"/>
    <w:rsid w:val="00FE4ADE"/>
    <w:rsid w:val="00FE56F9"/>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PBACHeading1">
    <w:name w:val="PBAC Heading 1"/>
    <w:qFormat/>
    <w:rsid w:val="002A7FBC"/>
    <w:pPr>
      <w:ind w:left="720" w:hanging="720"/>
    </w:pPr>
    <w:rPr>
      <w:rFonts w:ascii="Arial" w:eastAsia="SimSun" w:hAnsi="Arial" w:cs="Arial"/>
      <w:b/>
      <w:snapToGrid w:val="0"/>
      <w:sz w:val="22"/>
      <w:szCs w:val="22"/>
      <w:lang w:eastAsia="en-US"/>
    </w:rPr>
  </w:style>
  <w:style w:type="character" w:customStyle="1" w:styleId="ListParagraphChar">
    <w:name w:val="List Paragraph Char"/>
    <w:link w:val="ListParagraph"/>
    <w:uiPriority w:val="34"/>
    <w:rsid w:val="002A7FBC"/>
    <w:rPr>
      <w:sz w:val="24"/>
      <w:szCs w:val="24"/>
    </w:rPr>
  </w:style>
  <w:style w:type="paragraph" w:styleId="Caption">
    <w:name w:val="caption"/>
    <w:basedOn w:val="Normal"/>
    <w:next w:val="Normal"/>
    <w:unhideWhenUsed/>
    <w:qFormat/>
    <w:rsid w:val="00142845"/>
    <w:pPr>
      <w:spacing w:after="200"/>
    </w:pPr>
    <w:rPr>
      <w:b/>
      <w:bCs/>
      <w:color w:val="4F81BD" w:themeColor="accent1"/>
      <w:sz w:val="18"/>
      <w:szCs w:val="18"/>
    </w:rPr>
  </w:style>
  <w:style w:type="paragraph" w:styleId="FootnoteText">
    <w:name w:val="footnote text"/>
    <w:basedOn w:val="Normal"/>
    <w:link w:val="FootnoteTextChar"/>
    <w:rsid w:val="00835C59"/>
    <w:rPr>
      <w:sz w:val="20"/>
      <w:szCs w:val="20"/>
    </w:rPr>
  </w:style>
  <w:style w:type="character" w:customStyle="1" w:styleId="FootnoteTextChar">
    <w:name w:val="Footnote Text Char"/>
    <w:basedOn w:val="DefaultParagraphFont"/>
    <w:link w:val="FootnoteText"/>
    <w:rsid w:val="00835C59"/>
  </w:style>
  <w:style w:type="character" w:styleId="FootnoteReference">
    <w:name w:val="footnote reference"/>
    <w:basedOn w:val="DefaultParagraphFont"/>
    <w:rsid w:val="00835C59"/>
    <w:rPr>
      <w:vertAlign w:val="superscript"/>
    </w:rPr>
  </w:style>
  <w:style w:type="character" w:styleId="Hyperlink">
    <w:name w:val="Hyperlink"/>
    <w:basedOn w:val="DefaultParagraphFont"/>
    <w:rsid w:val="00835C59"/>
    <w:rPr>
      <w:color w:val="0000FF" w:themeColor="hyperlink"/>
      <w:u w:val="single"/>
    </w:rPr>
  </w:style>
  <w:style w:type="paragraph" w:styleId="Revision">
    <w:name w:val="Revision"/>
    <w:hidden/>
    <w:uiPriority w:val="71"/>
    <w:rsid w:val="008E6046"/>
    <w:rPr>
      <w:sz w:val="24"/>
      <w:szCs w:val="24"/>
    </w:rPr>
  </w:style>
  <w:style w:type="paragraph" w:styleId="BodyText">
    <w:name w:val="Body Text"/>
    <w:basedOn w:val="Normal"/>
    <w:link w:val="BodyTextChar"/>
    <w:qFormat/>
    <w:rsid w:val="005211D0"/>
    <w:pPr>
      <w:widowControl w:val="0"/>
    </w:pPr>
    <w:rPr>
      <w:rFonts w:ascii="Arial" w:eastAsia="SimSun" w:hAnsi="Arial" w:cs="Arial"/>
      <w:snapToGrid w:val="0"/>
      <w:sz w:val="22"/>
      <w:szCs w:val="20"/>
      <w:lang w:eastAsia="en-US"/>
    </w:rPr>
  </w:style>
  <w:style w:type="character" w:customStyle="1" w:styleId="BodyTextChar">
    <w:name w:val="Body Text Char"/>
    <w:basedOn w:val="DefaultParagraphFont"/>
    <w:link w:val="BodyText"/>
    <w:rsid w:val="005211D0"/>
    <w:rPr>
      <w:rFonts w:ascii="Arial" w:eastAsia="SimSun"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PBACHeading1">
    <w:name w:val="PBAC Heading 1"/>
    <w:qFormat/>
    <w:rsid w:val="002A7FBC"/>
    <w:pPr>
      <w:ind w:left="720" w:hanging="720"/>
    </w:pPr>
    <w:rPr>
      <w:rFonts w:ascii="Arial" w:eastAsia="SimSun" w:hAnsi="Arial" w:cs="Arial"/>
      <w:b/>
      <w:snapToGrid w:val="0"/>
      <w:sz w:val="22"/>
      <w:szCs w:val="22"/>
      <w:lang w:eastAsia="en-US"/>
    </w:rPr>
  </w:style>
  <w:style w:type="character" w:customStyle="1" w:styleId="ListParagraphChar">
    <w:name w:val="List Paragraph Char"/>
    <w:link w:val="ListParagraph"/>
    <w:uiPriority w:val="34"/>
    <w:rsid w:val="002A7FBC"/>
    <w:rPr>
      <w:sz w:val="24"/>
      <w:szCs w:val="24"/>
    </w:rPr>
  </w:style>
  <w:style w:type="paragraph" w:styleId="Caption">
    <w:name w:val="caption"/>
    <w:basedOn w:val="Normal"/>
    <w:next w:val="Normal"/>
    <w:unhideWhenUsed/>
    <w:qFormat/>
    <w:rsid w:val="00142845"/>
    <w:pPr>
      <w:spacing w:after="200"/>
    </w:pPr>
    <w:rPr>
      <w:b/>
      <w:bCs/>
      <w:color w:val="4F81BD" w:themeColor="accent1"/>
      <w:sz w:val="18"/>
      <w:szCs w:val="18"/>
    </w:rPr>
  </w:style>
  <w:style w:type="paragraph" w:styleId="FootnoteText">
    <w:name w:val="footnote text"/>
    <w:basedOn w:val="Normal"/>
    <w:link w:val="FootnoteTextChar"/>
    <w:rsid w:val="00835C59"/>
    <w:rPr>
      <w:sz w:val="20"/>
      <w:szCs w:val="20"/>
    </w:rPr>
  </w:style>
  <w:style w:type="character" w:customStyle="1" w:styleId="FootnoteTextChar">
    <w:name w:val="Footnote Text Char"/>
    <w:basedOn w:val="DefaultParagraphFont"/>
    <w:link w:val="FootnoteText"/>
    <w:rsid w:val="00835C59"/>
  </w:style>
  <w:style w:type="character" w:styleId="FootnoteReference">
    <w:name w:val="footnote reference"/>
    <w:basedOn w:val="DefaultParagraphFont"/>
    <w:rsid w:val="00835C59"/>
    <w:rPr>
      <w:vertAlign w:val="superscript"/>
    </w:rPr>
  </w:style>
  <w:style w:type="character" w:styleId="Hyperlink">
    <w:name w:val="Hyperlink"/>
    <w:basedOn w:val="DefaultParagraphFont"/>
    <w:rsid w:val="00835C59"/>
    <w:rPr>
      <w:color w:val="0000FF" w:themeColor="hyperlink"/>
      <w:u w:val="single"/>
    </w:rPr>
  </w:style>
  <w:style w:type="paragraph" w:styleId="Revision">
    <w:name w:val="Revision"/>
    <w:hidden/>
    <w:uiPriority w:val="71"/>
    <w:rsid w:val="008E6046"/>
    <w:rPr>
      <w:sz w:val="24"/>
      <w:szCs w:val="24"/>
    </w:rPr>
  </w:style>
  <w:style w:type="paragraph" w:styleId="BodyText">
    <w:name w:val="Body Text"/>
    <w:basedOn w:val="Normal"/>
    <w:link w:val="BodyTextChar"/>
    <w:qFormat/>
    <w:rsid w:val="005211D0"/>
    <w:pPr>
      <w:widowControl w:val="0"/>
    </w:pPr>
    <w:rPr>
      <w:rFonts w:ascii="Arial" w:eastAsia="SimSun" w:hAnsi="Arial" w:cs="Arial"/>
      <w:snapToGrid w:val="0"/>
      <w:sz w:val="22"/>
      <w:szCs w:val="20"/>
      <w:lang w:eastAsia="en-US"/>
    </w:rPr>
  </w:style>
  <w:style w:type="character" w:customStyle="1" w:styleId="BodyTextChar">
    <w:name w:val="Body Text Char"/>
    <w:basedOn w:val="DefaultParagraphFont"/>
    <w:link w:val="BodyText"/>
    <w:rsid w:val="005211D0"/>
    <w:rPr>
      <w:rFonts w:ascii="Arial" w:eastAsia="SimSun"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90475436">
      <w:bodyDiv w:val="1"/>
      <w:marLeft w:val="0"/>
      <w:marRight w:val="0"/>
      <w:marTop w:val="0"/>
      <w:marBottom w:val="0"/>
      <w:divBdr>
        <w:top w:val="none" w:sz="0" w:space="0" w:color="auto"/>
        <w:left w:val="none" w:sz="0" w:space="0" w:color="auto"/>
        <w:bottom w:val="none" w:sz="0" w:space="0" w:color="auto"/>
        <w:right w:val="none" w:sz="0" w:space="0" w:color="auto"/>
      </w:divBdr>
    </w:div>
    <w:div w:id="76607639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148945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5980986">
      <w:bodyDiv w:val="1"/>
      <w:marLeft w:val="0"/>
      <w:marRight w:val="0"/>
      <w:marTop w:val="0"/>
      <w:marBottom w:val="0"/>
      <w:divBdr>
        <w:top w:val="none" w:sz="0" w:space="0" w:color="auto"/>
        <w:left w:val="none" w:sz="0" w:space="0" w:color="auto"/>
        <w:bottom w:val="none" w:sz="0" w:space="0" w:color="auto"/>
        <w:right w:val="none" w:sz="0" w:space="0" w:color="auto"/>
      </w:divBdr>
    </w:div>
    <w:div w:id="21036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cid:image001.png@01D07DC1.566DF0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linicaltrials.gov/ct2/show/results/NCT00877006?sect=X9870156&amp;term=NCT00877006&amp;ra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C717-2C2A-48F8-8B88-087747DC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5642</Words>
  <Characters>32662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2015-10-26T00:08:00Z</dcterms:created>
  <dcterms:modified xsi:type="dcterms:W3CDTF">2015-10-26T00:34:00Z</dcterms:modified>
</cp:coreProperties>
</file>