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83" w:rsidRPr="00A554EC" w:rsidRDefault="00F27CB4" w:rsidP="00C47B59">
      <w:pPr>
        <w:ind w:left="720" w:hanging="720"/>
        <w:rPr>
          <w:rFonts w:ascii="Arial" w:hAnsi="Arial"/>
          <w:b/>
          <w:sz w:val="28"/>
          <w:szCs w:val="28"/>
          <w:lang w:val="fr-FR"/>
        </w:rPr>
      </w:pPr>
      <w:r w:rsidRPr="00A554EC">
        <w:rPr>
          <w:rFonts w:ascii="Arial" w:hAnsi="Arial"/>
          <w:b/>
          <w:sz w:val="28"/>
          <w:szCs w:val="28"/>
          <w:lang w:val="fr-FR"/>
        </w:rPr>
        <w:t>6</w:t>
      </w:r>
      <w:r w:rsidR="0004240E" w:rsidRPr="00A554EC">
        <w:rPr>
          <w:rFonts w:ascii="Arial" w:hAnsi="Arial"/>
          <w:b/>
          <w:sz w:val="28"/>
          <w:szCs w:val="28"/>
          <w:lang w:val="fr-FR"/>
        </w:rPr>
        <w:t>.</w:t>
      </w:r>
      <w:r w:rsidRPr="00A554EC">
        <w:rPr>
          <w:rFonts w:ascii="Arial" w:hAnsi="Arial"/>
          <w:b/>
          <w:sz w:val="28"/>
          <w:szCs w:val="28"/>
          <w:lang w:val="fr-FR"/>
        </w:rPr>
        <w:t>8</w:t>
      </w:r>
      <w:r w:rsidR="007C0F57" w:rsidRPr="00A554EC">
        <w:rPr>
          <w:rFonts w:ascii="Arial" w:hAnsi="Arial"/>
          <w:b/>
          <w:sz w:val="28"/>
          <w:szCs w:val="28"/>
          <w:lang w:val="fr-FR"/>
        </w:rPr>
        <w:tab/>
      </w:r>
      <w:r w:rsidR="00E25883" w:rsidRPr="00A554EC">
        <w:rPr>
          <w:rFonts w:ascii="Arial" w:hAnsi="Arial"/>
          <w:b/>
          <w:sz w:val="28"/>
          <w:szCs w:val="28"/>
          <w:lang w:val="fr-FR"/>
        </w:rPr>
        <w:t xml:space="preserve">BOSENTAN, 62.5 mg </w:t>
      </w:r>
      <w:proofErr w:type="spellStart"/>
      <w:r w:rsidR="00E25883" w:rsidRPr="00A554EC">
        <w:rPr>
          <w:rFonts w:ascii="Arial" w:hAnsi="Arial"/>
          <w:b/>
          <w:sz w:val="28"/>
          <w:szCs w:val="28"/>
          <w:lang w:val="fr-FR"/>
        </w:rPr>
        <w:t>tablet</w:t>
      </w:r>
      <w:proofErr w:type="spellEnd"/>
      <w:r w:rsidR="00E25883" w:rsidRPr="00A554EC">
        <w:rPr>
          <w:rFonts w:ascii="Arial" w:hAnsi="Arial"/>
          <w:b/>
          <w:sz w:val="28"/>
          <w:szCs w:val="28"/>
          <w:lang w:val="fr-FR"/>
        </w:rPr>
        <w:t xml:space="preserve">, 60; 125 mg </w:t>
      </w:r>
      <w:proofErr w:type="spellStart"/>
      <w:r w:rsidR="00E25883" w:rsidRPr="00A554EC">
        <w:rPr>
          <w:rFonts w:ascii="Arial" w:hAnsi="Arial"/>
          <w:b/>
          <w:sz w:val="28"/>
          <w:szCs w:val="28"/>
          <w:lang w:val="fr-FR"/>
        </w:rPr>
        <w:t>tablet</w:t>
      </w:r>
      <w:proofErr w:type="spellEnd"/>
      <w:r w:rsidR="00E25883" w:rsidRPr="00A554EC">
        <w:rPr>
          <w:rFonts w:ascii="Arial" w:hAnsi="Arial"/>
          <w:b/>
          <w:sz w:val="28"/>
          <w:szCs w:val="28"/>
          <w:lang w:val="fr-FR"/>
        </w:rPr>
        <w:t xml:space="preserve">, 60; </w:t>
      </w:r>
      <w:proofErr w:type="spellStart"/>
      <w:r w:rsidR="00E25883" w:rsidRPr="00A554EC">
        <w:rPr>
          <w:rFonts w:ascii="Arial" w:hAnsi="Arial"/>
          <w:b/>
          <w:sz w:val="28"/>
          <w:szCs w:val="28"/>
          <w:lang w:val="fr-FR"/>
        </w:rPr>
        <w:t>Tracleer</w:t>
      </w:r>
      <w:proofErr w:type="spellEnd"/>
      <w:r w:rsidR="00E25883" w:rsidRPr="00A554EC">
        <w:rPr>
          <w:rFonts w:ascii="Arial" w:hAnsi="Arial"/>
          <w:b/>
          <w:sz w:val="28"/>
          <w:szCs w:val="28"/>
          <w:vertAlign w:val="superscript"/>
          <w:lang w:val="fr-FR"/>
        </w:rPr>
        <w:t>®</w:t>
      </w:r>
    </w:p>
    <w:p w:rsidR="00E25883" w:rsidRPr="00A554EC" w:rsidRDefault="00E25883" w:rsidP="00C47B59">
      <w:pPr>
        <w:ind w:left="720" w:hanging="720"/>
        <w:rPr>
          <w:rFonts w:ascii="Arial" w:hAnsi="Arial"/>
          <w:b/>
          <w:sz w:val="28"/>
          <w:szCs w:val="28"/>
          <w:lang w:val="fr-FR"/>
        </w:rPr>
      </w:pPr>
      <w:r w:rsidRPr="00A554EC">
        <w:rPr>
          <w:rFonts w:ascii="Arial" w:hAnsi="Arial"/>
          <w:b/>
          <w:sz w:val="28"/>
          <w:szCs w:val="28"/>
          <w:lang w:val="fr-FR"/>
        </w:rPr>
        <w:tab/>
        <w:t xml:space="preserve">EPOPROSTENOL, 500 </w:t>
      </w:r>
      <w:proofErr w:type="spellStart"/>
      <w:r w:rsidRPr="00A554EC">
        <w:rPr>
          <w:rFonts w:ascii="Arial" w:hAnsi="Arial"/>
          <w:b/>
          <w:sz w:val="28"/>
          <w:szCs w:val="28"/>
          <w:lang w:val="fr-FR"/>
        </w:rPr>
        <w:t>microgram</w:t>
      </w:r>
      <w:proofErr w:type="spellEnd"/>
      <w:r w:rsidRPr="00A554EC">
        <w:rPr>
          <w:rFonts w:ascii="Arial" w:hAnsi="Arial"/>
          <w:b/>
          <w:sz w:val="28"/>
          <w:szCs w:val="28"/>
          <w:lang w:val="fr-FR"/>
        </w:rPr>
        <w:t xml:space="preserve"> injection </w:t>
      </w:r>
      <w:proofErr w:type="spellStart"/>
      <w:r w:rsidRPr="00A554EC">
        <w:rPr>
          <w:rFonts w:ascii="Arial" w:hAnsi="Arial"/>
          <w:b/>
          <w:sz w:val="28"/>
          <w:szCs w:val="28"/>
          <w:lang w:val="fr-FR"/>
        </w:rPr>
        <w:t>vial</w:t>
      </w:r>
      <w:proofErr w:type="spellEnd"/>
      <w:r w:rsidRPr="00A554EC">
        <w:rPr>
          <w:rFonts w:ascii="Arial" w:hAnsi="Arial"/>
          <w:b/>
          <w:sz w:val="28"/>
          <w:szCs w:val="28"/>
          <w:lang w:val="fr-FR"/>
        </w:rPr>
        <w:t xml:space="preserve">, 1; 1.5 mg injection </w:t>
      </w:r>
      <w:proofErr w:type="spellStart"/>
      <w:r w:rsidRPr="00A554EC">
        <w:rPr>
          <w:rFonts w:ascii="Arial" w:hAnsi="Arial"/>
          <w:b/>
          <w:sz w:val="28"/>
          <w:szCs w:val="28"/>
          <w:lang w:val="fr-FR"/>
        </w:rPr>
        <w:t>vial</w:t>
      </w:r>
      <w:proofErr w:type="spellEnd"/>
      <w:r w:rsidRPr="00A554EC">
        <w:rPr>
          <w:rFonts w:ascii="Arial" w:hAnsi="Arial"/>
          <w:b/>
          <w:sz w:val="28"/>
          <w:szCs w:val="28"/>
          <w:lang w:val="fr-FR"/>
        </w:rPr>
        <w:t xml:space="preserve">, 1; </w:t>
      </w:r>
      <w:proofErr w:type="spellStart"/>
      <w:r w:rsidRPr="00A554EC">
        <w:rPr>
          <w:rFonts w:ascii="Arial" w:hAnsi="Arial"/>
          <w:b/>
          <w:sz w:val="28"/>
          <w:szCs w:val="28"/>
          <w:lang w:val="fr-FR"/>
        </w:rPr>
        <w:t>Veletr</w:t>
      </w:r>
      <w:r w:rsidR="008F0510" w:rsidRPr="00A554EC">
        <w:rPr>
          <w:rFonts w:ascii="Arial" w:hAnsi="Arial"/>
          <w:b/>
          <w:sz w:val="28"/>
          <w:szCs w:val="28"/>
          <w:lang w:val="fr-FR"/>
        </w:rPr>
        <w:t>i</w:t>
      </w:r>
      <w:proofErr w:type="spellEnd"/>
      <w:r w:rsidRPr="00A554EC">
        <w:rPr>
          <w:rFonts w:ascii="Arial" w:hAnsi="Arial"/>
          <w:b/>
          <w:sz w:val="28"/>
          <w:szCs w:val="28"/>
          <w:vertAlign w:val="superscript"/>
          <w:lang w:val="fr-FR"/>
        </w:rPr>
        <w:t>®</w:t>
      </w:r>
    </w:p>
    <w:p w:rsidR="00E25883" w:rsidRPr="00A554EC" w:rsidRDefault="00E25883" w:rsidP="00C47B59">
      <w:pPr>
        <w:ind w:left="720" w:hanging="720"/>
        <w:rPr>
          <w:rFonts w:ascii="Arial" w:hAnsi="Arial"/>
          <w:b/>
          <w:sz w:val="28"/>
          <w:szCs w:val="28"/>
          <w:lang w:val="fr-FR"/>
        </w:rPr>
      </w:pPr>
      <w:r w:rsidRPr="00A554EC">
        <w:rPr>
          <w:rFonts w:ascii="Arial" w:hAnsi="Arial"/>
          <w:b/>
          <w:sz w:val="28"/>
          <w:szCs w:val="28"/>
          <w:lang w:val="fr-FR"/>
        </w:rPr>
        <w:tab/>
        <w:t xml:space="preserve">MACITENTAN, 10 mg </w:t>
      </w:r>
      <w:proofErr w:type="spellStart"/>
      <w:r w:rsidRPr="00A554EC">
        <w:rPr>
          <w:rFonts w:ascii="Arial" w:hAnsi="Arial"/>
          <w:b/>
          <w:sz w:val="28"/>
          <w:szCs w:val="28"/>
          <w:lang w:val="fr-FR"/>
        </w:rPr>
        <w:t>tablet</w:t>
      </w:r>
      <w:proofErr w:type="spellEnd"/>
      <w:r w:rsidRPr="00A554EC">
        <w:rPr>
          <w:rFonts w:ascii="Arial" w:hAnsi="Arial"/>
          <w:b/>
          <w:sz w:val="28"/>
          <w:szCs w:val="28"/>
          <w:lang w:val="fr-FR"/>
        </w:rPr>
        <w:t xml:space="preserve">, 30; </w:t>
      </w:r>
      <w:proofErr w:type="spellStart"/>
      <w:r w:rsidRPr="00A554EC">
        <w:rPr>
          <w:rFonts w:ascii="Arial" w:hAnsi="Arial"/>
          <w:b/>
          <w:sz w:val="28"/>
          <w:szCs w:val="28"/>
          <w:lang w:val="fr-FR"/>
        </w:rPr>
        <w:t>Opsumit</w:t>
      </w:r>
      <w:proofErr w:type="spellEnd"/>
      <w:r w:rsidRPr="00A554EC">
        <w:rPr>
          <w:rFonts w:ascii="Arial" w:hAnsi="Arial"/>
          <w:b/>
          <w:sz w:val="28"/>
          <w:szCs w:val="28"/>
          <w:vertAlign w:val="superscript"/>
          <w:lang w:val="fr-FR"/>
        </w:rPr>
        <w:t>®</w:t>
      </w:r>
    </w:p>
    <w:p w:rsidR="004C7ED2" w:rsidRDefault="004C7ED2" w:rsidP="00C47B59">
      <w:pPr>
        <w:ind w:left="720"/>
        <w:rPr>
          <w:rFonts w:ascii="Arial" w:hAnsi="Arial"/>
          <w:b/>
          <w:sz w:val="28"/>
          <w:szCs w:val="28"/>
        </w:rPr>
      </w:pPr>
      <w:proofErr w:type="spellStart"/>
      <w:r>
        <w:rPr>
          <w:rFonts w:ascii="Arial" w:hAnsi="Arial"/>
          <w:b/>
          <w:sz w:val="28"/>
          <w:szCs w:val="28"/>
        </w:rPr>
        <w:t>A</w:t>
      </w:r>
      <w:r w:rsidR="00F27CB4">
        <w:rPr>
          <w:rFonts w:ascii="Arial" w:hAnsi="Arial"/>
          <w:b/>
          <w:sz w:val="28"/>
          <w:szCs w:val="28"/>
        </w:rPr>
        <w:t>ctelion</w:t>
      </w:r>
      <w:proofErr w:type="spellEnd"/>
      <w:r w:rsidR="00F27CB4">
        <w:rPr>
          <w:rFonts w:ascii="Arial" w:hAnsi="Arial"/>
          <w:b/>
          <w:sz w:val="28"/>
          <w:szCs w:val="28"/>
        </w:rPr>
        <w:t xml:space="preserve"> Pharmaceuticals</w:t>
      </w:r>
      <w:r w:rsidR="00E25883">
        <w:rPr>
          <w:rFonts w:ascii="Arial" w:hAnsi="Arial"/>
          <w:b/>
          <w:sz w:val="28"/>
          <w:szCs w:val="28"/>
        </w:rPr>
        <w:t xml:space="preserve"> Australia Pty Ltd</w:t>
      </w:r>
    </w:p>
    <w:p w:rsidR="00C27B58" w:rsidRDefault="00C27B58" w:rsidP="00C47B59">
      <w:pPr>
        <w:pStyle w:val="NoSpacing"/>
      </w:pPr>
    </w:p>
    <w:p w:rsidR="00CE10C4" w:rsidRPr="00882085" w:rsidRDefault="00CE10C4" w:rsidP="00C47B59">
      <w:pPr>
        <w:pStyle w:val="ListParagraph"/>
        <w:numPr>
          <w:ilvl w:val="0"/>
          <w:numId w:val="2"/>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C47B59">
      <w:pPr>
        <w:jc w:val="both"/>
        <w:rPr>
          <w:rFonts w:ascii="Arial" w:hAnsi="Arial"/>
          <w:sz w:val="22"/>
          <w:szCs w:val="22"/>
        </w:rPr>
      </w:pPr>
    </w:p>
    <w:p w:rsidR="00FB4893" w:rsidRPr="00FB4893" w:rsidRDefault="00EF44A0" w:rsidP="00C47B59">
      <w:pPr>
        <w:pStyle w:val="ListParagraph"/>
        <w:numPr>
          <w:ilvl w:val="1"/>
          <w:numId w:val="2"/>
        </w:numPr>
        <w:jc w:val="both"/>
        <w:rPr>
          <w:rFonts w:ascii="Arial" w:hAnsi="Arial"/>
          <w:b/>
          <w:sz w:val="22"/>
          <w:szCs w:val="22"/>
        </w:rPr>
      </w:pPr>
      <w:r w:rsidRPr="00FB4893">
        <w:rPr>
          <w:rFonts w:ascii="Arial" w:hAnsi="Arial"/>
          <w:sz w:val="22"/>
          <w:szCs w:val="22"/>
        </w:rPr>
        <w:t xml:space="preserve">The minor submission </w:t>
      </w:r>
      <w:r w:rsidR="007F5A25" w:rsidRPr="00FB4893">
        <w:rPr>
          <w:rFonts w:ascii="Arial" w:hAnsi="Arial"/>
          <w:sz w:val="22"/>
          <w:szCs w:val="22"/>
        </w:rPr>
        <w:t>request</w:t>
      </w:r>
      <w:r w:rsidR="007F5A25">
        <w:rPr>
          <w:rFonts w:ascii="Arial" w:hAnsi="Arial"/>
          <w:sz w:val="22"/>
          <w:szCs w:val="22"/>
        </w:rPr>
        <w:t>ed</w:t>
      </w:r>
      <w:r w:rsidR="007F5A25" w:rsidRPr="00FB4893">
        <w:rPr>
          <w:rFonts w:ascii="Arial" w:hAnsi="Arial"/>
          <w:sz w:val="22"/>
          <w:szCs w:val="22"/>
        </w:rPr>
        <w:t xml:space="preserve"> </w:t>
      </w:r>
      <w:r w:rsidRPr="00FB4893">
        <w:rPr>
          <w:rFonts w:ascii="Arial" w:hAnsi="Arial"/>
          <w:sz w:val="22"/>
          <w:szCs w:val="22"/>
        </w:rPr>
        <w:t>amending</w:t>
      </w:r>
      <w:r w:rsidR="00AC5BEA" w:rsidRPr="00FB4893">
        <w:rPr>
          <w:rFonts w:ascii="Arial" w:hAnsi="Arial"/>
          <w:sz w:val="22"/>
          <w:szCs w:val="22"/>
        </w:rPr>
        <w:t xml:space="preserve"> the current ‘continuing treatment’ restriction</w:t>
      </w:r>
      <w:r w:rsidR="00E83EBB" w:rsidRPr="00FB4893">
        <w:rPr>
          <w:rFonts w:ascii="Arial" w:hAnsi="Arial"/>
          <w:sz w:val="22"/>
          <w:szCs w:val="22"/>
        </w:rPr>
        <w:t xml:space="preserve"> of pulmonary arterial hypertension (PAH) agents</w:t>
      </w:r>
      <w:r w:rsidR="00AC5BEA" w:rsidRPr="00FB4893">
        <w:rPr>
          <w:rFonts w:ascii="Arial" w:hAnsi="Arial"/>
          <w:sz w:val="22"/>
          <w:szCs w:val="22"/>
        </w:rPr>
        <w:t xml:space="preserve"> to</w:t>
      </w:r>
      <w:r w:rsidR="00FB4893">
        <w:rPr>
          <w:rFonts w:ascii="Arial" w:hAnsi="Arial"/>
          <w:sz w:val="22"/>
          <w:szCs w:val="22"/>
        </w:rPr>
        <w:t xml:space="preserve"> remove the requirement that</w:t>
      </w:r>
      <w:r w:rsidR="00FB4893" w:rsidRPr="00FB4893">
        <w:rPr>
          <w:rFonts w:ascii="Arial" w:hAnsi="Arial"/>
          <w:sz w:val="22"/>
          <w:szCs w:val="22"/>
        </w:rPr>
        <w:t>:</w:t>
      </w:r>
    </w:p>
    <w:p w:rsidR="005973CC" w:rsidRPr="005973CC" w:rsidRDefault="00AC5BEA" w:rsidP="00C47B59">
      <w:pPr>
        <w:pStyle w:val="ListParagraph"/>
        <w:numPr>
          <w:ilvl w:val="0"/>
          <w:numId w:val="4"/>
        </w:numPr>
        <w:ind w:left="1134" w:hanging="414"/>
        <w:jc w:val="both"/>
        <w:rPr>
          <w:rFonts w:ascii="Arial" w:hAnsi="Arial"/>
          <w:b/>
          <w:sz w:val="22"/>
          <w:szCs w:val="22"/>
        </w:rPr>
      </w:pPr>
      <w:r w:rsidRPr="00FB4893">
        <w:rPr>
          <w:rFonts w:ascii="Arial" w:hAnsi="Arial"/>
          <w:sz w:val="22"/>
          <w:szCs w:val="22"/>
        </w:rPr>
        <w:t>the patient must have been assessed as having achieved a response to their most recent course of treatment; and</w:t>
      </w:r>
    </w:p>
    <w:p w:rsidR="006A12A5" w:rsidRPr="00FB4893" w:rsidRDefault="00AC5BEA" w:rsidP="00C47B59">
      <w:pPr>
        <w:pStyle w:val="ListParagraph"/>
        <w:numPr>
          <w:ilvl w:val="0"/>
          <w:numId w:val="4"/>
        </w:numPr>
        <w:ind w:left="1134" w:hanging="414"/>
        <w:jc w:val="both"/>
        <w:rPr>
          <w:rFonts w:ascii="Arial" w:hAnsi="Arial"/>
          <w:b/>
          <w:sz w:val="22"/>
          <w:szCs w:val="22"/>
        </w:rPr>
      </w:pPr>
      <w:proofErr w:type="gramStart"/>
      <w:r w:rsidRPr="00FB4893">
        <w:rPr>
          <w:rFonts w:ascii="Arial" w:hAnsi="Arial"/>
          <w:sz w:val="22"/>
          <w:szCs w:val="22"/>
        </w:rPr>
        <w:t>clinicians</w:t>
      </w:r>
      <w:proofErr w:type="gramEnd"/>
      <w:r w:rsidRPr="00FB4893">
        <w:rPr>
          <w:rFonts w:ascii="Arial" w:hAnsi="Arial"/>
          <w:sz w:val="22"/>
          <w:szCs w:val="22"/>
        </w:rPr>
        <w:t xml:space="preserve"> must provide evidence that a patient has been assessed as having achieved response when wanting to prescribe continued treatment.</w:t>
      </w:r>
    </w:p>
    <w:p w:rsidR="00EF44A0" w:rsidRPr="00C27B58" w:rsidRDefault="00EF44A0" w:rsidP="00C47B59">
      <w:pPr>
        <w:pStyle w:val="NoSpacing"/>
      </w:pPr>
    </w:p>
    <w:p w:rsidR="00614159" w:rsidRPr="00882085" w:rsidRDefault="006A12A5" w:rsidP="00C47B59">
      <w:pPr>
        <w:pStyle w:val="ListParagraph"/>
        <w:numPr>
          <w:ilvl w:val="0"/>
          <w:numId w:val="2"/>
        </w:numPr>
        <w:jc w:val="both"/>
        <w:rPr>
          <w:rFonts w:ascii="Arial" w:hAnsi="Arial"/>
          <w:b/>
          <w:sz w:val="22"/>
          <w:szCs w:val="22"/>
        </w:rPr>
      </w:pPr>
      <w:r w:rsidRPr="00882085">
        <w:rPr>
          <w:rFonts w:ascii="Arial" w:hAnsi="Arial"/>
          <w:b/>
          <w:sz w:val="22"/>
          <w:szCs w:val="22"/>
        </w:rPr>
        <w:t>Requested listing</w:t>
      </w:r>
    </w:p>
    <w:p w:rsidR="006A12A5" w:rsidRPr="00882085" w:rsidRDefault="006A12A5" w:rsidP="00C47B59">
      <w:pPr>
        <w:jc w:val="both"/>
        <w:rPr>
          <w:rFonts w:ascii="Arial" w:hAnsi="Arial"/>
          <w:b/>
          <w:sz w:val="22"/>
          <w:szCs w:val="22"/>
        </w:rPr>
      </w:pPr>
    </w:p>
    <w:p w:rsidR="00826F6D" w:rsidRPr="00826F6D" w:rsidRDefault="00EF44A0" w:rsidP="00C47B59">
      <w:pPr>
        <w:pStyle w:val="ListParagraph"/>
        <w:numPr>
          <w:ilvl w:val="1"/>
          <w:numId w:val="2"/>
        </w:numPr>
        <w:jc w:val="both"/>
        <w:rPr>
          <w:rFonts w:ascii="Arial" w:hAnsi="Arial"/>
          <w:sz w:val="22"/>
          <w:szCs w:val="22"/>
        </w:rPr>
      </w:pPr>
      <w:r>
        <w:rPr>
          <w:rFonts w:ascii="Arial" w:hAnsi="Arial"/>
          <w:sz w:val="22"/>
          <w:szCs w:val="22"/>
        </w:rPr>
        <w:t xml:space="preserve">The submission </w:t>
      </w:r>
      <w:r w:rsidR="003A0195">
        <w:rPr>
          <w:rFonts w:ascii="Arial" w:hAnsi="Arial"/>
          <w:sz w:val="22"/>
          <w:szCs w:val="22"/>
        </w:rPr>
        <w:t xml:space="preserve">sought </w:t>
      </w:r>
      <w:r>
        <w:rPr>
          <w:rFonts w:ascii="Arial" w:hAnsi="Arial"/>
          <w:sz w:val="22"/>
          <w:szCs w:val="22"/>
        </w:rPr>
        <w:t xml:space="preserve">the following changes to the existing </w:t>
      </w:r>
      <w:r w:rsidR="00DB0991">
        <w:rPr>
          <w:rFonts w:ascii="Arial" w:hAnsi="Arial"/>
          <w:sz w:val="22"/>
          <w:szCs w:val="22"/>
        </w:rPr>
        <w:t xml:space="preserve">‘continuing’ </w:t>
      </w:r>
      <w:r w:rsidR="0076420C">
        <w:rPr>
          <w:rFonts w:ascii="Arial" w:hAnsi="Arial"/>
          <w:sz w:val="22"/>
          <w:szCs w:val="22"/>
        </w:rPr>
        <w:t>restriction</w:t>
      </w:r>
      <w:r w:rsidR="00D01406">
        <w:rPr>
          <w:rFonts w:ascii="Arial" w:hAnsi="Arial"/>
          <w:sz w:val="22"/>
          <w:szCs w:val="22"/>
        </w:rPr>
        <w:t xml:space="preserve"> for current listings of PAH agents </w:t>
      </w:r>
      <w:r w:rsidR="00D01406" w:rsidRPr="000F665F">
        <w:rPr>
          <w:rFonts w:ascii="Arial" w:hAnsi="Arial"/>
          <w:sz w:val="22"/>
          <w:szCs w:val="22"/>
        </w:rPr>
        <w:t>(the restriction below does not include administrative advice or cautions, which differ between the individual PAH agents</w:t>
      </w:r>
      <w:r w:rsidR="007F7967" w:rsidRPr="000F665F">
        <w:rPr>
          <w:rFonts w:ascii="Arial" w:hAnsi="Arial"/>
          <w:sz w:val="22"/>
          <w:szCs w:val="22"/>
        </w:rPr>
        <w:t xml:space="preserve"> and are not affected by the proposed changes</w:t>
      </w:r>
      <w:r w:rsidR="00D01406" w:rsidRPr="000F665F">
        <w:rPr>
          <w:rFonts w:ascii="Arial" w:hAnsi="Arial"/>
          <w:sz w:val="22"/>
          <w:szCs w:val="22"/>
        </w:rPr>
        <w:t>)</w:t>
      </w:r>
      <w:r w:rsidR="00826F6D" w:rsidRPr="000F665F">
        <w:rPr>
          <w:rFonts w:ascii="Arial" w:hAnsi="Arial"/>
          <w:sz w:val="22"/>
          <w:szCs w:val="22"/>
        </w:rPr>
        <w:t>:</w:t>
      </w:r>
    </w:p>
    <w:p w:rsidR="00826F6D" w:rsidRPr="00C27B58" w:rsidRDefault="00826F6D" w:rsidP="00C47B59">
      <w:pPr>
        <w:pStyle w:val="NoSpacing"/>
      </w:pPr>
    </w:p>
    <w:tbl>
      <w:tblPr>
        <w:tblW w:w="8363" w:type="dxa"/>
        <w:tblInd w:w="817" w:type="dxa"/>
        <w:tblLayout w:type="fixed"/>
        <w:tblLook w:val="0000" w:firstRow="0" w:lastRow="0" w:firstColumn="0" w:lastColumn="0" w:noHBand="0" w:noVBand="0"/>
      </w:tblPr>
      <w:tblGrid>
        <w:gridCol w:w="1985"/>
        <w:gridCol w:w="1417"/>
        <w:gridCol w:w="992"/>
        <w:gridCol w:w="709"/>
        <w:gridCol w:w="1276"/>
        <w:gridCol w:w="1984"/>
      </w:tblGrid>
      <w:tr w:rsidR="0093477A" w:rsidRPr="0039782C" w:rsidTr="00BF253A">
        <w:trPr>
          <w:cantSplit/>
          <w:trHeight w:val="471"/>
        </w:trPr>
        <w:tc>
          <w:tcPr>
            <w:tcW w:w="3402" w:type="dxa"/>
            <w:gridSpan w:val="2"/>
          </w:tcPr>
          <w:p w:rsidR="0093477A" w:rsidRPr="0039782C" w:rsidRDefault="0093477A" w:rsidP="00C47B59">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93477A" w:rsidRPr="0039782C" w:rsidRDefault="0093477A" w:rsidP="00C47B59">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992" w:type="dxa"/>
          </w:tcPr>
          <w:p w:rsidR="0093477A" w:rsidRPr="0039782C" w:rsidRDefault="0093477A" w:rsidP="0093477A">
            <w:pPr>
              <w:keepNext/>
              <w:ind w:left="-108"/>
              <w:jc w:val="center"/>
              <w:rPr>
                <w:rFonts w:ascii="Arial Narrow" w:hAnsi="Arial Narrow" w:cs="Arial"/>
                <w:b/>
                <w:sz w:val="20"/>
                <w:szCs w:val="20"/>
              </w:rPr>
            </w:pPr>
            <w:r w:rsidRPr="0039782C">
              <w:rPr>
                <w:rFonts w:ascii="Arial Narrow" w:hAnsi="Arial Narrow" w:cs="Arial"/>
                <w:b/>
                <w:sz w:val="20"/>
                <w:szCs w:val="20"/>
              </w:rPr>
              <w:t>Max.</w:t>
            </w:r>
          </w:p>
          <w:p w:rsidR="0093477A" w:rsidRPr="0039782C" w:rsidRDefault="0093477A" w:rsidP="0093477A">
            <w:pPr>
              <w:keepNext/>
              <w:ind w:left="-108"/>
              <w:jc w:val="center"/>
              <w:rPr>
                <w:rFonts w:ascii="Arial Narrow" w:hAnsi="Arial Narrow" w:cs="Arial"/>
                <w:b/>
                <w:sz w:val="20"/>
                <w:szCs w:val="20"/>
              </w:rPr>
            </w:pPr>
            <w:r w:rsidRPr="0039782C">
              <w:rPr>
                <w:rFonts w:ascii="Arial Narrow" w:hAnsi="Arial Narrow" w:cs="Arial"/>
                <w:b/>
                <w:sz w:val="20"/>
                <w:szCs w:val="20"/>
              </w:rPr>
              <w:t>Qty</w:t>
            </w:r>
            <w:r>
              <w:rPr>
                <w:rFonts w:ascii="Arial Narrow" w:hAnsi="Arial Narrow" w:cs="Arial"/>
                <w:b/>
                <w:sz w:val="20"/>
                <w:szCs w:val="20"/>
              </w:rPr>
              <w:t xml:space="preserve"> packs</w:t>
            </w:r>
          </w:p>
        </w:tc>
        <w:tc>
          <w:tcPr>
            <w:tcW w:w="709" w:type="dxa"/>
          </w:tcPr>
          <w:p w:rsidR="0093477A" w:rsidRPr="0039782C" w:rsidRDefault="0093477A" w:rsidP="0093477A">
            <w:pPr>
              <w:keepNext/>
              <w:ind w:left="-108"/>
              <w:jc w:val="center"/>
              <w:rPr>
                <w:rFonts w:ascii="Arial Narrow" w:hAnsi="Arial Narrow" w:cs="Arial"/>
                <w:b/>
                <w:sz w:val="20"/>
                <w:szCs w:val="20"/>
              </w:rPr>
            </w:pPr>
            <w:r w:rsidRPr="0039782C">
              <w:rPr>
                <w:rFonts w:ascii="Arial Narrow" w:hAnsi="Arial Narrow" w:cs="Arial"/>
                <w:b/>
                <w:sz w:val="20"/>
                <w:szCs w:val="20"/>
              </w:rPr>
              <w:t>№.of</w:t>
            </w:r>
          </w:p>
          <w:p w:rsidR="0093477A" w:rsidRPr="0039782C" w:rsidRDefault="0093477A" w:rsidP="0093477A">
            <w:pPr>
              <w:keepNext/>
              <w:ind w:left="-108"/>
              <w:jc w:val="center"/>
              <w:rPr>
                <w:rFonts w:ascii="Arial Narrow" w:hAnsi="Arial Narrow" w:cs="Arial"/>
                <w:b/>
                <w:sz w:val="20"/>
                <w:szCs w:val="20"/>
              </w:rPr>
            </w:pPr>
            <w:r w:rsidRPr="0039782C">
              <w:rPr>
                <w:rFonts w:ascii="Arial Narrow" w:hAnsi="Arial Narrow" w:cs="Arial"/>
                <w:b/>
                <w:sz w:val="20"/>
                <w:szCs w:val="20"/>
              </w:rPr>
              <w:t>Rpts</w:t>
            </w:r>
          </w:p>
        </w:tc>
        <w:tc>
          <w:tcPr>
            <w:tcW w:w="3260" w:type="dxa"/>
            <w:gridSpan w:val="2"/>
          </w:tcPr>
          <w:p w:rsidR="0093477A" w:rsidRPr="0039782C" w:rsidRDefault="0093477A" w:rsidP="00C47B59">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93477A" w:rsidRPr="00260CE3" w:rsidTr="00BF253A">
        <w:trPr>
          <w:cantSplit/>
          <w:trHeight w:val="577"/>
        </w:trPr>
        <w:tc>
          <w:tcPr>
            <w:tcW w:w="3402" w:type="dxa"/>
            <w:gridSpan w:val="2"/>
          </w:tcPr>
          <w:p w:rsidR="0093477A" w:rsidRPr="00A554EC" w:rsidRDefault="0093477A" w:rsidP="00C47B59">
            <w:pPr>
              <w:keepNext/>
              <w:ind w:left="-108"/>
              <w:jc w:val="both"/>
              <w:rPr>
                <w:rFonts w:ascii="Arial Narrow" w:hAnsi="Arial Narrow" w:cs="Arial"/>
                <w:sz w:val="20"/>
                <w:szCs w:val="20"/>
                <w:lang w:val="fr-FR"/>
              </w:rPr>
            </w:pPr>
            <w:r w:rsidRPr="00A554EC">
              <w:rPr>
                <w:rFonts w:ascii="Arial Narrow" w:hAnsi="Arial Narrow" w:cs="Arial"/>
                <w:smallCaps/>
                <w:sz w:val="20"/>
                <w:szCs w:val="20"/>
                <w:lang w:val="fr-FR"/>
              </w:rPr>
              <w:t>BOSENTAN</w:t>
            </w:r>
          </w:p>
          <w:p w:rsidR="0093477A" w:rsidRPr="00A554EC" w:rsidRDefault="0093477A" w:rsidP="00C47B59">
            <w:pPr>
              <w:keepNext/>
              <w:ind w:left="-108"/>
              <w:jc w:val="both"/>
              <w:rPr>
                <w:rFonts w:ascii="Arial Narrow" w:hAnsi="Arial Narrow" w:cs="Arial"/>
                <w:sz w:val="20"/>
                <w:szCs w:val="20"/>
                <w:lang w:val="fr-FR"/>
              </w:rPr>
            </w:pPr>
            <w:proofErr w:type="spellStart"/>
            <w:r w:rsidRPr="00A554EC">
              <w:rPr>
                <w:rFonts w:ascii="Arial Narrow" w:hAnsi="Arial Narrow" w:cs="Arial"/>
                <w:sz w:val="20"/>
                <w:szCs w:val="20"/>
                <w:lang w:val="fr-FR"/>
              </w:rPr>
              <w:t>bosentan</w:t>
            </w:r>
            <w:proofErr w:type="spellEnd"/>
            <w:r w:rsidRPr="00A554EC">
              <w:rPr>
                <w:rFonts w:ascii="Arial Narrow" w:hAnsi="Arial Narrow" w:cs="Arial"/>
                <w:sz w:val="20"/>
                <w:szCs w:val="20"/>
                <w:lang w:val="fr-FR"/>
              </w:rPr>
              <w:t xml:space="preserve"> 62.5 mg </w:t>
            </w:r>
            <w:proofErr w:type="spellStart"/>
            <w:r w:rsidRPr="00A554EC">
              <w:rPr>
                <w:rFonts w:ascii="Arial Narrow" w:hAnsi="Arial Narrow" w:cs="Arial"/>
                <w:sz w:val="20"/>
                <w:szCs w:val="20"/>
                <w:lang w:val="fr-FR"/>
              </w:rPr>
              <w:t>tablet</w:t>
            </w:r>
            <w:proofErr w:type="spellEnd"/>
            <w:r w:rsidRPr="00A554EC">
              <w:rPr>
                <w:rFonts w:ascii="Arial Narrow" w:hAnsi="Arial Narrow" w:cs="Arial"/>
                <w:sz w:val="20"/>
                <w:szCs w:val="20"/>
                <w:lang w:val="fr-FR"/>
              </w:rPr>
              <w:t>, 60</w:t>
            </w:r>
          </w:p>
          <w:p w:rsidR="0093477A" w:rsidRPr="00A554EC" w:rsidRDefault="0093477A" w:rsidP="00EE5914">
            <w:pPr>
              <w:keepNext/>
              <w:ind w:left="-108"/>
              <w:jc w:val="both"/>
              <w:rPr>
                <w:rFonts w:ascii="Arial Narrow" w:hAnsi="Arial Narrow" w:cs="Arial"/>
                <w:sz w:val="20"/>
                <w:szCs w:val="20"/>
                <w:lang w:val="fr-FR"/>
              </w:rPr>
            </w:pPr>
            <w:proofErr w:type="spellStart"/>
            <w:r w:rsidRPr="00A554EC">
              <w:rPr>
                <w:rFonts w:ascii="Arial Narrow" w:hAnsi="Arial Narrow" w:cs="Arial"/>
                <w:sz w:val="20"/>
                <w:szCs w:val="20"/>
                <w:lang w:val="fr-FR"/>
              </w:rPr>
              <w:t>bosentan</w:t>
            </w:r>
            <w:proofErr w:type="spellEnd"/>
            <w:r w:rsidRPr="00A554EC">
              <w:rPr>
                <w:rFonts w:ascii="Arial Narrow" w:hAnsi="Arial Narrow" w:cs="Arial"/>
                <w:sz w:val="20"/>
                <w:szCs w:val="20"/>
                <w:lang w:val="fr-FR"/>
              </w:rPr>
              <w:t xml:space="preserve"> 125 mg </w:t>
            </w:r>
            <w:proofErr w:type="spellStart"/>
            <w:r w:rsidRPr="00A554EC">
              <w:rPr>
                <w:rFonts w:ascii="Arial Narrow" w:hAnsi="Arial Narrow" w:cs="Arial"/>
                <w:sz w:val="20"/>
                <w:szCs w:val="20"/>
                <w:lang w:val="fr-FR"/>
              </w:rPr>
              <w:t>tablet</w:t>
            </w:r>
            <w:proofErr w:type="spellEnd"/>
            <w:r w:rsidRPr="00A554EC">
              <w:rPr>
                <w:rFonts w:ascii="Arial Narrow" w:hAnsi="Arial Narrow" w:cs="Arial"/>
                <w:sz w:val="20"/>
                <w:szCs w:val="20"/>
                <w:lang w:val="fr-FR"/>
              </w:rPr>
              <w:t>, 60</w:t>
            </w:r>
          </w:p>
          <w:p w:rsidR="0093477A" w:rsidRPr="00A554EC" w:rsidRDefault="0093477A" w:rsidP="00EE5914">
            <w:pPr>
              <w:keepNext/>
              <w:ind w:left="-108"/>
              <w:jc w:val="both"/>
              <w:rPr>
                <w:rFonts w:ascii="Arial Narrow" w:hAnsi="Arial Narrow" w:cs="Arial"/>
                <w:sz w:val="20"/>
                <w:szCs w:val="20"/>
                <w:lang w:val="fr-FR"/>
              </w:rPr>
            </w:pPr>
          </w:p>
        </w:tc>
        <w:tc>
          <w:tcPr>
            <w:tcW w:w="992" w:type="dxa"/>
          </w:tcPr>
          <w:p w:rsidR="0093477A" w:rsidRPr="00A554EC" w:rsidRDefault="0093477A" w:rsidP="00C47B59">
            <w:pPr>
              <w:keepNext/>
              <w:ind w:left="-108"/>
              <w:jc w:val="center"/>
              <w:rPr>
                <w:rFonts w:ascii="Arial Narrow" w:hAnsi="Arial Narrow" w:cs="Arial"/>
                <w:sz w:val="20"/>
                <w:szCs w:val="20"/>
                <w:lang w:val="fr-FR"/>
              </w:rPr>
            </w:pPr>
          </w:p>
          <w:p w:rsidR="0093477A" w:rsidRDefault="0093477A" w:rsidP="00C47B59">
            <w:pPr>
              <w:keepNext/>
              <w:ind w:left="-108"/>
              <w:jc w:val="center"/>
              <w:rPr>
                <w:rFonts w:ascii="Arial Narrow" w:hAnsi="Arial Narrow" w:cs="Arial"/>
                <w:sz w:val="20"/>
                <w:szCs w:val="20"/>
              </w:rPr>
            </w:pPr>
            <w:r>
              <w:rPr>
                <w:rFonts w:ascii="Arial Narrow" w:hAnsi="Arial Narrow" w:cs="Arial"/>
                <w:sz w:val="20"/>
                <w:szCs w:val="20"/>
              </w:rPr>
              <w:t>1</w:t>
            </w:r>
          </w:p>
          <w:p w:rsidR="0093477A" w:rsidRPr="00260CE3" w:rsidRDefault="0093477A" w:rsidP="00EE5914">
            <w:pPr>
              <w:keepNext/>
              <w:ind w:left="-108"/>
              <w:jc w:val="center"/>
              <w:rPr>
                <w:rFonts w:ascii="Arial Narrow" w:hAnsi="Arial Narrow" w:cs="Arial"/>
                <w:sz w:val="20"/>
                <w:szCs w:val="20"/>
              </w:rPr>
            </w:pPr>
            <w:r>
              <w:rPr>
                <w:rFonts w:ascii="Arial Narrow" w:hAnsi="Arial Narrow" w:cs="Arial"/>
                <w:sz w:val="20"/>
                <w:szCs w:val="20"/>
              </w:rPr>
              <w:t>1</w:t>
            </w:r>
          </w:p>
        </w:tc>
        <w:tc>
          <w:tcPr>
            <w:tcW w:w="709" w:type="dxa"/>
          </w:tcPr>
          <w:p w:rsidR="0093477A" w:rsidRPr="00260CE3" w:rsidRDefault="0093477A" w:rsidP="00C47B59">
            <w:pPr>
              <w:keepNext/>
              <w:ind w:left="-108"/>
              <w:jc w:val="center"/>
              <w:rPr>
                <w:rFonts w:ascii="Arial Narrow" w:hAnsi="Arial Narrow" w:cs="Arial"/>
                <w:sz w:val="20"/>
                <w:szCs w:val="20"/>
              </w:rPr>
            </w:pPr>
          </w:p>
          <w:p w:rsidR="0093477A" w:rsidRDefault="0093477A" w:rsidP="00C47B59">
            <w:pPr>
              <w:keepNext/>
              <w:ind w:left="-108"/>
              <w:jc w:val="center"/>
              <w:rPr>
                <w:rFonts w:ascii="Arial Narrow" w:hAnsi="Arial Narrow" w:cs="Arial"/>
                <w:sz w:val="20"/>
                <w:szCs w:val="20"/>
              </w:rPr>
            </w:pPr>
            <w:r>
              <w:rPr>
                <w:rFonts w:ascii="Arial Narrow" w:hAnsi="Arial Narrow" w:cs="Arial"/>
                <w:sz w:val="20"/>
                <w:szCs w:val="20"/>
              </w:rPr>
              <w:t>0</w:t>
            </w:r>
          </w:p>
          <w:p w:rsidR="0093477A" w:rsidRPr="00260CE3" w:rsidRDefault="0093477A" w:rsidP="00EE5914">
            <w:pPr>
              <w:keepNext/>
              <w:ind w:left="-108"/>
              <w:jc w:val="center"/>
              <w:rPr>
                <w:rFonts w:ascii="Arial Narrow" w:hAnsi="Arial Narrow" w:cs="Arial"/>
                <w:sz w:val="20"/>
                <w:szCs w:val="20"/>
              </w:rPr>
            </w:pPr>
            <w:r>
              <w:rPr>
                <w:rFonts w:ascii="Arial Narrow" w:hAnsi="Arial Narrow" w:cs="Arial"/>
                <w:sz w:val="20"/>
                <w:szCs w:val="20"/>
              </w:rPr>
              <w:t>0</w:t>
            </w:r>
          </w:p>
        </w:tc>
        <w:tc>
          <w:tcPr>
            <w:tcW w:w="1276" w:type="dxa"/>
          </w:tcPr>
          <w:p w:rsidR="0093477A" w:rsidRPr="00260CE3" w:rsidRDefault="0093477A" w:rsidP="00C47B59">
            <w:pPr>
              <w:keepNext/>
              <w:jc w:val="both"/>
              <w:rPr>
                <w:rFonts w:ascii="Arial Narrow" w:hAnsi="Arial Narrow" w:cs="Arial"/>
                <w:sz w:val="20"/>
                <w:szCs w:val="20"/>
              </w:rPr>
            </w:pPr>
            <w:proofErr w:type="spellStart"/>
            <w:r>
              <w:rPr>
                <w:rFonts w:ascii="Arial Narrow" w:hAnsi="Arial Narrow" w:cs="Arial"/>
                <w:sz w:val="20"/>
                <w:szCs w:val="20"/>
              </w:rPr>
              <w:t>Tracleer</w:t>
            </w:r>
            <w:proofErr w:type="spellEnd"/>
          </w:p>
        </w:tc>
        <w:tc>
          <w:tcPr>
            <w:tcW w:w="1984" w:type="dxa"/>
          </w:tcPr>
          <w:p w:rsidR="0093477A" w:rsidRPr="00260CE3" w:rsidRDefault="0093477A" w:rsidP="00C47B59">
            <w:pPr>
              <w:keepNext/>
              <w:jc w:val="both"/>
              <w:rPr>
                <w:rFonts w:ascii="Arial Narrow" w:hAnsi="Arial Narrow" w:cs="Arial"/>
                <w:sz w:val="20"/>
                <w:szCs w:val="20"/>
              </w:rPr>
            </w:pPr>
            <w:proofErr w:type="spellStart"/>
            <w:r>
              <w:rPr>
                <w:rFonts w:ascii="Arial Narrow" w:hAnsi="Arial Narrow" w:cs="Arial"/>
                <w:sz w:val="20"/>
                <w:szCs w:val="20"/>
              </w:rPr>
              <w:t>Actelion</w:t>
            </w:r>
            <w:proofErr w:type="spellEnd"/>
            <w:r>
              <w:rPr>
                <w:rFonts w:ascii="Arial Narrow" w:hAnsi="Arial Narrow" w:cs="Arial"/>
                <w:sz w:val="20"/>
                <w:szCs w:val="20"/>
              </w:rPr>
              <w:t xml:space="preserve"> Pharmaceuticals</w:t>
            </w:r>
          </w:p>
        </w:tc>
      </w:tr>
      <w:tr w:rsidR="0093477A" w:rsidRPr="00260CE3" w:rsidTr="00BF253A">
        <w:trPr>
          <w:cantSplit/>
          <w:trHeight w:val="577"/>
        </w:trPr>
        <w:tc>
          <w:tcPr>
            <w:tcW w:w="3402" w:type="dxa"/>
            <w:gridSpan w:val="2"/>
          </w:tcPr>
          <w:p w:rsidR="0093477A" w:rsidRDefault="0093477A" w:rsidP="00EE5914">
            <w:pPr>
              <w:keepNext/>
              <w:ind w:left="-108"/>
              <w:jc w:val="both"/>
              <w:rPr>
                <w:rFonts w:ascii="Arial Narrow" w:hAnsi="Arial Narrow" w:cs="Arial"/>
                <w:sz w:val="20"/>
                <w:szCs w:val="20"/>
              </w:rPr>
            </w:pPr>
            <w:r>
              <w:rPr>
                <w:rFonts w:ascii="Arial Narrow" w:hAnsi="Arial Narrow" w:cs="Arial"/>
                <w:sz w:val="20"/>
                <w:szCs w:val="20"/>
              </w:rPr>
              <w:t>EPOPROSTENOL</w:t>
            </w:r>
          </w:p>
          <w:p w:rsidR="0093477A" w:rsidRDefault="0093477A" w:rsidP="00EE5914">
            <w:pPr>
              <w:keepNext/>
              <w:ind w:left="-108"/>
              <w:jc w:val="both"/>
              <w:rPr>
                <w:rFonts w:ascii="Arial Narrow" w:hAnsi="Arial Narrow" w:cs="Arial"/>
                <w:sz w:val="20"/>
                <w:szCs w:val="20"/>
              </w:rPr>
            </w:pPr>
            <w:proofErr w:type="spellStart"/>
            <w:r w:rsidRPr="008F0510">
              <w:rPr>
                <w:rFonts w:ascii="Arial Narrow" w:hAnsi="Arial Narrow" w:cs="Arial"/>
                <w:sz w:val="20"/>
                <w:szCs w:val="20"/>
              </w:rPr>
              <w:t>epoprostenol</w:t>
            </w:r>
            <w:proofErr w:type="spellEnd"/>
            <w:r w:rsidRPr="008F0510">
              <w:rPr>
                <w:rFonts w:ascii="Arial Narrow" w:hAnsi="Arial Narrow" w:cs="Arial"/>
                <w:sz w:val="20"/>
                <w:szCs w:val="20"/>
              </w:rPr>
              <w:t xml:space="preserve"> 500 microgram injection, 1</w:t>
            </w:r>
            <w:r>
              <w:rPr>
                <w:rFonts w:ascii="Arial Narrow" w:hAnsi="Arial Narrow" w:cs="Arial"/>
                <w:sz w:val="20"/>
                <w:szCs w:val="20"/>
              </w:rPr>
              <w:t> </w:t>
            </w:r>
            <w:r w:rsidRPr="008F0510">
              <w:rPr>
                <w:rFonts w:ascii="Arial Narrow" w:hAnsi="Arial Narrow" w:cs="Arial"/>
                <w:sz w:val="20"/>
                <w:szCs w:val="20"/>
              </w:rPr>
              <w:t>x</w:t>
            </w:r>
            <w:r>
              <w:rPr>
                <w:rFonts w:ascii="Arial Narrow" w:hAnsi="Arial Narrow" w:cs="Arial"/>
                <w:sz w:val="20"/>
                <w:szCs w:val="20"/>
              </w:rPr>
              <w:t> </w:t>
            </w:r>
            <w:r w:rsidRPr="008F0510">
              <w:rPr>
                <w:rFonts w:ascii="Arial Narrow" w:hAnsi="Arial Narrow" w:cs="Arial"/>
                <w:sz w:val="20"/>
                <w:szCs w:val="20"/>
              </w:rPr>
              <w:t>500 microgram vial</w:t>
            </w:r>
          </w:p>
          <w:p w:rsidR="0093477A" w:rsidRDefault="0093477A" w:rsidP="00EE5914">
            <w:pPr>
              <w:keepNext/>
              <w:ind w:left="-108"/>
              <w:jc w:val="both"/>
              <w:rPr>
                <w:rFonts w:ascii="Arial Narrow" w:hAnsi="Arial Narrow" w:cs="Arial"/>
                <w:sz w:val="20"/>
                <w:szCs w:val="20"/>
              </w:rPr>
            </w:pPr>
            <w:proofErr w:type="spellStart"/>
            <w:r w:rsidRPr="008F0510">
              <w:rPr>
                <w:rFonts w:ascii="Arial Narrow" w:hAnsi="Arial Narrow" w:cs="Arial"/>
                <w:sz w:val="20"/>
                <w:szCs w:val="20"/>
              </w:rPr>
              <w:t>epoprostenol</w:t>
            </w:r>
            <w:proofErr w:type="spellEnd"/>
            <w:r w:rsidRPr="008F0510">
              <w:rPr>
                <w:rFonts w:ascii="Arial Narrow" w:hAnsi="Arial Narrow" w:cs="Arial"/>
                <w:sz w:val="20"/>
                <w:szCs w:val="20"/>
              </w:rPr>
              <w:t xml:space="preserve"> 1.5 mg injection, 1 x 1.5 mg via</w:t>
            </w:r>
            <w:r>
              <w:rPr>
                <w:rFonts w:ascii="Arial Narrow" w:hAnsi="Arial Narrow" w:cs="Arial"/>
                <w:sz w:val="20"/>
                <w:szCs w:val="20"/>
              </w:rPr>
              <w:t>l</w:t>
            </w:r>
          </w:p>
          <w:p w:rsidR="0093477A" w:rsidRDefault="0093477A" w:rsidP="00EE5914">
            <w:pPr>
              <w:keepNext/>
              <w:ind w:left="-108"/>
              <w:jc w:val="both"/>
              <w:rPr>
                <w:rFonts w:ascii="Arial Narrow" w:hAnsi="Arial Narrow" w:cs="Arial"/>
                <w:smallCaps/>
                <w:sz w:val="20"/>
                <w:szCs w:val="20"/>
              </w:rPr>
            </w:pPr>
          </w:p>
        </w:tc>
        <w:tc>
          <w:tcPr>
            <w:tcW w:w="992" w:type="dxa"/>
          </w:tcPr>
          <w:p w:rsidR="0093477A" w:rsidRDefault="0093477A" w:rsidP="00C47B59">
            <w:pPr>
              <w:keepNext/>
              <w:ind w:left="-108"/>
              <w:jc w:val="center"/>
              <w:rPr>
                <w:rFonts w:ascii="Arial Narrow" w:hAnsi="Arial Narrow" w:cs="Arial"/>
                <w:sz w:val="20"/>
                <w:szCs w:val="20"/>
              </w:rPr>
            </w:pPr>
          </w:p>
          <w:p w:rsidR="0093477A" w:rsidRDefault="0093477A" w:rsidP="00C47B59">
            <w:pPr>
              <w:keepNext/>
              <w:ind w:left="-108"/>
              <w:jc w:val="center"/>
              <w:rPr>
                <w:rFonts w:ascii="Arial Narrow" w:hAnsi="Arial Narrow" w:cs="Arial"/>
                <w:sz w:val="20"/>
                <w:szCs w:val="20"/>
              </w:rPr>
            </w:pPr>
            <w:r>
              <w:rPr>
                <w:rFonts w:ascii="Arial Narrow" w:hAnsi="Arial Narrow" w:cs="Arial"/>
                <w:sz w:val="20"/>
                <w:szCs w:val="20"/>
              </w:rPr>
              <w:t>1</w:t>
            </w:r>
          </w:p>
          <w:p w:rsidR="0093477A" w:rsidRDefault="0093477A" w:rsidP="00C47B59">
            <w:pPr>
              <w:keepNext/>
              <w:ind w:left="-108"/>
              <w:jc w:val="center"/>
              <w:rPr>
                <w:rFonts w:ascii="Arial Narrow" w:hAnsi="Arial Narrow" w:cs="Arial"/>
                <w:sz w:val="20"/>
                <w:szCs w:val="20"/>
              </w:rPr>
            </w:pPr>
          </w:p>
          <w:p w:rsidR="0093477A" w:rsidRPr="00260CE3" w:rsidRDefault="0093477A" w:rsidP="00C47B59">
            <w:pPr>
              <w:keepNext/>
              <w:ind w:left="-108"/>
              <w:jc w:val="center"/>
              <w:rPr>
                <w:rFonts w:ascii="Arial Narrow" w:hAnsi="Arial Narrow" w:cs="Arial"/>
                <w:sz w:val="20"/>
                <w:szCs w:val="20"/>
              </w:rPr>
            </w:pPr>
            <w:r>
              <w:rPr>
                <w:rFonts w:ascii="Arial Narrow" w:hAnsi="Arial Narrow" w:cs="Arial"/>
                <w:sz w:val="20"/>
                <w:szCs w:val="20"/>
              </w:rPr>
              <w:t>1</w:t>
            </w:r>
          </w:p>
        </w:tc>
        <w:tc>
          <w:tcPr>
            <w:tcW w:w="709" w:type="dxa"/>
          </w:tcPr>
          <w:p w:rsidR="0093477A" w:rsidRDefault="0093477A" w:rsidP="00C47B59">
            <w:pPr>
              <w:keepNext/>
              <w:ind w:left="-108"/>
              <w:jc w:val="center"/>
              <w:rPr>
                <w:rFonts w:ascii="Arial Narrow" w:hAnsi="Arial Narrow" w:cs="Arial"/>
                <w:sz w:val="20"/>
                <w:szCs w:val="20"/>
              </w:rPr>
            </w:pPr>
          </w:p>
          <w:p w:rsidR="0093477A" w:rsidRDefault="0093477A" w:rsidP="00C47B59">
            <w:pPr>
              <w:keepNext/>
              <w:ind w:left="-108"/>
              <w:jc w:val="center"/>
              <w:rPr>
                <w:rFonts w:ascii="Arial Narrow" w:hAnsi="Arial Narrow" w:cs="Arial"/>
                <w:sz w:val="20"/>
                <w:szCs w:val="20"/>
              </w:rPr>
            </w:pPr>
            <w:r>
              <w:rPr>
                <w:rFonts w:ascii="Arial Narrow" w:hAnsi="Arial Narrow" w:cs="Arial"/>
                <w:sz w:val="20"/>
                <w:szCs w:val="20"/>
              </w:rPr>
              <w:t>0</w:t>
            </w:r>
          </w:p>
          <w:p w:rsidR="0093477A" w:rsidRDefault="0093477A" w:rsidP="00C47B59">
            <w:pPr>
              <w:keepNext/>
              <w:ind w:left="-108"/>
              <w:jc w:val="center"/>
              <w:rPr>
                <w:rFonts w:ascii="Arial Narrow" w:hAnsi="Arial Narrow" w:cs="Arial"/>
                <w:sz w:val="20"/>
                <w:szCs w:val="20"/>
              </w:rPr>
            </w:pPr>
          </w:p>
          <w:p w:rsidR="0093477A" w:rsidRPr="00260CE3" w:rsidRDefault="0093477A" w:rsidP="00C47B59">
            <w:pPr>
              <w:keepNext/>
              <w:ind w:left="-108"/>
              <w:jc w:val="center"/>
              <w:rPr>
                <w:rFonts w:ascii="Arial Narrow" w:hAnsi="Arial Narrow" w:cs="Arial"/>
                <w:sz w:val="20"/>
                <w:szCs w:val="20"/>
              </w:rPr>
            </w:pPr>
            <w:r>
              <w:rPr>
                <w:rFonts w:ascii="Arial Narrow" w:hAnsi="Arial Narrow" w:cs="Arial"/>
                <w:sz w:val="20"/>
                <w:szCs w:val="20"/>
              </w:rPr>
              <w:t>0</w:t>
            </w:r>
          </w:p>
        </w:tc>
        <w:tc>
          <w:tcPr>
            <w:tcW w:w="1276" w:type="dxa"/>
          </w:tcPr>
          <w:p w:rsidR="0093477A" w:rsidRDefault="0093477A" w:rsidP="00EE5914">
            <w:pPr>
              <w:keepNext/>
              <w:jc w:val="both"/>
              <w:rPr>
                <w:rFonts w:ascii="Arial Narrow" w:hAnsi="Arial Narrow" w:cs="Arial"/>
                <w:sz w:val="20"/>
                <w:szCs w:val="20"/>
              </w:rPr>
            </w:pPr>
            <w:proofErr w:type="spellStart"/>
            <w:r>
              <w:rPr>
                <w:rFonts w:ascii="Arial Narrow" w:hAnsi="Arial Narrow" w:cs="Arial"/>
                <w:sz w:val="20"/>
                <w:szCs w:val="20"/>
              </w:rPr>
              <w:t>Veletri</w:t>
            </w:r>
            <w:proofErr w:type="spellEnd"/>
          </w:p>
          <w:p w:rsidR="0093477A" w:rsidRDefault="0093477A" w:rsidP="00C47B59">
            <w:pPr>
              <w:keepNext/>
              <w:jc w:val="both"/>
              <w:rPr>
                <w:rFonts w:ascii="Arial Narrow" w:hAnsi="Arial Narrow" w:cs="Arial"/>
                <w:sz w:val="20"/>
                <w:szCs w:val="20"/>
              </w:rPr>
            </w:pPr>
          </w:p>
        </w:tc>
        <w:tc>
          <w:tcPr>
            <w:tcW w:w="1984" w:type="dxa"/>
          </w:tcPr>
          <w:p w:rsidR="0093477A" w:rsidRDefault="0093477A" w:rsidP="00C47B59">
            <w:pPr>
              <w:keepNext/>
              <w:jc w:val="both"/>
              <w:rPr>
                <w:rFonts w:ascii="Arial Narrow" w:hAnsi="Arial Narrow" w:cs="Arial"/>
                <w:sz w:val="20"/>
                <w:szCs w:val="20"/>
              </w:rPr>
            </w:pPr>
          </w:p>
        </w:tc>
      </w:tr>
      <w:tr w:rsidR="0093477A" w:rsidRPr="00260CE3" w:rsidTr="00BF253A">
        <w:trPr>
          <w:cantSplit/>
          <w:trHeight w:val="577"/>
        </w:trPr>
        <w:tc>
          <w:tcPr>
            <w:tcW w:w="3402" w:type="dxa"/>
            <w:gridSpan w:val="2"/>
          </w:tcPr>
          <w:p w:rsidR="0093477A" w:rsidRDefault="0093477A" w:rsidP="00EE5914">
            <w:pPr>
              <w:keepNext/>
              <w:ind w:left="-108"/>
              <w:jc w:val="both"/>
              <w:rPr>
                <w:rFonts w:ascii="Arial Narrow" w:hAnsi="Arial Narrow" w:cs="Arial"/>
                <w:sz w:val="20"/>
                <w:szCs w:val="20"/>
              </w:rPr>
            </w:pPr>
            <w:r>
              <w:rPr>
                <w:rFonts w:ascii="Arial Narrow" w:hAnsi="Arial Narrow" w:cs="Arial"/>
                <w:sz w:val="20"/>
                <w:szCs w:val="20"/>
              </w:rPr>
              <w:t>MACITENTAN</w:t>
            </w:r>
          </w:p>
          <w:p w:rsidR="0093477A" w:rsidRDefault="0093477A" w:rsidP="00EE5914">
            <w:pPr>
              <w:keepNext/>
              <w:ind w:left="-108"/>
              <w:jc w:val="both"/>
              <w:rPr>
                <w:rFonts w:ascii="Arial Narrow" w:hAnsi="Arial Narrow" w:cs="Arial"/>
                <w:smallCaps/>
                <w:sz w:val="20"/>
                <w:szCs w:val="20"/>
              </w:rPr>
            </w:pPr>
            <w:proofErr w:type="spellStart"/>
            <w:r w:rsidRPr="008F0510">
              <w:rPr>
                <w:rFonts w:ascii="Arial Narrow" w:hAnsi="Arial Narrow" w:cs="Arial"/>
                <w:sz w:val="20"/>
                <w:szCs w:val="20"/>
              </w:rPr>
              <w:t>macitentan</w:t>
            </w:r>
            <w:proofErr w:type="spellEnd"/>
            <w:r w:rsidRPr="008F0510">
              <w:rPr>
                <w:rFonts w:ascii="Arial Narrow" w:hAnsi="Arial Narrow" w:cs="Arial"/>
                <w:sz w:val="20"/>
                <w:szCs w:val="20"/>
              </w:rPr>
              <w:t xml:space="preserve"> 10mg tablet, 30</w:t>
            </w:r>
          </w:p>
        </w:tc>
        <w:tc>
          <w:tcPr>
            <w:tcW w:w="992" w:type="dxa"/>
          </w:tcPr>
          <w:p w:rsidR="0093477A" w:rsidRDefault="0093477A" w:rsidP="00C47B59">
            <w:pPr>
              <w:keepNext/>
              <w:ind w:left="-108"/>
              <w:jc w:val="center"/>
              <w:rPr>
                <w:rFonts w:ascii="Arial Narrow" w:hAnsi="Arial Narrow" w:cs="Arial"/>
                <w:sz w:val="20"/>
                <w:szCs w:val="20"/>
              </w:rPr>
            </w:pPr>
          </w:p>
          <w:p w:rsidR="0093477A" w:rsidRPr="00260CE3" w:rsidRDefault="0093477A" w:rsidP="00C47B59">
            <w:pPr>
              <w:keepNext/>
              <w:ind w:left="-108"/>
              <w:jc w:val="center"/>
              <w:rPr>
                <w:rFonts w:ascii="Arial Narrow" w:hAnsi="Arial Narrow" w:cs="Arial"/>
                <w:sz w:val="20"/>
                <w:szCs w:val="20"/>
              </w:rPr>
            </w:pPr>
            <w:r>
              <w:rPr>
                <w:rFonts w:ascii="Arial Narrow" w:hAnsi="Arial Narrow" w:cs="Arial"/>
                <w:sz w:val="20"/>
                <w:szCs w:val="20"/>
              </w:rPr>
              <w:t>1</w:t>
            </w:r>
          </w:p>
        </w:tc>
        <w:tc>
          <w:tcPr>
            <w:tcW w:w="709" w:type="dxa"/>
          </w:tcPr>
          <w:p w:rsidR="0093477A" w:rsidRDefault="0093477A" w:rsidP="00C47B59">
            <w:pPr>
              <w:keepNext/>
              <w:ind w:left="-108"/>
              <w:jc w:val="center"/>
              <w:rPr>
                <w:rFonts w:ascii="Arial Narrow" w:hAnsi="Arial Narrow" w:cs="Arial"/>
                <w:sz w:val="20"/>
                <w:szCs w:val="20"/>
              </w:rPr>
            </w:pPr>
          </w:p>
          <w:p w:rsidR="0093477A" w:rsidRPr="00260CE3" w:rsidRDefault="0093477A" w:rsidP="00C47B59">
            <w:pPr>
              <w:keepNext/>
              <w:ind w:left="-108"/>
              <w:jc w:val="center"/>
              <w:rPr>
                <w:rFonts w:ascii="Arial Narrow" w:hAnsi="Arial Narrow" w:cs="Arial"/>
                <w:sz w:val="20"/>
                <w:szCs w:val="20"/>
              </w:rPr>
            </w:pPr>
            <w:r>
              <w:rPr>
                <w:rFonts w:ascii="Arial Narrow" w:hAnsi="Arial Narrow" w:cs="Arial"/>
                <w:sz w:val="20"/>
                <w:szCs w:val="20"/>
              </w:rPr>
              <w:t>0</w:t>
            </w:r>
          </w:p>
        </w:tc>
        <w:tc>
          <w:tcPr>
            <w:tcW w:w="1276" w:type="dxa"/>
          </w:tcPr>
          <w:p w:rsidR="0093477A" w:rsidRDefault="0093477A" w:rsidP="00C47B59">
            <w:pPr>
              <w:keepNext/>
              <w:jc w:val="both"/>
              <w:rPr>
                <w:rFonts w:ascii="Arial Narrow" w:hAnsi="Arial Narrow" w:cs="Arial"/>
                <w:sz w:val="20"/>
                <w:szCs w:val="20"/>
              </w:rPr>
            </w:pPr>
            <w:proofErr w:type="spellStart"/>
            <w:r>
              <w:rPr>
                <w:rFonts w:ascii="Arial Narrow" w:hAnsi="Arial Narrow" w:cs="Arial"/>
                <w:sz w:val="20"/>
                <w:szCs w:val="20"/>
              </w:rPr>
              <w:t>Opsumit</w:t>
            </w:r>
            <w:proofErr w:type="spellEnd"/>
          </w:p>
        </w:tc>
        <w:tc>
          <w:tcPr>
            <w:tcW w:w="1984" w:type="dxa"/>
          </w:tcPr>
          <w:p w:rsidR="0093477A" w:rsidRDefault="0093477A" w:rsidP="00C47B59">
            <w:pPr>
              <w:keepNext/>
              <w:jc w:val="both"/>
              <w:rPr>
                <w:rFonts w:ascii="Arial Narrow" w:hAnsi="Arial Narrow" w:cs="Arial"/>
                <w:sz w:val="20"/>
                <w:szCs w:val="20"/>
              </w:rPr>
            </w:pPr>
          </w:p>
        </w:tc>
      </w:tr>
      <w:tr w:rsidR="00826F6D" w:rsidRPr="00260CE3" w:rsidTr="0093477A">
        <w:trPr>
          <w:cantSplit/>
          <w:trHeight w:val="70"/>
        </w:trPr>
        <w:tc>
          <w:tcPr>
            <w:tcW w:w="8363" w:type="dxa"/>
            <w:gridSpan w:val="6"/>
            <w:tcBorders>
              <w:bottom w:val="single" w:sz="4" w:space="0" w:color="auto"/>
            </w:tcBorders>
          </w:tcPr>
          <w:p w:rsidR="008F0510" w:rsidRPr="00260CE3" w:rsidRDefault="008F0510" w:rsidP="00C47B59">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47B59">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5"/>
            <w:tcBorders>
              <w:top w:val="single" w:sz="4" w:space="0" w:color="auto"/>
              <w:left w:val="single" w:sz="4" w:space="0" w:color="auto"/>
              <w:bottom w:val="single" w:sz="4" w:space="0" w:color="auto"/>
              <w:right w:val="single" w:sz="4" w:space="0" w:color="auto"/>
            </w:tcBorders>
          </w:tcPr>
          <w:p w:rsidR="00826F6D" w:rsidRPr="00260CE3" w:rsidRDefault="00826F6D" w:rsidP="00C47B59">
            <w:pPr>
              <w:rPr>
                <w:rFonts w:ascii="Arial Narrow" w:hAnsi="Arial Narrow" w:cs="Arial"/>
                <w:sz w:val="20"/>
                <w:szCs w:val="20"/>
              </w:rPr>
            </w:pPr>
            <w:r w:rsidRPr="00260CE3">
              <w:rPr>
                <w:rFonts w:ascii="Arial Narrow" w:hAnsi="Arial Narrow" w:cs="Arial"/>
                <w:sz w:val="20"/>
                <w:szCs w:val="20"/>
              </w:rPr>
              <w:t>Section 100 – Highly Specialised Drugs Program</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47B59">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826F6D" w:rsidRPr="00260CE3" w:rsidRDefault="00826F6D" w:rsidP="00C47B59">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124E9">
              <w:rPr>
                <w:rFonts w:ascii="Arial Narrow" w:hAnsi="Arial Narrow" w:cs="Arial"/>
                <w:sz w:val="20"/>
                <w:szCs w:val="20"/>
              </w:rPr>
            </w:r>
            <w:r w:rsidR="002124E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451095">
              <w:rPr>
                <w:rFonts w:ascii="Arial Narrow" w:hAnsi="Arial Narrow" w:cs="Arial"/>
                <w:sz w:val="20"/>
                <w:szCs w:val="20"/>
              </w:rPr>
              <w:fldChar w:fldCharType="begin">
                <w:ffData>
                  <w:name w:val=""/>
                  <w:enabled/>
                  <w:calcOnExit w:val="0"/>
                  <w:checkBox>
                    <w:sizeAuto/>
                    <w:default w:val="1"/>
                  </w:checkBox>
                </w:ffData>
              </w:fldChar>
            </w:r>
            <w:r w:rsidR="00451095">
              <w:rPr>
                <w:rFonts w:ascii="Arial Narrow" w:hAnsi="Arial Narrow" w:cs="Arial"/>
                <w:sz w:val="20"/>
                <w:szCs w:val="20"/>
              </w:rPr>
              <w:instrText xml:space="preserve"> FORMCHECKBOX </w:instrText>
            </w:r>
            <w:r w:rsidR="002124E9">
              <w:rPr>
                <w:rFonts w:ascii="Arial Narrow" w:hAnsi="Arial Narrow" w:cs="Arial"/>
                <w:sz w:val="20"/>
                <w:szCs w:val="20"/>
              </w:rPr>
            </w:r>
            <w:r w:rsidR="002124E9">
              <w:rPr>
                <w:rFonts w:ascii="Arial Narrow" w:hAnsi="Arial Narrow" w:cs="Arial"/>
                <w:sz w:val="20"/>
                <w:szCs w:val="20"/>
              </w:rPr>
              <w:fldChar w:fldCharType="separate"/>
            </w:r>
            <w:r w:rsidR="00451095">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124E9">
              <w:rPr>
                <w:rFonts w:ascii="Arial Narrow" w:hAnsi="Arial Narrow" w:cs="Arial"/>
                <w:sz w:val="20"/>
                <w:szCs w:val="20"/>
              </w:rPr>
            </w:r>
            <w:r w:rsidR="002124E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124E9">
              <w:rPr>
                <w:rFonts w:ascii="Arial Narrow" w:hAnsi="Arial Narrow" w:cs="Arial"/>
                <w:sz w:val="20"/>
                <w:szCs w:val="20"/>
              </w:rPr>
            </w:r>
            <w:r w:rsidR="002124E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47B59">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124E9">
              <w:rPr>
                <w:rFonts w:ascii="Arial Narrow" w:hAnsi="Arial Narrow" w:cs="Arial"/>
                <w:sz w:val="20"/>
                <w:szCs w:val="20"/>
              </w:rPr>
            </w:r>
            <w:r w:rsidR="002124E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47B59">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6378" w:type="dxa"/>
            <w:gridSpan w:val="5"/>
            <w:tcBorders>
              <w:top w:val="single" w:sz="4" w:space="0" w:color="auto"/>
              <w:left w:val="single" w:sz="4" w:space="0" w:color="auto"/>
              <w:bottom w:val="single" w:sz="4" w:space="0" w:color="auto"/>
              <w:right w:val="single" w:sz="4" w:space="0" w:color="auto"/>
            </w:tcBorders>
          </w:tcPr>
          <w:p w:rsidR="00826F6D" w:rsidRPr="00260CE3" w:rsidRDefault="00451095" w:rsidP="00C47B59">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47B59">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5"/>
            <w:tcBorders>
              <w:top w:val="single" w:sz="4" w:space="0" w:color="auto"/>
              <w:left w:val="single" w:sz="4" w:space="0" w:color="auto"/>
              <w:bottom w:val="single" w:sz="4" w:space="0" w:color="auto"/>
              <w:right w:val="single" w:sz="4" w:space="0" w:color="auto"/>
            </w:tcBorders>
          </w:tcPr>
          <w:p w:rsidR="00826F6D" w:rsidRPr="00260CE3" w:rsidRDefault="00451095" w:rsidP="00C47B59">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47B59">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826F6D" w:rsidRPr="00260CE3" w:rsidRDefault="00451095" w:rsidP="00C47B59">
            <w:pPr>
              <w:rPr>
                <w:rFonts w:ascii="Arial Narrow" w:hAnsi="Arial Narrow" w:cs="Arial"/>
                <w:sz w:val="20"/>
                <w:szCs w:val="20"/>
              </w:rPr>
            </w:pPr>
            <w:r w:rsidRPr="00451095">
              <w:rPr>
                <w:rFonts w:ascii="Arial Narrow" w:hAnsi="Arial Narrow" w:cs="Arial"/>
                <w:sz w:val="20"/>
                <w:szCs w:val="20"/>
              </w:rPr>
              <w:t>Pulmonary arterial hypertension (PAH)</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47B59">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826F6D" w:rsidRPr="00260CE3" w:rsidRDefault="00451095" w:rsidP="00C47B59">
            <w:pPr>
              <w:rPr>
                <w:rFonts w:ascii="Arial Narrow" w:hAnsi="Arial Narrow" w:cs="Arial"/>
                <w:sz w:val="20"/>
                <w:szCs w:val="20"/>
              </w:rPr>
            </w:pPr>
            <w:r w:rsidRPr="00451095">
              <w:rPr>
                <w:rFonts w:ascii="Arial Narrow" w:hAnsi="Arial Narrow" w:cs="Arial"/>
                <w:sz w:val="20"/>
                <w:szCs w:val="20"/>
              </w:rPr>
              <w:t>Pulmonary arterial hypertension (PAH)</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A73CC8" w:rsidRDefault="00826F6D" w:rsidP="00C47B59">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5"/>
            <w:tcBorders>
              <w:top w:val="single" w:sz="4" w:space="0" w:color="auto"/>
              <w:left w:val="single" w:sz="4" w:space="0" w:color="auto"/>
              <w:bottom w:val="single" w:sz="4" w:space="0" w:color="auto"/>
              <w:right w:val="single" w:sz="4" w:space="0" w:color="auto"/>
            </w:tcBorders>
          </w:tcPr>
          <w:p w:rsidR="00826F6D" w:rsidRPr="00260CE3" w:rsidRDefault="00451095" w:rsidP="00C47B59">
            <w:pPr>
              <w:rPr>
                <w:rFonts w:ascii="Arial Narrow" w:hAnsi="Arial Narrow" w:cs="Arial"/>
                <w:sz w:val="20"/>
                <w:szCs w:val="20"/>
              </w:rPr>
            </w:pPr>
            <w:r>
              <w:rPr>
                <w:rFonts w:ascii="Arial Narrow" w:hAnsi="Arial Narrow" w:cs="Arial"/>
                <w:sz w:val="20"/>
                <w:szCs w:val="20"/>
              </w:rPr>
              <w:t>Continuing treatment (all patients)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47B59">
            <w:pPr>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47B59">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826F6D" w:rsidRPr="00106BCF" w:rsidRDefault="00826F6D" w:rsidP="00C47B59">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124E9">
              <w:rPr>
                <w:rFonts w:ascii="Arial Narrow" w:hAnsi="Arial Narrow" w:cs="Arial"/>
                <w:sz w:val="20"/>
                <w:szCs w:val="20"/>
              </w:rPr>
            </w:r>
            <w:r w:rsidR="002124E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451095" w:rsidP="00C47B5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4E9">
              <w:rPr>
                <w:rFonts w:ascii="Arial Narrow" w:hAnsi="Arial Narrow" w:cs="Arial"/>
                <w:sz w:val="20"/>
                <w:szCs w:val="20"/>
              </w:rPr>
            </w:r>
            <w:r w:rsidR="002124E9">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p>
          <w:p w:rsidR="00826F6D" w:rsidRPr="00106BCF" w:rsidRDefault="00826F6D" w:rsidP="00C47B59">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124E9">
              <w:rPr>
                <w:rFonts w:ascii="Arial Narrow" w:hAnsi="Arial Narrow" w:cs="Arial"/>
                <w:sz w:val="20"/>
                <w:szCs w:val="20"/>
              </w:rPr>
            </w:r>
            <w:r w:rsidR="002124E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47B59">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124E9">
              <w:rPr>
                <w:rFonts w:ascii="Arial Narrow" w:hAnsi="Arial Narrow" w:cs="Arial"/>
                <w:sz w:val="20"/>
                <w:szCs w:val="20"/>
              </w:rPr>
            </w:r>
            <w:r w:rsidR="002124E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47B59">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124E9">
              <w:rPr>
                <w:rFonts w:ascii="Arial Narrow" w:hAnsi="Arial Narrow" w:cs="Arial"/>
                <w:sz w:val="20"/>
                <w:szCs w:val="20"/>
              </w:rPr>
            </w:r>
            <w:r w:rsidR="002124E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47B59">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124E9">
              <w:rPr>
                <w:rFonts w:ascii="Arial Narrow" w:hAnsi="Arial Narrow" w:cs="Arial"/>
                <w:sz w:val="20"/>
                <w:szCs w:val="20"/>
              </w:rPr>
            </w:r>
            <w:r w:rsidR="002124E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A73CC8" w:rsidRDefault="00826F6D" w:rsidP="00C47B59">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8" w:type="dxa"/>
            <w:gridSpan w:val="5"/>
            <w:tcBorders>
              <w:top w:val="single" w:sz="4" w:space="0" w:color="auto"/>
              <w:left w:val="single" w:sz="4" w:space="0" w:color="auto"/>
              <w:bottom w:val="single" w:sz="4" w:space="0" w:color="auto"/>
              <w:right w:val="single" w:sz="4" w:space="0" w:color="auto"/>
            </w:tcBorders>
          </w:tcPr>
          <w:p w:rsidR="00A73CC8" w:rsidRPr="00A73CC8" w:rsidRDefault="00A73CC8" w:rsidP="00C47B59">
            <w:pPr>
              <w:jc w:val="both"/>
              <w:rPr>
                <w:rFonts w:ascii="Arial Narrow" w:hAnsi="Arial Narrow" w:cs="Arial"/>
                <w:sz w:val="20"/>
                <w:szCs w:val="20"/>
              </w:rPr>
            </w:pPr>
            <w:r w:rsidRPr="00A73CC8">
              <w:rPr>
                <w:rFonts w:ascii="Arial Narrow" w:hAnsi="Arial Narrow" w:cs="Arial"/>
                <w:sz w:val="20"/>
                <w:szCs w:val="20"/>
              </w:rPr>
              <w:t>Patient must have received approval for initial PBS-subsidised treatment with this agent,</w:t>
            </w:r>
          </w:p>
          <w:p w:rsidR="00A73CC8" w:rsidRPr="00A73CC8" w:rsidRDefault="00A73CC8" w:rsidP="00C47B59">
            <w:pPr>
              <w:jc w:val="both"/>
              <w:rPr>
                <w:rFonts w:ascii="Arial Narrow" w:hAnsi="Arial Narrow" w:cs="Arial"/>
                <w:sz w:val="20"/>
                <w:szCs w:val="20"/>
              </w:rPr>
            </w:pPr>
          </w:p>
          <w:p w:rsidR="00A73CC8" w:rsidRPr="001F5D4C" w:rsidRDefault="00A73CC8" w:rsidP="00C47B59">
            <w:pPr>
              <w:jc w:val="both"/>
              <w:rPr>
                <w:rFonts w:ascii="Arial Narrow" w:hAnsi="Arial Narrow" w:cs="Arial"/>
                <w:sz w:val="20"/>
                <w:szCs w:val="20"/>
              </w:rPr>
            </w:pPr>
            <w:r w:rsidRPr="001F5D4C">
              <w:rPr>
                <w:rFonts w:ascii="Arial Narrow" w:hAnsi="Arial Narrow" w:cs="Arial"/>
                <w:sz w:val="20"/>
                <w:szCs w:val="20"/>
              </w:rPr>
              <w:t>AND</w:t>
            </w:r>
          </w:p>
          <w:p w:rsidR="00A73CC8" w:rsidRPr="001F5D4C" w:rsidRDefault="00A73CC8" w:rsidP="00C47B59">
            <w:pPr>
              <w:jc w:val="both"/>
              <w:rPr>
                <w:rFonts w:ascii="Arial Narrow" w:hAnsi="Arial Narrow" w:cs="Arial"/>
                <w:sz w:val="20"/>
                <w:szCs w:val="20"/>
              </w:rPr>
            </w:pPr>
          </w:p>
          <w:p w:rsidR="00A73CC8" w:rsidRPr="00A73CC8" w:rsidRDefault="00A73CC8" w:rsidP="00C47B59">
            <w:pPr>
              <w:jc w:val="both"/>
              <w:rPr>
                <w:rFonts w:ascii="Arial Narrow" w:hAnsi="Arial Narrow" w:cs="Arial"/>
                <w:strike/>
                <w:sz w:val="20"/>
                <w:szCs w:val="20"/>
              </w:rPr>
            </w:pPr>
            <w:r w:rsidRPr="001F5D4C">
              <w:rPr>
                <w:rFonts w:ascii="Arial Narrow" w:hAnsi="Arial Narrow" w:cs="Arial"/>
                <w:sz w:val="20"/>
                <w:szCs w:val="20"/>
              </w:rPr>
              <w:t>Patient must have been assessed by a physician from a designated hospital</w:t>
            </w:r>
            <w:r w:rsidRPr="00A73CC8">
              <w:rPr>
                <w:rFonts w:ascii="Arial Narrow" w:hAnsi="Arial Narrow" w:cs="Arial"/>
                <w:strike/>
                <w:sz w:val="20"/>
                <w:szCs w:val="20"/>
              </w:rPr>
              <w:t xml:space="preserve"> to have achieved a response to their most recent course of treatment with this agent, </w:t>
            </w:r>
          </w:p>
          <w:p w:rsidR="00A73CC8" w:rsidRPr="00A73CC8" w:rsidRDefault="00A73CC8" w:rsidP="00C47B59">
            <w:pPr>
              <w:jc w:val="both"/>
              <w:rPr>
                <w:rFonts w:ascii="Arial Narrow" w:hAnsi="Arial Narrow" w:cs="Arial"/>
                <w:strike/>
                <w:sz w:val="20"/>
                <w:szCs w:val="20"/>
              </w:rPr>
            </w:pPr>
          </w:p>
          <w:p w:rsidR="00A73CC8" w:rsidRPr="00451095" w:rsidRDefault="00A73CC8" w:rsidP="00C47B59">
            <w:pPr>
              <w:jc w:val="both"/>
              <w:rPr>
                <w:rFonts w:ascii="Arial Narrow" w:hAnsi="Arial Narrow" w:cs="Arial"/>
                <w:sz w:val="20"/>
                <w:szCs w:val="20"/>
              </w:rPr>
            </w:pPr>
            <w:r w:rsidRPr="00451095">
              <w:rPr>
                <w:rFonts w:ascii="Arial Narrow" w:hAnsi="Arial Narrow" w:cs="Arial"/>
                <w:sz w:val="20"/>
                <w:szCs w:val="20"/>
              </w:rPr>
              <w:t>AND</w:t>
            </w:r>
          </w:p>
          <w:p w:rsidR="00A73CC8" w:rsidRPr="00451095" w:rsidRDefault="00A73CC8" w:rsidP="00C47B59">
            <w:pPr>
              <w:jc w:val="both"/>
              <w:rPr>
                <w:rFonts w:ascii="Arial Narrow" w:hAnsi="Arial Narrow" w:cs="Arial"/>
                <w:sz w:val="20"/>
                <w:szCs w:val="20"/>
              </w:rPr>
            </w:pPr>
          </w:p>
          <w:p w:rsidR="00A73CC8" w:rsidRPr="00451095" w:rsidRDefault="00A73CC8" w:rsidP="00C47B59">
            <w:pPr>
              <w:jc w:val="both"/>
              <w:rPr>
                <w:rFonts w:ascii="Arial Narrow" w:hAnsi="Arial Narrow" w:cs="Arial"/>
                <w:sz w:val="20"/>
                <w:szCs w:val="20"/>
              </w:rPr>
            </w:pPr>
            <w:r w:rsidRPr="00451095">
              <w:rPr>
                <w:rFonts w:ascii="Arial Narrow" w:hAnsi="Arial Narrow" w:cs="Arial"/>
                <w:sz w:val="20"/>
                <w:szCs w:val="20"/>
              </w:rPr>
              <w:t>The treatment must be the sole PBS-subsidised PAH agent for this condition.</w:t>
            </w:r>
          </w:p>
          <w:p w:rsidR="00826F6D" w:rsidRPr="00260CE3" w:rsidRDefault="00826F6D" w:rsidP="00C47B59">
            <w:pPr>
              <w:jc w:val="both"/>
              <w:rPr>
                <w:rFonts w:ascii="Arial Narrow" w:hAnsi="Arial Narrow" w:cs="Arial"/>
                <w:sz w:val="20"/>
                <w:szCs w:val="20"/>
              </w:rPr>
            </w:pPr>
          </w:p>
        </w:tc>
      </w:tr>
      <w:tr w:rsidR="00826F6D" w:rsidRPr="00260CE3" w:rsidTr="00A73CC8">
        <w:trPr>
          <w:trHeight w:val="360"/>
        </w:trPr>
        <w:tc>
          <w:tcPr>
            <w:tcW w:w="1985" w:type="dxa"/>
            <w:tcBorders>
              <w:top w:val="single" w:sz="4" w:space="0" w:color="auto"/>
              <w:left w:val="single" w:sz="4" w:space="0" w:color="auto"/>
              <w:bottom w:val="single" w:sz="4" w:space="0" w:color="auto"/>
              <w:right w:val="single" w:sz="4" w:space="0" w:color="auto"/>
            </w:tcBorders>
          </w:tcPr>
          <w:p w:rsidR="00826F6D" w:rsidRPr="00D01406" w:rsidRDefault="00826F6D" w:rsidP="00C47B59">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378" w:type="dxa"/>
            <w:gridSpan w:val="5"/>
            <w:tcBorders>
              <w:top w:val="single" w:sz="4" w:space="0" w:color="auto"/>
              <w:left w:val="single" w:sz="4" w:space="0" w:color="auto"/>
              <w:bottom w:val="single" w:sz="4" w:space="0" w:color="auto"/>
              <w:right w:val="single" w:sz="4" w:space="0" w:color="auto"/>
            </w:tcBorders>
          </w:tcPr>
          <w:p w:rsidR="00A73CC8" w:rsidRPr="00A73CC8" w:rsidRDefault="00A73CC8" w:rsidP="00C47B59">
            <w:pPr>
              <w:rPr>
                <w:rFonts w:ascii="Arial Narrow" w:hAnsi="Arial Narrow" w:cs="Arial"/>
                <w:sz w:val="20"/>
                <w:szCs w:val="20"/>
              </w:rPr>
            </w:pPr>
            <w:r w:rsidRPr="00A73CC8">
              <w:rPr>
                <w:rFonts w:ascii="Arial Narrow" w:hAnsi="Arial Narrow" w:cs="Arial"/>
                <w:sz w:val="20"/>
                <w:szCs w:val="20"/>
              </w:rPr>
              <w:t>Applications for authorisation must be in writing and must include:</w:t>
            </w:r>
          </w:p>
          <w:p w:rsidR="00A73CC8" w:rsidRPr="00A73CC8" w:rsidRDefault="00A73CC8" w:rsidP="00C47B59">
            <w:pPr>
              <w:rPr>
                <w:rFonts w:ascii="Arial Narrow" w:hAnsi="Arial Narrow" w:cs="Arial"/>
                <w:sz w:val="20"/>
                <w:szCs w:val="20"/>
              </w:rPr>
            </w:pPr>
            <w:r w:rsidRPr="00A73CC8">
              <w:rPr>
                <w:rFonts w:ascii="Arial Narrow" w:hAnsi="Arial Narrow" w:cs="Arial"/>
                <w:sz w:val="20"/>
                <w:szCs w:val="20"/>
              </w:rPr>
              <w:t>(1) a completed authority prescription form; and</w:t>
            </w:r>
          </w:p>
          <w:p w:rsidR="00A73CC8" w:rsidRPr="00A1005B" w:rsidRDefault="00A73CC8" w:rsidP="00C47B59">
            <w:pPr>
              <w:rPr>
                <w:rFonts w:ascii="Arial Narrow" w:hAnsi="Arial Narrow" w:cs="Arial"/>
                <w:strike/>
                <w:sz w:val="20"/>
                <w:szCs w:val="20"/>
              </w:rPr>
            </w:pPr>
            <w:r w:rsidRPr="00A73CC8">
              <w:rPr>
                <w:rFonts w:ascii="Arial Narrow" w:hAnsi="Arial Narrow" w:cs="Arial"/>
                <w:sz w:val="20"/>
                <w:szCs w:val="20"/>
              </w:rPr>
              <w:t xml:space="preserve">(2) a completed Pulmonary Arterial Hypertension PBS Authority Application - Supporting Information form </w:t>
            </w:r>
            <w:r w:rsidRPr="00A1005B">
              <w:rPr>
                <w:rFonts w:ascii="Arial Narrow" w:hAnsi="Arial Narrow" w:cs="Arial"/>
                <w:strike/>
                <w:sz w:val="20"/>
                <w:szCs w:val="20"/>
              </w:rPr>
              <w:t xml:space="preserve">which includes results from the three tests below, where available: </w:t>
            </w:r>
          </w:p>
          <w:p w:rsidR="00A73CC8" w:rsidRPr="007F7967" w:rsidRDefault="00A73CC8" w:rsidP="00C47B59">
            <w:pPr>
              <w:rPr>
                <w:rFonts w:ascii="Arial Narrow" w:hAnsi="Arial Narrow" w:cs="Arial"/>
                <w:strike/>
                <w:sz w:val="20"/>
                <w:szCs w:val="20"/>
              </w:rPr>
            </w:pPr>
            <w:r w:rsidRPr="007F7967">
              <w:rPr>
                <w:rFonts w:ascii="Arial Narrow" w:hAnsi="Arial Narrow" w:cs="Arial"/>
                <w:strike/>
                <w:sz w:val="20"/>
                <w:szCs w:val="20"/>
              </w:rPr>
              <w:t>(</w:t>
            </w:r>
            <w:proofErr w:type="spellStart"/>
            <w:r w:rsidRPr="007F7967">
              <w:rPr>
                <w:rFonts w:ascii="Arial Narrow" w:hAnsi="Arial Narrow" w:cs="Arial"/>
                <w:strike/>
                <w:sz w:val="20"/>
                <w:szCs w:val="20"/>
              </w:rPr>
              <w:t>i</w:t>
            </w:r>
            <w:proofErr w:type="spellEnd"/>
            <w:r w:rsidRPr="007F7967">
              <w:rPr>
                <w:rFonts w:ascii="Arial Narrow" w:hAnsi="Arial Narrow" w:cs="Arial"/>
                <w:strike/>
                <w:sz w:val="20"/>
                <w:szCs w:val="20"/>
              </w:rPr>
              <w:t>) RHC composite assessment; and</w:t>
            </w:r>
          </w:p>
          <w:p w:rsidR="00A73CC8" w:rsidRPr="007F7967" w:rsidRDefault="00A73CC8" w:rsidP="00C47B59">
            <w:pPr>
              <w:rPr>
                <w:rFonts w:ascii="Arial Narrow" w:hAnsi="Arial Narrow" w:cs="Arial"/>
                <w:strike/>
                <w:sz w:val="20"/>
                <w:szCs w:val="20"/>
              </w:rPr>
            </w:pPr>
            <w:r w:rsidRPr="007F7967">
              <w:rPr>
                <w:rFonts w:ascii="Arial Narrow" w:hAnsi="Arial Narrow" w:cs="Arial"/>
                <w:strike/>
                <w:sz w:val="20"/>
                <w:szCs w:val="20"/>
              </w:rPr>
              <w:t>(ii) ECHO composite assessment; and</w:t>
            </w:r>
          </w:p>
          <w:p w:rsidR="00A73CC8" w:rsidRPr="007F7967" w:rsidRDefault="00A73CC8" w:rsidP="00C47B59">
            <w:pPr>
              <w:rPr>
                <w:rFonts w:ascii="Arial Narrow" w:hAnsi="Arial Narrow" w:cs="Arial"/>
                <w:strike/>
                <w:sz w:val="20"/>
                <w:szCs w:val="20"/>
              </w:rPr>
            </w:pPr>
            <w:r w:rsidRPr="007F7967">
              <w:rPr>
                <w:rFonts w:ascii="Arial Narrow" w:hAnsi="Arial Narrow" w:cs="Arial"/>
                <w:strike/>
                <w:sz w:val="20"/>
                <w:szCs w:val="20"/>
              </w:rPr>
              <w:t>(iii) 6 Minute Walk Test (6MWT).</w:t>
            </w:r>
          </w:p>
          <w:p w:rsidR="00A73CC8" w:rsidRPr="00A73CC8" w:rsidRDefault="00A73CC8" w:rsidP="00C47B59">
            <w:pPr>
              <w:rPr>
                <w:rFonts w:ascii="Arial Narrow" w:hAnsi="Arial Narrow" w:cs="Arial"/>
                <w:sz w:val="20"/>
                <w:szCs w:val="20"/>
              </w:rPr>
            </w:pPr>
          </w:p>
          <w:p w:rsidR="00A73CC8" w:rsidRPr="00D01406" w:rsidRDefault="00A73CC8" w:rsidP="00C47B59">
            <w:pPr>
              <w:rPr>
                <w:rFonts w:ascii="Arial Narrow" w:hAnsi="Arial Narrow" w:cs="Arial"/>
                <w:strike/>
                <w:sz w:val="20"/>
                <w:szCs w:val="20"/>
              </w:rPr>
            </w:pPr>
            <w:r w:rsidRPr="00D01406">
              <w:rPr>
                <w:rFonts w:ascii="Arial Narrow" w:hAnsi="Arial Narrow" w:cs="Arial"/>
                <w:strike/>
                <w:sz w:val="20"/>
                <w:szCs w:val="20"/>
              </w:rPr>
              <w:t>Test requirements to establish response to treatment for continuation of treatment are as follows:</w:t>
            </w:r>
          </w:p>
          <w:p w:rsidR="00A73CC8" w:rsidRPr="00D01406" w:rsidRDefault="00A73CC8" w:rsidP="00C47B59">
            <w:pPr>
              <w:rPr>
                <w:rFonts w:ascii="Arial Narrow" w:hAnsi="Arial Narrow" w:cs="Arial"/>
                <w:strike/>
                <w:sz w:val="20"/>
                <w:szCs w:val="20"/>
              </w:rPr>
            </w:pPr>
            <w:r w:rsidRPr="00D01406">
              <w:rPr>
                <w:rFonts w:ascii="Arial Narrow" w:hAnsi="Arial Narrow" w:cs="Arial"/>
                <w:strike/>
                <w:sz w:val="20"/>
                <w:szCs w:val="20"/>
              </w:rPr>
              <w:t xml:space="preserve">The following list outlines the preferred test combination, in descending order, for the purposes of continuation of PBS-subsidised treatment: </w:t>
            </w:r>
          </w:p>
          <w:p w:rsidR="00A73CC8" w:rsidRPr="00A554EC" w:rsidRDefault="00A73CC8" w:rsidP="00C47B59">
            <w:pPr>
              <w:rPr>
                <w:rFonts w:ascii="Arial Narrow" w:hAnsi="Arial Narrow" w:cs="Arial"/>
                <w:strike/>
                <w:sz w:val="20"/>
                <w:szCs w:val="20"/>
                <w:lang w:val="fr-FR"/>
              </w:rPr>
            </w:pPr>
            <w:r w:rsidRPr="00A554EC">
              <w:rPr>
                <w:rFonts w:ascii="Arial Narrow" w:hAnsi="Arial Narrow" w:cs="Arial"/>
                <w:strike/>
                <w:sz w:val="20"/>
                <w:szCs w:val="20"/>
                <w:lang w:val="fr-FR"/>
              </w:rPr>
              <w:t xml:space="preserve">(1) RHC plus ECHO composite </w:t>
            </w:r>
            <w:proofErr w:type="spellStart"/>
            <w:r w:rsidRPr="00A554EC">
              <w:rPr>
                <w:rFonts w:ascii="Arial Narrow" w:hAnsi="Arial Narrow" w:cs="Arial"/>
                <w:strike/>
                <w:sz w:val="20"/>
                <w:szCs w:val="20"/>
                <w:lang w:val="fr-FR"/>
              </w:rPr>
              <w:t>assessments</w:t>
            </w:r>
            <w:proofErr w:type="spellEnd"/>
            <w:r w:rsidRPr="00A554EC">
              <w:rPr>
                <w:rFonts w:ascii="Arial Narrow" w:hAnsi="Arial Narrow" w:cs="Arial"/>
                <w:strike/>
                <w:sz w:val="20"/>
                <w:szCs w:val="20"/>
                <w:lang w:val="fr-FR"/>
              </w:rPr>
              <w:t xml:space="preserve"> plus 6MWT;</w:t>
            </w:r>
          </w:p>
          <w:p w:rsidR="00A73CC8" w:rsidRPr="00A554EC" w:rsidRDefault="00A73CC8" w:rsidP="00C47B59">
            <w:pPr>
              <w:rPr>
                <w:rFonts w:ascii="Arial Narrow" w:hAnsi="Arial Narrow" w:cs="Arial"/>
                <w:strike/>
                <w:sz w:val="20"/>
                <w:szCs w:val="20"/>
                <w:lang w:val="fr-FR"/>
              </w:rPr>
            </w:pPr>
            <w:r w:rsidRPr="00A554EC">
              <w:rPr>
                <w:rFonts w:ascii="Arial Narrow" w:hAnsi="Arial Narrow" w:cs="Arial"/>
                <w:strike/>
                <w:sz w:val="20"/>
                <w:szCs w:val="20"/>
                <w:lang w:val="fr-FR"/>
              </w:rPr>
              <w:t xml:space="preserve">(2) RHC plus ECHO composite </w:t>
            </w:r>
            <w:proofErr w:type="spellStart"/>
            <w:r w:rsidRPr="00A554EC">
              <w:rPr>
                <w:rFonts w:ascii="Arial Narrow" w:hAnsi="Arial Narrow" w:cs="Arial"/>
                <w:strike/>
                <w:sz w:val="20"/>
                <w:szCs w:val="20"/>
                <w:lang w:val="fr-FR"/>
              </w:rPr>
              <w:t>assessments</w:t>
            </w:r>
            <w:proofErr w:type="spellEnd"/>
            <w:r w:rsidRPr="00A554EC">
              <w:rPr>
                <w:rFonts w:ascii="Arial Narrow" w:hAnsi="Arial Narrow" w:cs="Arial"/>
                <w:strike/>
                <w:sz w:val="20"/>
                <w:szCs w:val="20"/>
                <w:lang w:val="fr-FR"/>
              </w:rPr>
              <w:t>;</w:t>
            </w:r>
          </w:p>
          <w:p w:rsidR="00A73CC8" w:rsidRPr="00A554EC" w:rsidRDefault="00A73CC8" w:rsidP="00C47B59">
            <w:pPr>
              <w:rPr>
                <w:rFonts w:ascii="Arial Narrow" w:hAnsi="Arial Narrow" w:cs="Arial"/>
                <w:strike/>
                <w:sz w:val="20"/>
                <w:szCs w:val="20"/>
                <w:lang w:val="fr-FR"/>
              </w:rPr>
            </w:pPr>
            <w:r w:rsidRPr="00A554EC">
              <w:rPr>
                <w:rFonts w:ascii="Arial Narrow" w:hAnsi="Arial Narrow" w:cs="Arial"/>
                <w:strike/>
                <w:sz w:val="20"/>
                <w:szCs w:val="20"/>
                <w:lang w:val="fr-FR"/>
              </w:rPr>
              <w:t xml:space="preserve">(3) RHC composite </w:t>
            </w:r>
            <w:proofErr w:type="spellStart"/>
            <w:r w:rsidRPr="00A554EC">
              <w:rPr>
                <w:rFonts w:ascii="Arial Narrow" w:hAnsi="Arial Narrow" w:cs="Arial"/>
                <w:strike/>
                <w:sz w:val="20"/>
                <w:szCs w:val="20"/>
                <w:lang w:val="fr-FR"/>
              </w:rPr>
              <w:t>assessment</w:t>
            </w:r>
            <w:proofErr w:type="spellEnd"/>
            <w:r w:rsidRPr="00A554EC">
              <w:rPr>
                <w:rFonts w:ascii="Arial Narrow" w:hAnsi="Arial Narrow" w:cs="Arial"/>
                <w:strike/>
                <w:sz w:val="20"/>
                <w:szCs w:val="20"/>
                <w:lang w:val="fr-FR"/>
              </w:rPr>
              <w:t xml:space="preserve"> plus 6MWT;</w:t>
            </w:r>
          </w:p>
          <w:p w:rsidR="00A73CC8" w:rsidRPr="00A554EC" w:rsidRDefault="00A73CC8" w:rsidP="00C47B59">
            <w:pPr>
              <w:rPr>
                <w:rFonts w:ascii="Arial Narrow" w:hAnsi="Arial Narrow" w:cs="Arial"/>
                <w:strike/>
                <w:sz w:val="20"/>
                <w:szCs w:val="20"/>
                <w:lang w:val="fr-FR"/>
              </w:rPr>
            </w:pPr>
            <w:r w:rsidRPr="00A554EC">
              <w:rPr>
                <w:rFonts w:ascii="Arial Narrow" w:hAnsi="Arial Narrow" w:cs="Arial"/>
                <w:strike/>
                <w:sz w:val="20"/>
                <w:szCs w:val="20"/>
                <w:lang w:val="fr-FR"/>
              </w:rPr>
              <w:t xml:space="preserve">(4) ECHO composite </w:t>
            </w:r>
            <w:proofErr w:type="spellStart"/>
            <w:r w:rsidRPr="00A554EC">
              <w:rPr>
                <w:rFonts w:ascii="Arial Narrow" w:hAnsi="Arial Narrow" w:cs="Arial"/>
                <w:strike/>
                <w:sz w:val="20"/>
                <w:szCs w:val="20"/>
                <w:lang w:val="fr-FR"/>
              </w:rPr>
              <w:t>assessment</w:t>
            </w:r>
            <w:proofErr w:type="spellEnd"/>
            <w:r w:rsidRPr="00A554EC">
              <w:rPr>
                <w:rFonts w:ascii="Arial Narrow" w:hAnsi="Arial Narrow" w:cs="Arial"/>
                <w:strike/>
                <w:sz w:val="20"/>
                <w:szCs w:val="20"/>
                <w:lang w:val="fr-FR"/>
              </w:rPr>
              <w:t xml:space="preserve"> plus 6MWT;</w:t>
            </w:r>
          </w:p>
          <w:p w:rsidR="00A73CC8" w:rsidRPr="00D01406" w:rsidRDefault="00A73CC8" w:rsidP="00C47B59">
            <w:pPr>
              <w:rPr>
                <w:rFonts w:ascii="Arial Narrow" w:hAnsi="Arial Narrow" w:cs="Arial"/>
                <w:strike/>
                <w:sz w:val="20"/>
                <w:szCs w:val="20"/>
              </w:rPr>
            </w:pPr>
            <w:r w:rsidRPr="00D01406">
              <w:rPr>
                <w:rFonts w:ascii="Arial Narrow" w:hAnsi="Arial Narrow" w:cs="Arial"/>
                <w:strike/>
                <w:sz w:val="20"/>
                <w:szCs w:val="20"/>
              </w:rPr>
              <w:t>(5) RHC composite assessment only;</w:t>
            </w:r>
          </w:p>
          <w:p w:rsidR="00A73CC8" w:rsidRPr="00D01406" w:rsidRDefault="00A73CC8" w:rsidP="00C47B59">
            <w:pPr>
              <w:rPr>
                <w:rFonts w:ascii="Arial Narrow" w:hAnsi="Arial Narrow" w:cs="Arial"/>
                <w:strike/>
                <w:sz w:val="20"/>
                <w:szCs w:val="20"/>
              </w:rPr>
            </w:pPr>
            <w:r w:rsidRPr="00D01406">
              <w:rPr>
                <w:rFonts w:ascii="Arial Narrow" w:hAnsi="Arial Narrow" w:cs="Arial"/>
                <w:strike/>
                <w:sz w:val="20"/>
                <w:szCs w:val="20"/>
              </w:rPr>
              <w:t>(6) ECHO composite assessment only.</w:t>
            </w:r>
          </w:p>
          <w:p w:rsidR="00A73CC8" w:rsidRPr="00D01406" w:rsidRDefault="00A73CC8" w:rsidP="00C47B59">
            <w:pPr>
              <w:rPr>
                <w:rFonts w:ascii="Arial Narrow" w:hAnsi="Arial Narrow" w:cs="Arial"/>
                <w:strike/>
                <w:sz w:val="20"/>
                <w:szCs w:val="20"/>
              </w:rPr>
            </w:pPr>
          </w:p>
          <w:p w:rsidR="00A73CC8" w:rsidRPr="00D01406" w:rsidRDefault="00A73CC8" w:rsidP="00C47B59">
            <w:pPr>
              <w:rPr>
                <w:rFonts w:ascii="Arial Narrow" w:hAnsi="Arial Narrow" w:cs="Arial"/>
                <w:strike/>
                <w:sz w:val="20"/>
                <w:szCs w:val="20"/>
              </w:rPr>
            </w:pPr>
            <w:r w:rsidRPr="00D01406">
              <w:rPr>
                <w:rFonts w:ascii="Arial Narrow" w:hAnsi="Arial Narrow" w:cs="Arial"/>
                <w:strike/>
                <w:sz w:val="20"/>
                <w:szCs w:val="20"/>
              </w:rPr>
              <w:t xml:space="preserve">The results of the same tests as conducted at baseline should be provided with each written continuing treatment application (i.e., every 6 months),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 </w:t>
            </w:r>
          </w:p>
          <w:p w:rsidR="00A73CC8" w:rsidRPr="00D01406" w:rsidRDefault="00A73CC8" w:rsidP="00C47B59">
            <w:pPr>
              <w:rPr>
                <w:rFonts w:ascii="Arial Narrow" w:hAnsi="Arial Narrow" w:cs="Arial"/>
                <w:strike/>
                <w:sz w:val="20"/>
                <w:szCs w:val="20"/>
              </w:rPr>
            </w:pPr>
          </w:p>
          <w:p w:rsidR="00A73CC8" w:rsidRPr="00D01406" w:rsidRDefault="00A73CC8" w:rsidP="00C47B59">
            <w:pPr>
              <w:rPr>
                <w:rFonts w:ascii="Arial Narrow" w:hAnsi="Arial Narrow" w:cs="Arial"/>
                <w:strike/>
                <w:sz w:val="20"/>
                <w:szCs w:val="20"/>
              </w:rPr>
            </w:pPr>
            <w:r w:rsidRPr="00D01406">
              <w:rPr>
                <w:rFonts w:ascii="Arial Narrow" w:hAnsi="Arial Narrow" w:cs="Arial"/>
                <w:strike/>
                <w:sz w:val="20"/>
                <w:szCs w:val="20"/>
              </w:rPr>
              <w:t>The test results provided with the application for continuing treatment must be no more than 2 months old at the time of application.</w:t>
            </w:r>
          </w:p>
          <w:p w:rsidR="00A73CC8" w:rsidRPr="00D01406" w:rsidRDefault="00A73CC8" w:rsidP="00C47B59">
            <w:pPr>
              <w:rPr>
                <w:rFonts w:ascii="Arial Narrow" w:hAnsi="Arial Narrow" w:cs="Arial"/>
                <w:strike/>
                <w:sz w:val="20"/>
                <w:szCs w:val="20"/>
              </w:rPr>
            </w:pPr>
          </w:p>
          <w:p w:rsidR="00A73CC8" w:rsidRPr="00D01406" w:rsidRDefault="00A73CC8" w:rsidP="00C47B59">
            <w:pPr>
              <w:rPr>
                <w:rFonts w:ascii="Arial Narrow" w:hAnsi="Arial Narrow" w:cs="Arial"/>
                <w:strike/>
                <w:sz w:val="20"/>
                <w:szCs w:val="20"/>
              </w:rPr>
            </w:pPr>
            <w:r w:rsidRPr="00D01406">
              <w:rPr>
                <w:rFonts w:ascii="Arial Narrow" w:hAnsi="Arial Narrow" w:cs="Arial"/>
                <w:strike/>
                <w:sz w:val="20"/>
                <w:szCs w:val="20"/>
              </w:rPr>
              <w:t>Response to a PAH agent is defined as follows:</w:t>
            </w:r>
          </w:p>
          <w:p w:rsidR="00A73CC8" w:rsidRPr="00D01406" w:rsidRDefault="00A73CC8" w:rsidP="00C47B59">
            <w:pPr>
              <w:rPr>
                <w:rFonts w:ascii="Arial Narrow" w:hAnsi="Arial Narrow" w:cs="Arial"/>
                <w:strike/>
                <w:sz w:val="20"/>
                <w:szCs w:val="20"/>
              </w:rPr>
            </w:pPr>
          </w:p>
          <w:p w:rsidR="00A73CC8" w:rsidRPr="00D01406" w:rsidRDefault="00A73CC8" w:rsidP="00C47B59">
            <w:pPr>
              <w:rPr>
                <w:rFonts w:ascii="Arial Narrow" w:hAnsi="Arial Narrow" w:cs="Arial"/>
                <w:strike/>
                <w:sz w:val="20"/>
                <w:szCs w:val="20"/>
              </w:rPr>
            </w:pPr>
            <w:r w:rsidRPr="00D01406">
              <w:rPr>
                <w:rFonts w:ascii="Arial Narrow" w:hAnsi="Arial Narrow" w:cs="Arial"/>
                <w:strike/>
                <w:sz w:val="20"/>
                <w:szCs w:val="20"/>
              </w:rPr>
              <w:t xml:space="preserve">For patients with two or more baseline tests, response to treatment is defined as two or more tests demonstrating stability or improvement of disease, as assessed by a physician from a designated hospital. </w:t>
            </w:r>
          </w:p>
          <w:p w:rsidR="00A73CC8" w:rsidRPr="00D01406" w:rsidRDefault="00A73CC8" w:rsidP="00C47B59">
            <w:pPr>
              <w:rPr>
                <w:rFonts w:ascii="Arial Narrow" w:hAnsi="Arial Narrow" w:cs="Arial"/>
                <w:strike/>
                <w:sz w:val="20"/>
                <w:szCs w:val="20"/>
              </w:rPr>
            </w:pPr>
          </w:p>
          <w:p w:rsidR="00A73CC8" w:rsidRPr="00D01406" w:rsidRDefault="00A73CC8" w:rsidP="00C47B59">
            <w:pPr>
              <w:rPr>
                <w:rFonts w:ascii="Arial Narrow" w:hAnsi="Arial Narrow" w:cs="Arial"/>
                <w:strike/>
                <w:sz w:val="20"/>
                <w:szCs w:val="20"/>
              </w:rPr>
            </w:pPr>
            <w:r w:rsidRPr="00D01406">
              <w:rPr>
                <w:rFonts w:ascii="Arial Narrow" w:hAnsi="Arial Narrow" w:cs="Arial"/>
                <w:strike/>
                <w:sz w:val="20"/>
                <w:szCs w:val="20"/>
              </w:rPr>
              <w:lastRenderedPageBreak/>
              <w:t xml:space="preserve">For patients with a RHC composite assessment alone at baseline, response to treatment is defined as a RHC result demonstrating stability or improvement of disease, as assessed by a physician from a designated hospital. </w:t>
            </w:r>
          </w:p>
          <w:p w:rsidR="00A73CC8" w:rsidRPr="00D01406" w:rsidRDefault="00A73CC8" w:rsidP="00C47B59">
            <w:pPr>
              <w:rPr>
                <w:rFonts w:ascii="Arial Narrow" w:hAnsi="Arial Narrow" w:cs="Arial"/>
                <w:strike/>
                <w:sz w:val="20"/>
                <w:szCs w:val="20"/>
              </w:rPr>
            </w:pPr>
          </w:p>
          <w:p w:rsidR="00A73CC8" w:rsidRPr="00D01406" w:rsidRDefault="00A73CC8" w:rsidP="00C47B59">
            <w:pPr>
              <w:rPr>
                <w:rFonts w:ascii="Arial Narrow" w:hAnsi="Arial Narrow" w:cs="Arial"/>
                <w:strike/>
                <w:sz w:val="20"/>
                <w:szCs w:val="20"/>
              </w:rPr>
            </w:pPr>
            <w:r w:rsidRPr="00D01406">
              <w:rPr>
                <w:rFonts w:ascii="Arial Narrow" w:hAnsi="Arial Narrow" w:cs="Arial"/>
                <w:strike/>
                <w:sz w:val="20"/>
                <w:szCs w:val="20"/>
              </w:rPr>
              <w:t xml:space="preserve">For patients with an ECHO composite assessment alone at baseline, response to treatment is defined as an ECHO result demonstrating stability or improvement of disease, as assessed by a physician from a designated hospital. </w:t>
            </w:r>
          </w:p>
          <w:p w:rsidR="00A73CC8" w:rsidRPr="00D01406" w:rsidRDefault="00A73CC8" w:rsidP="00C47B59">
            <w:pPr>
              <w:rPr>
                <w:rFonts w:ascii="Arial Narrow" w:hAnsi="Arial Narrow" w:cs="Arial"/>
                <w:strike/>
                <w:sz w:val="20"/>
                <w:szCs w:val="20"/>
              </w:rPr>
            </w:pPr>
          </w:p>
          <w:p w:rsidR="00A73CC8" w:rsidRPr="00D01406" w:rsidRDefault="00A73CC8" w:rsidP="00C47B59">
            <w:pPr>
              <w:rPr>
                <w:rFonts w:ascii="Arial Narrow" w:hAnsi="Arial Narrow" w:cs="Arial"/>
                <w:strike/>
                <w:sz w:val="20"/>
                <w:szCs w:val="20"/>
              </w:rPr>
            </w:pPr>
            <w:r w:rsidRPr="00D01406">
              <w:rPr>
                <w:rFonts w:ascii="Arial Narrow" w:hAnsi="Arial Narrow" w:cs="Arial"/>
                <w:strike/>
                <w:sz w:val="20"/>
                <w:szCs w:val="20"/>
              </w:rPr>
              <w:t xml:space="preserve">For patients aged less than 18 years, response to treatment is defined as at least one of the baseline tests demonstrating stability or improvement of disease, as assessed by a physician from a designated hospital. </w:t>
            </w:r>
          </w:p>
          <w:p w:rsidR="00A73CC8" w:rsidRPr="00A73CC8" w:rsidRDefault="00A73CC8" w:rsidP="00C47B59">
            <w:pPr>
              <w:rPr>
                <w:rFonts w:ascii="Arial Narrow" w:hAnsi="Arial Narrow" w:cs="Arial"/>
                <w:sz w:val="20"/>
                <w:szCs w:val="20"/>
              </w:rPr>
            </w:pPr>
          </w:p>
          <w:p w:rsidR="00A73CC8" w:rsidRPr="00A73CC8" w:rsidRDefault="00A73CC8" w:rsidP="00C47B59">
            <w:pPr>
              <w:rPr>
                <w:rFonts w:ascii="Arial Narrow" w:hAnsi="Arial Narrow" w:cs="Arial"/>
                <w:sz w:val="20"/>
                <w:szCs w:val="20"/>
              </w:rPr>
            </w:pPr>
            <w:r w:rsidRPr="00A73CC8">
              <w:rPr>
                <w:rFonts w:ascii="Arial Narrow" w:hAnsi="Arial Narrow" w:cs="Arial"/>
                <w:sz w:val="20"/>
                <w:szCs w:val="20"/>
              </w:rPr>
              <w:t xml:space="preserve">The maximum quantity authorised will be limited to provide sufficient supply for 1 month of treatment, based on the dosage recommendations in the Therapeutic Goods Administration (TGA) approved Product Information. </w:t>
            </w:r>
          </w:p>
          <w:p w:rsidR="00A73CC8" w:rsidRPr="00A73CC8" w:rsidRDefault="00A73CC8" w:rsidP="00C47B59">
            <w:pPr>
              <w:rPr>
                <w:rFonts w:ascii="Arial Narrow" w:hAnsi="Arial Narrow" w:cs="Arial"/>
                <w:sz w:val="20"/>
                <w:szCs w:val="20"/>
              </w:rPr>
            </w:pPr>
          </w:p>
          <w:p w:rsidR="00A73CC8" w:rsidRPr="00A73CC8" w:rsidRDefault="00A73CC8" w:rsidP="00C47B59">
            <w:pPr>
              <w:rPr>
                <w:rFonts w:ascii="Arial Narrow" w:hAnsi="Arial Narrow" w:cs="Arial"/>
                <w:sz w:val="20"/>
                <w:szCs w:val="20"/>
              </w:rPr>
            </w:pPr>
            <w:r w:rsidRPr="00A73CC8">
              <w:rPr>
                <w:rFonts w:ascii="Arial Narrow" w:hAnsi="Arial Narrow" w:cs="Arial"/>
                <w:sz w:val="20"/>
                <w:szCs w:val="20"/>
              </w:rPr>
              <w:t>A maximum of 5 repeats will be authorised.</w:t>
            </w:r>
          </w:p>
          <w:p w:rsidR="00A73CC8" w:rsidRPr="00A73CC8" w:rsidRDefault="00A73CC8" w:rsidP="00C47B59">
            <w:pPr>
              <w:rPr>
                <w:rFonts w:ascii="Arial Narrow" w:hAnsi="Arial Narrow" w:cs="Arial"/>
                <w:sz w:val="20"/>
                <w:szCs w:val="20"/>
              </w:rPr>
            </w:pPr>
          </w:p>
          <w:p w:rsidR="00A73CC8" w:rsidRPr="00B0720C" w:rsidRDefault="00A73CC8" w:rsidP="00C47B59">
            <w:pPr>
              <w:rPr>
                <w:rFonts w:ascii="Arial Narrow" w:hAnsi="Arial Narrow" w:cs="Arial"/>
                <w:strike/>
                <w:sz w:val="20"/>
                <w:szCs w:val="20"/>
              </w:rPr>
            </w:pPr>
            <w:r w:rsidRPr="00B0720C">
              <w:rPr>
                <w:rFonts w:ascii="Arial Narrow" w:hAnsi="Arial Narrow" w:cs="Arial"/>
                <w:strike/>
                <w:sz w:val="20"/>
                <w:szCs w:val="20"/>
              </w:rPr>
              <w:t xml:space="preserve">The assessment of the patient's response to the first and subsequent 6 month courses of treatment should be made following the preceding 5 months of treatment, in order to allow sufficient time for a response to be demonstrated. </w:t>
            </w:r>
          </w:p>
          <w:p w:rsidR="00A73CC8" w:rsidRPr="00A73CC8" w:rsidRDefault="00A73CC8" w:rsidP="00C47B59">
            <w:pPr>
              <w:rPr>
                <w:rFonts w:ascii="Arial Narrow" w:hAnsi="Arial Narrow" w:cs="Arial"/>
                <w:sz w:val="20"/>
                <w:szCs w:val="20"/>
              </w:rPr>
            </w:pPr>
          </w:p>
          <w:p w:rsidR="00A73CC8" w:rsidRPr="00A73CC8" w:rsidRDefault="00A73CC8" w:rsidP="00C47B59">
            <w:pPr>
              <w:rPr>
                <w:rFonts w:ascii="Arial Narrow" w:hAnsi="Arial Narrow" w:cs="Arial"/>
                <w:sz w:val="20"/>
                <w:szCs w:val="20"/>
              </w:rPr>
            </w:pPr>
            <w:r w:rsidRPr="00A73CC8">
              <w:rPr>
                <w:rFonts w:ascii="Arial Narrow" w:hAnsi="Arial Narrow" w:cs="Arial"/>
                <w:sz w:val="20"/>
                <w:szCs w:val="20"/>
              </w:rPr>
              <w:t xml:space="preserve">Applications for continuing treatment with a PAH agent should be made prior to the completion of the 6 month treatment course to ensure continuity for those patients who respond to treatment, as assessed by the treating physician. </w:t>
            </w:r>
          </w:p>
          <w:p w:rsidR="00A73CC8" w:rsidRPr="00A73CC8" w:rsidRDefault="00A73CC8" w:rsidP="00C47B59">
            <w:pPr>
              <w:rPr>
                <w:rFonts w:ascii="Arial Narrow" w:hAnsi="Arial Narrow" w:cs="Arial"/>
                <w:sz w:val="20"/>
                <w:szCs w:val="20"/>
              </w:rPr>
            </w:pPr>
          </w:p>
          <w:p w:rsidR="00A73CC8" w:rsidRPr="00B0720C" w:rsidRDefault="00A73CC8" w:rsidP="00C47B59">
            <w:pPr>
              <w:rPr>
                <w:rFonts w:ascii="Arial Narrow" w:hAnsi="Arial Narrow" w:cs="Arial"/>
                <w:strike/>
                <w:sz w:val="20"/>
                <w:szCs w:val="20"/>
              </w:rPr>
            </w:pPr>
            <w:r w:rsidRPr="00B0720C">
              <w:rPr>
                <w:rFonts w:ascii="Arial Narrow" w:hAnsi="Arial Narrow" w:cs="Arial"/>
                <w:strike/>
                <w:sz w:val="20"/>
                <w:szCs w:val="20"/>
              </w:rPr>
              <w:t xml:space="preserve">Patients who fail to demonstrate a response to PBS-subsidised treatment with this agent at the time where an assessment is required must cease PBS-subsidised therapy with this agent. </w:t>
            </w:r>
          </w:p>
          <w:p w:rsidR="00A73CC8" w:rsidRPr="00A73CC8" w:rsidRDefault="00A73CC8" w:rsidP="00C47B59">
            <w:pPr>
              <w:rPr>
                <w:rFonts w:ascii="Arial Narrow" w:hAnsi="Arial Narrow" w:cs="Arial"/>
                <w:sz w:val="20"/>
                <w:szCs w:val="20"/>
              </w:rPr>
            </w:pPr>
          </w:p>
          <w:p w:rsidR="00A73CC8" w:rsidRPr="00A73CC8" w:rsidRDefault="00A73CC8" w:rsidP="00C47B59">
            <w:pPr>
              <w:rPr>
                <w:rFonts w:ascii="Arial Narrow" w:hAnsi="Arial Narrow" w:cs="Arial"/>
                <w:sz w:val="20"/>
                <w:szCs w:val="20"/>
              </w:rPr>
            </w:pPr>
            <w:r w:rsidRPr="00A73CC8">
              <w:rPr>
                <w:rFonts w:ascii="Arial Narrow" w:hAnsi="Arial Narrow" w:cs="Arial"/>
                <w:sz w:val="20"/>
                <w:szCs w:val="20"/>
              </w:rPr>
              <w:t xml:space="preserve">The term 'PAH agents' refers to </w:t>
            </w:r>
            <w:proofErr w:type="spellStart"/>
            <w:r w:rsidRPr="00A73CC8">
              <w:rPr>
                <w:rFonts w:ascii="Arial Narrow" w:hAnsi="Arial Narrow" w:cs="Arial"/>
                <w:sz w:val="20"/>
                <w:szCs w:val="20"/>
              </w:rPr>
              <w:t>bosentan</w:t>
            </w:r>
            <w:proofErr w:type="spellEnd"/>
            <w:r w:rsidRPr="00A73CC8">
              <w:rPr>
                <w:rFonts w:ascii="Arial Narrow" w:hAnsi="Arial Narrow" w:cs="Arial"/>
                <w:sz w:val="20"/>
                <w:szCs w:val="20"/>
              </w:rPr>
              <w:t xml:space="preserve"> monohydrate, </w:t>
            </w:r>
            <w:proofErr w:type="spellStart"/>
            <w:r w:rsidRPr="00A73CC8">
              <w:rPr>
                <w:rFonts w:ascii="Arial Narrow" w:hAnsi="Arial Narrow" w:cs="Arial"/>
                <w:sz w:val="20"/>
                <w:szCs w:val="20"/>
              </w:rPr>
              <w:t>iloprost</w:t>
            </w:r>
            <w:proofErr w:type="spellEnd"/>
            <w:r w:rsidRPr="00A73CC8">
              <w:rPr>
                <w:rFonts w:ascii="Arial Narrow" w:hAnsi="Arial Narrow" w:cs="Arial"/>
                <w:sz w:val="20"/>
                <w:szCs w:val="20"/>
              </w:rPr>
              <w:t xml:space="preserve"> </w:t>
            </w:r>
            <w:proofErr w:type="spellStart"/>
            <w:r w:rsidRPr="00A73CC8">
              <w:rPr>
                <w:rFonts w:ascii="Arial Narrow" w:hAnsi="Arial Narrow" w:cs="Arial"/>
                <w:sz w:val="20"/>
                <w:szCs w:val="20"/>
              </w:rPr>
              <w:t>trometamol</w:t>
            </w:r>
            <w:proofErr w:type="spellEnd"/>
            <w:r w:rsidRPr="00A73CC8">
              <w:rPr>
                <w:rFonts w:ascii="Arial Narrow" w:hAnsi="Arial Narrow" w:cs="Arial"/>
                <w:sz w:val="20"/>
                <w:szCs w:val="20"/>
              </w:rPr>
              <w:t xml:space="preserve">, </w:t>
            </w:r>
            <w:proofErr w:type="spellStart"/>
            <w:r w:rsidRPr="00A73CC8">
              <w:rPr>
                <w:rFonts w:ascii="Arial Narrow" w:hAnsi="Arial Narrow" w:cs="Arial"/>
                <w:sz w:val="20"/>
                <w:szCs w:val="20"/>
              </w:rPr>
              <w:t>epoprostenol</w:t>
            </w:r>
            <w:proofErr w:type="spellEnd"/>
            <w:r w:rsidRPr="00A73CC8">
              <w:rPr>
                <w:rFonts w:ascii="Arial Narrow" w:hAnsi="Arial Narrow" w:cs="Arial"/>
                <w:sz w:val="20"/>
                <w:szCs w:val="20"/>
              </w:rPr>
              <w:t xml:space="preserve"> sodium, sildenafil citrate, </w:t>
            </w:r>
            <w:proofErr w:type="spellStart"/>
            <w:r w:rsidRPr="00A73CC8">
              <w:rPr>
                <w:rFonts w:ascii="Arial Narrow" w:hAnsi="Arial Narrow" w:cs="Arial"/>
                <w:sz w:val="20"/>
                <w:szCs w:val="20"/>
              </w:rPr>
              <w:t>ambrisentan</w:t>
            </w:r>
            <w:proofErr w:type="spellEnd"/>
            <w:r w:rsidRPr="00A73CC8">
              <w:rPr>
                <w:rFonts w:ascii="Arial Narrow" w:hAnsi="Arial Narrow" w:cs="Arial"/>
                <w:sz w:val="20"/>
                <w:szCs w:val="20"/>
              </w:rPr>
              <w:t xml:space="preserve">, </w:t>
            </w:r>
            <w:proofErr w:type="spellStart"/>
            <w:r w:rsidRPr="00A73CC8">
              <w:rPr>
                <w:rFonts w:ascii="Arial Narrow" w:hAnsi="Arial Narrow" w:cs="Arial"/>
                <w:sz w:val="20"/>
                <w:szCs w:val="20"/>
              </w:rPr>
              <w:t>tadalafil</w:t>
            </w:r>
            <w:proofErr w:type="spellEnd"/>
            <w:r w:rsidRPr="00A73CC8">
              <w:rPr>
                <w:rFonts w:ascii="Arial Narrow" w:hAnsi="Arial Narrow" w:cs="Arial"/>
                <w:sz w:val="20"/>
                <w:szCs w:val="20"/>
              </w:rPr>
              <w:t xml:space="preserve">, and </w:t>
            </w:r>
            <w:proofErr w:type="spellStart"/>
            <w:r w:rsidRPr="00A73CC8">
              <w:rPr>
                <w:rFonts w:ascii="Arial Narrow" w:hAnsi="Arial Narrow" w:cs="Arial"/>
                <w:sz w:val="20"/>
                <w:szCs w:val="20"/>
              </w:rPr>
              <w:t>macitentan</w:t>
            </w:r>
            <w:proofErr w:type="spellEnd"/>
            <w:r w:rsidRPr="00A73CC8">
              <w:rPr>
                <w:rFonts w:ascii="Arial Narrow" w:hAnsi="Arial Narrow" w:cs="Arial"/>
                <w:sz w:val="20"/>
                <w:szCs w:val="20"/>
              </w:rPr>
              <w:t xml:space="preserve">. </w:t>
            </w:r>
          </w:p>
          <w:p w:rsidR="00A73CC8" w:rsidRPr="00A73CC8" w:rsidRDefault="00A73CC8" w:rsidP="00C47B59">
            <w:pPr>
              <w:rPr>
                <w:rFonts w:ascii="Arial Narrow" w:hAnsi="Arial Narrow" w:cs="Arial"/>
                <w:sz w:val="20"/>
                <w:szCs w:val="20"/>
              </w:rPr>
            </w:pPr>
          </w:p>
          <w:p w:rsidR="00826F6D" w:rsidRPr="00260CE3" w:rsidRDefault="00A73CC8" w:rsidP="00C47B59">
            <w:pPr>
              <w:rPr>
                <w:rFonts w:ascii="Arial Narrow" w:hAnsi="Arial Narrow" w:cs="Arial"/>
                <w:sz w:val="20"/>
                <w:szCs w:val="20"/>
              </w:rPr>
            </w:pPr>
            <w:r w:rsidRPr="00A73CC8">
              <w:rPr>
                <w:rFonts w:ascii="Arial Narrow" w:hAnsi="Arial Narrow" w:cs="Arial"/>
                <w:sz w:val="20"/>
                <w:szCs w:val="20"/>
              </w:rPr>
              <w:t>PAH agents are not PBS-subsidised for patients with pulmonary hypertension secondary to interstitial lung disease associated with connective tissue disease, where the total lung capacity is less than 70% of predicted.</w:t>
            </w:r>
          </w:p>
        </w:tc>
      </w:tr>
    </w:tbl>
    <w:p w:rsidR="00BB7EC3" w:rsidRPr="00882085" w:rsidRDefault="00BB7EC3" w:rsidP="00C47B59">
      <w:pPr>
        <w:jc w:val="both"/>
        <w:rPr>
          <w:rFonts w:ascii="Arial" w:hAnsi="Arial"/>
          <w:b/>
          <w:sz w:val="22"/>
          <w:szCs w:val="22"/>
        </w:rPr>
      </w:pPr>
    </w:p>
    <w:p w:rsidR="00CE10C4" w:rsidRPr="00882085" w:rsidRDefault="00CE10C4" w:rsidP="00C47B59">
      <w:pPr>
        <w:pStyle w:val="ListParagraph"/>
        <w:numPr>
          <w:ilvl w:val="0"/>
          <w:numId w:val="2"/>
        </w:numPr>
        <w:jc w:val="both"/>
        <w:rPr>
          <w:rFonts w:ascii="Arial" w:hAnsi="Arial"/>
          <w:sz w:val="22"/>
          <w:szCs w:val="22"/>
        </w:rPr>
      </w:pPr>
      <w:r w:rsidRPr="00882085">
        <w:rPr>
          <w:rFonts w:ascii="Arial" w:hAnsi="Arial"/>
          <w:b/>
          <w:sz w:val="22"/>
          <w:szCs w:val="22"/>
        </w:rPr>
        <w:t>Background</w:t>
      </w:r>
    </w:p>
    <w:p w:rsidR="006B0D94" w:rsidRPr="0024121B" w:rsidRDefault="006B0D94" w:rsidP="00C47B59">
      <w:pPr>
        <w:jc w:val="both"/>
        <w:rPr>
          <w:rFonts w:ascii="Arial" w:hAnsi="Arial"/>
          <w:sz w:val="22"/>
          <w:szCs w:val="22"/>
        </w:rPr>
      </w:pPr>
    </w:p>
    <w:p w:rsidR="00326E79" w:rsidRDefault="00102EFA" w:rsidP="00C47B59">
      <w:pPr>
        <w:pStyle w:val="ListParagraph"/>
        <w:numPr>
          <w:ilvl w:val="1"/>
          <w:numId w:val="2"/>
        </w:numPr>
        <w:jc w:val="both"/>
        <w:rPr>
          <w:rFonts w:ascii="Arial" w:hAnsi="Arial"/>
          <w:sz w:val="22"/>
          <w:szCs w:val="22"/>
        </w:rPr>
      </w:pPr>
      <w:r>
        <w:rPr>
          <w:rFonts w:ascii="Arial" w:hAnsi="Arial"/>
          <w:sz w:val="22"/>
          <w:szCs w:val="22"/>
        </w:rPr>
        <w:t xml:space="preserve">At its November 2013 meeting, the PBAC noted </w:t>
      </w:r>
      <w:r w:rsidRPr="00102EFA">
        <w:rPr>
          <w:rFonts w:ascii="Arial" w:hAnsi="Arial"/>
          <w:sz w:val="22"/>
          <w:szCs w:val="22"/>
        </w:rPr>
        <w:t xml:space="preserve">correspondence from the Pulmonary Hypertension Society of Australia and New Zealand (PHSANZ), recommending changes to the </w:t>
      </w:r>
      <w:r>
        <w:rPr>
          <w:rFonts w:ascii="Arial" w:hAnsi="Arial"/>
          <w:sz w:val="22"/>
          <w:szCs w:val="22"/>
        </w:rPr>
        <w:t xml:space="preserve">then </w:t>
      </w:r>
      <w:r w:rsidRPr="00102EFA">
        <w:rPr>
          <w:rFonts w:ascii="Arial" w:hAnsi="Arial"/>
          <w:sz w:val="22"/>
          <w:szCs w:val="22"/>
        </w:rPr>
        <w:t>current PBS restrictions for PAH agents.</w:t>
      </w:r>
      <w:r w:rsidR="00BD51DD">
        <w:rPr>
          <w:rFonts w:ascii="Arial" w:hAnsi="Arial"/>
          <w:sz w:val="22"/>
          <w:szCs w:val="22"/>
        </w:rPr>
        <w:t xml:space="preserve"> </w:t>
      </w:r>
      <w:r w:rsidR="009C5B5D">
        <w:rPr>
          <w:rFonts w:ascii="Arial" w:hAnsi="Arial"/>
          <w:sz w:val="22"/>
          <w:szCs w:val="22"/>
        </w:rPr>
        <w:t xml:space="preserve">At the time, the PBAC considered that “such changes </w:t>
      </w:r>
      <w:r w:rsidR="009C5B5D" w:rsidRPr="009C5B5D">
        <w:rPr>
          <w:rFonts w:ascii="Arial" w:hAnsi="Arial"/>
          <w:sz w:val="22"/>
          <w:szCs w:val="22"/>
        </w:rPr>
        <w:t>would all require consultation from sponsors and most would require evidence-based submissions regarding maintenance of acceptable cost-effectiveness</w:t>
      </w:r>
      <w:r w:rsidR="009C5B5D">
        <w:rPr>
          <w:rFonts w:ascii="Arial" w:hAnsi="Arial"/>
          <w:sz w:val="22"/>
          <w:szCs w:val="22"/>
        </w:rPr>
        <w:t>”.</w:t>
      </w:r>
    </w:p>
    <w:p w:rsidR="0040449E" w:rsidRPr="0040449E" w:rsidRDefault="0040449E" w:rsidP="00C47B59">
      <w:pPr>
        <w:pStyle w:val="ListParagraph"/>
        <w:rPr>
          <w:rFonts w:ascii="Arial" w:hAnsi="Arial"/>
          <w:sz w:val="22"/>
          <w:szCs w:val="22"/>
        </w:rPr>
      </w:pPr>
    </w:p>
    <w:p w:rsidR="00BB7EC3" w:rsidRPr="00F355FF" w:rsidRDefault="0040449E" w:rsidP="00C47B59">
      <w:pPr>
        <w:pStyle w:val="ListParagraph"/>
        <w:numPr>
          <w:ilvl w:val="1"/>
          <w:numId w:val="2"/>
        </w:numPr>
        <w:jc w:val="both"/>
        <w:rPr>
          <w:rFonts w:ascii="Arial" w:hAnsi="Arial"/>
          <w:sz w:val="22"/>
          <w:szCs w:val="22"/>
        </w:rPr>
      </w:pPr>
      <w:r>
        <w:rPr>
          <w:rFonts w:ascii="Arial" w:hAnsi="Arial"/>
          <w:sz w:val="22"/>
          <w:szCs w:val="22"/>
        </w:rPr>
        <w:t xml:space="preserve">The DUSC analysis </w:t>
      </w:r>
      <w:r w:rsidR="00A51092">
        <w:rPr>
          <w:rFonts w:ascii="Arial" w:hAnsi="Arial"/>
          <w:sz w:val="22"/>
          <w:szCs w:val="22"/>
        </w:rPr>
        <w:t xml:space="preserve">on PAH agents </w:t>
      </w:r>
      <w:r>
        <w:rPr>
          <w:rFonts w:ascii="Arial" w:hAnsi="Arial"/>
          <w:sz w:val="22"/>
          <w:szCs w:val="22"/>
        </w:rPr>
        <w:t>from February 2015 states: “</w:t>
      </w:r>
      <w:r w:rsidRPr="0040449E">
        <w:rPr>
          <w:rFonts w:ascii="Arial" w:hAnsi="Arial"/>
          <w:sz w:val="22"/>
          <w:szCs w:val="22"/>
        </w:rPr>
        <w:t>Of 4,044 patients starting PAH treatment between 2004 and 2014, about 27% have progressed to a second agent, 5% to a third agent, and less than 2% to a fourth or fifth agent.</w:t>
      </w:r>
      <w:r>
        <w:rPr>
          <w:rFonts w:ascii="Arial" w:hAnsi="Arial"/>
          <w:sz w:val="22"/>
          <w:szCs w:val="22"/>
        </w:rPr>
        <w:t>”</w:t>
      </w:r>
    </w:p>
    <w:p w:rsidR="008A1956" w:rsidRPr="00882085" w:rsidRDefault="008A1956" w:rsidP="00C47B59">
      <w:pPr>
        <w:jc w:val="both"/>
        <w:rPr>
          <w:rFonts w:ascii="Arial" w:hAnsi="Arial"/>
          <w:b/>
          <w:sz w:val="22"/>
          <w:szCs w:val="22"/>
        </w:rPr>
      </w:pPr>
    </w:p>
    <w:p w:rsidR="00CE10C4" w:rsidRPr="00882085" w:rsidRDefault="00CE10C4" w:rsidP="000964D7">
      <w:pPr>
        <w:pStyle w:val="ListParagraph"/>
        <w:keepNext/>
        <w:numPr>
          <w:ilvl w:val="0"/>
          <w:numId w:val="2"/>
        </w:numPr>
        <w:jc w:val="both"/>
        <w:rPr>
          <w:rFonts w:ascii="Arial" w:hAnsi="Arial"/>
          <w:b/>
          <w:sz w:val="22"/>
          <w:szCs w:val="22"/>
        </w:rPr>
      </w:pPr>
      <w:r w:rsidRPr="00882085">
        <w:rPr>
          <w:rFonts w:ascii="Arial" w:hAnsi="Arial"/>
          <w:b/>
          <w:sz w:val="22"/>
          <w:szCs w:val="22"/>
        </w:rPr>
        <w:lastRenderedPageBreak/>
        <w:t>C</w:t>
      </w:r>
      <w:r w:rsidR="0024121B">
        <w:rPr>
          <w:rFonts w:ascii="Arial" w:hAnsi="Arial"/>
          <w:b/>
          <w:sz w:val="22"/>
          <w:szCs w:val="22"/>
        </w:rPr>
        <w:t>urrent situation</w:t>
      </w:r>
    </w:p>
    <w:p w:rsidR="00C35996" w:rsidRPr="0010060A" w:rsidRDefault="00C35996" w:rsidP="000964D7">
      <w:pPr>
        <w:keepNext/>
        <w:jc w:val="both"/>
        <w:rPr>
          <w:rFonts w:ascii="Arial" w:hAnsi="Arial"/>
          <w:sz w:val="22"/>
          <w:szCs w:val="22"/>
        </w:rPr>
      </w:pPr>
    </w:p>
    <w:p w:rsidR="0024121B" w:rsidRPr="00476245" w:rsidRDefault="0024121B" w:rsidP="00C47B59">
      <w:pPr>
        <w:pStyle w:val="ListParagraph"/>
        <w:numPr>
          <w:ilvl w:val="1"/>
          <w:numId w:val="2"/>
        </w:numPr>
        <w:jc w:val="both"/>
        <w:rPr>
          <w:rFonts w:ascii="Arial" w:hAnsi="Arial"/>
          <w:i/>
          <w:sz w:val="22"/>
          <w:szCs w:val="22"/>
        </w:rPr>
      </w:pPr>
      <w:r>
        <w:rPr>
          <w:rFonts w:ascii="Arial" w:hAnsi="Arial"/>
          <w:sz w:val="22"/>
          <w:szCs w:val="22"/>
        </w:rPr>
        <w:t xml:space="preserve">As at </w:t>
      </w:r>
      <w:r w:rsidR="003A0195">
        <w:rPr>
          <w:rFonts w:ascii="Arial" w:hAnsi="Arial"/>
          <w:sz w:val="22"/>
          <w:szCs w:val="22"/>
        </w:rPr>
        <w:t xml:space="preserve">July </w:t>
      </w:r>
      <w:r>
        <w:rPr>
          <w:rFonts w:ascii="Arial" w:hAnsi="Arial"/>
          <w:sz w:val="22"/>
          <w:szCs w:val="22"/>
        </w:rPr>
        <w:t xml:space="preserve">2015, PBS subsidy is available for the following medicines specifically for class III and/or class IV PAH: </w:t>
      </w:r>
      <w:proofErr w:type="spellStart"/>
      <w:r>
        <w:rPr>
          <w:rFonts w:ascii="Arial" w:hAnsi="Arial"/>
          <w:sz w:val="22"/>
          <w:szCs w:val="22"/>
        </w:rPr>
        <w:t>bosentan</w:t>
      </w:r>
      <w:proofErr w:type="spellEnd"/>
      <w:r>
        <w:rPr>
          <w:rFonts w:ascii="Arial" w:hAnsi="Arial"/>
          <w:sz w:val="22"/>
          <w:szCs w:val="22"/>
        </w:rPr>
        <w:t xml:space="preserve">, </w:t>
      </w:r>
      <w:proofErr w:type="spellStart"/>
      <w:r>
        <w:rPr>
          <w:rFonts w:ascii="Arial" w:hAnsi="Arial"/>
          <w:sz w:val="22"/>
          <w:szCs w:val="22"/>
        </w:rPr>
        <w:t>iloprost</w:t>
      </w:r>
      <w:proofErr w:type="spellEnd"/>
      <w:r>
        <w:rPr>
          <w:rFonts w:ascii="Arial" w:hAnsi="Arial"/>
          <w:sz w:val="22"/>
          <w:szCs w:val="22"/>
        </w:rPr>
        <w:t xml:space="preserve">, </w:t>
      </w:r>
      <w:proofErr w:type="spellStart"/>
      <w:r>
        <w:rPr>
          <w:rFonts w:ascii="Arial" w:hAnsi="Arial"/>
          <w:sz w:val="22"/>
          <w:szCs w:val="22"/>
        </w:rPr>
        <w:t>epoprostenol</w:t>
      </w:r>
      <w:proofErr w:type="spellEnd"/>
      <w:r>
        <w:rPr>
          <w:rFonts w:ascii="Arial" w:hAnsi="Arial"/>
          <w:sz w:val="22"/>
          <w:szCs w:val="22"/>
        </w:rPr>
        <w:t xml:space="preserve">, sildenafil, </w:t>
      </w:r>
      <w:proofErr w:type="spellStart"/>
      <w:r>
        <w:rPr>
          <w:rFonts w:ascii="Arial" w:hAnsi="Arial"/>
          <w:sz w:val="22"/>
          <w:szCs w:val="22"/>
        </w:rPr>
        <w:t>ambrisentan</w:t>
      </w:r>
      <w:proofErr w:type="spellEnd"/>
      <w:r>
        <w:rPr>
          <w:rFonts w:ascii="Arial" w:hAnsi="Arial"/>
          <w:sz w:val="22"/>
          <w:szCs w:val="22"/>
        </w:rPr>
        <w:t xml:space="preserve">, </w:t>
      </w:r>
      <w:proofErr w:type="spellStart"/>
      <w:r>
        <w:rPr>
          <w:rFonts w:ascii="Arial" w:hAnsi="Arial"/>
          <w:sz w:val="22"/>
          <w:szCs w:val="22"/>
        </w:rPr>
        <w:t>tadalafil</w:t>
      </w:r>
      <w:proofErr w:type="spellEnd"/>
      <w:r>
        <w:rPr>
          <w:rFonts w:ascii="Arial" w:hAnsi="Arial"/>
          <w:sz w:val="22"/>
          <w:szCs w:val="22"/>
        </w:rPr>
        <w:t xml:space="preserve">, and </w:t>
      </w:r>
      <w:proofErr w:type="spellStart"/>
      <w:r>
        <w:rPr>
          <w:rFonts w:ascii="Arial" w:hAnsi="Arial"/>
          <w:sz w:val="22"/>
          <w:szCs w:val="22"/>
        </w:rPr>
        <w:t>macitentan</w:t>
      </w:r>
      <w:proofErr w:type="spellEnd"/>
      <w:r>
        <w:rPr>
          <w:rFonts w:ascii="Arial" w:hAnsi="Arial"/>
          <w:sz w:val="22"/>
          <w:szCs w:val="22"/>
        </w:rPr>
        <w:t>.</w:t>
      </w:r>
    </w:p>
    <w:p w:rsidR="008A1956" w:rsidRPr="00476245" w:rsidRDefault="008A1956" w:rsidP="00C47B59">
      <w:pPr>
        <w:jc w:val="both"/>
        <w:rPr>
          <w:rFonts w:ascii="Arial" w:hAnsi="Arial"/>
          <w:sz w:val="22"/>
          <w:szCs w:val="22"/>
        </w:rPr>
      </w:pPr>
    </w:p>
    <w:p w:rsidR="000B558D" w:rsidRPr="00882085" w:rsidRDefault="008D7A41" w:rsidP="00C47B59">
      <w:pPr>
        <w:pStyle w:val="Header"/>
        <w:keepNext/>
        <w:numPr>
          <w:ilvl w:val="0"/>
          <w:numId w:val="2"/>
        </w:numPr>
        <w:tabs>
          <w:tab w:val="clear" w:pos="4153"/>
          <w:tab w:val="clear" w:pos="8306"/>
        </w:tabs>
        <w:jc w:val="both"/>
        <w:rPr>
          <w:rFonts w:ascii="Arial" w:hAnsi="Arial"/>
          <w:b/>
          <w:sz w:val="22"/>
          <w:szCs w:val="22"/>
        </w:rPr>
      </w:pPr>
      <w:r>
        <w:rPr>
          <w:rFonts w:ascii="Arial" w:hAnsi="Arial"/>
          <w:b/>
          <w:sz w:val="22"/>
          <w:szCs w:val="22"/>
        </w:rPr>
        <w:t>C</w:t>
      </w:r>
      <w:r w:rsidR="00D84934">
        <w:rPr>
          <w:rFonts w:ascii="Arial" w:hAnsi="Arial"/>
          <w:b/>
          <w:sz w:val="22"/>
          <w:szCs w:val="22"/>
        </w:rPr>
        <w:t>onsideration of the evidence</w:t>
      </w:r>
    </w:p>
    <w:p w:rsidR="00BB7EC3" w:rsidRDefault="00BB7EC3" w:rsidP="00C47B59">
      <w:pPr>
        <w:keepNext/>
        <w:jc w:val="both"/>
        <w:rPr>
          <w:rFonts w:ascii="Arial" w:hAnsi="Arial"/>
          <w:sz w:val="22"/>
          <w:szCs w:val="22"/>
        </w:rPr>
      </w:pPr>
    </w:p>
    <w:p w:rsidR="006741D1" w:rsidRPr="00485554" w:rsidRDefault="006741D1" w:rsidP="00C47B59">
      <w:pPr>
        <w:spacing w:after="200" w:line="276" w:lineRule="auto"/>
        <w:jc w:val="both"/>
        <w:rPr>
          <w:rFonts w:ascii="Arial" w:hAnsi="Arial" w:cs="Arial"/>
          <w:b/>
          <w:bCs/>
          <w:i/>
          <w:snapToGrid w:val="0"/>
          <w:sz w:val="22"/>
          <w:szCs w:val="22"/>
        </w:rPr>
      </w:pPr>
      <w:r w:rsidRPr="00485554">
        <w:rPr>
          <w:rFonts w:ascii="Arial" w:hAnsi="Arial" w:cs="Arial"/>
          <w:b/>
          <w:bCs/>
          <w:i/>
          <w:snapToGrid w:val="0"/>
          <w:sz w:val="22"/>
          <w:szCs w:val="22"/>
        </w:rPr>
        <w:t>Sponsor hearing</w:t>
      </w:r>
    </w:p>
    <w:p w:rsidR="006741D1" w:rsidRPr="00485554" w:rsidRDefault="006741D1" w:rsidP="00C47B59">
      <w:pPr>
        <w:numPr>
          <w:ilvl w:val="1"/>
          <w:numId w:val="2"/>
        </w:numPr>
        <w:contextualSpacing/>
        <w:jc w:val="both"/>
        <w:rPr>
          <w:rFonts w:ascii="Arial" w:hAnsi="Arial" w:cs="Arial"/>
          <w:bCs/>
          <w:snapToGrid w:val="0"/>
          <w:sz w:val="22"/>
          <w:szCs w:val="22"/>
        </w:rPr>
      </w:pPr>
      <w:r w:rsidRPr="00485554">
        <w:rPr>
          <w:rFonts w:ascii="Arial" w:hAnsi="Arial" w:cs="Arial"/>
          <w:bCs/>
          <w:snapToGrid w:val="0"/>
          <w:sz w:val="22"/>
          <w:szCs w:val="22"/>
        </w:rPr>
        <w:t>There was no hearing for this item as it was a minor submission.</w:t>
      </w:r>
    </w:p>
    <w:p w:rsidR="006741D1" w:rsidRPr="003A49F2" w:rsidRDefault="006741D1" w:rsidP="00C47B59">
      <w:pPr>
        <w:jc w:val="both"/>
        <w:rPr>
          <w:rFonts w:ascii="Arial" w:hAnsi="Arial" w:cs="Arial"/>
          <w:bCs/>
          <w:snapToGrid w:val="0"/>
          <w:sz w:val="22"/>
          <w:szCs w:val="22"/>
          <w:highlight w:val="yellow"/>
        </w:rPr>
      </w:pPr>
    </w:p>
    <w:p w:rsidR="006741D1" w:rsidRPr="006741D1" w:rsidRDefault="006741D1" w:rsidP="00C47B59">
      <w:pPr>
        <w:spacing w:after="200" w:line="276" w:lineRule="auto"/>
        <w:jc w:val="both"/>
        <w:rPr>
          <w:rFonts w:ascii="Arial" w:hAnsi="Arial" w:cs="Arial"/>
          <w:b/>
          <w:bCs/>
          <w:i/>
          <w:snapToGrid w:val="0"/>
          <w:sz w:val="22"/>
          <w:szCs w:val="22"/>
        </w:rPr>
      </w:pPr>
      <w:r w:rsidRPr="006741D1">
        <w:rPr>
          <w:rFonts w:ascii="Arial" w:hAnsi="Arial" w:cs="Arial"/>
          <w:b/>
          <w:bCs/>
          <w:i/>
          <w:snapToGrid w:val="0"/>
          <w:sz w:val="22"/>
          <w:szCs w:val="22"/>
        </w:rPr>
        <w:t>Consumer comments</w:t>
      </w:r>
    </w:p>
    <w:p w:rsidR="006741D1" w:rsidRDefault="006741D1" w:rsidP="00C47B59">
      <w:pPr>
        <w:numPr>
          <w:ilvl w:val="1"/>
          <w:numId w:val="2"/>
        </w:numPr>
        <w:contextualSpacing/>
        <w:jc w:val="both"/>
        <w:rPr>
          <w:rFonts w:ascii="Arial" w:hAnsi="Arial" w:cs="Arial"/>
          <w:bCs/>
          <w:snapToGrid w:val="0"/>
          <w:sz w:val="22"/>
          <w:szCs w:val="22"/>
        </w:rPr>
      </w:pPr>
      <w:r w:rsidRPr="006741D1">
        <w:rPr>
          <w:rFonts w:ascii="Arial" w:hAnsi="Arial" w:cs="Arial"/>
          <w:bCs/>
          <w:snapToGrid w:val="0"/>
          <w:sz w:val="22"/>
          <w:szCs w:val="22"/>
        </w:rPr>
        <w:t>The PBAC noted and welcomed the input from individuals (9)</w:t>
      </w:r>
      <w:r w:rsidR="00002AA4">
        <w:rPr>
          <w:rFonts w:ascii="Arial" w:hAnsi="Arial" w:cs="Arial"/>
          <w:bCs/>
          <w:snapToGrid w:val="0"/>
          <w:sz w:val="22"/>
          <w:szCs w:val="22"/>
        </w:rPr>
        <w:t xml:space="preserve"> and an organisation (1)</w:t>
      </w:r>
      <w:r w:rsidRPr="006741D1">
        <w:rPr>
          <w:rFonts w:ascii="Arial" w:hAnsi="Arial" w:cs="Arial"/>
          <w:bCs/>
          <w:snapToGrid w:val="0"/>
          <w:sz w:val="22"/>
          <w:szCs w:val="22"/>
        </w:rPr>
        <w:t xml:space="preserve"> via the Consumer Comments facility on the PBS website.  The comments described the a</w:t>
      </w:r>
      <w:r>
        <w:rPr>
          <w:rFonts w:ascii="Arial" w:hAnsi="Arial" w:cs="Arial"/>
          <w:bCs/>
          <w:snapToGrid w:val="0"/>
          <w:sz w:val="22"/>
          <w:szCs w:val="22"/>
        </w:rPr>
        <w:t>dditional administrative, financial and social</w:t>
      </w:r>
      <w:r w:rsidRPr="006741D1">
        <w:rPr>
          <w:rFonts w:ascii="Arial" w:hAnsi="Arial" w:cs="Arial"/>
          <w:bCs/>
          <w:snapToGrid w:val="0"/>
          <w:sz w:val="22"/>
          <w:szCs w:val="22"/>
        </w:rPr>
        <w:t xml:space="preserve"> burdens </w:t>
      </w:r>
      <w:r w:rsidR="00EA2612">
        <w:rPr>
          <w:rFonts w:ascii="Arial" w:hAnsi="Arial" w:cs="Arial"/>
          <w:bCs/>
          <w:snapToGrid w:val="0"/>
          <w:sz w:val="22"/>
          <w:szCs w:val="22"/>
        </w:rPr>
        <w:t>on</w:t>
      </w:r>
      <w:r w:rsidR="003D6CAA">
        <w:rPr>
          <w:rFonts w:ascii="Arial" w:hAnsi="Arial" w:cs="Arial"/>
          <w:bCs/>
          <w:snapToGrid w:val="0"/>
          <w:sz w:val="22"/>
          <w:szCs w:val="22"/>
        </w:rPr>
        <w:t xml:space="preserve"> patients to</w:t>
      </w:r>
      <w:r>
        <w:rPr>
          <w:rFonts w:ascii="Arial" w:hAnsi="Arial" w:cs="Arial"/>
          <w:bCs/>
          <w:snapToGrid w:val="0"/>
          <w:sz w:val="22"/>
          <w:szCs w:val="22"/>
        </w:rPr>
        <w:t xml:space="preserve"> meet the requirements for the continuing treatment restriction.</w:t>
      </w:r>
    </w:p>
    <w:p w:rsidR="00002AA4" w:rsidRDefault="00002AA4" w:rsidP="00C47B59">
      <w:pPr>
        <w:ind w:left="720"/>
        <w:contextualSpacing/>
        <w:jc w:val="both"/>
        <w:rPr>
          <w:rFonts w:ascii="Arial" w:hAnsi="Arial" w:cs="Arial"/>
          <w:bCs/>
          <w:snapToGrid w:val="0"/>
          <w:sz w:val="22"/>
          <w:szCs w:val="22"/>
        </w:rPr>
      </w:pPr>
    </w:p>
    <w:p w:rsidR="00002AA4" w:rsidRPr="00C47B59" w:rsidRDefault="00002AA4" w:rsidP="00C47B59">
      <w:pPr>
        <w:numPr>
          <w:ilvl w:val="1"/>
          <w:numId w:val="2"/>
        </w:numPr>
        <w:contextualSpacing/>
        <w:jc w:val="both"/>
        <w:rPr>
          <w:bCs/>
          <w:szCs w:val="22"/>
        </w:rPr>
      </w:pPr>
      <w:r w:rsidRPr="00A475C6">
        <w:rPr>
          <w:rFonts w:ascii="Arial" w:hAnsi="Arial" w:cs="Arial"/>
          <w:bCs/>
          <w:snapToGrid w:val="0"/>
          <w:sz w:val="22"/>
          <w:szCs w:val="22"/>
        </w:rPr>
        <w:t>The PBAC noted the advice received from</w:t>
      </w:r>
      <w:r w:rsidRPr="00002AA4">
        <w:rPr>
          <w:rFonts w:ascii="Arial" w:hAnsi="Arial" w:cs="Arial"/>
          <w:bCs/>
          <w:snapToGrid w:val="0"/>
          <w:sz w:val="22"/>
          <w:szCs w:val="22"/>
        </w:rPr>
        <w:t xml:space="preserve"> Pulmonary Hypertension Australia </w:t>
      </w:r>
      <w:r w:rsidRPr="00A475C6">
        <w:rPr>
          <w:rFonts w:ascii="Arial" w:hAnsi="Arial" w:cs="Arial"/>
          <w:bCs/>
          <w:snapToGrid w:val="0"/>
          <w:sz w:val="22"/>
          <w:szCs w:val="22"/>
        </w:rPr>
        <w:t xml:space="preserve">clarifying the </w:t>
      </w:r>
      <w:r w:rsidR="00C47B59">
        <w:rPr>
          <w:rFonts w:ascii="Arial" w:hAnsi="Arial" w:cs="Arial"/>
          <w:bCs/>
          <w:snapToGrid w:val="0"/>
          <w:sz w:val="22"/>
          <w:szCs w:val="22"/>
        </w:rPr>
        <w:t xml:space="preserve">burden of the discontinuation rules for </w:t>
      </w:r>
      <w:r>
        <w:rPr>
          <w:rFonts w:ascii="Arial" w:hAnsi="Arial" w:cs="Arial"/>
          <w:bCs/>
          <w:snapToGrid w:val="0"/>
          <w:sz w:val="22"/>
          <w:szCs w:val="22"/>
        </w:rPr>
        <w:t>PAH agents</w:t>
      </w:r>
      <w:r w:rsidRPr="00A475C6">
        <w:rPr>
          <w:rFonts w:ascii="Arial" w:hAnsi="Arial" w:cs="Arial"/>
          <w:bCs/>
          <w:snapToGrid w:val="0"/>
          <w:sz w:val="22"/>
          <w:szCs w:val="22"/>
        </w:rPr>
        <w:t xml:space="preserve">.  The PBAC specifically noted the advice that </w:t>
      </w:r>
      <w:r w:rsidR="00C47B59">
        <w:rPr>
          <w:rFonts w:ascii="Arial" w:hAnsi="Arial" w:cs="Arial"/>
          <w:bCs/>
          <w:snapToGrid w:val="0"/>
          <w:sz w:val="22"/>
          <w:szCs w:val="22"/>
        </w:rPr>
        <w:t xml:space="preserve">requirement for 6 monthly assessments is a burden on patients and results in a cost to the health system and lost productivity in the workplace. </w:t>
      </w:r>
      <w:r w:rsidRPr="00A475C6">
        <w:rPr>
          <w:rFonts w:ascii="Arial" w:hAnsi="Arial" w:cs="Arial"/>
          <w:bCs/>
          <w:snapToGrid w:val="0"/>
          <w:sz w:val="22"/>
          <w:szCs w:val="22"/>
        </w:rPr>
        <w:t xml:space="preserve">The </w:t>
      </w:r>
      <w:r w:rsidR="00C47B59">
        <w:rPr>
          <w:rFonts w:ascii="Arial" w:hAnsi="Arial" w:cs="Arial"/>
          <w:bCs/>
          <w:snapToGrid w:val="0"/>
          <w:sz w:val="22"/>
          <w:szCs w:val="22"/>
        </w:rPr>
        <w:t>PBAC noted that this advice was</w:t>
      </w:r>
      <w:r w:rsidRPr="00A475C6">
        <w:rPr>
          <w:rFonts w:ascii="Arial" w:hAnsi="Arial" w:cs="Arial"/>
          <w:bCs/>
          <w:snapToGrid w:val="0"/>
          <w:sz w:val="22"/>
          <w:szCs w:val="22"/>
        </w:rPr>
        <w:t xml:space="preserve"> supportive of the evidence provided in the submission.</w:t>
      </w:r>
    </w:p>
    <w:p w:rsidR="00485554" w:rsidRPr="003A49F2" w:rsidRDefault="00485554" w:rsidP="00C47B59">
      <w:pPr>
        <w:contextualSpacing/>
        <w:jc w:val="both"/>
        <w:rPr>
          <w:rFonts w:ascii="Arial" w:hAnsi="Arial" w:cs="Arial"/>
          <w:bCs/>
          <w:snapToGrid w:val="0"/>
          <w:sz w:val="22"/>
          <w:szCs w:val="22"/>
          <w:highlight w:val="yellow"/>
        </w:rPr>
      </w:pPr>
    </w:p>
    <w:p w:rsidR="00D84934" w:rsidRPr="00882085" w:rsidRDefault="00D84934" w:rsidP="00C47B59">
      <w:pPr>
        <w:keepNext/>
        <w:jc w:val="both"/>
        <w:rPr>
          <w:rFonts w:ascii="Arial" w:hAnsi="Arial"/>
          <w:b/>
          <w:i/>
          <w:sz w:val="22"/>
          <w:szCs w:val="22"/>
        </w:rPr>
      </w:pPr>
      <w:r>
        <w:rPr>
          <w:rFonts w:ascii="Arial" w:hAnsi="Arial"/>
          <w:b/>
          <w:i/>
          <w:sz w:val="22"/>
          <w:szCs w:val="22"/>
        </w:rPr>
        <w:t>Clinical trials</w:t>
      </w:r>
    </w:p>
    <w:p w:rsidR="00D84934" w:rsidRPr="00F9629A" w:rsidRDefault="00D84934" w:rsidP="00C47B59">
      <w:pPr>
        <w:keepNext/>
        <w:jc w:val="both"/>
        <w:rPr>
          <w:rFonts w:ascii="Arial" w:hAnsi="Arial"/>
          <w:sz w:val="22"/>
          <w:szCs w:val="22"/>
        </w:rPr>
      </w:pPr>
    </w:p>
    <w:p w:rsidR="0076420C" w:rsidRPr="00A73CC8" w:rsidRDefault="0076420C" w:rsidP="00C47B59">
      <w:pPr>
        <w:pStyle w:val="ListParagraph"/>
        <w:numPr>
          <w:ilvl w:val="1"/>
          <w:numId w:val="2"/>
        </w:numPr>
        <w:jc w:val="both"/>
        <w:rPr>
          <w:rFonts w:ascii="Arial" w:hAnsi="Arial"/>
          <w:sz w:val="22"/>
          <w:szCs w:val="22"/>
        </w:rPr>
      </w:pPr>
      <w:r>
        <w:rPr>
          <w:rFonts w:ascii="Arial" w:hAnsi="Arial"/>
          <w:sz w:val="22"/>
          <w:szCs w:val="22"/>
        </w:rPr>
        <w:t xml:space="preserve">As a minor submission, no new clinical trials </w:t>
      </w:r>
      <w:r w:rsidR="00B20C45">
        <w:rPr>
          <w:rFonts w:ascii="Arial" w:hAnsi="Arial"/>
          <w:sz w:val="22"/>
          <w:szCs w:val="22"/>
        </w:rPr>
        <w:t xml:space="preserve">were </w:t>
      </w:r>
      <w:r>
        <w:rPr>
          <w:rFonts w:ascii="Arial" w:hAnsi="Arial"/>
          <w:sz w:val="22"/>
          <w:szCs w:val="22"/>
        </w:rPr>
        <w:t>presented in the submission.</w:t>
      </w:r>
    </w:p>
    <w:p w:rsidR="00D84934" w:rsidRPr="009F4E46" w:rsidRDefault="00D84934" w:rsidP="00C47B59">
      <w:pPr>
        <w:pStyle w:val="ListParagraph"/>
        <w:ind w:left="709"/>
        <w:jc w:val="both"/>
        <w:rPr>
          <w:rFonts w:ascii="Arial" w:hAnsi="Arial"/>
          <w:color w:val="FF00FF"/>
          <w:sz w:val="22"/>
          <w:szCs w:val="22"/>
        </w:rPr>
      </w:pPr>
    </w:p>
    <w:p w:rsidR="0076420C" w:rsidRDefault="0076420C" w:rsidP="00C47B59">
      <w:pPr>
        <w:pStyle w:val="ListParagraph"/>
        <w:numPr>
          <w:ilvl w:val="1"/>
          <w:numId w:val="2"/>
        </w:numPr>
        <w:jc w:val="both"/>
        <w:rPr>
          <w:rFonts w:ascii="Arial" w:hAnsi="Arial"/>
          <w:sz w:val="22"/>
          <w:szCs w:val="22"/>
        </w:rPr>
      </w:pPr>
      <w:r w:rsidRPr="0076420C">
        <w:rPr>
          <w:rFonts w:ascii="Arial" w:hAnsi="Arial"/>
          <w:sz w:val="22"/>
          <w:szCs w:val="22"/>
        </w:rPr>
        <w:t xml:space="preserve">The basis of the minor submission’s request </w:t>
      </w:r>
      <w:r w:rsidR="004A1211">
        <w:rPr>
          <w:rFonts w:ascii="Arial" w:hAnsi="Arial"/>
          <w:sz w:val="22"/>
          <w:szCs w:val="22"/>
        </w:rPr>
        <w:t xml:space="preserve">to </w:t>
      </w:r>
      <w:r w:rsidR="00053D0A">
        <w:rPr>
          <w:rFonts w:ascii="Arial" w:hAnsi="Arial"/>
          <w:sz w:val="22"/>
          <w:szCs w:val="22"/>
        </w:rPr>
        <w:t xml:space="preserve">amend the restriction requirements </w:t>
      </w:r>
      <w:r w:rsidR="00B20C45">
        <w:rPr>
          <w:rFonts w:ascii="Arial" w:hAnsi="Arial"/>
          <w:sz w:val="22"/>
          <w:szCs w:val="22"/>
        </w:rPr>
        <w:t xml:space="preserve">was </w:t>
      </w:r>
      <w:r w:rsidR="00107882">
        <w:rPr>
          <w:rFonts w:ascii="Arial" w:hAnsi="Arial"/>
          <w:sz w:val="22"/>
          <w:szCs w:val="22"/>
        </w:rPr>
        <w:t xml:space="preserve">to be consistent </w:t>
      </w:r>
      <w:r w:rsidR="00B77284">
        <w:rPr>
          <w:rFonts w:ascii="Arial" w:hAnsi="Arial"/>
          <w:sz w:val="22"/>
          <w:szCs w:val="22"/>
        </w:rPr>
        <w:t xml:space="preserve">with </w:t>
      </w:r>
      <w:r w:rsidR="00053D0A">
        <w:rPr>
          <w:rFonts w:ascii="Arial" w:hAnsi="Arial"/>
          <w:sz w:val="22"/>
          <w:szCs w:val="22"/>
        </w:rPr>
        <w:t xml:space="preserve">best </w:t>
      </w:r>
      <w:r w:rsidR="00B77284">
        <w:rPr>
          <w:rFonts w:ascii="Arial" w:hAnsi="Arial"/>
          <w:sz w:val="22"/>
          <w:szCs w:val="22"/>
        </w:rPr>
        <w:t>clinical practice</w:t>
      </w:r>
      <w:r w:rsidRPr="0076420C">
        <w:rPr>
          <w:rFonts w:ascii="Arial" w:hAnsi="Arial"/>
          <w:sz w:val="22"/>
          <w:szCs w:val="22"/>
        </w:rPr>
        <w:t>.</w:t>
      </w:r>
      <w:r w:rsidR="00053D0A">
        <w:rPr>
          <w:rFonts w:ascii="Arial" w:hAnsi="Arial"/>
          <w:sz w:val="22"/>
          <w:szCs w:val="22"/>
        </w:rPr>
        <w:t xml:space="preserve"> The submission claim</w:t>
      </w:r>
      <w:r w:rsidR="00B20C45">
        <w:rPr>
          <w:rFonts w:ascii="Arial" w:hAnsi="Arial"/>
          <w:sz w:val="22"/>
          <w:szCs w:val="22"/>
        </w:rPr>
        <w:t>ed</w:t>
      </w:r>
      <w:r w:rsidR="00053D0A">
        <w:rPr>
          <w:rFonts w:ascii="Arial" w:hAnsi="Arial"/>
          <w:sz w:val="22"/>
          <w:szCs w:val="22"/>
        </w:rPr>
        <w:t xml:space="preserve"> that the “requirement for a patient to demonstrate stability or improvement in disease status in order to be eligible for continued treatment is not consistent with best clinical practice as outlined in international guidelines</w:t>
      </w:r>
      <w:r w:rsidR="003A0195">
        <w:rPr>
          <w:rFonts w:ascii="Arial" w:hAnsi="Arial"/>
          <w:sz w:val="22"/>
          <w:szCs w:val="22"/>
        </w:rPr>
        <w:t xml:space="preserve"> </w:t>
      </w:r>
      <w:r w:rsidR="003A0195" w:rsidRPr="003A0195">
        <w:rPr>
          <w:rFonts w:ascii="Arial" w:hAnsi="Arial"/>
          <w:sz w:val="22"/>
          <w:szCs w:val="22"/>
        </w:rPr>
        <w:t>(Nice 2013)</w:t>
      </w:r>
      <w:r w:rsidR="00053D0A" w:rsidRPr="003A0195">
        <w:rPr>
          <w:rFonts w:ascii="Arial" w:hAnsi="Arial"/>
          <w:sz w:val="22"/>
          <w:szCs w:val="22"/>
        </w:rPr>
        <w:t>”</w:t>
      </w:r>
      <w:r w:rsidR="003A0195" w:rsidRPr="003A0195">
        <w:rPr>
          <w:rFonts w:ascii="Arial" w:hAnsi="Arial"/>
          <w:sz w:val="22"/>
          <w:szCs w:val="22"/>
        </w:rPr>
        <w:t>. The submission argued that the guidelines recommend sequential combination therapy in the case of inadequate clinical response to initial therapy, and do not recommend cessation of therapy and switching to another therapy</w:t>
      </w:r>
      <w:r w:rsidR="00053D0A" w:rsidRPr="003A0195">
        <w:rPr>
          <w:rFonts w:ascii="Arial" w:hAnsi="Arial"/>
          <w:sz w:val="22"/>
          <w:szCs w:val="22"/>
        </w:rPr>
        <w:t>.</w:t>
      </w:r>
    </w:p>
    <w:p w:rsidR="005579EE" w:rsidRPr="005579EE" w:rsidRDefault="005579EE" w:rsidP="00C47B59">
      <w:pPr>
        <w:pStyle w:val="ListParagraph"/>
        <w:rPr>
          <w:rFonts w:ascii="Arial" w:hAnsi="Arial"/>
          <w:sz w:val="22"/>
          <w:szCs w:val="22"/>
        </w:rPr>
      </w:pPr>
    </w:p>
    <w:p w:rsidR="005579EE" w:rsidRDefault="005579EE" w:rsidP="00C47B59">
      <w:pPr>
        <w:pStyle w:val="ListParagraph"/>
        <w:numPr>
          <w:ilvl w:val="1"/>
          <w:numId w:val="2"/>
        </w:numPr>
        <w:jc w:val="both"/>
        <w:rPr>
          <w:rFonts w:ascii="Arial" w:hAnsi="Arial"/>
          <w:sz w:val="22"/>
          <w:szCs w:val="22"/>
        </w:rPr>
      </w:pPr>
      <w:r>
        <w:rPr>
          <w:rFonts w:ascii="Arial" w:hAnsi="Arial"/>
          <w:sz w:val="22"/>
          <w:szCs w:val="22"/>
        </w:rPr>
        <w:t>The submission claim</w:t>
      </w:r>
      <w:r w:rsidR="00B20C45">
        <w:rPr>
          <w:rFonts w:ascii="Arial" w:hAnsi="Arial"/>
          <w:sz w:val="22"/>
          <w:szCs w:val="22"/>
        </w:rPr>
        <w:t>ed</w:t>
      </w:r>
      <w:r>
        <w:rPr>
          <w:rFonts w:ascii="Arial" w:hAnsi="Arial"/>
          <w:sz w:val="22"/>
          <w:szCs w:val="22"/>
        </w:rPr>
        <w:t xml:space="preserve"> that deterioration of a patient’s health status is more likely to be due to progression of the underlying condition ra</w:t>
      </w:r>
      <w:r w:rsidR="001C0C59">
        <w:rPr>
          <w:rFonts w:ascii="Arial" w:hAnsi="Arial"/>
          <w:sz w:val="22"/>
          <w:szCs w:val="22"/>
        </w:rPr>
        <w:t>ther than failure of treatment.</w:t>
      </w:r>
    </w:p>
    <w:p w:rsidR="0002399C" w:rsidRPr="0002399C" w:rsidRDefault="0002399C" w:rsidP="00C47B59">
      <w:pPr>
        <w:pStyle w:val="ListParagraph"/>
        <w:rPr>
          <w:rFonts w:ascii="Arial" w:hAnsi="Arial"/>
          <w:sz w:val="22"/>
          <w:szCs w:val="22"/>
        </w:rPr>
      </w:pPr>
    </w:p>
    <w:p w:rsidR="005A3173" w:rsidRPr="00882085" w:rsidRDefault="005A3173" w:rsidP="00C47B59">
      <w:pPr>
        <w:jc w:val="both"/>
        <w:rPr>
          <w:rFonts w:ascii="Arial" w:hAnsi="Arial"/>
          <w:b/>
          <w:i/>
          <w:sz w:val="22"/>
          <w:szCs w:val="22"/>
        </w:rPr>
      </w:pPr>
      <w:r w:rsidRPr="00882085">
        <w:rPr>
          <w:rFonts w:ascii="Arial" w:hAnsi="Arial"/>
          <w:b/>
          <w:i/>
          <w:sz w:val="22"/>
          <w:szCs w:val="22"/>
        </w:rPr>
        <w:t>Economic analysis</w:t>
      </w:r>
    </w:p>
    <w:p w:rsidR="005A3173" w:rsidRPr="00882085" w:rsidRDefault="005A3173" w:rsidP="00C47B59">
      <w:pPr>
        <w:pStyle w:val="NoSpacing"/>
      </w:pPr>
    </w:p>
    <w:p w:rsidR="009B0F67" w:rsidRDefault="009B0F67" w:rsidP="00C47B59">
      <w:pPr>
        <w:pStyle w:val="ListParagraph"/>
        <w:numPr>
          <w:ilvl w:val="1"/>
          <w:numId w:val="2"/>
        </w:numPr>
        <w:ind w:left="709"/>
        <w:jc w:val="both"/>
        <w:rPr>
          <w:rFonts w:ascii="Arial" w:hAnsi="Arial"/>
          <w:sz w:val="22"/>
          <w:szCs w:val="22"/>
        </w:rPr>
      </w:pPr>
      <w:r w:rsidRPr="005A2F6B">
        <w:rPr>
          <w:rFonts w:ascii="Arial" w:hAnsi="Arial"/>
          <w:sz w:val="22"/>
          <w:szCs w:val="22"/>
        </w:rPr>
        <w:t xml:space="preserve">As a minor submission, there </w:t>
      </w:r>
      <w:r w:rsidR="00B20C45">
        <w:rPr>
          <w:rFonts w:ascii="Arial" w:hAnsi="Arial"/>
          <w:sz w:val="22"/>
          <w:szCs w:val="22"/>
        </w:rPr>
        <w:t>wa</w:t>
      </w:r>
      <w:r w:rsidRPr="005A2F6B">
        <w:rPr>
          <w:rFonts w:ascii="Arial" w:hAnsi="Arial"/>
          <w:sz w:val="22"/>
          <w:szCs w:val="22"/>
        </w:rPr>
        <w:t>s no economic comparison presented.</w:t>
      </w:r>
    </w:p>
    <w:p w:rsidR="004C118E" w:rsidRDefault="004C118E" w:rsidP="00C47B59">
      <w:pPr>
        <w:pStyle w:val="ListParagraph"/>
        <w:ind w:left="709"/>
        <w:jc w:val="both"/>
        <w:rPr>
          <w:rFonts w:ascii="Arial" w:hAnsi="Arial"/>
          <w:sz w:val="22"/>
          <w:szCs w:val="22"/>
        </w:rPr>
      </w:pPr>
    </w:p>
    <w:p w:rsidR="004C118E" w:rsidRPr="004C118E" w:rsidRDefault="004C118E" w:rsidP="00C47B59">
      <w:pPr>
        <w:pStyle w:val="ListParagraph"/>
        <w:numPr>
          <w:ilvl w:val="1"/>
          <w:numId w:val="2"/>
        </w:numPr>
        <w:jc w:val="both"/>
        <w:rPr>
          <w:rFonts w:ascii="Arial" w:hAnsi="Arial"/>
          <w:sz w:val="22"/>
          <w:szCs w:val="22"/>
        </w:rPr>
      </w:pPr>
      <w:r w:rsidRPr="004C118E">
        <w:rPr>
          <w:rFonts w:ascii="Arial" w:hAnsi="Arial"/>
          <w:sz w:val="22"/>
          <w:szCs w:val="22"/>
        </w:rPr>
        <w:t xml:space="preserve">The submission noted that in November 2013, when the PBAC considered the PHSANZ’s correspondence, the PBAC noted that requests to make PAH agents available for patients with functional class II disease or for use as part of combination therapy would require a submission to be made to the PBAC with evidence demonstrating the comparative clinical effectiveness and safety and </w:t>
      </w:r>
      <w:r w:rsidRPr="004C118E">
        <w:rPr>
          <w:rFonts w:ascii="Arial" w:hAnsi="Arial"/>
          <w:sz w:val="22"/>
          <w:szCs w:val="22"/>
        </w:rPr>
        <w:lastRenderedPageBreak/>
        <w:t>cost</w:t>
      </w:r>
      <w:r w:rsidR="003B5FB3">
        <w:rPr>
          <w:rFonts w:ascii="Arial" w:hAnsi="Arial"/>
          <w:sz w:val="22"/>
          <w:szCs w:val="22"/>
        </w:rPr>
        <w:noBreakHyphen/>
      </w:r>
      <w:r w:rsidRPr="004C118E">
        <w:rPr>
          <w:rFonts w:ascii="Arial" w:hAnsi="Arial"/>
          <w:sz w:val="22"/>
          <w:szCs w:val="22"/>
        </w:rPr>
        <w:t xml:space="preserve">effectiveness of therapy in such circumstances. While the submission </w:t>
      </w:r>
      <w:r w:rsidR="005B187D">
        <w:rPr>
          <w:rFonts w:ascii="Arial" w:hAnsi="Arial"/>
          <w:sz w:val="22"/>
          <w:szCs w:val="22"/>
        </w:rPr>
        <w:t>did</w:t>
      </w:r>
      <w:r w:rsidR="005B187D" w:rsidRPr="004C118E">
        <w:rPr>
          <w:rFonts w:ascii="Arial" w:hAnsi="Arial"/>
          <w:sz w:val="22"/>
          <w:szCs w:val="22"/>
        </w:rPr>
        <w:t xml:space="preserve"> </w:t>
      </w:r>
      <w:r w:rsidRPr="004C118E">
        <w:rPr>
          <w:rFonts w:ascii="Arial" w:hAnsi="Arial"/>
          <w:sz w:val="22"/>
          <w:szCs w:val="22"/>
        </w:rPr>
        <w:t xml:space="preserve">not request consideration of PBS-subsidised combination therapy as such, it </w:t>
      </w:r>
      <w:r w:rsidR="00654DCB" w:rsidRPr="00CE6CE3">
        <w:rPr>
          <w:rFonts w:ascii="Arial" w:hAnsi="Arial"/>
          <w:sz w:val="22"/>
          <w:szCs w:val="22"/>
        </w:rPr>
        <w:t xml:space="preserve">did </w:t>
      </w:r>
      <w:r w:rsidRPr="00CE6CE3">
        <w:rPr>
          <w:rFonts w:ascii="Arial" w:hAnsi="Arial"/>
          <w:sz w:val="22"/>
          <w:szCs w:val="22"/>
        </w:rPr>
        <w:t>request</w:t>
      </w:r>
      <w:r w:rsidRPr="004C118E">
        <w:rPr>
          <w:rFonts w:ascii="Arial" w:hAnsi="Arial"/>
          <w:sz w:val="22"/>
          <w:szCs w:val="22"/>
        </w:rPr>
        <w:t xml:space="preserve"> that the restriction should allow for use in patients whose condition may have progressed, so that they may commence combination therapy with a second non</w:t>
      </w:r>
      <w:r w:rsidR="005E21CA">
        <w:rPr>
          <w:rFonts w:ascii="Arial" w:hAnsi="Arial"/>
          <w:sz w:val="22"/>
          <w:szCs w:val="22"/>
        </w:rPr>
        <w:noBreakHyphen/>
      </w:r>
      <w:r w:rsidRPr="004C118E">
        <w:rPr>
          <w:rFonts w:ascii="Arial" w:hAnsi="Arial"/>
          <w:sz w:val="22"/>
          <w:szCs w:val="22"/>
        </w:rPr>
        <w:t>PBS subsidis</w:t>
      </w:r>
      <w:r w:rsidRPr="00CE6CE3">
        <w:rPr>
          <w:rFonts w:ascii="Arial" w:hAnsi="Arial"/>
          <w:sz w:val="22"/>
          <w:szCs w:val="22"/>
        </w:rPr>
        <w:t>ed agent.</w:t>
      </w:r>
    </w:p>
    <w:p w:rsidR="005963BB" w:rsidRDefault="005963BB" w:rsidP="00C47B59">
      <w:pPr>
        <w:jc w:val="both"/>
        <w:rPr>
          <w:rFonts w:ascii="Arial" w:hAnsi="Arial"/>
          <w:sz w:val="22"/>
          <w:szCs w:val="22"/>
        </w:rPr>
      </w:pPr>
    </w:p>
    <w:p w:rsidR="005A3173" w:rsidRPr="00882085" w:rsidRDefault="005A3173" w:rsidP="00C47B59">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C47B59">
      <w:pPr>
        <w:ind w:left="720" w:hanging="720"/>
        <w:jc w:val="both"/>
        <w:rPr>
          <w:rFonts w:ascii="Arial" w:hAnsi="Arial"/>
          <w:b/>
          <w:i/>
          <w:sz w:val="22"/>
          <w:szCs w:val="22"/>
        </w:rPr>
      </w:pPr>
    </w:p>
    <w:p w:rsidR="003872CF" w:rsidRPr="000D2745" w:rsidRDefault="00C00DA7" w:rsidP="00C47B59">
      <w:pPr>
        <w:pStyle w:val="ListParagraph"/>
        <w:numPr>
          <w:ilvl w:val="1"/>
          <w:numId w:val="2"/>
        </w:numPr>
        <w:ind w:left="709"/>
        <w:jc w:val="both"/>
        <w:rPr>
          <w:rFonts w:ascii="Arial" w:hAnsi="Arial"/>
          <w:b/>
          <w:color w:val="FF00FF"/>
          <w:sz w:val="22"/>
          <w:szCs w:val="22"/>
        </w:rPr>
      </w:pPr>
      <w:r w:rsidRPr="00303964">
        <w:rPr>
          <w:rFonts w:ascii="Arial" w:hAnsi="Arial"/>
          <w:sz w:val="22"/>
          <w:szCs w:val="22"/>
        </w:rPr>
        <w:t>The minor submission estimate</w:t>
      </w:r>
      <w:r w:rsidR="005B187D">
        <w:rPr>
          <w:rFonts w:ascii="Arial" w:hAnsi="Arial"/>
          <w:sz w:val="22"/>
          <w:szCs w:val="22"/>
        </w:rPr>
        <w:t>d</w:t>
      </w:r>
      <w:r w:rsidRPr="00303964">
        <w:rPr>
          <w:rFonts w:ascii="Arial" w:hAnsi="Arial"/>
          <w:sz w:val="22"/>
          <w:szCs w:val="22"/>
        </w:rPr>
        <w:t xml:space="preserve"> </w:t>
      </w:r>
      <w:r w:rsidR="005C2096" w:rsidRPr="00303964">
        <w:rPr>
          <w:rFonts w:ascii="Arial" w:hAnsi="Arial"/>
          <w:sz w:val="22"/>
          <w:szCs w:val="22"/>
        </w:rPr>
        <w:t>negligible</w:t>
      </w:r>
      <w:r w:rsidRPr="00303964">
        <w:rPr>
          <w:rFonts w:ascii="Arial" w:hAnsi="Arial"/>
          <w:sz w:val="22"/>
          <w:szCs w:val="22"/>
        </w:rPr>
        <w:t xml:space="preserve"> financial implications to the PBS</w:t>
      </w:r>
      <w:r w:rsidR="0045107F" w:rsidRPr="00303964">
        <w:rPr>
          <w:rFonts w:ascii="Arial" w:hAnsi="Arial"/>
          <w:sz w:val="22"/>
          <w:szCs w:val="22"/>
        </w:rPr>
        <w:t xml:space="preserve">, claiming that because switching between agents is possible, it is </w:t>
      </w:r>
      <w:r w:rsidR="00065551" w:rsidRPr="00303964">
        <w:rPr>
          <w:rFonts w:ascii="Arial" w:hAnsi="Arial"/>
          <w:sz w:val="22"/>
          <w:szCs w:val="22"/>
        </w:rPr>
        <w:t>highly unlikely</w:t>
      </w:r>
      <w:r w:rsidR="005C2096" w:rsidRPr="00303964">
        <w:rPr>
          <w:rFonts w:ascii="Arial" w:hAnsi="Arial"/>
          <w:sz w:val="22"/>
          <w:szCs w:val="22"/>
        </w:rPr>
        <w:t xml:space="preserve"> that the </w:t>
      </w:r>
      <w:r w:rsidR="00065551" w:rsidRPr="00303964">
        <w:rPr>
          <w:rFonts w:ascii="Arial" w:hAnsi="Arial"/>
          <w:sz w:val="22"/>
          <w:szCs w:val="22"/>
        </w:rPr>
        <w:t>c</w:t>
      </w:r>
      <w:r w:rsidR="005C2096" w:rsidRPr="00303964">
        <w:rPr>
          <w:rFonts w:ascii="Arial" w:hAnsi="Arial"/>
          <w:sz w:val="22"/>
          <w:szCs w:val="22"/>
        </w:rPr>
        <w:t>urrent continuation cri</w:t>
      </w:r>
      <w:r w:rsidR="0045107F" w:rsidRPr="00303964">
        <w:rPr>
          <w:rFonts w:ascii="Arial" w:hAnsi="Arial"/>
          <w:sz w:val="22"/>
          <w:szCs w:val="22"/>
        </w:rPr>
        <w:t>t</w:t>
      </w:r>
      <w:r w:rsidR="005C2096" w:rsidRPr="00303964">
        <w:rPr>
          <w:rFonts w:ascii="Arial" w:hAnsi="Arial"/>
          <w:sz w:val="22"/>
          <w:szCs w:val="22"/>
        </w:rPr>
        <w:t>e</w:t>
      </w:r>
      <w:r w:rsidR="0045107F" w:rsidRPr="00303964">
        <w:rPr>
          <w:rFonts w:ascii="Arial" w:hAnsi="Arial"/>
          <w:sz w:val="22"/>
          <w:szCs w:val="22"/>
        </w:rPr>
        <w:t>r</w:t>
      </w:r>
      <w:r w:rsidR="005C2096" w:rsidRPr="00303964">
        <w:rPr>
          <w:rFonts w:ascii="Arial" w:hAnsi="Arial"/>
          <w:sz w:val="22"/>
          <w:szCs w:val="22"/>
        </w:rPr>
        <w:t>ia are generating cost-savings for the PBS</w:t>
      </w:r>
      <w:r w:rsidRPr="00303964">
        <w:rPr>
          <w:rFonts w:ascii="Arial" w:hAnsi="Arial"/>
          <w:sz w:val="22"/>
          <w:szCs w:val="22"/>
        </w:rPr>
        <w:t>.</w:t>
      </w:r>
    </w:p>
    <w:p w:rsidR="000D2745" w:rsidRDefault="000D2745" w:rsidP="00C47B59">
      <w:pPr>
        <w:jc w:val="both"/>
        <w:rPr>
          <w:rFonts w:ascii="Arial" w:hAnsi="Arial"/>
          <w:b/>
          <w:color w:val="FF00FF"/>
          <w:sz w:val="22"/>
          <w:szCs w:val="22"/>
        </w:rPr>
      </w:pPr>
    </w:p>
    <w:p w:rsidR="000964D7" w:rsidRPr="000D2745" w:rsidRDefault="000964D7" w:rsidP="00C47B59">
      <w:pPr>
        <w:jc w:val="both"/>
        <w:rPr>
          <w:rFonts w:ascii="Arial" w:hAnsi="Arial"/>
          <w:b/>
          <w:color w:val="FF00FF"/>
          <w:sz w:val="22"/>
          <w:szCs w:val="22"/>
        </w:rPr>
      </w:pPr>
    </w:p>
    <w:p w:rsidR="000D2745" w:rsidRPr="000D2745" w:rsidRDefault="000D2745" w:rsidP="00C47B59">
      <w:pPr>
        <w:numPr>
          <w:ilvl w:val="0"/>
          <w:numId w:val="2"/>
        </w:numPr>
        <w:jc w:val="both"/>
        <w:rPr>
          <w:rFonts w:ascii="Arial" w:hAnsi="Arial" w:cs="Arial"/>
          <w:b/>
          <w:bCs/>
          <w:snapToGrid w:val="0"/>
          <w:sz w:val="22"/>
          <w:szCs w:val="22"/>
        </w:rPr>
      </w:pPr>
      <w:r w:rsidRPr="000D2745">
        <w:rPr>
          <w:rFonts w:ascii="Arial" w:hAnsi="Arial" w:cs="Arial"/>
          <w:b/>
          <w:bCs/>
          <w:snapToGrid w:val="0"/>
          <w:sz w:val="22"/>
          <w:szCs w:val="22"/>
        </w:rPr>
        <w:t>PBAC Outcome</w:t>
      </w:r>
    </w:p>
    <w:p w:rsidR="000D2745" w:rsidRPr="000D2745" w:rsidRDefault="000D2745" w:rsidP="00C47B59">
      <w:pPr>
        <w:contextualSpacing/>
        <w:jc w:val="both"/>
        <w:rPr>
          <w:rFonts w:ascii="Arial" w:hAnsi="Arial" w:cs="Arial"/>
          <w:b/>
          <w:bCs/>
          <w:snapToGrid w:val="0"/>
          <w:sz w:val="22"/>
          <w:szCs w:val="22"/>
          <w:lang w:val="en-GB"/>
        </w:rPr>
      </w:pPr>
    </w:p>
    <w:p w:rsidR="00C50DC4" w:rsidRDefault="000D2745" w:rsidP="00C47B59">
      <w:pPr>
        <w:numPr>
          <w:ilvl w:val="1"/>
          <w:numId w:val="2"/>
        </w:numPr>
        <w:contextualSpacing/>
        <w:jc w:val="both"/>
        <w:rPr>
          <w:rFonts w:ascii="Arial" w:hAnsi="Arial" w:cs="Arial"/>
          <w:bCs/>
          <w:snapToGrid w:val="0"/>
          <w:sz w:val="22"/>
          <w:szCs w:val="22"/>
          <w:lang w:val="en-GB"/>
        </w:rPr>
      </w:pPr>
      <w:r w:rsidRPr="000D2745">
        <w:rPr>
          <w:rFonts w:ascii="Arial" w:hAnsi="Arial" w:cs="Arial"/>
          <w:bCs/>
          <w:snapToGrid w:val="0"/>
          <w:sz w:val="22"/>
          <w:szCs w:val="22"/>
          <w:lang w:val="en-GB"/>
        </w:rPr>
        <w:t>The PBAC recommended th</w:t>
      </w:r>
      <w:r w:rsidR="00C50DC4">
        <w:rPr>
          <w:rFonts w:ascii="Arial" w:hAnsi="Arial" w:cs="Arial"/>
          <w:bCs/>
          <w:snapToGrid w:val="0"/>
          <w:sz w:val="22"/>
          <w:szCs w:val="22"/>
          <w:lang w:val="en-GB"/>
        </w:rPr>
        <w:t xml:space="preserve">e following amendments to the PBS restrictions of </w:t>
      </w:r>
      <w:proofErr w:type="spellStart"/>
      <w:r w:rsidR="00C50DC4">
        <w:rPr>
          <w:rFonts w:ascii="Arial" w:hAnsi="Arial" w:cs="Arial"/>
          <w:bCs/>
          <w:snapToGrid w:val="0"/>
          <w:sz w:val="22"/>
          <w:szCs w:val="22"/>
          <w:lang w:val="en-GB"/>
        </w:rPr>
        <w:t>bosentan</w:t>
      </w:r>
      <w:proofErr w:type="spellEnd"/>
      <w:r w:rsidR="00C50DC4">
        <w:rPr>
          <w:rFonts w:ascii="Arial" w:hAnsi="Arial" w:cs="Arial"/>
          <w:bCs/>
          <w:snapToGrid w:val="0"/>
          <w:sz w:val="22"/>
          <w:szCs w:val="22"/>
          <w:lang w:val="en-GB"/>
        </w:rPr>
        <w:t xml:space="preserve">, </w:t>
      </w:r>
      <w:proofErr w:type="spellStart"/>
      <w:r w:rsidR="00C50DC4">
        <w:rPr>
          <w:rFonts w:ascii="Arial" w:hAnsi="Arial" w:cs="Arial"/>
          <w:bCs/>
          <w:snapToGrid w:val="0"/>
          <w:sz w:val="22"/>
          <w:szCs w:val="22"/>
          <w:lang w:val="en-GB"/>
        </w:rPr>
        <w:t>epoprostenol</w:t>
      </w:r>
      <w:proofErr w:type="spellEnd"/>
      <w:r w:rsidR="00C50DC4">
        <w:rPr>
          <w:rFonts w:ascii="Arial" w:hAnsi="Arial" w:cs="Arial"/>
          <w:bCs/>
          <w:snapToGrid w:val="0"/>
          <w:sz w:val="22"/>
          <w:szCs w:val="22"/>
          <w:lang w:val="en-GB"/>
        </w:rPr>
        <w:t xml:space="preserve">, and </w:t>
      </w:r>
      <w:proofErr w:type="spellStart"/>
      <w:r w:rsidR="00C50DC4">
        <w:rPr>
          <w:rFonts w:ascii="Arial" w:hAnsi="Arial" w:cs="Arial"/>
          <w:bCs/>
          <w:snapToGrid w:val="0"/>
          <w:sz w:val="22"/>
          <w:szCs w:val="22"/>
          <w:lang w:val="en-GB"/>
        </w:rPr>
        <w:t>macitentan</w:t>
      </w:r>
      <w:proofErr w:type="spellEnd"/>
      <w:r w:rsidR="00C50DC4">
        <w:rPr>
          <w:rFonts w:ascii="Arial" w:hAnsi="Arial" w:cs="Arial"/>
          <w:bCs/>
          <w:snapToGrid w:val="0"/>
          <w:sz w:val="22"/>
          <w:szCs w:val="22"/>
          <w:lang w:val="en-GB"/>
        </w:rPr>
        <w:t>:</w:t>
      </w:r>
    </w:p>
    <w:p w:rsidR="00C50DC4" w:rsidRDefault="00DE6BA3" w:rsidP="00C47B59">
      <w:pPr>
        <w:pStyle w:val="ListParagraph"/>
        <w:numPr>
          <w:ilvl w:val="0"/>
          <w:numId w:val="5"/>
        </w:numPr>
        <w:ind w:left="1134" w:hanging="425"/>
        <w:jc w:val="both"/>
        <w:rPr>
          <w:rFonts w:ascii="Arial" w:hAnsi="Arial" w:cs="Arial"/>
          <w:bCs/>
          <w:snapToGrid w:val="0"/>
          <w:sz w:val="22"/>
          <w:szCs w:val="22"/>
          <w:lang w:val="en-GB"/>
        </w:rPr>
      </w:pPr>
      <w:r>
        <w:rPr>
          <w:rFonts w:ascii="Arial" w:hAnsi="Arial" w:cs="Arial"/>
          <w:bCs/>
          <w:snapToGrid w:val="0"/>
          <w:sz w:val="22"/>
          <w:szCs w:val="22"/>
          <w:lang w:val="en-GB"/>
        </w:rPr>
        <w:t>n</w:t>
      </w:r>
      <w:r w:rsidR="00C50DC4">
        <w:rPr>
          <w:rFonts w:ascii="Arial" w:hAnsi="Arial" w:cs="Arial"/>
          <w:bCs/>
          <w:snapToGrid w:val="0"/>
          <w:sz w:val="22"/>
          <w:szCs w:val="22"/>
          <w:lang w:val="en-GB"/>
        </w:rPr>
        <w:t>o changes to the initial treatment restriction</w:t>
      </w:r>
      <w:r>
        <w:rPr>
          <w:rFonts w:ascii="Arial" w:hAnsi="Arial" w:cs="Arial"/>
          <w:bCs/>
          <w:snapToGrid w:val="0"/>
          <w:sz w:val="22"/>
          <w:szCs w:val="22"/>
          <w:lang w:val="en-GB"/>
        </w:rPr>
        <w:t>;</w:t>
      </w:r>
    </w:p>
    <w:p w:rsidR="00E8323B" w:rsidRDefault="00E8323B" w:rsidP="00C47B59">
      <w:pPr>
        <w:pStyle w:val="ListParagraph"/>
        <w:numPr>
          <w:ilvl w:val="0"/>
          <w:numId w:val="5"/>
        </w:numPr>
        <w:ind w:left="1134" w:hanging="425"/>
        <w:jc w:val="both"/>
        <w:rPr>
          <w:rFonts w:ascii="Arial" w:hAnsi="Arial" w:cs="Arial"/>
          <w:bCs/>
          <w:snapToGrid w:val="0"/>
          <w:sz w:val="22"/>
          <w:szCs w:val="22"/>
          <w:lang w:val="en-GB"/>
        </w:rPr>
      </w:pPr>
      <w:r>
        <w:rPr>
          <w:rFonts w:ascii="Arial" w:hAnsi="Arial" w:cs="Arial"/>
          <w:bCs/>
          <w:snapToGrid w:val="0"/>
          <w:sz w:val="22"/>
          <w:szCs w:val="22"/>
          <w:lang w:val="en-GB"/>
        </w:rPr>
        <w:t xml:space="preserve">that the current “continuing treatment (all patients)” restriction be </w:t>
      </w:r>
      <w:r w:rsidR="00E86069">
        <w:rPr>
          <w:rFonts w:ascii="Arial" w:hAnsi="Arial" w:cs="Arial"/>
          <w:bCs/>
          <w:snapToGrid w:val="0"/>
          <w:sz w:val="22"/>
          <w:szCs w:val="22"/>
          <w:lang w:val="en-GB"/>
        </w:rPr>
        <w:t>replaced by</w:t>
      </w:r>
      <w:r>
        <w:rPr>
          <w:rFonts w:ascii="Arial" w:hAnsi="Arial" w:cs="Arial"/>
          <w:bCs/>
          <w:snapToGrid w:val="0"/>
          <w:sz w:val="22"/>
          <w:szCs w:val="22"/>
          <w:lang w:val="en-GB"/>
        </w:rPr>
        <w:t xml:space="preserve"> the following:</w:t>
      </w:r>
    </w:p>
    <w:p w:rsidR="00C50DC4" w:rsidRDefault="00E8323B" w:rsidP="00C47B59">
      <w:pPr>
        <w:ind w:left="1134"/>
        <w:jc w:val="both"/>
        <w:rPr>
          <w:rFonts w:ascii="Arial" w:hAnsi="Arial" w:cs="Arial"/>
          <w:bCs/>
          <w:snapToGrid w:val="0"/>
          <w:sz w:val="22"/>
          <w:szCs w:val="22"/>
          <w:lang w:val="en-GB"/>
        </w:rPr>
      </w:pPr>
      <w:r w:rsidRPr="00E8323B">
        <w:rPr>
          <w:rFonts w:ascii="Arial" w:hAnsi="Arial" w:cs="Arial"/>
          <w:bCs/>
          <w:snapToGrid w:val="0"/>
          <w:sz w:val="22"/>
          <w:szCs w:val="22"/>
          <w:lang w:val="en-GB"/>
        </w:rPr>
        <w:t xml:space="preserve">- </w:t>
      </w:r>
      <w:proofErr w:type="gramStart"/>
      <w:r w:rsidR="00DE6BA3" w:rsidRPr="00E8323B">
        <w:rPr>
          <w:rFonts w:ascii="Arial" w:hAnsi="Arial" w:cs="Arial"/>
          <w:bCs/>
          <w:snapToGrid w:val="0"/>
          <w:sz w:val="22"/>
          <w:szCs w:val="22"/>
          <w:lang w:val="en-GB"/>
        </w:rPr>
        <w:t>a</w:t>
      </w:r>
      <w:proofErr w:type="gramEnd"/>
      <w:r w:rsidR="00C50DC4" w:rsidRPr="00E8323B">
        <w:rPr>
          <w:rFonts w:ascii="Arial" w:hAnsi="Arial" w:cs="Arial"/>
          <w:bCs/>
          <w:snapToGrid w:val="0"/>
          <w:sz w:val="22"/>
          <w:szCs w:val="22"/>
          <w:lang w:val="en-GB"/>
        </w:rPr>
        <w:t xml:space="preserve"> “continuing</w:t>
      </w:r>
      <w:r w:rsidR="00DE6BA3" w:rsidRPr="00E8323B">
        <w:rPr>
          <w:rFonts w:ascii="Arial" w:hAnsi="Arial" w:cs="Arial"/>
          <w:bCs/>
          <w:snapToGrid w:val="0"/>
          <w:sz w:val="22"/>
          <w:szCs w:val="22"/>
          <w:lang w:val="en-GB"/>
        </w:rPr>
        <w:t xml:space="preserve"> treatment – new patient</w:t>
      </w:r>
      <w:r w:rsidR="00C50DC4" w:rsidRPr="00E8323B">
        <w:rPr>
          <w:rFonts w:ascii="Arial" w:hAnsi="Arial" w:cs="Arial"/>
          <w:bCs/>
          <w:snapToGrid w:val="0"/>
          <w:sz w:val="22"/>
          <w:szCs w:val="22"/>
          <w:lang w:val="en-GB"/>
        </w:rPr>
        <w:t>” phase</w:t>
      </w:r>
      <w:r w:rsidR="00057077">
        <w:rPr>
          <w:rFonts w:ascii="Arial" w:hAnsi="Arial" w:cs="Arial"/>
          <w:bCs/>
          <w:snapToGrid w:val="0"/>
          <w:sz w:val="22"/>
          <w:szCs w:val="22"/>
          <w:lang w:val="en-GB"/>
        </w:rPr>
        <w:t xml:space="preserve"> (written authority)</w:t>
      </w:r>
      <w:r w:rsidR="00980EEF" w:rsidRPr="00E8323B">
        <w:rPr>
          <w:rFonts w:ascii="Arial" w:hAnsi="Arial" w:cs="Arial"/>
          <w:bCs/>
          <w:snapToGrid w:val="0"/>
          <w:sz w:val="22"/>
          <w:szCs w:val="22"/>
          <w:lang w:val="en-GB"/>
        </w:rPr>
        <w:t>,</w:t>
      </w:r>
      <w:r w:rsidR="00C50DC4" w:rsidRPr="00E8323B">
        <w:rPr>
          <w:rFonts w:ascii="Arial" w:hAnsi="Arial" w:cs="Arial"/>
          <w:bCs/>
          <w:snapToGrid w:val="0"/>
          <w:sz w:val="22"/>
          <w:szCs w:val="22"/>
          <w:lang w:val="en-GB"/>
        </w:rPr>
        <w:t xml:space="preserve"> which would retain the same criteria as the existing “continuing” treatment restriction</w:t>
      </w:r>
      <w:r w:rsidR="000B39F9" w:rsidRPr="00E8323B">
        <w:rPr>
          <w:rFonts w:ascii="Arial" w:hAnsi="Arial" w:cs="Arial"/>
          <w:bCs/>
          <w:snapToGrid w:val="0"/>
          <w:sz w:val="22"/>
          <w:szCs w:val="22"/>
          <w:lang w:val="en-GB"/>
        </w:rPr>
        <w:t xml:space="preserve"> (i.e. patient will need to demonstrate </w:t>
      </w:r>
      <w:r w:rsidR="00980EEF" w:rsidRPr="00E8323B">
        <w:rPr>
          <w:rFonts w:ascii="Arial" w:hAnsi="Arial" w:cs="Arial"/>
          <w:bCs/>
          <w:snapToGrid w:val="0"/>
          <w:sz w:val="22"/>
          <w:szCs w:val="22"/>
          <w:lang w:val="en-GB"/>
        </w:rPr>
        <w:t>a response to the initial course of treatment</w:t>
      </w:r>
      <w:r w:rsidR="000B39F9" w:rsidRPr="00E8323B">
        <w:rPr>
          <w:rFonts w:ascii="Arial" w:hAnsi="Arial" w:cs="Arial"/>
          <w:bCs/>
          <w:snapToGrid w:val="0"/>
          <w:sz w:val="22"/>
          <w:szCs w:val="22"/>
          <w:lang w:val="en-GB"/>
        </w:rPr>
        <w:t>)</w:t>
      </w:r>
      <w:r w:rsidR="00DE6BA3" w:rsidRPr="00E8323B">
        <w:rPr>
          <w:rFonts w:ascii="Arial" w:hAnsi="Arial" w:cs="Arial"/>
          <w:bCs/>
          <w:snapToGrid w:val="0"/>
          <w:sz w:val="22"/>
          <w:szCs w:val="22"/>
          <w:lang w:val="en-GB"/>
        </w:rPr>
        <w:t>; and</w:t>
      </w:r>
    </w:p>
    <w:p w:rsidR="000B39F9" w:rsidRDefault="00E8323B" w:rsidP="00C47B59">
      <w:pPr>
        <w:ind w:left="1134"/>
        <w:jc w:val="both"/>
        <w:rPr>
          <w:rFonts w:ascii="Arial" w:hAnsi="Arial" w:cs="Arial"/>
          <w:bCs/>
          <w:snapToGrid w:val="0"/>
          <w:sz w:val="22"/>
          <w:szCs w:val="22"/>
          <w:lang w:val="en-GB"/>
        </w:rPr>
      </w:pPr>
      <w:r>
        <w:rPr>
          <w:rFonts w:ascii="Arial" w:hAnsi="Arial" w:cs="Arial"/>
          <w:bCs/>
          <w:snapToGrid w:val="0"/>
          <w:sz w:val="22"/>
          <w:szCs w:val="22"/>
          <w:lang w:val="en-GB"/>
        </w:rPr>
        <w:t xml:space="preserve">- </w:t>
      </w:r>
      <w:r w:rsidR="00DE6BA3">
        <w:rPr>
          <w:rFonts w:ascii="Arial" w:hAnsi="Arial" w:cs="Arial"/>
          <w:bCs/>
          <w:snapToGrid w:val="0"/>
          <w:sz w:val="22"/>
          <w:szCs w:val="22"/>
          <w:lang w:val="en-GB"/>
        </w:rPr>
        <w:t>a</w:t>
      </w:r>
      <w:r w:rsidR="000B39F9">
        <w:rPr>
          <w:rFonts w:ascii="Arial" w:hAnsi="Arial" w:cs="Arial"/>
          <w:bCs/>
          <w:snapToGrid w:val="0"/>
          <w:sz w:val="22"/>
          <w:szCs w:val="22"/>
          <w:lang w:val="en-GB"/>
        </w:rPr>
        <w:t xml:space="preserve"> “continuing</w:t>
      </w:r>
      <w:r w:rsidR="00DE6BA3">
        <w:rPr>
          <w:rFonts w:ascii="Arial" w:hAnsi="Arial" w:cs="Arial"/>
          <w:bCs/>
          <w:snapToGrid w:val="0"/>
          <w:sz w:val="22"/>
          <w:szCs w:val="22"/>
          <w:lang w:val="en-GB"/>
        </w:rPr>
        <w:t xml:space="preserve"> treatment – beyond initial 48 weeks of treatment</w:t>
      </w:r>
      <w:r w:rsidR="000B39F9">
        <w:rPr>
          <w:rFonts w:ascii="Arial" w:hAnsi="Arial" w:cs="Arial"/>
          <w:bCs/>
          <w:snapToGrid w:val="0"/>
          <w:sz w:val="22"/>
          <w:szCs w:val="22"/>
          <w:lang w:val="en-GB"/>
        </w:rPr>
        <w:t>” phase</w:t>
      </w:r>
      <w:r w:rsidR="00057077">
        <w:rPr>
          <w:rFonts w:ascii="Arial" w:hAnsi="Arial" w:cs="Arial"/>
          <w:bCs/>
          <w:snapToGrid w:val="0"/>
          <w:sz w:val="22"/>
          <w:szCs w:val="22"/>
          <w:lang w:val="en-GB"/>
        </w:rPr>
        <w:t xml:space="preserve"> (telephone authority)</w:t>
      </w:r>
      <w:r w:rsidR="00980EEF">
        <w:rPr>
          <w:rFonts w:ascii="Arial" w:hAnsi="Arial" w:cs="Arial"/>
          <w:bCs/>
          <w:snapToGrid w:val="0"/>
          <w:sz w:val="22"/>
          <w:szCs w:val="22"/>
          <w:lang w:val="en-GB"/>
        </w:rPr>
        <w:t>, which would</w:t>
      </w:r>
      <w:r w:rsidR="000B39F9">
        <w:rPr>
          <w:rFonts w:ascii="Arial" w:hAnsi="Arial" w:cs="Arial"/>
          <w:bCs/>
          <w:snapToGrid w:val="0"/>
          <w:sz w:val="22"/>
          <w:szCs w:val="22"/>
          <w:lang w:val="en-GB"/>
        </w:rPr>
        <w:t xml:space="preserve"> be as requested by the submission</w:t>
      </w:r>
      <w:r w:rsidR="005E21CA">
        <w:rPr>
          <w:rFonts w:ascii="Arial" w:hAnsi="Arial" w:cs="Arial"/>
          <w:bCs/>
          <w:snapToGrid w:val="0"/>
          <w:sz w:val="22"/>
          <w:szCs w:val="22"/>
          <w:lang w:val="en-GB"/>
        </w:rPr>
        <w:t xml:space="preserve"> – </w:t>
      </w:r>
      <w:r w:rsidR="00980EEF">
        <w:rPr>
          <w:rFonts w:ascii="Arial" w:hAnsi="Arial" w:cs="Arial"/>
          <w:bCs/>
          <w:snapToGrid w:val="0"/>
          <w:sz w:val="22"/>
          <w:szCs w:val="22"/>
          <w:lang w:val="en-GB"/>
        </w:rPr>
        <w:t>an</w:t>
      </w:r>
      <w:r w:rsidR="000B39F9">
        <w:rPr>
          <w:rFonts w:ascii="Arial" w:hAnsi="Arial" w:cs="Arial"/>
          <w:bCs/>
          <w:snapToGrid w:val="0"/>
          <w:sz w:val="22"/>
          <w:szCs w:val="22"/>
          <w:lang w:val="en-GB"/>
        </w:rPr>
        <w:t xml:space="preserve"> amended version of the current continuing treatment restriction, removing requirement</w:t>
      </w:r>
      <w:r w:rsidR="00A21713">
        <w:rPr>
          <w:rFonts w:ascii="Arial" w:hAnsi="Arial" w:cs="Arial"/>
          <w:bCs/>
          <w:snapToGrid w:val="0"/>
          <w:sz w:val="22"/>
          <w:szCs w:val="22"/>
          <w:lang w:val="en-GB"/>
        </w:rPr>
        <w:t>s</w:t>
      </w:r>
      <w:r w:rsidR="000B39F9">
        <w:rPr>
          <w:rFonts w:ascii="Arial" w:hAnsi="Arial" w:cs="Arial"/>
          <w:bCs/>
          <w:snapToGrid w:val="0"/>
          <w:sz w:val="22"/>
          <w:szCs w:val="22"/>
          <w:lang w:val="en-GB"/>
        </w:rPr>
        <w:t xml:space="preserve"> to </w:t>
      </w:r>
      <w:r w:rsidR="00DC203C">
        <w:rPr>
          <w:rFonts w:ascii="Arial" w:hAnsi="Arial" w:cs="Arial"/>
          <w:bCs/>
          <w:snapToGrid w:val="0"/>
          <w:sz w:val="22"/>
          <w:szCs w:val="22"/>
          <w:lang w:val="en-GB"/>
        </w:rPr>
        <w:t>provide evidence of a</w:t>
      </w:r>
      <w:r w:rsidR="00D34AEE">
        <w:rPr>
          <w:rFonts w:ascii="Arial" w:hAnsi="Arial" w:cs="Arial"/>
          <w:bCs/>
          <w:snapToGrid w:val="0"/>
          <w:sz w:val="22"/>
          <w:szCs w:val="22"/>
          <w:lang w:val="en-GB"/>
        </w:rPr>
        <w:t xml:space="preserve"> response to</w:t>
      </w:r>
      <w:r w:rsidR="00DC203C">
        <w:rPr>
          <w:rFonts w:ascii="Arial" w:hAnsi="Arial" w:cs="Arial"/>
          <w:bCs/>
          <w:snapToGrid w:val="0"/>
          <w:sz w:val="22"/>
          <w:szCs w:val="22"/>
          <w:lang w:val="en-GB"/>
        </w:rPr>
        <w:t xml:space="preserve"> the most recent course of treatment with</w:t>
      </w:r>
      <w:r w:rsidR="00D34AEE">
        <w:rPr>
          <w:rFonts w:ascii="Arial" w:hAnsi="Arial" w:cs="Arial"/>
          <w:bCs/>
          <w:snapToGrid w:val="0"/>
          <w:sz w:val="22"/>
          <w:szCs w:val="22"/>
          <w:lang w:val="en-GB"/>
        </w:rPr>
        <w:t xml:space="preserve"> the agent</w:t>
      </w:r>
      <w:r w:rsidR="000B39F9">
        <w:rPr>
          <w:rFonts w:ascii="Arial" w:hAnsi="Arial" w:cs="Arial"/>
          <w:bCs/>
          <w:snapToGrid w:val="0"/>
          <w:sz w:val="22"/>
          <w:szCs w:val="22"/>
          <w:lang w:val="en-GB"/>
        </w:rPr>
        <w:t>.</w:t>
      </w:r>
    </w:p>
    <w:p w:rsidR="000B39F9" w:rsidRDefault="000B39F9" w:rsidP="00C47B59">
      <w:pPr>
        <w:ind w:left="709"/>
        <w:jc w:val="both"/>
        <w:rPr>
          <w:rFonts w:ascii="Arial" w:hAnsi="Arial" w:cs="Arial"/>
          <w:bCs/>
          <w:snapToGrid w:val="0"/>
          <w:sz w:val="22"/>
          <w:szCs w:val="22"/>
          <w:lang w:val="en-GB"/>
        </w:rPr>
      </w:pPr>
    </w:p>
    <w:p w:rsidR="000D2745" w:rsidRPr="002E442E" w:rsidRDefault="008A1A1D" w:rsidP="00C47B59">
      <w:pPr>
        <w:numPr>
          <w:ilvl w:val="1"/>
          <w:numId w:val="2"/>
        </w:numPr>
        <w:contextualSpacing/>
        <w:jc w:val="both"/>
        <w:rPr>
          <w:rFonts w:ascii="Arial" w:hAnsi="Arial" w:cs="Arial"/>
          <w:bCs/>
          <w:snapToGrid w:val="0"/>
          <w:sz w:val="22"/>
          <w:szCs w:val="22"/>
          <w:lang w:val="en-GB"/>
        </w:rPr>
      </w:pPr>
      <w:r w:rsidRPr="002E442E">
        <w:rPr>
          <w:rFonts w:ascii="Arial" w:hAnsi="Arial" w:cs="Arial"/>
          <w:bCs/>
          <w:snapToGrid w:val="0"/>
          <w:sz w:val="22"/>
          <w:szCs w:val="22"/>
          <w:lang w:val="en-GB"/>
        </w:rPr>
        <w:t xml:space="preserve">The PBAC </w:t>
      </w:r>
      <w:r w:rsidR="00EA6ED3">
        <w:rPr>
          <w:rFonts w:ascii="Arial" w:hAnsi="Arial" w:cs="Arial"/>
          <w:bCs/>
          <w:snapToGrid w:val="0"/>
          <w:sz w:val="22"/>
          <w:szCs w:val="22"/>
          <w:lang w:val="en-GB"/>
        </w:rPr>
        <w:t>considered</w:t>
      </w:r>
      <w:r w:rsidRPr="002E442E">
        <w:rPr>
          <w:rFonts w:ascii="Arial" w:hAnsi="Arial" w:cs="Arial"/>
          <w:bCs/>
          <w:snapToGrid w:val="0"/>
          <w:sz w:val="22"/>
          <w:szCs w:val="22"/>
          <w:lang w:val="en-GB"/>
        </w:rPr>
        <w:t xml:space="preserve"> that progression of disease in </w:t>
      </w:r>
      <w:r w:rsidR="00D42B4C">
        <w:rPr>
          <w:rFonts w:ascii="Arial" w:hAnsi="Arial" w:cs="Arial"/>
          <w:bCs/>
          <w:snapToGrid w:val="0"/>
          <w:sz w:val="22"/>
          <w:szCs w:val="22"/>
          <w:lang w:val="en-GB"/>
        </w:rPr>
        <w:t xml:space="preserve">patients on PAH </w:t>
      </w:r>
      <w:proofErr w:type="gramStart"/>
      <w:r w:rsidR="00D42B4C">
        <w:rPr>
          <w:rFonts w:ascii="Arial" w:hAnsi="Arial" w:cs="Arial"/>
          <w:bCs/>
          <w:snapToGrid w:val="0"/>
          <w:sz w:val="22"/>
          <w:szCs w:val="22"/>
          <w:lang w:val="en-GB"/>
        </w:rPr>
        <w:t>agents</w:t>
      </w:r>
      <w:r w:rsidRPr="002E442E">
        <w:rPr>
          <w:rFonts w:ascii="Arial" w:hAnsi="Arial" w:cs="Arial"/>
          <w:bCs/>
          <w:snapToGrid w:val="0"/>
          <w:sz w:val="22"/>
          <w:szCs w:val="22"/>
          <w:lang w:val="en-GB"/>
        </w:rPr>
        <w:t xml:space="preserve"> does</w:t>
      </w:r>
      <w:proofErr w:type="gramEnd"/>
      <w:r w:rsidRPr="002E442E">
        <w:rPr>
          <w:rFonts w:ascii="Arial" w:hAnsi="Arial" w:cs="Arial"/>
          <w:bCs/>
          <w:snapToGrid w:val="0"/>
          <w:sz w:val="22"/>
          <w:szCs w:val="22"/>
          <w:lang w:val="en-GB"/>
        </w:rPr>
        <w:t xml:space="preserve"> not necessarily indicate that th</w:t>
      </w:r>
      <w:r w:rsidR="00EA6ED3">
        <w:rPr>
          <w:rFonts w:ascii="Arial" w:hAnsi="Arial" w:cs="Arial"/>
          <w:bCs/>
          <w:snapToGrid w:val="0"/>
          <w:sz w:val="22"/>
          <w:szCs w:val="22"/>
          <w:lang w:val="en-GB"/>
        </w:rPr>
        <w:t>e therapy is no longer effective</w:t>
      </w:r>
      <w:r w:rsidR="00D42B4C">
        <w:rPr>
          <w:rFonts w:ascii="Arial" w:hAnsi="Arial" w:cs="Arial"/>
          <w:bCs/>
          <w:snapToGrid w:val="0"/>
          <w:sz w:val="22"/>
          <w:szCs w:val="22"/>
          <w:lang w:val="en-GB"/>
        </w:rPr>
        <w:t xml:space="preserve"> and that the biggest response will most likely be achieved in response to the initial treatment. T</w:t>
      </w:r>
      <w:r w:rsidR="00EA6ED3">
        <w:rPr>
          <w:rFonts w:ascii="Arial" w:hAnsi="Arial" w:cs="Arial"/>
          <w:bCs/>
          <w:snapToGrid w:val="0"/>
          <w:sz w:val="22"/>
          <w:szCs w:val="22"/>
          <w:lang w:val="en-GB"/>
        </w:rPr>
        <w:t xml:space="preserve">he </w:t>
      </w:r>
      <w:r w:rsidR="00D42B4C">
        <w:rPr>
          <w:rFonts w:ascii="Arial" w:hAnsi="Arial" w:cs="Arial"/>
          <w:bCs/>
          <w:snapToGrid w:val="0"/>
          <w:sz w:val="22"/>
          <w:szCs w:val="22"/>
          <w:lang w:val="en-GB"/>
        </w:rPr>
        <w:t>PBAC therefore agreed that it would be reasonable to have a first continuing</w:t>
      </w:r>
      <w:r w:rsidR="00803A61">
        <w:rPr>
          <w:rFonts w:ascii="Arial" w:hAnsi="Arial" w:cs="Arial"/>
          <w:bCs/>
          <w:snapToGrid w:val="0"/>
          <w:sz w:val="22"/>
          <w:szCs w:val="22"/>
          <w:lang w:val="en-GB"/>
        </w:rPr>
        <w:t xml:space="preserve"> treatment</w:t>
      </w:r>
      <w:r w:rsidR="00D42B4C">
        <w:rPr>
          <w:rFonts w:ascii="Arial" w:hAnsi="Arial" w:cs="Arial"/>
          <w:bCs/>
          <w:snapToGrid w:val="0"/>
          <w:sz w:val="22"/>
          <w:szCs w:val="22"/>
          <w:lang w:val="en-GB"/>
        </w:rPr>
        <w:t xml:space="preserve"> restriction (continuing treatment – new patient) where </w:t>
      </w:r>
      <w:r w:rsidR="00803A61">
        <w:rPr>
          <w:rFonts w:ascii="Arial" w:hAnsi="Arial" w:cs="Arial"/>
          <w:bCs/>
          <w:snapToGrid w:val="0"/>
          <w:sz w:val="22"/>
          <w:szCs w:val="22"/>
          <w:lang w:val="en-GB"/>
        </w:rPr>
        <w:t>evidence of a response to the PAH agent must be demonstrated</w:t>
      </w:r>
      <w:r w:rsidR="004772C8">
        <w:rPr>
          <w:rFonts w:ascii="Arial" w:hAnsi="Arial" w:cs="Arial"/>
          <w:bCs/>
          <w:snapToGrid w:val="0"/>
          <w:sz w:val="22"/>
          <w:szCs w:val="22"/>
          <w:lang w:val="en-GB"/>
        </w:rPr>
        <w:t>;</w:t>
      </w:r>
      <w:r w:rsidR="00803A61">
        <w:rPr>
          <w:rFonts w:ascii="Arial" w:hAnsi="Arial" w:cs="Arial"/>
          <w:bCs/>
          <w:snapToGrid w:val="0"/>
          <w:sz w:val="22"/>
          <w:szCs w:val="22"/>
          <w:lang w:val="en-GB"/>
        </w:rPr>
        <w:t xml:space="preserve"> and then </w:t>
      </w:r>
      <w:r w:rsidR="00370C35">
        <w:rPr>
          <w:rFonts w:ascii="Arial" w:hAnsi="Arial" w:cs="Arial"/>
          <w:bCs/>
          <w:snapToGrid w:val="0"/>
          <w:sz w:val="22"/>
          <w:szCs w:val="22"/>
          <w:lang w:val="en-GB"/>
        </w:rPr>
        <w:t>a</w:t>
      </w:r>
      <w:r w:rsidR="00803A61">
        <w:rPr>
          <w:rFonts w:ascii="Arial" w:hAnsi="Arial" w:cs="Arial"/>
          <w:bCs/>
          <w:snapToGrid w:val="0"/>
          <w:sz w:val="22"/>
          <w:szCs w:val="22"/>
          <w:lang w:val="en-GB"/>
        </w:rPr>
        <w:t xml:space="preserve"> subsequent continuing treatment restriction (continuing treatment – beyond initial 48 weeks of treatment)</w:t>
      </w:r>
      <w:r w:rsidR="00370C35">
        <w:rPr>
          <w:rFonts w:ascii="Arial" w:hAnsi="Arial" w:cs="Arial"/>
          <w:bCs/>
          <w:snapToGrid w:val="0"/>
          <w:sz w:val="22"/>
          <w:szCs w:val="22"/>
          <w:lang w:val="en-GB"/>
        </w:rPr>
        <w:t>, which</w:t>
      </w:r>
      <w:r w:rsidR="00803A61">
        <w:rPr>
          <w:rFonts w:ascii="Arial" w:hAnsi="Arial" w:cs="Arial"/>
          <w:bCs/>
          <w:snapToGrid w:val="0"/>
          <w:sz w:val="22"/>
          <w:szCs w:val="22"/>
          <w:lang w:val="en-GB"/>
        </w:rPr>
        <w:t xml:space="preserve"> would not require further evidence of a response</w:t>
      </w:r>
      <w:r w:rsidR="0050485D">
        <w:rPr>
          <w:rFonts w:ascii="Arial" w:hAnsi="Arial" w:cs="Arial"/>
          <w:bCs/>
          <w:snapToGrid w:val="0"/>
          <w:sz w:val="22"/>
          <w:szCs w:val="22"/>
          <w:lang w:val="en-GB"/>
        </w:rPr>
        <w:t xml:space="preserve">. That is, the PBAC recommended the </w:t>
      </w:r>
      <w:r w:rsidR="00EA6ED3">
        <w:rPr>
          <w:rFonts w:ascii="Arial" w:hAnsi="Arial" w:cs="Arial"/>
          <w:bCs/>
          <w:snapToGrid w:val="0"/>
          <w:sz w:val="22"/>
          <w:szCs w:val="22"/>
          <w:lang w:val="en-GB"/>
        </w:rPr>
        <w:t xml:space="preserve">removal of the </w:t>
      </w:r>
      <w:r w:rsidR="00F355FF">
        <w:rPr>
          <w:rFonts w:ascii="Arial" w:hAnsi="Arial" w:cs="Arial"/>
          <w:bCs/>
          <w:snapToGrid w:val="0"/>
          <w:sz w:val="22"/>
          <w:szCs w:val="22"/>
          <w:lang w:val="en-GB"/>
        </w:rPr>
        <w:t>requirement for</w:t>
      </w:r>
      <w:r w:rsidR="00EA6ED3">
        <w:rPr>
          <w:rFonts w:ascii="Arial" w:hAnsi="Arial" w:cs="Arial"/>
          <w:bCs/>
          <w:snapToGrid w:val="0"/>
          <w:sz w:val="22"/>
          <w:szCs w:val="22"/>
          <w:lang w:val="en-GB"/>
        </w:rPr>
        <w:t xml:space="preserve"> a patient to have been assessed as having achieved a response to their most recent course of treatment</w:t>
      </w:r>
      <w:r w:rsidR="00370C35">
        <w:rPr>
          <w:rFonts w:ascii="Arial" w:hAnsi="Arial" w:cs="Arial"/>
          <w:bCs/>
          <w:snapToGrid w:val="0"/>
          <w:sz w:val="22"/>
          <w:szCs w:val="22"/>
          <w:lang w:val="en-GB"/>
        </w:rPr>
        <w:t xml:space="preserve">, </w:t>
      </w:r>
      <w:r w:rsidR="0046603A">
        <w:rPr>
          <w:rFonts w:ascii="Arial" w:hAnsi="Arial" w:cs="Arial"/>
          <w:bCs/>
          <w:snapToGrid w:val="0"/>
          <w:sz w:val="22"/>
          <w:szCs w:val="22"/>
          <w:lang w:val="en-GB"/>
        </w:rPr>
        <w:t xml:space="preserve">except where it was their first course of treatment, </w:t>
      </w:r>
      <w:r w:rsidR="00370C35">
        <w:rPr>
          <w:rFonts w:ascii="Arial" w:hAnsi="Arial" w:cs="Arial"/>
          <w:bCs/>
          <w:snapToGrid w:val="0"/>
          <w:sz w:val="22"/>
          <w:szCs w:val="22"/>
          <w:lang w:val="en-GB"/>
        </w:rPr>
        <w:t>and thereby</w:t>
      </w:r>
      <w:r w:rsidR="003A0195">
        <w:rPr>
          <w:rFonts w:ascii="Arial" w:hAnsi="Arial" w:cs="Arial"/>
          <w:bCs/>
          <w:snapToGrid w:val="0"/>
          <w:sz w:val="22"/>
          <w:szCs w:val="22"/>
          <w:lang w:val="en-GB"/>
        </w:rPr>
        <w:t>,</w:t>
      </w:r>
      <w:r w:rsidR="00370C35">
        <w:rPr>
          <w:rFonts w:ascii="Arial" w:hAnsi="Arial" w:cs="Arial"/>
          <w:bCs/>
          <w:snapToGrid w:val="0"/>
          <w:sz w:val="22"/>
          <w:szCs w:val="22"/>
          <w:lang w:val="en-GB"/>
        </w:rPr>
        <w:t xml:space="preserve"> the removal of the requirement for clinicians to provide results from RHC composite assessment, ECHO composite assessment and 6MWT</w:t>
      </w:r>
      <w:r w:rsidR="0046603A">
        <w:rPr>
          <w:rFonts w:ascii="Arial" w:hAnsi="Arial" w:cs="Arial"/>
          <w:bCs/>
          <w:snapToGrid w:val="0"/>
          <w:sz w:val="22"/>
          <w:szCs w:val="22"/>
          <w:lang w:val="en-GB"/>
        </w:rPr>
        <w:t xml:space="preserve"> beyond this initial assessment</w:t>
      </w:r>
      <w:r w:rsidR="00370C35">
        <w:rPr>
          <w:rFonts w:ascii="Arial" w:hAnsi="Arial" w:cs="Arial"/>
          <w:bCs/>
          <w:snapToGrid w:val="0"/>
          <w:sz w:val="22"/>
          <w:szCs w:val="22"/>
          <w:lang w:val="en-GB"/>
        </w:rPr>
        <w:t>.</w:t>
      </w:r>
      <w:r w:rsidR="00EA6ED3">
        <w:rPr>
          <w:rFonts w:ascii="Arial" w:hAnsi="Arial" w:cs="Arial"/>
          <w:bCs/>
          <w:snapToGrid w:val="0"/>
          <w:sz w:val="22"/>
          <w:szCs w:val="22"/>
          <w:lang w:val="en-GB"/>
        </w:rPr>
        <w:t xml:space="preserve"> </w:t>
      </w:r>
    </w:p>
    <w:p w:rsidR="000D2745" w:rsidRPr="003C3927" w:rsidRDefault="000D2745" w:rsidP="00C47B59">
      <w:pPr>
        <w:ind w:left="720"/>
        <w:contextualSpacing/>
        <w:jc w:val="both"/>
        <w:rPr>
          <w:rFonts w:ascii="Arial" w:hAnsi="Arial" w:cs="Arial"/>
          <w:bCs/>
          <w:snapToGrid w:val="0"/>
          <w:sz w:val="22"/>
          <w:szCs w:val="22"/>
          <w:highlight w:val="yellow"/>
          <w:lang w:val="en-GB"/>
        </w:rPr>
      </w:pPr>
    </w:p>
    <w:p w:rsidR="00056CD9" w:rsidRDefault="00056CD9" w:rsidP="00C47B59">
      <w:pPr>
        <w:numPr>
          <w:ilvl w:val="1"/>
          <w:numId w:val="2"/>
        </w:numPr>
        <w:contextualSpacing/>
        <w:jc w:val="both"/>
        <w:rPr>
          <w:rFonts w:ascii="Arial" w:hAnsi="Arial" w:cs="Arial"/>
          <w:bCs/>
          <w:snapToGrid w:val="0"/>
          <w:sz w:val="22"/>
          <w:szCs w:val="22"/>
          <w:lang w:val="en-GB"/>
        </w:rPr>
      </w:pPr>
      <w:r>
        <w:rPr>
          <w:rFonts w:ascii="Arial" w:hAnsi="Arial" w:cs="Arial"/>
          <w:bCs/>
          <w:snapToGrid w:val="0"/>
          <w:sz w:val="22"/>
          <w:szCs w:val="22"/>
          <w:lang w:val="en-GB"/>
        </w:rPr>
        <w:t>Noting</w:t>
      </w:r>
      <w:r w:rsidR="004772C8">
        <w:rPr>
          <w:rFonts w:ascii="Arial" w:hAnsi="Arial" w:cs="Arial"/>
          <w:bCs/>
          <w:snapToGrid w:val="0"/>
          <w:sz w:val="22"/>
          <w:szCs w:val="22"/>
          <w:lang w:val="en-GB"/>
        </w:rPr>
        <w:t xml:space="preserve"> the submission’s claim that the current PBS continuing restriction for PAH agents is inconsistent with best clinical practice</w:t>
      </w:r>
      <w:r>
        <w:rPr>
          <w:rFonts w:ascii="Arial" w:hAnsi="Arial" w:cs="Arial"/>
          <w:bCs/>
          <w:snapToGrid w:val="0"/>
          <w:sz w:val="22"/>
          <w:szCs w:val="22"/>
          <w:lang w:val="en-GB"/>
        </w:rPr>
        <w:t>,</w:t>
      </w:r>
      <w:r w:rsidR="004772C8">
        <w:rPr>
          <w:rFonts w:ascii="Arial" w:hAnsi="Arial" w:cs="Arial"/>
          <w:bCs/>
          <w:snapToGrid w:val="0"/>
          <w:sz w:val="22"/>
          <w:szCs w:val="22"/>
          <w:lang w:val="en-GB"/>
        </w:rPr>
        <w:t xml:space="preserve"> </w:t>
      </w:r>
      <w:r>
        <w:rPr>
          <w:rFonts w:ascii="Arial" w:hAnsi="Arial" w:cs="Arial"/>
          <w:bCs/>
          <w:snapToGrid w:val="0"/>
          <w:sz w:val="22"/>
          <w:szCs w:val="22"/>
          <w:lang w:val="en-GB"/>
        </w:rPr>
        <w:t>t</w:t>
      </w:r>
      <w:r w:rsidR="004772C8">
        <w:rPr>
          <w:rFonts w:ascii="Arial" w:hAnsi="Arial" w:cs="Arial"/>
          <w:bCs/>
          <w:snapToGrid w:val="0"/>
          <w:sz w:val="22"/>
          <w:szCs w:val="22"/>
          <w:lang w:val="en-GB"/>
        </w:rPr>
        <w:t xml:space="preserve">he PBAC </w:t>
      </w:r>
      <w:r w:rsidR="00D119DD" w:rsidRPr="009321A9">
        <w:rPr>
          <w:rFonts w:ascii="Arial" w:hAnsi="Arial" w:cs="Arial"/>
          <w:bCs/>
          <w:snapToGrid w:val="0"/>
          <w:sz w:val="22"/>
          <w:szCs w:val="22"/>
          <w:lang w:val="en-GB"/>
        </w:rPr>
        <w:t xml:space="preserve">considered that </w:t>
      </w:r>
      <w:r w:rsidR="005D2C4D">
        <w:rPr>
          <w:rFonts w:ascii="Arial" w:hAnsi="Arial" w:cs="Arial"/>
          <w:bCs/>
          <w:snapToGrid w:val="0"/>
          <w:sz w:val="22"/>
          <w:szCs w:val="22"/>
          <w:lang w:val="en-GB"/>
        </w:rPr>
        <w:t xml:space="preserve">there were a number of issues around use of PAH agents that could not be assessed within the scope of this submission, including: </w:t>
      </w:r>
    </w:p>
    <w:p w:rsidR="00056CD9" w:rsidRDefault="005D2C4D" w:rsidP="00C47B59">
      <w:pPr>
        <w:pStyle w:val="ListParagraph"/>
        <w:numPr>
          <w:ilvl w:val="0"/>
          <w:numId w:val="5"/>
        </w:numPr>
        <w:ind w:left="1134" w:hanging="425"/>
        <w:jc w:val="both"/>
        <w:rPr>
          <w:rFonts w:ascii="Arial" w:hAnsi="Arial" w:cs="Arial"/>
          <w:bCs/>
          <w:snapToGrid w:val="0"/>
          <w:sz w:val="22"/>
          <w:szCs w:val="22"/>
          <w:lang w:val="en-GB"/>
        </w:rPr>
      </w:pPr>
      <w:r w:rsidRPr="00056CD9">
        <w:rPr>
          <w:rFonts w:ascii="Arial" w:hAnsi="Arial" w:cs="Arial"/>
          <w:bCs/>
          <w:snapToGrid w:val="0"/>
          <w:sz w:val="22"/>
          <w:szCs w:val="22"/>
          <w:lang w:val="en-GB"/>
        </w:rPr>
        <w:t xml:space="preserve">lack of evidence to support cost-effectiveness of </w:t>
      </w:r>
      <w:r w:rsidR="00A56B47" w:rsidRPr="00056CD9">
        <w:rPr>
          <w:rFonts w:ascii="Arial" w:hAnsi="Arial" w:cs="Arial"/>
          <w:bCs/>
          <w:snapToGrid w:val="0"/>
          <w:sz w:val="22"/>
          <w:szCs w:val="22"/>
          <w:lang w:val="en-GB"/>
        </w:rPr>
        <w:t xml:space="preserve">combination </w:t>
      </w:r>
      <w:r w:rsidRPr="00056CD9">
        <w:rPr>
          <w:rFonts w:ascii="Arial" w:hAnsi="Arial" w:cs="Arial"/>
          <w:bCs/>
          <w:snapToGrid w:val="0"/>
          <w:sz w:val="22"/>
          <w:szCs w:val="22"/>
          <w:lang w:val="en-GB"/>
        </w:rPr>
        <w:t>therapy of PAH agents</w:t>
      </w:r>
      <w:r w:rsidR="00056CD9">
        <w:rPr>
          <w:rFonts w:ascii="Arial" w:hAnsi="Arial" w:cs="Arial"/>
          <w:bCs/>
          <w:snapToGrid w:val="0"/>
          <w:sz w:val="22"/>
          <w:szCs w:val="22"/>
          <w:lang w:val="en-GB"/>
        </w:rPr>
        <w:t>, as is claimed to occur in practice (currently only one PBS-subsidised PAH agent may be used at a time)</w:t>
      </w:r>
      <w:r w:rsidR="00CA34F0">
        <w:rPr>
          <w:rFonts w:ascii="Arial" w:hAnsi="Arial" w:cs="Arial"/>
          <w:bCs/>
          <w:snapToGrid w:val="0"/>
          <w:sz w:val="22"/>
          <w:szCs w:val="22"/>
          <w:lang w:val="en-GB"/>
        </w:rPr>
        <w:t xml:space="preserve">; and </w:t>
      </w:r>
    </w:p>
    <w:p w:rsidR="00A7307B" w:rsidRDefault="00A7307B" w:rsidP="00C47B59">
      <w:pPr>
        <w:pStyle w:val="ListParagraph"/>
        <w:numPr>
          <w:ilvl w:val="0"/>
          <w:numId w:val="5"/>
        </w:numPr>
        <w:ind w:left="1134" w:hanging="425"/>
        <w:jc w:val="both"/>
        <w:rPr>
          <w:rFonts w:ascii="Arial" w:hAnsi="Arial" w:cs="Arial"/>
          <w:bCs/>
          <w:snapToGrid w:val="0"/>
          <w:sz w:val="22"/>
          <w:szCs w:val="22"/>
          <w:lang w:val="en-GB"/>
        </w:rPr>
      </w:pPr>
      <w:r w:rsidRPr="00056CD9">
        <w:rPr>
          <w:rFonts w:ascii="Arial" w:hAnsi="Arial" w:cs="Arial"/>
          <w:bCs/>
          <w:snapToGrid w:val="0"/>
          <w:sz w:val="22"/>
          <w:szCs w:val="22"/>
          <w:lang w:val="en-GB"/>
        </w:rPr>
        <w:lastRenderedPageBreak/>
        <w:t xml:space="preserve">lack of evidence to support cost-effectiveness </w:t>
      </w:r>
      <w:r w:rsidR="0054038B">
        <w:rPr>
          <w:rFonts w:ascii="Arial" w:hAnsi="Arial" w:cs="Arial"/>
          <w:bCs/>
          <w:snapToGrid w:val="0"/>
          <w:sz w:val="22"/>
          <w:szCs w:val="22"/>
          <w:lang w:val="en-GB"/>
        </w:rPr>
        <w:t>for</w:t>
      </w:r>
      <w:r w:rsidRPr="00056CD9">
        <w:rPr>
          <w:rFonts w:ascii="Arial" w:hAnsi="Arial" w:cs="Arial"/>
          <w:bCs/>
          <w:snapToGrid w:val="0"/>
          <w:sz w:val="22"/>
          <w:szCs w:val="22"/>
          <w:lang w:val="en-GB"/>
        </w:rPr>
        <w:t xml:space="preserve"> </w:t>
      </w:r>
      <w:r>
        <w:rPr>
          <w:rFonts w:ascii="Arial" w:hAnsi="Arial" w:cs="Arial"/>
          <w:bCs/>
          <w:snapToGrid w:val="0"/>
          <w:sz w:val="22"/>
          <w:szCs w:val="22"/>
          <w:lang w:val="en-GB"/>
        </w:rPr>
        <w:t xml:space="preserve">use in </w:t>
      </w:r>
      <w:r w:rsidR="00D25221">
        <w:rPr>
          <w:rFonts w:ascii="Arial" w:hAnsi="Arial" w:cs="Arial"/>
          <w:bCs/>
          <w:snapToGrid w:val="0"/>
          <w:sz w:val="22"/>
          <w:szCs w:val="22"/>
          <w:lang w:val="en-GB"/>
        </w:rPr>
        <w:t>New York Heart Association</w:t>
      </w:r>
      <w:r>
        <w:rPr>
          <w:rFonts w:ascii="Arial" w:hAnsi="Arial" w:cs="Arial"/>
          <w:bCs/>
          <w:snapToGrid w:val="0"/>
          <w:sz w:val="22"/>
          <w:szCs w:val="22"/>
          <w:lang w:val="en-GB"/>
        </w:rPr>
        <w:t xml:space="preserve"> functional </w:t>
      </w:r>
      <w:r w:rsidR="00D25221">
        <w:rPr>
          <w:rFonts w:ascii="Arial" w:hAnsi="Arial" w:cs="Arial"/>
          <w:bCs/>
          <w:snapToGrid w:val="0"/>
          <w:sz w:val="22"/>
          <w:szCs w:val="22"/>
          <w:lang w:val="en-GB"/>
        </w:rPr>
        <w:t>c</w:t>
      </w:r>
      <w:r>
        <w:rPr>
          <w:rFonts w:ascii="Arial" w:hAnsi="Arial" w:cs="Arial"/>
          <w:bCs/>
          <w:snapToGrid w:val="0"/>
          <w:sz w:val="22"/>
          <w:szCs w:val="22"/>
          <w:lang w:val="en-GB"/>
        </w:rPr>
        <w:t>lass II patients; and</w:t>
      </w:r>
    </w:p>
    <w:p w:rsidR="00056CD9" w:rsidRDefault="00D119DD" w:rsidP="00C47B59">
      <w:pPr>
        <w:pStyle w:val="ListParagraph"/>
        <w:numPr>
          <w:ilvl w:val="0"/>
          <w:numId w:val="5"/>
        </w:numPr>
        <w:ind w:left="1134" w:hanging="425"/>
        <w:jc w:val="both"/>
        <w:rPr>
          <w:rFonts w:ascii="Arial" w:hAnsi="Arial" w:cs="Arial"/>
          <w:bCs/>
          <w:snapToGrid w:val="0"/>
          <w:sz w:val="22"/>
          <w:szCs w:val="22"/>
          <w:lang w:val="en-GB"/>
        </w:rPr>
      </w:pPr>
      <w:proofErr w:type="gramStart"/>
      <w:r w:rsidRPr="00056CD9">
        <w:rPr>
          <w:rFonts w:ascii="Arial" w:hAnsi="Arial" w:cs="Arial"/>
          <w:bCs/>
          <w:snapToGrid w:val="0"/>
          <w:sz w:val="22"/>
          <w:szCs w:val="22"/>
          <w:lang w:val="en-GB"/>
        </w:rPr>
        <w:t>difficult</w:t>
      </w:r>
      <w:r w:rsidR="005D2C4D" w:rsidRPr="00056CD9">
        <w:rPr>
          <w:rFonts w:ascii="Arial" w:hAnsi="Arial" w:cs="Arial"/>
          <w:bCs/>
          <w:snapToGrid w:val="0"/>
          <w:sz w:val="22"/>
          <w:szCs w:val="22"/>
          <w:lang w:val="en-GB"/>
        </w:rPr>
        <w:t>y</w:t>
      </w:r>
      <w:proofErr w:type="gramEnd"/>
      <w:r w:rsidR="005D2C4D" w:rsidRPr="00056CD9">
        <w:rPr>
          <w:rFonts w:ascii="Arial" w:hAnsi="Arial" w:cs="Arial"/>
          <w:bCs/>
          <w:snapToGrid w:val="0"/>
          <w:sz w:val="22"/>
          <w:szCs w:val="22"/>
          <w:lang w:val="en-GB"/>
        </w:rPr>
        <w:t xml:space="preserve"> in</w:t>
      </w:r>
      <w:r w:rsidRPr="00056CD9">
        <w:rPr>
          <w:rFonts w:ascii="Arial" w:hAnsi="Arial" w:cs="Arial"/>
          <w:bCs/>
          <w:snapToGrid w:val="0"/>
          <w:sz w:val="22"/>
          <w:szCs w:val="22"/>
          <w:lang w:val="en-GB"/>
        </w:rPr>
        <w:t xml:space="preserve"> identify</w:t>
      </w:r>
      <w:r w:rsidR="005D2C4D" w:rsidRPr="00056CD9">
        <w:rPr>
          <w:rFonts w:ascii="Arial" w:hAnsi="Arial" w:cs="Arial"/>
          <w:bCs/>
          <w:snapToGrid w:val="0"/>
          <w:sz w:val="22"/>
          <w:szCs w:val="22"/>
          <w:lang w:val="en-GB"/>
        </w:rPr>
        <w:t>ing</w:t>
      </w:r>
      <w:r w:rsidRPr="00056CD9">
        <w:rPr>
          <w:rFonts w:ascii="Arial" w:hAnsi="Arial" w:cs="Arial"/>
          <w:bCs/>
          <w:snapToGrid w:val="0"/>
          <w:sz w:val="22"/>
          <w:szCs w:val="22"/>
          <w:lang w:val="en-GB"/>
        </w:rPr>
        <w:t xml:space="preserve"> the population of patients who derive the most benefit from these agents</w:t>
      </w:r>
      <w:r w:rsidR="00CA34F0">
        <w:rPr>
          <w:rFonts w:ascii="Arial" w:hAnsi="Arial" w:cs="Arial"/>
          <w:bCs/>
          <w:snapToGrid w:val="0"/>
          <w:sz w:val="22"/>
          <w:szCs w:val="22"/>
          <w:lang w:val="en-GB"/>
        </w:rPr>
        <w:t>.</w:t>
      </w:r>
    </w:p>
    <w:p w:rsidR="00D119DD" w:rsidRPr="00056CD9" w:rsidRDefault="005E21CA" w:rsidP="00C47B59">
      <w:pPr>
        <w:ind w:left="709"/>
        <w:jc w:val="both"/>
        <w:rPr>
          <w:rFonts w:ascii="Arial" w:hAnsi="Arial" w:cs="Arial"/>
          <w:bCs/>
          <w:snapToGrid w:val="0"/>
          <w:sz w:val="22"/>
          <w:szCs w:val="22"/>
          <w:lang w:val="en-GB"/>
        </w:rPr>
      </w:pPr>
      <w:r>
        <w:rPr>
          <w:rFonts w:ascii="Arial" w:hAnsi="Arial" w:cs="Arial"/>
          <w:bCs/>
          <w:snapToGrid w:val="0"/>
          <w:sz w:val="22"/>
          <w:szCs w:val="22"/>
          <w:lang w:val="en-GB"/>
        </w:rPr>
        <w:t>In this regard, t</w:t>
      </w:r>
      <w:r w:rsidR="00056CD9">
        <w:rPr>
          <w:rFonts w:ascii="Arial" w:hAnsi="Arial" w:cs="Arial"/>
          <w:bCs/>
          <w:snapToGrid w:val="0"/>
          <w:sz w:val="22"/>
          <w:szCs w:val="22"/>
          <w:lang w:val="en-GB"/>
        </w:rPr>
        <w:t xml:space="preserve">he PBAC </w:t>
      </w:r>
      <w:r w:rsidR="00595E7A">
        <w:rPr>
          <w:rFonts w:ascii="Arial" w:hAnsi="Arial" w:cs="Arial"/>
          <w:bCs/>
          <w:snapToGrid w:val="0"/>
          <w:sz w:val="22"/>
          <w:szCs w:val="22"/>
          <w:lang w:val="en-GB"/>
        </w:rPr>
        <w:t>recommended</w:t>
      </w:r>
      <w:r w:rsidR="00595E7A" w:rsidRPr="00056CD9">
        <w:rPr>
          <w:rFonts w:ascii="Arial" w:hAnsi="Arial" w:cs="Arial"/>
          <w:bCs/>
          <w:snapToGrid w:val="0"/>
          <w:sz w:val="22"/>
          <w:szCs w:val="22"/>
          <w:lang w:val="en-GB"/>
        </w:rPr>
        <w:t xml:space="preserve"> </w:t>
      </w:r>
      <w:r w:rsidR="00D119DD" w:rsidRPr="00056CD9">
        <w:rPr>
          <w:rFonts w:ascii="Arial" w:hAnsi="Arial" w:cs="Arial"/>
          <w:bCs/>
          <w:snapToGrid w:val="0"/>
          <w:sz w:val="22"/>
          <w:szCs w:val="22"/>
          <w:lang w:val="en-GB"/>
        </w:rPr>
        <w:t xml:space="preserve">that a Post-Market Review </w:t>
      </w:r>
      <w:r w:rsidR="003B07A9" w:rsidRPr="003B07A9">
        <w:rPr>
          <w:rFonts w:ascii="Arial" w:hAnsi="Arial" w:cs="Arial"/>
          <w:bCs/>
          <w:snapToGrid w:val="0"/>
          <w:sz w:val="22"/>
          <w:szCs w:val="22"/>
          <w:lang w:val="en-GB"/>
        </w:rPr>
        <w:t>of the efficacy and cost</w:t>
      </w:r>
      <w:r w:rsidR="00D25221">
        <w:rPr>
          <w:rFonts w:ascii="Arial" w:hAnsi="Arial" w:cs="Arial"/>
          <w:bCs/>
          <w:snapToGrid w:val="0"/>
          <w:sz w:val="22"/>
          <w:szCs w:val="22"/>
          <w:lang w:val="en-GB"/>
        </w:rPr>
        <w:noBreakHyphen/>
      </w:r>
      <w:r w:rsidR="003B07A9" w:rsidRPr="003B07A9">
        <w:rPr>
          <w:rFonts w:ascii="Arial" w:hAnsi="Arial" w:cs="Arial"/>
          <w:bCs/>
          <w:snapToGrid w:val="0"/>
          <w:sz w:val="22"/>
          <w:szCs w:val="22"/>
          <w:lang w:val="en-GB"/>
        </w:rPr>
        <w:t xml:space="preserve">effectiveness of </w:t>
      </w:r>
      <w:r w:rsidR="003B07A9">
        <w:rPr>
          <w:rFonts w:ascii="Arial" w:hAnsi="Arial" w:cs="Arial"/>
          <w:bCs/>
          <w:snapToGrid w:val="0"/>
          <w:sz w:val="22"/>
          <w:szCs w:val="22"/>
          <w:lang w:val="en-GB"/>
        </w:rPr>
        <w:t xml:space="preserve">agents for the treatment of PAH, including the existing listing for class III and class IV patients, and </w:t>
      </w:r>
      <w:r w:rsidR="00226AA0">
        <w:rPr>
          <w:rFonts w:ascii="Arial" w:hAnsi="Arial" w:cs="Arial"/>
          <w:bCs/>
          <w:snapToGrid w:val="0"/>
          <w:sz w:val="22"/>
          <w:szCs w:val="22"/>
          <w:lang w:val="en-GB"/>
        </w:rPr>
        <w:t xml:space="preserve">the </w:t>
      </w:r>
      <w:r w:rsidR="0054038B">
        <w:rPr>
          <w:rFonts w:ascii="Arial" w:hAnsi="Arial" w:cs="Arial"/>
          <w:bCs/>
          <w:snapToGrid w:val="0"/>
          <w:sz w:val="22"/>
          <w:szCs w:val="22"/>
          <w:lang w:val="en-GB"/>
        </w:rPr>
        <w:t xml:space="preserve">additional </w:t>
      </w:r>
      <w:r w:rsidR="00D119DD" w:rsidRPr="00056CD9">
        <w:rPr>
          <w:rFonts w:ascii="Arial" w:hAnsi="Arial" w:cs="Arial"/>
          <w:bCs/>
          <w:snapToGrid w:val="0"/>
          <w:sz w:val="22"/>
          <w:szCs w:val="22"/>
          <w:lang w:val="en-GB"/>
        </w:rPr>
        <w:t>clinical place of these therapies</w:t>
      </w:r>
      <w:r w:rsidR="00226AA0">
        <w:rPr>
          <w:rFonts w:ascii="Arial" w:hAnsi="Arial" w:cs="Arial"/>
          <w:bCs/>
          <w:snapToGrid w:val="0"/>
          <w:sz w:val="22"/>
          <w:szCs w:val="22"/>
          <w:lang w:val="en-GB"/>
        </w:rPr>
        <w:t xml:space="preserve"> recommended in international guidelines</w:t>
      </w:r>
      <w:r w:rsidR="00D119DD" w:rsidRPr="00056CD9">
        <w:rPr>
          <w:rFonts w:ascii="Arial" w:hAnsi="Arial" w:cs="Arial"/>
          <w:bCs/>
          <w:snapToGrid w:val="0"/>
          <w:sz w:val="22"/>
          <w:szCs w:val="22"/>
          <w:lang w:val="en-GB"/>
        </w:rPr>
        <w:t>.</w:t>
      </w:r>
    </w:p>
    <w:p w:rsidR="000D2745" w:rsidRPr="00056CD9" w:rsidRDefault="00D119DD" w:rsidP="00C47B59">
      <w:pPr>
        <w:contextualSpacing/>
        <w:jc w:val="both"/>
        <w:rPr>
          <w:rFonts w:ascii="Arial" w:hAnsi="Arial" w:cs="Arial"/>
          <w:bCs/>
          <w:snapToGrid w:val="0"/>
          <w:sz w:val="22"/>
          <w:szCs w:val="22"/>
          <w:lang w:val="en-GB"/>
        </w:rPr>
      </w:pPr>
      <w:r w:rsidRPr="003C3927">
        <w:rPr>
          <w:rFonts w:ascii="Arial" w:hAnsi="Arial" w:cs="Arial"/>
          <w:bCs/>
          <w:snapToGrid w:val="0"/>
          <w:sz w:val="22"/>
          <w:szCs w:val="22"/>
          <w:highlight w:val="yellow"/>
          <w:lang w:val="en-GB"/>
        </w:rPr>
        <w:t xml:space="preserve"> </w:t>
      </w:r>
    </w:p>
    <w:p w:rsidR="000D2745" w:rsidRPr="00056CD9" w:rsidRDefault="00056CD9" w:rsidP="00C47B59">
      <w:pPr>
        <w:numPr>
          <w:ilvl w:val="1"/>
          <w:numId w:val="2"/>
        </w:numPr>
        <w:contextualSpacing/>
        <w:jc w:val="both"/>
        <w:rPr>
          <w:rFonts w:ascii="Arial" w:hAnsi="Arial" w:cs="Arial"/>
          <w:bCs/>
          <w:snapToGrid w:val="0"/>
          <w:sz w:val="22"/>
          <w:szCs w:val="22"/>
          <w:lang w:val="en-GB"/>
        </w:rPr>
      </w:pPr>
      <w:r w:rsidRPr="00056CD9">
        <w:rPr>
          <w:rFonts w:ascii="Arial" w:hAnsi="Arial" w:cs="Arial"/>
          <w:bCs/>
          <w:snapToGrid w:val="0"/>
          <w:sz w:val="22"/>
          <w:szCs w:val="22"/>
          <w:lang w:val="en-GB"/>
        </w:rPr>
        <w:t xml:space="preserve">The </w:t>
      </w:r>
      <w:r>
        <w:rPr>
          <w:rFonts w:ascii="Arial" w:hAnsi="Arial" w:cs="Arial"/>
          <w:bCs/>
          <w:snapToGrid w:val="0"/>
          <w:sz w:val="22"/>
          <w:szCs w:val="22"/>
          <w:lang w:val="en-GB"/>
        </w:rPr>
        <w:t>submission estimated that the restriction amendment would have negli</w:t>
      </w:r>
      <w:r w:rsidR="00106723">
        <w:rPr>
          <w:rFonts w:ascii="Arial" w:hAnsi="Arial" w:cs="Arial"/>
          <w:bCs/>
          <w:snapToGrid w:val="0"/>
          <w:sz w:val="22"/>
          <w:szCs w:val="22"/>
          <w:lang w:val="en-GB"/>
        </w:rPr>
        <w:t>gi</w:t>
      </w:r>
      <w:r>
        <w:rPr>
          <w:rFonts w:ascii="Arial" w:hAnsi="Arial" w:cs="Arial"/>
          <w:bCs/>
          <w:snapToGrid w:val="0"/>
          <w:sz w:val="22"/>
          <w:szCs w:val="22"/>
          <w:lang w:val="en-GB"/>
        </w:rPr>
        <w:t xml:space="preserve">ble financial impact on the PBS. The </w:t>
      </w:r>
      <w:r w:rsidRPr="00056CD9">
        <w:rPr>
          <w:rFonts w:ascii="Arial" w:hAnsi="Arial" w:cs="Arial"/>
          <w:bCs/>
          <w:snapToGrid w:val="0"/>
          <w:sz w:val="22"/>
          <w:szCs w:val="22"/>
          <w:lang w:val="en-GB"/>
        </w:rPr>
        <w:t xml:space="preserve">PBAC considered </w:t>
      </w:r>
      <w:r w:rsidR="00106723">
        <w:rPr>
          <w:rFonts w:ascii="Arial" w:hAnsi="Arial" w:cs="Arial"/>
          <w:bCs/>
          <w:snapToGrid w:val="0"/>
          <w:sz w:val="22"/>
          <w:szCs w:val="22"/>
          <w:lang w:val="en-GB"/>
        </w:rPr>
        <w:t>this claim to be reasonable</w:t>
      </w:r>
      <w:r w:rsidRPr="00056CD9">
        <w:rPr>
          <w:rFonts w:ascii="Arial" w:hAnsi="Arial" w:cs="Arial"/>
          <w:bCs/>
          <w:snapToGrid w:val="0"/>
          <w:sz w:val="22"/>
          <w:szCs w:val="22"/>
          <w:lang w:val="en-GB"/>
        </w:rPr>
        <w:t>.</w:t>
      </w:r>
    </w:p>
    <w:p w:rsidR="000D2745" w:rsidRPr="003C3927" w:rsidRDefault="000D2745" w:rsidP="00C47B59">
      <w:pPr>
        <w:ind w:left="720"/>
        <w:contextualSpacing/>
        <w:jc w:val="both"/>
        <w:rPr>
          <w:rFonts w:ascii="Arial" w:hAnsi="Arial" w:cs="Arial"/>
          <w:bCs/>
          <w:snapToGrid w:val="0"/>
          <w:sz w:val="22"/>
          <w:szCs w:val="22"/>
          <w:highlight w:val="yellow"/>
          <w:lang w:val="en-GB"/>
        </w:rPr>
      </w:pPr>
    </w:p>
    <w:p w:rsidR="000D2745" w:rsidRPr="00950F49" w:rsidRDefault="000D2745" w:rsidP="00C47B59">
      <w:pPr>
        <w:numPr>
          <w:ilvl w:val="1"/>
          <w:numId w:val="2"/>
        </w:numPr>
        <w:contextualSpacing/>
        <w:jc w:val="both"/>
        <w:rPr>
          <w:rFonts w:ascii="Arial" w:hAnsi="Arial" w:cs="Arial"/>
          <w:bCs/>
          <w:snapToGrid w:val="0"/>
          <w:sz w:val="22"/>
          <w:szCs w:val="22"/>
          <w:lang w:val="en-GB"/>
        </w:rPr>
      </w:pPr>
      <w:r w:rsidRPr="00950F49">
        <w:rPr>
          <w:rFonts w:ascii="Arial" w:hAnsi="Arial" w:cs="Arial"/>
          <w:bCs/>
          <w:snapToGrid w:val="0"/>
          <w:sz w:val="22"/>
          <w:szCs w:val="22"/>
          <w:lang w:val="en-GB"/>
        </w:rPr>
        <w:t xml:space="preserve">The PBAC recommended that the Safety Net 20 Day Rule should apply. </w:t>
      </w:r>
    </w:p>
    <w:p w:rsidR="000D2745" w:rsidRPr="003C3927" w:rsidRDefault="000D2745" w:rsidP="00C47B59">
      <w:pPr>
        <w:pStyle w:val="ListParagraph"/>
        <w:rPr>
          <w:rFonts w:ascii="Arial" w:hAnsi="Arial" w:cs="Arial"/>
          <w:bCs/>
          <w:snapToGrid w:val="0"/>
          <w:sz w:val="22"/>
          <w:szCs w:val="22"/>
          <w:highlight w:val="yellow"/>
          <w:lang w:val="en-GB"/>
        </w:rPr>
      </w:pPr>
    </w:p>
    <w:p w:rsidR="000D2745" w:rsidRPr="003A0195" w:rsidRDefault="000D2745" w:rsidP="00C47B59">
      <w:pPr>
        <w:numPr>
          <w:ilvl w:val="1"/>
          <w:numId w:val="2"/>
        </w:numPr>
        <w:contextualSpacing/>
        <w:jc w:val="both"/>
        <w:rPr>
          <w:rFonts w:ascii="Arial" w:hAnsi="Arial" w:cs="Arial"/>
          <w:bCs/>
          <w:snapToGrid w:val="0"/>
          <w:sz w:val="22"/>
          <w:szCs w:val="22"/>
          <w:lang w:val="en-GB"/>
        </w:rPr>
      </w:pPr>
      <w:r w:rsidRPr="00110690">
        <w:rPr>
          <w:rFonts w:ascii="Arial" w:hAnsi="Arial" w:cs="Arial"/>
          <w:bCs/>
          <w:snapToGrid w:val="0"/>
          <w:sz w:val="22"/>
          <w:szCs w:val="22"/>
          <w:lang w:val="en-GB"/>
        </w:rPr>
        <w:t xml:space="preserve">The PBAC noted </w:t>
      </w:r>
      <w:r w:rsidR="00110690" w:rsidRPr="00110690">
        <w:rPr>
          <w:rFonts w:ascii="Arial" w:hAnsi="Arial" w:cs="Arial"/>
          <w:bCs/>
          <w:snapToGrid w:val="0"/>
          <w:sz w:val="22"/>
          <w:szCs w:val="22"/>
          <w:lang w:val="en-GB"/>
        </w:rPr>
        <w:t>that the recommended restriction changes should also</w:t>
      </w:r>
      <w:r w:rsidRPr="00110690">
        <w:rPr>
          <w:rFonts w:ascii="Arial" w:hAnsi="Arial" w:cs="Arial"/>
          <w:bCs/>
          <w:snapToGrid w:val="0"/>
          <w:sz w:val="22"/>
          <w:szCs w:val="22"/>
          <w:lang w:val="en-GB"/>
        </w:rPr>
        <w:t xml:space="preserve"> flow-on </w:t>
      </w:r>
      <w:r w:rsidR="00110690" w:rsidRPr="00110690">
        <w:rPr>
          <w:rFonts w:ascii="Arial" w:hAnsi="Arial" w:cs="Arial"/>
          <w:bCs/>
          <w:snapToGrid w:val="0"/>
          <w:sz w:val="22"/>
          <w:szCs w:val="22"/>
          <w:lang w:val="en-GB"/>
        </w:rPr>
        <w:t xml:space="preserve">to </w:t>
      </w:r>
      <w:r w:rsidR="00110690" w:rsidRPr="003A0195">
        <w:rPr>
          <w:rFonts w:ascii="Arial" w:hAnsi="Arial" w:cs="Arial"/>
          <w:bCs/>
          <w:snapToGrid w:val="0"/>
          <w:sz w:val="22"/>
          <w:szCs w:val="22"/>
          <w:lang w:val="en-GB"/>
        </w:rPr>
        <w:t>the other PAH agents</w:t>
      </w:r>
      <w:r w:rsidR="005E21CA">
        <w:rPr>
          <w:rFonts w:ascii="Arial" w:hAnsi="Arial" w:cs="Arial"/>
          <w:bCs/>
          <w:snapToGrid w:val="0"/>
          <w:sz w:val="22"/>
          <w:szCs w:val="22"/>
          <w:lang w:val="en-GB"/>
        </w:rPr>
        <w:t>; specifically</w:t>
      </w:r>
      <w:r w:rsidR="00110690" w:rsidRPr="003A0195">
        <w:rPr>
          <w:rFonts w:ascii="Arial" w:hAnsi="Arial" w:cs="Arial"/>
          <w:bCs/>
          <w:snapToGrid w:val="0"/>
          <w:sz w:val="22"/>
          <w:szCs w:val="22"/>
          <w:lang w:val="en-GB"/>
        </w:rPr>
        <w:t xml:space="preserve"> </w:t>
      </w:r>
      <w:proofErr w:type="spellStart"/>
      <w:r w:rsidR="00F22053">
        <w:rPr>
          <w:rFonts w:ascii="Arial" w:hAnsi="Arial" w:cs="Arial"/>
          <w:bCs/>
          <w:snapToGrid w:val="0"/>
          <w:sz w:val="22"/>
          <w:szCs w:val="22"/>
          <w:lang w:val="en-GB"/>
        </w:rPr>
        <w:t>epoprostenol</w:t>
      </w:r>
      <w:proofErr w:type="spellEnd"/>
      <w:r w:rsidR="00F22053">
        <w:rPr>
          <w:rFonts w:ascii="Arial" w:hAnsi="Arial" w:cs="Arial"/>
          <w:bCs/>
          <w:snapToGrid w:val="0"/>
          <w:sz w:val="22"/>
          <w:szCs w:val="22"/>
          <w:lang w:val="en-GB"/>
        </w:rPr>
        <w:t xml:space="preserve"> (</w:t>
      </w:r>
      <w:proofErr w:type="spellStart"/>
      <w:r w:rsidR="00F22053">
        <w:rPr>
          <w:rFonts w:ascii="Arial" w:hAnsi="Arial" w:cs="Arial"/>
          <w:bCs/>
          <w:snapToGrid w:val="0"/>
          <w:sz w:val="22"/>
          <w:szCs w:val="22"/>
          <w:lang w:val="en-GB"/>
        </w:rPr>
        <w:t>Flolan</w:t>
      </w:r>
      <w:proofErr w:type="spellEnd"/>
      <w:r w:rsidR="00F22053">
        <w:rPr>
          <w:rFonts w:ascii="Arial" w:hAnsi="Arial" w:cs="Arial"/>
          <w:bCs/>
          <w:snapToGrid w:val="0"/>
          <w:sz w:val="22"/>
          <w:szCs w:val="22"/>
          <w:lang w:val="en-GB"/>
        </w:rPr>
        <w:t xml:space="preserve"> Kit), </w:t>
      </w:r>
      <w:proofErr w:type="spellStart"/>
      <w:r w:rsidR="00110690" w:rsidRPr="003A0195">
        <w:rPr>
          <w:rFonts w:ascii="Arial" w:hAnsi="Arial"/>
          <w:sz w:val="22"/>
          <w:szCs w:val="22"/>
        </w:rPr>
        <w:t>ambrisentan</w:t>
      </w:r>
      <w:proofErr w:type="spellEnd"/>
      <w:r w:rsidR="00110690" w:rsidRPr="003A0195">
        <w:rPr>
          <w:rFonts w:ascii="Arial" w:hAnsi="Arial"/>
          <w:sz w:val="22"/>
          <w:szCs w:val="22"/>
        </w:rPr>
        <w:t xml:space="preserve">, sildenafil, </w:t>
      </w:r>
      <w:proofErr w:type="spellStart"/>
      <w:r w:rsidR="00110690" w:rsidRPr="003A0195">
        <w:rPr>
          <w:rFonts w:ascii="Arial" w:hAnsi="Arial"/>
          <w:sz w:val="22"/>
          <w:szCs w:val="22"/>
        </w:rPr>
        <w:t>tadalafil</w:t>
      </w:r>
      <w:proofErr w:type="spellEnd"/>
      <w:r w:rsidR="00110690" w:rsidRPr="003A0195">
        <w:rPr>
          <w:rFonts w:ascii="Arial" w:hAnsi="Arial"/>
          <w:sz w:val="22"/>
          <w:szCs w:val="22"/>
        </w:rPr>
        <w:t xml:space="preserve"> and </w:t>
      </w:r>
      <w:proofErr w:type="spellStart"/>
      <w:r w:rsidR="00110690" w:rsidRPr="003A0195">
        <w:rPr>
          <w:rFonts w:ascii="Arial" w:hAnsi="Arial"/>
          <w:sz w:val="22"/>
          <w:szCs w:val="22"/>
        </w:rPr>
        <w:t>iloprost</w:t>
      </w:r>
      <w:proofErr w:type="spellEnd"/>
      <w:r w:rsidRPr="003A0195">
        <w:rPr>
          <w:rFonts w:ascii="Arial" w:hAnsi="Arial" w:cs="Arial"/>
          <w:bCs/>
          <w:snapToGrid w:val="0"/>
          <w:sz w:val="22"/>
          <w:szCs w:val="22"/>
          <w:lang w:val="en-GB"/>
        </w:rPr>
        <w:t xml:space="preserve">. </w:t>
      </w:r>
    </w:p>
    <w:p w:rsidR="000D2745" w:rsidRPr="003A0195" w:rsidRDefault="000D2745" w:rsidP="00C47B59">
      <w:pPr>
        <w:ind w:left="720"/>
        <w:contextualSpacing/>
        <w:jc w:val="both"/>
        <w:rPr>
          <w:rFonts w:ascii="Arial" w:hAnsi="Arial" w:cs="Arial"/>
          <w:bCs/>
          <w:snapToGrid w:val="0"/>
          <w:sz w:val="22"/>
          <w:szCs w:val="22"/>
          <w:lang w:val="en-GB"/>
        </w:rPr>
      </w:pPr>
    </w:p>
    <w:p w:rsidR="000D2745" w:rsidRPr="003A0195" w:rsidRDefault="000D2745" w:rsidP="00C47B59">
      <w:pPr>
        <w:numPr>
          <w:ilvl w:val="1"/>
          <w:numId w:val="2"/>
        </w:numPr>
        <w:contextualSpacing/>
        <w:jc w:val="both"/>
        <w:rPr>
          <w:rFonts w:ascii="Arial" w:hAnsi="Arial" w:cs="Arial"/>
          <w:bCs/>
          <w:i/>
          <w:snapToGrid w:val="0"/>
          <w:sz w:val="22"/>
          <w:szCs w:val="22"/>
          <w:lang w:val="en-GB"/>
        </w:rPr>
      </w:pPr>
      <w:r w:rsidRPr="003A0195">
        <w:rPr>
          <w:rFonts w:ascii="Arial" w:hAnsi="Arial" w:cs="Arial"/>
          <w:bCs/>
          <w:snapToGrid w:val="0"/>
          <w:sz w:val="22"/>
          <w:szCs w:val="22"/>
          <w:lang w:val="en-GB"/>
        </w:rPr>
        <w:t xml:space="preserve">The PBAC noted that this submission </w:t>
      </w:r>
      <w:r w:rsidR="00E115EB">
        <w:rPr>
          <w:rFonts w:ascii="Arial" w:hAnsi="Arial" w:cs="Arial"/>
          <w:bCs/>
          <w:snapToGrid w:val="0"/>
          <w:sz w:val="22"/>
          <w:szCs w:val="22"/>
          <w:lang w:val="en-GB"/>
        </w:rPr>
        <w:t>wa</w:t>
      </w:r>
      <w:r w:rsidRPr="003A0195">
        <w:rPr>
          <w:rFonts w:ascii="Arial" w:hAnsi="Arial" w:cs="Arial"/>
          <w:bCs/>
          <w:snapToGrid w:val="0"/>
          <w:sz w:val="22"/>
          <w:szCs w:val="22"/>
          <w:lang w:val="en-GB"/>
        </w:rPr>
        <w:t xml:space="preserve">s not eligible for an Independent Review. </w:t>
      </w:r>
      <w:r w:rsidR="007F5A25" w:rsidRPr="003A0195">
        <w:rPr>
          <w:rFonts w:ascii="Arial" w:hAnsi="Arial" w:cs="Arial"/>
          <w:bCs/>
          <w:snapToGrid w:val="0"/>
          <w:sz w:val="22"/>
          <w:szCs w:val="22"/>
          <w:lang w:val="en-GB"/>
        </w:rPr>
        <w:t>Independent Review is not available in response to a request to modify an existing listing.</w:t>
      </w:r>
    </w:p>
    <w:p w:rsidR="000D2745" w:rsidRPr="00EA0EDA" w:rsidRDefault="000D2745" w:rsidP="00C47B59">
      <w:pPr>
        <w:contextualSpacing/>
        <w:jc w:val="both"/>
        <w:rPr>
          <w:rFonts w:ascii="Arial" w:hAnsi="Arial" w:cs="Arial"/>
          <w:b/>
          <w:bCs/>
          <w:snapToGrid w:val="0"/>
          <w:sz w:val="22"/>
          <w:szCs w:val="22"/>
          <w:highlight w:val="yellow"/>
          <w:lang w:val="en-GB"/>
        </w:rPr>
      </w:pPr>
    </w:p>
    <w:p w:rsidR="000D2745" w:rsidRPr="00EB6BC1" w:rsidRDefault="000D2745" w:rsidP="00C47B59">
      <w:pPr>
        <w:jc w:val="both"/>
        <w:rPr>
          <w:rFonts w:ascii="Arial" w:hAnsi="Arial" w:cs="Arial"/>
          <w:b/>
          <w:bCs/>
          <w:snapToGrid w:val="0"/>
          <w:sz w:val="22"/>
          <w:szCs w:val="22"/>
          <w:lang w:val="en-GB"/>
        </w:rPr>
      </w:pPr>
      <w:r w:rsidRPr="00EB6BC1">
        <w:rPr>
          <w:rFonts w:ascii="Arial" w:hAnsi="Arial" w:cs="Arial"/>
          <w:b/>
          <w:bCs/>
          <w:snapToGrid w:val="0"/>
          <w:sz w:val="22"/>
          <w:szCs w:val="22"/>
          <w:lang w:val="en-GB"/>
        </w:rPr>
        <w:t>Outcome:</w:t>
      </w:r>
    </w:p>
    <w:p w:rsidR="000D2745" w:rsidRPr="00EB6BC1" w:rsidRDefault="000D2745" w:rsidP="00C47B59">
      <w:pPr>
        <w:jc w:val="both"/>
        <w:rPr>
          <w:rFonts w:ascii="Arial" w:hAnsi="Arial" w:cs="Arial"/>
          <w:bCs/>
          <w:snapToGrid w:val="0"/>
          <w:sz w:val="22"/>
          <w:szCs w:val="22"/>
          <w:lang w:val="en-GB"/>
        </w:rPr>
      </w:pPr>
      <w:r w:rsidRPr="00EB6BC1">
        <w:rPr>
          <w:rFonts w:ascii="Arial" w:hAnsi="Arial" w:cs="Arial"/>
          <w:bCs/>
          <w:snapToGrid w:val="0"/>
          <w:sz w:val="22"/>
          <w:szCs w:val="22"/>
          <w:lang w:val="en-GB"/>
        </w:rPr>
        <w:t>Recommended</w:t>
      </w:r>
    </w:p>
    <w:p w:rsidR="00B67E47" w:rsidRDefault="00B67E47" w:rsidP="00C47B59">
      <w:pPr>
        <w:jc w:val="both"/>
        <w:rPr>
          <w:rFonts w:ascii="Arial" w:hAnsi="Arial" w:cs="Arial"/>
          <w:bCs/>
          <w:snapToGrid w:val="0"/>
          <w:sz w:val="22"/>
          <w:szCs w:val="22"/>
          <w:highlight w:val="yellow"/>
        </w:rPr>
      </w:pPr>
    </w:p>
    <w:p w:rsidR="000964D7" w:rsidRPr="00EA0EDA" w:rsidRDefault="000964D7" w:rsidP="00C47B59">
      <w:pPr>
        <w:jc w:val="both"/>
        <w:rPr>
          <w:rFonts w:ascii="Arial" w:hAnsi="Arial" w:cs="Arial"/>
          <w:bCs/>
          <w:snapToGrid w:val="0"/>
          <w:sz w:val="22"/>
          <w:szCs w:val="22"/>
          <w:highlight w:val="yellow"/>
        </w:rPr>
      </w:pPr>
    </w:p>
    <w:p w:rsidR="000D2745" w:rsidRPr="00EB6BC1" w:rsidRDefault="000D2745" w:rsidP="00C47B59">
      <w:pPr>
        <w:numPr>
          <w:ilvl w:val="0"/>
          <w:numId w:val="2"/>
        </w:numPr>
        <w:jc w:val="both"/>
        <w:rPr>
          <w:rFonts w:ascii="Arial" w:hAnsi="Arial" w:cs="Arial"/>
          <w:b/>
          <w:bCs/>
          <w:i/>
          <w:snapToGrid w:val="0"/>
          <w:sz w:val="22"/>
          <w:szCs w:val="22"/>
          <w:lang w:val="en-GB"/>
        </w:rPr>
      </w:pPr>
      <w:r w:rsidRPr="00EB6BC1">
        <w:rPr>
          <w:rFonts w:ascii="Arial" w:hAnsi="Arial" w:cs="Arial"/>
          <w:b/>
          <w:bCs/>
          <w:snapToGrid w:val="0"/>
          <w:sz w:val="22"/>
          <w:szCs w:val="22"/>
          <w:lang w:val="en-GB"/>
        </w:rPr>
        <w:t>Recommended listing</w:t>
      </w:r>
    </w:p>
    <w:p w:rsidR="000D2745" w:rsidRPr="00EB6BC1" w:rsidRDefault="000D2745" w:rsidP="00C47B59">
      <w:pPr>
        <w:jc w:val="both"/>
        <w:rPr>
          <w:rFonts w:ascii="Arial" w:hAnsi="Arial" w:cs="Arial"/>
          <w:b/>
          <w:bCs/>
          <w:i/>
          <w:snapToGrid w:val="0"/>
          <w:sz w:val="22"/>
          <w:szCs w:val="22"/>
          <w:lang w:val="en-GB"/>
        </w:rPr>
      </w:pPr>
    </w:p>
    <w:p w:rsidR="000D2745" w:rsidRDefault="00B81329" w:rsidP="00C47B59">
      <w:pPr>
        <w:numPr>
          <w:ilvl w:val="1"/>
          <w:numId w:val="2"/>
        </w:numPr>
        <w:contextualSpacing/>
        <w:jc w:val="both"/>
        <w:rPr>
          <w:rFonts w:ascii="Arial" w:hAnsi="Arial" w:cs="Arial"/>
          <w:bCs/>
          <w:snapToGrid w:val="0"/>
          <w:sz w:val="22"/>
          <w:szCs w:val="22"/>
        </w:rPr>
      </w:pPr>
      <w:r>
        <w:rPr>
          <w:rFonts w:ascii="Arial" w:hAnsi="Arial" w:cs="Arial"/>
          <w:bCs/>
          <w:snapToGrid w:val="0"/>
          <w:sz w:val="22"/>
          <w:szCs w:val="22"/>
        </w:rPr>
        <w:t>Amend existing listing</w:t>
      </w:r>
      <w:r w:rsidR="000D2745" w:rsidRPr="00EB6BC1">
        <w:rPr>
          <w:rFonts w:ascii="Arial" w:hAnsi="Arial" w:cs="Arial"/>
          <w:bCs/>
          <w:snapToGrid w:val="0"/>
          <w:sz w:val="22"/>
          <w:szCs w:val="22"/>
        </w:rPr>
        <w:t>:</w:t>
      </w:r>
      <w:r>
        <w:rPr>
          <w:rFonts w:ascii="Arial" w:hAnsi="Arial" w:cs="Arial"/>
          <w:bCs/>
          <w:snapToGrid w:val="0"/>
          <w:sz w:val="22"/>
          <w:szCs w:val="22"/>
        </w:rPr>
        <w:t xml:space="preserve"> restrictions to be finalised</w:t>
      </w:r>
    </w:p>
    <w:p w:rsidR="000964D7" w:rsidRDefault="000964D7" w:rsidP="000964D7">
      <w:pPr>
        <w:contextualSpacing/>
        <w:jc w:val="both"/>
        <w:rPr>
          <w:rFonts w:ascii="Arial" w:hAnsi="Arial" w:cs="Arial"/>
          <w:bCs/>
          <w:snapToGrid w:val="0"/>
          <w:sz w:val="22"/>
          <w:szCs w:val="22"/>
        </w:rPr>
      </w:pPr>
    </w:p>
    <w:p w:rsidR="000964D7" w:rsidRDefault="000964D7" w:rsidP="000964D7">
      <w:pPr>
        <w:contextualSpacing/>
        <w:jc w:val="both"/>
        <w:rPr>
          <w:rFonts w:ascii="Arial" w:hAnsi="Arial" w:cs="Arial"/>
          <w:bCs/>
          <w:snapToGrid w:val="0"/>
          <w:sz w:val="22"/>
          <w:szCs w:val="22"/>
        </w:rPr>
      </w:pPr>
    </w:p>
    <w:p w:rsidR="000964D7" w:rsidRPr="00D4207D" w:rsidRDefault="000964D7" w:rsidP="000964D7">
      <w:pPr>
        <w:pStyle w:val="PBACHeading1"/>
        <w:numPr>
          <w:ilvl w:val="0"/>
          <w:numId w:val="2"/>
        </w:numPr>
        <w:contextualSpacing/>
        <w:jc w:val="both"/>
      </w:pPr>
      <w:r w:rsidRPr="00D4207D">
        <w:t>Context for Decision</w:t>
      </w:r>
    </w:p>
    <w:p w:rsidR="000964D7" w:rsidRPr="00D4420F" w:rsidRDefault="000964D7" w:rsidP="000964D7">
      <w:pPr>
        <w:pStyle w:val="ListParagraph"/>
        <w:rPr>
          <w:b/>
        </w:rPr>
      </w:pPr>
    </w:p>
    <w:p w:rsidR="000964D7" w:rsidRPr="00D4207D" w:rsidRDefault="000964D7" w:rsidP="00EE5914">
      <w:pPr>
        <w:numPr>
          <w:ilvl w:val="1"/>
          <w:numId w:val="2"/>
        </w:numPr>
        <w:contextualSpacing/>
        <w:jc w:val="both"/>
        <w:rPr>
          <w:rFonts w:ascii="Arial" w:hAnsi="Arial" w:cs="Arial"/>
          <w:bCs/>
          <w:snapToGrid w:val="0"/>
          <w:sz w:val="22"/>
          <w:szCs w:val="22"/>
        </w:rPr>
      </w:pPr>
      <w:r w:rsidRPr="00D4207D">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964D7" w:rsidRDefault="000964D7" w:rsidP="000964D7"/>
    <w:p w:rsidR="000964D7" w:rsidRPr="00D4420F" w:rsidRDefault="000964D7" w:rsidP="000964D7"/>
    <w:p w:rsidR="000964D7" w:rsidRDefault="000964D7" w:rsidP="000964D7">
      <w:pPr>
        <w:pStyle w:val="PBACHeading1"/>
        <w:numPr>
          <w:ilvl w:val="0"/>
          <w:numId w:val="2"/>
        </w:numPr>
        <w:contextualSpacing/>
        <w:jc w:val="both"/>
      </w:pPr>
      <w:r w:rsidRPr="00D4207D">
        <w:t>Sponsor’s Comment</w:t>
      </w:r>
    </w:p>
    <w:p w:rsidR="00A554EC" w:rsidRDefault="00A554EC" w:rsidP="00A554EC">
      <w:pPr>
        <w:pStyle w:val="PBACHeading1"/>
        <w:ind w:firstLine="0"/>
        <w:contextualSpacing/>
        <w:jc w:val="both"/>
      </w:pPr>
    </w:p>
    <w:p w:rsidR="000964D7" w:rsidRPr="002F6983" w:rsidRDefault="00A554EC" w:rsidP="007F15F9">
      <w:pPr>
        <w:ind w:left="720"/>
        <w:rPr>
          <w:rFonts w:ascii="Arial" w:hAnsi="Arial" w:cs="Arial"/>
          <w:sz w:val="22"/>
          <w:szCs w:val="22"/>
        </w:rPr>
      </w:pPr>
      <w:proofErr w:type="spellStart"/>
      <w:r w:rsidRPr="002F6983">
        <w:rPr>
          <w:rFonts w:ascii="Arial" w:hAnsi="Arial" w:cs="Arial"/>
          <w:sz w:val="22"/>
          <w:szCs w:val="22"/>
        </w:rPr>
        <w:t>Actelion</w:t>
      </w:r>
      <w:proofErr w:type="spellEnd"/>
      <w:r w:rsidRPr="002F6983">
        <w:rPr>
          <w:rFonts w:ascii="Arial" w:hAnsi="Arial" w:cs="Arial"/>
          <w:sz w:val="22"/>
          <w:szCs w:val="22"/>
        </w:rPr>
        <w:t xml:space="preserve"> welcomes the positive decision by the PBAC which will simplify the continuation of PAH treatment for patients.</w:t>
      </w:r>
      <w:bookmarkStart w:id="0" w:name="_GoBack"/>
      <w:bookmarkEnd w:id="0"/>
    </w:p>
    <w:sectPr w:rsidR="000964D7" w:rsidRPr="002F6983"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A9" w:rsidRDefault="00A40EA9">
      <w:r>
        <w:separator/>
      </w:r>
    </w:p>
    <w:p w:rsidR="00A40EA9" w:rsidRDefault="00A40EA9"/>
  </w:endnote>
  <w:endnote w:type="continuationSeparator" w:id="0">
    <w:p w:rsidR="00A40EA9" w:rsidRDefault="00A40EA9">
      <w:r>
        <w:continuationSeparator/>
      </w:r>
    </w:p>
    <w:p w:rsidR="00A40EA9" w:rsidRDefault="00A40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40EA9" w:rsidTr="005A3173">
      <w:trPr>
        <w:trHeight w:val="151"/>
      </w:trPr>
      <w:tc>
        <w:tcPr>
          <w:tcW w:w="2250" w:type="pct"/>
          <w:tcBorders>
            <w:top w:val="nil"/>
            <w:left w:val="nil"/>
            <w:bottom w:val="single" w:sz="4" w:space="0" w:color="4F81BD"/>
            <w:right w:val="nil"/>
          </w:tcBorders>
        </w:tcPr>
        <w:p w:rsidR="00A40EA9" w:rsidRPr="005A3173" w:rsidRDefault="00A40EA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0EA9" w:rsidRPr="005A3173" w:rsidRDefault="00A40EA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0EA9" w:rsidRPr="005A3173" w:rsidRDefault="00A40EA9" w:rsidP="005A3173">
          <w:pPr>
            <w:pStyle w:val="Header"/>
            <w:spacing w:line="276" w:lineRule="auto"/>
            <w:rPr>
              <w:rFonts w:ascii="Calibri" w:eastAsia="MS Gothic" w:hAnsi="Calibri"/>
              <w:b/>
              <w:bCs/>
              <w:color w:val="4F81BD"/>
            </w:rPr>
          </w:pPr>
        </w:p>
      </w:tc>
    </w:tr>
    <w:tr w:rsidR="00A40EA9" w:rsidTr="005A3173">
      <w:trPr>
        <w:trHeight w:val="150"/>
      </w:trPr>
      <w:tc>
        <w:tcPr>
          <w:tcW w:w="2250" w:type="pct"/>
          <w:tcBorders>
            <w:top w:val="single" w:sz="4" w:space="0" w:color="4F81BD"/>
            <w:left w:val="nil"/>
            <w:bottom w:val="nil"/>
            <w:right w:val="nil"/>
          </w:tcBorders>
        </w:tcPr>
        <w:p w:rsidR="00A40EA9" w:rsidRPr="005A3173" w:rsidRDefault="00A40EA9" w:rsidP="005A3173">
          <w:pPr>
            <w:pStyle w:val="Header"/>
            <w:spacing w:line="276" w:lineRule="auto"/>
            <w:rPr>
              <w:rFonts w:ascii="Calibri" w:eastAsia="MS Gothic" w:hAnsi="Calibri"/>
              <w:b/>
              <w:bCs/>
              <w:color w:val="4F81BD"/>
            </w:rPr>
          </w:pPr>
        </w:p>
      </w:tc>
      <w:tc>
        <w:tcPr>
          <w:tcW w:w="0" w:type="auto"/>
          <w:vMerge/>
          <w:vAlign w:val="center"/>
          <w:hideMark/>
        </w:tcPr>
        <w:p w:rsidR="00A40EA9" w:rsidRPr="005A3173" w:rsidRDefault="00A40EA9"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0EA9" w:rsidRPr="005A3173" w:rsidRDefault="00A40EA9" w:rsidP="005A3173">
          <w:pPr>
            <w:pStyle w:val="Header"/>
            <w:spacing w:line="276" w:lineRule="auto"/>
            <w:rPr>
              <w:rFonts w:ascii="Calibri" w:eastAsia="MS Gothic" w:hAnsi="Calibri"/>
              <w:b/>
              <w:bCs/>
              <w:color w:val="4F81BD"/>
            </w:rPr>
          </w:pPr>
        </w:p>
      </w:tc>
    </w:tr>
  </w:tbl>
  <w:p w:rsidR="00A40EA9" w:rsidRDefault="00A40EA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0EA9" w:rsidRDefault="00A40EA9">
    <w:pPr>
      <w:pStyle w:val="Footer"/>
    </w:pPr>
  </w:p>
  <w:p w:rsidR="00A40EA9" w:rsidRDefault="00A40E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A9" w:rsidRDefault="00A40EA9" w:rsidP="00EF44A0">
    <w:pPr>
      <w:pStyle w:val="Footer"/>
      <w:jc w:val="center"/>
      <w:rPr>
        <w:rFonts w:ascii="Arial" w:hAnsi="Arial" w:cs="Arial"/>
        <w:b/>
        <w:sz w:val="20"/>
        <w:szCs w:val="20"/>
      </w:rPr>
    </w:pPr>
  </w:p>
  <w:p w:rsidR="00A40EA9" w:rsidRDefault="00A40EA9" w:rsidP="00485554">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2124E9">
      <w:rPr>
        <w:rFonts w:ascii="Arial" w:hAnsi="Arial" w:cs="Arial"/>
        <w:noProof/>
        <w:sz w:val="20"/>
        <w:szCs w:val="20"/>
      </w:rPr>
      <w:t>6</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40EA9" w:rsidTr="005A3173">
      <w:trPr>
        <w:trHeight w:val="151"/>
      </w:trPr>
      <w:tc>
        <w:tcPr>
          <w:tcW w:w="2250" w:type="pct"/>
          <w:tcBorders>
            <w:top w:val="nil"/>
            <w:left w:val="nil"/>
            <w:bottom w:val="single" w:sz="4" w:space="0" w:color="4F81BD"/>
            <w:right w:val="nil"/>
          </w:tcBorders>
        </w:tcPr>
        <w:p w:rsidR="00A40EA9" w:rsidRPr="005A3173" w:rsidRDefault="00A40EA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0EA9" w:rsidRPr="005A3173" w:rsidRDefault="00A40EA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0EA9" w:rsidRPr="005A3173" w:rsidRDefault="00A40EA9" w:rsidP="005A3173">
          <w:pPr>
            <w:pStyle w:val="Header"/>
            <w:spacing w:line="276" w:lineRule="auto"/>
            <w:rPr>
              <w:rFonts w:ascii="Calibri" w:eastAsia="MS Gothic" w:hAnsi="Calibri"/>
              <w:b/>
              <w:bCs/>
              <w:color w:val="4F81BD"/>
            </w:rPr>
          </w:pPr>
        </w:p>
      </w:tc>
    </w:tr>
    <w:tr w:rsidR="00A40EA9" w:rsidTr="005A3173">
      <w:trPr>
        <w:trHeight w:val="150"/>
      </w:trPr>
      <w:tc>
        <w:tcPr>
          <w:tcW w:w="2250" w:type="pct"/>
          <w:tcBorders>
            <w:top w:val="single" w:sz="4" w:space="0" w:color="4F81BD"/>
            <w:left w:val="nil"/>
            <w:bottom w:val="nil"/>
            <w:right w:val="nil"/>
          </w:tcBorders>
        </w:tcPr>
        <w:p w:rsidR="00A40EA9" w:rsidRPr="005A3173" w:rsidRDefault="00A40EA9" w:rsidP="005A3173">
          <w:pPr>
            <w:pStyle w:val="Header"/>
            <w:spacing w:line="276" w:lineRule="auto"/>
            <w:rPr>
              <w:rFonts w:ascii="Calibri" w:eastAsia="MS Gothic" w:hAnsi="Calibri"/>
              <w:b/>
              <w:bCs/>
              <w:color w:val="4F81BD"/>
            </w:rPr>
          </w:pPr>
        </w:p>
      </w:tc>
      <w:tc>
        <w:tcPr>
          <w:tcW w:w="0" w:type="auto"/>
          <w:vMerge/>
          <w:vAlign w:val="center"/>
          <w:hideMark/>
        </w:tcPr>
        <w:p w:rsidR="00A40EA9" w:rsidRPr="005A3173" w:rsidRDefault="00A40EA9"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0EA9" w:rsidRPr="005A3173" w:rsidRDefault="00A40EA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40EA9" w:rsidTr="005A3173">
      <w:trPr>
        <w:trHeight w:val="151"/>
      </w:trPr>
      <w:tc>
        <w:tcPr>
          <w:tcW w:w="2250" w:type="pct"/>
          <w:tcBorders>
            <w:top w:val="nil"/>
            <w:left w:val="nil"/>
            <w:bottom w:val="single" w:sz="4" w:space="0" w:color="4F81BD"/>
            <w:right w:val="nil"/>
          </w:tcBorders>
        </w:tcPr>
        <w:p w:rsidR="00A40EA9" w:rsidRPr="005A3173" w:rsidRDefault="00A40EA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0EA9" w:rsidRPr="005A3173" w:rsidRDefault="00A40EA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0EA9" w:rsidRPr="005A3173" w:rsidRDefault="00A40EA9" w:rsidP="005A3173">
          <w:pPr>
            <w:pStyle w:val="Header"/>
            <w:spacing w:line="276" w:lineRule="auto"/>
            <w:rPr>
              <w:rFonts w:ascii="Calibri" w:eastAsia="MS Gothic" w:hAnsi="Calibri"/>
              <w:b/>
              <w:bCs/>
              <w:color w:val="4F81BD"/>
            </w:rPr>
          </w:pPr>
        </w:p>
      </w:tc>
    </w:tr>
    <w:tr w:rsidR="00A40EA9" w:rsidTr="005A3173">
      <w:trPr>
        <w:trHeight w:val="150"/>
      </w:trPr>
      <w:tc>
        <w:tcPr>
          <w:tcW w:w="2250" w:type="pct"/>
          <w:tcBorders>
            <w:top w:val="single" w:sz="4" w:space="0" w:color="4F81BD"/>
            <w:left w:val="nil"/>
            <w:bottom w:val="nil"/>
            <w:right w:val="nil"/>
          </w:tcBorders>
        </w:tcPr>
        <w:p w:rsidR="00A40EA9" w:rsidRPr="005A3173" w:rsidRDefault="00A40EA9" w:rsidP="005A3173">
          <w:pPr>
            <w:pStyle w:val="Header"/>
            <w:spacing w:line="276" w:lineRule="auto"/>
            <w:rPr>
              <w:rFonts w:ascii="Calibri" w:eastAsia="MS Gothic" w:hAnsi="Calibri"/>
              <w:b/>
              <w:bCs/>
              <w:color w:val="4F81BD"/>
            </w:rPr>
          </w:pPr>
        </w:p>
      </w:tc>
      <w:tc>
        <w:tcPr>
          <w:tcW w:w="0" w:type="auto"/>
          <w:vMerge/>
          <w:vAlign w:val="center"/>
          <w:hideMark/>
        </w:tcPr>
        <w:p w:rsidR="00A40EA9" w:rsidRPr="005A3173" w:rsidRDefault="00A40EA9"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0EA9" w:rsidRPr="005A3173" w:rsidRDefault="00A40EA9" w:rsidP="005A3173">
          <w:pPr>
            <w:pStyle w:val="Header"/>
            <w:spacing w:line="276" w:lineRule="auto"/>
            <w:rPr>
              <w:rFonts w:ascii="Calibri" w:eastAsia="MS Gothic" w:hAnsi="Calibri"/>
              <w:b/>
              <w:bCs/>
              <w:color w:val="4F81BD"/>
            </w:rPr>
          </w:pPr>
        </w:p>
      </w:tc>
    </w:tr>
  </w:tbl>
  <w:p w:rsidR="00A40EA9" w:rsidRPr="007C0F57" w:rsidRDefault="00A40EA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40EA9" w:rsidRPr="007C0F57" w:rsidRDefault="00A40EA9" w:rsidP="007C0F57">
    <w:pPr>
      <w:pStyle w:val="Footer"/>
      <w:jc w:val="center"/>
      <w:rPr>
        <w:b/>
        <w:i/>
        <w:sz w:val="20"/>
        <w:szCs w:val="20"/>
      </w:rPr>
    </w:pPr>
    <w:r w:rsidRPr="007C0F57">
      <w:rPr>
        <w:b/>
        <w:i/>
        <w:sz w:val="20"/>
        <w:szCs w:val="20"/>
      </w:rPr>
      <w:t>Commercial-in-Confidence</w:t>
    </w:r>
  </w:p>
  <w:p w:rsidR="00A40EA9" w:rsidRDefault="00A40E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A9" w:rsidRDefault="00A40EA9">
      <w:r>
        <w:separator/>
      </w:r>
    </w:p>
    <w:p w:rsidR="00A40EA9" w:rsidRDefault="00A40EA9"/>
  </w:footnote>
  <w:footnote w:type="continuationSeparator" w:id="0">
    <w:p w:rsidR="00A40EA9" w:rsidRDefault="00A40EA9">
      <w:r>
        <w:continuationSeparator/>
      </w:r>
    </w:p>
    <w:p w:rsidR="00A40EA9" w:rsidRDefault="00A40E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40EA9" w:rsidRPr="008E0D90" w:rsidTr="00A06225">
      <w:trPr>
        <w:trHeight w:val="151"/>
      </w:trPr>
      <w:tc>
        <w:tcPr>
          <w:tcW w:w="2389" w:type="pct"/>
          <w:tcBorders>
            <w:top w:val="nil"/>
            <w:left w:val="nil"/>
            <w:bottom w:val="single" w:sz="4" w:space="0" w:color="4F81BD"/>
            <w:right w:val="nil"/>
          </w:tcBorders>
        </w:tcPr>
        <w:p w:rsidR="00A40EA9" w:rsidRPr="00A06225" w:rsidRDefault="00A40EA9">
          <w:pPr>
            <w:pStyle w:val="Header"/>
            <w:spacing w:line="276" w:lineRule="auto"/>
            <w:rPr>
              <w:rFonts w:ascii="Cambria" w:eastAsia="MS Gothic" w:hAnsi="Cambria"/>
              <w:b/>
              <w:bCs/>
              <w:color w:val="4F81BD"/>
            </w:rPr>
          </w:pPr>
        </w:p>
      </w:tc>
      <w:tc>
        <w:tcPr>
          <w:tcW w:w="333" w:type="pct"/>
          <w:vMerge w:val="restart"/>
          <w:noWrap/>
          <w:vAlign w:val="center"/>
          <w:hideMark/>
        </w:tcPr>
        <w:p w:rsidR="00A40EA9" w:rsidRPr="00A06225" w:rsidRDefault="00A40EA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40EA9" w:rsidRPr="00A06225" w:rsidRDefault="00A40EA9">
          <w:pPr>
            <w:pStyle w:val="Header"/>
            <w:spacing w:line="276" w:lineRule="auto"/>
            <w:rPr>
              <w:rFonts w:ascii="Cambria" w:eastAsia="MS Gothic" w:hAnsi="Cambria"/>
              <w:b/>
              <w:bCs/>
              <w:color w:val="4F81BD"/>
            </w:rPr>
          </w:pPr>
        </w:p>
      </w:tc>
    </w:tr>
    <w:tr w:rsidR="00A40EA9" w:rsidRPr="008E0D90" w:rsidTr="00A06225">
      <w:trPr>
        <w:trHeight w:val="150"/>
      </w:trPr>
      <w:tc>
        <w:tcPr>
          <w:tcW w:w="2389" w:type="pct"/>
          <w:tcBorders>
            <w:top w:val="single" w:sz="4" w:space="0" w:color="4F81BD"/>
            <w:left w:val="nil"/>
            <w:bottom w:val="nil"/>
            <w:right w:val="nil"/>
          </w:tcBorders>
        </w:tcPr>
        <w:p w:rsidR="00A40EA9" w:rsidRPr="00A06225" w:rsidRDefault="00A40EA9">
          <w:pPr>
            <w:pStyle w:val="Header"/>
            <w:spacing w:line="276" w:lineRule="auto"/>
            <w:rPr>
              <w:rFonts w:ascii="Cambria" w:eastAsia="MS Gothic" w:hAnsi="Cambria"/>
              <w:b/>
              <w:bCs/>
              <w:color w:val="4F81BD"/>
            </w:rPr>
          </w:pPr>
        </w:p>
      </w:tc>
      <w:tc>
        <w:tcPr>
          <w:tcW w:w="0" w:type="auto"/>
          <w:vMerge/>
          <w:vAlign w:val="center"/>
          <w:hideMark/>
        </w:tcPr>
        <w:p w:rsidR="00A40EA9" w:rsidRPr="00A06225" w:rsidRDefault="00A40EA9">
          <w:pPr>
            <w:rPr>
              <w:rFonts w:ascii="Cambria" w:hAnsi="Cambria"/>
              <w:color w:val="4F81BD"/>
              <w:sz w:val="22"/>
              <w:szCs w:val="22"/>
            </w:rPr>
          </w:pPr>
        </w:p>
      </w:tc>
      <w:tc>
        <w:tcPr>
          <w:tcW w:w="2278" w:type="pct"/>
          <w:tcBorders>
            <w:top w:val="single" w:sz="4" w:space="0" w:color="4F81BD"/>
            <w:left w:val="nil"/>
            <w:bottom w:val="nil"/>
            <w:right w:val="nil"/>
          </w:tcBorders>
        </w:tcPr>
        <w:p w:rsidR="00A40EA9" w:rsidRPr="00A06225" w:rsidRDefault="00A40EA9">
          <w:pPr>
            <w:pStyle w:val="Header"/>
            <w:spacing w:line="276" w:lineRule="auto"/>
            <w:rPr>
              <w:rFonts w:ascii="Cambria" w:eastAsia="MS Gothic" w:hAnsi="Cambria"/>
              <w:b/>
              <w:bCs/>
              <w:color w:val="4F81BD"/>
            </w:rPr>
          </w:pPr>
        </w:p>
      </w:tc>
    </w:tr>
  </w:tbl>
  <w:p w:rsidR="00A40EA9" w:rsidRDefault="00A40EA9">
    <w:pPr>
      <w:pStyle w:val="Header"/>
    </w:pPr>
  </w:p>
  <w:p w:rsidR="00A40EA9" w:rsidRDefault="00A40E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A9" w:rsidRPr="00DF217D" w:rsidRDefault="000964D7" w:rsidP="00485554">
    <w:pPr>
      <w:pStyle w:val="Header"/>
      <w:ind w:left="360"/>
      <w:jc w:val="center"/>
      <w:rPr>
        <w:rFonts w:ascii="Arial" w:hAnsi="Arial" w:cs="Arial"/>
        <w:i/>
        <w:color w:val="808080"/>
        <w:sz w:val="22"/>
      </w:rPr>
    </w:pPr>
    <w:r>
      <w:rPr>
        <w:rFonts w:ascii="Arial" w:hAnsi="Arial" w:cs="Arial"/>
        <w:i/>
        <w:color w:val="808080"/>
        <w:sz w:val="22"/>
      </w:rPr>
      <w:t>Public Summary Document</w:t>
    </w:r>
    <w:r w:rsidR="00A40EA9">
      <w:rPr>
        <w:rFonts w:ascii="Arial" w:hAnsi="Arial" w:cs="Arial"/>
        <w:i/>
        <w:color w:val="808080"/>
        <w:sz w:val="22"/>
      </w:rPr>
      <w:t xml:space="preserve"> </w:t>
    </w:r>
    <w:r w:rsidR="00A40EA9" w:rsidRPr="00DF217D">
      <w:rPr>
        <w:rFonts w:ascii="Arial" w:hAnsi="Arial" w:cs="Arial"/>
        <w:i/>
        <w:color w:val="808080"/>
        <w:sz w:val="22"/>
      </w:rPr>
      <w:t xml:space="preserve">– </w:t>
    </w:r>
    <w:r w:rsidR="00A40EA9">
      <w:rPr>
        <w:rFonts w:ascii="Arial" w:hAnsi="Arial" w:cs="Arial"/>
        <w:i/>
        <w:color w:val="808080"/>
        <w:sz w:val="22"/>
      </w:rPr>
      <w:t xml:space="preserve">July 2015 </w:t>
    </w:r>
    <w:r w:rsidR="00A40EA9" w:rsidRPr="00DF217D">
      <w:rPr>
        <w:rFonts w:ascii="Arial" w:hAnsi="Arial" w:cs="Arial"/>
        <w:i/>
        <w:color w:val="808080"/>
        <w:sz w:val="22"/>
      </w:rPr>
      <w:t>PBAC</w:t>
    </w:r>
    <w:r w:rsidR="00A40EA9">
      <w:rPr>
        <w:rFonts w:ascii="Arial" w:hAnsi="Arial" w:cs="Arial"/>
        <w:i/>
        <w:color w:val="808080"/>
        <w:sz w:val="22"/>
      </w:rPr>
      <w:t xml:space="preserve"> </w:t>
    </w:r>
    <w:r w:rsidR="00A40EA9" w:rsidRPr="00DF217D">
      <w:rPr>
        <w:rFonts w:ascii="Arial" w:hAnsi="Arial" w:cs="Arial"/>
        <w:i/>
        <w:color w:val="808080"/>
        <w:sz w:val="22"/>
      </w:rPr>
      <w:t>Meeting</w:t>
    </w:r>
  </w:p>
  <w:p w:rsidR="00A40EA9" w:rsidRDefault="00A40EA9"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14" w:rsidRDefault="00EE5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47F"/>
    <w:multiLevelType w:val="hybridMultilevel"/>
    <w:tmpl w:val="C83AF2D0"/>
    <w:lvl w:ilvl="0" w:tplc="C218A4C6">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E821623"/>
    <w:multiLevelType w:val="hybridMultilevel"/>
    <w:tmpl w:val="DFFEA42C"/>
    <w:lvl w:ilvl="0" w:tplc="27E62F28">
      <w:start w:val="1"/>
      <w:numFmt w:val="bullet"/>
      <w:lvlText w:val=""/>
      <w:lvlJc w:val="left"/>
      <w:pPr>
        <w:tabs>
          <w:tab w:val="num" w:pos="1495"/>
        </w:tabs>
        <w:ind w:left="1495"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2">
    <w:nsid w:val="3FCF268C"/>
    <w:multiLevelType w:val="hybridMultilevel"/>
    <w:tmpl w:val="142A16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4D033C"/>
    <w:multiLevelType w:val="multilevel"/>
    <w:tmpl w:val="0D20CF1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AA4"/>
    <w:rsid w:val="00005CBB"/>
    <w:rsid w:val="00020981"/>
    <w:rsid w:val="0002399C"/>
    <w:rsid w:val="0002464A"/>
    <w:rsid w:val="0003106B"/>
    <w:rsid w:val="000421A1"/>
    <w:rsid w:val="0004240E"/>
    <w:rsid w:val="00045E26"/>
    <w:rsid w:val="000514B5"/>
    <w:rsid w:val="00053D0A"/>
    <w:rsid w:val="00056CD9"/>
    <w:rsid w:val="00057077"/>
    <w:rsid w:val="00060E64"/>
    <w:rsid w:val="00065551"/>
    <w:rsid w:val="00066755"/>
    <w:rsid w:val="00093926"/>
    <w:rsid w:val="000964D7"/>
    <w:rsid w:val="000969AD"/>
    <w:rsid w:val="000B39F9"/>
    <w:rsid w:val="000B558D"/>
    <w:rsid w:val="000C6996"/>
    <w:rsid w:val="000D23BA"/>
    <w:rsid w:val="000D2745"/>
    <w:rsid w:val="000D71A3"/>
    <w:rsid w:val="000E2594"/>
    <w:rsid w:val="000E681E"/>
    <w:rsid w:val="000F4E6A"/>
    <w:rsid w:val="000F665F"/>
    <w:rsid w:val="0010060A"/>
    <w:rsid w:val="00102EFA"/>
    <w:rsid w:val="00106723"/>
    <w:rsid w:val="00107882"/>
    <w:rsid w:val="00107FA4"/>
    <w:rsid w:val="00110690"/>
    <w:rsid w:val="001107BF"/>
    <w:rsid w:val="00117286"/>
    <w:rsid w:val="0012417C"/>
    <w:rsid w:val="00124849"/>
    <w:rsid w:val="00142395"/>
    <w:rsid w:val="00142714"/>
    <w:rsid w:val="001452ED"/>
    <w:rsid w:val="00150D47"/>
    <w:rsid w:val="00165272"/>
    <w:rsid w:val="001803F2"/>
    <w:rsid w:val="00181C50"/>
    <w:rsid w:val="001830CE"/>
    <w:rsid w:val="00185131"/>
    <w:rsid w:val="0019069E"/>
    <w:rsid w:val="00192B07"/>
    <w:rsid w:val="00196307"/>
    <w:rsid w:val="001A5736"/>
    <w:rsid w:val="001B017F"/>
    <w:rsid w:val="001B492E"/>
    <w:rsid w:val="001B5129"/>
    <w:rsid w:val="001C0C59"/>
    <w:rsid w:val="001C1195"/>
    <w:rsid w:val="001C46E4"/>
    <w:rsid w:val="001D3E6C"/>
    <w:rsid w:val="001E5D97"/>
    <w:rsid w:val="001E6489"/>
    <w:rsid w:val="001F1DB8"/>
    <w:rsid w:val="001F5D4C"/>
    <w:rsid w:val="001F6784"/>
    <w:rsid w:val="002024DD"/>
    <w:rsid w:val="002052C2"/>
    <w:rsid w:val="002124E9"/>
    <w:rsid w:val="00213CFB"/>
    <w:rsid w:val="00215C06"/>
    <w:rsid w:val="00224D14"/>
    <w:rsid w:val="00226AA0"/>
    <w:rsid w:val="00237789"/>
    <w:rsid w:val="0024121B"/>
    <w:rsid w:val="002428ED"/>
    <w:rsid w:val="002531E1"/>
    <w:rsid w:val="00271BA1"/>
    <w:rsid w:val="00277505"/>
    <w:rsid w:val="0029458F"/>
    <w:rsid w:val="002A104C"/>
    <w:rsid w:val="002A4960"/>
    <w:rsid w:val="002B1AE6"/>
    <w:rsid w:val="002B30F8"/>
    <w:rsid w:val="002C212F"/>
    <w:rsid w:val="002E3153"/>
    <w:rsid w:val="002E4188"/>
    <w:rsid w:val="002E442E"/>
    <w:rsid w:val="002E5C7B"/>
    <w:rsid w:val="002E72CA"/>
    <w:rsid w:val="002F6983"/>
    <w:rsid w:val="00303964"/>
    <w:rsid w:val="00303ACC"/>
    <w:rsid w:val="0030500A"/>
    <w:rsid w:val="00326E79"/>
    <w:rsid w:val="003367EF"/>
    <w:rsid w:val="00341AE4"/>
    <w:rsid w:val="00370C35"/>
    <w:rsid w:val="003872CF"/>
    <w:rsid w:val="0039782C"/>
    <w:rsid w:val="003A0195"/>
    <w:rsid w:val="003A5B4A"/>
    <w:rsid w:val="003A7DC3"/>
    <w:rsid w:val="003B07A9"/>
    <w:rsid w:val="003B23C5"/>
    <w:rsid w:val="003B2A75"/>
    <w:rsid w:val="003B5B10"/>
    <w:rsid w:val="003B5FB3"/>
    <w:rsid w:val="003C5AC1"/>
    <w:rsid w:val="003D2B05"/>
    <w:rsid w:val="003D4AC4"/>
    <w:rsid w:val="003D62AB"/>
    <w:rsid w:val="003D63B7"/>
    <w:rsid w:val="003D6CAA"/>
    <w:rsid w:val="003E468B"/>
    <w:rsid w:val="003F5C8C"/>
    <w:rsid w:val="0040449E"/>
    <w:rsid w:val="004465BD"/>
    <w:rsid w:val="0045107F"/>
    <w:rsid w:val="00451095"/>
    <w:rsid w:val="0046603A"/>
    <w:rsid w:val="00466ADA"/>
    <w:rsid w:val="00476245"/>
    <w:rsid w:val="004772C8"/>
    <w:rsid w:val="00485554"/>
    <w:rsid w:val="00485940"/>
    <w:rsid w:val="00491F96"/>
    <w:rsid w:val="004A1211"/>
    <w:rsid w:val="004A4D74"/>
    <w:rsid w:val="004A5A85"/>
    <w:rsid w:val="004B17A9"/>
    <w:rsid w:val="004B5640"/>
    <w:rsid w:val="004C118E"/>
    <w:rsid w:val="004C1BD7"/>
    <w:rsid w:val="004C691D"/>
    <w:rsid w:val="004C7ED2"/>
    <w:rsid w:val="004D0814"/>
    <w:rsid w:val="004D54D3"/>
    <w:rsid w:val="004E692D"/>
    <w:rsid w:val="00501554"/>
    <w:rsid w:val="0050485D"/>
    <w:rsid w:val="00514CD7"/>
    <w:rsid w:val="005319B2"/>
    <w:rsid w:val="00532C74"/>
    <w:rsid w:val="00534E2E"/>
    <w:rsid w:val="0054038B"/>
    <w:rsid w:val="00544552"/>
    <w:rsid w:val="00556A79"/>
    <w:rsid w:val="005579EE"/>
    <w:rsid w:val="0056063E"/>
    <w:rsid w:val="005629EA"/>
    <w:rsid w:val="0056337F"/>
    <w:rsid w:val="00573758"/>
    <w:rsid w:val="00581932"/>
    <w:rsid w:val="0058197E"/>
    <w:rsid w:val="00582864"/>
    <w:rsid w:val="00595E7A"/>
    <w:rsid w:val="005963BB"/>
    <w:rsid w:val="005973CC"/>
    <w:rsid w:val="005A2F6B"/>
    <w:rsid w:val="005A3173"/>
    <w:rsid w:val="005A3223"/>
    <w:rsid w:val="005A3DA3"/>
    <w:rsid w:val="005A52C4"/>
    <w:rsid w:val="005B187D"/>
    <w:rsid w:val="005C0CBB"/>
    <w:rsid w:val="005C2096"/>
    <w:rsid w:val="005C5235"/>
    <w:rsid w:val="005C72F2"/>
    <w:rsid w:val="005D03AB"/>
    <w:rsid w:val="005D2C4D"/>
    <w:rsid w:val="005D5017"/>
    <w:rsid w:val="005E0E73"/>
    <w:rsid w:val="005E21CA"/>
    <w:rsid w:val="005E6690"/>
    <w:rsid w:val="005F0CF4"/>
    <w:rsid w:val="00601A91"/>
    <w:rsid w:val="00602BA3"/>
    <w:rsid w:val="00611F8A"/>
    <w:rsid w:val="00614159"/>
    <w:rsid w:val="00617C00"/>
    <w:rsid w:val="006263BF"/>
    <w:rsid w:val="0062748A"/>
    <w:rsid w:val="00630A2C"/>
    <w:rsid w:val="00651169"/>
    <w:rsid w:val="00653D69"/>
    <w:rsid w:val="00654DCB"/>
    <w:rsid w:val="00670A76"/>
    <w:rsid w:val="006711AA"/>
    <w:rsid w:val="00672B57"/>
    <w:rsid w:val="006741D1"/>
    <w:rsid w:val="006744DA"/>
    <w:rsid w:val="00675622"/>
    <w:rsid w:val="006906DB"/>
    <w:rsid w:val="006A12A5"/>
    <w:rsid w:val="006B0D94"/>
    <w:rsid w:val="006B15CC"/>
    <w:rsid w:val="006B3A03"/>
    <w:rsid w:val="006B485D"/>
    <w:rsid w:val="006C708E"/>
    <w:rsid w:val="006D6EC7"/>
    <w:rsid w:val="006E720A"/>
    <w:rsid w:val="006F4626"/>
    <w:rsid w:val="006F5125"/>
    <w:rsid w:val="00703AB3"/>
    <w:rsid w:val="00713F4C"/>
    <w:rsid w:val="007174BB"/>
    <w:rsid w:val="00717866"/>
    <w:rsid w:val="0072019A"/>
    <w:rsid w:val="00741482"/>
    <w:rsid w:val="007453BB"/>
    <w:rsid w:val="0076420C"/>
    <w:rsid w:val="007753C2"/>
    <w:rsid w:val="007838B8"/>
    <w:rsid w:val="00790B4D"/>
    <w:rsid w:val="00794344"/>
    <w:rsid w:val="007A055F"/>
    <w:rsid w:val="007C0F57"/>
    <w:rsid w:val="007C40B6"/>
    <w:rsid w:val="007C729F"/>
    <w:rsid w:val="007D1490"/>
    <w:rsid w:val="007E1D28"/>
    <w:rsid w:val="007F15F9"/>
    <w:rsid w:val="007F2641"/>
    <w:rsid w:val="007F5A25"/>
    <w:rsid w:val="007F7967"/>
    <w:rsid w:val="007F7C36"/>
    <w:rsid w:val="00803A61"/>
    <w:rsid w:val="00806796"/>
    <w:rsid w:val="00826F6D"/>
    <w:rsid w:val="00842D00"/>
    <w:rsid w:val="00856DDD"/>
    <w:rsid w:val="00863E68"/>
    <w:rsid w:val="00876FEA"/>
    <w:rsid w:val="00882085"/>
    <w:rsid w:val="00883188"/>
    <w:rsid w:val="00897D58"/>
    <w:rsid w:val="008A115F"/>
    <w:rsid w:val="008A1956"/>
    <w:rsid w:val="008A1A1D"/>
    <w:rsid w:val="008A4937"/>
    <w:rsid w:val="008B0B6E"/>
    <w:rsid w:val="008C4578"/>
    <w:rsid w:val="008D3C82"/>
    <w:rsid w:val="008D447E"/>
    <w:rsid w:val="008D7A41"/>
    <w:rsid w:val="008E3680"/>
    <w:rsid w:val="008E5870"/>
    <w:rsid w:val="008F0510"/>
    <w:rsid w:val="008F1434"/>
    <w:rsid w:val="008F65B3"/>
    <w:rsid w:val="008F7355"/>
    <w:rsid w:val="009067B7"/>
    <w:rsid w:val="00930937"/>
    <w:rsid w:val="009321A9"/>
    <w:rsid w:val="00933E6C"/>
    <w:rsid w:val="0093477A"/>
    <w:rsid w:val="00942160"/>
    <w:rsid w:val="00950F49"/>
    <w:rsid w:val="0095108F"/>
    <w:rsid w:val="009602C5"/>
    <w:rsid w:val="009622E5"/>
    <w:rsid w:val="00974C21"/>
    <w:rsid w:val="00980EEF"/>
    <w:rsid w:val="009A3C90"/>
    <w:rsid w:val="009B0F67"/>
    <w:rsid w:val="009C5B5D"/>
    <w:rsid w:val="009C703C"/>
    <w:rsid w:val="009D3CAA"/>
    <w:rsid w:val="009D6B7E"/>
    <w:rsid w:val="009F4E46"/>
    <w:rsid w:val="009F5B65"/>
    <w:rsid w:val="009F5F2E"/>
    <w:rsid w:val="00A06225"/>
    <w:rsid w:val="00A1005B"/>
    <w:rsid w:val="00A107D7"/>
    <w:rsid w:val="00A128E6"/>
    <w:rsid w:val="00A21713"/>
    <w:rsid w:val="00A219CB"/>
    <w:rsid w:val="00A31225"/>
    <w:rsid w:val="00A37C8D"/>
    <w:rsid w:val="00A40318"/>
    <w:rsid w:val="00A40EA9"/>
    <w:rsid w:val="00A51092"/>
    <w:rsid w:val="00A5273B"/>
    <w:rsid w:val="00A53A9D"/>
    <w:rsid w:val="00A5496D"/>
    <w:rsid w:val="00A554EC"/>
    <w:rsid w:val="00A55FEE"/>
    <w:rsid w:val="00A561AE"/>
    <w:rsid w:val="00A56B47"/>
    <w:rsid w:val="00A62C1A"/>
    <w:rsid w:val="00A6426D"/>
    <w:rsid w:val="00A70622"/>
    <w:rsid w:val="00A70977"/>
    <w:rsid w:val="00A7307B"/>
    <w:rsid w:val="00A73CC8"/>
    <w:rsid w:val="00A8390C"/>
    <w:rsid w:val="00A928BD"/>
    <w:rsid w:val="00A94EE2"/>
    <w:rsid w:val="00A953C9"/>
    <w:rsid w:val="00AA4D1C"/>
    <w:rsid w:val="00AC25F9"/>
    <w:rsid w:val="00AC5206"/>
    <w:rsid w:val="00AC5BEA"/>
    <w:rsid w:val="00AE11A5"/>
    <w:rsid w:val="00AE13E2"/>
    <w:rsid w:val="00AF6636"/>
    <w:rsid w:val="00AF68CC"/>
    <w:rsid w:val="00B0720C"/>
    <w:rsid w:val="00B12EC1"/>
    <w:rsid w:val="00B205AA"/>
    <w:rsid w:val="00B20C45"/>
    <w:rsid w:val="00B22E84"/>
    <w:rsid w:val="00B25F75"/>
    <w:rsid w:val="00B43E90"/>
    <w:rsid w:val="00B56118"/>
    <w:rsid w:val="00B6773F"/>
    <w:rsid w:val="00B67E47"/>
    <w:rsid w:val="00B77284"/>
    <w:rsid w:val="00B801BA"/>
    <w:rsid w:val="00B80ACA"/>
    <w:rsid w:val="00B81329"/>
    <w:rsid w:val="00BB36AB"/>
    <w:rsid w:val="00BB69F5"/>
    <w:rsid w:val="00BB6C81"/>
    <w:rsid w:val="00BB7EC3"/>
    <w:rsid w:val="00BC0CFB"/>
    <w:rsid w:val="00BC4B9A"/>
    <w:rsid w:val="00BD51DD"/>
    <w:rsid w:val="00BD784C"/>
    <w:rsid w:val="00BE2CCB"/>
    <w:rsid w:val="00BF253A"/>
    <w:rsid w:val="00BF4CB6"/>
    <w:rsid w:val="00C00DA7"/>
    <w:rsid w:val="00C100CA"/>
    <w:rsid w:val="00C12768"/>
    <w:rsid w:val="00C27B58"/>
    <w:rsid w:val="00C35996"/>
    <w:rsid w:val="00C44125"/>
    <w:rsid w:val="00C47B59"/>
    <w:rsid w:val="00C50DC4"/>
    <w:rsid w:val="00C5342C"/>
    <w:rsid w:val="00C6256A"/>
    <w:rsid w:val="00C71FAE"/>
    <w:rsid w:val="00C748E5"/>
    <w:rsid w:val="00C74D81"/>
    <w:rsid w:val="00C825AD"/>
    <w:rsid w:val="00C91449"/>
    <w:rsid w:val="00C92D10"/>
    <w:rsid w:val="00CA34F0"/>
    <w:rsid w:val="00CD5A18"/>
    <w:rsid w:val="00CE10C4"/>
    <w:rsid w:val="00CE27B5"/>
    <w:rsid w:val="00CE6CE3"/>
    <w:rsid w:val="00D01406"/>
    <w:rsid w:val="00D0321E"/>
    <w:rsid w:val="00D119DD"/>
    <w:rsid w:val="00D1455A"/>
    <w:rsid w:val="00D25221"/>
    <w:rsid w:val="00D3280C"/>
    <w:rsid w:val="00D3406A"/>
    <w:rsid w:val="00D3481D"/>
    <w:rsid w:val="00D34AEE"/>
    <w:rsid w:val="00D42B4C"/>
    <w:rsid w:val="00D469B2"/>
    <w:rsid w:val="00D741EB"/>
    <w:rsid w:val="00D8290B"/>
    <w:rsid w:val="00D84934"/>
    <w:rsid w:val="00D87DD2"/>
    <w:rsid w:val="00D91271"/>
    <w:rsid w:val="00DA2CB5"/>
    <w:rsid w:val="00DA4BAC"/>
    <w:rsid w:val="00DA6B63"/>
    <w:rsid w:val="00DB0991"/>
    <w:rsid w:val="00DC203C"/>
    <w:rsid w:val="00DE2EE0"/>
    <w:rsid w:val="00DE6BA3"/>
    <w:rsid w:val="00DE6D27"/>
    <w:rsid w:val="00DF217D"/>
    <w:rsid w:val="00DF26A7"/>
    <w:rsid w:val="00E115EB"/>
    <w:rsid w:val="00E15EFC"/>
    <w:rsid w:val="00E164B3"/>
    <w:rsid w:val="00E16910"/>
    <w:rsid w:val="00E25883"/>
    <w:rsid w:val="00E323B5"/>
    <w:rsid w:val="00E57565"/>
    <w:rsid w:val="00E6067B"/>
    <w:rsid w:val="00E65E54"/>
    <w:rsid w:val="00E70BCE"/>
    <w:rsid w:val="00E71DAC"/>
    <w:rsid w:val="00E73357"/>
    <w:rsid w:val="00E80155"/>
    <w:rsid w:val="00E8323B"/>
    <w:rsid w:val="00E83EBB"/>
    <w:rsid w:val="00E848C0"/>
    <w:rsid w:val="00E86069"/>
    <w:rsid w:val="00E91B96"/>
    <w:rsid w:val="00E941A1"/>
    <w:rsid w:val="00E95CE3"/>
    <w:rsid w:val="00E96143"/>
    <w:rsid w:val="00EA2612"/>
    <w:rsid w:val="00EA2825"/>
    <w:rsid w:val="00EA5BDF"/>
    <w:rsid w:val="00EA6D9F"/>
    <w:rsid w:val="00EA6ED3"/>
    <w:rsid w:val="00EB5088"/>
    <w:rsid w:val="00EB6BC1"/>
    <w:rsid w:val="00ED1644"/>
    <w:rsid w:val="00EE4215"/>
    <w:rsid w:val="00EE5914"/>
    <w:rsid w:val="00EF44A0"/>
    <w:rsid w:val="00EF4FED"/>
    <w:rsid w:val="00F050BD"/>
    <w:rsid w:val="00F05657"/>
    <w:rsid w:val="00F2039A"/>
    <w:rsid w:val="00F22053"/>
    <w:rsid w:val="00F25578"/>
    <w:rsid w:val="00F258E5"/>
    <w:rsid w:val="00F272F4"/>
    <w:rsid w:val="00F27CB4"/>
    <w:rsid w:val="00F300BC"/>
    <w:rsid w:val="00F3334E"/>
    <w:rsid w:val="00F355FF"/>
    <w:rsid w:val="00F50EC4"/>
    <w:rsid w:val="00F57A6D"/>
    <w:rsid w:val="00F638CC"/>
    <w:rsid w:val="00F64CC1"/>
    <w:rsid w:val="00F8247A"/>
    <w:rsid w:val="00F907B5"/>
    <w:rsid w:val="00F9629A"/>
    <w:rsid w:val="00FA5883"/>
    <w:rsid w:val="00FA6055"/>
    <w:rsid w:val="00FB322F"/>
    <w:rsid w:val="00FB442F"/>
    <w:rsid w:val="00FB4893"/>
    <w:rsid w:val="00FC1929"/>
    <w:rsid w:val="00FC5B46"/>
    <w:rsid w:val="00FC7874"/>
    <w:rsid w:val="00FF00BD"/>
    <w:rsid w:val="00FF1072"/>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customStyle="1" w:styleId="ListParagraphChar">
    <w:name w:val="List Paragraph Char"/>
    <w:basedOn w:val="DefaultParagraphFont"/>
    <w:link w:val="ListParagraph"/>
    <w:uiPriority w:val="99"/>
    <w:locked/>
    <w:rsid w:val="003D2B05"/>
    <w:rPr>
      <w:sz w:val="24"/>
      <w:szCs w:val="24"/>
    </w:rPr>
  </w:style>
  <w:style w:type="character" w:styleId="Hyperlink">
    <w:name w:val="Hyperlink"/>
    <w:basedOn w:val="DefaultParagraphFont"/>
    <w:rsid w:val="00AF6636"/>
    <w:rPr>
      <w:color w:val="0000FF" w:themeColor="hyperlink"/>
      <w:u w:val="single"/>
    </w:rPr>
  </w:style>
  <w:style w:type="character" w:styleId="FollowedHyperlink">
    <w:name w:val="FollowedHyperlink"/>
    <w:basedOn w:val="DefaultParagraphFont"/>
    <w:rsid w:val="005973CC"/>
    <w:rPr>
      <w:color w:val="800080" w:themeColor="followedHyperlink"/>
      <w:u w:val="single"/>
    </w:rPr>
  </w:style>
  <w:style w:type="paragraph" w:customStyle="1" w:styleId="PBACHeading1">
    <w:name w:val="PBAC Heading 1"/>
    <w:qFormat/>
    <w:rsid w:val="00485554"/>
    <w:pPr>
      <w:ind w:left="720" w:hanging="720"/>
    </w:pPr>
    <w:rPr>
      <w:rFonts w:ascii="Arial" w:hAnsi="Arial" w:cs="Arial"/>
      <w:b/>
      <w:snapToGrid w:val="0"/>
      <w:sz w:val="22"/>
      <w:szCs w:val="22"/>
      <w:lang w:eastAsia="en-US"/>
    </w:rPr>
  </w:style>
  <w:style w:type="paragraph" w:styleId="NormalWeb">
    <w:name w:val="Normal (Web)"/>
    <w:basedOn w:val="Normal"/>
    <w:uiPriority w:val="99"/>
    <w:unhideWhenUsed/>
    <w:rsid w:val="00AC25F9"/>
    <w:pPr>
      <w:spacing w:before="75" w:after="75"/>
      <w:ind w:left="75" w:right="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customStyle="1" w:styleId="ListParagraphChar">
    <w:name w:val="List Paragraph Char"/>
    <w:basedOn w:val="DefaultParagraphFont"/>
    <w:link w:val="ListParagraph"/>
    <w:uiPriority w:val="99"/>
    <w:locked/>
    <w:rsid w:val="003D2B05"/>
    <w:rPr>
      <w:sz w:val="24"/>
      <w:szCs w:val="24"/>
    </w:rPr>
  </w:style>
  <w:style w:type="character" w:styleId="Hyperlink">
    <w:name w:val="Hyperlink"/>
    <w:basedOn w:val="DefaultParagraphFont"/>
    <w:rsid w:val="00AF6636"/>
    <w:rPr>
      <w:color w:val="0000FF" w:themeColor="hyperlink"/>
      <w:u w:val="single"/>
    </w:rPr>
  </w:style>
  <w:style w:type="character" w:styleId="FollowedHyperlink">
    <w:name w:val="FollowedHyperlink"/>
    <w:basedOn w:val="DefaultParagraphFont"/>
    <w:rsid w:val="005973CC"/>
    <w:rPr>
      <w:color w:val="800080" w:themeColor="followedHyperlink"/>
      <w:u w:val="single"/>
    </w:rPr>
  </w:style>
  <w:style w:type="paragraph" w:customStyle="1" w:styleId="PBACHeading1">
    <w:name w:val="PBAC Heading 1"/>
    <w:qFormat/>
    <w:rsid w:val="00485554"/>
    <w:pPr>
      <w:ind w:left="720" w:hanging="720"/>
    </w:pPr>
    <w:rPr>
      <w:rFonts w:ascii="Arial" w:hAnsi="Arial" w:cs="Arial"/>
      <w:b/>
      <w:snapToGrid w:val="0"/>
      <w:sz w:val="22"/>
      <w:szCs w:val="22"/>
      <w:lang w:eastAsia="en-US"/>
    </w:rPr>
  </w:style>
  <w:style w:type="paragraph" w:styleId="NormalWeb">
    <w:name w:val="Normal (Web)"/>
    <w:basedOn w:val="Normal"/>
    <w:uiPriority w:val="99"/>
    <w:unhideWhenUsed/>
    <w:rsid w:val="00AC25F9"/>
    <w:pPr>
      <w:spacing w:before="75" w:after="75"/>
      <w:ind w:left="75" w:right="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41619764">
      <w:bodyDiv w:val="1"/>
      <w:marLeft w:val="0"/>
      <w:marRight w:val="0"/>
      <w:marTop w:val="0"/>
      <w:marBottom w:val="0"/>
      <w:divBdr>
        <w:top w:val="none" w:sz="0" w:space="0" w:color="auto"/>
        <w:left w:val="none" w:sz="0" w:space="0" w:color="auto"/>
        <w:bottom w:val="none" w:sz="0" w:space="0" w:color="auto"/>
        <w:right w:val="none" w:sz="0" w:space="0" w:color="auto"/>
      </w:divBdr>
      <w:divsChild>
        <w:div w:id="1951811049">
          <w:marLeft w:val="0"/>
          <w:marRight w:val="0"/>
          <w:marTop w:val="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43513171">
      <w:bodyDiv w:val="1"/>
      <w:marLeft w:val="0"/>
      <w:marRight w:val="0"/>
      <w:marTop w:val="0"/>
      <w:marBottom w:val="0"/>
      <w:divBdr>
        <w:top w:val="none" w:sz="0" w:space="0" w:color="auto"/>
        <w:left w:val="none" w:sz="0" w:space="0" w:color="auto"/>
        <w:bottom w:val="none" w:sz="0" w:space="0" w:color="auto"/>
        <w:right w:val="none" w:sz="0" w:space="0" w:color="auto"/>
      </w:divBdr>
      <w:divsChild>
        <w:div w:id="2008894718">
          <w:marLeft w:val="0"/>
          <w:marRight w:val="0"/>
          <w:marTop w:val="240"/>
          <w:marBottom w:val="480"/>
          <w:divBdr>
            <w:top w:val="none" w:sz="0" w:space="0" w:color="auto"/>
            <w:left w:val="none" w:sz="0" w:space="0" w:color="auto"/>
            <w:bottom w:val="none" w:sz="0" w:space="0" w:color="auto"/>
            <w:right w:val="none" w:sz="0" w:space="0" w:color="auto"/>
          </w:divBdr>
          <w:divsChild>
            <w:div w:id="151719043">
              <w:marLeft w:val="0"/>
              <w:marRight w:val="0"/>
              <w:marTop w:val="0"/>
              <w:marBottom w:val="0"/>
              <w:divBdr>
                <w:top w:val="none" w:sz="0" w:space="0" w:color="auto"/>
                <w:left w:val="none" w:sz="0" w:space="0" w:color="auto"/>
                <w:bottom w:val="none" w:sz="0" w:space="0" w:color="auto"/>
                <w:right w:val="none" w:sz="0" w:space="0" w:color="auto"/>
              </w:divBdr>
              <w:divsChild>
                <w:div w:id="248543085">
                  <w:marLeft w:val="0"/>
                  <w:marRight w:val="0"/>
                  <w:marTop w:val="0"/>
                  <w:marBottom w:val="0"/>
                  <w:divBdr>
                    <w:top w:val="none" w:sz="0" w:space="0" w:color="auto"/>
                    <w:left w:val="none" w:sz="0" w:space="0" w:color="auto"/>
                    <w:bottom w:val="none" w:sz="0" w:space="0" w:color="auto"/>
                    <w:right w:val="none" w:sz="0" w:space="0" w:color="auto"/>
                  </w:divBdr>
                  <w:divsChild>
                    <w:div w:id="114644875">
                      <w:marLeft w:val="0"/>
                      <w:marRight w:val="0"/>
                      <w:marTop w:val="0"/>
                      <w:marBottom w:val="0"/>
                      <w:divBdr>
                        <w:top w:val="none" w:sz="0" w:space="0" w:color="auto"/>
                        <w:left w:val="none" w:sz="0" w:space="0" w:color="auto"/>
                        <w:bottom w:val="none" w:sz="0" w:space="0" w:color="auto"/>
                        <w:right w:val="none" w:sz="0" w:space="0" w:color="auto"/>
                      </w:divBdr>
                      <w:divsChild>
                        <w:div w:id="741559969">
                          <w:marLeft w:val="0"/>
                          <w:marRight w:val="0"/>
                          <w:marTop w:val="0"/>
                          <w:marBottom w:val="0"/>
                          <w:divBdr>
                            <w:top w:val="none" w:sz="0" w:space="0" w:color="auto"/>
                            <w:left w:val="none" w:sz="0" w:space="0" w:color="auto"/>
                            <w:bottom w:val="none" w:sz="0" w:space="0" w:color="auto"/>
                            <w:right w:val="none" w:sz="0" w:space="0" w:color="auto"/>
                          </w:divBdr>
                          <w:divsChild>
                            <w:div w:id="7742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7789A-3C3F-45C0-B75C-A8F923D0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2111</Words>
  <Characters>12046</Characters>
  <Application>Microsoft Office Word</Application>
  <DocSecurity>2</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2015-10-09T05:06:00Z</dcterms:created>
  <dcterms:modified xsi:type="dcterms:W3CDTF">2015-10-22T21:43:00Z</dcterms:modified>
</cp:coreProperties>
</file>