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076" w:rsidRDefault="00C00A32" w:rsidP="004E6CA2">
      <w:pPr>
        <w:pStyle w:val="Heading1"/>
        <w:widowControl/>
        <w:rPr>
          <w:caps w:val="0"/>
          <w:sz w:val="28"/>
        </w:rPr>
      </w:pPr>
      <w:bookmarkStart w:id="0" w:name="_Toc392858187"/>
      <w:bookmarkStart w:id="1" w:name="_Toc419369071"/>
      <w:bookmarkStart w:id="2" w:name="_GoBack"/>
      <w:bookmarkEnd w:id="2"/>
      <w:r>
        <w:rPr>
          <w:sz w:val="28"/>
        </w:rPr>
        <w:t>7.03</w:t>
      </w:r>
      <w:r w:rsidR="009F32C2" w:rsidRPr="00207D00">
        <w:rPr>
          <w:sz w:val="28"/>
        </w:rPr>
        <w:tab/>
      </w:r>
      <w:r w:rsidR="009F32C2">
        <w:rPr>
          <w:sz w:val="28"/>
        </w:rPr>
        <w:t>EXENATIDE</w:t>
      </w:r>
      <w:r w:rsidR="00997076">
        <w:rPr>
          <w:sz w:val="28"/>
        </w:rPr>
        <w:br/>
      </w:r>
      <w:r w:rsidR="00366671">
        <w:rPr>
          <w:sz w:val="28"/>
        </w:rPr>
        <w:t>2</w:t>
      </w:r>
      <w:r w:rsidR="005B7E21">
        <w:rPr>
          <w:sz w:val="28"/>
        </w:rPr>
        <w:t> </w:t>
      </w:r>
      <w:r w:rsidR="00366671">
        <w:rPr>
          <w:caps w:val="0"/>
          <w:sz w:val="28"/>
        </w:rPr>
        <w:t>mg, p</w:t>
      </w:r>
      <w:r w:rsidR="009F32C2">
        <w:rPr>
          <w:caps w:val="0"/>
          <w:sz w:val="28"/>
        </w:rPr>
        <w:t xml:space="preserve">owder for injection, </w:t>
      </w:r>
      <w:r w:rsidR="00366671">
        <w:rPr>
          <w:caps w:val="0"/>
          <w:sz w:val="28"/>
        </w:rPr>
        <w:t>vial</w:t>
      </w:r>
    </w:p>
    <w:p w:rsidR="00997076" w:rsidRDefault="009F32C2" w:rsidP="004E6CA2">
      <w:pPr>
        <w:pStyle w:val="Heading1"/>
        <w:widowControl/>
        <w:ind w:firstLine="0"/>
        <w:rPr>
          <w:caps w:val="0"/>
          <w:sz w:val="28"/>
        </w:rPr>
      </w:pPr>
      <w:r>
        <w:rPr>
          <w:caps w:val="0"/>
          <w:sz w:val="28"/>
        </w:rPr>
        <w:t>Bydureon</w:t>
      </w:r>
      <w:r w:rsidRPr="00260126">
        <w:rPr>
          <w:caps w:val="0"/>
          <w:sz w:val="28"/>
          <w:vertAlign w:val="superscript"/>
        </w:rPr>
        <w:t>®</w:t>
      </w:r>
      <w:r>
        <w:rPr>
          <w:caps w:val="0"/>
          <w:sz w:val="28"/>
        </w:rPr>
        <w:t xml:space="preserve"> </w:t>
      </w:r>
    </w:p>
    <w:p w:rsidR="009F32C2" w:rsidRPr="00207D00" w:rsidRDefault="009F32C2" w:rsidP="004E6CA2">
      <w:pPr>
        <w:pStyle w:val="Heading1"/>
        <w:widowControl/>
        <w:ind w:firstLine="0"/>
        <w:rPr>
          <w:sz w:val="28"/>
        </w:rPr>
      </w:pPr>
      <w:r>
        <w:rPr>
          <w:caps w:val="0"/>
          <w:sz w:val="28"/>
        </w:rPr>
        <w:t>AstraZeneca Pty Ltd</w:t>
      </w:r>
      <w:bookmarkEnd w:id="0"/>
      <w:bookmarkEnd w:id="1"/>
    </w:p>
    <w:p w:rsidR="00487729" w:rsidRDefault="00487729" w:rsidP="004E6CA2">
      <w:pPr>
        <w:widowControl/>
      </w:pPr>
    </w:p>
    <w:p w:rsidR="005B7E21" w:rsidRDefault="005B7E21" w:rsidP="004E6CA2">
      <w:pPr>
        <w:widowControl/>
      </w:pPr>
    </w:p>
    <w:p w:rsidR="00681EE9" w:rsidRPr="00681EE9" w:rsidRDefault="00487729" w:rsidP="004E6CA2">
      <w:pPr>
        <w:pStyle w:val="Heading2"/>
        <w:widowControl/>
        <w:numPr>
          <w:ilvl w:val="0"/>
          <w:numId w:val="47"/>
        </w:numPr>
        <w:ind w:left="709" w:hanging="709"/>
      </w:pPr>
      <w:bookmarkStart w:id="3" w:name="_Toc392858189"/>
      <w:bookmarkStart w:id="4" w:name="_Toc419369073"/>
      <w:r w:rsidRPr="008B7C62">
        <w:t>Purpose of Application</w:t>
      </w:r>
      <w:bookmarkEnd w:id="3"/>
      <w:bookmarkEnd w:id="4"/>
    </w:p>
    <w:p w:rsidR="00487729" w:rsidRPr="004E69B7" w:rsidRDefault="00487729" w:rsidP="004E6CA2">
      <w:pPr>
        <w:pStyle w:val="BodyText"/>
        <w:widowControl/>
      </w:pPr>
    </w:p>
    <w:p w:rsidR="00487729" w:rsidRPr="004E69B7" w:rsidRDefault="00487729" w:rsidP="004E6CA2">
      <w:pPr>
        <w:pStyle w:val="BodyText"/>
        <w:widowControl/>
        <w:numPr>
          <w:ilvl w:val="1"/>
          <w:numId w:val="46"/>
        </w:numPr>
        <w:jc w:val="both"/>
      </w:pPr>
      <w:r w:rsidRPr="004E69B7">
        <w:t>Authority required (STREAMLINED) listing for exenatide 2</w:t>
      </w:r>
      <w:r w:rsidR="005B7E21">
        <w:t> </w:t>
      </w:r>
      <w:r w:rsidRPr="004E69B7">
        <w:t>mg once weekly for the treatment of type 2 diabetes mellitus (T2DM) as dual or triple therapy in combination with metformin and/or a sulfonylurea at a higher price than that previously requested.</w:t>
      </w:r>
    </w:p>
    <w:p w:rsidR="00344028" w:rsidRDefault="00344028" w:rsidP="004E6CA2">
      <w:pPr>
        <w:pStyle w:val="BodyText"/>
        <w:widowControl/>
      </w:pPr>
    </w:p>
    <w:p w:rsidR="004E69B7" w:rsidRPr="004E69B7" w:rsidRDefault="004E69B7" w:rsidP="004E6CA2">
      <w:pPr>
        <w:pStyle w:val="BodyText"/>
        <w:widowControl/>
      </w:pPr>
    </w:p>
    <w:p w:rsidR="00B22FA4" w:rsidRPr="00B22FA4" w:rsidRDefault="00487729" w:rsidP="004E6CA2">
      <w:pPr>
        <w:pStyle w:val="Heading2"/>
        <w:keepNext/>
        <w:widowControl/>
        <w:numPr>
          <w:ilvl w:val="0"/>
          <w:numId w:val="47"/>
        </w:numPr>
        <w:ind w:left="709" w:hanging="709"/>
      </w:pPr>
      <w:bookmarkStart w:id="5" w:name="_Toc392858190"/>
      <w:bookmarkStart w:id="6" w:name="_Toc419369074"/>
      <w:r w:rsidRPr="00407F2D">
        <w:t>Requested listing</w:t>
      </w:r>
      <w:bookmarkEnd w:id="5"/>
      <w:bookmarkEnd w:id="6"/>
    </w:p>
    <w:tbl>
      <w:tblPr>
        <w:tblW w:w="4531" w:type="pct"/>
        <w:tblInd w:w="731" w:type="dxa"/>
        <w:tblCellMar>
          <w:left w:w="28" w:type="dxa"/>
          <w:right w:w="28" w:type="dxa"/>
        </w:tblCellMar>
        <w:tblLook w:val="0000" w:firstRow="0" w:lastRow="0" w:firstColumn="0" w:lastColumn="0" w:noHBand="0" w:noVBand="0"/>
      </w:tblPr>
      <w:tblGrid>
        <w:gridCol w:w="1419"/>
        <w:gridCol w:w="1628"/>
        <w:gridCol w:w="621"/>
        <w:gridCol w:w="760"/>
        <w:gridCol w:w="1432"/>
        <w:gridCol w:w="1068"/>
        <w:gridCol w:w="1302"/>
      </w:tblGrid>
      <w:tr w:rsidR="009E386C" w:rsidRPr="00A939CD" w:rsidTr="005F598D">
        <w:trPr>
          <w:cantSplit/>
          <w:trHeight w:val="96"/>
        </w:trPr>
        <w:tc>
          <w:tcPr>
            <w:tcW w:w="5000" w:type="pct"/>
            <w:gridSpan w:val="7"/>
          </w:tcPr>
          <w:p w:rsidR="009E386C" w:rsidRDefault="009E386C" w:rsidP="004E6CA2">
            <w:pPr>
              <w:keepNext/>
              <w:widowControl/>
              <w:rPr>
                <w:sz w:val="20"/>
              </w:rPr>
            </w:pPr>
          </w:p>
        </w:tc>
      </w:tr>
      <w:tr w:rsidR="009E386C" w:rsidRPr="00413860" w:rsidTr="00BE0D68">
        <w:trPr>
          <w:cantSplit/>
          <w:trHeight w:val="463"/>
        </w:trPr>
        <w:tc>
          <w:tcPr>
            <w:tcW w:w="1851" w:type="pct"/>
            <w:gridSpan w:val="2"/>
            <w:tcBorders>
              <w:bottom w:val="single" w:sz="4" w:space="0" w:color="auto"/>
            </w:tcBorders>
            <w:vAlign w:val="center"/>
          </w:tcPr>
          <w:p w:rsidR="00487729" w:rsidRPr="005F598D" w:rsidRDefault="00487729" w:rsidP="004E6CA2">
            <w:pPr>
              <w:keepNext/>
              <w:widowControl/>
              <w:jc w:val="left"/>
              <w:rPr>
                <w:rFonts w:ascii="Arial Narrow" w:hAnsi="Arial Narrow"/>
                <w:sz w:val="20"/>
              </w:rPr>
            </w:pPr>
            <w:r w:rsidRPr="005F598D">
              <w:rPr>
                <w:rFonts w:ascii="Arial Narrow" w:hAnsi="Arial Narrow"/>
                <w:sz w:val="20"/>
              </w:rPr>
              <w:t>Name, Restriction,</w:t>
            </w:r>
          </w:p>
          <w:p w:rsidR="00487729" w:rsidRPr="005F598D" w:rsidRDefault="00487729" w:rsidP="004E6CA2">
            <w:pPr>
              <w:keepNext/>
              <w:widowControl/>
              <w:jc w:val="left"/>
              <w:rPr>
                <w:rFonts w:ascii="Arial Narrow" w:hAnsi="Arial Narrow"/>
                <w:sz w:val="20"/>
              </w:rPr>
            </w:pPr>
            <w:r w:rsidRPr="005F598D">
              <w:rPr>
                <w:rFonts w:ascii="Arial Narrow" w:hAnsi="Arial Narrow"/>
                <w:sz w:val="20"/>
              </w:rPr>
              <w:t>Manner of administration and form</w:t>
            </w:r>
          </w:p>
        </w:tc>
        <w:tc>
          <w:tcPr>
            <w:tcW w:w="377" w:type="pct"/>
            <w:tcBorders>
              <w:bottom w:val="single" w:sz="4" w:space="0" w:color="auto"/>
            </w:tcBorders>
            <w:vAlign w:val="center"/>
          </w:tcPr>
          <w:p w:rsidR="00487729" w:rsidRPr="005F598D" w:rsidRDefault="00487729" w:rsidP="004E6CA2">
            <w:pPr>
              <w:keepNext/>
              <w:widowControl/>
              <w:jc w:val="center"/>
              <w:rPr>
                <w:rFonts w:ascii="Arial Narrow" w:hAnsi="Arial Narrow"/>
                <w:sz w:val="20"/>
              </w:rPr>
            </w:pPr>
            <w:r w:rsidRPr="005F598D">
              <w:rPr>
                <w:rFonts w:ascii="Arial Narrow" w:hAnsi="Arial Narrow"/>
                <w:sz w:val="20"/>
              </w:rPr>
              <w:t>Max.</w:t>
            </w:r>
          </w:p>
          <w:p w:rsidR="00487729" w:rsidRPr="005F598D" w:rsidRDefault="00487729" w:rsidP="004E6CA2">
            <w:pPr>
              <w:keepNext/>
              <w:widowControl/>
              <w:jc w:val="center"/>
              <w:rPr>
                <w:rFonts w:ascii="Arial Narrow" w:hAnsi="Arial Narrow"/>
                <w:sz w:val="20"/>
              </w:rPr>
            </w:pPr>
            <w:r w:rsidRPr="005F598D">
              <w:rPr>
                <w:rFonts w:ascii="Arial Narrow" w:hAnsi="Arial Narrow"/>
                <w:sz w:val="20"/>
              </w:rPr>
              <w:t>Qty</w:t>
            </w:r>
          </w:p>
        </w:tc>
        <w:tc>
          <w:tcPr>
            <w:tcW w:w="462" w:type="pct"/>
            <w:tcBorders>
              <w:bottom w:val="single" w:sz="4" w:space="0" w:color="auto"/>
            </w:tcBorders>
            <w:vAlign w:val="center"/>
          </w:tcPr>
          <w:p w:rsidR="00487729" w:rsidRPr="005F598D" w:rsidRDefault="00487729" w:rsidP="004E6CA2">
            <w:pPr>
              <w:keepNext/>
              <w:widowControl/>
              <w:jc w:val="center"/>
              <w:rPr>
                <w:rFonts w:ascii="Arial Narrow" w:hAnsi="Arial Narrow"/>
                <w:sz w:val="20"/>
              </w:rPr>
            </w:pPr>
            <w:r w:rsidRPr="005F598D">
              <w:rPr>
                <w:rFonts w:ascii="Arial Narrow" w:hAnsi="Arial Narrow"/>
                <w:sz w:val="20"/>
              </w:rPr>
              <w:t>№.of</w:t>
            </w:r>
          </w:p>
          <w:p w:rsidR="00487729" w:rsidRPr="005F598D" w:rsidRDefault="00487729" w:rsidP="004E6CA2">
            <w:pPr>
              <w:keepNext/>
              <w:widowControl/>
              <w:jc w:val="center"/>
              <w:rPr>
                <w:rFonts w:ascii="Arial Narrow" w:hAnsi="Arial Narrow"/>
                <w:sz w:val="20"/>
              </w:rPr>
            </w:pPr>
            <w:r w:rsidRPr="005F598D">
              <w:rPr>
                <w:rFonts w:ascii="Arial Narrow" w:hAnsi="Arial Narrow"/>
                <w:sz w:val="20"/>
              </w:rPr>
              <w:t>Rpts</w:t>
            </w:r>
          </w:p>
        </w:tc>
        <w:tc>
          <w:tcPr>
            <w:tcW w:w="870" w:type="pct"/>
            <w:tcBorders>
              <w:bottom w:val="single" w:sz="4" w:space="0" w:color="auto"/>
            </w:tcBorders>
            <w:vAlign w:val="center"/>
          </w:tcPr>
          <w:p w:rsidR="00487729" w:rsidRPr="005F598D" w:rsidRDefault="00487729" w:rsidP="004E6CA2">
            <w:pPr>
              <w:keepNext/>
              <w:widowControl/>
              <w:jc w:val="center"/>
              <w:rPr>
                <w:rFonts w:ascii="Arial Narrow" w:hAnsi="Arial Narrow"/>
                <w:sz w:val="20"/>
              </w:rPr>
            </w:pPr>
            <w:r w:rsidRPr="005F598D">
              <w:rPr>
                <w:rFonts w:ascii="Arial Narrow" w:hAnsi="Arial Narrow"/>
                <w:sz w:val="20"/>
              </w:rPr>
              <w:t>Dispensed Price for Max. Qty</w:t>
            </w:r>
          </w:p>
        </w:tc>
        <w:tc>
          <w:tcPr>
            <w:tcW w:w="1441" w:type="pct"/>
            <w:gridSpan w:val="2"/>
            <w:tcBorders>
              <w:bottom w:val="single" w:sz="4" w:space="0" w:color="auto"/>
            </w:tcBorders>
            <w:vAlign w:val="center"/>
          </w:tcPr>
          <w:p w:rsidR="00487729" w:rsidRPr="005F598D" w:rsidRDefault="00487729" w:rsidP="004E6CA2">
            <w:pPr>
              <w:keepNext/>
              <w:widowControl/>
              <w:jc w:val="center"/>
              <w:rPr>
                <w:rFonts w:ascii="Arial Narrow" w:hAnsi="Arial Narrow"/>
                <w:sz w:val="20"/>
                <w:lang w:val="fr-FR"/>
              </w:rPr>
            </w:pPr>
            <w:r w:rsidRPr="005F598D">
              <w:rPr>
                <w:rFonts w:ascii="Arial Narrow" w:hAnsi="Arial Narrow"/>
                <w:sz w:val="20"/>
              </w:rPr>
              <w:t>Proprietary Name and Manufacturer</w:t>
            </w:r>
          </w:p>
        </w:tc>
      </w:tr>
      <w:tr w:rsidR="009E386C" w:rsidRPr="00413860" w:rsidTr="00BE0D68">
        <w:trPr>
          <w:cantSplit/>
          <w:trHeight w:val="567"/>
        </w:trPr>
        <w:tc>
          <w:tcPr>
            <w:tcW w:w="1851" w:type="pct"/>
            <w:gridSpan w:val="2"/>
            <w:vAlign w:val="center"/>
          </w:tcPr>
          <w:p w:rsidR="00487729" w:rsidRPr="005F598D" w:rsidRDefault="009E386C" w:rsidP="004E6CA2">
            <w:pPr>
              <w:keepNext/>
              <w:widowControl/>
              <w:jc w:val="left"/>
              <w:rPr>
                <w:rFonts w:ascii="Arial Narrow" w:hAnsi="Arial Narrow"/>
                <w:sz w:val="20"/>
              </w:rPr>
            </w:pPr>
            <w:r w:rsidRPr="005F598D">
              <w:rPr>
                <w:rFonts w:ascii="Arial Narrow" w:hAnsi="Arial Narrow"/>
                <w:smallCaps/>
                <w:sz w:val="20"/>
              </w:rPr>
              <w:t>Exenatide</w:t>
            </w:r>
          </w:p>
          <w:p w:rsidR="00487729" w:rsidRPr="005F598D" w:rsidRDefault="009E386C" w:rsidP="005B7E21">
            <w:pPr>
              <w:keepNext/>
              <w:widowControl/>
              <w:jc w:val="left"/>
              <w:rPr>
                <w:rFonts w:ascii="Arial Narrow" w:hAnsi="Arial Narrow"/>
                <w:sz w:val="20"/>
              </w:rPr>
            </w:pPr>
            <w:r w:rsidRPr="005F598D">
              <w:rPr>
                <w:rFonts w:ascii="Arial Narrow" w:hAnsi="Arial Narrow"/>
                <w:sz w:val="20"/>
              </w:rPr>
              <w:t>Powder for injection 2</w:t>
            </w:r>
            <w:r w:rsidR="005B7E21">
              <w:rPr>
                <w:rFonts w:ascii="Arial Narrow" w:hAnsi="Arial Narrow"/>
                <w:sz w:val="20"/>
              </w:rPr>
              <w:t> </w:t>
            </w:r>
            <w:r w:rsidRPr="005F598D">
              <w:rPr>
                <w:rFonts w:ascii="Arial Narrow" w:hAnsi="Arial Narrow"/>
                <w:sz w:val="20"/>
              </w:rPr>
              <w:t>mg</w:t>
            </w:r>
          </w:p>
        </w:tc>
        <w:tc>
          <w:tcPr>
            <w:tcW w:w="377" w:type="pct"/>
            <w:vAlign w:val="center"/>
          </w:tcPr>
          <w:p w:rsidR="00487729" w:rsidRPr="005F598D" w:rsidRDefault="00487729" w:rsidP="004E6CA2">
            <w:pPr>
              <w:keepNext/>
              <w:widowControl/>
              <w:jc w:val="center"/>
              <w:rPr>
                <w:rFonts w:ascii="Arial Narrow" w:hAnsi="Arial Narrow"/>
                <w:sz w:val="20"/>
              </w:rPr>
            </w:pPr>
          </w:p>
          <w:p w:rsidR="00487729" w:rsidRPr="005F598D" w:rsidRDefault="009E386C" w:rsidP="004E6CA2">
            <w:pPr>
              <w:keepNext/>
              <w:widowControl/>
              <w:jc w:val="center"/>
              <w:rPr>
                <w:rFonts w:ascii="Arial Narrow" w:hAnsi="Arial Narrow"/>
                <w:sz w:val="20"/>
              </w:rPr>
            </w:pPr>
            <w:r w:rsidRPr="005F598D">
              <w:rPr>
                <w:rFonts w:ascii="Arial Narrow" w:hAnsi="Arial Narrow"/>
                <w:sz w:val="20"/>
              </w:rPr>
              <w:t>4</w:t>
            </w:r>
          </w:p>
        </w:tc>
        <w:tc>
          <w:tcPr>
            <w:tcW w:w="462" w:type="pct"/>
            <w:vAlign w:val="center"/>
          </w:tcPr>
          <w:p w:rsidR="00487729" w:rsidRPr="005F598D" w:rsidRDefault="00487729" w:rsidP="004E6CA2">
            <w:pPr>
              <w:keepNext/>
              <w:widowControl/>
              <w:jc w:val="center"/>
              <w:rPr>
                <w:rFonts w:ascii="Arial Narrow" w:hAnsi="Arial Narrow"/>
                <w:sz w:val="20"/>
              </w:rPr>
            </w:pPr>
          </w:p>
          <w:p w:rsidR="00487729" w:rsidRPr="005F598D" w:rsidRDefault="009E386C" w:rsidP="004E6CA2">
            <w:pPr>
              <w:keepNext/>
              <w:widowControl/>
              <w:jc w:val="center"/>
              <w:rPr>
                <w:rFonts w:ascii="Arial Narrow" w:hAnsi="Arial Narrow"/>
                <w:sz w:val="20"/>
              </w:rPr>
            </w:pPr>
            <w:r w:rsidRPr="005F598D">
              <w:rPr>
                <w:rFonts w:ascii="Arial Narrow" w:hAnsi="Arial Narrow"/>
                <w:sz w:val="20"/>
              </w:rPr>
              <w:t>5</w:t>
            </w:r>
          </w:p>
        </w:tc>
        <w:tc>
          <w:tcPr>
            <w:tcW w:w="870" w:type="pct"/>
            <w:vAlign w:val="center"/>
          </w:tcPr>
          <w:p w:rsidR="00487729" w:rsidRPr="005F598D" w:rsidRDefault="00487729" w:rsidP="004E6CA2">
            <w:pPr>
              <w:keepNext/>
              <w:widowControl/>
              <w:jc w:val="center"/>
              <w:rPr>
                <w:rFonts w:ascii="Arial Narrow" w:hAnsi="Arial Narrow"/>
                <w:sz w:val="20"/>
              </w:rPr>
            </w:pPr>
          </w:p>
          <w:p w:rsidR="00487729" w:rsidRPr="005F598D" w:rsidRDefault="00487729" w:rsidP="004E6CA2">
            <w:pPr>
              <w:keepNext/>
              <w:widowControl/>
              <w:jc w:val="center"/>
              <w:rPr>
                <w:rFonts w:ascii="Arial Narrow" w:hAnsi="Arial Narrow"/>
                <w:sz w:val="20"/>
              </w:rPr>
            </w:pPr>
            <w:r w:rsidRPr="00B8529C">
              <w:rPr>
                <w:rFonts w:ascii="Arial Narrow" w:hAnsi="Arial Narrow"/>
                <w:sz w:val="20"/>
              </w:rPr>
              <w:t>$</w:t>
            </w:r>
            <w:r w:rsidR="00C01A93">
              <w:rPr>
                <w:rFonts w:ascii="Arial Narrow" w:hAnsi="Arial Narrow"/>
                <w:noProof/>
                <w:color w:val="000000"/>
                <w:sz w:val="20"/>
                <w:highlight w:val="black"/>
              </w:rPr>
              <w:t>''''''''''''''''''</w:t>
            </w:r>
          </w:p>
        </w:tc>
        <w:tc>
          <w:tcPr>
            <w:tcW w:w="649" w:type="pct"/>
            <w:vAlign w:val="center"/>
          </w:tcPr>
          <w:p w:rsidR="008B7C62" w:rsidRPr="005F598D" w:rsidRDefault="008B7C62" w:rsidP="004E6CA2">
            <w:pPr>
              <w:keepNext/>
              <w:widowControl/>
              <w:jc w:val="center"/>
              <w:rPr>
                <w:rFonts w:ascii="Arial Narrow" w:hAnsi="Arial Narrow"/>
                <w:sz w:val="20"/>
              </w:rPr>
            </w:pPr>
          </w:p>
          <w:p w:rsidR="00487729" w:rsidRPr="005F598D" w:rsidRDefault="009E386C" w:rsidP="004E6CA2">
            <w:pPr>
              <w:keepNext/>
              <w:widowControl/>
              <w:jc w:val="center"/>
              <w:rPr>
                <w:rFonts w:ascii="Arial Narrow" w:hAnsi="Arial Narrow"/>
                <w:sz w:val="20"/>
              </w:rPr>
            </w:pPr>
            <w:r w:rsidRPr="005F598D">
              <w:rPr>
                <w:rFonts w:ascii="Arial Narrow" w:hAnsi="Arial Narrow"/>
                <w:sz w:val="20"/>
              </w:rPr>
              <w:t>Bydureon®</w:t>
            </w:r>
          </w:p>
        </w:tc>
        <w:tc>
          <w:tcPr>
            <w:tcW w:w="792" w:type="pct"/>
            <w:vAlign w:val="center"/>
          </w:tcPr>
          <w:p w:rsidR="008B7C62" w:rsidRPr="005F598D" w:rsidRDefault="008B7C62" w:rsidP="004E6CA2">
            <w:pPr>
              <w:keepNext/>
              <w:widowControl/>
              <w:jc w:val="center"/>
              <w:rPr>
                <w:rFonts w:ascii="Arial Narrow" w:hAnsi="Arial Narrow"/>
                <w:sz w:val="20"/>
              </w:rPr>
            </w:pPr>
          </w:p>
          <w:p w:rsidR="00487729" w:rsidRPr="005F598D" w:rsidRDefault="009E386C" w:rsidP="004E6CA2">
            <w:pPr>
              <w:keepNext/>
              <w:widowControl/>
              <w:jc w:val="center"/>
              <w:rPr>
                <w:rFonts w:ascii="Arial Narrow" w:hAnsi="Arial Narrow"/>
                <w:sz w:val="20"/>
              </w:rPr>
            </w:pPr>
            <w:r w:rsidRPr="005F598D">
              <w:rPr>
                <w:rFonts w:ascii="Arial Narrow" w:hAnsi="Arial Narrow"/>
                <w:sz w:val="20"/>
              </w:rPr>
              <w:t>AZ</w:t>
            </w:r>
          </w:p>
        </w:tc>
      </w:tr>
      <w:tr w:rsidR="00487729" w:rsidRPr="00413860" w:rsidTr="00BE0D68">
        <w:trPr>
          <w:cantSplit/>
          <w:trHeight w:val="354"/>
        </w:trPr>
        <w:tc>
          <w:tcPr>
            <w:tcW w:w="5000" w:type="pct"/>
            <w:gridSpan w:val="7"/>
            <w:vAlign w:val="center"/>
          </w:tcPr>
          <w:p w:rsidR="00487729" w:rsidRPr="008F7860" w:rsidRDefault="005D3FF4" w:rsidP="004E6CA2">
            <w:pPr>
              <w:keepNext/>
              <w:widowControl/>
              <w:rPr>
                <w:rFonts w:ascii="Arial Narrow" w:hAnsi="Arial Narrow"/>
                <w:sz w:val="20"/>
                <w:szCs w:val="20"/>
              </w:rPr>
            </w:pPr>
            <w:r w:rsidRPr="008F7860">
              <w:rPr>
                <w:rFonts w:ascii="Arial Narrow" w:hAnsi="Arial Narrow"/>
                <w:b/>
                <w:sz w:val="20"/>
                <w:szCs w:val="20"/>
              </w:rPr>
              <w:t xml:space="preserve">Abbreviated version </w:t>
            </w:r>
            <w:r w:rsidRPr="001E6585">
              <w:rPr>
                <w:rFonts w:ascii="Arial Narrow" w:hAnsi="Arial Narrow"/>
                <w:b/>
                <w:sz w:val="20"/>
                <w:szCs w:val="20"/>
              </w:rPr>
              <w:t xml:space="preserve">(refer to </w:t>
            </w:r>
            <w:r w:rsidR="001E6585" w:rsidRPr="001E6585">
              <w:rPr>
                <w:rFonts w:ascii="Arial Narrow" w:hAnsi="Arial Narrow"/>
                <w:b/>
                <w:sz w:val="20"/>
                <w:szCs w:val="20"/>
              </w:rPr>
              <w:t xml:space="preserve">Section 8 </w:t>
            </w:r>
            <w:r w:rsidRPr="001E6585">
              <w:rPr>
                <w:rFonts w:ascii="Arial Narrow" w:hAnsi="Arial Narrow"/>
                <w:b/>
                <w:sz w:val="20"/>
                <w:szCs w:val="20"/>
              </w:rPr>
              <w:t xml:space="preserve">for complete details of the </w:t>
            </w:r>
            <w:r w:rsidR="001E6585" w:rsidRPr="001E6585">
              <w:rPr>
                <w:rFonts w:ascii="Arial Narrow" w:hAnsi="Arial Narrow"/>
                <w:b/>
                <w:sz w:val="20"/>
                <w:szCs w:val="20"/>
              </w:rPr>
              <w:t xml:space="preserve">recommended </w:t>
            </w:r>
            <w:r w:rsidRPr="001E6585">
              <w:rPr>
                <w:rFonts w:ascii="Arial Narrow" w:hAnsi="Arial Narrow"/>
                <w:b/>
                <w:sz w:val="20"/>
                <w:szCs w:val="20"/>
              </w:rPr>
              <w:t>restriction)</w:t>
            </w:r>
          </w:p>
        </w:tc>
      </w:tr>
      <w:tr w:rsidR="00BE0D68" w:rsidRPr="003F6AE5" w:rsidTr="00BE0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7"/>
            <w:shd w:val="clear" w:color="auto" w:fill="auto"/>
          </w:tcPr>
          <w:p w:rsidR="00BE0D68" w:rsidRPr="008F7860" w:rsidRDefault="00BE0D68" w:rsidP="004E6CA2">
            <w:pPr>
              <w:keepNext/>
              <w:keepLines/>
              <w:widowControl/>
              <w:jc w:val="left"/>
              <w:rPr>
                <w:rFonts w:ascii="Arial Narrow" w:hAnsi="Arial Narrow"/>
                <w:b/>
                <w:snapToGrid/>
                <w:sz w:val="20"/>
                <w:szCs w:val="20"/>
              </w:rPr>
            </w:pPr>
            <w:r w:rsidRPr="008F7860">
              <w:rPr>
                <w:rFonts w:ascii="Arial Narrow" w:hAnsi="Arial Narrow"/>
                <w:b/>
                <w:bCs/>
                <w:sz w:val="20"/>
                <w:szCs w:val="20"/>
                <w:lang w:eastAsia="en-AU"/>
              </w:rPr>
              <w:t>Dual combination therapy with metformin or a sulfonylurea</w:t>
            </w:r>
            <w:r w:rsidRPr="008F7860" w:rsidDel="00C7330F">
              <w:rPr>
                <w:rFonts w:ascii="Arial Narrow" w:hAnsi="Arial Narrow"/>
                <w:b/>
                <w:snapToGrid/>
                <w:sz w:val="20"/>
                <w:szCs w:val="20"/>
              </w:rPr>
              <w:t xml:space="preserve"> </w:t>
            </w:r>
          </w:p>
        </w:tc>
      </w:tr>
      <w:tr w:rsidR="00BE0D68" w:rsidRPr="003F6AE5" w:rsidTr="00BE0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862" w:type="pct"/>
            <w:shd w:val="clear" w:color="auto" w:fill="auto"/>
          </w:tcPr>
          <w:p w:rsidR="00BE0D68" w:rsidRPr="008F7860" w:rsidRDefault="00BE0D68" w:rsidP="004E6CA2">
            <w:pPr>
              <w:keepNext/>
              <w:keepLines/>
              <w:widowControl/>
              <w:jc w:val="left"/>
              <w:rPr>
                <w:rFonts w:ascii="Arial Narrow" w:hAnsi="Arial Narrow"/>
                <w:snapToGrid/>
                <w:sz w:val="20"/>
                <w:szCs w:val="20"/>
              </w:rPr>
            </w:pPr>
            <w:r w:rsidRPr="008F7860">
              <w:rPr>
                <w:rFonts w:ascii="Arial Narrow" w:hAnsi="Arial Narrow"/>
                <w:snapToGrid/>
                <w:sz w:val="20"/>
                <w:szCs w:val="20"/>
              </w:rPr>
              <w:t>Indication</w:t>
            </w:r>
          </w:p>
        </w:tc>
        <w:tc>
          <w:tcPr>
            <w:tcW w:w="4138" w:type="pct"/>
            <w:gridSpan w:val="6"/>
            <w:shd w:val="clear" w:color="auto" w:fill="auto"/>
          </w:tcPr>
          <w:p w:rsidR="00BE0D68" w:rsidRPr="008F7860" w:rsidRDefault="00BE0D68" w:rsidP="004E6CA2">
            <w:pPr>
              <w:keepNext/>
              <w:keepLines/>
              <w:widowControl/>
              <w:jc w:val="left"/>
              <w:rPr>
                <w:rFonts w:ascii="Arial Narrow" w:hAnsi="Arial Narrow"/>
                <w:snapToGrid/>
                <w:sz w:val="20"/>
                <w:szCs w:val="20"/>
              </w:rPr>
            </w:pPr>
            <w:r w:rsidRPr="008F7860">
              <w:rPr>
                <w:rFonts w:ascii="Arial Narrow" w:hAnsi="Arial Narrow"/>
                <w:snapToGrid/>
                <w:sz w:val="20"/>
                <w:szCs w:val="20"/>
              </w:rPr>
              <w:t>Type 2 diabetes mellitus</w:t>
            </w:r>
          </w:p>
        </w:tc>
      </w:tr>
      <w:tr w:rsidR="00BE0D68" w:rsidRPr="003F6AE5" w:rsidTr="00BE0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862" w:type="pct"/>
            <w:shd w:val="clear" w:color="auto" w:fill="auto"/>
          </w:tcPr>
          <w:p w:rsidR="00BE0D68" w:rsidRPr="008F7860" w:rsidRDefault="00BE0D68" w:rsidP="004E6CA2">
            <w:pPr>
              <w:keepNext/>
              <w:keepLines/>
              <w:widowControl/>
              <w:jc w:val="left"/>
              <w:rPr>
                <w:rFonts w:ascii="Arial Narrow" w:hAnsi="Arial Narrow"/>
                <w:snapToGrid/>
                <w:sz w:val="20"/>
                <w:szCs w:val="20"/>
              </w:rPr>
            </w:pPr>
            <w:r w:rsidRPr="008F7860">
              <w:rPr>
                <w:rFonts w:ascii="Arial Narrow" w:hAnsi="Arial Narrow"/>
                <w:snapToGrid/>
                <w:sz w:val="20"/>
                <w:szCs w:val="20"/>
              </w:rPr>
              <w:t>Restriction</w:t>
            </w:r>
          </w:p>
        </w:tc>
        <w:tc>
          <w:tcPr>
            <w:tcW w:w="4138" w:type="pct"/>
            <w:gridSpan w:val="6"/>
            <w:shd w:val="clear" w:color="auto" w:fill="auto"/>
          </w:tcPr>
          <w:p w:rsidR="00BE0D68" w:rsidRPr="008F7860" w:rsidRDefault="00BE0D68" w:rsidP="004E6CA2">
            <w:pPr>
              <w:keepNext/>
              <w:keepLines/>
              <w:widowControl/>
              <w:jc w:val="left"/>
              <w:rPr>
                <w:rFonts w:ascii="Arial Narrow" w:hAnsi="Arial Narrow"/>
                <w:snapToGrid/>
                <w:sz w:val="20"/>
                <w:szCs w:val="20"/>
              </w:rPr>
            </w:pPr>
            <w:r w:rsidRPr="008F7860">
              <w:rPr>
                <w:rFonts w:ascii="Arial Narrow" w:hAnsi="Arial Narrow"/>
                <w:snapToGrid/>
                <w:sz w:val="20"/>
                <w:szCs w:val="20"/>
              </w:rPr>
              <w:t>Authority Required (streamlined)</w:t>
            </w:r>
          </w:p>
        </w:tc>
      </w:tr>
      <w:tr w:rsidR="00BE0D68" w:rsidRPr="00281582" w:rsidDel="00BE2824" w:rsidTr="00BE0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3"/>
        </w:trPr>
        <w:tc>
          <w:tcPr>
            <w:tcW w:w="862" w:type="pct"/>
            <w:shd w:val="clear" w:color="auto" w:fill="auto"/>
          </w:tcPr>
          <w:p w:rsidR="00BE0D68" w:rsidRPr="008F7860" w:rsidRDefault="00BE0D68" w:rsidP="004E6CA2">
            <w:pPr>
              <w:keepNext/>
              <w:keepLines/>
              <w:widowControl/>
              <w:jc w:val="left"/>
              <w:rPr>
                <w:rFonts w:ascii="Arial Narrow" w:hAnsi="Arial Narrow"/>
                <w:snapToGrid/>
                <w:sz w:val="20"/>
                <w:szCs w:val="20"/>
              </w:rPr>
            </w:pPr>
            <w:r w:rsidRPr="008F7860">
              <w:rPr>
                <w:rFonts w:ascii="Arial Narrow" w:hAnsi="Arial Narrow"/>
                <w:snapToGrid/>
                <w:sz w:val="20"/>
                <w:szCs w:val="20"/>
              </w:rPr>
              <w:t>Clinical criteria</w:t>
            </w:r>
          </w:p>
        </w:tc>
        <w:tc>
          <w:tcPr>
            <w:tcW w:w="4138" w:type="pct"/>
            <w:gridSpan w:val="6"/>
            <w:shd w:val="clear" w:color="auto" w:fill="auto"/>
          </w:tcPr>
          <w:p w:rsidR="00BE0D68" w:rsidRPr="008F7860" w:rsidRDefault="00BE0D68" w:rsidP="004E6CA2">
            <w:pPr>
              <w:keepNext/>
              <w:keepLines/>
              <w:widowControl/>
              <w:jc w:val="left"/>
              <w:rPr>
                <w:rFonts w:ascii="Arial Narrow" w:hAnsi="Arial Narrow"/>
                <w:snapToGrid/>
                <w:sz w:val="20"/>
                <w:szCs w:val="20"/>
              </w:rPr>
            </w:pPr>
            <w:r w:rsidRPr="008F7860">
              <w:rPr>
                <w:rFonts w:ascii="Arial Narrow" w:hAnsi="Arial Narrow"/>
                <w:snapToGrid/>
                <w:sz w:val="20"/>
                <w:szCs w:val="20"/>
              </w:rPr>
              <w:t xml:space="preserve">The treatment must be in combination with metformin OR </w:t>
            </w:r>
          </w:p>
          <w:p w:rsidR="00BE0D68" w:rsidRPr="008F7860" w:rsidRDefault="00BE0D68" w:rsidP="004E6CA2">
            <w:pPr>
              <w:keepNext/>
              <w:keepLines/>
              <w:widowControl/>
              <w:jc w:val="left"/>
              <w:rPr>
                <w:rFonts w:ascii="Arial Narrow" w:hAnsi="Arial Narrow"/>
                <w:snapToGrid/>
                <w:sz w:val="20"/>
                <w:szCs w:val="20"/>
              </w:rPr>
            </w:pPr>
            <w:r w:rsidRPr="008F7860">
              <w:rPr>
                <w:rFonts w:ascii="Arial Narrow" w:hAnsi="Arial Narrow"/>
                <w:snapToGrid/>
                <w:sz w:val="20"/>
                <w:szCs w:val="20"/>
              </w:rPr>
              <w:t>The treatment must be in combination with a sulfonylurea</w:t>
            </w:r>
          </w:p>
          <w:p w:rsidR="00BE0D68" w:rsidRPr="008F7860" w:rsidRDefault="00BE0D68" w:rsidP="004E6CA2">
            <w:pPr>
              <w:keepNext/>
              <w:keepLines/>
              <w:widowControl/>
              <w:jc w:val="left"/>
              <w:rPr>
                <w:rFonts w:ascii="Arial Narrow" w:hAnsi="Arial Narrow"/>
                <w:snapToGrid/>
                <w:sz w:val="20"/>
                <w:szCs w:val="20"/>
              </w:rPr>
            </w:pPr>
            <w:r w:rsidRPr="008F7860">
              <w:rPr>
                <w:rFonts w:ascii="Arial Narrow" w:hAnsi="Arial Narrow"/>
                <w:snapToGrid/>
                <w:sz w:val="20"/>
                <w:szCs w:val="20"/>
              </w:rPr>
              <w:t>AND patient must have a contraindication to a combination of metformin and a sulfony</w:t>
            </w:r>
            <w:r w:rsidR="003D67E2" w:rsidRPr="008F7860">
              <w:rPr>
                <w:rFonts w:ascii="Arial Narrow" w:hAnsi="Arial Narrow"/>
                <w:snapToGrid/>
                <w:sz w:val="20"/>
                <w:szCs w:val="20"/>
              </w:rPr>
              <w:t>l</w:t>
            </w:r>
            <w:r w:rsidRPr="008F7860">
              <w:rPr>
                <w:rFonts w:ascii="Arial Narrow" w:hAnsi="Arial Narrow"/>
                <w:snapToGrid/>
                <w:sz w:val="20"/>
                <w:szCs w:val="20"/>
              </w:rPr>
              <w:t>urea OR patients must not have tolerated a combination of metformin and a sulfonylurea</w:t>
            </w:r>
          </w:p>
          <w:p w:rsidR="00BE0D68" w:rsidRPr="008F7860" w:rsidDel="00BE2824" w:rsidRDefault="00BE0D68" w:rsidP="004E6CA2">
            <w:pPr>
              <w:keepNext/>
              <w:keepLines/>
              <w:widowControl/>
              <w:jc w:val="left"/>
              <w:rPr>
                <w:rFonts w:ascii="Arial Narrow" w:hAnsi="Arial Narrow"/>
                <w:snapToGrid/>
                <w:sz w:val="20"/>
                <w:szCs w:val="20"/>
              </w:rPr>
            </w:pPr>
            <w:r w:rsidRPr="008F7860">
              <w:rPr>
                <w:rFonts w:ascii="Arial Narrow" w:hAnsi="Arial Narrow"/>
                <w:snapToGrid/>
                <w:sz w:val="20"/>
                <w:szCs w:val="20"/>
              </w:rPr>
              <w:t>AND patient must have, or have had, a HbA1c measurement greater than 7%</w:t>
            </w:r>
          </w:p>
        </w:tc>
      </w:tr>
      <w:tr w:rsidR="00BE0D68" w:rsidRPr="00281582" w:rsidDel="00BE2824" w:rsidTr="00BE0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000" w:type="pct"/>
            <w:gridSpan w:val="7"/>
            <w:shd w:val="clear" w:color="auto" w:fill="auto"/>
          </w:tcPr>
          <w:p w:rsidR="00BE0D68" w:rsidRPr="008F7860" w:rsidDel="00BE2824" w:rsidRDefault="00BE0D68" w:rsidP="004E6CA2">
            <w:pPr>
              <w:keepNext/>
              <w:keepLines/>
              <w:widowControl/>
              <w:jc w:val="left"/>
              <w:rPr>
                <w:rFonts w:ascii="Arial Narrow" w:hAnsi="Arial Narrow"/>
                <w:snapToGrid/>
                <w:sz w:val="20"/>
                <w:szCs w:val="20"/>
              </w:rPr>
            </w:pPr>
            <w:r w:rsidRPr="008F7860">
              <w:rPr>
                <w:rFonts w:ascii="Arial Narrow" w:hAnsi="Arial Narrow"/>
                <w:b/>
                <w:bCs/>
                <w:sz w:val="20"/>
                <w:szCs w:val="20"/>
                <w:lang w:eastAsia="en-AU"/>
              </w:rPr>
              <w:t>Triple combination therapy with metformin and a sulfonylurea</w:t>
            </w:r>
          </w:p>
        </w:tc>
      </w:tr>
      <w:tr w:rsidR="00BE0D68" w:rsidRPr="00281582" w:rsidTr="00BE0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3"/>
        </w:trPr>
        <w:tc>
          <w:tcPr>
            <w:tcW w:w="862" w:type="pct"/>
            <w:shd w:val="clear" w:color="auto" w:fill="auto"/>
          </w:tcPr>
          <w:p w:rsidR="00BE0D68" w:rsidRPr="008F7860" w:rsidRDefault="00BE0D68" w:rsidP="004E6CA2">
            <w:pPr>
              <w:keepNext/>
              <w:keepLines/>
              <w:widowControl/>
              <w:jc w:val="left"/>
              <w:rPr>
                <w:rFonts w:ascii="Arial Narrow" w:hAnsi="Arial Narrow"/>
                <w:snapToGrid/>
                <w:sz w:val="20"/>
                <w:szCs w:val="20"/>
              </w:rPr>
            </w:pPr>
            <w:r w:rsidRPr="008F7860">
              <w:rPr>
                <w:rFonts w:ascii="Arial Narrow" w:hAnsi="Arial Narrow"/>
                <w:snapToGrid/>
                <w:sz w:val="20"/>
                <w:szCs w:val="20"/>
              </w:rPr>
              <w:t>Clinical criteria</w:t>
            </w:r>
          </w:p>
        </w:tc>
        <w:tc>
          <w:tcPr>
            <w:tcW w:w="4138" w:type="pct"/>
            <w:gridSpan w:val="6"/>
            <w:shd w:val="clear" w:color="auto" w:fill="auto"/>
          </w:tcPr>
          <w:p w:rsidR="00BE0D68" w:rsidRPr="008F7860" w:rsidRDefault="00BE0D68" w:rsidP="004E6CA2">
            <w:pPr>
              <w:keepNext/>
              <w:keepLines/>
              <w:widowControl/>
              <w:jc w:val="left"/>
              <w:rPr>
                <w:rFonts w:ascii="Arial Narrow" w:hAnsi="Arial Narrow"/>
                <w:snapToGrid/>
                <w:sz w:val="20"/>
                <w:szCs w:val="20"/>
              </w:rPr>
            </w:pPr>
            <w:r w:rsidRPr="008F7860">
              <w:rPr>
                <w:rFonts w:ascii="Arial Narrow" w:hAnsi="Arial Narrow"/>
                <w:snapToGrid/>
                <w:sz w:val="20"/>
                <w:szCs w:val="20"/>
              </w:rPr>
              <w:t xml:space="preserve">The treatment must be in combination with metformin </w:t>
            </w:r>
          </w:p>
          <w:p w:rsidR="00BE0D68" w:rsidRPr="008F7860" w:rsidRDefault="00BE0D68" w:rsidP="004E6CA2">
            <w:pPr>
              <w:keepNext/>
              <w:keepLines/>
              <w:widowControl/>
              <w:jc w:val="left"/>
              <w:rPr>
                <w:rFonts w:ascii="Arial Narrow" w:hAnsi="Arial Narrow"/>
                <w:snapToGrid/>
                <w:sz w:val="20"/>
                <w:szCs w:val="20"/>
              </w:rPr>
            </w:pPr>
            <w:r w:rsidRPr="008F7860">
              <w:rPr>
                <w:rFonts w:ascii="Arial Narrow" w:hAnsi="Arial Narrow"/>
                <w:snapToGrid/>
                <w:sz w:val="20"/>
                <w:szCs w:val="20"/>
              </w:rPr>
              <w:t>AND the treatment must be in combination with a sulfonylurea</w:t>
            </w:r>
          </w:p>
          <w:p w:rsidR="00BE0D68" w:rsidRPr="008F7860" w:rsidRDefault="00BE0D68" w:rsidP="004E6CA2">
            <w:pPr>
              <w:keepNext/>
              <w:keepLines/>
              <w:widowControl/>
              <w:jc w:val="left"/>
              <w:rPr>
                <w:rFonts w:ascii="Arial Narrow" w:hAnsi="Arial Narrow"/>
                <w:snapToGrid/>
                <w:sz w:val="20"/>
                <w:szCs w:val="20"/>
              </w:rPr>
            </w:pPr>
            <w:r w:rsidRPr="008F7860">
              <w:rPr>
                <w:rFonts w:ascii="Arial Narrow" w:hAnsi="Arial Narrow"/>
                <w:snapToGrid/>
                <w:sz w:val="20"/>
                <w:szCs w:val="20"/>
              </w:rPr>
              <w:t>AND patient must have, or have had, a HbA1c measurement greater than 7%</w:t>
            </w:r>
          </w:p>
        </w:tc>
      </w:tr>
    </w:tbl>
    <w:p w:rsidR="00B22FA4" w:rsidRPr="00882085" w:rsidRDefault="00B22FA4" w:rsidP="004E6CA2">
      <w:pPr>
        <w:widowControl/>
      </w:pPr>
    </w:p>
    <w:p w:rsidR="003E5700" w:rsidRDefault="003F6AE5" w:rsidP="004E6CA2">
      <w:pPr>
        <w:pStyle w:val="BodyText"/>
        <w:widowControl/>
        <w:numPr>
          <w:ilvl w:val="1"/>
          <w:numId w:val="47"/>
        </w:numPr>
        <w:jc w:val="both"/>
      </w:pPr>
      <w:r>
        <w:t xml:space="preserve">The re-submission did not dispute the clinical claim </w:t>
      </w:r>
      <w:r w:rsidR="00117E09">
        <w:t>accepted by the PBAC at the November 2013 meeting that exenatide once weekly has at least non-inferior efficacy and non-inferior safety compared to exenatide 10</w:t>
      </w:r>
      <w:r w:rsidR="005B7E21">
        <w:t> mcg twice daily.</w:t>
      </w:r>
    </w:p>
    <w:p w:rsidR="003E5700" w:rsidRPr="00F34EF3" w:rsidRDefault="003E5700" w:rsidP="004E6CA2">
      <w:pPr>
        <w:widowControl/>
      </w:pPr>
    </w:p>
    <w:p w:rsidR="007661D3" w:rsidRDefault="003E5700" w:rsidP="004E6CA2">
      <w:pPr>
        <w:pStyle w:val="BodyText"/>
        <w:widowControl/>
        <w:numPr>
          <w:ilvl w:val="1"/>
          <w:numId w:val="47"/>
        </w:numPr>
        <w:jc w:val="both"/>
      </w:pPr>
      <w:r w:rsidRPr="00F34EF3">
        <w:t>Compared to the November 2013 re-submission</w:t>
      </w:r>
      <w:r w:rsidR="002A4EA3" w:rsidRPr="00F34EF3">
        <w:t xml:space="preserve"> that requested a DPMQ of $</w:t>
      </w:r>
      <w:r w:rsidR="00C01A93">
        <w:rPr>
          <w:noProof/>
          <w:color w:val="000000"/>
          <w:highlight w:val="black"/>
        </w:rPr>
        <w:t>'''''''''''''''</w:t>
      </w:r>
      <w:r w:rsidRPr="00F34EF3">
        <w:t>, this r</w:t>
      </w:r>
      <w:r w:rsidR="00117E09" w:rsidRPr="00F34EF3">
        <w:t xml:space="preserve">e-submission requested a higher price </w:t>
      </w:r>
      <w:r w:rsidRPr="00F34EF3">
        <w:t>of $</w:t>
      </w:r>
      <w:r w:rsidR="00C01A93">
        <w:rPr>
          <w:noProof/>
          <w:color w:val="000000"/>
          <w:highlight w:val="black"/>
        </w:rPr>
        <w:t>'''''''''''''''</w:t>
      </w:r>
      <w:r w:rsidRPr="00F34EF3">
        <w:t xml:space="preserve"> for a 28-day supply</w:t>
      </w:r>
      <w:r w:rsidR="00EB0168">
        <w:t xml:space="preserve">. The price </w:t>
      </w:r>
      <w:r w:rsidR="00FF5077">
        <w:t>advantage</w:t>
      </w:r>
      <w:r w:rsidR="00EB0168">
        <w:t xml:space="preserve"> is based on </w:t>
      </w:r>
      <w:r w:rsidR="00EB0168" w:rsidRPr="00EB0168">
        <w:t>a cost-analysis,</w:t>
      </w:r>
      <w:r w:rsidR="007661D3">
        <w:t xml:space="preserve"> including </w:t>
      </w:r>
      <w:r w:rsidR="007661D3" w:rsidRPr="00EB0168">
        <w:t>analysis of the treatment of patients with a high clinical need</w:t>
      </w:r>
      <w:r w:rsidR="005B7E21">
        <w:t>,</w:t>
      </w:r>
      <w:r w:rsidR="007661D3">
        <w:t xml:space="preserve"> and </w:t>
      </w:r>
      <w:r w:rsidR="00EB0168" w:rsidRPr="00EB0168">
        <w:t xml:space="preserve">a local </w:t>
      </w:r>
      <w:r w:rsidR="007661D3">
        <w:t>w</w:t>
      </w:r>
      <w:r w:rsidR="00EB0168" w:rsidRPr="00EB0168">
        <w:t xml:space="preserve">illingness to </w:t>
      </w:r>
      <w:r w:rsidR="007661D3">
        <w:t>p</w:t>
      </w:r>
      <w:r w:rsidR="00EB0168" w:rsidRPr="00EB0168">
        <w:t>ay (WTP) study</w:t>
      </w:r>
      <w:r w:rsidR="00117E09" w:rsidRPr="00F34EF3">
        <w:t>.</w:t>
      </w:r>
      <w:r w:rsidR="007578A8">
        <w:t xml:space="preserve"> </w:t>
      </w:r>
      <w:r w:rsidRPr="00F34EF3">
        <w:t>The reference</w:t>
      </w:r>
      <w:r>
        <w:t xml:space="preserve"> to the special pricing arrangement was also removed since the special pricing arrangement for exenatide twice daily expired in April 2015.</w:t>
      </w:r>
    </w:p>
    <w:p w:rsidR="007661D3" w:rsidRDefault="007661D3" w:rsidP="004E6CA2">
      <w:pPr>
        <w:widowControl/>
      </w:pPr>
    </w:p>
    <w:p w:rsidR="00EB0168" w:rsidRPr="00FA6A49" w:rsidRDefault="00205A2A" w:rsidP="004E6CA2">
      <w:pPr>
        <w:pStyle w:val="BodyText"/>
        <w:widowControl/>
        <w:numPr>
          <w:ilvl w:val="1"/>
          <w:numId w:val="47"/>
        </w:numPr>
        <w:jc w:val="both"/>
        <w:rPr>
          <w:i/>
          <w:szCs w:val="22"/>
        </w:rPr>
      </w:pPr>
      <w:r w:rsidRPr="00683C80">
        <w:t xml:space="preserve">The re-submission indicated that a new dual chamber pen (containing a vial of powder, a prefilled syringe of diluent, a vial connector and two needles), rather than the single dose tray that currently has TGA approval, </w:t>
      </w:r>
      <w:r>
        <w:t>h</w:t>
      </w:r>
      <w:r w:rsidRPr="00683C80">
        <w:t>as been submitted to the TGA for regulatory approval. The re-submission state</w:t>
      </w:r>
      <w:r>
        <w:t>d</w:t>
      </w:r>
      <w:r w:rsidRPr="00683C80">
        <w:t xml:space="preserve"> that</w:t>
      </w:r>
      <w:r w:rsidR="005B7E21">
        <w:t>,</w:t>
      </w:r>
      <w:r w:rsidRPr="00683C80">
        <w:t xml:space="preserve"> due to legislative instrument 99ACB, the sponsor is only intending to launch one presentation of exenatide </w:t>
      </w:r>
      <w:r w:rsidRPr="00683C80">
        <w:lastRenderedPageBreak/>
        <w:t>weekly.</w:t>
      </w:r>
      <w:r w:rsidR="00EB0168">
        <w:t xml:space="preserve"> </w:t>
      </w:r>
      <w:r w:rsidR="00EB0168" w:rsidRPr="00FB52D4">
        <w:rPr>
          <w:szCs w:val="22"/>
        </w:rPr>
        <w:t>The Secretariat noted that if the PBAC recommends exenatide weekly for listing at the proposed price, a minor submission to the PBAC would be required to request a change to the recommended listing to the dual chamber pen presentation.</w:t>
      </w:r>
      <w:r w:rsidR="00E344A1">
        <w:rPr>
          <w:szCs w:val="22"/>
        </w:rPr>
        <w:t xml:space="preserve"> </w:t>
      </w:r>
      <w:r w:rsidR="008B090A" w:rsidRPr="00244A23">
        <w:rPr>
          <w:szCs w:val="22"/>
        </w:rPr>
        <w:t xml:space="preserve">The </w:t>
      </w:r>
      <w:r w:rsidR="008B090A" w:rsidRPr="00244A23">
        <w:t>Pre-Sub Committee Response (PSCR) stated that the current submission is for both the single dose tr</w:t>
      </w:r>
      <w:r w:rsidR="00C10065">
        <w:t>a</w:t>
      </w:r>
      <w:r w:rsidR="008B090A" w:rsidRPr="00244A23">
        <w:t>y and the dual chamber pen presentations of exenatide. The Secretariat confirmed that a secretariat listing submission will be required to request listing of the dual chamber pen presentat</w:t>
      </w:r>
      <w:r w:rsidR="005B7E21">
        <w:t>ion following TGA registration.</w:t>
      </w:r>
    </w:p>
    <w:p w:rsidR="00FD7BAF" w:rsidRDefault="00FD7BAF" w:rsidP="004E6CA2">
      <w:pPr>
        <w:widowControl/>
      </w:pPr>
    </w:p>
    <w:p w:rsidR="00244A23" w:rsidRDefault="00244A23" w:rsidP="00B47522">
      <w:pPr>
        <w:pStyle w:val="ListParagraph"/>
        <w:widowControl/>
        <w:ind w:left="709"/>
        <w:rPr>
          <w:i/>
          <w:szCs w:val="22"/>
        </w:rPr>
      </w:pPr>
      <w:r w:rsidRPr="001E6585">
        <w:rPr>
          <w:i/>
          <w:szCs w:val="22"/>
        </w:rPr>
        <w:t>For more detail on PBAC’s view, see section 7 “PBAC outcome”</w:t>
      </w:r>
      <w:r w:rsidR="005B7E21">
        <w:rPr>
          <w:i/>
          <w:szCs w:val="22"/>
        </w:rPr>
        <w:t>.</w:t>
      </w:r>
    </w:p>
    <w:p w:rsidR="00344028" w:rsidRDefault="00344028" w:rsidP="004E6CA2">
      <w:pPr>
        <w:widowControl/>
      </w:pPr>
    </w:p>
    <w:p w:rsidR="006372A1" w:rsidRPr="00882085" w:rsidRDefault="006372A1" w:rsidP="004E6CA2">
      <w:pPr>
        <w:widowControl/>
      </w:pPr>
    </w:p>
    <w:p w:rsidR="00487729" w:rsidRPr="00407F2D" w:rsidRDefault="00487729" w:rsidP="004E6CA2">
      <w:pPr>
        <w:pStyle w:val="Heading2"/>
        <w:keepNext/>
        <w:widowControl/>
        <w:numPr>
          <w:ilvl w:val="0"/>
          <w:numId w:val="47"/>
        </w:numPr>
        <w:ind w:left="709" w:hanging="709"/>
      </w:pPr>
      <w:bookmarkStart w:id="7" w:name="_Toc392858191"/>
      <w:bookmarkStart w:id="8" w:name="_Toc419369075"/>
      <w:r w:rsidRPr="00407F2D">
        <w:t>Background</w:t>
      </w:r>
      <w:bookmarkEnd w:id="7"/>
      <w:bookmarkEnd w:id="8"/>
    </w:p>
    <w:p w:rsidR="00487729" w:rsidRPr="00882085" w:rsidRDefault="00487729" w:rsidP="004E6CA2">
      <w:pPr>
        <w:keepNext/>
        <w:widowControl/>
        <w:rPr>
          <w:szCs w:val="22"/>
        </w:rPr>
      </w:pPr>
    </w:p>
    <w:p w:rsidR="00487729" w:rsidRPr="00882085" w:rsidRDefault="00EB52F1" w:rsidP="004E6CA2">
      <w:pPr>
        <w:pStyle w:val="BodyText"/>
        <w:widowControl/>
        <w:numPr>
          <w:ilvl w:val="1"/>
          <w:numId w:val="47"/>
        </w:numPr>
        <w:jc w:val="both"/>
      </w:pPr>
      <w:r w:rsidRPr="001E6585">
        <w:rPr>
          <w:b/>
        </w:rPr>
        <w:t>TGA status at time of PBAC consideration:</w:t>
      </w:r>
      <w:r>
        <w:t xml:space="preserve"> </w:t>
      </w:r>
      <w:r w:rsidR="009D04B3">
        <w:t>Exenatide 2</w:t>
      </w:r>
      <w:r w:rsidR="005B7E21">
        <w:t> </w:t>
      </w:r>
      <w:r w:rsidR="009D04B3">
        <w:t xml:space="preserve">mg powder for injection once weekly was TGA registered on 20 December 2012 for the treatment of </w:t>
      </w:r>
      <w:r w:rsidR="005D3FF4">
        <w:t>T2DM</w:t>
      </w:r>
      <w:r w:rsidR="009D04B3">
        <w:t xml:space="preserve"> in combination with metformin, sulfonylureas or metformin and a sulfonylurea, in patients who have not achieved adequate glycaemic control.</w:t>
      </w:r>
    </w:p>
    <w:p w:rsidR="00487729" w:rsidRPr="005B7E21" w:rsidRDefault="00487729" w:rsidP="004E6CA2">
      <w:pPr>
        <w:widowControl/>
        <w:rPr>
          <w:szCs w:val="22"/>
        </w:rPr>
      </w:pPr>
    </w:p>
    <w:p w:rsidR="00827F63" w:rsidRPr="00827F63" w:rsidRDefault="008F2913" w:rsidP="004E6CA2">
      <w:pPr>
        <w:pStyle w:val="BodyText"/>
        <w:widowControl/>
        <w:numPr>
          <w:ilvl w:val="1"/>
          <w:numId w:val="47"/>
        </w:numPr>
        <w:jc w:val="both"/>
        <w:rPr>
          <w:u w:val="single"/>
        </w:rPr>
      </w:pPr>
      <w:r w:rsidRPr="008F2913">
        <w:t xml:space="preserve">This </w:t>
      </w:r>
      <w:r w:rsidR="00E459AA">
        <w:t>wa</w:t>
      </w:r>
      <w:r w:rsidR="00E459AA" w:rsidRPr="008F2913">
        <w:t xml:space="preserve">s </w:t>
      </w:r>
      <w:r w:rsidRPr="008F2913">
        <w:t>the fourth submission</w:t>
      </w:r>
      <w:r w:rsidR="009D04B3">
        <w:t xml:space="preserve"> to the PBAC</w:t>
      </w:r>
      <w:r w:rsidRPr="008F2913">
        <w:t xml:space="preserve"> for exenatide </w:t>
      </w:r>
      <w:r w:rsidR="00616B42">
        <w:t>2</w:t>
      </w:r>
      <w:r w:rsidR="005B7E21">
        <w:t> </w:t>
      </w:r>
      <w:r w:rsidR="00616B42">
        <w:t xml:space="preserve">mg </w:t>
      </w:r>
      <w:r w:rsidRPr="008F2913">
        <w:t>once weekly.</w:t>
      </w:r>
      <w:r w:rsidR="007578A8">
        <w:t xml:space="preserve"> </w:t>
      </w:r>
      <w:r w:rsidR="00470FAE">
        <w:t xml:space="preserve">Previous submissions were </w:t>
      </w:r>
      <w:r w:rsidR="005B7E21">
        <w:t xml:space="preserve">considered </w:t>
      </w:r>
      <w:r w:rsidR="00470FAE">
        <w:t>in July 2011</w:t>
      </w:r>
      <w:r w:rsidR="00263BC1">
        <w:t xml:space="preserve"> </w:t>
      </w:r>
      <w:r w:rsidR="00470FAE">
        <w:t>and November 2013</w:t>
      </w:r>
      <w:r w:rsidR="00244829">
        <w:t xml:space="preserve"> with a minor submission in </w:t>
      </w:r>
      <w:r w:rsidR="00263BC1">
        <w:t>July 2013</w:t>
      </w:r>
      <w:r w:rsidR="00470FAE">
        <w:t>.</w:t>
      </w:r>
    </w:p>
    <w:p w:rsidR="00827F63" w:rsidRPr="005B7E21" w:rsidRDefault="00827F63" w:rsidP="004E6CA2">
      <w:pPr>
        <w:widowControl/>
        <w:rPr>
          <w:u w:val="single"/>
        </w:rPr>
      </w:pPr>
    </w:p>
    <w:p w:rsidR="00827F63" w:rsidRPr="00827F63" w:rsidRDefault="008F2913" w:rsidP="004E6CA2">
      <w:pPr>
        <w:pStyle w:val="BodyText"/>
        <w:widowControl/>
        <w:numPr>
          <w:ilvl w:val="1"/>
          <w:numId w:val="47"/>
        </w:numPr>
        <w:jc w:val="both"/>
        <w:rPr>
          <w:smallCaps/>
        </w:rPr>
      </w:pPr>
      <w:r w:rsidRPr="00827F63">
        <w:t xml:space="preserve">At </w:t>
      </w:r>
      <w:r w:rsidR="005B7E21">
        <w:t>its</w:t>
      </w:r>
      <w:r w:rsidRPr="00827F63">
        <w:t xml:space="preserve"> July 2011 meeting, the PBAC rejected </w:t>
      </w:r>
      <w:r w:rsidR="00E459AA">
        <w:t>the</w:t>
      </w:r>
      <w:r w:rsidR="00E459AA" w:rsidRPr="00827F63">
        <w:t xml:space="preserve"> </w:t>
      </w:r>
      <w:r w:rsidRPr="00827F63">
        <w:t xml:space="preserve">submission for exenatide once weekly on the basis of uncertain cost-effectiveness, with particular concern over the model assumptions regarding duration of treatment benefit, timing of the switch to insulin, disutilities associated with </w:t>
      </w:r>
      <w:r w:rsidR="00E459AA">
        <w:t>gastrointestinal</w:t>
      </w:r>
      <w:r w:rsidR="00E459AA" w:rsidRPr="00827F63">
        <w:t xml:space="preserve"> </w:t>
      </w:r>
      <w:r w:rsidRPr="00827F63">
        <w:t>events and injections, and overestimation of cardiovascular benefits.</w:t>
      </w:r>
      <w:r w:rsidR="007578A8">
        <w:t xml:space="preserve"> </w:t>
      </w:r>
      <w:r w:rsidR="00827F63" w:rsidRPr="00827F63">
        <w:t>Th</w:t>
      </w:r>
      <w:r w:rsidRPr="00827F63">
        <w:t xml:space="preserve">e claim of non-inferior safety to the </w:t>
      </w:r>
      <w:r w:rsidR="00406DA2" w:rsidRPr="00827F63">
        <w:t>twice daily</w:t>
      </w:r>
      <w:r w:rsidRPr="00827F63">
        <w:t xml:space="preserve"> injection was also considered uncertain, as the long-term safety of exenatide </w:t>
      </w:r>
      <w:r w:rsidR="00616B42" w:rsidRPr="00827F63">
        <w:t>once weekly</w:t>
      </w:r>
      <w:r w:rsidRPr="00827F63">
        <w:t xml:space="preserve"> </w:t>
      </w:r>
      <w:r w:rsidR="003E5700">
        <w:t>wa</w:t>
      </w:r>
      <w:r w:rsidRPr="00827F63">
        <w:t>s unknown.</w:t>
      </w:r>
    </w:p>
    <w:p w:rsidR="00827F63" w:rsidRPr="005B7E21" w:rsidRDefault="00827F63" w:rsidP="004E6CA2">
      <w:pPr>
        <w:widowControl/>
        <w:rPr>
          <w:smallCaps/>
        </w:rPr>
      </w:pPr>
    </w:p>
    <w:p w:rsidR="00827F63" w:rsidRPr="00827F63" w:rsidRDefault="008F2913" w:rsidP="004E6CA2">
      <w:pPr>
        <w:pStyle w:val="BodyText"/>
        <w:widowControl/>
        <w:numPr>
          <w:ilvl w:val="1"/>
          <w:numId w:val="47"/>
        </w:numPr>
        <w:jc w:val="both"/>
        <w:rPr>
          <w:smallCaps/>
        </w:rPr>
      </w:pPr>
      <w:r w:rsidRPr="00827F63">
        <w:t xml:space="preserve">At </w:t>
      </w:r>
      <w:r w:rsidR="005B7E21">
        <w:t>its</w:t>
      </w:r>
      <w:r w:rsidRPr="00827F63">
        <w:t xml:space="preserve"> July 2013 meeting, the PBAC rejected </w:t>
      </w:r>
      <w:r w:rsidR="00E459AA">
        <w:t>the</w:t>
      </w:r>
      <w:r w:rsidR="00E459AA" w:rsidRPr="00827F63">
        <w:t xml:space="preserve"> </w:t>
      </w:r>
      <w:r w:rsidRPr="00827F63">
        <w:t xml:space="preserve">minor submission for exenatide </w:t>
      </w:r>
      <w:r w:rsidR="007C68BE">
        <w:t xml:space="preserve">2 mg </w:t>
      </w:r>
      <w:r w:rsidRPr="00827F63">
        <w:t>once weekly on the basis that no new data was presented to support the claims of comparative effectiveness and sa</w:t>
      </w:r>
      <w:r w:rsidR="005B7E21">
        <w:t>fety and unclear cost-offsets.</w:t>
      </w:r>
    </w:p>
    <w:p w:rsidR="00827F63" w:rsidRPr="005B7E21" w:rsidRDefault="00827F63" w:rsidP="004E6CA2">
      <w:pPr>
        <w:widowControl/>
        <w:rPr>
          <w:smallCaps/>
        </w:rPr>
      </w:pPr>
    </w:p>
    <w:p w:rsidR="00470FAE" w:rsidRPr="00470FAE" w:rsidRDefault="003E5700" w:rsidP="004E6CA2">
      <w:pPr>
        <w:pStyle w:val="BodyText"/>
        <w:widowControl/>
        <w:numPr>
          <w:ilvl w:val="1"/>
          <w:numId w:val="47"/>
        </w:numPr>
        <w:jc w:val="both"/>
        <w:rPr>
          <w:u w:val="single"/>
        </w:rPr>
      </w:pPr>
      <w:r>
        <w:t>At</w:t>
      </w:r>
      <w:r w:rsidR="008F2913" w:rsidRPr="00827F63">
        <w:t xml:space="preserve"> </w:t>
      </w:r>
      <w:r w:rsidR="005B7E21">
        <w:t>its</w:t>
      </w:r>
      <w:r w:rsidR="008F2913" w:rsidRPr="00827F63">
        <w:t xml:space="preserve"> November 2013 meeting, the PBAC approved </w:t>
      </w:r>
      <w:r w:rsidR="00E459AA">
        <w:t>the requested listing</w:t>
      </w:r>
      <w:r w:rsidR="008F2913" w:rsidRPr="00827F63">
        <w:t xml:space="preserve"> for exenatide </w:t>
      </w:r>
      <w:r w:rsidR="00826122" w:rsidRPr="00827F63">
        <w:t>2</w:t>
      </w:r>
      <w:r w:rsidR="005B7E21">
        <w:t> </w:t>
      </w:r>
      <w:r w:rsidR="00826122" w:rsidRPr="00827F63">
        <w:t xml:space="preserve">mg </w:t>
      </w:r>
      <w:r w:rsidR="008F2913" w:rsidRPr="00827F63">
        <w:t>once weekly</w:t>
      </w:r>
      <w:r w:rsidR="00826122" w:rsidRPr="00826122">
        <w:t xml:space="preserve"> </w:t>
      </w:r>
      <w:r w:rsidR="00826122">
        <w:t xml:space="preserve">as an Authority Required (Streamlined) benefit for </w:t>
      </w:r>
      <w:r w:rsidR="00826122" w:rsidRPr="004D0643">
        <w:t>dual combination</w:t>
      </w:r>
      <w:r w:rsidR="00826122" w:rsidRPr="00E30B11">
        <w:t xml:space="preserve"> therapy with metformin or a sulfonylurea</w:t>
      </w:r>
      <w:r w:rsidR="00826122">
        <w:t xml:space="preserve"> and </w:t>
      </w:r>
      <w:r w:rsidR="00826122" w:rsidRPr="004D0643">
        <w:t>triple</w:t>
      </w:r>
      <w:r w:rsidR="00826122" w:rsidRPr="00E30B11">
        <w:t xml:space="preserve"> combination therapy with metformin </w:t>
      </w:r>
      <w:r w:rsidR="00826122">
        <w:t>and</w:t>
      </w:r>
      <w:r w:rsidR="00826122" w:rsidRPr="00E30B11">
        <w:t xml:space="preserve"> a sulfonylurea</w:t>
      </w:r>
      <w:r w:rsidR="00826122" w:rsidRPr="00EC5AD5">
        <w:t xml:space="preserve"> </w:t>
      </w:r>
      <w:r w:rsidR="00826122">
        <w:t xml:space="preserve">in patients with type 2 diabetes, </w:t>
      </w:r>
      <w:r w:rsidR="00826122" w:rsidRPr="00EC5AD5">
        <w:t xml:space="preserve">on </w:t>
      </w:r>
      <w:r w:rsidR="00826122">
        <w:t>a cost</w:t>
      </w:r>
      <w:r w:rsidR="005B7E21">
        <w:t>-</w:t>
      </w:r>
      <w:r w:rsidR="00826122">
        <w:t>minimisation basis with</w:t>
      </w:r>
      <w:r w:rsidR="00826122" w:rsidRPr="00EC5AD5">
        <w:t xml:space="preserve"> </w:t>
      </w:r>
      <w:r w:rsidR="00826122">
        <w:t>exenatide 10</w:t>
      </w:r>
      <w:r w:rsidR="005B7E21">
        <w:t> </w:t>
      </w:r>
      <w:r w:rsidR="00826122">
        <w:t>mcg twice daily. The PBAC considered that the data presented supported exenatide once weekly being at least non-inferior to exenatide twice daily</w:t>
      </w:r>
      <w:r w:rsidR="0078676E">
        <w:t xml:space="preserve"> in terms of efficacy and non-inferior in terms of safety</w:t>
      </w:r>
      <w:r w:rsidR="00826122" w:rsidRPr="002B2953">
        <w:t>.</w:t>
      </w:r>
      <w:r w:rsidR="00826122">
        <w:t xml:space="preserve"> </w:t>
      </w:r>
      <w:r w:rsidR="00826122" w:rsidRPr="00EC5AD5">
        <w:t xml:space="preserve">The Committee </w:t>
      </w:r>
      <w:r w:rsidR="00826122">
        <w:t>agreed that while some cost offsets for reduced needle use would be appropriate, the assumption in the submission</w:t>
      </w:r>
      <w:r w:rsidR="00826122" w:rsidRPr="00F64B22">
        <w:t xml:space="preserve"> </w:t>
      </w:r>
      <w:r w:rsidR="00826122">
        <w:t xml:space="preserve">of 100% compliance with twice daily exenatide dosing and use of a new needle for each dose </w:t>
      </w:r>
      <w:r w:rsidR="00826122" w:rsidRPr="00F64B22">
        <w:t>was not substantiated by any data</w:t>
      </w:r>
      <w:r w:rsidR="00826122">
        <w:t>.</w:t>
      </w:r>
      <w:r w:rsidR="007578A8">
        <w:t xml:space="preserve"> </w:t>
      </w:r>
      <w:r w:rsidR="00826122">
        <w:t>The PBAC considered that a</w:t>
      </w:r>
      <w:r w:rsidR="00826122" w:rsidRPr="00F64B22">
        <w:t xml:space="preserve">pproximately 50% of that use would be a reasonable </w:t>
      </w:r>
      <w:r w:rsidR="00826122" w:rsidRPr="003F6AE5">
        <w:t>basis for a claimed offset and that this be used in pricing negotiations.</w:t>
      </w:r>
    </w:p>
    <w:p w:rsidR="00244A23" w:rsidRPr="005B7E21" w:rsidRDefault="00244A23" w:rsidP="00B47522">
      <w:pPr>
        <w:widowControl/>
        <w:rPr>
          <w:szCs w:val="22"/>
          <w:highlight w:val="yellow"/>
        </w:rPr>
      </w:pPr>
    </w:p>
    <w:p w:rsidR="00244A23" w:rsidRDefault="00244A23" w:rsidP="00B47522">
      <w:pPr>
        <w:pStyle w:val="ListParagraph"/>
        <w:widowControl/>
        <w:rPr>
          <w:i/>
          <w:szCs w:val="22"/>
        </w:rPr>
      </w:pPr>
      <w:r w:rsidRPr="001E6585">
        <w:rPr>
          <w:i/>
          <w:szCs w:val="22"/>
        </w:rPr>
        <w:t>For more detail on PBAC’s view, see section 7 “PBAC outcome”</w:t>
      </w:r>
      <w:r w:rsidR="005B7E21">
        <w:rPr>
          <w:i/>
          <w:szCs w:val="22"/>
        </w:rPr>
        <w:t>.</w:t>
      </w:r>
    </w:p>
    <w:p w:rsidR="00344028" w:rsidRPr="005B7E21" w:rsidRDefault="00344028" w:rsidP="004E6CA2">
      <w:pPr>
        <w:widowControl/>
        <w:ind w:left="-11"/>
      </w:pPr>
    </w:p>
    <w:p w:rsidR="006372A1" w:rsidRPr="005B7E21" w:rsidRDefault="006372A1" w:rsidP="004E6CA2">
      <w:pPr>
        <w:widowControl/>
        <w:ind w:left="-11"/>
      </w:pPr>
    </w:p>
    <w:p w:rsidR="00CB7946" w:rsidRPr="00407F2D" w:rsidRDefault="00CB7946" w:rsidP="004E6CA2">
      <w:pPr>
        <w:pStyle w:val="Heading2"/>
        <w:keepNext/>
        <w:widowControl/>
        <w:numPr>
          <w:ilvl w:val="0"/>
          <w:numId w:val="47"/>
        </w:numPr>
        <w:ind w:left="709" w:hanging="709"/>
      </w:pPr>
      <w:bookmarkStart w:id="9" w:name="_Toc392858192"/>
      <w:bookmarkStart w:id="10" w:name="_Toc419369076"/>
      <w:bookmarkStart w:id="11" w:name="_Toc380679752"/>
      <w:bookmarkStart w:id="12" w:name="_Toc380742609"/>
      <w:bookmarkStart w:id="13" w:name="_Toc380746176"/>
      <w:bookmarkStart w:id="14" w:name="_Toc380746302"/>
      <w:bookmarkStart w:id="15" w:name="_Toc380746583"/>
      <w:r w:rsidRPr="00407F2D">
        <w:lastRenderedPageBreak/>
        <w:t>Clinical place for the proposed therapy</w:t>
      </w:r>
      <w:bookmarkEnd w:id="9"/>
      <w:bookmarkEnd w:id="10"/>
    </w:p>
    <w:p w:rsidR="00CB7946" w:rsidRPr="00882085" w:rsidRDefault="00CB7946" w:rsidP="004E6CA2">
      <w:pPr>
        <w:keepNext/>
        <w:widowControl/>
        <w:rPr>
          <w:szCs w:val="22"/>
        </w:rPr>
      </w:pPr>
    </w:p>
    <w:p w:rsidR="00A72C07" w:rsidRPr="009E7080" w:rsidRDefault="00CB7946" w:rsidP="004E6CA2">
      <w:pPr>
        <w:pStyle w:val="BodyText"/>
        <w:widowControl/>
        <w:numPr>
          <w:ilvl w:val="1"/>
          <w:numId w:val="47"/>
        </w:numPr>
        <w:jc w:val="both"/>
        <w:rPr>
          <w:szCs w:val="22"/>
        </w:rPr>
      </w:pPr>
      <w:r w:rsidRPr="00CB7946">
        <w:t>The re-submission assumed that exenatide weekly w</w:t>
      </w:r>
      <w:r w:rsidR="005B7E21">
        <w:t>ould</w:t>
      </w:r>
      <w:r w:rsidRPr="00CB7946">
        <w:t xml:space="preserve"> </w:t>
      </w:r>
      <w:r w:rsidR="00A72C07">
        <w:t xml:space="preserve">mainly </w:t>
      </w:r>
      <w:r w:rsidRPr="00CB7946">
        <w:t xml:space="preserve">substitute for exenatide twice daily and </w:t>
      </w:r>
      <w:r w:rsidR="00657754">
        <w:t xml:space="preserve">that </w:t>
      </w:r>
      <w:r w:rsidR="00A72C07">
        <w:t xml:space="preserve">additional </w:t>
      </w:r>
      <w:r w:rsidR="00A72C07" w:rsidRPr="009E7080">
        <w:t>use w</w:t>
      </w:r>
      <w:r w:rsidR="005B7E21">
        <w:t>ould</w:t>
      </w:r>
      <w:r w:rsidR="00A72C07" w:rsidRPr="009E7080">
        <w:t xml:space="preserve"> occur in patients of high clinical need (said to be the Indigenous</w:t>
      </w:r>
      <w:r w:rsidR="009E7080" w:rsidRPr="009E7080">
        <w:t>, aged and mental health</w:t>
      </w:r>
      <w:r w:rsidR="00A72C07" w:rsidRPr="009E7080">
        <w:t xml:space="preserve"> population).</w:t>
      </w:r>
      <w:r w:rsidR="007578A8" w:rsidRPr="009E7080">
        <w:t xml:space="preserve"> </w:t>
      </w:r>
      <w:r w:rsidR="00A72C07" w:rsidRPr="009E7080">
        <w:t>Th</w:t>
      </w:r>
      <w:r w:rsidR="006D62DF" w:rsidRPr="009E7080">
        <w:t>e ESC</w:t>
      </w:r>
      <w:r w:rsidR="00A72C07" w:rsidRPr="009E7080">
        <w:t xml:space="preserve"> considered </w:t>
      </w:r>
      <w:r w:rsidR="006D62DF" w:rsidRPr="009E7080">
        <w:t xml:space="preserve">this was </w:t>
      </w:r>
      <w:r w:rsidR="00A72C07" w:rsidRPr="009E7080">
        <w:t>reasonable.</w:t>
      </w:r>
    </w:p>
    <w:p w:rsidR="00A72C07" w:rsidRPr="00FB52D4" w:rsidRDefault="00A72C07" w:rsidP="004E6CA2">
      <w:pPr>
        <w:widowControl/>
        <w:rPr>
          <w:szCs w:val="22"/>
        </w:rPr>
      </w:pPr>
    </w:p>
    <w:p w:rsidR="00CB7946" w:rsidRPr="00CB7946" w:rsidRDefault="00A72C07" w:rsidP="004E6CA2">
      <w:pPr>
        <w:pStyle w:val="BodyText"/>
        <w:widowControl/>
        <w:numPr>
          <w:ilvl w:val="1"/>
          <w:numId w:val="47"/>
        </w:numPr>
        <w:jc w:val="both"/>
        <w:rPr>
          <w:szCs w:val="22"/>
        </w:rPr>
      </w:pPr>
      <w:r w:rsidRPr="00FB52D4">
        <w:t>The re-submission suggested that fewe</w:t>
      </w:r>
      <w:r w:rsidR="005B7E21">
        <w:t xml:space="preserve">r patients would </w:t>
      </w:r>
      <w:r w:rsidR="002976C0" w:rsidRPr="00FB52D4">
        <w:t xml:space="preserve">be eligible for exenatide because </w:t>
      </w:r>
      <w:r w:rsidR="002976C0" w:rsidRPr="00FB52D4">
        <w:rPr>
          <w:szCs w:val="22"/>
        </w:rPr>
        <w:t>the sodium-glucose co-transporters (SGLT2s) are now PBS listed and are aligned with the dipeptidyl peptidase-4 inhibitors (</w:t>
      </w:r>
      <w:r w:rsidRPr="00FB52D4">
        <w:rPr>
          <w:szCs w:val="22"/>
        </w:rPr>
        <w:t>DPP-4s, also known as gliptins)</w:t>
      </w:r>
      <w:r w:rsidR="002976C0" w:rsidRPr="00FB52D4">
        <w:rPr>
          <w:szCs w:val="22"/>
        </w:rPr>
        <w:t>.</w:t>
      </w:r>
      <w:r w:rsidR="007578A8">
        <w:rPr>
          <w:szCs w:val="22"/>
        </w:rPr>
        <w:t xml:space="preserve"> </w:t>
      </w:r>
      <w:r w:rsidR="006D62DF" w:rsidRPr="00244A23">
        <w:t>The ESC</w:t>
      </w:r>
      <w:r w:rsidR="006D62DF" w:rsidRPr="00FB52D4">
        <w:t xml:space="preserve"> </w:t>
      </w:r>
      <w:r w:rsidRPr="00FB52D4">
        <w:t>considered</w:t>
      </w:r>
      <w:r w:rsidR="006D62DF">
        <w:t xml:space="preserve"> this was</w:t>
      </w:r>
      <w:r w:rsidRPr="00FB52D4">
        <w:t xml:space="preserve"> reasonable.</w:t>
      </w:r>
    </w:p>
    <w:bookmarkEnd w:id="11"/>
    <w:bookmarkEnd w:id="12"/>
    <w:bookmarkEnd w:id="13"/>
    <w:bookmarkEnd w:id="14"/>
    <w:bookmarkEnd w:id="15"/>
    <w:p w:rsidR="00367AC0" w:rsidRDefault="00367AC0" w:rsidP="004E6CA2">
      <w:pPr>
        <w:pStyle w:val="ListParagraph"/>
        <w:widowControl/>
        <w:ind w:left="0"/>
        <w:rPr>
          <w:szCs w:val="22"/>
        </w:rPr>
      </w:pPr>
    </w:p>
    <w:p w:rsidR="00244A23" w:rsidRPr="005B7E21" w:rsidRDefault="00244A23" w:rsidP="005D7F2C">
      <w:pPr>
        <w:pStyle w:val="ListParagraph"/>
        <w:widowControl/>
        <w:rPr>
          <w:szCs w:val="22"/>
        </w:rPr>
      </w:pPr>
      <w:r w:rsidRPr="001E6585">
        <w:rPr>
          <w:i/>
          <w:szCs w:val="22"/>
        </w:rPr>
        <w:t>For more detail on PBAC’s view, see section 7 “PBAC outcome”</w:t>
      </w:r>
      <w:r w:rsidR="005B7E21">
        <w:rPr>
          <w:i/>
          <w:szCs w:val="22"/>
        </w:rPr>
        <w:t>.</w:t>
      </w:r>
    </w:p>
    <w:p w:rsidR="00244A23" w:rsidRDefault="00244A23" w:rsidP="004E6CA2">
      <w:pPr>
        <w:pStyle w:val="ListParagraph"/>
        <w:widowControl/>
        <w:ind w:left="0"/>
        <w:rPr>
          <w:szCs w:val="22"/>
        </w:rPr>
      </w:pPr>
    </w:p>
    <w:p w:rsidR="00344028" w:rsidRPr="00882085" w:rsidRDefault="00344028" w:rsidP="004E6CA2">
      <w:pPr>
        <w:pStyle w:val="ListParagraph"/>
        <w:widowControl/>
        <w:ind w:left="0"/>
        <w:rPr>
          <w:szCs w:val="22"/>
        </w:rPr>
      </w:pPr>
    </w:p>
    <w:p w:rsidR="00367AC0" w:rsidRPr="00367AC0" w:rsidRDefault="00367AC0" w:rsidP="004E6CA2">
      <w:pPr>
        <w:pStyle w:val="Heading2"/>
        <w:keepNext/>
        <w:widowControl/>
        <w:numPr>
          <w:ilvl w:val="0"/>
          <w:numId w:val="47"/>
        </w:numPr>
        <w:ind w:left="709" w:hanging="709"/>
        <w:rPr>
          <w:i/>
        </w:rPr>
      </w:pPr>
      <w:bookmarkStart w:id="16" w:name="_Toc398652403"/>
      <w:bookmarkStart w:id="17" w:name="_Toc419369077"/>
      <w:r w:rsidRPr="00367AC0">
        <w:t>Comparator</w:t>
      </w:r>
      <w:bookmarkEnd w:id="16"/>
      <w:bookmarkEnd w:id="17"/>
    </w:p>
    <w:p w:rsidR="00367AC0" w:rsidRDefault="00367AC0" w:rsidP="004E6CA2">
      <w:pPr>
        <w:pStyle w:val="PBACheading10"/>
        <w:keepNext/>
      </w:pPr>
    </w:p>
    <w:p w:rsidR="003A1A7A" w:rsidRPr="00367AC0" w:rsidRDefault="00367AC0" w:rsidP="004E6CA2">
      <w:pPr>
        <w:pStyle w:val="BodyText"/>
        <w:widowControl/>
        <w:numPr>
          <w:ilvl w:val="1"/>
          <w:numId w:val="47"/>
        </w:numPr>
        <w:jc w:val="both"/>
        <w:rPr>
          <w:i/>
        </w:rPr>
      </w:pPr>
      <w:r w:rsidRPr="00505344">
        <w:t xml:space="preserve">As </w:t>
      </w:r>
      <w:r w:rsidR="00755983">
        <w:t>accepted by the PBAC for</w:t>
      </w:r>
      <w:r w:rsidR="00755983" w:rsidRPr="00505344">
        <w:t xml:space="preserve"> </w:t>
      </w:r>
      <w:r w:rsidRPr="00505344">
        <w:t>the November 201</w:t>
      </w:r>
      <w:r w:rsidR="00DD4470">
        <w:t>3 re-submission, the current re</w:t>
      </w:r>
      <w:r w:rsidR="00423435">
        <w:noBreakHyphen/>
      </w:r>
      <w:r w:rsidRPr="00505344">
        <w:t xml:space="preserve">submission </w:t>
      </w:r>
      <w:r w:rsidR="006F6E23" w:rsidRPr="00505344">
        <w:t>nominated</w:t>
      </w:r>
      <w:r w:rsidR="006F6E23" w:rsidRPr="00B23847">
        <w:t xml:space="preserve"> exenatide 10</w:t>
      </w:r>
      <w:r w:rsidR="005B7E21">
        <w:t> </w:t>
      </w:r>
      <w:r w:rsidR="006F6E23" w:rsidRPr="00B23847">
        <w:t>mcg twice daily as the main comparator.</w:t>
      </w:r>
      <w:r w:rsidR="006F6E23" w:rsidRPr="00FB52D4">
        <w:t xml:space="preserve"> </w:t>
      </w:r>
      <w:r w:rsidR="006D62DF" w:rsidRPr="00244A23">
        <w:t>The ESC considered</w:t>
      </w:r>
      <w:r w:rsidR="006D62DF">
        <w:rPr>
          <w:i/>
        </w:rPr>
        <w:t xml:space="preserve"> </w:t>
      </w:r>
      <w:r w:rsidR="006D62DF">
        <w:t>t</w:t>
      </w:r>
      <w:r w:rsidR="006F6E23" w:rsidRPr="00FB52D4">
        <w:t xml:space="preserve">his </w:t>
      </w:r>
      <w:r w:rsidR="00755983" w:rsidRPr="00FB52D4">
        <w:t>remained</w:t>
      </w:r>
      <w:r w:rsidR="005B7E21">
        <w:t xml:space="preserve"> the appropriate comparator.</w:t>
      </w:r>
    </w:p>
    <w:p w:rsidR="00B66020" w:rsidRDefault="00B66020" w:rsidP="004E6CA2">
      <w:pPr>
        <w:widowControl/>
      </w:pPr>
    </w:p>
    <w:p w:rsidR="00244A23" w:rsidRPr="005B7E21" w:rsidRDefault="00244A23" w:rsidP="005D7F2C">
      <w:pPr>
        <w:pStyle w:val="ListParagraph"/>
        <w:widowControl/>
        <w:rPr>
          <w:szCs w:val="22"/>
        </w:rPr>
      </w:pPr>
      <w:r w:rsidRPr="001E6585">
        <w:rPr>
          <w:i/>
          <w:szCs w:val="22"/>
        </w:rPr>
        <w:t>For more detail on PBAC’s view, see section 7 “PBAC outcome”</w:t>
      </w:r>
      <w:r w:rsidR="005B7E21">
        <w:rPr>
          <w:i/>
          <w:szCs w:val="22"/>
        </w:rPr>
        <w:t>.</w:t>
      </w:r>
    </w:p>
    <w:p w:rsidR="00244A23" w:rsidRDefault="00244A23" w:rsidP="004E6CA2">
      <w:pPr>
        <w:widowControl/>
      </w:pPr>
    </w:p>
    <w:p w:rsidR="00344028" w:rsidRDefault="00344028" w:rsidP="004E6CA2">
      <w:pPr>
        <w:widowControl/>
      </w:pPr>
    </w:p>
    <w:p w:rsidR="00B66020" w:rsidRPr="00B66020" w:rsidRDefault="00B66020" w:rsidP="004E6CA2">
      <w:pPr>
        <w:pStyle w:val="Heading2"/>
        <w:widowControl/>
        <w:numPr>
          <w:ilvl w:val="0"/>
          <w:numId w:val="47"/>
        </w:numPr>
        <w:ind w:left="709" w:hanging="709"/>
      </w:pPr>
      <w:bookmarkStart w:id="18" w:name="_Toc419369078"/>
      <w:r w:rsidRPr="00B66020">
        <w:t>Consideration of the evidence</w:t>
      </w:r>
      <w:bookmarkEnd w:id="18"/>
    </w:p>
    <w:p w:rsidR="00B66020" w:rsidRDefault="00B66020" w:rsidP="004E6CA2">
      <w:pPr>
        <w:widowControl/>
      </w:pPr>
    </w:p>
    <w:p w:rsidR="00244A23" w:rsidRPr="00E57B2D" w:rsidRDefault="00244A23" w:rsidP="005D7F2C">
      <w:pPr>
        <w:widowControl/>
        <w:spacing w:after="200" w:line="276" w:lineRule="auto"/>
        <w:rPr>
          <w:b/>
          <w:bCs/>
          <w:i/>
          <w:szCs w:val="22"/>
        </w:rPr>
      </w:pPr>
      <w:r w:rsidRPr="00E57B2D">
        <w:rPr>
          <w:b/>
          <w:bCs/>
          <w:i/>
          <w:szCs w:val="22"/>
        </w:rPr>
        <w:t>Sponsor hearing</w:t>
      </w:r>
    </w:p>
    <w:p w:rsidR="00EB52F1" w:rsidRPr="00E57B2D" w:rsidRDefault="00EB52F1" w:rsidP="004E6CA2">
      <w:pPr>
        <w:pStyle w:val="BodyText"/>
        <w:widowControl/>
        <w:numPr>
          <w:ilvl w:val="1"/>
          <w:numId w:val="47"/>
        </w:numPr>
        <w:jc w:val="both"/>
        <w:rPr>
          <w:bCs/>
          <w:szCs w:val="22"/>
        </w:rPr>
      </w:pPr>
      <w:r w:rsidRPr="00E57B2D">
        <w:t>There was no hearing for this item.</w:t>
      </w:r>
    </w:p>
    <w:p w:rsidR="00E57B2D" w:rsidRPr="00E57B2D" w:rsidRDefault="00E57B2D" w:rsidP="005B7E21">
      <w:pPr>
        <w:pStyle w:val="BodyText"/>
        <w:widowControl/>
        <w:jc w:val="both"/>
        <w:rPr>
          <w:bCs/>
          <w:szCs w:val="22"/>
        </w:rPr>
      </w:pPr>
    </w:p>
    <w:p w:rsidR="00244A23" w:rsidRPr="00CB2AD3" w:rsidRDefault="00244A23" w:rsidP="00CB2AD3">
      <w:pPr>
        <w:widowControl/>
        <w:spacing w:after="200" w:line="276" w:lineRule="auto"/>
        <w:rPr>
          <w:b/>
          <w:bCs/>
          <w:i/>
          <w:szCs w:val="22"/>
        </w:rPr>
      </w:pPr>
      <w:r w:rsidRPr="00CB2AD3">
        <w:rPr>
          <w:b/>
          <w:bCs/>
          <w:i/>
          <w:szCs w:val="22"/>
        </w:rPr>
        <w:t>Consumer comments</w:t>
      </w:r>
    </w:p>
    <w:p w:rsidR="00CB2AD3" w:rsidRPr="00330487" w:rsidRDefault="00EB52F1" w:rsidP="00CB2AD3">
      <w:pPr>
        <w:pStyle w:val="ListParagraph"/>
        <w:numPr>
          <w:ilvl w:val="1"/>
          <w:numId w:val="47"/>
        </w:numPr>
        <w:rPr>
          <w:bCs/>
          <w:szCs w:val="22"/>
        </w:rPr>
      </w:pPr>
      <w:r w:rsidRPr="00330487">
        <w:t>The PBAC noted and welcomed the input from an individual (1) and a health care professional (1) via the Consumer Comments facility on the PBS website. The comments described a range of benefits of treatment with exenatide once weekly including the acceptability to patients who are eager to avoid injectables, better compliance and fewer side effects. The comments also claimed that exenatide once weekly has clearly superior efficacy and tolerability to exenatide twice daily.</w:t>
      </w:r>
      <w:r w:rsidR="00E57B2D" w:rsidRPr="00330487">
        <w:t xml:space="preserve"> </w:t>
      </w:r>
      <w:r w:rsidR="005D7F2C" w:rsidRPr="00330487">
        <w:rPr>
          <w:bCs/>
          <w:szCs w:val="22"/>
        </w:rPr>
        <w:t>The PBAC noted that superior efficacy was not reflective of the submission’s claim</w:t>
      </w:r>
      <w:r w:rsidR="00CB2AD3" w:rsidRPr="00330487">
        <w:rPr>
          <w:bCs/>
          <w:szCs w:val="22"/>
        </w:rPr>
        <w:t>. The current submission accepted the</w:t>
      </w:r>
      <w:r w:rsidR="005D7F2C" w:rsidRPr="00330487">
        <w:rPr>
          <w:bCs/>
          <w:szCs w:val="22"/>
        </w:rPr>
        <w:t xml:space="preserve"> </w:t>
      </w:r>
      <w:r w:rsidR="00CB2AD3" w:rsidRPr="00330487">
        <w:rPr>
          <w:bCs/>
          <w:szCs w:val="22"/>
        </w:rPr>
        <w:t>PBAC</w:t>
      </w:r>
      <w:r w:rsidR="005D7F2C" w:rsidRPr="00330487">
        <w:rPr>
          <w:bCs/>
          <w:szCs w:val="22"/>
        </w:rPr>
        <w:t xml:space="preserve">’s November 2013 consideration that </w:t>
      </w:r>
      <w:r w:rsidR="00CB2AD3" w:rsidRPr="00330487">
        <w:rPr>
          <w:bCs/>
          <w:szCs w:val="22"/>
        </w:rPr>
        <w:t>there were issues about the appropriateness of pooling of the trial data used to support the superiority claim and that the data presented supported exenatide once weekly being at least non-inf</w:t>
      </w:r>
      <w:r w:rsidR="00D06525" w:rsidRPr="00330487">
        <w:rPr>
          <w:bCs/>
          <w:szCs w:val="22"/>
        </w:rPr>
        <w:t>erior to exenatide twice daily.</w:t>
      </w:r>
    </w:p>
    <w:p w:rsidR="00244A23" w:rsidRPr="00CB2AD3" w:rsidRDefault="00244A23" w:rsidP="00D06525">
      <w:pPr>
        <w:pStyle w:val="BodyText"/>
        <w:widowControl/>
        <w:jc w:val="both"/>
      </w:pPr>
    </w:p>
    <w:p w:rsidR="00146903" w:rsidRPr="00D06525" w:rsidRDefault="00146903" w:rsidP="00A85169">
      <w:pPr>
        <w:widowControl/>
        <w:ind w:firstLine="709"/>
        <w:rPr>
          <w:szCs w:val="22"/>
        </w:rPr>
      </w:pPr>
      <w:r w:rsidRPr="00CB2AD3">
        <w:rPr>
          <w:i/>
          <w:szCs w:val="22"/>
        </w:rPr>
        <w:t>For more detail on PBAC’s view, see section 7 “PBAC outcome”</w:t>
      </w:r>
      <w:r w:rsidR="00D06525">
        <w:rPr>
          <w:i/>
          <w:szCs w:val="22"/>
        </w:rPr>
        <w:t>.</w:t>
      </w:r>
    </w:p>
    <w:p w:rsidR="00244A23" w:rsidRDefault="00244A23" w:rsidP="004E6CA2">
      <w:pPr>
        <w:widowControl/>
      </w:pPr>
    </w:p>
    <w:p w:rsidR="00B66020" w:rsidRPr="00A93969" w:rsidRDefault="00B66020" w:rsidP="004E6CA2">
      <w:pPr>
        <w:pStyle w:val="Heading2"/>
        <w:widowControl/>
        <w:rPr>
          <w:i/>
        </w:rPr>
      </w:pPr>
      <w:bookmarkStart w:id="19" w:name="_Toc419369079"/>
      <w:r w:rsidRPr="00A93969">
        <w:rPr>
          <w:i/>
        </w:rPr>
        <w:t>Clinical trials</w:t>
      </w:r>
      <w:bookmarkEnd w:id="19"/>
    </w:p>
    <w:p w:rsidR="00B66020" w:rsidRDefault="00B66020" w:rsidP="004E6CA2">
      <w:pPr>
        <w:widowControl/>
      </w:pPr>
    </w:p>
    <w:p w:rsidR="0025534B" w:rsidRPr="00505344" w:rsidRDefault="00B66020" w:rsidP="004E6CA2">
      <w:pPr>
        <w:pStyle w:val="BodyText"/>
        <w:widowControl/>
        <w:numPr>
          <w:ilvl w:val="1"/>
          <w:numId w:val="47"/>
        </w:numPr>
        <w:jc w:val="both"/>
        <w:rPr>
          <w:b/>
        </w:rPr>
      </w:pPr>
      <w:r w:rsidRPr="00505344">
        <w:t xml:space="preserve">No new clinical trial data </w:t>
      </w:r>
      <w:r w:rsidR="00146903">
        <w:t>were</w:t>
      </w:r>
      <w:r w:rsidR="00146903" w:rsidRPr="00505344">
        <w:t xml:space="preserve"> </w:t>
      </w:r>
      <w:r w:rsidRPr="00505344">
        <w:t>provided in the re-submission.</w:t>
      </w:r>
    </w:p>
    <w:p w:rsidR="003513EB" w:rsidRDefault="003513EB" w:rsidP="004E6CA2">
      <w:pPr>
        <w:widowControl/>
      </w:pPr>
    </w:p>
    <w:p w:rsidR="003513EB" w:rsidRPr="00A93969" w:rsidRDefault="003513EB" w:rsidP="00F6491F">
      <w:pPr>
        <w:pStyle w:val="Heading2"/>
        <w:keepNext/>
        <w:widowControl/>
        <w:rPr>
          <w:i/>
        </w:rPr>
      </w:pPr>
      <w:bookmarkStart w:id="20" w:name="_Toc419369080"/>
      <w:r w:rsidRPr="00A93969">
        <w:rPr>
          <w:i/>
        </w:rPr>
        <w:lastRenderedPageBreak/>
        <w:t>Comparative effectiveness</w:t>
      </w:r>
      <w:bookmarkEnd w:id="20"/>
    </w:p>
    <w:p w:rsidR="003513EB" w:rsidRDefault="003513EB" w:rsidP="00F6491F">
      <w:pPr>
        <w:keepNext/>
        <w:widowControl/>
      </w:pPr>
    </w:p>
    <w:p w:rsidR="00F47224" w:rsidRPr="00F47224" w:rsidRDefault="003513EB" w:rsidP="004E6CA2">
      <w:pPr>
        <w:pStyle w:val="BodyText"/>
        <w:widowControl/>
        <w:numPr>
          <w:ilvl w:val="1"/>
          <w:numId w:val="47"/>
        </w:numPr>
        <w:jc w:val="both"/>
        <w:rPr>
          <w:b/>
        </w:rPr>
      </w:pPr>
      <w:r w:rsidRPr="00F47224">
        <w:t xml:space="preserve">At </w:t>
      </w:r>
      <w:r w:rsidR="00D06525">
        <w:t>its</w:t>
      </w:r>
      <w:r w:rsidRPr="00F47224">
        <w:t xml:space="preserve"> November 2013 meeting, the PBAC accepted that exen</w:t>
      </w:r>
      <w:r w:rsidR="003D67E2">
        <w:t>atide</w:t>
      </w:r>
      <w:r w:rsidR="007C68BE">
        <w:t xml:space="preserve"> 2 mg</w:t>
      </w:r>
      <w:r w:rsidR="003D67E2">
        <w:t xml:space="preserve"> once weekly has non-infe</w:t>
      </w:r>
      <w:r w:rsidRPr="00F47224">
        <w:t>rior efficacy to exenatide 10</w:t>
      </w:r>
      <w:r w:rsidR="00D06525">
        <w:t> </w:t>
      </w:r>
      <w:r w:rsidRPr="00F47224">
        <w:t>mcg twice daily.</w:t>
      </w:r>
      <w:r w:rsidR="007578A8">
        <w:t xml:space="preserve"> </w:t>
      </w:r>
      <w:r w:rsidR="00D06525">
        <w:t>This was not disputed in the re-</w:t>
      </w:r>
      <w:r w:rsidRPr="00F47224">
        <w:t>submission.</w:t>
      </w:r>
      <w:r w:rsidR="007578A8">
        <w:t xml:space="preserve"> </w:t>
      </w:r>
      <w:r w:rsidR="00F47224" w:rsidRPr="00F47224">
        <w:t>A summary of the results that this recommendation was based on is provided in Table 1.</w:t>
      </w:r>
    </w:p>
    <w:p w:rsidR="00F47224" w:rsidRDefault="00F47224" w:rsidP="004E6CA2">
      <w:pPr>
        <w:widowControl/>
      </w:pPr>
    </w:p>
    <w:p w:rsidR="00F47224" w:rsidRPr="001653BC" w:rsidRDefault="00F47224" w:rsidP="004E6CA2">
      <w:pPr>
        <w:keepNext/>
        <w:widowControl/>
        <w:ind w:left="720"/>
        <w:rPr>
          <w:rFonts w:ascii="Arial Narrow" w:hAnsi="Arial Narrow"/>
          <w:b/>
          <w:sz w:val="20"/>
        </w:rPr>
      </w:pPr>
      <w:r w:rsidRPr="001653BC">
        <w:rPr>
          <w:rFonts w:ascii="Arial Narrow" w:hAnsi="Arial Narrow"/>
          <w:b/>
          <w:sz w:val="20"/>
        </w:rPr>
        <w:t xml:space="preserve">Table </w:t>
      </w:r>
      <w:r>
        <w:rPr>
          <w:rFonts w:ascii="Arial Narrow" w:hAnsi="Arial Narrow"/>
          <w:b/>
          <w:sz w:val="20"/>
        </w:rPr>
        <w:t>1</w:t>
      </w:r>
      <w:r w:rsidRPr="001653BC">
        <w:rPr>
          <w:rFonts w:ascii="Arial Narrow" w:hAnsi="Arial Narrow"/>
          <w:b/>
          <w:sz w:val="20"/>
        </w:rPr>
        <w:t>: Mean change in HbA1c from baseline to endpoint for Studies 105 and 108</w:t>
      </w:r>
    </w:p>
    <w:tbl>
      <w:tblPr>
        <w:tblW w:w="4540" w:type="pct"/>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790"/>
        <w:gridCol w:w="1456"/>
        <w:gridCol w:w="1309"/>
        <w:gridCol w:w="1454"/>
        <w:gridCol w:w="1395"/>
      </w:tblGrid>
      <w:tr w:rsidR="00F47224" w:rsidRPr="001653BC" w:rsidTr="008752B3">
        <w:trPr>
          <w:cantSplit/>
          <w:tblHeader/>
        </w:trPr>
        <w:tc>
          <w:tcPr>
            <w:tcW w:w="1660" w:type="pct"/>
            <w:vMerge w:val="restart"/>
            <w:tcBorders>
              <w:top w:val="single" w:sz="4" w:space="0" w:color="auto"/>
              <w:left w:val="single" w:sz="4" w:space="0" w:color="auto"/>
              <w:right w:val="single" w:sz="4" w:space="0" w:color="auto"/>
            </w:tcBorders>
          </w:tcPr>
          <w:p w:rsidR="00F47224" w:rsidRPr="001653BC" w:rsidRDefault="00F47224" w:rsidP="004E6CA2">
            <w:pPr>
              <w:widowControl/>
              <w:rPr>
                <w:rFonts w:ascii="Arial Narrow" w:hAnsi="Arial Narrow"/>
                <w:sz w:val="20"/>
              </w:rPr>
            </w:pPr>
          </w:p>
        </w:tc>
        <w:tc>
          <w:tcPr>
            <w:tcW w:w="1645" w:type="pct"/>
            <w:gridSpan w:val="2"/>
            <w:tcBorders>
              <w:top w:val="single" w:sz="4" w:space="0" w:color="auto"/>
              <w:left w:val="single" w:sz="4" w:space="0" w:color="auto"/>
              <w:bottom w:val="single" w:sz="4" w:space="0" w:color="auto"/>
              <w:right w:val="single" w:sz="4" w:space="0" w:color="auto"/>
            </w:tcBorders>
          </w:tcPr>
          <w:p w:rsidR="00F47224" w:rsidRPr="001653BC" w:rsidRDefault="00F47224" w:rsidP="004E6CA2">
            <w:pPr>
              <w:widowControl/>
              <w:jc w:val="center"/>
              <w:rPr>
                <w:rFonts w:ascii="Arial Narrow" w:hAnsi="Arial Narrow"/>
                <w:b/>
                <w:sz w:val="20"/>
              </w:rPr>
            </w:pPr>
            <w:r w:rsidRPr="001653BC">
              <w:rPr>
                <w:rFonts w:ascii="Arial Narrow" w:hAnsi="Arial Narrow"/>
                <w:b/>
                <w:sz w:val="20"/>
              </w:rPr>
              <w:t>Study 105 (30 weeks)</w:t>
            </w:r>
          </w:p>
        </w:tc>
        <w:tc>
          <w:tcPr>
            <w:tcW w:w="1695" w:type="pct"/>
            <w:gridSpan w:val="2"/>
            <w:tcBorders>
              <w:top w:val="single" w:sz="4" w:space="0" w:color="auto"/>
              <w:left w:val="single" w:sz="4" w:space="0" w:color="auto"/>
              <w:bottom w:val="single" w:sz="4" w:space="0" w:color="auto"/>
              <w:right w:val="single" w:sz="4" w:space="0" w:color="auto"/>
            </w:tcBorders>
          </w:tcPr>
          <w:p w:rsidR="00F47224" w:rsidRPr="001653BC" w:rsidRDefault="00F47224" w:rsidP="004E6CA2">
            <w:pPr>
              <w:widowControl/>
              <w:jc w:val="center"/>
              <w:rPr>
                <w:rFonts w:ascii="Arial Narrow" w:hAnsi="Arial Narrow"/>
                <w:b/>
                <w:sz w:val="20"/>
              </w:rPr>
            </w:pPr>
            <w:r w:rsidRPr="001653BC">
              <w:rPr>
                <w:rFonts w:ascii="Arial Narrow" w:hAnsi="Arial Narrow"/>
                <w:b/>
                <w:sz w:val="20"/>
              </w:rPr>
              <w:t>Study 108 (24 weeks)</w:t>
            </w:r>
          </w:p>
        </w:tc>
      </w:tr>
      <w:tr w:rsidR="00F47224" w:rsidRPr="001653BC" w:rsidTr="008752B3">
        <w:trPr>
          <w:cantSplit/>
          <w:tblHeader/>
        </w:trPr>
        <w:tc>
          <w:tcPr>
            <w:tcW w:w="1660" w:type="pct"/>
            <w:vMerge/>
            <w:tcBorders>
              <w:left w:val="single" w:sz="4" w:space="0" w:color="auto"/>
              <w:bottom w:val="single" w:sz="4" w:space="0" w:color="auto"/>
              <w:right w:val="single" w:sz="4" w:space="0" w:color="auto"/>
            </w:tcBorders>
          </w:tcPr>
          <w:p w:rsidR="00F47224" w:rsidRPr="001653BC" w:rsidRDefault="00F47224" w:rsidP="004E6CA2">
            <w:pPr>
              <w:widowControl/>
              <w:rPr>
                <w:rFonts w:ascii="Arial Narrow" w:hAnsi="Arial Narrow"/>
                <w:sz w:val="20"/>
              </w:rPr>
            </w:pPr>
          </w:p>
        </w:tc>
        <w:tc>
          <w:tcPr>
            <w:tcW w:w="866" w:type="pct"/>
            <w:tcBorders>
              <w:top w:val="single" w:sz="4" w:space="0" w:color="auto"/>
              <w:left w:val="single" w:sz="4" w:space="0" w:color="auto"/>
              <w:bottom w:val="single" w:sz="4" w:space="0" w:color="auto"/>
              <w:right w:val="single" w:sz="4" w:space="0" w:color="auto"/>
            </w:tcBorders>
          </w:tcPr>
          <w:p w:rsidR="00F47224" w:rsidRPr="001653BC" w:rsidRDefault="00F47224" w:rsidP="004E6CA2">
            <w:pPr>
              <w:widowControl/>
              <w:jc w:val="center"/>
              <w:rPr>
                <w:rFonts w:ascii="Arial Narrow" w:hAnsi="Arial Narrow"/>
                <w:b/>
                <w:sz w:val="20"/>
              </w:rPr>
            </w:pPr>
            <w:r w:rsidRPr="001653BC">
              <w:rPr>
                <w:rFonts w:ascii="Arial Narrow" w:hAnsi="Arial Narrow"/>
                <w:b/>
                <w:sz w:val="20"/>
              </w:rPr>
              <w:t xml:space="preserve">Exenatide </w:t>
            </w:r>
            <w:r>
              <w:rPr>
                <w:rFonts w:ascii="Arial Narrow" w:hAnsi="Arial Narrow"/>
                <w:b/>
                <w:sz w:val="20"/>
              </w:rPr>
              <w:t>once weekly</w:t>
            </w:r>
          </w:p>
          <w:p w:rsidR="00F47224" w:rsidRPr="001653BC" w:rsidRDefault="00F47224" w:rsidP="004E6CA2">
            <w:pPr>
              <w:widowControl/>
              <w:jc w:val="center"/>
              <w:rPr>
                <w:rFonts w:ascii="Arial Narrow" w:hAnsi="Arial Narrow"/>
                <w:b/>
                <w:sz w:val="20"/>
              </w:rPr>
            </w:pPr>
            <w:r w:rsidRPr="001653BC">
              <w:rPr>
                <w:rFonts w:ascii="Arial Narrow" w:hAnsi="Arial Narrow"/>
                <w:b/>
                <w:sz w:val="20"/>
              </w:rPr>
              <w:t>N = 148</w:t>
            </w:r>
          </w:p>
        </w:tc>
        <w:tc>
          <w:tcPr>
            <w:tcW w:w="779" w:type="pct"/>
            <w:tcBorders>
              <w:top w:val="single" w:sz="4" w:space="0" w:color="auto"/>
              <w:left w:val="single" w:sz="4" w:space="0" w:color="auto"/>
              <w:bottom w:val="single" w:sz="4" w:space="0" w:color="auto"/>
              <w:right w:val="single" w:sz="4" w:space="0" w:color="auto"/>
            </w:tcBorders>
          </w:tcPr>
          <w:p w:rsidR="00F47224" w:rsidRPr="001653BC" w:rsidRDefault="00F47224" w:rsidP="004E6CA2">
            <w:pPr>
              <w:widowControl/>
              <w:jc w:val="center"/>
              <w:rPr>
                <w:rFonts w:ascii="Arial Narrow" w:hAnsi="Arial Narrow"/>
                <w:b/>
                <w:sz w:val="20"/>
              </w:rPr>
            </w:pPr>
            <w:r w:rsidRPr="001653BC">
              <w:rPr>
                <w:rFonts w:ascii="Arial Narrow" w:hAnsi="Arial Narrow"/>
                <w:b/>
                <w:sz w:val="20"/>
              </w:rPr>
              <w:t xml:space="preserve">Exenatide </w:t>
            </w:r>
            <w:r>
              <w:rPr>
                <w:rFonts w:ascii="Arial Narrow" w:hAnsi="Arial Narrow"/>
                <w:b/>
                <w:sz w:val="20"/>
              </w:rPr>
              <w:t>twice daily</w:t>
            </w:r>
          </w:p>
          <w:p w:rsidR="00F47224" w:rsidRPr="001653BC" w:rsidRDefault="00F47224" w:rsidP="004E6CA2">
            <w:pPr>
              <w:widowControl/>
              <w:jc w:val="center"/>
              <w:rPr>
                <w:rFonts w:ascii="Arial Narrow" w:hAnsi="Arial Narrow"/>
                <w:b/>
                <w:sz w:val="20"/>
              </w:rPr>
            </w:pPr>
            <w:r w:rsidRPr="001653BC">
              <w:rPr>
                <w:rFonts w:ascii="Arial Narrow" w:hAnsi="Arial Narrow"/>
                <w:b/>
                <w:sz w:val="20"/>
              </w:rPr>
              <w:t>N=147</w:t>
            </w:r>
          </w:p>
        </w:tc>
        <w:tc>
          <w:tcPr>
            <w:tcW w:w="865" w:type="pct"/>
            <w:tcBorders>
              <w:top w:val="single" w:sz="4" w:space="0" w:color="auto"/>
              <w:left w:val="single" w:sz="4" w:space="0" w:color="auto"/>
              <w:bottom w:val="single" w:sz="4" w:space="0" w:color="auto"/>
              <w:right w:val="single" w:sz="4" w:space="0" w:color="auto"/>
            </w:tcBorders>
          </w:tcPr>
          <w:p w:rsidR="00F47224" w:rsidRPr="001653BC" w:rsidRDefault="00F47224" w:rsidP="004E6CA2">
            <w:pPr>
              <w:widowControl/>
              <w:jc w:val="center"/>
              <w:rPr>
                <w:rFonts w:ascii="Arial Narrow" w:hAnsi="Arial Narrow"/>
                <w:b/>
                <w:sz w:val="20"/>
              </w:rPr>
            </w:pPr>
            <w:r w:rsidRPr="001653BC">
              <w:rPr>
                <w:rFonts w:ascii="Arial Narrow" w:hAnsi="Arial Narrow"/>
                <w:b/>
                <w:sz w:val="20"/>
              </w:rPr>
              <w:t xml:space="preserve">Exenatide </w:t>
            </w:r>
            <w:r>
              <w:rPr>
                <w:rFonts w:ascii="Arial Narrow" w:hAnsi="Arial Narrow"/>
                <w:b/>
                <w:sz w:val="20"/>
              </w:rPr>
              <w:t>once weekly</w:t>
            </w:r>
          </w:p>
          <w:p w:rsidR="00F47224" w:rsidRPr="001653BC" w:rsidRDefault="00F47224" w:rsidP="004E6CA2">
            <w:pPr>
              <w:widowControl/>
              <w:jc w:val="center"/>
              <w:rPr>
                <w:rFonts w:ascii="Arial Narrow" w:hAnsi="Arial Narrow"/>
                <w:b/>
                <w:sz w:val="20"/>
              </w:rPr>
            </w:pPr>
            <w:r w:rsidRPr="001653BC">
              <w:rPr>
                <w:rFonts w:ascii="Arial Narrow" w:hAnsi="Arial Narrow"/>
                <w:b/>
                <w:sz w:val="20"/>
              </w:rPr>
              <w:t>N=129</w:t>
            </w:r>
          </w:p>
        </w:tc>
        <w:tc>
          <w:tcPr>
            <w:tcW w:w="830" w:type="pct"/>
            <w:tcBorders>
              <w:top w:val="single" w:sz="4" w:space="0" w:color="auto"/>
              <w:left w:val="single" w:sz="4" w:space="0" w:color="auto"/>
              <w:bottom w:val="single" w:sz="4" w:space="0" w:color="auto"/>
              <w:right w:val="single" w:sz="4" w:space="0" w:color="auto"/>
            </w:tcBorders>
          </w:tcPr>
          <w:p w:rsidR="00F47224" w:rsidRPr="001653BC" w:rsidRDefault="00F47224" w:rsidP="004E6CA2">
            <w:pPr>
              <w:widowControl/>
              <w:jc w:val="center"/>
              <w:rPr>
                <w:rFonts w:ascii="Arial Narrow" w:hAnsi="Arial Narrow"/>
                <w:b/>
                <w:sz w:val="20"/>
              </w:rPr>
            </w:pPr>
            <w:r w:rsidRPr="001653BC">
              <w:rPr>
                <w:rFonts w:ascii="Arial Narrow" w:hAnsi="Arial Narrow"/>
                <w:b/>
                <w:sz w:val="20"/>
              </w:rPr>
              <w:t xml:space="preserve">Exenatide </w:t>
            </w:r>
            <w:r>
              <w:rPr>
                <w:rFonts w:ascii="Arial Narrow" w:hAnsi="Arial Narrow"/>
                <w:b/>
                <w:sz w:val="20"/>
              </w:rPr>
              <w:t>twice daily</w:t>
            </w:r>
          </w:p>
          <w:p w:rsidR="00F47224" w:rsidRPr="001653BC" w:rsidRDefault="00F47224" w:rsidP="004E6CA2">
            <w:pPr>
              <w:widowControl/>
              <w:jc w:val="center"/>
              <w:rPr>
                <w:rFonts w:ascii="Arial Narrow" w:hAnsi="Arial Narrow"/>
                <w:b/>
                <w:sz w:val="20"/>
              </w:rPr>
            </w:pPr>
            <w:r w:rsidRPr="001653BC">
              <w:rPr>
                <w:rFonts w:ascii="Arial Narrow" w:hAnsi="Arial Narrow"/>
                <w:b/>
                <w:sz w:val="20"/>
              </w:rPr>
              <w:t>N=123</w:t>
            </w:r>
          </w:p>
        </w:tc>
      </w:tr>
      <w:tr w:rsidR="00F47224" w:rsidRPr="001653BC" w:rsidTr="008752B3">
        <w:trPr>
          <w:cantSplit/>
        </w:trPr>
        <w:tc>
          <w:tcPr>
            <w:tcW w:w="1660" w:type="pct"/>
            <w:tcBorders>
              <w:top w:val="single" w:sz="4" w:space="0" w:color="000000"/>
              <w:left w:val="single" w:sz="4" w:space="0" w:color="000000"/>
              <w:bottom w:val="single" w:sz="4" w:space="0" w:color="000000"/>
              <w:right w:val="single" w:sz="4" w:space="0" w:color="000000"/>
            </w:tcBorders>
          </w:tcPr>
          <w:p w:rsidR="00F47224" w:rsidRPr="001653BC" w:rsidRDefault="00F47224" w:rsidP="004E6CA2">
            <w:pPr>
              <w:widowControl/>
              <w:jc w:val="left"/>
              <w:rPr>
                <w:rFonts w:ascii="Arial Narrow" w:hAnsi="Arial Narrow"/>
                <w:sz w:val="20"/>
              </w:rPr>
            </w:pPr>
            <w:r w:rsidRPr="001653BC">
              <w:rPr>
                <w:rFonts w:ascii="Arial Narrow" w:hAnsi="Arial Narrow"/>
                <w:sz w:val="20"/>
              </w:rPr>
              <w:t>Baseline mean HbA1c (SE)</w:t>
            </w:r>
          </w:p>
        </w:tc>
        <w:tc>
          <w:tcPr>
            <w:tcW w:w="866" w:type="pct"/>
            <w:tcBorders>
              <w:top w:val="single" w:sz="4" w:space="0" w:color="000000"/>
              <w:left w:val="single" w:sz="4" w:space="0" w:color="000000"/>
              <w:bottom w:val="single" w:sz="4" w:space="0" w:color="000000"/>
              <w:right w:val="single" w:sz="4" w:space="0" w:color="000000"/>
            </w:tcBorders>
            <w:vAlign w:val="center"/>
          </w:tcPr>
          <w:p w:rsidR="00F47224" w:rsidRPr="001653BC" w:rsidRDefault="00F47224" w:rsidP="004E6CA2">
            <w:pPr>
              <w:widowControl/>
              <w:jc w:val="center"/>
              <w:rPr>
                <w:rFonts w:ascii="Arial Narrow" w:hAnsi="Arial Narrow"/>
                <w:sz w:val="20"/>
              </w:rPr>
            </w:pPr>
            <w:r w:rsidRPr="001653BC">
              <w:rPr>
                <w:rFonts w:ascii="Arial Narrow" w:hAnsi="Arial Narrow"/>
                <w:sz w:val="20"/>
              </w:rPr>
              <w:t>8.3 (0.08)</w:t>
            </w:r>
          </w:p>
        </w:tc>
        <w:tc>
          <w:tcPr>
            <w:tcW w:w="779" w:type="pct"/>
            <w:tcBorders>
              <w:top w:val="single" w:sz="4" w:space="0" w:color="000000"/>
              <w:left w:val="single" w:sz="4" w:space="0" w:color="000000"/>
              <w:bottom w:val="single" w:sz="4" w:space="0" w:color="000000"/>
              <w:right w:val="single" w:sz="4" w:space="0" w:color="000000"/>
            </w:tcBorders>
            <w:vAlign w:val="center"/>
          </w:tcPr>
          <w:p w:rsidR="00F47224" w:rsidRPr="001653BC" w:rsidRDefault="00F47224" w:rsidP="004E6CA2">
            <w:pPr>
              <w:widowControl/>
              <w:jc w:val="center"/>
              <w:rPr>
                <w:rFonts w:ascii="Arial Narrow" w:hAnsi="Arial Narrow"/>
                <w:sz w:val="20"/>
              </w:rPr>
            </w:pPr>
            <w:r w:rsidRPr="001653BC">
              <w:rPr>
                <w:rFonts w:ascii="Arial Narrow" w:hAnsi="Arial Narrow"/>
                <w:sz w:val="20"/>
              </w:rPr>
              <w:t>8.3 (0.08)</w:t>
            </w:r>
          </w:p>
        </w:tc>
        <w:tc>
          <w:tcPr>
            <w:tcW w:w="865" w:type="pct"/>
            <w:tcBorders>
              <w:top w:val="single" w:sz="4" w:space="0" w:color="000000"/>
              <w:left w:val="single" w:sz="4" w:space="0" w:color="000000"/>
              <w:bottom w:val="single" w:sz="4" w:space="0" w:color="000000"/>
              <w:right w:val="single" w:sz="4" w:space="0" w:color="000000"/>
            </w:tcBorders>
            <w:vAlign w:val="center"/>
          </w:tcPr>
          <w:p w:rsidR="00F47224" w:rsidRPr="001653BC" w:rsidRDefault="00F47224" w:rsidP="004E6CA2">
            <w:pPr>
              <w:widowControl/>
              <w:jc w:val="center"/>
              <w:rPr>
                <w:rFonts w:ascii="Arial Narrow" w:hAnsi="Arial Narrow"/>
                <w:sz w:val="20"/>
              </w:rPr>
            </w:pPr>
            <w:r w:rsidRPr="001653BC">
              <w:rPr>
                <w:rFonts w:ascii="Arial Narrow" w:hAnsi="Arial Narrow"/>
                <w:sz w:val="20"/>
              </w:rPr>
              <w:t>8.5 (0.10)</w:t>
            </w:r>
          </w:p>
        </w:tc>
        <w:tc>
          <w:tcPr>
            <w:tcW w:w="830" w:type="pct"/>
            <w:tcBorders>
              <w:top w:val="single" w:sz="4" w:space="0" w:color="000000"/>
              <w:left w:val="single" w:sz="4" w:space="0" w:color="000000"/>
              <w:bottom w:val="single" w:sz="4" w:space="0" w:color="000000"/>
              <w:right w:val="single" w:sz="4" w:space="0" w:color="000000"/>
            </w:tcBorders>
            <w:vAlign w:val="center"/>
          </w:tcPr>
          <w:p w:rsidR="00F47224" w:rsidRPr="001653BC" w:rsidRDefault="00F47224" w:rsidP="004E6CA2">
            <w:pPr>
              <w:widowControl/>
              <w:jc w:val="center"/>
              <w:rPr>
                <w:rFonts w:ascii="Arial Narrow" w:hAnsi="Arial Narrow"/>
                <w:sz w:val="20"/>
              </w:rPr>
            </w:pPr>
            <w:r w:rsidRPr="001653BC">
              <w:rPr>
                <w:rFonts w:ascii="Arial Narrow" w:hAnsi="Arial Narrow"/>
                <w:sz w:val="20"/>
              </w:rPr>
              <w:t>8.4 (0.10)</w:t>
            </w:r>
          </w:p>
        </w:tc>
      </w:tr>
      <w:tr w:rsidR="00F47224" w:rsidRPr="001653BC" w:rsidTr="008752B3">
        <w:trPr>
          <w:cantSplit/>
        </w:trPr>
        <w:tc>
          <w:tcPr>
            <w:tcW w:w="1660" w:type="pct"/>
            <w:tcBorders>
              <w:top w:val="single" w:sz="4" w:space="0" w:color="000000"/>
              <w:left w:val="single" w:sz="4" w:space="0" w:color="000000"/>
              <w:bottom w:val="single" w:sz="4" w:space="0" w:color="000000"/>
              <w:right w:val="single" w:sz="4" w:space="0" w:color="000000"/>
            </w:tcBorders>
          </w:tcPr>
          <w:p w:rsidR="00F47224" w:rsidRPr="001653BC" w:rsidRDefault="00F47224" w:rsidP="004E6CA2">
            <w:pPr>
              <w:widowControl/>
              <w:ind w:right="-199"/>
              <w:jc w:val="left"/>
              <w:rPr>
                <w:rFonts w:ascii="Arial Narrow" w:hAnsi="Arial Narrow"/>
                <w:sz w:val="20"/>
              </w:rPr>
            </w:pPr>
            <w:r w:rsidRPr="001653BC">
              <w:rPr>
                <w:rFonts w:ascii="Arial Narrow" w:hAnsi="Arial Narrow"/>
                <w:sz w:val="20"/>
              </w:rPr>
              <w:t>LS mean change in HbA1c (SE)</w:t>
            </w:r>
          </w:p>
        </w:tc>
        <w:tc>
          <w:tcPr>
            <w:tcW w:w="866" w:type="pct"/>
            <w:tcBorders>
              <w:top w:val="single" w:sz="4" w:space="0" w:color="000000"/>
              <w:left w:val="single" w:sz="4" w:space="0" w:color="000000"/>
              <w:bottom w:val="single" w:sz="4" w:space="0" w:color="000000"/>
              <w:right w:val="single" w:sz="4" w:space="0" w:color="000000"/>
            </w:tcBorders>
            <w:vAlign w:val="center"/>
          </w:tcPr>
          <w:p w:rsidR="00F47224" w:rsidRPr="001653BC" w:rsidRDefault="00F47224" w:rsidP="004E6CA2">
            <w:pPr>
              <w:widowControl/>
              <w:jc w:val="center"/>
              <w:rPr>
                <w:rFonts w:ascii="Arial Narrow" w:hAnsi="Arial Narrow"/>
                <w:sz w:val="20"/>
              </w:rPr>
            </w:pPr>
            <w:r w:rsidRPr="001653BC">
              <w:rPr>
                <w:rFonts w:ascii="Arial Narrow" w:hAnsi="Arial Narrow"/>
                <w:sz w:val="20"/>
              </w:rPr>
              <w:t>-1.9 (0.08)</w:t>
            </w:r>
          </w:p>
        </w:tc>
        <w:tc>
          <w:tcPr>
            <w:tcW w:w="779" w:type="pct"/>
            <w:tcBorders>
              <w:top w:val="single" w:sz="4" w:space="0" w:color="000000"/>
              <w:left w:val="single" w:sz="4" w:space="0" w:color="000000"/>
              <w:bottom w:val="single" w:sz="4" w:space="0" w:color="000000"/>
              <w:right w:val="single" w:sz="4" w:space="0" w:color="000000"/>
            </w:tcBorders>
            <w:vAlign w:val="center"/>
          </w:tcPr>
          <w:p w:rsidR="00F47224" w:rsidRPr="001653BC" w:rsidRDefault="00F47224" w:rsidP="004E6CA2">
            <w:pPr>
              <w:widowControl/>
              <w:jc w:val="center"/>
              <w:rPr>
                <w:rFonts w:ascii="Arial Narrow" w:hAnsi="Arial Narrow"/>
                <w:sz w:val="20"/>
              </w:rPr>
            </w:pPr>
            <w:r w:rsidRPr="001653BC">
              <w:rPr>
                <w:rFonts w:ascii="Arial Narrow" w:hAnsi="Arial Narrow"/>
                <w:sz w:val="20"/>
              </w:rPr>
              <w:t>-1.5 (0.08)</w:t>
            </w:r>
          </w:p>
        </w:tc>
        <w:tc>
          <w:tcPr>
            <w:tcW w:w="865" w:type="pct"/>
            <w:tcBorders>
              <w:top w:val="single" w:sz="4" w:space="0" w:color="000000"/>
              <w:left w:val="single" w:sz="4" w:space="0" w:color="000000"/>
              <w:bottom w:val="single" w:sz="4" w:space="0" w:color="000000"/>
              <w:right w:val="single" w:sz="4" w:space="0" w:color="000000"/>
            </w:tcBorders>
            <w:vAlign w:val="center"/>
          </w:tcPr>
          <w:p w:rsidR="00F47224" w:rsidRPr="001653BC" w:rsidRDefault="00F47224" w:rsidP="004E6CA2">
            <w:pPr>
              <w:widowControl/>
              <w:jc w:val="center"/>
              <w:rPr>
                <w:rFonts w:ascii="Arial Narrow" w:hAnsi="Arial Narrow"/>
                <w:sz w:val="20"/>
              </w:rPr>
            </w:pPr>
            <w:r w:rsidRPr="001653BC">
              <w:rPr>
                <w:rFonts w:ascii="Arial Narrow" w:hAnsi="Arial Narrow"/>
                <w:sz w:val="20"/>
              </w:rPr>
              <w:t>-1.6 (0.10)</w:t>
            </w:r>
          </w:p>
        </w:tc>
        <w:tc>
          <w:tcPr>
            <w:tcW w:w="830" w:type="pct"/>
            <w:tcBorders>
              <w:top w:val="single" w:sz="4" w:space="0" w:color="000000"/>
              <w:left w:val="single" w:sz="4" w:space="0" w:color="000000"/>
              <w:bottom w:val="single" w:sz="4" w:space="0" w:color="000000"/>
              <w:right w:val="single" w:sz="4" w:space="0" w:color="000000"/>
            </w:tcBorders>
            <w:vAlign w:val="center"/>
          </w:tcPr>
          <w:p w:rsidR="00F47224" w:rsidRPr="001653BC" w:rsidRDefault="00F47224" w:rsidP="004E6CA2">
            <w:pPr>
              <w:widowControl/>
              <w:jc w:val="center"/>
              <w:rPr>
                <w:rFonts w:ascii="Arial Narrow" w:hAnsi="Arial Narrow"/>
                <w:sz w:val="20"/>
              </w:rPr>
            </w:pPr>
            <w:r w:rsidRPr="001653BC">
              <w:rPr>
                <w:rFonts w:ascii="Arial Narrow" w:hAnsi="Arial Narrow"/>
                <w:sz w:val="20"/>
              </w:rPr>
              <w:t>-0.9 (0.10)</w:t>
            </w:r>
          </w:p>
        </w:tc>
      </w:tr>
      <w:tr w:rsidR="00F47224" w:rsidRPr="001653BC" w:rsidTr="008752B3">
        <w:trPr>
          <w:cantSplit/>
        </w:trPr>
        <w:tc>
          <w:tcPr>
            <w:tcW w:w="1660" w:type="pct"/>
            <w:tcBorders>
              <w:top w:val="single" w:sz="4" w:space="0" w:color="000000"/>
              <w:left w:val="single" w:sz="4" w:space="0" w:color="000000"/>
              <w:bottom w:val="single" w:sz="4" w:space="0" w:color="000000"/>
              <w:right w:val="single" w:sz="4" w:space="0" w:color="000000"/>
            </w:tcBorders>
          </w:tcPr>
          <w:p w:rsidR="00F47224" w:rsidRPr="001653BC" w:rsidRDefault="00F47224" w:rsidP="004E6CA2">
            <w:pPr>
              <w:widowControl/>
              <w:jc w:val="left"/>
              <w:rPr>
                <w:rFonts w:ascii="Arial Narrow" w:hAnsi="Arial Narrow"/>
                <w:sz w:val="20"/>
              </w:rPr>
            </w:pPr>
            <w:r w:rsidRPr="001653BC">
              <w:rPr>
                <w:rFonts w:ascii="Arial Narrow" w:hAnsi="Arial Narrow"/>
                <w:sz w:val="20"/>
              </w:rPr>
              <w:t>LS mean difference (95% CI)</w:t>
            </w:r>
          </w:p>
        </w:tc>
        <w:tc>
          <w:tcPr>
            <w:tcW w:w="1645" w:type="pct"/>
            <w:gridSpan w:val="2"/>
            <w:tcBorders>
              <w:top w:val="single" w:sz="4" w:space="0" w:color="000000"/>
              <w:left w:val="single" w:sz="4" w:space="0" w:color="000000"/>
              <w:bottom w:val="single" w:sz="4" w:space="0" w:color="000000"/>
              <w:right w:val="single" w:sz="4" w:space="0" w:color="000000"/>
            </w:tcBorders>
            <w:vAlign w:val="center"/>
          </w:tcPr>
          <w:p w:rsidR="00F47224" w:rsidRPr="001653BC" w:rsidRDefault="00F47224" w:rsidP="004E6CA2">
            <w:pPr>
              <w:widowControl/>
              <w:jc w:val="center"/>
              <w:rPr>
                <w:rFonts w:ascii="Arial Narrow" w:hAnsi="Arial Narrow"/>
                <w:b/>
                <w:sz w:val="20"/>
              </w:rPr>
            </w:pPr>
            <w:r w:rsidRPr="001653BC">
              <w:rPr>
                <w:rFonts w:ascii="Arial Narrow" w:hAnsi="Arial Narrow"/>
                <w:b/>
                <w:sz w:val="20"/>
              </w:rPr>
              <w:t>-0.33 (-0.54, -0.12)</w:t>
            </w:r>
          </w:p>
        </w:tc>
        <w:tc>
          <w:tcPr>
            <w:tcW w:w="1695" w:type="pct"/>
            <w:gridSpan w:val="2"/>
            <w:tcBorders>
              <w:top w:val="single" w:sz="4" w:space="0" w:color="000000"/>
              <w:left w:val="single" w:sz="4" w:space="0" w:color="000000"/>
              <w:bottom w:val="single" w:sz="4" w:space="0" w:color="000000"/>
              <w:right w:val="single" w:sz="4" w:space="0" w:color="000000"/>
            </w:tcBorders>
            <w:vAlign w:val="center"/>
          </w:tcPr>
          <w:p w:rsidR="00F47224" w:rsidRPr="001653BC" w:rsidRDefault="00F47224" w:rsidP="004E6CA2">
            <w:pPr>
              <w:widowControl/>
              <w:jc w:val="center"/>
              <w:rPr>
                <w:rFonts w:ascii="Arial Narrow" w:hAnsi="Arial Narrow"/>
                <w:b/>
                <w:sz w:val="20"/>
              </w:rPr>
            </w:pPr>
            <w:r w:rsidRPr="001653BC">
              <w:rPr>
                <w:rFonts w:ascii="Arial Narrow" w:hAnsi="Arial Narrow"/>
                <w:b/>
                <w:sz w:val="20"/>
              </w:rPr>
              <w:t>-0.7 (-0.90, -0.40)</w:t>
            </w:r>
          </w:p>
        </w:tc>
      </w:tr>
      <w:tr w:rsidR="00F47224" w:rsidRPr="001653BC" w:rsidTr="008752B3">
        <w:trPr>
          <w:cantSplit/>
        </w:trPr>
        <w:tc>
          <w:tcPr>
            <w:tcW w:w="1660" w:type="pct"/>
            <w:tcBorders>
              <w:top w:val="single" w:sz="4" w:space="0" w:color="000000"/>
              <w:left w:val="single" w:sz="4" w:space="0" w:color="000000"/>
              <w:bottom w:val="single" w:sz="4" w:space="0" w:color="000000"/>
              <w:right w:val="single" w:sz="4" w:space="0" w:color="000000"/>
            </w:tcBorders>
          </w:tcPr>
          <w:p w:rsidR="00F47224" w:rsidRPr="001653BC" w:rsidRDefault="00F47224" w:rsidP="004E6CA2">
            <w:pPr>
              <w:widowControl/>
              <w:jc w:val="left"/>
              <w:rPr>
                <w:rFonts w:ascii="Arial Narrow" w:hAnsi="Arial Narrow"/>
                <w:sz w:val="20"/>
              </w:rPr>
            </w:pPr>
            <w:r w:rsidRPr="001653BC">
              <w:rPr>
                <w:rFonts w:ascii="Arial Narrow" w:hAnsi="Arial Narrow"/>
                <w:sz w:val="20"/>
              </w:rPr>
              <w:t>Pooled difference (95% CI)</w:t>
            </w:r>
          </w:p>
        </w:tc>
        <w:tc>
          <w:tcPr>
            <w:tcW w:w="3340" w:type="pct"/>
            <w:gridSpan w:val="4"/>
            <w:tcBorders>
              <w:top w:val="single" w:sz="4" w:space="0" w:color="000000"/>
              <w:left w:val="single" w:sz="4" w:space="0" w:color="000000"/>
              <w:bottom w:val="single" w:sz="4" w:space="0" w:color="000000"/>
              <w:right w:val="single" w:sz="4" w:space="0" w:color="000000"/>
            </w:tcBorders>
            <w:vAlign w:val="center"/>
          </w:tcPr>
          <w:p w:rsidR="00F47224" w:rsidRPr="001653BC" w:rsidRDefault="00F47224" w:rsidP="004E6CA2">
            <w:pPr>
              <w:widowControl/>
              <w:jc w:val="center"/>
              <w:rPr>
                <w:rFonts w:ascii="Arial Narrow" w:hAnsi="Arial Narrow"/>
                <w:sz w:val="20"/>
              </w:rPr>
            </w:pPr>
            <w:r w:rsidRPr="001653BC">
              <w:rPr>
                <w:rFonts w:ascii="Arial Narrow" w:hAnsi="Arial Narrow"/>
                <w:b/>
                <w:sz w:val="20"/>
              </w:rPr>
              <w:t>-0.53 (-0.70, -0.36)</w:t>
            </w:r>
          </w:p>
        </w:tc>
      </w:tr>
    </w:tbl>
    <w:p w:rsidR="00F47224" w:rsidRPr="001653BC" w:rsidRDefault="00F47224" w:rsidP="004E6CA2">
      <w:pPr>
        <w:pStyle w:val="BodyText3"/>
        <w:widowControl/>
        <w:spacing w:after="0"/>
        <w:ind w:left="720"/>
        <w:rPr>
          <w:rFonts w:ascii="Arial Narrow" w:hAnsi="Arial Narrow"/>
          <w:sz w:val="18"/>
          <w:szCs w:val="18"/>
        </w:rPr>
      </w:pPr>
      <w:r w:rsidRPr="001653BC">
        <w:rPr>
          <w:rFonts w:ascii="Arial Narrow" w:hAnsi="Arial Narrow"/>
          <w:sz w:val="18"/>
          <w:szCs w:val="18"/>
        </w:rPr>
        <w:t>Abbreviations: CI</w:t>
      </w:r>
      <w:r w:rsidR="00A20470">
        <w:rPr>
          <w:rFonts w:ascii="Arial Narrow" w:hAnsi="Arial Narrow"/>
          <w:sz w:val="18"/>
          <w:szCs w:val="18"/>
        </w:rPr>
        <w:t xml:space="preserve"> = confidence interval; LS = least squares; SE =</w:t>
      </w:r>
      <w:r w:rsidRPr="001653BC">
        <w:rPr>
          <w:rFonts w:ascii="Arial Narrow" w:hAnsi="Arial Narrow"/>
          <w:sz w:val="18"/>
          <w:szCs w:val="18"/>
        </w:rPr>
        <w:t xml:space="preserve"> standard error</w:t>
      </w:r>
    </w:p>
    <w:p w:rsidR="001A7255" w:rsidRDefault="00F47224" w:rsidP="004E6CA2">
      <w:pPr>
        <w:pStyle w:val="BodyText3"/>
        <w:widowControl/>
        <w:spacing w:after="0"/>
        <w:ind w:left="720"/>
        <w:rPr>
          <w:rFonts w:ascii="Arial Narrow" w:hAnsi="Arial Narrow"/>
          <w:sz w:val="18"/>
          <w:szCs w:val="18"/>
        </w:rPr>
      </w:pPr>
      <w:r w:rsidRPr="001653BC">
        <w:rPr>
          <w:rFonts w:ascii="Arial Narrow" w:hAnsi="Arial Narrow"/>
          <w:sz w:val="18"/>
          <w:szCs w:val="18"/>
        </w:rPr>
        <w:t>Note: Treatment group difference (exenatide weekly minus comparator).</w:t>
      </w:r>
    </w:p>
    <w:p w:rsidR="00F47224" w:rsidRDefault="001A7255" w:rsidP="004E6CA2">
      <w:pPr>
        <w:pStyle w:val="BodyText3"/>
        <w:widowControl/>
        <w:spacing w:after="0"/>
        <w:ind w:left="720"/>
        <w:rPr>
          <w:rFonts w:ascii="Arial Narrow" w:hAnsi="Arial Narrow"/>
          <w:sz w:val="18"/>
          <w:szCs w:val="18"/>
        </w:rPr>
      </w:pPr>
      <w:r>
        <w:rPr>
          <w:rFonts w:ascii="Arial Narrow" w:hAnsi="Arial Narrow"/>
          <w:sz w:val="18"/>
          <w:szCs w:val="18"/>
        </w:rPr>
        <w:t>Source:</w:t>
      </w:r>
      <w:r w:rsidR="007578A8">
        <w:rPr>
          <w:rFonts w:ascii="Arial Narrow" w:hAnsi="Arial Narrow"/>
          <w:sz w:val="18"/>
          <w:szCs w:val="18"/>
        </w:rPr>
        <w:t xml:space="preserve"> </w:t>
      </w:r>
      <w:r>
        <w:rPr>
          <w:rFonts w:ascii="Arial Narrow" w:hAnsi="Arial Narrow"/>
          <w:sz w:val="18"/>
          <w:szCs w:val="18"/>
        </w:rPr>
        <w:t>Table</w:t>
      </w:r>
      <w:r w:rsidR="003078D9">
        <w:rPr>
          <w:rFonts w:ascii="Arial Narrow" w:hAnsi="Arial Narrow"/>
          <w:sz w:val="18"/>
          <w:szCs w:val="18"/>
        </w:rPr>
        <w:t xml:space="preserve"> </w:t>
      </w:r>
      <w:r w:rsidR="00110F63">
        <w:rPr>
          <w:rFonts w:ascii="Arial Narrow" w:hAnsi="Arial Narrow"/>
          <w:sz w:val="18"/>
          <w:szCs w:val="18"/>
        </w:rPr>
        <w:t xml:space="preserve">B.6.1, p35 and Table </w:t>
      </w:r>
      <w:r w:rsidR="003078D9">
        <w:rPr>
          <w:rFonts w:ascii="Arial Narrow" w:hAnsi="Arial Narrow"/>
          <w:sz w:val="18"/>
          <w:szCs w:val="18"/>
        </w:rPr>
        <w:t>B.6.10, p48 of the November 2013 re-submission</w:t>
      </w:r>
      <w:r w:rsidR="00F47224" w:rsidRPr="001653BC">
        <w:rPr>
          <w:rFonts w:ascii="Arial Narrow" w:hAnsi="Arial Narrow"/>
          <w:sz w:val="18"/>
          <w:szCs w:val="18"/>
        </w:rPr>
        <w:t xml:space="preserve"> </w:t>
      </w:r>
    </w:p>
    <w:p w:rsidR="00116253" w:rsidRPr="00D06525" w:rsidRDefault="00116253" w:rsidP="00D06525">
      <w:pPr>
        <w:pStyle w:val="BodyText3"/>
        <w:widowControl/>
        <w:spacing w:after="0"/>
        <w:rPr>
          <w:sz w:val="22"/>
          <w:szCs w:val="18"/>
        </w:rPr>
      </w:pPr>
    </w:p>
    <w:p w:rsidR="003513EB" w:rsidRPr="00A93969" w:rsidRDefault="00BC5A8A" w:rsidP="004E6CA2">
      <w:pPr>
        <w:pStyle w:val="Heading2"/>
        <w:keepNext/>
        <w:widowControl/>
        <w:rPr>
          <w:i/>
        </w:rPr>
      </w:pPr>
      <w:bookmarkStart w:id="21" w:name="_Toc419369081"/>
      <w:r w:rsidRPr="00A93969">
        <w:rPr>
          <w:i/>
        </w:rPr>
        <w:t>Comparative harms</w:t>
      </w:r>
      <w:bookmarkEnd w:id="21"/>
    </w:p>
    <w:p w:rsidR="00BC5A8A" w:rsidRDefault="00BC5A8A" w:rsidP="004E6CA2">
      <w:pPr>
        <w:keepNext/>
        <w:widowControl/>
      </w:pPr>
    </w:p>
    <w:p w:rsidR="00DD33C9" w:rsidRDefault="00BC5A8A" w:rsidP="004E6CA2">
      <w:pPr>
        <w:pStyle w:val="BodyText"/>
        <w:widowControl/>
        <w:numPr>
          <w:ilvl w:val="1"/>
          <w:numId w:val="47"/>
        </w:numPr>
        <w:jc w:val="both"/>
      </w:pPr>
      <w:r>
        <w:t xml:space="preserve">At </w:t>
      </w:r>
      <w:r w:rsidR="00D06525">
        <w:t>its</w:t>
      </w:r>
      <w:r>
        <w:t xml:space="preserve"> November 2013 meeting, the PBAC accepted that exenatide </w:t>
      </w:r>
      <w:r w:rsidR="00D06525">
        <w:t xml:space="preserve">2 mg </w:t>
      </w:r>
      <w:r>
        <w:t>once weekly has non-inferior safety to exenatide 10</w:t>
      </w:r>
      <w:r w:rsidR="00D06525">
        <w:t> </w:t>
      </w:r>
      <w:r>
        <w:t>mcg twice daily.</w:t>
      </w:r>
      <w:r w:rsidR="007578A8">
        <w:t xml:space="preserve"> </w:t>
      </w:r>
      <w:r w:rsidRPr="00FB52D4">
        <w:t>This was not disputed in the re</w:t>
      </w:r>
      <w:r w:rsidR="00D06525">
        <w:t>-</w:t>
      </w:r>
      <w:r w:rsidRPr="00FB52D4">
        <w:t>submission</w:t>
      </w:r>
      <w:r w:rsidR="008F2385" w:rsidRPr="00FB52D4">
        <w:t xml:space="preserve">, although the re-submission applied impacts of safety claims in </w:t>
      </w:r>
      <w:r w:rsidR="000F5BB7" w:rsidRPr="00FB52D4">
        <w:t>its economic analysis</w:t>
      </w:r>
      <w:r w:rsidR="008F2385" w:rsidRPr="00FB52D4">
        <w:t xml:space="preserve"> that were not supported by clinical evidence</w:t>
      </w:r>
      <w:r w:rsidRPr="00FB52D4">
        <w:t>.</w:t>
      </w:r>
      <w:r w:rsidR="007578A8">
        <w:t xml:space="preserve"> </w:t>
      </w:r>
      <w:r w:rsidR="000F5BB7" w:rsidRPr="00FB52D4">
        <w:t xml:space="preserve">In </w:t>
      </w:r>
      <w:r w:rsidR="009F7AFA" w:rsidRPr="00FB52D4">
        <w:t>one of the cost analyse</w:t>
      </w:r>
      <w:r w:rsidR="006D7119" w:rsidRPr="00FB52D4">
        <w:t>s</w:t>
      </w:r>
      <w:r w:rsidR="009F7AFA" w:rsidRPr="00FB52D4">
        <w:t xml:space="preserve"> presented</w:t>
      </w:r>
      <w:r w:rsidR="006D7119" w:rsidRPr="00FB52D4">
        <w:t xml:space="preserve">, the re-submission linked the occurrence of less nausea with exenatide once weekly to fewer treatment discontinuations, although there </w:t>
      </w:r>
      <w:r w:rsidR="009F7AFA" w:rsidRPr="00FB52D4">
        <w:t>wa</w:t>
      </w:r>
      <w:r w:rsidR="006D7119" w:rsidRPr="00FB52D4">
        <w:t>s no statistical support for the link between nausea and discontinuation.</w:t>
      </w:r>
      <w:r w:rsidR="007578A8">
        <w:t xml:space="preserve"> </w:t>
      </w:r>
      <w:r w:rsidR="006D7119" w:rsidRPr="00FB52D4">
        <w:t xml:space="preserve">Consequently, the claims </w:t>
      </w:r>
      <w:r w:rsidR="000F5BB7" w:rsidRPr="00FB52D4">
        <w:t>underlying</w:t>
      </w:r>
      <w:r w:rsidR="006D7119" w:rsidRPr="00FB52D4">
        <w:t xml:space="preserve"> the economic analysis </w:t>
      </w:r>
      <w:r w:rsidR="000F5BB7" w:rsidRPr="00FB52D4">
        <w:t>we</w:t>
      </w:r>
      <w:r w:rsidR="006D7119" w:rsidRPr="00FB52D4">
        <w:t>re not supported by clinical data</w:t>
      </w:r>
      <w:r w:rsidR="000F5BB7" w:rsidRPr="00FB52D4">
        <w:t xml:space="preserve"> (see </w:t>
      </w:r>
      <w:r w:rsidR="007C68BE">
        <w:t xml:space="preserve">the </w:t>
      </w:r>
      <w:r w:rsidR="000F5BB7" w:rsidRPr="00FB52D4">
        <w:t xml:space="preserve">Economic analysis </w:t>
      </w:r>
      <w:r w:rsidR="007C68BE">
        <w:t xml:space="preserve">section </w:t>
      </w:r>
      <w:r w:rsidR="000F5BB7" w:rsidRPr="00FB52D4">
        <w:t>below)</w:t>
      </w:r>
      <w:r w:rsidR="006D7119" w:rsidRPr="00FB52D4">
        <w:t>.</w:t>
      </w:r>
    </w:p>
    <w:p w:rsidR="00204061" w:rsidRDefault="00204061" w:rsidP="00D06525">
      <w:pPr>
        <w:pStyle w:val="BodyText"/>
        <w:widowControl/>
        <w:jc w:val="both"/>
      </w:pPr>
    </w:p>
    <w:p w:rsidR="00204061" w:rsidRPr="008752B3" w:rsidRDefault="0095667F" w:rsidP="004E6CA2">
      <w:pPr>
        <w:pStyle w:val="BodyText"/>
        <w:widowControl/>
        <w:numPr>
          <w:ilvl w:val="1"/>
          <w:numId w:val="47"/>
        </w:numPr>
        <w:jc w:val="both"/>
      </w:pPr>
      <w:r w:rsidRPr="008752B3">
        <w:t>The PBAC noted, however, that i</w:t>
      </w:r>
      <w:r w:rsidR="00204061" w:rsidRPr="008752B3">
        <w:t xml:space="preserve">n July 2011, </w:t>
      </w:r>
      <w:r w:rsidRPr="008752B3">
        <w:t>it</w:t>
      </w:r>
      <w:r w:rsidR="00204061" w:rsidRPr="008752B3">
        <w:t xml:space="preserve"> </w:t>
      </w:r>
      <w:r w:rsidR="00D06525" w:rsidRPr="008752B3">
        <w:t xml:space="preserve">had </w:t>
      </w:r>
      <w:r w:rsidR="00204061" w:rsidRPr="008752B3">
        <w:t xml:space="preserve">recognised there were statistically significantly more exenatide twice daily patients reporting nausea and vomiting than exenatide once weekly patients. </w:t>
      </w:r>
      <w:r w:rsidR="00C608B9" w:rsidRPr="008752B3">
        <w:t>T</w:t>
      </w:r>
      <w:r w:rsidR="00204061" w:rsidRPr="008752B3">
        <w:t>he PBAC also noted in July 2011 that injection site reactions are more common with exenatide once weekly.</w:t>
      </w:r>
    </w:p>
    <w:p w:rsidR="001F7361" w:rsidRDefault="001F7361" w:rsidP="004E6CA2">
      <w:pPr>
        <w:widowControl/>
      </w:pPr>
    </w:p>
    <w:p w:rsidR="00301017" w:rsidRPr="00A93969" w:rsidRDefault="00301017" w:rsidP="004E6CA2">
      <w:pPr>
        <w:pStyle w:val="Heading2"/>
        <w:keepNext/>
        <w:widowControl/>
        <w:rPr>
          <w:i/>
        </w:rPr>
      </w:pPr>
      <w:bookmarkStart w:id="22" w:name="_Toc341702025"/>
      <w:bookmarkStart w:id="23" w:name="_Toc380679756"/>
      <w:bookmarkStart w:id="24" w:name="_Toc380742613"/>
      <w:bookmarkStart w:id="25" w:name="_Toc380746180"/>
      <w:bookmarkStart w:id="26" w:name="_Toc380746306"/>
      <w:bookmarkStart w:id="27" w:name="_Toc380746587"/>
      <w:bookmarkStart w:id="28" w:name="_Toc419369082"/>
      <w:r w:rsidRPr="00A93969">
        <w:rPr>
          <w:i/>
        </w:rPr>
        <w:t>Clinical claim</w:t>
      </w:r>
      <w:bookmarkEnd w:id="22"/>
      <w:bookmarkEnd w:id="23"/>
      <w:bookmarkEnd w:id="24"/>
      <w:bookmarkEnd w:id="25"/>
      <w:bookmarkEnd w:id="26"/>
      <w:bookmarkEnd w:id="27"/>
      <w:bookmarkEnd w:id="28"/>
    </w:p>
    <w:p w:rsidR="00D45C61" w:rsidRPr="00D45C61" w:rsidRDefault="00D45C61" w:rsidP="004E6CA2">
      <w:pPr>
        <w:keepNext/>
        <w:widowControl/>
      </w:pPr>
    </w:p>
    <w:p w:rsidR="00301017" w:rsidRDefault="00DF2C4D" w:rsidP="004E6CA2">
      <w:pPr>
        <w:pStyle w:val="BodyText"/>
        <w:widowControl/>
        <w:numPr>
          <w:ilvl w:val="1"/>
          <w:numId w:val="47"/>
        </w:numPr>
        <w:jc w:val="both"/>
      </w:pPr>
      <w:r w:rsidRPr="00DF2C4D">
        <w:t>The re-submission did not make a new clinical claim.</w:t>
      </w:r>
      <w:r w:rsidR="007578A8">
        <w:t xml:space="preserve"> </w:t>
      </w:r>
      <w:r w:rsidRPr="00DF2C4D">
        <w:t xml:space="preserve">The claim accepted by the PBAC </w:t>
      </w:r>
      <w:r>
        <w:t xml:space="preserve">at the </w:t>
      </w:r>
      <w:r w:rsidRPr="00DF2C4D">
        <w:t xml:space="preserve">November 2013 </w:t>
      </w:r>
      <w:r>
        <w:t xml:space="preserve">meeting </w:t>
      </w:r>
      <w:r w:rsidRPr="00DF2C4D">
        <w:t xml:space="preserve">of at least non-inferior </w:t>
      </w:r>
      <w:r w:rsidR="00C75699">
        <w:t>efficacy</w:t>
      </w:r>
      <w:r w:rsidR="00C75699" w:rsidRPr="00DF2C4D">
        <w:t xml:space="preserve"> </w:t>
      </w:r>
      <w:r w:rsidRPr="00DF2C4D">
        <w:t>compared to exenatide 10</w:t>
      </w:r>
      <w:r w:rsidR="0095667F">
        <w:t> </w:t>
      </w:r>
      <w:r w:rsidRPr="00DF2C4D">
        <w:t xml:space="preserve">mcg twice daily and non-inferior safety was not disputed in </w:t>
      </w:r>
      <w:r w:rsidR="00B1636B" w:rsidRPr="00DF2C4D">
        <w:t>th</w:t>
      </w:r>
      <w:r w:rsidR="00B1636B">
        <w:t>e</w:t>
      </w:r>
      <w:r w:rsidR="00B1636B" w:rsidRPr="00DF2C4D">
        <w:t xml:space="preserve"> </w:t>
      </w:r>
      <w:r w:rsidR="00DD4470">
        <w:t>re</w:t>
      </w:r>
      <w:r w:rsidR="00D06525">
        <w:t>-</w:t>
      </w:r>
      <w:r w:rsidRPr="00DF2C4D">
        <w:t>submission.</w:t>
      </w:r>
    </w:p>
    <w:p w:rsidR="00CB2AD3" w:rsidRDefault="00CB2AD3" w:rsidP="00D06525">
      <w:pPr>
        <w:pStyle w:val="BodyText"/>
        <w:widowControl/>
        <w:jc w:val="both"/>
      </w:pPr>
    </w:p>
    <w:p w:rsidR="00CB2AD3" w:rsidRPr="008752B3" w:rsidRDefault="00F61E50" w:rsidP="004E6CA2">
      <w:pPr>
        <w:pStyle w:val="BodyText"/>
        <w:widowControl/>
        <w:numPr>
          <w:ilvl w:val="1"/>
          <w:numId w:val="47"/>
        </w:numPr>
        <w:jc w:val="both"/>
      </w:pPr>
      <w:r w:rsidRPr="008752B3">
        <w:t xml:space="preserve">The PBAC </w:t>
      </w:r>
      <w:r w:rsidR="00D06525" w:rsidRPr="008752B3">
        <w:t>confirmed</w:t>
      </w:r>
      <w:r w:rsidR="003F2A6F" w:rsidRPr="008752B3">
        <w:t xml:space="preserve"> it</w:t>
      </w:r>
      <w:r w:rsidRPr="008752B3">
        <w:t xml:space="preserve">s November 2013 </w:t>
      </w:r>
      <w:r w:rsidR="003F2A6F" w:rsidRPr="008752B3">
        <w:t>consideration of the clinical claim</w:t>
      </w:r>
      <w:r w:rsidR="003B7EB7" w:rsidRPr="008752B3">
        <w:t>.</w:t>
      </w:r>
    </w:p>
    <w:p w:rsidR="00301017" w:rsidRPr="00301017" w:rsidRDefault="00301017" w:rsidP="004E6CA2">
      <w:pPr>
        <w:widowControl/>
        <w:jc w:val="left"/>
      </w:pPr>
    </w:p>
    <w:p w:rsidR="00301017" w:rsidRPr="00A93969" w:rsidRDefault="008A2BFB" w:rsidP="004E6CA2">
      <w:pPr>
        <w:pStyle w:val="Heading2"/>
        <w:widowControl/>
        <w:rPr>
          <w:i/>
        </w:rPr>
      </w:pPr>
      <w:bookmarkStart w:id="29" w:name="_Toc380679757"/>
      <w:bookmarkStart w:id="30" w:name="_Toc380742614"/>
      <w:bookmarkStart w:id="31" w:name="_Toc380746181"/>
      <w:bookmarkStart w:id="32" w:name="_Toc380746307"/>
      <w:bookmarkStart w:id="33" w:name="_Toc380746588"/>
      <w:bookmarkStart w:id="34" w:name="_Toc419369083"/>
      <w:r w:rsidRPr="00A93969">
        <w:rPr>
          <w:i/>
        </w:rPr>
        <w:t>Economic analysis</w:t>
      </w:r>
      <w:bookmarkEnd w:id="29"/>
      <w:bookmarkEnd w:id="30"/>
      <w:bookmarkEnd w:id="31"/>
      <w:bookmarkEnd w:id="32"/>
      <w:bookmarkEnd w:id="33"/>
      <w:bookmarkEnd w:id="34"/>
    </w:p>
    <w:p w:rsidR="008A2BFB" w:rsidRDefault="008A2BFB" w:rsidP="004E6CA2">
      <w:pPr>
        <w:widowControl/>
      </w:pPr>
    </w:p>
    <w:p w:rsidR="00152E18" w:rsidRDefault="005C1854" w:rsidP="004E6CA2">
      <w:pPr>
        <w:pStyle w:val="BodyText"/>
        <w:widowControl/>
        <w:numPr>
          <w:ilvl w:val="1"/>
          <w:numId w:val="47"/>
        </w:numPr>
        <w:jc w:val="both"/>
        <w:rPr>
          <w:szCs w:val="22"/>
        </w:rPr>
      </w:pPr>
      <w:r w:rsidRPr="00B1636B">
        <w:t>T</w:t>
      </w:r>
      <w:r w:rsidR="00D0536C" w:rsidRPr="00B1636B">
        <w:t xml:space="preserve">he re-submission presented </w:t>
      </w:r>
      <w:r w:rsidR="00ED3F9F" w:rsidRPr="00B1636B">
        <w:t xml:space="preserve">both </w:t>
      </w:r>
      <w:r w:rsidR="002408C2">
        <w:t xml:space="preserve">a </w:t>
      </w:r>
      <w:r w:rsidR="00F27B67">
        <w:t>series of</w:t>
      </w:r>
      <w:r w:rsidR="00F47224" w:rsidRPr="00B1636B">
        <w:t xml:space="preserve"> cost analys</w:t>
      </w:r>
      <w:r w:rsidR="00F27B67">
        <w:t>e</w:t>
      </w:r>
      <w:r w:rsidR="00F47224" w:rsidRPr="00B1636B">
        <w:t xml:space="preserve">s and the results of a </w:t>
      </w:r>
      <w:r w:rsidR="00D0536C" w:rsidRPr="00B1636B">
        <w:t xml:space="preserve">WTP </w:t>
      </w:r>
      <w:r w:rsidR="00F47224" w:rsidRPr="00B1636B">
        <w:t>study</w:t>
      </w:r>
      <w:r w:rsidR="00ED3F9F" w:rsidRPr="00B1636B">
        <w:t xml:space="preserve"> </w:t>
      </w:r>
      <w:r w:rsidR="00923E4C">
        <w:t xml:space="preserve">to justify the requested price </w:t>
      </w:r>
      <w:r w:rsidR="00FF5077">
        <w:t>advantage</w:t>
      </w:r>
      <w:r w:rsidR="00152E18">
        <w:t xml:space="preserve">, </w:t>
      </w:r>
      <w:r w:rsidR="00152E18" w:rsidRPr="003B7EB7">
        <w:rPr>
          <w:szCs w:val="22"/>
        </w:rPr>
        <w:t>for convenience of use.</w:t>
      </w:r>
      <w:r w:rsidR="00152E18" w:rsidRPr="00FB52D4">
        <w:rPr>
          <w:szCs w:val="22"/>
        </w:rPr>
        <w:t xml:space="preserve"> </w:t>
      </w:r>
      <w:r w:rsidR="00244A23">
        <w:rPr>
          <w:szCs w:val="22"/>
        </w:rPr>
        <w:t>The re</w:t>
      </w:r>
      <w:r w:rsidR="00423435">
        <w:rPr>
          <w:szCs w:val="22"/>
        </w:rPr>
        <w:noBreakHyphen/>
      </w:r>
      <w:r w:rsidR="00152E18" w:rsidRPr="00244A23">
        <w:rPr>
          <w:szCs w:val="22"/>
        </w:rPr>
        <w:t xml:space="preserve">submission provided supportive argument in claiming greater acceptability and adherence would be realised in difficult to </w:t>
      </w:r>
      <w:r w:rsidR="00152E18" w:rsidRPr="009E7080">
        <w:rPr>
          <w:szCs w:val="22"/>
        </w:rPr>
        <w:t xml:space="preserve">treat patients with high clinical need (stated in the re-submission to be the </w:t>
      </w:r>
      <w:r w:rsidR="003B7EB7" w:rsidRPr="009E7080">
        <w:t xml:space="preserve">Indigenous, </w:t>
      </w:r>
      <w:r w:rsidR="0080498C" w:rsidRPr="009E7080">
        <w:t>a</w:t>
      </w:r>
      <w:r w:rsidR="003B7EB7" w:rsidRPr="009E7080">
        <w:t xml:space="preserve">ged </w:t>
      </w:r>
      <w:r w:rsidR="0080498C" w:rsidRPr="009E7080">
        <w:t>and mental h</w:t>
      </w:r>
      <w:r w:rsidR="003B7EB7" w:rsidRPr="009E7080">
        <w:t>ealth populations</w:t>
      </w:r>
      <w:r w:rsidR="00152E18" w:rsidRPr="009E7080">
        <w:rPr>
          <w:szCs w:val="22"/>
        </w:rPr>
        <w:t>). The ESC considered the submission did not provide any specific evidence that once weekly dosing will result in better health outcomes for Indigenous Australians</w:t>
      </w:r>
      <w:r w:rsidR="00152E18" w:rsidRPr="00244A23">
        <w:rPr>
          <w:szCs w:val="22"/>
        </w:rPr>
        <w:t xml:space="preserve"> with </w:t>
      </w:r>
      <w:r w:rsidR="00F119B4">
        <w:rPr>
          <w:szCs w:val="22"/>
        </w:rPr>
        <w:t>T2DM</w:t>
      </w:r>
      <w:r w:rsidR="00152E18" w:rsidRPr="00244A23">
        <w:rPr>
          <w:szCs w:val="22"/>
        </w:rPr>
        <w:t>. While there may be a case that once wee</w:t>
      </w:r>
      <w:r w:rsidR="0080498C">
        <w:rPr>
          <w:szCs w:val="22"/>
        </w:rPr>
        <w:t xml:space="preserve">kly </w:t>
      </w:r>
      <w:r w:rsidR="00D06525">
        <w:rPr>
          <w:szCs w:val="22"/>
        </w:rPr>
        <w:t>dosing would</w:t>
      </w:r>
      <w:r w:rsidR="0080498C">
        <w:rPr>
          <w:szCs w:val="22"/>
        </w:rPr>
        <w:t xml:space="preserve"> improve adherence</w:t>
      </w:r>
      <w:r w:rsidR="00D06525">
        <w:rPr>
          <w:szCs w:val="22"/>
        </w:rPr>
        <w:t xml:space="preserve"> over twice daily dosing</w:t>
      </w:r>
      <w:r w:rsidR="0080498C">
        <w:rPr>
          <w:szCs w:val="22"/>
        </w:rPr>
        <w:t>, the ESC did not consider this</w:t>
      </w:r>
      <w:r w:rsidR="00152E18" w:rsidRPr="00244A23">
        <w:rPr>
          <w:szCs w:val="22"/>
        </w:rPr>
        <w:t xml:space="preserve"> was </w:t>
      </w:r>
      <w:r w:rsidR="0080498C">
        <w:rPr>
          <w:szCs w:val="22"/>
        </w:rPr>
        <w:t>adequately</w:t>
      </w:r>
      <w:r w:rsidR="00152E18" w:rsidRPr="00244A23">
        <w:rPr>
          <w:szCs w:val="22"/>
        </w:rPr>
        <w:t xml:space="preserve"> established by the submission.</w:t>
      </w:r>
    </w:p>
    <w:p w:rsidR="0095667F" w:rsidRDefault="0095667F" w:rsidP="00D06525">
      <w:pPr>
        <w:pStyle w:val="BodyText"/>
        <w:widowControl/>
        <w:jc w:val="both"/>
        <w:rPr>
          <w:szCs w:val="22"/>
        </w:rPr>
      </w:pPr>
    </w:p>
    <w:p w:rsidR="004C2D60" w:rsidRPr="008752B3" w:rsidRDefault="0031729F" w:rsidP="004E6CA2">
      <w:pPr>
        <w:pStyle w:val="BodyText"/>
        <w:widowControl/>
        <w:numPr>
          <w:ilvl w:val="1"/>
          <w:numId w:val="47"/>
        </w:numPr>
        <w:jc w:val="both"/>
        <w:rPr>
          <w:szCs w:val="22"/>
        </w:rPr>
      </w:pPr>
      <w:r w:rsidRPr="008752B3">
        <w:rPr>
          <w:szCs w:val="22"/>
        </w:rPr>
        <w:t>The PBAC considered</w:t>
      </w:r>
      <w:r w:rsidR="0095667F" w:rsidRPr="008752B3">
        <w:rPr>
          <w:szCs w:val="22"/>
        </w:rPr>
        <w:t xml:space="preserve"> that the </w:t>
      </w:r>
      <w:r w:rsidR="0014650A" w:rsidRPr="008752B3">
        <w:rPr>
          <w:szCs w:val="22"/>
        </w:rPr>
        <w:t xml:space="preserve">simplified treatment regimen of reducing </w:t>
      </w:r>
      <w:r w:rsidR="009A5839" w:rsidRPr="008752B3">
        <w:rPr>
          <w:szCs w:val="22"/>
        </w:rPr>
        <w:t xml:space="preserve">dosing frequency by 13 </w:t>
      </w:r>
      <w:r w:rsidR="0014650A" w:rsidRPr="008752B3">
        <w:rPr>
          <w:szCs w:val="22"/>
        </w:rPr>
        <w:t xml:space="preserve">injections per week </w:t>
      </w:r>
      <w:r w:rsidR="0095667F" w:rsidRPr="008752B3">
        <w:rPr>
          <w:szCs w:val="22"/>
        </w:rPr>
        <w:t>may translate into fulfilling an unmet need for high clinical need populations; specifically Indigenous, aged and mental health populations.</w:t>
      </w:r>
    </w:p>
    <w:p w:rsidR="004C2D60" w:rsidRPr="008752B3" w:rsidRDefault="004C2D60" w:rsidP="0080498C">
      <w:pPr>
        <w:widowControl/>
        <w:rPr>
          <w:szCs w:val="22"/>
        </w:rPr>
      </w:pPr>
    </w:p>
    <w:p w:rsidR="0095667F" w:rsidRPr="008752B3" w:rsidRDefault="004C2D60" w:rsidP="004E6CA2">
      <w:pPr>
        <w:pStyle w:val="BodyText"/>
        <w:widowControl/>
        <w:numPr>
          <w:ilvl w:val="1"/>
          <w:numId w:val="47"/>
        </w:numPr>
        <w:jc w:val="both"/>
        <w:rPr>
          <w:szCs w:val="22"/>
        </w:rPr>
      </w:pPr>
      <w:r w:rsidRPr="008752B3">
        <w:rPr>
          <w:szCs w:val="22"/>
        </w:rPr>
        <w:t>In addition, the PBAC noted the</w:t>
      </w:r>
      <w:r w:rsidR="008371EA" w:rsidRPr="008752B3">
        <w:rPr>
          <w:szCs w:val="22"/>
        </w:rPr>
        <w:t xml:space="preserve">re </w:t>
      </w:r>
      <w:r w:rsidR="000A3CF1" w:rsidRPr="008752B3">
        <w:rPr>
          <w:szCs w:val="22"/>
        </w:rPr>
        <w:t xml:space="preserve">may </w:t>
      </w:r>
      <w:r w:rsidR="008371EA" w:rsidRPr="008752B3">
        <w:rPr>
          <w:szCs w:val="22"/>
        </w:rPr>
        <w:t>be</w:t>
      </w:r>
      <w:r w:rsidRPr="008752B3">
        <w:rPr>
          <w:szCs w:val="22"/>
        </w:rPr>
        <w:t xml:space="preserve"> benefits of once weekly dosing in </w:t>
      </w:r>
      <w:r w:rsidR="00E52CC7" w:rsidRPr="008752B3">
        <w:rPr>
          <w:szCs w:val="22"/>
        </w:rPr>
        <w:t>mental</w:t>
      </w:r>
      <w:r w:rsidRPr="008752B3">
        <w:rPr>
          <w:szCs w:val="22"/>
        </w:rPr>
        <w:t xml:space="preserve"> health patients who have less access to medical care and </w:t>
      </w:r>
      <w:r w:rsidR="000A3CF1" w:rsidRPr="008752B3">
        <w:rPr>
          <w:szCs w:val="22"/>
        </w:rPr>
        <w:t xml:space="preserve">may be </w:t>
      </w:r>
      <w:r w:rsidRPr="008752B3">
        <w:rPr>
          <w:szCs w:val="22"/>
        </w:rPr>
        <w:t xml:space="preserve">less </w:t>
      </w:r>
      <w:r w:rsidR="00B8711B" w:rsidRPr="008752B3">
        <w:rPr>
          <w:szCs w:val="22"/>
        </w:rPr>
        <w:t>compliant</w:t>
      </w:r>
      <w:r w:rsidR="00D06525" w:rsidRPr="008752B3">
        <w:rPr>
          <w:szCs w:val="22"/>
        </w:rPr>
        <w:t xml:space="preserve"> with their regimens.</w:t>
      </w:r>
    </w:p>
    <w:p w:rsidR="00152E18" w:rsidRDefault="00152E18" w:rsidP="00D06525">
      <w:pPr>
        <w:pStyle w:val="BodyText"/>
        <w:widowControl/>
        <w:jc w:val="both"/>
      </w:pPr>
    </w:p>
    <w:p w:rsidR="00E52CC7" w:rsidRPr="00E52CC7" w:rsidRDefault="00E52CC7" w:rsidP="004E6CA2">
      <w:pPr>
        <w:pStyle w:val="BodyText"/>
        <w:widowControl/>
        <w:ind w:left="720" w:hanging="720"/>
        <w:jc w:val="both"/>
        <w:rPr>
          <w:u w:val="single"/>
        </w:rPr>
      </w:pPr>
      <w:r w:rsidRPr="00E52CC7">
        <w:rPr>
          <w:u w:val="single"/>
        </w:rPr>
        <w:t>WTP study</w:t>
      </w:r>
    </w:p>
    <w:p w:rsidR="00E52CC7" w:rsidRDefault="00E52CC7" w:rsidP="00D06525">
      <w:pPr>
        <w:pStyle w:val="BodyText"/>
        <w:widowControl/>
        <w:jc w:val="both"/>
      </w:pPr>
    </w:p>
    <w:p w:rsidR="001222FC" w:rsidRPr="00B1636B" w:rsidRDefault="000F699B" w:rsidP="004E6CA2">
      <w:pPr>
        <w:pStyle w:val="BodyText"/>
        <w:widowControl/>
        <w:numPr>
          <w:ilvl w:val="1"/>
          <w:numId w:val="47"/>
        </w:numPr>
        <w:jc w:val="both"/>
      </w:pPr>
      <w:r>
        <w:t xml:space="preserve">The </w:t>
      </w:r>
      <w:r w:rsidR="00202624">
        <w:t xml:space="preserve">following </w:t>
      </w:r>
      <w:r>
        <w:t xml:space="preserve">table </w:t>
      </w:r>
      <w:r w:rsidR="005E180E">
        <w:t>provides a summary of the WTP study.</w:t>
      </w:r>
    </w:p>
    <w:p w:rsidR="005E1CF0" w:rsidRDefault="005E1CF0" w:rsidP="004E6CA2">
      <w:pPr>
        <w:widowControl/>
      </w:pPr>
    </w:p>
    <w:p w:rsidR="00DC6EB7" w:rsidRPr="00D93477" w:rsidRDefault="00DC6EB7" w:rsidP="004E6CA2">
      <w:pPr>
        <w:pStyle w:val="PBACHeading1"/>
        <w:keepNext/>
        <w:ind w:firstLine="720"/>
        <w:rPr>
          <w:rStyle w:val="CommentReference"/>
          <w:b/>
        </w:rPr>
      </w:pPr>
      <w:r w:rsidRPr="00D93477">
        <w:rPr>
          <w:rStyle w:val="CommentReference"/>
          <w:b/>
        </w:rPr>
        <w:t xml:space="preserve">Table </w:t>
      </w:r>
      <w:r>
        <w:rPr>
          <w:rStyle w:val="CommentReference"/>
          <w:b/>
        </w:rPr>
        <w:t>2</w:t>
      </w:r>
      <w:r w:rsidRPr="00D93477">
        <w:rPr>
          <w:rStyle w:val="CommentReference"/>
          <w:b/>
        </w:rPr>
        <w:t xml:space="preserve">: Summary of WTP </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18"/>
        <w:gridCol w:w="6945"/>
      </w:tblGrid>
      <w:tr w:rsidR="00DC6EB7" w:rsidRPr="00E2771E" w:rsidTr="005E180E">
        <w:trPr>
          <w:tblHeader/>
        </w:trPr>
        <w:tc>
          <w:tcPr>
            <w:tcW w:w="848" w:type="pct"/>
            <w:shd w:val="clear" w:color="auto" w:fill="auto"/>
            <w:vAlign w:val="center"/>
          </w:tcPr>
          <w:p w:rsidR="00DC6EB7" w:rsidRPr="00E2771E" w:rsidRDefault="00DC6EB7" w:rsidP="004E6CA2">
            <w:pPr>
              <w:keepNext/>
              <w:widowControl/>
              <w:jc w:val="left"/>
              <w:rPr>
                <w:rFonts w:ascii="Arial Narrow" w:hAnsi="Arial Narrow"/>
                <w:b/>
                <w:sz w:val="20"/>
              </w:rPr>
            </w:pPr>
            <w:r w:rsidRPr="00E2771E">
              <w:rPr>
                <w:rFonts w:ascii="Arial Narrow" w:hAnsi="Arial Narrow"/>
                <w:b/>
                <w:sz w:val="20"/>
              </w:rPr>
              <w:t>Component</w:t>
            </w:r>
          </w:p>
        </w:tc>
        <w:tc>
          <w:tcPr>
            <w:tcW w:w="4152" w:type="pct"/>
            <w:shd w:val="clear" w:color="auto" w:fill="auto"/>
            <w:vAlign w:val="center"/>
          </w:tcPr>
          <w:p w:rsidR="00DC6EB7" w:rsidRPr="00E2771E" w:rsidRDefault="00DC6EB7" w:rsidP="004E6CA2">
            <w:pPr>
              <w:keepNext/>
              <w:widowControl/>
              <w:jc w:val="center"/>
              <w:rPr>
                <w:rFonts w:ascii="Arial Narrow" w:hAnsi="Arial Narrow"/>
                <w:b/>
                <w:sz w:val="20"/>
              </w:rPr>
            </w:pPr>
            <w:r w:rsidRPr="00E2771E">
              <w:rPr>
                <w:rFonts w:ascii="Arial Narrow" w:hAnsi="Arial Narrow"/>
                <w:b/>
                <w:sz w:val="20"/>
              </w:rPr>
              <w:t>Summary</w:t>
            </w:r>
          </w:p>
        </w:tc>
      </w:tr>
      <w:tr w:rsidR="00DC6EB7" w:rsidRPr="00E2771E" w:rsidTr="005E180E">
        <w:tc>
          <w:tcPr>
            <w:tcW w:w="848" w:type="pct"/>
            <w:shd w:val="clear" w:color="auto" w:fill="auto"/>
            <w:vAlign w:val="center"/>
          </w:tcPr>
          <w:p w:rsidR="00DC6EB7" w:rsidRPr="00E2771E" w:rsidRDefault="00DC6EB7" w:rsidP="004E6CA2">
            <w:pPr>
              <w:keepNext/>
              <w:widowControl/>
              <w:jc w:val="left"/>
              <w:rPr>
                <w:rFonts w:ascii="Arial Narrow" w:hAnsi="Arial Narrow"/>
                <w:sz w:val="20"/>
              </w:rPr>
            </w:pPr>
            <w:r>
              <w:rPr>
                <w:rFonts w:ascii="Arial Narrow" w:hAnsi="Arial Narrow"/>
                <w:sz w:val="20"/>
              </w:rPr>
              <w:t>Design</w:t>
            </w:r>
          </w:p>
        </w:tc>
        <w:tc>
          <w:tcPr>
            <w:tcW w:w="4152" w:type="pct"/>
            <w:shd w:val="clear" w:color="auto" w:fill="auto"/>
            <w:vAlign w:val="center"/>
          </w:tcPr>
          <w:p w:rsidR="00DC6EB7" w:rsidRDefault="00DC6EB7" w:rsidP="004E6CA2">
            <w:pPr>
              <w:pStyle w:val="ListParagraph"/>
              <w:keepNext/>
              <w:widowControl/>
              <w:numPr>
                <w:ilvl w:val="0"/>
                <w:numId w:val="35"/>
              </w:numPr>
              <w:ind w:left="113" w:hanging="113"/>
              <w:rPr>
                <w:rFonts w:ascii="Arial Narrow" w:hAnsi="Arial Narrow"/>
                <w:sz w:val="20"/>
                <w:szCs w:val="20"/>
              </w:rPr>
            </w:pPr>
            <w:r w:rsidRPr="005E180E">
              <w:rPr>
                <w:rFonts w:ascii="Arial Narrow" w:hAnsi="Arial Narrow"/>
                <w:sz w:val="20"/>
                <w:szCs w:val="20"/>
              </w:rPr>
              <w:t>Commissioned Australian discrete choice experiment (DCE) to derive a consumer surplus for a once weekly injectable compared to a twice daily injectable preparation for T2DM.</w:t>
            </w:r>
          </w:p>
          <w:p w:rsidR="005E180E" w:rsidRDefault="005E180E" w:rsidP="004E6CA2">
            <w:pPr>
              <w:pStyle w:val="ListParagraph"/>
              <w:keepNext/>
              <w:widowControl/>
              <w:numPr>
                <w:ilvl w:val="0"/>
                <w:numId w:val="35"/>
              </w:numPr>
              <w:ind w:left="113" w:hanging="113"/>
              <w:rPr>
                <w:rFonts w:ascii="Arial Narrow" w:hAnsi="Arial Narrow"/>
                <w:sz w:val="20"/>
                <w:szCs w:val="20"/>
              </w:rPr>
            </w:pPr>
            <w:r w:rsidRPr="009F2BCF">
              <w:rPr>
                <w:rFonts w:ascii="Arial Narrow" w:hAnsi="Arial Narrow"/>
                <w:sz w:val="20"/>
                <w:szCs w:val="20"/>
              </w:rPr>
              <w:t>Participants were asked to choose between a series of three comparisons at a time for either: their current therapy and two injectable preparations and an oral preparation (for participants currently using an injectable preparation); two oral and one injectable preparation (for participants currently using an oral preparation).</w:t>
            </w:r>
          </w:p>
          <w:p w:rsidR="00DC6EB7" w:rsidRPr="005E180E" w:rsidRDefault="005E180E" w:rsidP="004E6CA2">
            <w:pPr>
              <w:pStyle w:val="ListParagraph"/>
              <w:keepNext/>
              <w:widowControl/>
              <w:numPr>
                <w:ilvl w:val="0"/>
                <w:numId w:val="35"/>
              </w:numPr>
              <w:ind w:left="113" w:hanging="113"/>
              <w:rPr>
                <w:rFonts w:ascii="Arial Narrow" w:hAnsi="Arial Narrow"/>
                <w:sz w:val="20"/>
                <w:szCs w:val="20"/>
              </w:rPr>
            </w:pPr>
            <w:r w:rsidRPr="009F2BCF">
              <w:rPr>
                <w:rFonts w:ascii="Arial Narrow" w:hAnsi="Arial Narrow"/>
                <w:sz w:val="20"/>
                <w:szCs w:val="20"/>
              </w:rPr>
              <w:t>Each comparison contained different values for the key attributes of interest: frequency of dosing, weight change, needle used to inject, storage, nausea, mode of administration, injection site reactions, hypoglycaemic events per month, cost per script and instructions with eating.</w:t>
            </w:r>
          </w:p>
        </w:tc>
      </w:tr>
      <w:tr w:rsidR="00DC6EB7" w:rsidRPr="00E2771E" w:rsidTr="005E180E">
        <w:tc>
          <w:tcPr>
            <w:tcW w:w="848" w:type="pct"/>
            <w:shd w:val="clear" w:color="auto" w:fill="auto"/>
            <w:vAlign w:val="center"/>
          </w:tcPr>
          <w:p w:rsidR="00DC6EB7" w:rsidRPr="00E2771E" w:rsidRDefault="00DC6EB7" w:rsidP="004E6CA2">
            <w:pPr>
              <w:keepNext/>
              <w:widowControl/>
              <w:jc w:val="left"/>
              <w:rPr>
                <w:rFonts w:ascii="Arial Narrow" w:hAnsi="Arial Narrow"/>
                <w:sz w:val="20"/>
              </w:rPr>
            </w:pPr>
            <w:r>
              <w:rPr>
                <w:rFonts w:ascii="Arial Narrow" w:hAnsi="Arial Narrow"/>
                <w:sz w:val="20"/>
              </w:rPr>
              <w:t>Population</w:t>
            </w:r>
          </w:p>
        </w:tc>
        <w:tc>
          <w:tcPr>
            <w:tcW w:w="4152" w:type="pct"/>
            <w:shd w:val="clear" w:color="auto" w:fill="auto"/>
            <w:vAlign w:val="center"/>
          </w:tcPr>
          <w:p w:rsidR="005E180E" w:rsidRDefault="00DC6EB7" w:rsidP="004E6CA2">
            <w:pPr>
              <w:pStyle w:val="ListParagraph"/>
              <w:keepNext/>
              <w:widowControl/>
              <w:numPr>
                <w:ilvl w:val="0"/>
                <w:numId w:val="36"/>
              </w:numPr>
              <w:ind w:left="113" w:hanging="113"/>
              <w:rPr>
                <w:rFonts w:ascii="Arial Narrow" w:hAnsi="Arial Narrow"/>
                <w:sz w:val="20"/>
                <w:szCs w:val="20"/>
              </w:rPr>
            </w:pPr>
            <w:r w:rsidRPr="005E180E">
              <w:rPr>
                <w:rFonts w:ascii="Arial Narrow" w:hAnsi="Arial Narrow"/>
                <w:sz w:val="20"/>
                <w:szCs w:val="20"/>
                <w:lang w:eastAsia="en-AU"/>
              </w:rPr>
              <w:t xml:space="preserve">The DCE was conducted in two populations: </w:t>
            </w:r>
          </w:p>
          <w:p w:rsidR="005E180E" w:rsidRDefault="005E180E" w:rsidP="004E6CA2">
            <w:pPr>
              <w:pStyle w:val="ListParagraph"/>
              <w:keepNext/>
              <w:widowControl/>
              <w:numPr>
                <w:ilvl w:val="0"/>
                <w:numId w:val="38"/>
              </w:numPr>
              <w:ind w:left="397" w:hanging="284"/>
              <w:rPr>
                <w:rFonts w:ascii="Arial Narrow" w:hAnsi="Arial Narrow"/>
                <w:sz w:val="20"/>
                <w:szCs w:val="20"/>
              </w:rPr>
            </w:pPr>
            <w:r>
              <w:rPr>
                <w:rFonts w:ascii="Arial Narrow" w:hAnsi="Arial Narrow"/>
                <w:sz w:val="20"/>
                <w:szCs w:val="20"/>
                <w:lang w:eastAsia="en-AU"/>
              </w:rPr>
              <w:t>A</w:t>
            </w:r>
            <w:r w:rsidR="00DC6EB7" w:rsidRPr="005E180E">
              <w:rPr>
                <w:rFonts w:ascii="Arial Narrow" w:hAnsi="Arial Narrow"/>
                <w:sz w:val="20"/>
                <w:szCs w:val="20"/>
                <w:lang w:eastAsia="en-AU"/>
              </w:rPr>
              <w:t xml:space="preserve"> current patient with T2DM switching from a twice daily to a once weekly injection (N=58); and </w:t>
            </w:r>
          </w:p>
          <w:p w:rsidR="00DC6EB7" w:rsidRDefault="005E180E" w:rsidP="004E6CA2">
            <w:pPr>
              <w:pStyle w:val="ListParagraph"/>
              <w:keepNext/>
              <w:widowControl/>
              <w:numPr>
                <w:ilvl w:val="0"/>
                <w:numId w:val="38"/>
              </w:numPr>
              <w:ind w:left="397" w:hanging="284"/>
              <w:rPr>
                <w:rFonts w:ascii="Arial Narrow" w:hAnsi="Arial Narrow"/>
                <w:sz w:val="20"/>
                <w:szCs w:val="20"/>
              </w:rPr>
            </w:pPr>
            <w:r>
              <w:rPr>
                <w:rFonts w:ascii="Arial Narrow" w:hAnsi="Arial Narrow"/>
                <w:sz w:val="20"/>
                <w:szCs w:val="20"/>
                <w:lang w:eastAsia="en-AU"/>
              </w:rPr>
              <w:t>A</w:t>
            </w:r>
            <w:r w:rsidRPr="00CD404F">
              <w:rPr>
                <w:rFonts w:ascii="Arial Narrow" w:hAnsi="Arial Narrow"/>
                <w:sz w:val="20"/>
                <w:szCs w:val="20"/>
                <w:lang w:eastAsia="en-AU"/>
              </w:rPr>
              <w:t xml:space="preserve"> patient with T2DM using oral medications only who is choosing between a twice daily and a once weekly injection (N=113).</w:t>
            </w:r>
          </w:p>
          <w:p w:rsidR="00141C74" w:rsidRPr="00352BDD" w:rsidRDefault="00141C74" w:rsidP="004E6CA2">
            <w:pPr>
              <w:pStyle w:val="ListParagraph"/>
              <w:keepNext/>
              <w:widowControl/>
              <w:numPr>
                <w:ilvl w:val="0"/>
                <w:numId w:val="36"/>
              </w:numPr>
              <w:ind w:left="113" w:hanging="113"/>
              <w:rPr>
                <w:rFonts w:ascii="Arial Narrow" w:hAnsi="Arial Narrow"/>
                <w:sz w:val="20"/>
                <w:szCs w:val="20"/>
              </w:rPr>
            </w:pPr>
            <w:r w:rsidRPr="00141C74">
              <w:rPr>
                <w:rFonts w:ascii="Arial Narrow" w:hAnsi="Arial Narrow"/>
                <w:sz w:val="20"/>
                <w:szCs w:val="20"/>
              </w:rPr>
              <w:t>The study aimed to recruit 100 patients in each population.</w:t>
            </w:r>
            <w:r w:rsidR="00E344A1" w:rsidRPr="00352BDD">
              <w:rPr>
                <w:rFonts w:ascii="Arial Narrow" w:hAnsi="Arial Narrow"/>
                <w:sz w:val="20"/>
                <w:szCs w:val="20"/>
              </w:rPr>
              <w:t xml:space="preserve"> </w:t>
            </w:r>
          </w:p>
        </w:tc>
      </w:tr>
      <w:tr w:rsidR="00DC6EB7" w:rsidRPr="00E2771E" w:rsidTr="005E180E">
        <w:tc>
          <w:tcPr>
            <w:tcW w:w="848" w:type="pct"/>
            <w:shd w:val="clear" w:color="auto" w:fill="auto"/>
            <w:vAlign w:val="center"/>
          </w:tcPr>
          <w:p w:rsidR="00DC6EB7" w:rsidRPr="00E2771E" w:rsidRDefault="00DC6EB7" w:rsidP="004E6CA2">
            <w:pPr>
              <w:keepNext/>
              <w:widowControl/>
              <w:jc w:val="left"/>
              <w:rPr>
                <w:rFonts w:ascii="Arial Narrow" w:hAnsi="Arial Narrow"/>
                <w:sz w:val="20"/>
              </w:rPr>
            </w:pPr>
            <w:r>
              <w:rPr>
                <w:rFonts w:ascii="Arial Narrow" w:hAnsi="Arial Narrow"/>
                <w:sz w:val="20"/>
              </w:rPr>
              <w:t>Analysis methods</w:t>
            </w:r>
          </w:p>
        </w:tc>
        <w:tc>
          <w:tcPr>
            <w:tcW w:w="4152" w:type="pct"/>
            <w:shd w:val="clear" w:color="auto" w:fill="auto"/>
            <w:vAlign w:val="center"/>
          </w:tcPr>
          <w:p w:rsidR="00DC6EB7" w:rsidRPr="005E180E" w:rsidRDefault="00DC6EB7" w:rsidP="004E6CA2">
            <w:pPr>
              <w:pStyle w:val="ListParagraph"/>
              <w:keepNext/>
              <w:widowControl/>
              <w:numPr>
                <w:ilvl w:val="0"/>
                <w:numId w:val="36"/>
              </w:numPr>
              <w:ind w:left="113" w:hanging="113"/>
              <w:rPr>
                <w:rFonts w:ascii="Arial Narrow" w:hAnsi="Arial Narrow"/>
                <w:sz w:val="20"/>
                <w:szCs w:val="20"/>
              </w:rPr>
            </w:pPr>
            <w:r w:rsidRPr="005E180E">
              <w:rPr>
                <w:rFonts w:ascii="Arial Narrow" w:hAnsi="Arial Narrow"/>
                <w:sz w:val="20"/>
                <w:szCs w:val="20"/>
                <w:lang w:eastAsia="en-AU"/>
              </w:rPr>
              <w:t>Multinomial logit model (MLM) with error components (EC) model.</w:t>
            </w:r>
          </w:p>
        </w:tc>
      </w:tr>
      <w:tr w:rsidR="00DC6EB7" w:rsidRPr="00E2771E" w:rsidTr="005E180E">
        <w:tc>
          <w:tcPr>
            <w:tcW w:w="848" w:type="pct"/>
            <w:shd w:val="clear" w:color="auto" w:fill="auto"/>
            <w:vAlign w:val="center"/>
          </w:tcPr>
          <w:p w:rsidR="00DC6EB7" w:rsidRPr="00E2771E" w:rsidRDefault="00DC6EB7" w:rsidP="004E6CA2">
            <w:pPr>
              <w:keepNext/>
              <w:widowControl/>
              <w:jc w:val="left"/>
              <w:rPr>
                <w:rFonts w:ascii="Arial Narrow" w:hAnsi="Arial Narrow"/>
                <w:sz w:val="20"/>
              </w:rPr>
            </w:pPr>
            <w:r>
              <w:rPr>
                <w:rFonts w:ascii="Arial Narrow" w:hAnsi="Arial Narrow"/>
                <w:sz w:val="20"/>
              </w:rPr>
              <w:t>Determination of consumer surplus</w:t>
            </w:r>
          </w:p>
        </w:tc>
        <w:tc>
          <w:tcPr>
            <w:tcW w:w="4152" w:type="pct"/>
            <w:shd w:val="clear" w:color="auto" w:fill="auto"/>
            <w:vAlign w:val="center"/>
          </w:tcPr>
          <w:p w:rsidR="005E180E" w:rsidRDefault="00DC6EB7" w:rsidP="004E6CA2">
            <w:pPr>
              <w:pStyle w:val="ListParagraph"/>
              <w:keepNext/>
              <w:widowControl/>
              <w:numPr>
                <w:ilvl w:val="0"/>
                <w:numId w:val="36"/>
              </w:numPr>
              <w:ind w:left="113" w:hanging="113"/>
              <w:rPr>
                <w:rFonts w:ascii="Arial Narrow" w:hAnsi="Arial Narrow"/>
                <w:sz w:val="20"/>
              </w:rPr>
            </w:pPr>
            <w:r w:rsidRPr="005E180E">
              <w:rPr>
                <w:rFonts w:ascii="Arial Narrow" w:hAnsi="Arial Narrow"/>
                <w:sz w:val="20"/>
              </w:rPr>
              <w:t>A weighted consumer surplus for each population was calculated based on split of concessional and general patients (results for population 1 $</w:t>
            </w:r>
            <w:r w:rsidR="00C01A93">
              <w:rPr>
                <w:rFonts w:ascii="Arial Narrow" w:hAnsi="Arial Narrow"/>
                <w:noProof/>
                <w:color w:val="000000"/>
                <w:sz w:val="20"/>
                <w:highlight w:val="black"/>
              </w:rPr>
              <w:t>'''''''''''''''</w:t>
            </w:r>
            <w:r w:rsidRPr="005E180E">
              <w:rPr>
                <w:rFonts w:ascii="Arial Narrow" w:hAnsi="Arial Narrow"/>
                <w:sz w:val="20"/>
              </w:rPr>
              <w:t>; population 2 $</w:t>
            </w:r>
            <w:r w:rsidR="00C01A93">
              <w:rPr>
                <w:rFonts w:ascii="Arial Narrow" w:hAnsi="Arial Narrow"/>
                <w:noProof/>
                <w:color w:val="000000"/>
                <w:sz w:val="20"/>
                <w:highlight w:val="black"/>
              </w:rPr>
              <w:t>'''''''''''''</w:t>
            </w:r>
            <w:r w:rsidRPr="005E180E">
              <w:rPr>
                <w:rFonts w:ascii="Arial Narrow" w:hAnsi="Arial Narrow"/>
                <w:sz w:val="20"/>
              </w:rPr>
              <w:t>).</w:t>
            </w:r>
          </w:p>
          <w:p w:rsidR="00E344A1" w:rsidRPr="00352BDD" w:rsidRDefault="00DC6EB7" w:rsidP="004E6CA2">
            <w:pPr>
              <w:pStyle w:val="ListParagraph"/>
              <w:keepNext/>
              <w:widowControl/>
              <w:numPr>
                <w:ilvl w:val="0"/>
                <w:numId w:val="36"/>
              </w:numPr>
              <w:ind w:left="113" w:hanging="113"/>
              <w:rPr>
                <w:rFonts w:ascii="Arial Narrow" w:hAnsi="Arial Narrow"/>
                <w:sz w:val="20"/>
              </w:rPr>
            </w:pPr>
            <w:r w:rsidRPr="005E180E">
              <w:rPr>
                <w:rFonts w:ascii="Arial Narrow" w:hAnsi="Arial Narrow"/>
                <w:sz w:val="20"/>
              </w:rPr>
              <w:t>These two consumer surplus values were then weighted based on the re-submission’s financial estimates, assuming 58% are exenatide twice daily users and 42% are oral medication users, to arrive at a final weighted consumer surplus of $</w:t>
            </w:r>
            <w:r w:rsidR="00C01A93">
              <w:rPr>
                <w:rFonts w:ascii="Arial Narrow" w:hAnsi="Arial Narrow"/>
                <w:noProof/>
                <w:color w:val="000000"/>
                <w:sz w:val="20"/>
                <w:highlight w:val="black"/>
              </w:rPr>
              <w:t>'''''''''''''</w:t>
            </w:r>
            <w:r w:rsidRPr="005E180E">
              <w:rPr>
                <w:rFonts w:ascii="Arial Narrow" w:hAnsi="Arial Narrow"/>
                <w:sz w:val="20"/>
              </w:rPr>
              <w:t>.</w:t>
            </w:r>
            <w:r w:rsidR="007578A8">
              <w:rPr>
                <w:rFonts w:ascii="Arial Narrow" w:hAnsi="Arial Narrow"/>
                <w:sz w:val="20"/>
              </w:rPr>
              <w:t xml:space="preserve"> </w:t>
            </w:r>
            <w:r w:rsidRPr="005E180E">
              <w:rPr>
                <w:rFonts w:ascii="Arial Narrow" w:hAnsi="Arial Narrow"/>
                <w:sz w:val="20"/>
              </w:rPr>
              <w:t>This was converted to a daily value ($</w:t>
            </w:r>
            <w:r w:rsidR="00C01A93">
              <w:rPr>
                <w:rFonts w:ascii="Arial Narrow" w:hAnsi="Arial Narrow"/>
                <w:noProof/>
                <w:color w:val="000000"/>
                <w:sz w:val="20"/>
                <w:highlight w:val="black"/>
              </w:rPr>
              <w:t>'''''''''''</w:t>
            </w:r>
            <w:r w:rsidRPr="005E180E">
              <w:rPr>
                <w:rFonts w:ascii="Arial Narrow" w:hAnsi="Arial Narrow"/>
                <w:sz w:val="20"/>
              </w:rPr>
              <w:t>) and a 28-day value ($</w:t>
            </w:r>
            <w:r w:rsidR="00C01A93">
              <w:rPr>
                <w:rFonts w:ascii="Arial Narrow" w:hAnsi="Arial Narrow"/>
                <w:noProof/>
                <w:color w:val="000000"/>
                <w:sz w:val="20"/>
                <w:highlight w:val="black"/>
              </w:rPr>
              <w:t>''''''''''''''</w:t>
            </w:r>
            <w:r w:rsidRPr="005E180E">
              <w:rPr>
                <w:rFonts w:ascii="Arial Narrow" w:hAnsi="Arial Narrow"/>
                <w:sz w:val="20"/>
              </w:rPr>
              <w:t>).</w:t>
            </w:r>
          </w:p>
        </w:tc>
      </w:tr>
    </w:tbl>
    <w:p w:rsidR="00DC6EB7" w:rsidRPr="00D93477" w:rsidRDefault="00DC6EB7" w:rsidP="004E6CA2">
      <w:pPr>
        <w:pStyle w:val="TableFooter"/>
        <w:widowControl/>
        <w:ind w:left="709"/>
      </w:pPr>
      <w:r w:rsidRPr="00D93477">
        <w:t xml:space="preserve">Abbreviations: DCE = discrete choice experiment; NDSS = National Diabetes Services Scheme; T2DM </w:t>
      </w:r>
      <w:r w:rsidR="00352BDD">
        <w:t>=</w:t>
      </w:r>
      <w:r w:rsidRPr="00D93477">
        <w:t xml:space="preserve"> type 2 diabetes mellitus</w:t>
      </w:r>
      <w:r w:rsidR="00352BDD">
        <w:t xml:space="preserve">. </w:t>
      </w:r>
      <w:r w:rsidRPr="00D93477">
        <w:t>Source: compiled during the evaluation</w:t>
      </w:r>
    </w:p>
    <w:p w:rsidR="000F699B" w:rsidRPr="000F699B" w:rsidRDefault="000F699B" w:rsidP="004E6CA2">
      <w:pPr>
        <w:widowControl/>
      </w:pPr>
    </w:p>
    <w:p w:rsidR="009418D5" w:rsidRPr="00FB52D4" w:rsidRDefault="002408C2" w:rsidP="004E6CA2">
      <w:pPr>
        <w:pStyle w:val="BodyText"/>
        <w:widowControl/>
        <w:numPr>
          <w:ilvl w:val="1"/>
          <w:numId w:val="47"/>
        </w:numPr>
        <w:jc w:val="both"/>
      </w:pPr>
      <w:r w:rsidRPr="00FB52D4">
        <w:t>The</w:t>
      </w:r>
      <w:r w:rsidR="00346A46" w:rsidRPr="00FB52D4">
        <w:t xml:space="preserve"> </w:t>
      </w:r>
      <w:r w:rsidR="00D337EB" w:rsidRPr="00FB52D4">
        <w:t xml:space="preserve">consumer surplus </w:t>
      </w:r>
      <w:r w:rsidRPr="00FB52D4">
        <w:t xml:space="preserve">derived from the DCE </w:t>
      </w:r>
      <w:r w:rsidR="00346A46" w:rsidRPr="00FB52D4">
        <w:t>form</w:t>
      </w:r>
      <w:r w:rsidR="00F47224" w:rsidRPr="00FB52D4">
        <w:t>ed</w:t>
      </w:r>
      <w:r w:rsidR="00346A46" w:rsidRPr="00FB52D4">
        <w:t xml:space="preserve"> the major component of the price </w:t>
      </w:r>
      <w:r w:rsidR="00FF5077">
        <w:t>advantage</w:t>
      </w:r>
      <w:r w:rsidR="00346A46" w:rsidRPr="00FB52D4">
        <w:t xml:space="preserve"> sought in the re-submission</w:t>
      </w:r>
      <w:r w:rsidRPr="00FB52D4">
        <w:t xml:space="preserve"> (see Table 5)</w:t>
      </w:r>
      <w:r w:rsidR="00346A46" w:rsidRPr="00FB52D4">
        <w:t>.</w:t>
      </w:r>
    </w:p>
    <w:p w:rsidR="009418D5" w:rsidRPr="00FB52D4" w:rsidRDefault="009418D5" w:rsidP="004E6CA2">
      <w:pPr>
        <w:pStyle w:val="PBACheading10"/>
        <w:jc w:val="both"/>
      </w:pPr>
    </w:p>
    <w:p w:rsidR="009418D5" w:rsidRPr="00FB52D4" w:rsidRDefault="00141C74" w:rsidP="004E6CA2">
      <w:pPr>
        <w:pStyle w:val="BodyText"/>
        <w:widowControl/>
        <w:numPr>
          <w:ilvl w:val="1"/>
          <w:numId w:val="47"/>
        </w:numPr>
        <w:jc w:val="both"/>
      </w:pPr>
      <w:r w:rsidRPr="00FB52D4">
        <w:rPr>
          <w:lang w:eastAsia="en-AU"/>
        </w:rPr>
        <w:t>The DCE aimed to recruit 100 patients in each of the two PBS sub</w:t>
      </w:r>
      <w:r w:rsidR="00D06525">
        <w:rPr>
          <w:lang w:eastAsia="en-AU"/>
        </w:rPr>
        <w:t>-</w:t>
      </w:r>
      <w:r w:rsidRPr="00FB52D4">
        <w:rPr>
          <w:lang w:eastAsia="en-AU"/>
        </w:rPr>
        <w:t xml:space="preserve">populations likely to be prescribed exenatide </w:t>
      </w:r>
      <w:r w:rsidR="00D06525">
        <w:rPr>
          <w:lang w:eastAsia="en-AU"/>
        </w:rPr>
        <w:t>2 </w:t>
      </w:r>
      <w:r w:rsidR="00A208BF">
        <w:rPr>
          <w:lang w:eastAsia="en-AU"/>
        </w:rPr>
        <w:t xml:space="preserve">mg </w:t>
      </w:r>
      <w:r w:rsidRPr="00FB52D4">
        <w:rPr>
          <w:lang w:eastAsia="en-AU"/>
        </w:rPr>
        <w:t xml:space="preserve">once weekly injections, </w:t>
      </w:r>
      <w:r w:rsidR="007553E6" w:rsidRPr="00FB52D4">
        <w:rPr>
          <w:lang w:eastAsia="en-AU"/>
        </w:rPr>
        <w:t>i.e.</w:t>
      </w:r>
      <w:r w:rsidRPr="00FB52D4">
        <w:rPr>
          <w:lang w:eastAsia="en-AU"/>
        </w:rPr>
        <w:t xml:space="preserve"> </w:t>
      </w:r>
      <w:r w:rsidR="009418D5" w:rsidRPr="00FB52D4">
        <w:rPr>
          <w:lang w:eastAsia="en-AU"/>
        </w:rPr>
        <w:t>patient</w:t>
      </w:r>
      <w:r w:rsidRPr="00FB52D4">
        <w:rPr>
          <w:lang w:eastAsia="en-AU"/>
        </w:rPr>
        <w:t>s</w:t>
      </w:r>
      <w:r w:rsidR="009418D5" w:rsidRPr="00FB52D4">
        <w:rPr>
          <w:lang w:eastAsia="en-AU"/>
        </w:rPr>
        <w:t xml:space="preserve"> switching from a twice daily to a once weekly injection (N=58)</w:t>
      </w:r>
      <w:r w:rsidRPr="00FB52D4">
        <w:rPr>
          <w:lang w:eastAsia="en-AU"/>
        </w:rPr>
        <w:t>,</w:t>
      </w:r>
      <w:r w:rsidR="009418D5" w:rsidRPr="00FB52D4">
        <w:rPr>
          <w:lang w:eastAsia="en-AU"/>
        </w:rPr>
        <w:t xml:space="preserve"> and patient</w:t>
      </w:r>
      <w:r w:rsidRPr="00FB52D4">
        <w:rPr>
          <w:lang w:eastAsia="en-AU"/>
        </w:rPr>
        <w:t>s</w:t>
      </w:r>
      <w:r w:rsidR="009418D5" w:rsidRPr="00FB52D4">
        <w:rPr>
          <w:lang w:eastAsia="en-AU"/>
        </w:rPr>
        <w:t xml:space="preserve"> us</w:t>
      </w:r>
      <w:r w:rsidRPr="00FB52D4">
        <w:rPr>
          <w:lang w:eastAsia="en-AU"/>
        </w:rPr>
        <w:t>ing oral medications only who are</w:t>
      </w:r>
      <w:r w:rsidR="009418D5" w:rsidRPr="00FB52D4">
        <w:rPr>
          <w:lang w:eastAsia="en-AU"/>
        </w:rPr>
        <w:t xml:space="preserve"> choosing between a twice daily and a once weekly injection (N=113).</w:t>
      </w:r>
      <w:r w:rsidR="007578A8">
        <w:rPr>
          <w:lang w:eastAsia="en-AU"/>
        </w:rPr>
        <w:t xml:space="preserve"> </w:t>
      </w:r>
      <w:r w:rsidR="009418D5" w:rsidRPr="00FB52D4">
        <w:rPr>
          <w:lang w:eastAsia="en-AU"/>
        </w:rPr>
        <w:t xml:space="preserve">The more limited sample size for the exenatide twice daily population </w:t>
      </w:r>
      <w:r w:rsidR="00CF3187" w:rsidRPr="00244A23">
        <w:rPr>
          <w:lang w:eastAsia="en-AU"/>
        </w:rPr>
        <w:t xml:space="preserve">may be of </w:t>
      </w:r>
      <w:r w:rsidR="009418D5" w:rsidRPr="00244A23">
        <w:rPr>
          <w:lang w:eastAsia="en-AU"/>
        </w:rPr>
        <w:t xml:space="preserve">concern </w:t>
      </w:r>
      <w:r w:rsidR="00CF3187" w:rsidRPr="00244A23">
        <w:rPr>
          <w:lang w:eastAsia="en-AU"/>
        </w:rPr>
        <w:t>because it is not clear how this affected the number of respondents assigned to each block in the DCE design for the smaller than expected sample.</w:t>
      </w:r>
      <w:r w:rsidR="007578A8" w:rsidRPr="00244A23">
        <w:rPr>
          <w:lang w:eastAsia="en-AU"/>
        </w:rPr>
        <w:t xml:space="preserve"> </w:t>
      </w:r>
      <w:r w:rsidR="00480689" w:rsidRPr="00244A23">
        <w:rPr>
          <w:lang w:eastAsia="en-AU"/>
        </w:rPr>
        <w:t>The ESC expressed concern about the small number of respondents for each version of the DCE, and considered this contributed to high uncertainty with respect to the WTP estimates. A number of coefficients we</w:t>
      </w:r>
      <w:r w:rsidR="00244A23">
        <w:rPr>
          <w:lang w:eastAsia="en-AU"/>
        </w:rPr>
        <w:t>re noted to be non</w:t>
      </w:r>
      <w:r w:rsidR="00D06525">
        <w:rPr>
          <w:lang w:eastAsia="en-AU"/>
        </w:rPr>
        <w:t>-</w:t>
      </w:r>
      <w:r w:rsidR="00244A23">
        <w:rPr>
          <w:lang w:eastAsia="en-AU"/>
        </w:rPr>
        <w:t>significant.</w:t>
      </w:r>
      <w:r w:rsidR="007578A8">
        <w:rPr>
          <w:lang w:eastAsia="en-AU"/>
        </w:rPr>
        <w:t xml:space="preserve"> </w:t>
      </w:r>
      <w:r w:rsidR="003C4FF7" w:rsidRPr="00FB52D4">
        <w:rPr>
          <w:lang w:eastAsia="en-AU"/>
        </w:rPr>
        <w:t xml:space="preserve">Thus, to the extent that blocking was used, the possibility exists that the results </w:t>
      </w:r>
      <w:r w:rsidR="00E52CC7">
        <w:rPr>
          <w:lang w:eastAsia="en-AU"/>
        </w:rPr>
        <w:t>were</w:t>
      </w:r>
      <w:r w:rsidR="00E52CC7" w:rsidRPr="00FB52D4">
        <w:rPr>
          <w:lang w:eastAsia="en-AU"/>
        </w:rPr>
        <w:t xml:space="preserve"> </w:t>
      </w:r>
      <w:r w:rsidR="003C4FF7" w:rsidRPr="00FB52D4">
        <w:rPr>
          <w:lang w:eastAsia="en-AU"/>
        </w:rPr>
        <w:t>in fact underpowered.</w:t>
      </w:r>
    </w:p>
    <w:p w:rsidR="009418D5" w:rsidRPr="00FB52D4" w:rsidRDefault="009418D5" w:rsidP="004E6CA2">
      <w:pPr>
        <w:pStyle w:val="PBACheading10"/>
        <w:jc w:val="both"/>
      </w:pPr>
    </w:p>
    <w:p w:rsidR="00D06525" w:rsidRDefault="00B95A66" w:rsidP="004E6CA2">
      <w:pPr>
        <w:pStyle w:val="BodyText"/>
        <w:widowControl/>
        <w:numPr>
          <w:ilvl w:val="1"/>
          <w:numId w:val="47"/>
        </w:numPr>
        <w:jc w:val="both"/>
      </w:pPr>
      <w:r w:rsidRPr="00FB52D4">
        <w:t>To determine willingness to pay, participants were asked to choose between a series of three comparisons at a time</w:t>
      </w:r>
      <w:r w:rsidR="000317B8" w:rsidRPr="00FB52D4">
        <w:t>,</w:t>
      </w:r>
      <w:r w:rsidRPr="00FB52D4">
        <w:t xml:space="preserve"> for either:</w:t>
      </w:r>
    </w:p>
    <w:p w:rsidR="00D06525" w:rsidRDefault="00B95A66" w:rsidP="00D06525">
      <w:pPr>
        <w:pStyle w:val="ListParagraph"/>
        <w:widowControl/>
        <w:numPr>
          <w:ilvl w:val="0"/>
          <w:numId w:val="31"/>
        </w:numPr>
        <w:ind w:left="993" w:hanging="284"/>
      </w:pPr>
      <w:r w:rsidRPr="00FB52D4">
        <w:t xml:space="preserve">their current therapy and two injectable preparations and an oral preparation (for participants currently using an injectable preparation); </w:t>
      </w:r>
      <w:r w:rsidR="00D06525">
        <w:t>or</w:t>
      </w:r>
    </w:p>
    <w:p w:rsidR="00D06525" w:rsidRDefault="00B95A66" w:rsidP="00D06525">
      <w:pPr>
        <w:pStyle w:val="ListParagraph"/>
        <w:widowControl/>
        <w:numPr>
          <w:ilvl w:val="0"/>
          <w:numId w:val="31"/>
        </w:numPr>
        <w:ind w:left="993" w:hanging="284"/>
      </w:pPr>
      <w:r w:rsidRPr="00FB52D4">
        <w:t>two oral and one injectable preparation (for participants curren</w:t>
      </w:r>
      <w:r w:rsidR="00D06525">
        <w:t>tly using an oral preparation).</w:t>
      </w:r>
    </w:p>
    <w:p w:rsidR="00E344A1" w:rsidRDefault="00E82DF6" w:rsidP="00D06525">
      <w:pPr>
        <w:pStyle w:val="BodyText"/>
        <w:widowControl/>
        <w:ind w:left="709"/>
        <w:jc w:val="both"/>
      </w:pPr>
      <w:r w:rsidRPr="00244A23">
        <w:t xml:space="preserve">For example, Figure 1 presents the choice scenario for patients currently on exenatide </w:t>
      </w:r>
      <w:r w:rsidR="00D06525">
        <w:t>10 </w:t>
      </w:r>
      <w:r w:rsidR="00A208BF">
        <w:t xml:space="preserve">mcg </w:t>
      </w:r>
      <w:r w:rsidRPr="00244A23">
        <w:t>twice daily.</w:t>
      </w:r>
      <w:r w:rsidR="007578A8">
        <w:rPr>
          <w:i/>
        </w:rPr>
        <w:t xml:space="preserve"> </w:t>
      </w:r>
      <w:r w:rsidR="00B95A66" w:rsidRPr="00FB52D4">
        <w:t>Each comparison contained different values for the key attributes of interest: frequency of dosing, weight change, needle used to inject, storage, nausea, mode of administration, injection site reactions, hypoglycaemic events per month, cost per script and instructions with eating.</w:t>
      </w:r>
      <w:r w:rsidR="007578A8">
        <w:t xml:space="preserve"> </w:t>
      </w:r>
      <w:r w:rsidR="00262EAD" w:rsidRPr="00FB52D4">
        <w:t xml:space="preserve">The attributes of weight change and hypoglycaemic events per month </w:t>
      </w:r>
      <w:r w:rsidR="00BF198A" w:rsidRPr="00FB52D4">
        <w:t>we</w:t>
      </w:r>
      <w:r w:rsidR="00262EAD" w:rsidRPr="00FB52D4">
        <w:t xml:space="preserve">re not based on advantages claimed in the previous submissions, </w:t>
      </w:r>
      <w:r w:rsidR="00C54DE7" w:rsidRPr="00FB52D4">
        <w:t>n</w:t>
      </w:r>
      <w:r w:rsidR="00262EAD" w:rsidRPr="00FB52D4">
        <w:t>or accepted by the PBAC, for exenatide</w:t>
      </w:r>
      <w:r w:rsidR="00A208BF">
        <w:t xml:space="preserve"> 2 mg</w:t>
      </w:r>
      <w:r w:rsidR="00262EAD" w:rsidRPr="00FB52D4">
        <w:t xml:space="preserve"> once weekly (</w:t>
      </w:r>
      <w:r w:rsidR="00262EAD" w:rsidRPr="00C01A93">
        <w:t>July 2011</w:t>
      </w:r>
      <w:r w:rsidR="00262EAD" w:rsidRPr="00FB52D4">
        <w:t xml:space="preserve"> and </w:t>
      </w:r>
      <w:r w:rsidR="00262EAD" w:rsidRPr="00C01A93">
        <w:t>November 2013</w:t>
      </w:r>
      <w:r w:rsidR="00262EAD" w:rsidRPr="00FB52D4">
        <w:t xml:space="preserve"> exenatide </w:t>
      </w:r>
      <w:r w:rsidR="00F6491F">
        <w:t>public summary documents (</w:t>
      </w:r>
      <w:r w:rsidR="00262EAD" w:rsidRPr="00FB52D4">
        <w:t>PSDs</w:t>
      </w:r>
      <w:r w:rsidR="00F6491F">
        <w:t>)</w:t>
      </w:r>
      <w:r w:rsidR="00262EAD" w:rsidRPr="00FB52D4">
        <w:t>).</w:t>
      </w:r>
      <w:r w:rsidR="00B95A66" w:rsidRPr="00FB52D4">
        <w:t xml:space="preserve"> </w:t>
      </w:r>
      <w:r w:rsidR="0099312E" w:rsidRPr="00244A23">
        <w:t xml:space="preserve">However, the ESC considered that it was not unreasonable for these attributes to be included in the DCE in order to capture what the consumer might value and be willing to trade </w:t>
      </w:r>
      <w:r w:rsidR="00480689" w:rsidRPr="00244A23">
        <w:t>and noted</w:t>
      </w:r>
      <w:r w:rsidR="0099312E" w:rsidRPr="00244A23">
        <w:t xml:space="preserve"> that </w:t>
      </w:r>
      <w:r w:rsidR="00EF258F" w:rsidRPr="00244A23">
        <w:t xml:space="preserve">by setting these attributes to zero for both medications, </w:t>
      </w:r>
      <w:r w:rsidR="0099312E" w:rsidRPr="00244A23">
        <w:t xml:space="preserve">the </w:t>
      </w:r>
      <w:r w:rsidR="0099312E" w:rsidRPr="00244A23">
        <w:rPr>
          <w:iCs/>
          <w:szCs w:val="22"/>
        </w:rPr>
        <w:t xml:space="preserve">WTP </w:t>
      </w:r>
      <w:r w:rsidR="00FF5077">
        <w:rPr>
          <w:iCs/>
          <w:szCs w:val="22"/>
        </w:rPr>
        <w:t xml:space="preserve">price </w:t>
      </w:r>
      <w:r w:rsidR="00FF5077">
        <w:t>advantage</w:t>
      </w:r>
      <w:r w:rsidR="0099312E" w:rsidRPr="00244A23">
        <w:rPr>
          <w:iCs/>
          <w:szCs w:val="22"/>
        </w:rPr>
        <w:t xml:space="preserve"> was </w:t>
      </w:r>
      <w:r w:rsidR="00480689" w:rsidRPr="00244A23">
        <w:rPr>
          <w:iCs/>
          <w:szCs w:val="22"/>
        </w:rPr>
        <w:t xml:space="preserve">appropriately </w:t>
      </w:r>
      <w:r w:rsidR="0099312E" w:rsidRPr="00244A23">
        <w:rPr>
          <w:iCs/>
          <w:szCs w:val="22"/>
        </w:rPr>
        <w:t>calculated solely on the basis of reduced injection frequency</w:t>
      </w:r>
      <w:r w:rsidR="0099312E" w:rsidRPr="00244A23">
        <w:t>.</w:t>
      </w:r>
    </w:p>
    <w:p w:rsidR="00E344A1" w:rsidRDefault="00E344A1" w:rsidP="00D06525">
      <w:pPr>
        <w:widowControl/>
      </w:pPr>
    </w:p>
    <w:p w:rsidR="00EC07A0" w:rsidRPr="00244A23" w:rsidRDefault="00EC07A0" w:rsidP="004E6CA2">
      <w:pPr>
        <w:keepNext/>
        <w:widowControl/>
        <w:ind w:firstLine="709"/>
        <w:rPr>
          <w:rFonts w:ascii="Arial Narrow" w:hAnsi="Arial Narrow"/>
          <w:b/>
          <w:sz w:val="20"/>
          <w:szCs w:val="20"/>
        </w:rPr>
      </w:pPr>
      <w:r w:rsidRPr="00244A23">
        <w:rPr>
          <w:rFonts w:ascii="Arial Narrow" w:hAnsi="Arial Narrow"/>
          <w:b/>
          <w:sz w:val="20"/>
          <w:szCs w:val="20"/>
        </w:rPr>
        <w:t>Figure 1: Example Stated Choice scenario for exenatide twice daily patients</w:t>
      </w:r>
    </w:p>
    <w:p w:rsidR="00EC07A0" w:rsidRPr="00FB52D4" w:rsidRDefault="00EC07A0" w:rsidP="004E6CA2">
      <w:pPr>
        <w:pStyle w:val="BodyText"/>
        <w:widowControl/>
        <w:jc w:val="right"/>
      </w:pPr>
      <w:r>
        <w:rPr>
          <w:noProof/>
          <w:szCs w:val="22"/>
          <w:lang w:eastAsia="en-AU"/>
        </w:rPr>
        <w:drawing>
          <wp:inline distT="0" distB="0" distL="0" distR="0" wp14:anchorId="1FDE5FB9" wp14:editId="310AFCDF">
            <wp:extent cx="5304843" cy="3749749"/>
            <wp:effectExtent l="0" t="0" r="0" b="3175"/>
            <wp:docPr id="2" name="Picture 2" descr="This figure outlines an example Stated Choice scenario for exenatide twice daily patients. &#10;" title="Figure 1: Example Stated Choice scenario for exenatide twice daily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6817" cy="3751144"/>
                    </a:xfrm>
                    <a:prstGeom prst="rect">
                      <a:avLst/>
                    </a:prstGeom>
                    <a:noFill/>
                  </pic:spPr>
                </pic:pic>
              </a:graphicData>
            </a:graphic>
          </wp:inline>
        </w:drawing>
      </w:r>
    </w:p>
    <w:p w:rsidR="00B95A66" w:rsidRPr="00FB52D4" w:rsidRDefault="00B95A66" w:rsidP="004E6CA2">
      <w:pPr>
        <w:pStyle w:val="PBACheading10"/>
        <w:jc w:val="right"/>
      </w:pPr>
    </w:p>
    <w:p w:rsidR="00EC07A0" w:rsidRPr="00244A23" w:rsidRDefault="00CF3187" w:rsidP="004E6CA2">
      <w:pPr>
        <w:pStyle w:val="BodyText"/>
        <w:widowControl/>
        <w:numPr>
          <w:ilvl w:val="1"/>
          <w:numId w:val="47"/>
        </w:numPr>
        <w:jc w:val="both"/>
      </w:pPr>
      <w:r w:rsidRPr="00244A23">
        <w:rPr>
          <w:lang w:eastAsia="en-AU"/>
        </w:rPr>
        <w:t>Limited information regarding the design of the DCE, including the experimental design</w:t>
      </w:r>
      <w:r w:rsidR="00D06525">
        <w:rPr>
          <w:lang w:eastAsia="en-AU"/>
        </w:rPr>
        <w:t>,</w:t>
      </w:r>
      <w:r w:rsidRPr="00244A23">
        <w:rPr>
          <w:lang w:eastAsia="en-AU"/>
        </w:rPr>
        <w:t xml:space="preserve"> was provided in the submission.</w:t>
      </w:r>
      <w:r w:rsidR="007578A8" w:rsidRPr="00244A23">
        <w:rPr>
          <w:lang w:eastAsia="en-AU"/>
        </w:rPr>
        <w:t xml:space="preserve"> </w:t>
      </w:r>
      <w:r w:rsidRPr="00244A23">
        <w:rPr>
          <w:lang w:eastAsia="en-AU"/>
        </w:rPr>
        <w:t xml:space="preserve">Additional information </w:t>
      </w:r>
      <w:r w:rsidR="00EC07A0" w:rsidRPr="00244A23">
        <w:rPr>
          <w:lang w:eastAsia="en-AU"/>
        </w:rPr>
        <w:t>was</w:t>
      </w:r>
      <w:r w:rsidRPr="00244A23">
        <w:rPr>
          <w:lang w:eastAsia="en-AU"/>
        </w:rPr>
        <w:t xml:space="preserve"> provided in the PSCR.</w:t>
      </w:r>
    </w:p>
    <w:p w:rsidR="00CF3187" w:rsidRPr="00244A23" w:rsidRDefault="00CF3187" w:rsidP="004E6CA2">
      <w:pPr>
        <w:pStyle w:val="ListParagraph"/>
        <w:widowControl/>
        <w:numPr>
          <w:ilvl w:val="0"/>
          <w:numId w:val="31"/>
        </w:numPr>
        <w:ind w:left="993" w:hanging="284"/>
      </w:pPr>
      <w:r w:rsidRPr="00244A23">
        <w:rPr>
          <w:lang w:eastAsia="en-AU"/>
        </w:rPr>
        <w:t>Attributes and ranges were chosen in consultation with the sponsor</w:t>
      </w:r>
      <w:r w:rsidR="003576C6" w:rsidRPr="00244A23">
        <w:rPr>
          <w:lang w:eastAsia="en-AU"/>
        </w:rPr>
        <w:t xml:space="preserve">. The PSCR stated </w:t>
      </w:r>
      <w:r w:rsidRPr="00244A23">
        <w:rPr>
          <w:lang w:eastAsia="en-AU"/>
        </w:rPr>
        <w:t>that these were based on clinical trial resul</w:t>
      </w:r>
      <w:r w:rsidR="00D06525">
        <w:rPr>
          <w:lang w:eastAsia="en-AU"/>
        </w:rPr>
        <w:t>ts and tested in a pilot study.</w:t>
      </w:r>
    </w:p>
    <w:p w:rsidR="00CF3187" w:rsidRPr="00244A23" w:rsidRDefault="00CF3187" w:rsidP="004E6CA2">
      <w:pPr>
        <w:pStyle w:val="ListParagraph"/>
        <w:widowControl/>
        <w:numPr>
          <w:ilvl w:val="0"/>
          <w:numId w:val="31"/>
        </w:numPr>
        <w:ind w:left="993" w:hanging="284"/>
      </w:pPr>
      <w:r w:rsidRPr="00244A23">
        <w:rPr>
          <w:lang w:eastAsia="en-AU"/>
        </w:rPr>
        <w:t>The experimental design was generated in N</w:t>
      </w:r>
      <w:r w:rsidR="009C4435" w:rsidRPr="00244A23">
        <w:rPr>
          <w:lang w:eastAsia="en-AU"/>
        </w:rPr>
        <w:t>Gene using a</w:t>
      </w:r>
      <w:r w:rsidRPr="00244A23">
        <w:rPr>
          <w:lang w:eastAsia="en-AU"/>
        </w:rPr>
        <w:t xml:space="preserve"> D-efficient design</w:t>
      </w:r>
      <w:r w:rsidR="003576C6" w:rsidRPr="00244A23">
        <w:rPr>
          <w:lang w:eastAsia="en-AU"/>
        </w:rPr>
        <w:t>. This approach wa</w:t>
      </w:r>
      <w:r w:rsidRPr="00244A23">
        <w:rPr>
          <w:lang w:eastAsia="en-AU"/>
        </w:rPr>
        <w:t>s reasonable</w:t>
      </w:r>
      <w:r w:rsidR="003576C6" w:rsidRPr="00244A23">
        <w:rPr>
          <w:lang w:eastAsia="en-AU"/>
        </w:rPr>
        <w:t>.</w:t>
      </w:r>
      <w:r w:rsidR="008A176B" w:rsidRPr="00244A23">
        <w:rPr>
          <w:lang w:eastAsia="en-AU"/>
        </w:rPr>
        <w:t xml:space="preserve"> </w:t>
      </w:r>
      <w:r w:rsidRPr="00244A23">
        <w:rPr>
          <w:lang w:eastAsia="en-AU"/>
        </w:rPr>
        <w:t>The overall design comprised 72 scenarios, blocked into 9 blocks with 8 scenarios each (thus each respondent saw 8</w:t>
      </w:r>
      <w:r w:rsidR="004E6CA2">
        <w:rPr>
          <w:lang w:eastAsia="en-AU"/>
        </w:rPr>
        <w:t> </w:t>
      </w:r>
      <w:r w:rsidRPr="00244A23">
        <w:rPr>
          <w:lang w:eastAsia="en-AU"/>
        </w:rPr>
        <w:t>scenarios)</w:t>
      </w:r>
      <w:r w:rsidR="009C4435" w:rsidRPr="00244A23">
        <w:rPr>
          <w:lang w:eastAsia="en-AU"/>
        </w:rPr>
        <w:t>.</w:t>
      </w:r>
      <w:r w:rsidR="00480689" w:rsidRPr="00244A23">
        <w:rPr>
          <w:lang w:eastAsia="en-AU"/>
        </w:rPr>
        <w:t xml:space="preserve"> However</w:t>
      </w:r>
      <w:r w:rsidR="004E6CA2">
        <w:rPr>
          <w:lang w:eastAsia="en-AU"/>
        </w:rPr>
        <w:t>,</w:t>
      </w:r>
      <w:r w:rsidR="00480689" w:rsidRPr="00244A23">
        <w:rPr>
          <w:lang w:eastAsia="en-AU"/>
        </w:rPr>
        <w:t xml:space="preserve"> the ESC noted that this translated to a relatively small sample of individuals in the sub-sample of respondents switching from twice daily to once weekly injections (the more relevant sub-sample). A sample of 58 suggests around 7 respondents per block, and it is not clear that there was balance in the blocks.</w:t>
      </w:r>
    </w:p>
    <w:p w:rsidR="00CF3187" w:rsidRPr="00244A23" w:rsidRDefault="00CF3187" w:rsidP="004E6CA2">
      <w:pPr>
        <w:pStyle w:val="ListParagraph"/>
        <w:widowControl/>
        <w:numPr>
          <w:ilvl w:val="0"/>
          <w:numId w:val="31"/>
        </w:numPr>
        <w:ind w:left="993" w:hanging="284"/>
      </w:pPr>
      <w:r w:rsidRPr="00244A23">
        <w:rPr>
          <w:lang w:eastAsia="en-AU"/>
        </w:rPr>
        <w:t>Attributes were dummy coded</w:t>
      </w:r>
      <w:r w:rsidR="008A176B" w:rsidRPr="00244A23">
        <w:rPr>
          <w:lang w:eastAsia="en-AU"/>
        </w:rPr>
        <w:t>.</w:t>
      </w:r>
      <w:r w:rsidR="007578A8" w:rsidRPr="00244A23">
        <w:rPr>
          <w:lang w:eastAsia="en-AU"/>
        </w:rPr>
        <w:t xml:space="preserve"> </w:t>
      </w:r>
      <w:r w:rsidR="008A176B" w:rsidRPr="00244A23">
        <w:rPr>
          <w:lang w:eastAsia="en-AU"/>
        </w:rPr>
        <w:t>This approach wa</w:t>
      </w:r>
      <w:r w:rsidR="00D06525">
        <w:rPr>
          <w:lang w:eastAsia="en-AU"/>
        </w:rPr>
        <w:t>s reasonable.</w:t>
      </w:r>
    </w:p>
    <w:p w:rsidR="008A176B" w:rsidRPr="00244A23" w:rsidRDefault="008A176B" w:rsidP="00D06525">
      <w:pPr>
        <w:widowControl/>
        <w:rPr>
          <w:lang w:eastAsia="en-AU"/>
        </w:rPr>
      </w:pPr>
    </w:p>
    <w:p w:rsidR="00E27396" w:rsidRPr="00244A23" w:rsidRDefault="008A176B" w:rsidP="004E6CA2">
      <w:pPr>
        <w:pStyle w:val="BodyText"/>
        <w:widowControl/>
        <w:numPr>
          <w:ilvl w:val="1"/>
          <w:numId w:val="47"/>
        </w:numPr>
        <w:jc w:val="both"/>
        <w:rPr>
          <w:lang w:eastAsia="en-AU"/>
        </w:rPr>
      </w:pPr>
      <w:r w:rsidRPr="00244A23">
        <w:rPr>
          <w:lang w:eastAsia="en-AU"/>
        </w:rPr>
        <w:t xml:space="preserve">The following </w:t>
      </w:r>
      <w:r w:rsidR="00A0772F" w:rsidRPr="00244A23">
        <w:rPr>
          <w:lang w:eastAsia="en-AU"/>
        </w:rPr>
        <w:t>points were</w:t>
      </w:r>
      <w:r w:rsidRPr="00244A23">
        <w:rPr>
          <w:lang w:eastAsia="en-AU"/>
        </w:rPr>
        <w:t xml:space="preserve"> </w:t>
      </w:r>
      <w:r w:rsidR="00E27396" w:rsidRPr="00244A23">
        <w:rPr>
          <w:lang w:eastAsia="en-AU"/>
        </w:rPr>
        <w:t xml:space="preserve">unstated </w:t>
      </w:r>
      <w:r w:rsidRPr="00244A23">
        <w:rPr>
          <w:lang w:eastAsia="en-AU"/>
        </w:rPr>
        <w:t>i</w:t>
      </w:r>
      <w:r w:rsidR="00A0772F" w:rsidRPr="00244A23">
        <w:rPr>
          <w:lang w:eastAsia="en-AU"/>
        </w:rPr>
        <w:t>n the submission (additional information was provided in the PSCR</w:t>
      </w:r>
      <w:r w:rsidR="00E27396" w:rsidRPr="00244A23">
        <w:rPr>
          <w:lang w:eastAsia="en-AU"/>
        </w:rPr>
        <w:t>:</w:t>
      </w:r>
    </w:p>
    <w:p w:rsidR="00E27396" w:rsidRPr="00244A23" w:rsidRDefault="00E27396" w:rsidP="004E6CA2">
      <w:pPr>
        <w:pStyle w:val="ListParagraph"/>
        <w:widowControl/>
        <w:numPr>
          <w:ilvl w:val="0"/>
          <w:numId w:val="32"/>
        </w:numPr>
        <w:ind w:left="993" w:hanging="284"/>
      </w:pPr>
      <w:r w:rsidRPr="00244A23">
        <w:rPr>
          <w:lang w:eastAsia="en-AU"/>
        </w:rPr>
        <w:t>Whether background information was given to those surveyed and whether instructions provided were appropriate and clear.</w:t>
      </w:r>
      <w:r w:rsidR="00E344A1" w:rsidRPr="00244A23">
        <w:rPr>
          <w:lang w:eastAsia="en-AU"/>
        </w:rPr>
        <w:t xml:space="preserve"> </w:t>
      </w:r>
      <w:r w:rsidR="00CF3187" w:rsidRPr="00244A23">
        <w:rPr>
          <w:lang w:eastAsia="en-AU"/>
        </w:rPr>
        <w:t>The PSC</w:t>
      </w:r>
      <w:r w:rsidR="008A176B" w:rsidRPr="00244A23">
        <w:rPr>
          <w:lang w:eastAsia="en-AU"/>
        </w:rPr>
        <w:t>R provided additional details</w:t>
      </w:r>
      <w:r w:rsidR="00CF3187" w:rsidRPr="00244A23">
        <w:rPr>
          <w:lang w:eastAsia="en-AU"/>
        </w:rPr>
        <w:t xml:space="preserve">, however the additional detail </w:t>
      </w:r>
      <w:r w:rsidR="008A176B" w:rsidRPr="00244A23">
        <w:rPr>
          <w:lang w:eastAsia="en-AU"/>
        </w:rPr>
        <w:t>did</w:t>
      </w:r>
      <w:r w:rsidR="00CF3187" w:rsidRPr="00244A23">
        <w:rPr>
          <w:lang w:eastAsia="en-AU"/>
        </w:rPr>
        <w:t xml:space="preserve"> not make clear that respondents would necessarily understand the cost to be an ongoing monthly cost.</w:t>
      </w:r>
    </w:p>
    <w:p w:rsidR="00E27396" w:rsidRPr="008752B3" w:rsidRDefault="00E27396" w:rsidP="004E6CA2">
      <w:pPr>
        <w:pStyle w:val="ListParagraph"/>
        <w:widowControl/>
        <w:numPr>
          <w:ilvl w:val="0"/>
          <w:numId w:val="32"/>
        </w:numPr>
        <w:ind w:left="993" w:hanging="284"/>
      </w:pPr>
      <w:r w:rsidRPr="00244A23">
        <w:rPr>
          <w:lang w:eastAsia="en-AU"/>
        </w:rPr>
        <w:t>Whether any conflict of interest declaration was required by participants and whether this might have caused them to be excluded.</w:t>
      </w:r>
      <w:r w:rsidR="00E344A1" w:rsidRPr="00244A23">
        <w:rPr>
          <w:lang w:eastAsia="en-AU"/>
        </w:rPr>
        <w:t xml:space="preserve"> </w:t>
      </w:r>
      <w:r w:rsidR="00CF3187" w:rsidRPr="00244A23">
        <w:rPr>
          <w:lang w:eastAsia="en-AU"/>
        </w:rPr>
        <w:t xml:space="preserve">The PSCR stated that this was </w:t>
      </w:r>
      <w:r w:rsidR="00CF3187" w:rsidRPr="008752B3">
        <w:rPr>
          <w:lang w:eastAsia="en-AU"/>
        </w:rPr>
        <w:t>not required. The respondents were largely from an on-line panel, supplemented by respondents recruited through advertising.</w:t>
      </w:r>
    </w:p>
    <w:p w:rsidR="00E27396" w:rsidRPr="008752B3" w:rsidRDefault="00E27396" w:rsidP="004E6CA2">
      <w:pPr>
        <w:pStyle w:val="ListParagraph"/>
        <w:widowControl/>
        <w:numPr>
          <w:ilvl w:val="0"/>
          <w:numId w:val="32"/>
        </w:numPr>
        <w:ind w:left="993" w:hanging="284"/>
      </w:pPr>
      <w:r w:rsidRPr="008752B3">
        <w:rPr>
          <w:lang w:eastAsia="en-AU"/>
        </w:rPr>
        <w:t>Confidence intervals for results.</w:t>
      </w:r>
      <w:r w:rsidR="007578A8" w:rsidRPr="008752B3">
        <w:rPr>
          <w:lang w:eastAsia="en-AU"/>
        </w:rPr>
        <w:t xml:space="preserve"> </w:t>
      </w:r>
      <w:r w:rsidRPr="008752B3">
        <w:rPr>
          <w:lang w:eastAsia="en-AU"/>
        </w:rPr>
        <w:t>Without confidence intervals, the accuracy of the estimates is unknown. It is not clear whether the estimates of WTP are statistically significantly different from zero.</w:t>
      </w:r>
      <w:r w:rsidR="00E344A1" w:rsidRPr="008752B3">
        <w:rPr>
          <w:lang w:eastAsia="en-AU"/>
        </w:rPr>
        <w:t xml:space="preserve"> </w:t>
      </w:r>
      <w:r w:rsidR="00CF3187" w:rsidRPr="008752B3">
        <w:rPr>
          <w:lang w:eastAsia="en-AU"/>
        </w:rPr>
        <w:t>The PS</w:t>
      </w:r>
      <w:r w:rsidR="00980C57" w:rsidRPr="008752B3">
        <w:rPr>
          <w:lang w:eastAsia="en-AU"/>
        </w:rPr>
        <w:t>CR stated that calculation of confidence interval</w:t>
      </w:r>
      <w:r w:rsidR="00CF3187" w:rsidRPr="008752B3">
        <w:rPr>
          <w:lang w:eastAsia="en-AU"/>
        </w:rPr>
        <w:t>s is a very difficult process and requires model simulation. Given that a number of the co</w:t>
      </w:r>
      <w:r w:rsidR="00D06525" w:rsidRPr="008752B3">
        <w:rPr>
          <w:lang w:eastAsia="en-AU"/>
        </w:rPr>
        <w:t>-</w:t>
      </w:r>
      <w:r w:rsidR="00CF3187" w:rsidRPr="008752B3">
        <w:rPr>
          <w:lang w:eastAsia="en-AU"/>
        </w:rPr>
        <w:t>efficients in the estimated model we</w:t>
      </w:r>
      <w:r w:rsidR="005B0787" w:rsidRPr="008752B3">
        <w:rPr>
          <w:lang w:eastAsia="en-AU"/>
        </w:rPr>
        <w:t>re not-significant, the ESC considered that this remained</w:t>
      </w:r>
      <w:r w:rsidR="00CF3187" w:rsidRPr="008752B3">
        <w:rPr>
          <w:lang w:eastAsia="en-AU"/>
        </w:rPr>
        <w:t xml:space="preserve"> a concern</w:t>
      </w:r>
      <w:r w:rsidR="00680591" w:rsidRPr="008752B3">
        <w:rPr>
          <w:lang w:eastAsia="en-AU"/>
        </w:rPr>
        <w:t xml:space="preserve"> </w:t>
      </w:r>
      <w:r w:rsidR="00680591" w:rsidRPr="008752B3">
        <w:rPr>
          <w:iCs/>
          <w:szCs w:val="22"/>
        </w:rPr>
        <w:t>that contributed to uncertainty regarding the results of the WTP study</w:t>
      </w:r>
      <w:r w:rsidR="00CF3187" w:rsidRPr="008752B3">
        <w:rPr>
          <w:lang w:eastAsia="en-AU"/>
        </w:rPr>
        <w:t>.</w:t>
      </w:r>
      <w:r w:rsidR="00480689" w:rsidRPr="008752B3">
        <w:rPr>
          <w:lang w:eastAsia="en-AU"/>
        </w:rPr>
        <w:t xml:space="preserve"> The ESC did not consider it was appropriate to expect </w:t>
      </w:r>
      <w:r w:rsidR="00262B5C" w:rsidRPr="008752B3">
        <w:rPr>
          <w:lang w:eastAsia="en-AU"/>
        </w:rPr>
        <w:t xml:space="preserve">the </w:t>
      </w:r>
      <w:r w:rsidR="00480689" w:rsidRPr="008752B3">
        <w:rPr>
          <w:lang w:eastAsia="en-AU"/>
        </w:rPr>
        <w:t xml:space="preserve">PBAC to make decisions without some information about the bounds of the WTP estimates. </w:t>
      </w:r>
      <w:r w:rsidR="00806383" w:rsidRPr="008752B3">
        <w:rPr>
          <w:lang w:eastAsia="en-AU"/>
        </w:rPr>
        <w:t>The Pre-PBAC response presented 95% confidence intervals around the estimates of consumer surplus based on the reduced injection frequency for those patients currently treated with exenatide twice-daily. The monthly consumer surplus was calculated at $</w:t>
      </w:r>
      <w:r w:rsidR="00C01A93">
        <w:rPr>
          <w:noProof/>
          <w:color w:val="000000"/>
          <w:highlight w:val="black"/>
          <w:lang w:eastAsia="en-AU"/>
        </w:rPr>
        <w:t>'''''''''''</w:t>
      </w:r>
      <w:r w:rsidR="00806383" w:rsidRPr="008752B3">
        <w:rPr>
          <w:lang w:eastAsia="en-AU"/>
        </w:rPr>
        <w:t xml:space="preserve"> (95% CI: $</w:t>
      </w:r>
      <w:r w:rsidR="00C01A93">
        <w:rPr>
          <w:noProof/>
          <w:color w:val="000000"/>
          <w:highlight w:val="black"/>
          <w:lang w:eastAsia="en-AU"/>
        </w:rPr>
        <w:t>'''''''''''</w:t>
      </w:r>
      <w:r w:rsidR="00806383" w:rsidRPr="008752B3">
        <w:rPr>
          <w:lang w:eastAsia="en-AU"/>
        </w:rPr>
        <w:t>, $</w:t>
      </w:r>
      <w:r w:rsidR="00C01A93">
        <w:rPr>
          <w:noProof/>
          <w:color w:val="000000"/>
          <w:highlight w:val="black"/>
          <w:lang w:eastAsia="en-AU"/>
        </w:rPr>
        <w:t>'''''''''''''''</w:t>
      </w:r>
      <w:r w:rsidR="00806383" w:rsidRPr="008752B3">
        <w:rPr>
          <w:lang w:eastAsia="en-AU"/>
        </w:rPr>
        <w:t>) for concessional patients and $</w:t>
      </w:r>
      <w:r w:rsidR="00C01A93">
        <w:rPr>
          <w:noProof/>
          <w:color w:val="000000"/>
          <w:highlight w:val="black"/>
          <w:lang w:eastAsia="en-AU"/>
        </w:rPr>
        <w:t>''''''''''''''</w:t>
      </w:r>
      <w:r w:rsidR="00806383" w:rsidRPr="008752B3">
        <w:rPr>
          <w:lang w:eastAsia="en-AU"/>
        </w:rPr>
        <w:t xml:space="preserve"> (95% CI: $</w:t>
      </w:r>
      <w:r w:rsidR="00C01A93">
        <w:rPr>
          <w:noProof/>
          <w:color w:val="000000"/>
          <w:highlight w:val="black"/>
          <w:lang w:eastAsia="en-AU"/>
        </w:rPr>
        <w:t>''''''''''''</w:t>
      </w:r>
      <w:r w:rsidR="00806383" w:rsidRPr="008752B3">
        <w:rPr>
          <w:lang w:eastAsia="en-AU"/>
        </w:rPr>
        <w:t>, $</w:t>
      </w:r>
      <w:r w:rsidR="00C01A93">
        <w:rPr>
          <w:noProof/>
          <w:color w:val="000000"/>
          <w:highlight w:val="black"/>
          <w:lang w:eastAsia="en-AU"/>
        </w:rPr>
        <w:t>'''''''''''''''</w:t>
      </w:r>
      <w:r w:rsidR="00806383" w:rsidRPr="008752B3">
        <w:rPr>
          <w:lang w:eastAsia="en-AU"/>
        </w:rPr>
        <w:t>)</w:t>
      </w:r>
      <w:r w:rsidR="00A55460" w:rsidRPr="008752B3">
        <w:rPr>
          <w:lang w:eastAsia="en-AU"/>
        </w:rPr>
        <w:t xml:space="preserve"> for general patients, resulting in a weighted point estimate of $</w:t>
      </w:r>
      <w:r w:rsidR="00C01A93">
        <w:rPr>
          <w:noProof/>
          <w:color w:val="000000"/>
          <w:highlight w:val="black"/>
          <w:lang w:eastAsia="en-AU"/>
        </w:rPr>
        <w:t>'''''''''''''</w:t>
      </w:r>
      <w:r w:rsidR="00A55460" w:rsidRPr="008752B3">
        <w:rPr>
          <w:lang w:eastAsia="en-AU"/>
        </w:rPr>
        <w:t xml:space="preserve"> based on 63.7% concessional patients. These results were not independently confirmed.</w:t>
      </w:r>
    </w:p>
    <w:p w:rsidR="00E27396" w:rsidRPr="00244A23" w:rsidRDefault="00E27396" w:rsidP="004E6CA2">
      <w:pPr>
        <w:widowControl/>
      </w:pPr>
    </w:p>
    <w:p w:rsidR="005D365C" w:rsidRPr="00244A23" w:rsidRDefault="005D365C" w:rsidP="004E6CA2">
      <w:pPr>
        <w:pStyle w:val="BodyText"/>
        <w:widowControl/>
        <w:numPr>
          <w:ilvl w:val="1"/>
          <w:numId w:val="47"/>
        </w:numPr>
        <w:jc w:val="both"/>
      </w:pPr>
      <w:r w:rsidRPr="00244A23">
        <w:t>The additional information regarding the DCE provided in the PSCR indicated that the study was subject to significant bias. In particular, the PSCR stated that respondents with a conflict of interest could have participated and the attributes selected were chosen in consultation with the sponsor.</w:t>
      </w:r>
    </w:p>
    <w:p w:rsidR="005D365C" w:rsidRDefault="005D365C" w:rsidP="00D06525">
      <w:pPr>
        <w:pStyle w:val="BodyText"/>
        <w:widowControl/>
        <w:jc w:val="both"/>
      </w:pPr>
    </w:p>
    <w:p w:rsidR="00A13381" w:rsidRPr="00FB52D4" w:rsidRDefault="00202162" w:rsidP="004E6CA2">
      <w:pPr>
        <w:pStyle w:val="BodyText"/>
        <w:widowControl/>
        <w:numPr>
          <w:ilvl w:val="1"/>
          <w:numId w:val="47"/>
        </w:numPr>
        <w:jc w:val="both"/>
      </w:pPr>
      <w:r>
        <w:rPr>
          <w:lang w:eastAsia="en-AU"/>
        </w:rPr>
        <w:t>The re-submission used a m</w:t>
      </w:r>
      <w:r w:rsidRPr="00094780">
        <w:rPr>
          <w:lang w:eastAsia="en-AU"/>
        </w:rPr>
        <w:t xml:space="preserve">ultinomial </w:t>
      </w:r>
      <w:r>
        <w:rPr>
          <w:lang w:eastAsia="en-AU"/>
        </w:rPr>
        <w:t>l</w:t>
      </w:r>
      <w:r w:rsidRPr="00094780">
        <w:rPr>
          <w:lang w:eastAsia="en-AU"/>
        </w:rPr>
        <w:t xml:space="preserve">ogit </w:t>
      </w:r>
      <w:r>
        <w:rPr>
          <w:lang w:eastAsia="en-AU"/>
        </w:rPr>
        <w:t>model (MLM) with e</w:t>
      </w:r>
      <w:r w:rsidRPr="00094780">
        <w:rPr>
          <w:lang w:eastAsia="en-AU"/>
        </w:rPr>
        <w:t xml:space="preserve">rror </w:t>
      </w:r>
      <w:r>
        <w:rPr>
          <w:lang w:eastAsia="en-AU"/>
        </w:rPr>
        <w:t>c</w:t>
      </w:r>
      <w:r w:rsidRPr="00094780">
        <w:rPr>
          <w:lang w:eastAsia="en-AU"/>
        </w:rPr>
        <w:t xml:space="preserve">omponents (EC) model </w:t>
      </w:r>
      <w:r>
        <w:rPr>
          <w:lang w:eastAsia="en-AU"/>
        </w:rPr>
        <w:t>to analyse the DCE data</w:t>
      </w:r>
      <w:r w:rsidRPr="00094780">
        <w:rPr>
          <w:lang w:eastAsia="en-AU"/>
        </w:rPr>
        <w:t>.</w:t>
      </w:r>
      <w:r w:rsidR="007578A8">
        <w:rPr>
          <w:lang w:eastAsia="en-AU"/>
        </w:rPr>
        <w:t xml:space="preserve"> </w:t>
      </w:r>
      <w:r w:rsidR="00C5174E" w:rsidRPr="00FB52D4">
        <w:rPr>
          <w:lang w:eastAsia="en-AU"/>
        </w:rPr>
        <w:t>In general the EC method is a standard and well-accepted approach, but it would have been useful for the re</w:t>
      </w:r>
      <w:r w:rsidR="005F3985">
        <w:rPr>
          <w:lang w:eastAsia="en-AU"/>
        </w:rPr>
        <w:t>-</w:t>
      </w:r>
      <w:r w:rsidR="00C5174E" w:rsidRPr="00FB52D4">
        <w:rPr>
          <w:lang w:eastAsia="en-AU"/>
        </w:rPr>
        <w:t>submission to have considered other models.</w:t>
      </w:r>
      <w:r w:rsidR="007578A8">
        <w:rPr>
          <w:lang w:eastAsia="en-AU"/>
        </w:rPr>
        <w:t xml:space="preserve"> </w:t>
      </w:r>
      <w:r w:rsidR="00C5174E" w:rsidRPr="00FB52D4">
        <w:rPr>
          <w:lang w:eastAsia="en-AU"/>
        </w:rPr>
        <w:t>There are different extensions to MLMs which haven’t been investigated, such as the mixed logit model.</w:t>
      </w:r>
      <w:r w:rsidR="007578A8">
        <w:rPr>
          <w:lang w:eastAsia="en-AU"/>
        </w:rPr>
        <w:t xml:space="preserve"> </w:t>
      </w:r>
      <w:r w:rsidR="00C5174E" w:rsidRPr="00FB52D4">
        <w:rPr>
          <w:lang w:eastAsia="en-AU"/>
        </w:rPr>
        <w:t>Although the re-submission state</w:t>
      </w:r>
      <w:r w:rsidR="00D809BE" w:rsidRPr="00FB52D4">
        <w:rPr>
          <w:lang w:eastAsia="en-AU"/>
        </w:rPr>
        <w:t>d</w:t>
      </w:r>
      <w:r w:rsidR="00C5174E" w:rsidRPr="00FB52D4">
        <w:rPr>
          <w:lang w:eastAsia="en-AU"/>
        </w:rPr>
        <w:t xml:space="preserve"> the “model fit results illustrate that the model provides a superior fit to a constant only model”, the model fit in comparison with other types of MLM models </w:t>
      </w:r>
      <w:r w:rsidR="00D809BE" w:rsidRPr="00FB52D4">
        <w:rPr>
          <w:lang w:eastAsia="en-AU"/>
        </w:rPr>
        <w:t>wa</w:t>
      </w:r>
      <w:r w:rsidR="00C5174E" w:rsidRPr="00FB52D4">
        <w:rPr>
          <w:lang w:eastAsia="en-AU"/>
        </w:rPr>
        <w:t>s not presented.</w:t>
      </w:r>
      <w:r w:rsidR="007578A8">
        <w:rPr>
          <w:lang w:eastAsia="en-AU"/>
        </w:rPr>
        <w:t xml:space="preserve"> </w:t>
      </w:r>
      <w:r w:rsidR="00C5174E" w:rsidRPr="00FB52D4">
        <w:rPr>
          <w:lang w:eastAsia="en-AU"/>
        </w:rPr>
        <w:t>This would be necessary to determine whether the consumer surplus remains positive and of similar value.</w:t>
      </w:r>
    </w:p>
    <w:p w:rsidR="00C54DE7" w:rsidRPr="00C54DE7" w:rsidRDefault="00C54DE7" w:rsidP="004E6CA2">
      <w:pPr>
        <w:pStyle w:val="PBACheading10"/>
        <w:jc w:val="both"/>
      </w:pPr>
    </w:p>
    <w:p w:rsidR="00C54DE7" w:rsidRPr="005F3985" w:rsidRDefault="00C54DE7" w:rsidP="004E6CA2">
      <w:pPr>
        <w:pStyle w:val="BodyText"/>
        <w:widowControl/>
        <w:numPr>
          <w:ilvl w:val="1"/>
          <w:numId w:val="47"/>
        </w:numPr>
        <w:jc w:val="both"/>
      </w:pPr>
      <w:r>
        <w:rPr>
          <w:lang w:eastAsia="en-AU"/>
        </w:rPr>
        <w:t>The most important attribute in the DCE was reported to be weight change, followed by frequency of treatment (either oral or injectable) and nausea.</w:t>
      </w:r>
      <w:r w:rsidR="007578A8">
        <w:rPr>
          <w:lang w:eastAsia="en-AU"/>
        </w:rPr>
        <w:t xml:space="preserve"> </w:t>
      </w:r>
      <w:r w:rsidR="00937893">
        <w:rPr>
          <w:lang w:eastAsia="en-AU"/>
        </w:rPr>
        <w:t>T</w:t>
      </w:r>
      <w:r w:rsidRPr="00FB52D4">
        <w:rPr>
          <w:lang w:eastAsia="en-AU"/>
        </w:rPr>
        <w:t>he re</w:t>
      </w:r>
      <w:r w:rsidR="005F3985">
        <w:rPr>
          <w:lang w:eastAsia="en-AU"/>
        </w:rPr>
        <w:t>-</w:t>
      </w:r>
      <w:r w:rsidRPr="00FB52D4">
        <w:rPr>
          <w:lang w:eastAsia="en-AU"/>
        </w:rPr>
        <w:t>submission did not claim any benefit related to weight. The original submission in July 2011 for exenatide once weekly reported that there was no statistically significant difference in change in body weight between exenatide once weekly and twice daily in the two pivotal trials.</w:t>
      </w:r>
      <w:r w:rsidR="007578A8">
        <w:rPr>
          <w:lang w:eastAsia="en-AU"/>
        </w:rPr>
        <w:t xml:space="preserve"> </w:t>
      </w:r>
      <w:r w:rsidRPr="00FB52D4">
        <w:rPr>
          <w:lang w:eastAsia="en-AU"/>
        </w:rPr>
        <w:t xml:space="preserve">Clinical benefit was based on change in HbA1c in both the July 2011 submission and the November 2013 re-submission, which was accepted by the PBAC (p9, </w:t>
      </w:r>
      <w:r w:rsidRPr="00C01A93">
        <w:rPr>
          <w:lang w:eastAsia="en-AU"/>
        </w:rPr>
        <w:t>July 2011 exenatide PSD</w:t>
      </w:r>
      <w:r w:rsidRPr="00FB52D4">
        <w:rPr>
          <w:lang w:eastAsia="en-AU"/>
        </w:rPr>
        <w:t xml:space="preserve">; p5 </w:t>
      </w:r>
      <w:r w:rsidRPr="00C01A93">
        <w:rPr>
          <w:lang w:eastAsia="en-AU"/>
        </w:rPr>
        <w:t>November 2013 exenatide PSD</w:t>
      </w:r>
      <w:r w:rsidRPr="00FB52D4">
        <w:rPr>
          <w:lang w:eastAsia="en-AU"/>
        </w:rPr>
        <w:t>).</w:t>
      </w:r>
      <w:r w:rsidR="007578A8">
        <w:rPr>
          <w:lang w:eastAsia="en-AU"/>
        </w:rPr>
        <w:t xml:space="preserve"> </w:t>
      </w:r>
      <w:r w:rsidR="00CE7D2A">
        <w:rPr>
          <w:lang w:eastAsia="en-AU"/>
        </w:rPr>
        <w:t>During evaluation it was considered t</w:t>
      </w:r>
      <w:r w:rsidRPr="00FB52D4">
        <w:rPr>
          <w:lang w:eastAsia="en-AU"/>
        </w:rPr>
        <w:t xml:space="preserve">he results of the DCE </w:t>
      </w:r>
      <w:r w:rsidR="00CE7D2A">
        <w:rPr>
          <w:lang w:eastAsia="en-AU"/>
        </w:rPr>
        <w:t>we</w:t>
      </w:r>
      <w:r w:rsidRPr="00FB52D4">
        <w:rPr>
          <w:lang w:eastAsia="en-AU"/>
        </w:rPr>
        <w:t>re therefore inconsistent with the identified benefit of once weekly exenatide trea</w:t>
      </w:r>
      <w:r w:rsidRPr="001E2EF6">
        <w:rPr>
          <w:lang w:eastAsia="en-AU"/>
        </w:rPr>
        <w:t>tment.</w:t>
      </w:r>
      <w:r w:rsidR="004D31EA" w:rsidRPr="001E2EF6">
        <w:rPr>
          <w:lang w:eastAsia="en-AU"/>
        </w:rPr>
        <w:t xml:space="preserve"> </w:t>
      </w:r>
      <w:r w:rsidR="001E2EF6" w:rsidRPr="00244A23">
        <w:rPr>
          <w:iCs/>
          <w:szCs w:val="22"/>
        </w:rPr>
        <w:t xml:space="preserve">The PSCR argued that the WTP </w:t>
      </w:r>
      <w:r w:rsidR="00FF5077">
        <w:rPr>
          <w:iCs/>
          <w:szCs w:val="22"/>
        </w:rPr>
        <w:t xml:space="preserve">price </w:t>
      </w:r>
      <w:r w:rsidR="00FF5077">
        <w:t>advantage</w:t>
      </w:r>
      <w:r w:rsidR="001E2EF6" w:rsidRPr="00244A23">
        <w:rPr>
          <w:iCs/>
          <w:szCs w:val="22"/>
        </w:rPr>
        <w:t xml:space="preserve"> was calculated solely on the basis of reduced injection frequency and that it did not include weight change or changes to HbA1c. </w:t>
      </w:r>
      <w:r w:rsidR="004D31EA" w:rsidRPr="00244A23">
        <w:rPr>
          <w:lang w:eastAsia="en-AU"/>
        </w:rPr>
        <w:t>The ESC noted that t</w:t>
      </w:r>
      <w:r w:rsidR="004D31EA" w:rsidRPr="00244A23">
        <w:t>he calculation of consumer surplus in the submission appropriately excluded any benefit relating to weight and therefore only reflected the gain in consumer surplus arising from the change in injection frequency.</w:t>
      </w:r>
    </w:p>
    <w:p w:rsidR="003249B7" w:rsidRPr="005F3985" w:rsidRDefault="003249B7" w:rsidP="005F3985">
      <w:pPr>
        <w:pStyle w:val="BodyText"/>
        <w:widowControl/>
        <w:jc w:val="both"/>
      </w:pPr>
    </w:p>
    <w:p w:rsidR="00C5174E" w:rsidRDefault="00883631" w:rsidP="004E6CA2">
      <w:pPr>
        <w:pStyle w:val="BodyText"/>
        <w:widowControl/>
        <w:numPr>
          <w:ilvl w:val="1"/>
          <w:numId w:val="47"/>
        </w:numPr>
        <w:jc w:val="both"/>
      </w:pPr>
      <w:r>
        <w:rPr>
          <w:lang w:eastAsia="en-AU"/>
        </w:rPr>
        <w:t xml:space="preserve">Table </w:t>
      </w:r>
      <w:r w:rsidR="00186E0C">
        <w:rPr>
          <w:lang w:eastAsia="en-AU"/>
        </w:rPr>
        <w:t>3</w:t>
      </w:r>
      <w:r w:rsidR="004E7ECD">
        <w:rPr>
          <w:lang w:eastAsia="en-AU"/>
        </w:rPr>
        <w:t xml:space="preserve"> </w:t>
      </w:r>
      <w:r>
        <w:rPr>
          <w:lang w:eastAsia="en-AU"/>
        </w:rPr>
        <w:t>provides a summary of the overall consumer surplus.</w:t>
      </w:r>
      <w:r w:rsidR="007578A8">
        <w:rPr>
          <w:lang w:eastAsia="en-AU"/>
        </w:rPr>
        <w:t xml:space="preserve"> </w:t>
      </w:r>
      <w:r w:rsidR="00092E4F">
        <w:rPr>
          <w:lang w:eastAsia="en-AU"/>
        </w:rPr>
        <w:t>Across the two populations, those on exenatide twice daily and t</w:t>
      </w:r>
      <w:r w:rsidR="00DD4470">
        <w:rPr>
          <w:lang w:eastAsia="en-AU"/>
        </w:rPr>
        <w:t>hose on oral medication, the re</w:t>
      </w:r>
      <w:r w:rsidR="005F3985">
        <w:rPr>
          <w:lang w:eastAsia="en-AU"/>
        </w:rPr>
        <w:t>-</w:t>
      </w:r>
      <w:r w:rsidR="00092E4F">
        <w:rPr>
          <w:lang w:eastAsia="en-AU"/>
        </w:rPr>
        <w:t>submission used weightings from the first year of its financial estimates to determine a weighted consumer surplus per month.</w:t>
      </w:r>
      <w:r w:rsidR="007578A8">
        <w:rPr>
          <w:lang w:eastAsia="en-AU"/>
        </w:rPr>
        <w:t xml:space="preserve"> </w:t>
      </w:r>
      <w:r w:rsidR="00092E4F">
        <w:rPr>
          <w:lang w:eastAsia="en-AU"/>
        </w:rPr>
        <w:t>The re-submission assumed 58% are existing exenatide twice daily users and 42% are oral medication users.</w:t>
      </w:r>
      <w:r w:rsidR="007578A8">
        <w:rPr>
          <w:lang w:eastAsia="en-AU"/>
        </w:rPr>
        <w:t xml:space="preserve"> </w:t>
      </w:r>
      <w:r w:rsidR="00092E4F">
        <w:rPr>
          <w:lang w:eastAsia="en-AU"/>
        </w:rPr>
        <w:t>This resulted in a weighted consumer surplus of $</w:t>
      </w:r>
      <w:r w:rsidR="00C01A93">
        <w:rPr>
          <w:noProof/>
          <w:color w:val="000000"/>
          <w:highlight w:val="black"/>
          <w:lang w:eastAsia="en-AU"/>
        </w:rPr>
        <w:t>''''''''''''''</w:t>
      </w:r>
      <w:r w:rsidR="00092E4F">
        <w:rPr>
          <w:lang w:eastAsia="en-AU"/>
        </w:rPr>
        <w:t>. The re-submission converted this to a daily value ($</w:t>
      </w:r>
      <w:r w:rsidR="00C01A93">
        <w:rPr>
          <w:noProof/>
          <w:color w:val="000000"/>
          <w:highlight w:val="black"/>
          <w:lang w:eastAsia="en-AU"/>
        </w:rPr>
        <w:t>'''''''''''</w:t>
      </w:r>
      <w:r w:rsidR="00092E4F">
        <w:rPr>
          <w:lang w:eastAsia="en-AU"/>
        </w:rPr>
        <w:t xml:space="preserve"> = $</w:t>
      </w:r>
      <w:r w:rsidR="00C01A93">
        <w:rPr>
          <w:noProof/>
          <w:color w:val="000000"/>
          <w:highlight w:val="black"/>
          <w:lang w:eastAsia="en-AU"/>
        </w:rPr>
        <w:t>'''''''''''''</w:t>
      </w:r>
      <w:r w:rsidR="00092E4F">
        <w:rPr>
          <w:lang w:eastAsia="en-AU"/>
        </w:rPr>
        <w:t>/30) and then a 28-day value ($</w:t>
      </w:r>
      <w:r w:rsidR="00C01A93">
        <w:rPr>
          <w:noProof/>
          <w:color w:val="000000"/>
          <w:highlight w:val="black"/>
          <w:lang w:eastAsia="en-AU"/>
        </w:rPr>
        <w:t>'''''''''''</w:t>
      </w:r>
      <w:r w:rsidR="00985CF7">
        <w:rPr>
          <w:lang w:eastAsia="en-AU"/>
        </w:rPr>
        <w:t> </w:t>
      </w:r>
      <w:r w:rsidR="00092E4F">
        <w:rPr>
          <w:lang w:eastAsia="en-AU"/>
        </w:rPr>
        <w:t>×</w:t>
      </w:r>
      <w:r w:rsidR="00985CF7">
        <w:rPr>
          <w:lang w:eastAsia="en-AU"/>
        </w:rPr>
        <w:t> </w:t>
      </w:r>
      <w:r w:rsidR="00092E4F">
        <w:rPr>
          <w:lang w:eastAsia="en-AU"/>
        </w:rPr>
        <w:t>28 = $</w:t>
      </w:r>
      <w:r w:rsidR="00C01A93">
        <w:rPr>
          <w:noProof/>
          <w:color w:val="000000"/>
          <w:highlight w:val="black"/>
          <w:lang w:eastAsia="en-AU"/>
        </w:rPr>
        <w:t>'''''''''''''''</w:t>
      </w:r>
      <w:r w:rsidR="00092E4F">
        <w:rPr>
          <w:lang w:eastAsia="en-AU"/>
        </w:rPr>
        <w:t xml:space="preserve">) to arrive at a price </w:t>
      </w:r>
      <w:r w:rsidR="00FF5077">
        <w:t>advantage</w:t>
      </w:r>
      <w:r w:rsidR="00092E4F">
        <w:rPr>
          <w:lang w:eastAsia="en-AU"/>
        </w:rPr>
        <w:t xml:space="preserve"> per 28 days (the pack duration of exenatide weekly).</w:t>
      </w:r>
    </w:p>
    <w:p w:rsidR="00883631" w:rsidRDefault="00883631" w:rsidP="004E6CA2">
      <w:pPr>
        <w:pStyle w:val="PBACheading10"/>
        <w:jc w:val="both"/>
      </w:pPr>
    </w:p>
    <w:p w:rsidR="00883631" w:rsidRPr="00A20A8A" w:rsidRDefault="00883631" w:rsidP="004E6CA2">
      <w:pPr>
        <w:keepNext/>
        <w:widowControl/>
        <w:ind w:left="709"/>
        <w:rPr>
          <w:rFonts w:ascii="Arial Narrow" w:hAnsi="Arial Narrow"/>
          <w:lang w:eastAsia="en-AU"/>
        </w:rPr>
      </w:pPr>
      <w:r w:rsidRPr="00A20A8A">
        <w:rPr>
          <w:rFonts w:ascii="Arial Narrow" w:hAnsi="Arial Narrow"/>
          <w:b/>
          <w:sz w:val="20"/>
        </w:rPr>
        <w:t xml:space="preserve">Table </w:t>
      </w:r>
      <w:r w:rsidR="00236CF7">
        <w:rPr>
          <w:rFonts w:ascii="Arial Narrow" w:hAnsi="Arial Narrow"/>
          <w:b/>
          <w:sz w:val="20"/>
        </w:rPr>
        <w:t>3</w:t>
      </w:r>
      <w:r w:rsidRPr="00A20A8A">
        <w:rPr>
          <w:rFonts w:ascii="Arial Narrow" w:hAnsi="Arial Narrow"/>
          <w:b/>
          <w:sz w:val="20"/>
        </w:rPr>
        <w:t>: Estimated consumer surplus</w:t>
      </w:r>
    </w:p>
    <w:tbl>
      <w:tblPr>
        <w:tblStyle w:val="TableGrid"/>
        <w:tblW w:w="8363" w:type="dxa"/>
        <w:tblInd w:w="817" w:type="dxa"/>
        <w:tblLook w:val="04A0" w:firstRow="1" w:lastRow="0" w:firstColumn="1" w:lastColumn="0" w:noHBand="0" w:noVBand="1"/>
        <w:tblCaption w:val="Table 3: Estimated consumer surplus"/>
        <w:tblDescription w:val="This table summarises estimated consumer surplus by population group. "/>
      </w:tblPr>
      <w:tblGrid>
        <w:gridCol w:w="6521"/>
        <w:gridCol w:w="1842"/>
      </w:tblGrid>
      <w:tr w:rsidR="00883631" w:rsidRPr="00D630B1" w:rsidTr="009F6950">
        <w:trPr>
          <w:tblHeader/>
        </w:trPr>
        <w:tc>
          <w:tcPr>
            <w:tcW w:w="6521" w:type="dxa"/>
            <w:vAlign w:val="bottom"/>
          </w:tcPr>
          <w:p w:rsidR="00883631" w:rsidRPr="00D630B1" w:rsidRDefault="00883631" w:rsidP="004E6CA2">
            <w:pPr>
              <w:pStyle w:val="TableText1"/>
              <w:keepNext/>
              <w:spacing w:line="240" w:lineRule="auto"/>
              <w:ind w:left="-108"/>
              <w:rPr>
                <w:rFonts w:ascii="Arial Narrow" w:hAnsi="Arial Narrow" w:cs="Arial"/>
                <w:b/>
                <w:lang w:eastAsia="en-AU"/>
              </w:rPr>
            </w:pPr>
          </w:p>
        </w:tc>
        <w:tc>
          <w:tcPr>
            <w:tcW w:w="1842" w:type="dxa"/>
            <w:vAlign w:val="bottom"/>
          </w:tcPr>
          <w:p w:rsidR="00883631" w:rsidRPr="00D630B1" w:rsidRDefault="00883631" w:rsidP="004E6CA2">
            <w:pPr>
              <w:pStyle w:val="TableText1"/>
              <w:keepNext/>
              <w:spacing w:line="240" w:lineRule="auto"/>
              <w:ind w:left="-108"/>
              <w:jc w:val="center"/>
              <w:rPr>
                <w:rFonts w:ascii="Arial Narrow" w:hAnsi="Arial Narrow" w:cs="Arial"/>
                <w:b/>
                <w:lang w:eastAsia="en-AU"/>
              </w:rPr>
            </w:pPr>
            <w:r>
              <w:rPr>
                <w:rFonts w:ascii="Arial Narrow" w:hAnsi="Arial Narrow" w:cs="Arial"/>
                <w:b/>
                <w:lang w:eastAsia="en-AU"/>
              </w:rPr>
              <w:t>Consumer surplus</w:t>
            </w:r>
          </w:p>
        </w:tc>
      </w:tr>
      <w:tr w:rsidR="00883631" w:rsidRPr="00E3748A" w:rsidTr="00092E4F">
        <w:tc>
          <w:tcPr>
            <w:tcW w:w="6521" w:type="dxa"/>
            <w:tcBorders>
              <w:bottom w:val="single" w:sz="4" w:space="0" w:color="auto"/>
            </w:tcBorders>
          </w:tcPr>
          <w:p w:rsidR="00883631" w:rsidRPr="00A20A8A" w:rsidRDefault="00883631" w:rsidP="004E6CA2">
            <w:pPr>
              <w:pStyle w:val="TableText1"/>
              <w:keepNext/>
              <w:spacing w:line="240" w:lineRule="auto"/>
              <w:ind w:left="-108"/>
              <w:rPr>
                <w:rFonts w:ascii="Arial Narrow" w:hAnsi="Arial Narrow" w:cs="Arial"/>
                <w:lang w:eastAsia="en-AU"/>
              </w:rPr>
            </w:pPr>
            <w:r w:rsidRPr="00A20A8A">
              <w:rPr>
                <w:rFonts w:ascii="Arial Narrow" w:hAnsi="Arial Narrow" w:cs="Arial"/>
                <w:lang w:eastAsia="en-AU"/>
              </w:rPr>
              <w:t>Population 1: A current patient switching from a twice daily to a once weekly injection</w:t>
            </w:r>
          </w:p>
        </w:tc>
        <w:tc>
          <w:tcPr>
            <w:tcW w:w="1842" w:type="dxa"/>
            <w:tcBorders>
              <w:bottom w:val="single" w:sz="4" w:space="0" w:color="auto"/>
            </w:tcBorders>
            <w:vAlign w:val="center"/>
          </w:tcPr>
          <w:p w:rsidR="00883631" w:rsidRPr="00A20A8A" w:rsidRDefault="00883631" w:rsidP="004E6CA2">
            <w:pPr>
              <w:pStyle w:val="TableText1"/>
              <w:keepNext/>
              <w:spacing w:line="240" w:lineRule="auto"/>
              <w:ind w:left="-108"/>
              <w:jc w:val="center"/>
              <w:rPr>
                <w:rFonts w:ascii="Arial Narrow" w:hAnsi="Arial Narrow" w:cs="Arial"/>
                <w:lang w:eastAsia="en-AU"/>
              </w:rPr>
            </w:pPr>
            <w:r w:rsidRPr="00A20A8A">
              <w:rPr>
                <w:rFonts w:ascii="Arial Narrow" w:hAnsi="Arial Narrow" w:cs="Arial"/>
                <w:lang w:eastAsia="en-AU"/>
              </w:rPr>
              <w:t>$</w:t>
            </w:r>
            <w:r w:rsidR="00C01A93">
              <w:rPr>
                <w:rFonts w:ascii="Arial Narrow" w:hAnsi="Arial Narrow" w:cs="Arial"/>
                <w:noProof/>
                <w:color w:val="000000"/>
                <w:highlight w:val="black"/>
                <w:lang w:eastAsia="en-AU"/>
              </w:rPr>
              <w:t>'''''''''''''''</w:t>
            </w:r>
          </w:p>
        </w:tc>
      </w:tr>
      <w:tr w:rsidR="00883631" w:rsidRPr="00E3748A" w:rsidTr="00092E4F">
        <w:tc>
          <w:tcPr>
            <w:tcW w:w="6521" w:type="dxa"/>
          </w:tcPr>
          <w:p w:rsidR="00883631" w:rsidRPr="00A20A8A" w:rsidRDefault="00883631" w:rsidP="004E6CA2">
            <w:pPr>
              <w:pStyle w:val="TableText1"/>
              <w:keepNext/>
              <w:spacing w:line="240" w:lineRule="auto"/>
              <w:ind w:left="-108"/>
              <w:rPr>
                <w:rFonts w:ascii="Arial Narrow" w:hAnsi="Arial Narrow" w:cs="Arial"/>
                <w:lang w:eastAsia="en-AU"/>
              </w:rPr>
            </w:pPr>
            <w:r>
              <w:rPr>
                <w:rFonts w:ascii="Arial Narrow" w:hAnsi="Arial Narrow" w:cs="Arial"/>
                <w:lang w:eastAsia="en-AU"/>
              </w:rPr>
              <w:t>Population 2</w:t>
            </w:r>
            <w:r w:rsidRPr="00A20A8A">
              <w:rPr>
                <w:rFonts w:ascii="Arial Narrow" w:hAnsi="Arial Narrow" w:cs="Arial"/>
                <w:lang w:eastAsia="en-AU"/>
              </w:rPr>
              <w:t>: A patient using oral medications only who is choosing between a twice daily and a once weekly injection</w:t>
            </w:r>
          </w:p>
        </w:tc>
        <w:tc>
          <w:tcPr>
            <w:tcW w:w="1842" w:type="dxa"/>
            <w:vAlign w:val="center"/>
          </w:tcPr>
          <w:p w:rsidR="00883631" w:rsidRPr="00A20A8A" w:rsidRDefault="00883631" w:rsidP="004E6CA2">
            <w:pPr>
              <w:pStyle w:val="TableText1"/>
              <w:keepNext/>
              <w:spacing w:line="240" w:lineRule="auto"/>
              <w:ind w:left="-108"/>
              <w:jc w:val="center"/>
              <w:rPr>
                <w:rFonts w:ascii="Arial Narrow" w:hAnsi="Arial Narrow" w:cs="Arial"/>
                <w:lang w:eastAsia="en-AU"/>
              </w:rPr>
            </w:pPr>
            <w:r w:rsidRPr="00A20A8A">
              <w:rPr>
                <w:rFonts w:ascii="Arial Narrow" w:hAnsi="Arial Narrow" w:cs="Arial"/>
                <w:lang w:eastAsia="en-AU"/>
              </w:rPr>
              <w:t>$</w:t>
            </w:r>
            <w:r w:rsidR="00C01A93">
              <w:rPr>
                <w:rFonts w:ascii="Arial Narrow" w:hAnsi="Arial Narrow" w:cs="Arial"/>
                <w:noProof/>
                <w:color w:val="000000"/>
                <w:highlight w:val="black"/>
                <w:lang w:eastAsia="en-AU"/>
              </w:rPr>
              <w:t>'''''''''''''</w:t>
            </w:r>
          </w:p>
        </w:tc>
      </w:tr>
      <w:tr w:rsidR="00883631" w:rsidRPr="00E3748A" w:rsidTr="00092E4F">
        <w:tc>
          <w:tcPr>
            <w:tcW w:w="6521" w:type="dxa"/>
          </w:tcPr>
          <w:p w:rsidR="00883631" w:rsidRPr="00A20A8A" w:rsidRDefault="00883631" w:rsidP="004E6CA2">
            <w:pPr>
              <w:pStyle w:val="TableText1"/>
              <w:keepNext/>
              <w:spacing w:line="240" w:lineRule="auto"/>
              <w:ind w:left="-108"/>
              <w:rPr>
                <w:rFonts w:ascii="Arial Narrow" w:hAnsi="Arial Narrow" w:cs="Arial"/>
                <w:lang w:eastAsia="en-AU"/>
              </w:rPr>
            </w:pPr>
            <w:r>
              <w:rPr>
                <w:rFonts w:ascii="Arial Narrow" w:hAnsi="Arial Narrow" w:cs="Arial"/>
                <w:lang w:eastAsia="en-AU"/>
              </w:rPr>
              <w:t>Weighted consumer surplus/month</w:t>
            </w:r>
          </w:p>
        </w:tc>
        <w:tc>
          <w:tcPr>
            <w:tcW w:w="1842" w:type="dxa"/>
            <w:vAlign w:val="center"/>
          </w:tcPr>
          <w:p w:rsidR="00883631" w:rsidRPr="00A20A8A" w:rsidRDefault="00883631" w:rsidP="004E6CA2">
            <w:pPr>
              <w:pStyle w:val="TableText1"/>
              <w:keepNext/>
              <w:spacing w:line="240" w:lineRule="auto"/>
              <w:ind w:left="-108"/>
              <w:jc w:val="center"/>
              <w:rPr>
                <w:rFonts w:ascii="Arial Narrow" w:hAnsi="Arial Narrow" w:cs="Arial"/>
                <w:lang w:eastAsia="en-AU"/>
              </w:rPr>
            </w:pPr>
            <w:r w:rsidRPr="00A20A8A">
              <w:rPr>
                <w:rFonts w:ascii="Arial Narrow" w:hAnsi="Arial Narrow" w:cs="Arial"/>
                <w:lang w:eastAsia="en-AU"/>
              </w:rPr>
              <w:t>$</w:t>
            </w:r>
            <w:r w:rsidR="00C01A93">
              <w:rPr>
                <w:rFonts w:ascii="Arial Narrow" w:hAnsi="Arial Narrow" w:cs="Arial"/>
                <w:noProof/>
                <w:color w:val="000000"/>
                <w:highlight w:val="black"/>
                <w:lang w:eastAsia="en-AU"/>
              </w:rPr>
              <w:t>''''''''''''''</w:t>
            </w:r>
          </w:p>
        </w:tc>
      </w:tr>
      <w:tr w:rsidR="00883631" w:rsidRPr="00A34754" w:rsidTr="00092E4F">
        <w:tc>
          <w:tcPr>
            <w:tcW w:w="6521" w:type="dxa"/>
          </w:tcPr>
          <w:p w:rsidR="00883631" w:rsidRPr="00A34754" w:rsidRDefault="00883631" w:rsidP="004E6CA2">
            <w:pPr>
              <w:pStyle w:val="TableText1"/>
              <w:keepNext/>
              <w:spacing w:line="240" w:lineRule="auto"/>
              <w:ind w:left="-108"/>
              <w:rPr>
                <w:rFonts w:ascii="Arial Narrow" w:hAnsi="Arial Narrow" w:cs="Arial"/>
                <w:lang w:eastAsia="en-AU"/>
              </w:rPr>
            </w:pPr>
            <w:r>
              <w:rPr>
                <w:rFonts w:ascii="Arial Narrow" w:hAnsi="Arial Narrow" w:cs="Arial"/>
                <w:lang w:eastAsia="en-AU"/>
              </w:rPr>
              <w:t xml:space="preserve">Price </w:t>
            </w:r>
            <w:r w:rsidR="00FF5077" w:rsidRPr="00FF5077">
              <w:rPr>
                <w:rFonts w:ascii="Arial Narrow" w:hAnsi="Arial Narrow"/>
              </w:rPr>
              <w:t>advantage</w:t>
            </w:r>
            <w:r>
              <w:rPr>
                <w:rFonts w:ascii="Arial Narrow" w:hAnsi="Arial Narrow" w:cs="Arial"/>
                <w:lang w:eastAsia="en-AU"/>
              </w:rPr>
              <w:t xml:space="preserve"> per day ($33.52/30)</w:t>
            </w:r>
          </w:p>
        </w:tc>
        <w:tc>
          <w:tcPr>
            <w:tcW w:w="1842" w:type="dxa"/>
            <w:vAlign w:val="center"/>
          </w:tcPr>
          <w:p w:rsidR="00883631" w:rsidRPr="00A34754" w:rsidRDefault="00883631" w:rsidP="004E6CA2">
            <w:pPr>
              <w:pStyle w:val="TableText1"/>
              <w:keepNext/>
              <w:spacing w:line="240" w:lineRule="auto"/>
              <w:ind w:left="-108"/>
              <w:jc w:val="center"/>
              <w:rPr>
                <w:rFonts w:ascii="Arial Narrow" w:hAnsi="Arial Narrow" w:cs="Arial"/>
                <w:lang w:eastAsia="en-AU"/>
              </w:rPr>
            </w:pPr>
            <w:r>
              <w:rPr>
                <w:rFonts w:ascii="Arial Narrow" w:hAnsi="Arial Narrow" w:cs="Arial"/>
                <w:lang w:eastAsia="en-AU"/>
              </w:rPr>
              <w:t>$</w:t>
            </w:r>
            <w:r w:rsidR="00C01A93">
              <w:rPr>
                <w:rFonts w:ascii="Arial Narrow" w:hAnsi="Arial Narrow" w:cs="Arial"/>
                <w:noProof/>
                <w:color w:val="000000"/>
                <w:highlight w:val="black"/>
                <w:lang w:eastAsia="en-AU"/>
              </w:rPr>
              <w:t>''''''''''</w:t>
            </w:r>
          </w:p>
        </w:tc>
      </w:tr>
      <w:tr w:rsidR="00883631" w:rsidRPr="001C39A1" w:rsidTr="00092E4F">
        <w:tc>
          <w:tcPr>
            <w:tcW w:w="6521" w:type="dxa"/>
          </w:tcPr>
          <w:p w:rsidR="00883631" w:rsidRPr="001C39A1" w:rsidRDefault="00883631" w:rsidP="004E6CA2">
            <w:pPr>
              <w:pStyle w:val="TableText1"/>
              <w:keepNext/>
              <w:spacing w:line="240" w:lineRule="auto"/>
              <w:ind w:left="-108"/>
              <w:rPr>
                <w:rFonts w:ascii="Arial Narrow" w:hAnsi="Arial Narrow" w:cs="Arial"/>
                <w:b/>
                <w:lang w:eastAsia="en-AU"/>
              </w:rPr>
            </w:pPr>
            <w:r>
              <w:rPr>
                <w:rFonts w:ascii="Arial Narrow" w:hAnsi="Arial Narrow" w:cs="Arial"/>
                <w:b/>
                <w:lang w:eastAsia="en-AU"/>
              </w:rPr>
              <w:t xml:space="preserve">Price </w:t>
            </w:r>
            <w:r w:rsidR="00FF5077" w:rsidRPr="00C10065">
              <w:rPr>
                <w:rFonts w:ascii="Arial Narrow" w:hAnsi="Arial Narrow"/>
                <w:b/>
              </w:rPr>
              <w:t>advantage</w:t>
            </w:r>
            <w:r w:rsidRPr="00C10065">
              <w:rPr>
                <w:rFonts w:ascii="Arial Narrow" w:hAnsi="Arial Narrow" w:cs="Arial"/>
                <w:b/>
                <w:lang w:eastAsia="en-AU"/>
              </w:rPr>
              <w:t>/</w:t>
            </w:r>
            <w:r>
              <w:rPr>
                <w:rFonts w:ascii="Arial Narrow" w:hAnsi="Arial Narrow" w:cs="Arial"/>
                <w:b/>
                <w:lang w:eastAsia="en-AU"/>
              </w:rPr>
              <w:t>28 days</w:t>
            </w:r>
          </w:p>
        </w:tc>
        <w:tc>
          <w:tcPr>
            <w:tcW w:w="1842" w:type="dxa"/>
            <w:vAlign w:val="center"/>
          </w:tcPr>
          <w:p w:rsidR="00883631" w:rsidRPr="001C39A1" w:rsidRDefault="00883631" w:rsidP="004E6CA2">
            <w:pPr>
              <w:pStyle w:val="TableText1"/>
              <w:keepNext/>
              <w:spacing w:line="240" w:lineRule="auto"/>
              <w:ind w:left="-108"/>
              <w:jc w:val="center"/>
              <w:rPr>
                <w:rFonts w:ascii="Arial Narrow" w:hAnsi="Arial Narrow" w:cs="Arial"/>
                <w:b/>
                <w:lang w:eastAsia="en-AU"/>
              </w:rPr>
            </w:pPr>
            <w:r w:rsidRPr="001C39A1">
              <w:rPr>
                <w:rFonts w:ascii="Arial Narrow" w:hAnsi="Arial Narrow" w:cs="Arial"/>
                <w:b/>
                <w:lang w:eastAsia="en-AU"/>
              </w:rPr>
              <w:t>$</w:t>
            </w:r>
            <w:r w:rsidR="00C01A93">
              <w:rPr>
                <w:rFonts w:ascii="Arial Narrow" w:hAnsi="Arial Narrow" w:cs="Arial"/>
                <w:b/>
                <w:noProof/>
                <w:color w:val="000000"/>
                <w:highlight w:val="black"/>
                <w:lang w:eastAsia="en-AU"/>
              </w:rPr>
              <w:t>''''''''''''</w:t>
            </w:r>
          </w:p>
        </w:tc>
      </w:tr>
    </w:tbl>
    <w:p w:rsidR="00883631" w:rsidRPr="00681EE9" w:rsidRDefault="00883631" w:rsidP="004E6CA2">
      <w:pPr>
        <w:pStyle w:val="BodyText"/>
        <w:widowControl/>
        <w:ind w:firstLine="720"/>
        <w:rPr>
          <w:rFonts w:ascii="Arial Narrow" w:hAnsi="Arial Narrow"/>
          <w:sz w:val="18"/>
          <w:szCs w:val="18"/>
        </w:rPr>
      </w:pPr>
      <w:r w:rsidRPr="00681EE9">
        <w:rPr>
          <w:rFonts w:ascii="Arial Narrow" w:hAnsi="Arial Narrow"/>
          <w:sz w:val="18"/>
          <w:szCs w:val="18"/>
        </w:rPr>
        <w:t>Source: compiled during the evaluation</w:t>
      </w:r>
    </w:p>
    <w:p w:rsidR="00883631" w:rsidRDefault="00883631" w:rsidP="004E6CA2">
      <w:pPr>
        <w:pStyle w:val="PBACheading10"/>
        <w:jc w:val="both"/>
      </w:pPr>
    </w:p>
    <w:p w:rsidR="00092E4F" w:rsidRPr="00BE2671" w:rsidRDefault="00092E4F" w:rsidP="004E6CA2">
      <w:pPr>
        <w:pStyle w:val="BodyText"/>
        <w:widowControl/>
        <w:numPr>
          <w:ilvl w:val="1"/>
          <w:numId w:val="47"/>
        </w:numPr>
        <w:jc w:val="both"/>
        <w:rPr>
          <w:lang w:eastAsia="en-AU"/>
        </w:rPr>
      </w:pPr>
      <w:r w:rsidRPr="00FB52D4">
        <w:rPr>
          <w:lang w:eastAsia="en-AU"/>
        </w:rPr>
        <w:t xml:space="preserve">The results of the DCE </w:t>
      </w:r>
      <w:r w:rsidR="0046604C" w:rsidRPr="00FB52D4">
        <w:rPr>
          <w:lang w:eastAsia="en-AU"/>
        </w:rPr>
        <w:t xml:space="preserve">were </w:t>
      </w:r>
      <w:r w:rsidRPr="00FB52D4">
        <w:rPr>
          <w:lang w:eastAsia="en-AU"/>
        </w:rPr>
        <w:t>highly dependent upon the proportion of patients switching from a twice daily injectable preparation compared to those switching from oral medications.</w:t>
      </w:r>
      <w:r w:rsidR="007578A8">
        <w:rPr>
          <w:lang w:eastAsia="en-AU"/>
        </w:rPr>
        <w:t xml:space="preserve"> </w:t>
      </w:r>
      <w:r w:rsidRPr="00FB52D4">
        <w:rPr>
          <w:lang w:eastAsia="en-AU"/>
        </w:rPr>
        <w:t>The re-submission’s argument that estimating the value of a consumer</w:t>
      </w:r>
      <w:r w:rsidR="009A71D9" w:rsidRPr="00FB52D4">
        <w:rPr>
          <w:lang w:eastAsia="en-AU"/>
        </w:rPr>
        <w:t>’s</w:t>
      </w:r>
      <w:r w:rsidRPr="00FB52D4">
        <w:rPr>
          <w:lang w:eastAsia="en-AU"/>
        </w:rPr>
        <w:t xml:space="preserve"> preference for once weekly injections </w:t>
      </w:r>
      <w:r w:rsidR="0046604C" w:rsidRPr="00FB52D4">
        <w:rPr>
          <w:lang w:eastAsia="en-AU"/>
        </w:rPr>
        <w:t xml:space="preserve">should be based on both </w:t>
      </w:r>
      <w:r w:rsidRPr="00FB52D4">
        <w:rPr>
          <w:lang w:eastAsia="en-AU"/>
        </w:rPr>
        <w:t xml:space="preserve">patients currently treated with exenatide twice daily </w:t>
      </w:r>
      <w:r w:rsidR="0046604C" w:rsidRPr="00FB52D4">
        <w:rPr>
          <w:lang w:eastAsia="en-AU"/>
        </w:rPr>
        <w:t>and</w:t>
      </w:r>
      <w:r w:rsidRPr="00FB52D4">
        <w:rPr>
          <w:lang w:eastAsia="en-AU"/>
        </w:rPr>
        <w:t xml:space="preserve"> oral patients </w:t>
      </w:r>
      <w:r w:rsidR="0046604C" w:rsidRPr="00FB52D4">
        <w:rPr>
          <w:lang w:eastAsia="en-AU"/>
        </w:rPr>
        <w:t xml:space="preserve">was </w:t>
      </w:r>
      <w:r w:rsidRPr="00FB52D4">
        <w:rPr>
          <w:lang w:eastAsia="en-AU"/>
        </w:rPr>
        <w:t xml:space="preserve">not </w:t>
      </w:r>
      <w:r w:rsidR="008371EA">
        <w:rPr>
          <w:lang w:eastAsia="en-AU"/>
        </w:rPr>
        <w:t xml:space="preserve">considered </w:t>
      </w:r>
      <w:r w:rsidRPr="00FB52D4">
        <w:rPr>
          <w:lang w:eastAsia="en-AU"/>
        </w:rPr>
        <w:t>reasonable</w:t>
      </w:r>
      <w:r w:rsidR="008371EA">
        <w:rPr>
          <w:lang w:eastAsia="en-AU"/>
        </w:rPr>
        <w:t xml:space="preserve"> by the evaluat</w:t>
      </w:r>
      <w:r w:rsidR="00E26458">
        <w:rPr>
          <w:lang w:eastAsia="en-AU"/>
        </w:rPr>
        <w:t>i</w:t>
      </w:r>
      <w:r w:rsidR="008371EA">
        <w:rPr>
          <w:lang w:eastAsia="en-AU"/>
        </w:rPr>
        <w:t>o</w:t>
      </w:r>
      <w:r w:rsidR="00E26458">
        <w:rPr>
          <w:lang w:eastAsia="en-AU"/>
        </w:rPr>
        <w:t>n</w:t>
      </w:r>
      <w:r w:rsidRPr="00FB52D4">
        <w:rPr>
          <w:lang w:eastAsia="en-AU"/>
        </w:rPr>
        <w:t>.</w:t>
      </w:r>
      <w:r w:rsidR="007578A8">
        <w:rPr>
          <w:lang w:eastAsia="en-AU"/>
        </w:rPr>
        <w:t xml:space="preserve"> </w:t>
      </w:r>
      <w:r w:rsidR="0046604C" w:rsidRPr="00FB52D4">
        <w:rPr>
          <w:lang w:eastAsia="en-AU"/>
        </w:rPr>
        <w:t>While the re-submission acknowledged that the higher consumer surplus for oral patients could be driven by fear of the unknown, any such fear may reasonably be expected to apply for only an initial period, after which the dissipation effect will be observable.</w:t>
      </w:r>
      <w:r w:rsidR="007578A8">
        <w:rPr>
          <w:lang w:eastAsia="en-AU"/>
        </w:rPr>
        <w:t xml:space="preserve"> </w:t>
      </w:r>
      <w:r w:rsidR="0046604C" w:rsidRPr="00FB52D4">
        <w:rPr>
          <w:lang w:eastAsia="en-AU"/>
        </w:rPr>
        <w:t>Thus, the</w:t>
      </w:r>
      <w:r w:rsidRPr="00FB52D4">
        <w:rPr>
          <w:lang w:eastAsia="en-AU"/>
        </w:rPr>
        <w:t xml:space="preserve"> long-term consumer surplus, even for oral patients, is likely </w:t>
      </w:r>
      <w:r w:rsidR="00B03D3E">
        <w:rPr>
          <w:lang w:eastAsia="en-AU"/>
        </w:rPr>
        <w:t xml:space="preserve">to </w:t>
      </w:r>
      <w:r w:rsidRPr="00FB52D4">
        <w:rPr>
          <w:lang w:eastAsia="en-AU"/>
        </w:rPr>
        <w:t>be no greater than the results reported for patients switching from twice daily injections to weekly.</w:t>
      </w:r>
      <w:r w:rsidR="007578A8">
        <w:rPr>
          <w:lang w:eastAsia="en-AU"/>
        </w:rPr>
        <w:t xml:space="preserve"> </w:t>
      </w:r>
      <w:r w:rsidR="00DB3094" w:rsidRPr="00FB52D4">
        <w:rPr>
          <w:lang w:eastAsia="en-AU"/>
        </w:rPr>
        <w:t>Consequently</w:t>
      </w:r>
      <w:r w:rsidRPr="00FB52D4">
        <w:rPr>
          <w:lang w:eastAsia="en-AU"/>
        </w:rPr>
        <w:t>, the consumer surplus of $</w:t>
      </w:r>
      <w:r w:rsidR="00C01A93">
        <w:rPr>
          <w:noProof/>
          <w:color w:val="000000"/>
          <w:highlight w:val="black"/>
          <w:lang w:eastAsia="en-AU"/>
        </w:rPr>
        <w:t>'''''''''''''</w:t>
      </w:r>
      <w:r w:rsidRPr="00FB52D4">
        <w:rPr>
          <w:lang w:eastAsia="en-AU"/>
        </w:rPr>
        <w:t xml:space="preserve"> (see Table </w:t>
      </w:r>
      <w:r w:rsidR="00C54DE7" w:rsidRPr="00FB52D4">
        <w:rPr>
          <w:lang w:eastAsia="en-AU"/>
        </w:rPr>
        <w:t>3</w:t>
      </w:r>
      <w:r w:rsidR="00DB3094" w:rsidRPr="00FB52D4">
        <w:rPr>
          <w:lang w:eastAsia="en-AU"/>
        </w:rPr>
        <w:t xml:space="preserve"> </w:t>
      </w:r>
      <w:r w:rsidRPr="00FB52D4">
        <w:rPr>
          <w:lang w:eastAsia="en-AU"/>
        </w:rPr>
        <w:t xml:space="preserve">above) </w:t>
      </w:r>
      <w:r w:rsidR="007A2159">
        <w:rPr>
          <w:lang w:eastAsia="en-AU"/>
        </w:rPr>
        <w:t xml:space="preserve">was considered </w:t>
      </w:r>
      <w:r w:rsidRPr="00FB52D4">
        <w:rPr>
          <w:lang w:eastAsia="en-AU"/>
        </w:rPr>
        <w:t>more likely to apply to the entire PBS population treated with exenatide weekly injections (rather than the re-submission’s weighted estimate of $</w:t>
      </w:r>
      <w:r w:rsidR="00C01A93">
        <w:rPr>
          <w:noProof/>
          <w:color w:val="000000"/>
          <w:highlight w:val="black"/>
          <w:lang w:eastAsia="en-AU"/>
        </w:rPr>
        <w:t>'''''''''''''''</w:t>
      </w:r>
      <w:r w:rsidRPr="00FB52D4">
        <w:rPr>
          <w:lang w:eastAsia="en-AU"/>
        </w:rPr>
        <w:t xml:space="preserve">). </w:t>
      </w:r>
      <w:r w:rsidRPr="00BE2671">
        <w:rPr>
          <w:lang w:eastAsia="en-AU"/>
        </w:rPr>
        <w:t xml:space="preserve">This would reduce the </w:t>
      </w:r>
      <w:r w:rsidR="00806383" w:rsidRPr="00BE2671">
        <w:rPr>
          <w:lang w:eastAsia="en-AU"/>
        </w:rPr>
        <w:t xml:space="preserve">price </w:t>
      </w:r>
      <w:r w:rsidR="00FF5077" w:rsidRPr="00BE2671">
        <w:t>advantage</w:t>
      </w:r>
      <w:r w:rsidR="00806383" w:rsidRPr="00BE2671">
        <w:rPr>
          <w:lang w:eastAsia="en-AU"/>
        </w:rPr>
        <w:t xml:space="preserve"> </w:t>
      </w:r>
      <w:r w:rsidRPr="00BE2671">
        <w:rPr>
          <w:lang w:eastAsia="en-AU"/>
        </w:rPr>
        <w:t>per quantity of 28 to $</w:t>
      </w:r>
      <w:r w:rsidR="00C01A93">
        <w:rPr>
          <w:noProof/>
          <w:color w:val="000000"/>
          <w:highlight w:val="black"/>
          <w:lang w:eastAsia="en-AU"/>
        </w:rPr>
        <w:t>'''''''''''''</w:t>
      </w:r>
      <w:r w:rsidRPr="00BE2671">
        <w:rPr>
          <w:lang w:eastAsia="en-AU"/>
        </w:rPr>
        <w:t xml:space="preserve"> (re-submission is requesting $</w:t>
      </w:r>
      <w:r w:rsidR="00C01A93">
        <w:rPr>
          <w:noProof/>
          <w:color w:val="000000"/>
          <w:highlight w:val="black"/>
          <w:lang w:eastAsia="en-AU"/>
        </w:rPr>
        <w:t>'''''''''''''</w:t>
      </w:r>
      <w:r w:rsidRPr="00BE2671">
        <w:rPr>
          <w:lang w:eastAsia="en-AU"/>
        </w:rPr>
        <w:t>).</w:t>
      </w:r>
    </w:p>
    <w:p w:rsidR="00FD7BAF" w:rsidRPr="005F3985" w:rsidRDefault="00FD7BAF" w:rsidP="005F3985">
      <w:pPr>
        <w:pStyle w:val="BodyText"/>
        <w:widowControl/>
        <w:jc w:val="both"/>
        <w:rPr>
          <w:lang w:eastAsia="en-AU"/>
        </w:rPr>
      </w:pPr>
    </w:p>
    <w:p w:rsidR="00E52CC7" w:rsidRPr="00244A23" w:rsidRDefault="00FD7BAF" w:rsidP="004E6CA2">
      <w:pPr>
        <w:pStyle w:val="BodyText"/>
        <w:widowControl/>
        <w:numPr>
          <w:ilvl w:val="1"/>
          <w:numId w:val="47"/>
        </w:numPr>
        <w:jc w:val="both"/>
      </w:pPr>
      <w:r w:rsidRPr="00244A23">
        <w:rPr>
          <w:iCs/>
          <w:szCs w:val="22"/>
        </w:rPr>
        <w:t>The PSCR argued that the WTP for oral patients switching to exenatide will not dissipate and therefore that the WTP for these patients should not be excluded.</w:t>
      </w:r>
      <w:r w:rsidR="007578A8" w:rsidRPr="00244A23">
        <w:rPr>
          <w:iCs/>
          <w:szCs w:val="22"/>
        </w:rPr>
        <w:t xml:space="preserve"> </w:t>
      </w:r>
      <w:r w:rsidR="000421AF" w:rsidRPr="00244A23">
        <w:rPr>
          <w:iCs/>
          <w:szCs w:val="22"/>
        </w:rPr>
        <w:t>Furthermore, t</w:t>
      </w:r>
      <w:r w:rsidR="000421AF" w:rsidRPr="00244A23">
        <w:rPr>
          <w:lang w:eastAsia="en-AU"/>
        </w:rPr>
        <w:t xml:space="preserve">he PSCR argued that even if some of the value </w:t>
      </w:r>
      <w:r w:rsidR="00FE41C4" w:rsidRPr="00244A23">
        <w:rPr>
          <w:lang w:eastAsia="en-AU"/>
        </w:rPr>
        <w:t>relate</w:t>
      </w:r>
      <w:r w:rsidR="00FE41C4">
        <w:rPr>
          <w:lang w:eastAsia="en-AU"/>
        </w:rPr>
        <w:t>d</w:t>
      </w:r>
      <w:r w:rsidR="00FE41C4" w:rsidRPr="00244A23">
        <w:rPr>
          <w:lang w:eastAsia="en-AU"/>
        </w:rPr>
        <w:t xml:space="preserve"> </w:t>
      </w:r>
      <w:r w:rsidR="000421AF" w:rsidRPr="00244A23">
        <w:rPr>
          <w:lang w:eastAsia="en-AU"/>
        </w:rPr>
        <w:t xml:space="preserve">to a transient preference it should be incorporated. </w:t>
      </w:r>
      <w:r w:rsidR="007159E4" w:rsidRPr="00244A23">
        <w:t>The ESC</w:t>
      </w:r>
      <w:r w:rsidR="003249B7" w:rsidRPr="00244A23">
        <w:t xml:space="preserve"> </w:t>
      </w:r>
      <w:r w:rsidR="000421AF" w:rsidRPr="00244A23">
        <w:t>considered that</w:t>
      </w:r>
      <w:r w:rsidR="003249B7" w:rsidRPr="00244A23">
        <w:t xml:space="preserve"> the </w:t>
      </w:r>
      <w:r w:rsidR="000421AF" w:rsidRPr="00244A23">
        <w:t>long</w:t>
      </w:r>
      <w:r w:rsidR="005F3985">
        <w:t>-</w:t>
      </w:r>
      <w:r w:rsidR="000421AF" w:rsidRPr="00244A23">
        <w:t>term consumer surplus is likely to be overstated</w:t>
      </w:r>
      <w:r w:rsidR="00980C57" w:rsidRPr="00244A23">
        <w:t xml:space="preserve"> and partly reflects</w:t>
      </w:r>
      <w:r w:rsidR="000421AF" w:rsidRPr="00244A23">
        <w:t xml:space="preserve"> an overall distaste for injectables. This distaste would further overstate the relative benefits of exenatide once weekly to exenatide twice daily, as the fear of injections could only be avoided completely by remaining on oral medication. </w:t>
      </w:r>
      <w:r w:rsidR="00E52CC7">
        <w:t>The Pre-PBAC response argued that $</w:t>
      </w:r>
      <w:r w:rsidR="00C01A93">
        <w:rPr>
          <w:noProof/>
          <w:color w:val="000000"/>
          <w:highlight w:val="black"/>
        </w:rPr>
        <w:t>''''''''''''''</w:t>
      </w:r>
      <w:r w:rsidR="00E52CC7">
        <w:t xml:space="preserve"> is the minimum WTP estimate per month and that the true value is above this estimate.</w:t>
      </w:r>
    </w:p>
    <w:p w:rsidR="00146317" w:rsidRPr="00244A23" w:rsidRDefault="00146317" w:rsidP="004E6CA2">
      <w:pPr>
        <w:pStyle w:val="PBACheading10"/>
        <w:jc w:val="both"/>
      </w:pPr>
    </w:p>
    <w:p w:rsidR="00146317" w:rsidRDefault="00146317" w:rsidP="004E6CA2">
      <w:pPr>
        <w:pStyle w:val="BodyText"/>
        <w:widowControl/>
        <w:numPr>
          <w:ilvl w:val="1"/>
          <w:numId w:val="47"/>
        </w:numPr>
        <w:jc w:val="both"/>
      </w:pPr>
      <w:r w:rsidRPr="00244A23">
        <w:rPr>
          <w:lang w:eastAsia="en-AU"/>
        </w:rPr>
        <w:t>Notably, the financial estimates d</w:t>
      </w:r>
      <w:r w:rsidR="00FE41C4">
        <w:rPr>
          <w:lang w:eastAsia="en-AU"/>
        </w:rPr>
        <w:t>id</w:t>
      </w:r>
      <w:r w:rsidRPr="00244A23">
        <w:rPr>
          <w:lang w:eastAsia="en-AU"/>
        </w:rPr>
        <w:t xml:space="preserve"> not assume any switching from oral to once weekly exenatide.</w:t>
      </w:r>
    </w:p>
    <w:p w:rsidR="008B3D12" w:rsidRDefault="008B3D12" w:rsidP="00FE41C4">
      <w:pPr>
        <w:widowControl/>
      </w:pPr>
    </w:p>
    <w:p w:rsidR="008B3D12" w:rsidRPr="008752B3" w:rsidRDefault="008B3D12" w:rsidP="004E6CA2">
      <w:pPr>
        <w:pStyle w:val="BodyText"/>
        <w:widowControl/>
        <w:numPr>
          <w:ilvl w:val="1"/>
          <w:numId w:val="47"/>
        </w:numPr>
        <w:jc w:val="both"/>
      </w:pPr>
      <w:r w:rsidRPr="008752B3">
        <w:t xml:space="preserve">The PBAC considered that the WTP study at best provided evidence that </w:t>
      </w:r>
      <w:r w:rsidR="00D16F8F" w:rsidRPr="008752B3">
        <w:t xml:space="preserve">there would be a </w:t>
      </w:r>
      <w:r w:rsidR="005F3985" w:rsidRPr="008752B3">
        <w:t xml:space="preserve">perceived </w:t>
      </w:r>
      <w:r w:rsidR="00D16F8F" w:rsidRPr="008752B3">
        <w:t xml:space="preserve">benefit to </w:t>
      </w:r>
      <w:r w:rsidR="0083086F" w:rsidRPr="008752B3">
        <w:t xml:space="preserve">patients </w:t>
      </w:r>
      <w:r w:rsidR="00D16F8F" w:rsidRPr="008752B3">
        <w:t xml:space="preserve">from listing </w:t>
      </w:r>
      <w:r w:rsidR="0083086F" w:rsidRPr="008752B3">
        <w:t xml:space="preserve">the simplified </w:t>
      </w:r>
      <w:r w:rsidRPr="008752B3">
        <w:t xml:space="preserve">once weekly </w:t>
      </w:r>
      <w:r w:rsidR="0083086F" w:rsidRPr="008752B3">
        <w:t>regimen</w:t>
      </w:r>
      <w:r w:rsidR="00D16F8F" w:rsidRPr="008752B3">
        <w:t>. However, the PBAC</w:t>
      </w:r>
      <w:r w:rsidRPr="008752B3">
        <w:t xml:space="preserve"> considered that this did not provide a sufficient basis for quantifying the price </w:t>
      </w:r>
      <w:r w:rsidR="00FF5077" w:rsidRPr="008752B3">
        <w:t>advantage</w:t>
      </w:r>
      <w:r w:rsidRPr="008752B3">
        <w:t xml:space="preserve"> that s</w:t>
      </w:r>
      <w:r w:rsidR="00D16F8F" w:rsidRPr="008752B3">
        <w:t>hould be paid for this benefit</w:t>
      </w:r>
      <w:r w:rsidR="00FE41C4" w:rsidRPr="008752B3">
        <w:t xml:space="preserve"> for the following reasons:</w:t>
      </w:r>
    </w:p>
    <w:p w:rsidR="008B3D12" w:rsidRPr="008752B3" w:rsidRDefault="008B3D12" w:rsidP="004E6CA2">
      <w:pPr>
        <w:pStyle w:val="BodyText"/>
        <w:widowControl/>
        <w:numPr>
          <w:ilvl w:val="2"/>
          <w:numId w:val="47"/>
        </w:numPr>
        <w:ind w:left="993" w:hanging="284"/>
        <w:jc w:val="both"/>
      </w:pPr>
      <w:r w:rsidRPr="008752B3">
        <w:t xml:space="preserve">The PBAC agreed with the ESC that there were a number of flaws in the methodology for estimating the consumer surplus in the </w:t>
      </w:r>
      <w:r w:rsidR="00D16F8F" w:rsidRPr="008752B3">
        <w:t>W</w:t>
      </w:r>
      <w:r w:rsidRPr="008752B3">
        <w:t xml:space="preserve">TP study, </w:t>
      </w:r>
      <w:r w:rsidR="00FE41C4" w:rsidRPr="008752B3">
        <w:t xml:space="preserve">as outlined above. In particular, the PBAC noted </w:t>
      </w:r>
      <w:r w:rsidRPr="008752B3">
        <w:t>the fact that several key parameters were not significant</w:t>
      </w:r>
      <w:r w:rsidR="005F3985" w:rsidRPr="008752B3">
        <w:t>,</w:t>
      </w:r>
      <w:r w:rsidRPr="008752B3">
        <w:t xml:space="preserve"> but were included in the </w:t>
      </w:r>
      <w:r w:rsidR="00FC4D35" w:rsidRPr="008752B3">
        <w:t xml:space="preserve">model used to </w:t>
      </w:r>
      <w:r w:rsidRPr="008752B3">
        <w:t>estimate the consumer surplus.</w:t>
      </w:r>
    </w:p>
    <w:p w:rsidR="008B3D12" w:rsidRPr="008752B3" w:rsidRDefault="008B3D12" w:rsidP="00BE2671">
      <w:pPr>
        <w:pStyle w:val="ListParagraph"/>
        <w:numPr>
          <w:ilvl w:val="2"/>
          <w:numId w:val="47"/>
        </w:numPr>
        <w:ind w:left="993" w:hanging="284"/>
      </w:pPr>
      <w:r w:rsidRPr="008752B3">
        <w:t xml:space="preserve">The PBAC considered the measured </w:t>
      </w:r>
      <w:r w:rsidR="005F3985" w:rsidRPr="008752B3">
        <w:t xml:space="preserve">perceived </w:t>
      </w:r>
      <w:r w:rsidRPr="008752B3">
        <w:t>benefit for the population shifting from exenatide twice daily to once weekly (as opposed to from oral to injectable) was of relevance, but noted the small sample size for this population, which provided a very uncertain basis for estimating population benefit.</w:t>
      </w:r>
      <w:r w:rsidR="001F48DF" w:rsidRPr="008752B3">
        <w:t xml:space="preserve">  At the lower 95% CI of the estimates of consumer surplus based on the reduced injection frequency for those patients currently treated with exenatide twice-daily of $</w:t>
      </w:r>
      <w:r w:rsidR="00C01A93">
        <w:rPr>
          <w:noProof/>
          <w:color w:val="000000"/>
          <w:highlight w:val="black"/>
        </w:rPr>
        <w:t>'''''''''''</w:t>
      </w:r>
      <w:r w:rsidR="001F48DF" w:rsidRPr="008752B3">
        <w:t xml:space="preserve"> for concessional patients and $</w:t>
      </w:r>
      <w:r w:rsidR="00C01A93">
        <w:rPr>
          <w:noProof/>
          <w:color w:val="000000"/>
          <w:highlight w:val="black"/>
        </w:rPr>
        <w:t>''''''''''''''</w:t>
      </w:r>
      <w:r w:rsidR="001F48DF" w:rsidRPr="008752B3">
        <w:t xml:space="preserve"> for general patients, the weighted point estimate would be $</w:t>
      </w:r>
      <w:r w:rsidR="00C01A93">
        <w:rPr>
          <w:noProof/>
          <w:color w:val="000000"/>
          <w:highlight w:val="black"/>
        </w:rPr>
        <w:t>''''''''''''''</w:t>
      </w:r>
      <w:r w:rsidR="001F48DF" w:rsidRPr="008752B3">
        <w:t>, rather than the $</w:t>
      </w:r>
      <w:r w:rsidR="00C01A93">
        <w:rPr>
          <w:noProof/>
          <w:color w:val="000000"/>
          <w:highlight w:val="black"/>
        </w:rPr>
        <w:t>'''''''''''''</w:t>
      </w:r>
      <w:r w:rsidR="001F48DF" w:rsidRPr="008752B3">
        <w:t xml:space="preserve"> claimed by the submission.</w:t>
      </w:r>
    </w:p>
    <w:p w:rsidR="007A2159" w:rsidRPr="008752B3" w:rsidRDefault="007A2159" w:rsidP="004E6CA2">
      <w:pPr>
        <w:pStyle w:val="BodyText"/>
        <w:widowControl/>
        <w:numPr>
          <w:ilvl w:val="2"/>
          <w:numId w:val="47"/>
        </w:numPr>
        <w:ind w:left="993" w:hanging="284"/>
        <w:jc w:val="both"/>
      </w:pPr>
      <w:r w:rsidRPr="008752B3">
        <w:t>The PBAC agreed with the ESC that the WTP estimate for patients switching from oral therapies would be driven by distaste for injections, which is likely to be transient.</w:t>
      </w:r>
    </w:p>
    <w:p w:rsidR="008B3D12" w:rsidRPr="008752B3" w:rsidRDefault="00F00773" w:rsidP="004E6CA2">
      <w:pPr>
        <w:pStyle w:val="BodyText"/>
        <w:widowControl/>
        <w:numPr>
          <w:ilvl w:val="2"/>
          <w:numId w:val="47"/>
        </w:numPr>
        <w:ind w:left="993" w:hanging="284"/>
        <w:jc w:val="both"/>
      </w:pPr>
      <w:r w:rsidRPr="008752B3">
        <w:t xml:space="preserve">The PBAC noted that if the requested </w:t>
      </w:r>
      <w:r w:rsidR="00A95A4A" w:rsidRPr="008752B3">
        <w:t xml:space="preserve">restriction for </w:t>
      </w:r>
      <w:r w:rsidRPr="008752B3">
        <w:t xml:space="preserve">exenatide once weekly resulted in leakage into dual therapy with insulin, </w:t>
      </w:r>
      <w:r w:rsidR="008371EA" w:rsidRPr="008752B3">
        <w:t xml:space="preserve">recommended for PBS listing in March 2015, </w:t>
      </w:r>
      <w:r w:rsidRPr="008752B3">
        <w:t xml:space="preserve">the </w:t>
      </w:r>
      <w:r w:rsidR="005F3985" w:rsidRPr="008752B3">
        <w:t>perceived benefit</w:t>
      </w:r>
      <w:r w:rsidRPr="008752B3">
        <w:t xml:space="preserve"> of fewer i</w:t>
      </w:r>
      <w:r w:rsidR="005F3985" w:rsidRPr="008752B3">
        <w:t>njections would no longer hold.</w:t>
      </w:r>
    </w:p>
    <w:p w:rsidR="0003294B" w:rsidRPr="00B879E4" w:rsidRDefault="0003294B" w:rsidP="00B879E4">
      <w:pPr>
        <w:pStyle w:val="BodyText"/>
        <w:widowControl/>
        <w:jc w:val="both"/>
        <w:rPr>
          <w:highlight w:val="lightGray"/>
        </w:rPr>
      </w:pPr>
    </w:p>
    <w:p w:rsidR="00E52CC7" w:rsidRPr="00E52CC7" w:rsidRDefault="00E52CC7" w:rsidP="004E6CA2">
      <w:pPr>
        <w:pStyle w:val="PBACheading10"/>
        <w:jc w:val="both"/>
        <w:rPr>
          <w:u w:val="single"/>
        </w:rPr>
      </w:pPr>
      <w:r w:rsidRPr="00E52CC7">
        <w:rPr>
          <w:u w:val="single"/>
        </w:rPr>
        <w:t>Cost anal</w:t>
      </w:r>
      <w:r>
        <w:rPr>
          <w:u w:val="single"/>
        </w:rPr>
        <w:t>yse</w:t>
      </w:r>
      <w:r w:rsidRPr="00E52CC7">
        <w:rPr>
          <w:u w:val="single"/>
        </w:rPr>
        <w:t>s</w:t>
      </w:r>
    </w:p>
    <w:p w:rsidR="00E52CC7" w:rsidRPr="00244A23" w:rsidRDefault="00E52CC7" w:rsidP="004E6CA2">
      <w:pPr>
        <w:pStyle w:val="PBACheading10"/>
        <w:jc w:val="both"/>
      </w:pPr>
    </w:p>
    <w:p w:rsidR="001A4D78" w:rsidRPr="00244A23" w:rsidRDefault="00AA5257" w:rsidP="004E6CA2">
      <w:pPr>
        <w:pStyle w:val="BodyText"/>
        <w:widowControl/>
        <w:numPr>
          <w:ilvl w:val="1"/>
          <w:numId w:val="47"/>
        </w:numPr>
        <w:jc w:val="both"/>
      </w:pPr>
      <w:r w:rsidRPr="00244A23">
        <w:t xml:space="preserve">The </w:t>
      </w:r>
      <w:r w:rsidR="00AC74E0" w:rsidRPr="00244A23">
        <w:t xml:space="preserve">following </w:t>
      </w:r>
      <w:r w:rsidRPr="00244A23">
        <w:t>table provides a summary of the cost analyses presented in the re-submission.</w:t>
      </w:r>
      <w:r w:rsidR="007578A8" w:rsidRPr="00244A23">
        <w:t xml:space="preserve"> </w:t>
      </w:r>
      <w:r w:rsidR="007B647F" w:rsidRPr="00244A23">
        <w:t>With the exception of a partial cost offset for reduced needle use (approximately 50% of that requested, or one needle per day, as previously recommended by the PBAC in November 2013), the cost offsets proposed in the cost analyses were considered by the evaluat</w:t>
      </w:r>
      <w:r w:rsidR="00E26458">
        <w:t>i</w:t>
      </w:r>
      <w:r w:rsidR="007B647F" w:rsidRPr="00244A23">
        <w:t>o</w:t>
      </w:r>
      <w:r w:rsidR="00E26458">
        <w:t>n</w:t>
      </w:r>
      <w:r w:rsidR="007B647F" w:rsidRPr="00244A23">
        <w:t xml:space="preserve"> to be unsubstantiated and unlikely to be realised.</w:t>
      </w:r>
    </w:p>
    <w:p w:rsidR="001A4D78" w:rsidRPr="00244A23" w:rsidRDefault="001A4D78" w:rsidP="004E6CA2">
      <w:pPr>
        <w:widowControl/>
      </w:pPr>
    </w:p>
    <w:p w:rsidR="00B879E4" w:rsidRDefault="001A4D78" w:rsidP="004E6CA2">
      <w:pPr>
        <w:pStyle w:val="BodyText"/>
        <w:keepNext/>
        <w:widowControl/>
        <w:numPr>
          <w:ilvl w:val="1"/>
          <w:numId w:val="47"/>
        </w:numPr>
        <w:ind w:left="709"/>
        <w:jc w:val="both"/>
      </w:pPr>
      <w:r w:rsidRPr="00244A23">
        <w:t>The PSCR stated that the requested cost offsets have been reduced from $</w:t>
      </w:r>
      <w:r w:rsidR="00C01A93">
        <w:rPr>
          <w:noProof/>
          <w:color w:val="000000"/>
          <w:highlight w:val="black"/>
        </w:rPr>
        <w:t>'''''''''''''</w:t>
      </w:r>
      <w:r w:rsidRPr="00244A23">
        <w:t xml:space="preserve"> per pack to $</w:t>
      </w:r>
      <w:r w:rsidR="00C01A93">
        <w:rPr>
          <w:noProof/>
          <w:color w:val="000000"/>
          <w:highlight w:val="black"/>
        </w:rPr>
        <w:t>''''''''''''''</w:t>
      </w:r>
      <w:r w:rsidRPr="00244A23">
        <w:t xml:space="preserve">, bringing the requested price </w:t>
      </w:r>
      <w:r w:rsidR="00FF5077">
        <w:t>advantage</w:t>
      </w:r>
      <w:r w:rsidRPr="00244A23">
        <w:t xml:space="preserve"> down from $</w:t>
      </w:r>
      <w:r w:rsidR="00C01A93">
        <w:rPr>
          <w:noProof/>
          <w:color w:val="000000"/>
          <w:highlight w:val="black"/>
        </w:rPr>
        <w:t>''''''''''''</w:t>
      </w:r>
      <w:r w:rsidRPr="00244A23">
        <w:t xml:space="preserve"> to $</w:t>
      </w:r>
      <w:r w:rsidR="00C01A93">
        <w:rPr>
          <w:noProof/>
          <w:color w:val="000000"/>
          <w:highlight w:val="black"/>
        </w:rPr>
        <w:t>''''''''''''''</w:t>
      </w:r>
      <w:r w:rsidRPr="00244A23">
        <w:t xml:space="preserve"> per 28-day pack.</w:t>
      </w:r>
      <w:r w:rsidR="007578A8" w:rsidRPr="00244A23">
        <w:t xml:space="preserve"> </w:t>
      </w:r>
      <w:r w:rsidRPr="00244A23">
        <w:t xml:space="preserve">The price </w:t>
      </w:r>
      <w:r w:rsidR="00FF5077">
        <w:t>advantage</w:t>
      </w:r>
      <w:r w:rsidRPr="00244A23">
        <w:t xml:space="preserve"> requested is reduced as the sponsor agreed to a reduced cost offset per pack for: needle and other consumable use from $</w:t>
      </w:r>
      <w:r w:rsidR="00C01A93">
        <w:rPr>
          <w:noProof/>
          <w:color w:val="000000"/>
          <w:highlight w:val="black"/>
        </w:rPr>
        <w:t>'''''''''''</w:t>
      </w:r>
      <w:r w:rsidRPr="00244A23">
        <w:t xml:space="preserve"> to $</w:t>
      </w:r>
      <w:r w:rsidR="00C01A93">
        <w:rPr>
          <w:noProof/>
          <w:color w:val="000000"/>
          <w:highlight w:val="black"/>
        </w:rPr>
        <w:t>''''''''''</w:t>
      </w:r>
      <w:r w:rsidRPr="00244A23">
        <w:t>; reduced discontinuations due to nausea and vomiting from $</w:t>
      </w:r>
      <w:r w:rsidR="00C01A93">
        <w:rPr>
          <w:noProof/>
          <w:color w:val="000000"/>
          <w:highlight w:val="black"/>
        </w:rPr>
        <w:t>''''''''''</w:t>
      </w:r>
      <w:r w:rsidRPr="00244A23">
        <w:t xml:space="preserve"> to $</w:t>
      </w:r>
      <w:r w:rsidR="00C01A93">
        <w:rPr>
          <w:noProof/>
          <w:color w:val="000000"/>
          <w:highlight w:val="black"/>
        </w:rPr>
        <w:t>''''''''''''</w:t>
      </w:r>
      <w:r w:rsidRPr="00244A23">
        <w:t xml:space="preserve">; and the requested </w:t>
      </w:r>
      <w:r w:rsidR="00FF5077">
        <w:t>advantage</w:t>
      </w:r>
      <w:r w:rsidRPr="00244A23">
        <w:t xml:space="preserve"> per pack for Indigenous patients of $</w:t>
      </w:r>
      <w:r w:rsidR="00C01A93">
        <w:rPr>
          <w:noProof/>
          <w:color w:val="000000"/>
          <w:highlight w:val="black"/>
        </w:rPr>
        <w:t>''''''''''''</w:t>
      </w:r>
      <w:r w:rsidRPr="00244A23">
        <w:t xml:space="preserve"> was removed. The calculations presented are numerically correct.</w:t>
      </w:r>
      <w:r w:rsidR="007578A8" w:rsidRPr="00244A23">
        <w:t xml:space="preserve"> </w:t>
      </w:r>
      <w:r w:rsidRPr="00244A23">
        <w:t xml:space="preserve">The revised cost offsets presented in the PSCR </w:t>
      </w:r>
      <w:r w:rsidR="00FE41C4">
        <w:t xml:space="preserve">(which were unchanged in the pre-PBAC response) </w:t>
      </w:r>
      <w:r w:rsidRPr="00244A23">
        <w:t xml:space="preserve">are </w:t>
      </w:r>
      <w:r w:rsidR="00AC74E0" w:rsidRPr="00244A23">
        <w:t>included in the following table.</w:t>
      </w:r>
    </w:p>
    <w:p w:rsidR="00B879E4" w:rsidRPr="005F3985" w:rsidRDefault="00B879E4" w:rsidP="005F3985">
      <w:pPr>
        <w:rPr>
          <w:rStyle w:val="CommentReference"/>
          <w:rFonts w:ascii="Arial" w:hAnsi="Arial"/>
          <w:b w:val="0"/>
          <w:sz w:val="22"/>
          <w:szCs w:val="22"/>
        </w:rPr>
      </w:pPr>
    </w:p>
    <w:p w:rsidR="00244829" w:rsidRPr="00AA5257" w:rsidRDefault="00AA5257" w:rsidP="00C10065">
      <w:pPr>
        <w:pStyle w:val="BodyText"/>
        <w:keepNext/>
        <w:widowControl/>
        <w:ind w:left="709"/>
        <w:jc w:val="both"/>
      </w:pPr>
      <w:r w:rsidRPr="00AA5257">
        <w:rPr>
          <w:rStyle w:val="CommentReference"/>
        </w:rPr>
        <w:t xml:space="preserve">Table </w:t>
      </w:r>
      <w:r w:rsidR="00236CF7">
        <w:rPr>
          <w:rStyle w:val="CommentReference"/>
        </w:rPr>
        <w:t>4</w:t>
      </w:r>
      <w:r w:rsidRPr="00AA5257">
        <w:rPr>
          <w:rStyle w:val="CommentReference"/>
        </w:rPr>
        <w:t>: Summary of cost analyses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34"/>
        <w:gridCol w:w="3877"/>
        <w:gridCol w:w="833"/>
        <w:gridCol w:w="835"/>
        <w:gridCol w:w="833"/>
        <w:gridCol w:w="833"/>
      </w:tblGrid>
      <w:tr w:rsidR="00B37581" w:rsidRPr="00C10065" w:rsidTr="001A4D78">
        <w:trPr>
          <w:cantSplit/>
          <w:tblHeader/>
        </w:trPr>
        <w:tc>
          <w:tcPr>
            <w:tcW w:w="3002" w:type="pct"/>
            <w:gridSpan w:val="2"/>
            <w:vMerge w:val="restart"/>
            <w:shd w:val="clear" w:color="auto" w:fill="auto"/>
            <w:vAlign w:val="center"/>
          </w:tcPr>
          <w:p w:rsidR="00B37581" w:rsidRPr="00C10065" w:rsidRDefault="00B37581" w:rsidP="004E6CA2">
            <w:pPr>
              <w:keepNext/>
              <w:widowControl/>
              <w:jc w:val="center"/>
              <w:rPr>
                <w:rFonts w:ascii="Arial Narrow" w:hAnsi="Arial Narrow" w:cs="Times New Roman"/>
                <w:b/>
                <w:sz w:val="20"/>
              </w:rPr>
            </w:pPr>
            <w:r w:rsidRPr="00C10065">
              <w:rPr>
                <w:rFonts w:ascii="Arial Narrow" w:hAnsi="Arial Narrow" w:cs="Times New Roman"/>
                <w:b/>
                <w:sz w:val="20"/>
              </w:rPr>
              <w:t>Cost offset and claim</w:t>
            </w:r>
          </w:p>
        </w:tc>
        <w:tc>
          <w:tcPr>
            <w:tcW w:w="999" w:type="pct"/>
            <w:gridSpan w:val="2"/>
          </w:tcPr>
          <w:p w:rsidR="00B37581" w:rsidRPr="00C10065" w:rsidRDefault="00B37581" w:rsidP="004E6CA2">
            <w:pPr>
              <w:keepNext/>
              <w:widowControl/>
              <w:ind w:left="-6" w:firstLine="6"/>
              <w:jc w:val="center"/>
              <w:rPr>
                <w:rFonts w:ascii="Arial Narrow" w:hAnsi="Arial Narrow"/>
                <w:b/>
                <w:sz w:val="20"/>
              </w:rPr>
            </w:pPr>
            <w:r w:rsidRPr="00C10065">
              <w:rPr>
                <w:rFonts w:ascii="Arial Narrow" w:hAnsi="Arial Narrow"/>
                <w:b/>
                <w:sz w:val="20"/>
              </w:rPr>
              <w:t>Submission</w:t>
            </w:r>
          </w:p>
        </w:tc>
        <w:tc>
          <w:tcPr>
            <w:tcW w:w="998" w:type="pct"/>
            <w:gridSpan w:val="2"/>
          </w:tcPr>
          <w:p w:rsidR="00B37581" w:rsidRPr="00C10065" w:rsidRDefault="00B37581" w:rsidP="004E6CA2">
            <w:pPr>
              <w:keepNext/>
              <w:widowControl/>
              <w:ind w:left="-6" w:firstLine="6"/>
              <w:jc w:val="center"/>
              <w:rPr>
                <w:rFonts w:ascii="Arial Narrow" w:hAnsi="Arial Narrow"/>
                <w:b/>
                <w:sz w:val="20"/>
              </w:rPr>
            </w:pPr>
            <w:r w:rsidRPr="00C10065">
              <w:rPr>
                <w:rFonts w:ascii="Arial Narrow" w:hAnsi="Arial Narrow"/>
                <w:b/>
                <w:sz w:val="20"/>
              </w:rPr>
              <w:t>PSCR</w:t>
            </w:r>
          </w:p>
        </w:tc>
      </w:tr>
      <w:tr w:rsidR="006A0BBE" w:rsidRPr="00C10065" w:rsidTr="001A4D78">
        <w:trPr>
          <w:cantSplit/>
          <w:tblHeader/>
        </w:trPr>
        <w:tc>
          <w:tcPr>
            <w:tcW w:w="3002" w:type="pct"/>
            <w:gridSpan w:val="2"/>
            <w:vMerge/>
            <w:shd w:val="clear" w:color="auto" w:fill="auto"/>
            <w:vAlign w:val="center"/>
          </w:tcPr>
          <w:p w:rsidR="00B37581" w:rsidRPr="00C10065" w:rsidRDefault="00B37581" w:rsidP="004E6CA2">
            <w:pPr>
              <w:keepNext/>
              <w:widowControl/>
              <w:jc w:val="center"/>
              <w:rPr>
                <w:rFonts w:ascii="Arial Narrow" w:hAnsi="Arial Narrow"/>
                <w:b/>
                <w:sz w:val="20"/>
              </w:rPr>
            </w:pPr>
          </w:p>
        </w:tc>
        <w:tc>
          <w:tcPr>
            <w:tcW w:w="499" w:type="pct"/>
          </w:tcPr>
          <w:p w:rsidR="00B37581" w:rsidRPr="00C10065" w:rsidRDefault="00B37581" w:rsidP="004E6CA2">
            <w:pPr>
              <w:keepNext/>
              <w:widowControl/>
              <w:ind w:left="-6" w:firstLine="6"/>
              <w:jc w:val="center"/>
              <w:rPr>
                <w:rFonts w:ascii="Arial Narrow" w:hAnsi="Arial Narrow"/>
                <w:b/>
                <w:sz w:val="20"/>
              </w:rPr>
            </w:pPr>
            <w:r w:rsidRPr="00C10065">
              <w:rPr>
                <w:rFonts w:ascii="Arial Narrow" w:hAnsi="Arial Narrow"/>
                <w:b/>
                <w:sz w:val="20"/>
              </w:rPr>
              <w:t>Per day</w:t>
            </w:r>
          </w:p>
        </w:tc>
        <w:tc>
          <w:tcPr>
            <w:tcW w:w="500" w:type="pct"/>
          </w:tcPr>
          <w:p w:rsidR="00B37581" w:rsidRPr="00C10065" w:rsidRDefault="00B37581" w:rsidP="004E6CA2">
            <w:pPr>
              <w:keepNext/>
              <w:widowControl/>
              <w:ind w:left="-6" w:firstLine="6"/>
              <w:jc w:val="center"/>
              <w:rPr>
                <w:rFonts w:ascii="Arial Narrow" w:hAnsi="Arial Narrow"/>
                <w:b/>
                <w:sz w:val="20"/>
              </w:rPr>
            </w:pPr>
            <w:r w:rsidRPr="00C10065">
              <w:rPr>
                <w:rFonts w:ascii="Arial Narrow" w:hAnsi="Arial Narrow"/>
                <w:b/>
                <w:sz w:val="20"/>
              </w:rPr>
              <w:t>Per 28-day pack*</w:t>
            </w:r>
          </w:p>
        </w:tc>
        <w:tc>
          <w:tcPr>
            <w:tcW w:w="499" w:type="pct"/>
          </w:tcPr>
          <w:p w:rsidR="00B37581" w:rsidRPr="00C10065" w:rsidRDefault="00B37581" w:rsidP="004E6CA2">
            <w:pPr>
              <w:keepNext/>
              <w:widowControl/>
              <w:ind w:left="-6" w:firstLine="6"/>
              <w:jc w:val="center"/>
              <w:rPr>
                <w:rFonts w:ascii="Arial Narrow" w:hAnsi="Arial Narrow"/>
                <w:b/>
                <w:sz w:val="20"/>
              </w:rPr>
            </w:pPr>
            <w:r w:rsidRPr="00C10065">
              <w:rPr>
                <w:rFonts w:ascii="Arial Narrow" w:hAnsi="Arial Narrow"/>
                <w:b/>
                <w:sz w:val="20"/>
              </w:rPr>
              <w:t>Per day</w:t>
            </w:r>
          </w:p>
        </w:tc>
        <w:tc>
          <w:tcPr>
            <w:tcW w:w="499" w:type="pct"/>
          </w:tcPr>
          <w:p w:rsidR="00B37581" w:rsidRPr="00C10065" w:rsidRDefault="00B37581" w:rsidP="004E6CA2">
            <w:pPr>
              <w:keepNext/>
              <w:widowControl/>
              <w:ind w:left="-6" w:firstLine="6"/>
              <w:jc w:val="center"/>
              <w:rPr>
                <w:rFonts w:ascii="Arial Narrow" w:hAnsi="Arial Narrow"/>
                <w:b/>
                <w:sz w:val="20"/>
              </w:rPr>
            </w:pPr>
            <w:r w:rsidRPr="00C10065">
              <w:rPr>
                <w:rFonts w:ascii="Arial Narrow" w:hAnsi="Arial Narrow"/>
                <w:b/>
                <w:sz w:val="20"/>
              </w:rPr>
              <w:t>Per 28-day pack*</w:t>
            </w:r>
          </w:p>
        </w:tc>
      </w:tr>
      <w:tr w:rsidR="00B704A3" w:rsidRPr="00C10065" w:rsidTr="001A4D78">
        <w:trPr>
          <w:cantSplit/>
        </w:trPr>
        <w:tc>
          <w:tcPr>
            <w:tcW w:w="679" w:type="pct"/>
            <w:shd w:val="clear" w:color="auto" w:fill="auto"/>
            <w:vAlign w:val="center"/>
          </w:tcPr>
          <w:p w:rsidR="00B37581" w:rsidRPr="00C10065" w:rsidRDefault="00C779A2" w:rsidP="004E6CA2">
            <w:pPr>
              <w:keepNext/>
              <w:widowControl/>
              <w:jc w:val="left"/>
              <w:rPr>
                <w:rFonts w:ascii="Arial Narrow" w:hAnsi="Arial Narrow"/>
                <w:sz w:val="20"/>
                <w:szCs w:val="20"/>
              </w:rPr>
            </w:pPr>
            <w:r w:rsidRPr="00C10065">
              <w:rPr>
                <w:rFonts w:ascii="Arial Narrow" w:hAnsi="Arial Narrow"/>
                <w:sz w:val="20"/>
                <w:szCs w:val="20"/>
              </w:rPr>
              <w:t>Price a</w:t>
            </w:r>
            <w:r w:rsidR="00FF5077" w:rsidRPr="00C10065">
              <w:rPr>
                <w:rFonts w:ascii="Arial Narrow" w:hAnsi="Arial Narrow"/>
                <w:sz w:val="20"/>
                <w:szCs w:val="20"/>
              </w:rPr>
              <w:t>dvantage</w:t>
            </w:r>
            <w:r w:rsidR="00B37581" w:rsidRPr="00C10065">
              <w:rPr>
                <w:rFonts w:ascii="Arial Narrow" w:hAnsi="Arial Narrow" w:cs="Times New Roman"/>
                <w:sz w:val="20"/>
                <w:szCs w:val="20"/>
              </w:rPr>
              <w:t xml:space="preserve"> based on Closing the Gap</w:t>
            </w:r>
          </w:p>
        </w:tc>
        <w:tc>
          <w:tcPr>
            <w:tcW w:w="2323" w:type="pct"/>
            <w:vAlign w:val="center"/>
          </w:tcPr>
          <w:p w:rsidR="00F06B35" w:rsidRPr="00C10065" w:rsidRDefault="00B37581" w:rsidP="004E6CA2">
            <w:pPr>
              <w:keepNext/>
              <w:widowControl/>
              <w:jc w:val="left"/>
              <w:rPr>
                <w:rFonts w:ascii="Arial Narrow" w:hAnsi="Arial Narrow" w:cs="Times New Roman"/>
                <w:sz w:val="20"/>
                <w:szCs w:val="20"/>
              </w:rPr>
            </w:pPr>
            <w:r w:rsidRPr="00C10065">
              <w:rPr>
                <w:rFonts w:ascii="Arial Narrow" w:hAnsi="Arial Narrow"/>
                <w:sz w:val="20"/>
                <w:szCs w:val="20"/>
                <w:u w:val="single"/>
              </w:rPr>
              <w:t>Evaluation</w:t>
            </w:r>
            <w:r w:rsidRPr="00C10065">
              <w:rPr>
                <w:rFonts w:ascii="Arial Narrow" w:hAnsi="Arial Narrow"/>
                <w:sz w:val="20"/>
                <w:szCs w:val="20"/>
              </w:rPr>
              <w:t>:</w:t>
            </w:r>
            <w:r w:rsidR="00CD61F8" w:rsidRPr="00C10065">
              <w:rPr>
                <w:rFonts w:ascii="Arial Narrow" w:hAnsi="Arial Narrow"/>
                <w:color w:val="000000"/>
                <w:sz w:val="20"/>
                <w:szCs w:val="20"/>
              </w:rPr>
              <w:t xml:space="preserve"> </w:t>
            </w:r>
            <w:r w:rsidRPr="00C10065">
              <w:rPr>
                <w:rFonts w:ascii="Arial Narrow" w:hAnsi="Arial Narrow"/>
                <w:sz w:val="20"/>
                <w:szCs w:val="20"/>
              </w:rPr>
              <w:t xml:space="preserve">Assumption that there will be improvement in adherence to T2DM treatment regimens and subsequent improvement in Indigenous health outcomes, with a price </w:t>
            </w:r>
            <w:r w:rsidR="00FF5077" w:rsidRPr="00C10065">
              <w:rPr>
                <w:rFonts w:ascii="Arial Narrow" w:hAnsi="Arial Narrow"/>
                <w:sz w:val="20"/>
                <w:szCs w:val="20"/>
              </w:rPr>
              <w:t>advantage</w:t>
            </w:r>
            <w:r w:rsidRPr="00C10065">
              <w:rPr>
                <w:rFonts w:ascii="Arial Narrow" w:hAnsi="Arial Narrow"/>
                <w:sz w:val="20"/>
                <w:szCs w:val="20"/>
              </w:rPr>
              <w:t xml:space="preserve"> based on the current average co-payment already funded by the Government under the Closing the Gap program.</w:t>
            </w:r>
            <w:r w:rsidR="007578A8" w:rsidRPr="00C10065">
              <w:rPr>
                <w:rFonts w:ascii="Arial Narrow" w:hAnsi="Arial Narrow"/>
                <w:sz w:val="20"/>
                <w:szCs w:val="20"/>
              </w:rPr>
              <w:t xml:space="preserve"> </w:t>
            </w:r>
            <w:r w:rsidRPr="00C10065">
              <w:rPr>
                <w:rFonts w:ascii="Arial Narrow" w:hAnsi="Arial Narrow" w:cs="Times New Roman"/>
                <w:sz w:val="20"/>
                <w:szCs w:val="20"/>
              </w:rPr>
              <w:t xml:space="preserve">No data was provided to show adherence and/or health outcomes improvement. Justification for the extent of the price </w:t>
            </w:r>
            <w:r w:rsidR="00FF5077" w:rsidRPr="00C10065">
              <w:rPr>
                <w:rFonts w:ascii="Arial Narrow" w:hAnsi="Arial Narrow"/>
                <w:sz w:val="20"/>
                <w:szCs w:val="20"/>
              </w:rPr>
              <w:t>advantage</w:t>
            </w:r>
            <w:r w:rsidRPr="00C10065">
              <w:rPr>
                <w:rFonts w:ascii="Arial Narrow" w:hAnsi="Arial Narrow" w:cs="Times New Roman"/>
                <w:sz w:val="20"/>
                <w:szCs w:val="20"/>
              </w:rPr>
              <w:t xml:space="preserve"> was not supported and since Closing the Gap is already an expenditure of the Government, to assume the Government will contribute an additional amount to the sponsor is not appropriate.</w:t>
            </w:r>
          </w:p>
          <w:p w:rsidR="00F06B35" w:rsidRPr="00C10065" w:rsidRDefault="00F06B35" w:rsidP="004E6CA2">
            <w:pPr>
              <w:keepNext/>
              <w:widowControl/>
              <w:jc w:val="left"/>
              <w:rPr>
                <w:rFonts w:ascii="Arial Narrow" w:hAnsi="Arial Narrow" w:cs="Times New Roman"/>
                <w:sz w:val="20"/>
                <w:szCs w:val="20"/>
              </w:rPr>
            </w:pPr>
          </w:p>
          <w:p w:rsidR="00980C57" w:rsidRPr="00C10065" w:rsidRDefault="00980C57" w:rsidP="004E6CA2">
            <w:pPr>
              <w:keepNext/>
              <w:widowControl/>
              <w:jc w:val="left"/>
              <w:rPr>
                <w:rFonts w:ascii="Arial Narrow" w:hAnsi="Arial Narrow" w:cs="Times New Roman"/>
                <w:sz w:val="20"/>
                <w:szCs w:val="20"/>
              </w:rPr>
            </w:pPr>
            <w:r w:rsidRPr="00C10065">
              <w:rPr>
                <w:rFonts w:ascii="Arial Narrow" w:hAnsi="Arial Narrow" w:cs="Times New Roman"/>
                <w:sz w:val="20"/>
                <w:szCs w:val="20"/>
                <w:u w:val="single"/>
              </w:rPr>
              <w:t>PSCR</w:t>
            </w:r>
            <w:r w:rsidRPr="00C10065">
              <w:rPr>
                <w:rFonts w:ascii="Arial Narrow" w:hAnsi="Arial Narrow" w:cs="Times New Roman"/>
                <w:sz w:val="20"/>
                <w:szCs w:val="20"/>
              </w:rPr>
              <w:t>: Offset removed.</w:t>
            </w:r>
          </w:p>
          <w:p w:rsidR="00980C57" w:rsidRPr="00C10065" w:rsidRDefault="00980C57" w:rsidP="004E6CA2">
            <w:pPr>
              <w:keepNext/>
              <w:widowControl/>
              <w:jc w:val="left"/>
              <w:rPr>
                <w:rFonts w:ascii="Arial Narrow" w:hAnsi="Arial Narrow" w:cs="Times New Roman"/>
                <w:sz w:val="20"/>
                <w:szCs w:val="20"/>
              </w:rPr>
            </w:pPr>
          </w:p>
          <w:p w:rsidR="00B37581" w:rsidRPr="00C10065" w:rsidRDefault="00980C57" w:rsidP="004E6CA2">
            <w:pPr>
              <w:keepNext/>
              <w:widowControl/>
              <w:jc w:val="left"/>
              <w:rPr>
                <w:rFonts w:ascii="Arial Narrow" w:hAnsi="Arial Narrow" w:cs="Times New Roman"/>
                <w:sz w:val="20"/>
                <w:szCs w:val="20"/>
              </w:rPr>
            </w:pPr>
            <w:r w:rsidRPr="00C10065">
              <w:rPr>
                <w:rFonts w:ascii="Arial Narrow" w:hAnsi="Arial Narrow" w:cs="Times New Roman"/>
                <w:sz w:val="20"/>
                <w:szCs w:val="20"/>
                <w:u w:val="single"/>
              </w:rPr>
              <w:t>ESC</w:t>
            </w:r>
            <w:r w:rsidRPr="00C10065">
              <w:rPr>
                <w:rFonts w:ascii="Arial Narrow" w:hAnsi="Arial Narrow" w:cs="Times New Roman"/>
                <w:sz w:val="20"/>
                <w:szCs w:val="20"/>
              </w:rPr>
              <w:t>:</w:t>
            </w:r>
            <w:r w:rsidR="00F821F8" w:rsidRPr="00C10065">
              <w:rPr>
                <w:rFonts w:ascii="Arial Narrow" w:hAnsi="Arial Narrow" w:cs="Times New Roman"/>
                <w:sz w:val="20"/>
                <w:szCs w:val="20"/>
              </w:rPr>
              <w:t xml:space="preserve"> </w:t>
            </w:r>
            <w:r w:rsidRPr="00C10065">
              <w:rPr>
                <w:rFonts w:ascii="Arial Narrow" w:hAnsi="Arial Narrow" w:cs="Times New Roman"/>
                <w:sz w:val="20"/>
                <w:szCs w:val="20"/>
              </w:rPr>
              <w:t>The ESC noted that the PSCR appropriately removed this offset.</w:t>
            </w:r>
          </w:p>
        </w:tc>
        <w:tc>
          <w:tcPr>
            <w:tcW w:w="499" w:type="pct"/>
            <w:vAlign w:val="center"/>
          </w:tcPr>
          <w:p w:rsidR="00B37581" w:rsidRPr="00C10065" w:rsidRDefault="00B37581" w:rsidP="004E6CA2">
            <w:pPr>
              <w:keepNext/>
              <w:widowControl/>
              <w:ind w:left="-6" w:firstLine="6"/>
              <w:jc w:val="center"/>
              <w:rPr>
                <w:rFonts w:ascii="Arial Narrow" w:hAnsi="Arial Narrow"/>
                <w:sz w:val="20"/>
              </w:rPr>
            </w:pPr>
            <w:r w:rsidRPr="00C10065">
              <w:rPr>
                <w:rFonts w:ascii="Arial Narrow" w:hAnsi="Arial Narrow" w:cs="Times New Roman"/>
                <w:sz w:val="20"/>
              </w:rPr>
              <w:t>$</w:t>
            </w:r>
            <w:r w:rsidR="00C01A93">
              <w:rPr>
                <w:rFonts w:ascii="Arial Narrow" w:hAnsi="Arial Narrow" w:cs="Times New Roman"/>
                <w:noProof/>
                <w:color w:val="000000"/>
                <w:sz w:val="20"/>
                <w:highlight w:val="black"/>
              </w:rPr>
              <w:t>'''''''''''</w:t>
            </w:r>
          </w:p>
        </w:tc>
        <w:tc>
          <w:tcPr>
            <w:tcW w:w="500" w:type="pct"/>
            <w:vAlign w:val="center"/>
          </w:tcPr>
          <w:p w:rsidR="00B37581" w:rsidRPr="00C10065" w:rsidRDefault="00B37581" w:rsidP="004E6CA2">
            <w:pPr>
              <w:keepNext/>
              <w:widowControl/>
              <w:ind w:left="-6" w:firstLine="6"/>
              <w:jc w:val="center"/>
              <w:rPr>
                <w:rFonts w:ascii="Arial Narrow" w:hAnsi="Arial Narrow"/>
                <w:sz w:val="20"/>
              </w:rPr>
            </w:pPr>
            <w:r w:rsidRPr="00C10065">
              <w:rPr>
                <w:rFonts w:ascii="Arial Narrow" w:hAnsi="Arial Narrow" w:cs="Times New Roman"/>
                <w:sz w:val="20"/>
              </w:rPr>
              <w:t>$</w:t>
            </w:r>
            <w:r w:rsidR="00C01A93">
              <w:rPr>
                <w:rFonts w:ascii="Arial Narrow" w:hAnsi="Arial Narrow" w:cs="Times New Roman"/>
                <w:noProof/>
                <w:color w:val="000000"/>
                <w:sz w:val="20"/>
                <w:highlight w:val="black"/>
              </w:rPr>
              <w:t>''''''''''</w:t>
            </w:r>
          </w:p>
        </w:tc>
        <w:tc>
          <w:tcPr>
            <w:tcW w:w="499" w:type="pct"/>
            <w:vAlign w:val="center"/>
          </w:tcPr>
          <w:p w:rsidR="00B37581" w:rsidRPr="00C10065" w:rsidRDefault="00B37581" w:rsidP="004E6CA2">
            <w:pPr>
              <w:keepNext/>
              <w:widowControl/>
              <w:ind w:left="-6" w:firstLine="6"/>
              <w:jc w:val="center"/>
              <w:rPr>
                <w:rFonts w:ascii="Arial Narrow" w:hAnsi="Arial Narrow" w:cs="Times New Roman"/>
                <w:sz w:val="20"/>
              </w:rPr>
            </w:pPr>
            <w:r w:rsidRPr="00C10065">
              <w:rPr>
                <w:rFonts w:ascii="Arial Narrow" w:hAnsi="Arial Narrow"/>
                <w:sz w:val="20"/>
              </w:rPr>
              <w:t>$0.00</w:t>
            </w:r>
          </w:p>
        </w:tc>
        <w:tc>
          <w:tcPr>
            <w:tcW w:w="499" w:type="pct"/>
            <w:vAlign w:val="center"/>
          </w:tcPr>
          <w:p w:rsidR="00B37581" w:rsidRPr="00C10065" w:rsidRDefault="00B37581" w:rsidP="004E6CA2">
            <w:pPr>
              <w:keepNext/>
              <w:widowControl/>
              <w:ind w:left="-6" w:firstLine="6"/>
              <w:jc w:val="center"/>
              <w:rPr>
                <w:rFonts w:ascii="Arial Narrow" w:hAnsi="Arial Narrow" w:cs="Times New Roman"/>
                <w:sz w:val="20"/>
              </w:rPr>
            </w:pPr>
            <w:r w:rsidRPr="00C10065">
              <w:rPr>
                <w:rFonts w:ascii="Arial Narrow" w:hAnsi="Arial Narrow"/>
                <w:sz w:val="20"/>
              </w:rPr>
              <w:t>$0.00</w:t>
            </w:r>
          </w:p>
        </w:tc>
      </w:tr>
      <w:tr w:rsidR="00B704A3" w:rsidRPr="00C10065" w:rsidTr="001A4D78">
        <w:trPr>
          <w:cantSplit/>
        </w:trPr>
        <w:tc>
          <w:tcPr>
            <w:tcW w:w="679" w:type="pct"/>
            <w:shd w:val="clear" w:color="auto" w:fill="auto"/>
            <w:vAlign w:val="center"/>
          </w:tcPr>
          <w:p w:rsidR="00B37581" w:rsidRPr="00C10065" w:rsidRDefault="00B37581" w:rsidP="004E6CA2">
            <w:pPr>
              <w:widowControl/>
              <w:jc w:val="left"/>
              <w:rPr>
                <w:rFonts w:ascii="Arial Narrow" w:hAnsi="Arial Narrow"/>
                <w:sz w:val="20"/>
              </w:rPr>
            </w:pPr>
            <w:r w:rsidRPr="00C10065">
              <w:rPr>
                <w:rFonts w:ascii="Arial Narrow" w:hAnsi="Arial Narrow" w:cs="Times New Roman"/>
                <w:sz w:val="20"/>
              </w:rPr>
              <w:t>Reduced care costs for aged care</w:t>
            </w:r>
          </w:p>
        </w:tc>
        <w:tc>
          <w:tcPr>
            <w:tcW w:w="2323" w:type="pct"/>
            <w:vAlign w:val="center"/>
          </w:tcPr>
          <w:p w:rsidR="00B37581" w:rsidRPr="00C10065" w:rsidRDefault="00B37581" w:rsidP="004E6CA2">
            <w:pPr>
              <w:widowControl/>
              <w:jc w:val="left"/>
              <w:rPr>
                <w:rFonts w:ascii="Arial Narrow" w:hAnsi="Arial Narrow" w:cs="Times New Roman"/>
                <w:sz w:val="20"/>
              </w:rPr>
            </w:pPr>
            <w:r w:rsidRPr="00C10065">
              <w:rPr>
                <w:rFonts w:ascii="Arial Narrow" w:hAnsi="Arial Narrow"/>
                <w:sz w:val="20"/>
                <w:u w:val="single"/>
              </w:rPr>
              <w:t>Evaluation</w:t>
            </w:r>
            <w:r w:rsidRPr="00C10065">
              <w:rPr>
                <w:rFonts w:ascii="Arial Narrow" w:hAnsi="Arial Narrow"/>
                <w:sz w:val="20"/>
              </w:rPr>
              <w:t xml:space="preserve">: </w:t>
            </w:r>
            <w:r w:rsidRPr="00C10065">
              <w:rPr>
                <w:rFonts w:ascii="Arial Narrow" w:hAnsi="Arial Narrow"/>
                <w:sz w:val="20"/>
                <w:szCs w:val="20"/>
              </w:rPr>
              <w:t>Claim</w:t>
            </w:r>
            <w:r w:rsidR="00F566C0" w:rsidRPr="00C10065">
              <w:rPr>
                <w:rFonts w:ascii="Arial Narrow" w:hAnsi="Arial Narrow"/>
                <w:sz w:val="20"/>
                <w:szCs w:val="20"/>
              </w:rPr>
              <w:t>ed</w:t>
            </w:r>
            <w:r w:rsidRPr="00C10065">
              <w:rPr>
                <w:rFonts w:ascii="Arial Narrow" w:hAnsi="Arial Narrow"/>
                <w:sz w:val="20"/>
                <w:szCs w:val="20"/>
              </w:rPr>
              <w:t xml:space="preserve"> that due to the reduced frequency of administration required for exenatide once weekly compared to </w:t>
            </w:r>
            <w:r w:rsidR="00F566C0" w:rsidRPr="00C10065">
              <w:rPr>
                <w:rFonts w:ascii="Arial Narrow" w:hAnsi="Arial Narrow"/>
                <w:sz w:val="20"/>
                <w:szCs w:val="20"/>
              </w:rPr>
              <w:t>exenatide twice daily there would</w:t>
            </w:r>
            <w:r w:rsidRPr="00C10065">
              <w:rPr>
                <w:rFonts w:ascii="Arial Narrow" w:hAnsi="Arial Narrow"/>
                <w:sz w:val="20"/>
                <w:szCs w:val="20"/>
              </w:rPr>
              <w:t xml:space="preserve"> be lower costs for patients in residential aged care.</w:t>
            </w:r>
            <w:r w:rsidR="007578A8" w:rsidRPr="00C10065">
              <w:rPr>
                <w:rFonts w:ascii="Arial Narrow" w:hAnsi="Arial Narrow"/>
                <w:sz w:val="20"/>
                <w:szCs w:val="20"/>
              </w:rPr>
              <w:t xml:space="preserve"> </w:t>
            </w:r>
            <w:r w:rsidRPr="00C10065">
              <w:rPr>
                <w:rFonts w:ascii="Arial Narrow" w:hAnsi="Arial Narrow" w:cs="Times New Roman"/>
                <w:sz w:val="20"/>
              </w:rPr>
              <w:t>Likely to be an overestimate given assumptions made regarding patients with co</w:t>
            </w:r>
            <w:r w:rsidR="00B704A3" w:rsidRPr="00C10065">
              <w:rPr>
                <w:rFonts w:ascii="Arial Narrow" w:hAnsi="Arial Narrow" w:cs="Times New Roman"/>
                <w:sz w:val="20"/>
              </w:rPr>
              <w:noBreakHyphen/>
            </w:r>
            <w:r w:rsidRPr="00C10065">
              <w:rPr>
                <w:rFonts w:ascii="Arial Narrow" w:hAnsi="Arial Narrow" w:cs="Times New Roman"/>
                <w:sz w:val="20"/>
              </w:rPr>
              <w:t>morbidities.</w:t>
            </w:r>
          </w:p>
          <w:p w:rsidR="00B37581" w:rsidRPr="00C10065" w:rsidRDefault="00B37581" w:rsidP="004E6CA2">
            <w:pPr>
              <w:widowControl/>
              <w:jc w:val="left"/>
              <w:rPr>
                <w:rFonts w:ascii="Arial Narrow" w:hAnsi="Arial Narrow" w:cs="Times New Roman"/>
                <w:sz w:val="20"/>
              </w:rPr>
            </w:pPr>
          </w:p>
          <w:p w:rsidR="00B37581" w:rsidRPr="00C10065" w:rsidRDefault="00B37581" w:rsidP="004E6CA2">
            <w:pPr>
              <w:widowControl/>
              <w:jc w:val="left"/>
              <w:rPr>
                <w:rFonts w:ascii="Arial Narrow" w:hAnsi="Arial Narrow" w:cs="Times New Roman"/>
                <w:sz w:val="20"/>
              </w:rPr>
            </w:pPr>
            <w:r w:rsidRPr="00C10065">
              <w:rPr>
                <w:rFonts w:ascii="Arial Narrow" w:hAnsi="Arial Narrow" w:cs="Times New Roman"/>
                <w:sz w:val="20"/>
                <w:u w:val="single"/>
              </w:rPr>
              <w:t>PSCR</w:t>
            </w:r>
            <w:r w:rsidRPr="00C10065">
              <w:rPr>
                <w:rFonts w:ascii="Arial Narrow" w:hAnsi="Arial Narrow" w:cs="Times New Roman"/>
                <w:sz w:val="20"/>
              </w:rPr>
              <w:t>: Unchanged, defer to ESC.</w:t>
            </w:r>
          </w:p>
          <w:p w:rsidR="00B37581" w:rsidRPr="00C10065" w:rsidRDefault="00B37581" w:rsidP="004E6CA2">
            <w:pPr>
              <w:widowControl/>
              <w:jc w:val="left"/>
              <w:rPr>
                <w:rFonts w:ascii="Arial Narrow" w:hAnsi="Arial Narrow" w:cs="Times New Roman"/>
                <w:sz w:val="20"/>
              </w:rPr>
            </w:pPr>
          </w:p>
          <w:p w:rsidR="00B37581" w:rsidRPr="00C10065" w:rsidRDefault="00B37581" w:rsidP="008425E3">
            <w:pPr>
              <w:widowControl/>
              <w:jc w:val="left"/>
              <w:rPr>
                <w:rFonts w:ascii="Arial Narrow" w:hAnsi="Arial Narrow" w:cs="Times New Roman"/>
                <w:sz w:val="20"/>
              </w:rPr>
            </w:pPr>
            <w:r w:rsidRPr="00C10065">
              <w:rPr>
                <w:rFonts w:ascii="Arial Narrow" w:hAnsi="Arial Narrow" w:cs="Times New Roman"/>
                <w:sz w:val="20"/>
                <w:u w:val="single"/>
              </w:rPr>
              <w:t>ESC</w:t>
            </w:r>
            <w:r w:rsidRPr="00C10065">
              <w:rPr>
                <w:rFonts w:ascii="Arial Narrow" w:hAnsi="Arial Narrow" w:cs="Times New Roman"/>
                <w:sz w:val="20"/>
              </w:rPr>
              <w:t>: The approach in t</w:t>
            </w:r>
            <w:r w:rsidR="00F566C0" w:rsidRPr="00C10065">
              <w:rPr>
                <w:rFonts w:ascii="Arial Narrow" w:hAnsi="Arial Narrow" w:cs="Times New Roman"/>
                <w:sz w:val="20"/>
              </w:rPr>
              <w:t>he submission wa</w:t>
            </w:r>
            <w:r w:rsidR="006A0BBE" w:rsidRPr="00C10065">
              <w:rPr>
                <w:rFonts w:ascii="Arial Narrow" w:hAnsi="Arial Narrow" w:cs="Times New Roman"/>
                <w:sz w:val="20"/>
              </w:rPr>
              <w:t>s likely to over</w:t>
            </w:r>
            <w:r w:rsidRPr="00C10065">
              <w:rPr>
                <w:rFonts w:ascii="Arial Narrow" w:hAnsi="Arial Narrow" w:cs="Times New Roman"/>
                <w:sz w:val="20"/>
              </w:rPr>
              <w:t>estimate the impact of weekly vs twice daily injections as patients requiring exenatide are likely to have other high care needs and this has not been accounted for</w:t>
            </w:r>
            <w:r w:rsidR="006A0BBE" w:rsidRPr="00C10065">
              <w:rPr>
                <w:rFonts w:ascii="Arial Narrow" w:hAnsi="Arial Narrow" w:cs="Times New Roman"/>
                <w:sz w:val="20"/>
              </w:rPr>
              <w:t>.</w:t>
            </w:r>
            <w:r w:rsidRPr="00C10065">
              <w:rPr>
                <w:rFonts w:ascii="Arial Narrow" w:hAnsi="Arial Narrow"/>
                <w:sz w:val="20"/>
                <w:szCs w:val="20"/>
              </w:rPr>
              <w:t xml:space="preserve"> </w:t>
            </w:r>
            <w:r w:rsidR="008425E3" w:rsidRPr="00C10065">
              <w:rPr>
                <w:rFonts w:ascii="Arial Narrow" w:hAnsi="Arial Narrow"/>
                <w:sz w:val="20"/>
                <w:szCs w:val="20"/>
              </w:rPr>
              <w:t>As this cost offset was</w:t>
            </w:r>
            <w:r w:rsidR="00D24612" w:rsidRPr="00C10065">
              <w:rPr>
                <w:rFonts w:ascii="Arial Narrow" w:hAnsi="Arial Narrow"/>
                <w:sz w:val="20"/>
                <w:szCs w:val="20"/>
              </w:rPr>
              <w:t xml:space="preserve"> not sufficiently justified, it should be removed.</w:t>
            </w:r>
          </w:p>
        </w:tc>
        <w:tc>
          <w:tcPr>
            <w:tcW w:w="499" w:type="pct"/>
            <w:vAlign w:val="center"/>
          </w:tcPr>
          <w:p w:rsidR="00B37581" w:rsidRPr="00C10065" w:rsidRDefault="00B37581" w:rsidP="004E6CA2">
            <w:pPr>
              <w:widowControl/>
              <w:ind w:left="-6" w:firstLine="6"/>
              <w:jc w:val="center"/>
              <w:rPr>
                <w:rFonts w:ascii="Arial Narrow" w:hAnsi="Arial Narrow"/>
                <w:sz w:val="20"/>
                <w:szCs w:val="20"/>
              </w:rPr>
            </w:pPr>
            <w:r w:rsidRPr="00C10065">
              <w:rPr>
                <w:rFonts w:ascii="Arial Narrow" w:hAnsi="Arial Narrow" w:cs="Times New Roman"/>
                <w:sz w:val="20"/>
              </w:rPr>
              <w:t>$</w:t>
            </w:r>
            <w:r w:rsidR="00C01A93">
              <w:rPr>
                <w:rFonts w:ascii="Arial Narrow" w:hAnsi="Arial Narrow" w:cs="Times New Roman"/>
                <w:noProof/>
                <w:color w:val="000000"/>
                <w:sz w:val="20"/>
                <w:highlight w:val="black"/>
              </w:rPr>
              <w:t>''''''''''</w:t>
            </w:r>
          </w:p>
        </w:tc>
        <w:tc>
          <w:tcPr>
            <w:tcW w:w="500" w:type="pct"/>
            <w:vAlign w:val="center"/>
          </w:tcPr>
          <w:p w:rsidR="00B37581" w:rsidRPr="00C10065" w:rsidRDefault="00B37581" w:rsidP="004E6CA2">
            <w:pPr>
              <w:widowControl/>
              <w:ind w:left="-6" w:firstLine="6"/>
              <w:jc w:val="center"/>
              <w:rPr>
                <w:rFonts w:ascii="Arial Narrow" w:hAnsi="Arial Narrow"/>
                <w:sz w:val="20"/>
                <w:szCs w:val="20"/>
              </w:rPr>
            </w:pPr>
            <w:r w:rsidRPr="00C10065">
              <w:rPr>
                <w:rFonts w:ascii="Arial Narrow" w:hAnsi="Arial Narrow" w:cs="Times New Roman"/>
                <w:sz w:val="20"/>
              </w:rPr>
              <w:t>$</w:t>
            </w:r>
            <w:r w:rsidR="00C01A93">
              <w:rPr>
                <w:rFonts w:ascii="Arial Narrow" w:hAnsi="Arial Narrow" w:cs="Times New Roman"/>
                <w:noProof/>
                <w:color w:val="000000"/>
                <w:sz w:val="20"/>
                <w:highlight w:val="black"/>
              </w:rPr>
              <w:t>'''''''''''</w:t>
            </w:r>
          </w:p>
        </w:tc>
        <w:tc>
          <w:tcPr>
            <w:tcW w:w="499" w:type="pct"/>
            <w:vAlign w:val="center"/>
          </w:tcPr>
          <w:p w:rsidR="00B37581" w:rsidRPr="00C10065" w:rsidRDefault="00B37581" w:rsidP="004E6CA2">
            <w:pPr>
              <w:widowControl/>
              <w:ind w:left="-6" w:firstLine="6"/>
              <w:jc w:val="center"/>
              <w:rPr>
                <w:rFonts w:ascii="Arial Narrow" w:hAnsi="Arial Narrow" w:cs="Times New Roman"/>
                <w:sz w:val="20"/>
              </w:rPr>
            </w:pPr>
            <w:r w:rsidRPr="00C10065">
              <w:rPr>
                <w:rFonts w:ascii="Arial Narrow" w:hAnsi="Arial Narrow"/>
                <w:sz w:val="20"/>
              </w:rPr>
              <w:t>$</w:t>
            </w:r>
            <w:r w:rsidR="00C01A93">
              <w:rPr>
                <w:rFonts w:ascii="Arial Narrow" w:hAnsi="Arial Narrow"/>
                <w:noProof/>
                <w:color w:val="000000"/>
                <w:sz w:val="20"/>
                <w:highlight w:val="black"/>
              </w:rPr>
              <w:t>'''''''''''</w:t>
            </w:r>
          </w:p>
        </w:tc>
        <w:tc>
          <w:tcPr>
            <w:tcW w:w="499" w:type="pct"/>
            <w:vAlign w:val="center"/>
          </w:tcPr>
          <w:p w:rsidR="00B37581" w:rsidRPr="00C10065" w:rsidRDefault="00B37581" w:rsidP="004E6CA2">
            <w:pPr>
              <w:widowControl/>
              <w:ind w:left="-6" w:firstLine="6"/>
              <w:jc w:val="center"/>
              <w:rPr>
                <w:rFonts w:ascii="Arial Narrow" w:hAnsi="Arial Narrow" w:cs="Times New Roman"/>
                <w:sz w:val="20"/>
              </w:rPr>
            </w:pPr>
            <w:r w:rsidRPr="00C10065">
              <w:rPr>
                <w:rFonts w:ascii="Arial Narrow" w:hAnsi="Arial Narrow"/>
                <w:sz w:val="20"/>
              </w:rPr>
              <w:t>$</w:t>
            </w:r>
            <w:r w:rsidR="00C01A93">
              <w:rPr>
                <w:rFonts w:ascii="Arial Narrow" w:hAnsi="Arial Narrow"/>
                <w:noProof/>
                <w:color w:val="000000"/>
                <w:sz w:val="20"/>
                <w:highlight w:val="black"/>
              </w:rPr>
              <w:t>''''''''''</w:t>
            </w:r>
          </w:p>
        </w:tc>
      </w:tr>
      <w:tr w:rsidR="00B704A3" w:rsidRPr="00C10065" w:rsidTr="001A4D78">
        <w:trPr>
          <w:cantSplit/>
        </w:trPr>
        <w:tc>
          <w:tcPr>
            <w:tcW w:w="679" w:type="pct"/>
            <w:shd w:val="clear" w:color="auto" w:fill="auto"/>
            <w:vAlign w:val="center"/>
          </w:tcPr>
          <w:p w:rsidR="006A0BBE" w:rsidRPr="00C10065" w:rsidRDefault="006A0BBE" w:rsidP="001F48DF">
            <w:pPr>
              <w:keepNext/>
              <w:widowControl/>
              <w:jc w:val="left"/>
              <w:rPr>
                <w:rFonts w:ascii="Arial Narrow" w:hAnsi="Arial Narrow"/>
                <w:sz w:val="20"/>
              </w:rPr>
            </w:pPr>
            <w:r w:rsidRPr="00C10065">
              <w:rPr>
                <w:rFonts w:ascii="Arial Narrow" w:hAnsi="Arial Narrow" w:cs="Times New Roman"/>
                <w:sz w:val="20"/>
              </w:rPr>
              <w:t xml:space="preserve">Reduced care costs for </w:t>
            </w:r>
            <w:r w:rsidR="001F48DF">
              <w:rPr>
                <w:rFonts w:ascii="Arial Narrow" w:hAnsi="Arial Narrow" w:cs="Times New Roman"/>
                <w:sz w:val="20"/>
              </w:rPr>
              <w:t xml:space="preserve">home </w:t>
            </w:r>
            <w:r w:rsidRPr="00C10065">
              <w:rPr>
                <w:rFonts w:ascii="Arial Narrow" w:hAnsi="Arial Narrow" w:cs="Times New Roman"/>
                <w:sz w:val="20"/>
              </w:rPr>
              <w:t>nursing visits</w:t>
            </w:r>
          </w:p>
        </w:tc>
        <w:tc>
          <w:tcPr>
            <w:tcW w:w="2323" w:type="pct"/>
            <w:vAlign w:val="center"/>
          </w:tcPr>
          <w:p w:rsidR="006A0BBE" w:rsidRPr="00C10065" w:rsidRDefault="006A0BBE" w:rsidP="004E6CA2">
            <w:pPr>
              <w:keepNext/>
              <w:widowControl/>
              <w:jc w:val="left"/>
              <w:rPr>
                <w:rFonts w:ascii="Arial Narrow" w:hAnsi="Arial Narrow" w:cs="Times New Roman"/>
                <w:sz w:val="20"/>
              </w:rPr>
            </w:pPr>
            <w:r w:rsidRPr="00C10065">
              <w:rPr>
                <w:rFonts w:ascii="Arial Narrow" w:hAnsi="Arial Narrow"/>
                <w:sz w:val="20"/>
                <w:u w:val="single"/>
              </w:rPr>
              <w:t>Evaluation</w:t>
            </w:r>
            <w:r w:rsidRPr="00C10065">
              <w:rPr>
                <w:rFonts w:ascii="Arial Narrow" w:hAnsi="Arial Narrow"/>
                <w:sz w:val="20"/>
              </w:rPr>
              <w:t xml:space="preserve">: </w:t>
            </w:r>
            <w:r w:rsidRPr="00C10065">
              <w:rPr>
                <w:rFonts w:ascii="Arial Narrow" w:hAnsi="Arial Narrow"/>
                <w:sz w:val="20"/>
                <w:szCs w:val="20"/>
              </w:rPr>
              <w:t>Claim</w:t>
            </w:r>
            <w:r w:rsidR="008425E3" w:rsidRPr="00C10065">
              <w:rPr>
                <w:rFonts w:ascii="Arial Narrow" w:hAnsi="Arial Narrow"/>
                <w:sz w:val="20"/>
                <w:szCs w:val="20"/>
              </w:rPr>
              <w:t>ed</w:t>
            </w:r>
            <w:r w:rsidRPr="00C10065">
              <w:rPr>
                <w:rFonts w:ascii="Arial Narrow" w:hAnsi="Arial Narrow"/>
                <w:sz w:val="20"/>
                <w:szCs w:val="20"/>
              </w:rPr>
              <w:t xml:space="preserve"> that since exenatide once weekly needs to be dosed less frequently than exenatide twice daily this will reduce the frequency of home nursing visits for patients in the community with T2DM.</w:t>
            </w:r>
            <w:r w:rsidR="007578A8" w:rsidRPr="00C10065">
              <w:rPr>
                <w:rFonts w:ascii="Arial Narrow" w:hAnsi="Arial Narrow"/>
                <w:sz w:val="20"/>
                <w:szCs w:val="20"/>
              </w:rPr>
              <w:t xml:space="preserve"> </w:t>
            </w:r>
            <w:r w:rsidRPr="00C10065">
              <w:rPr>
                <w:rFonts w:ascii="Arial Narrow" w:hAnsi="Arial Narrow" w:cs="Times New Roman"/>
                <w:sz w:val="20"/>
              </w:rPr>
              <w:t>Home nursin</w:t>
            </w:r>
            <w:r w:rsidR="008425E3" w:rsidRPr="00C10065">
              <w:rPr>
                <w:rFonts w:ascii="Arial Narrow" w:hAnsi="Arial Narrow" w:cs="Times New Roman"/>
                <w:sz w:val="20"/>
              </w:rPr>
              <w:t>g visits for non-insulin users we</w:t>
            </w:r>
            <w:r w:rsidRPr="00C10065">
              <w:rPr>
                <w:rFonts w:ascii="Arial Narrow" w:hAnsi="Arial Narrow" w:cs="Times New Roman"/>
                <w:sz w:val="20"/>
              </w:rPr>
              <w:t xml:space="preserve">re not </w:t>
            </w:r>
            <w:r w:rsidR="008425E3" w:rsidRPr="00C10065">
              <w:rPr>
                <w:rFonts w:ascii="Arial Narrow" w:hAnsi="Arial Narrow" w:cs="Times New Roman"/>
                <w:sz w:val="20"/>
              </w:rPr>
              <w:t xml:space="preserve">considered </w:t>
            </w:r>
            <w:r w:rsidRPr="00C10065">
              <w:rPr>
                <w:rFonts w:ascii="Arial Narrow" w:hAnsi="Arial Narrow" w:cs="Times New Roman"/>
                <w:sz w:val="20"/>
              </w:rPr>
              <w:t>a reasonable proxy for exenatide once weekly.</w:t>
            </w:r>
            <w:r w:rsidR="007578A8" w:rsidRPr="00C10065">
              <w:rPr>
                <w:rFonts w:ascii="Arial Narrow" w:hAnsi="Arial Narrow" w:cs="Times New Roman"/>
                <w:sz w:val="20"/>
              </w:rPr>
              <w:t xml:space="preserve"> </w:t>
            </w:r>
            <w:r w:rsidRPr="00C10065">
              <w:rPr>
                <w:rFonts w:ascii="Arial Narrow" w:hAnsi="Arial Narrow" w:cs="Times New Roman"/>
                <w:sz w:val="20"/>
              </w:rPr>
              <w:t>Consequently there was no basis for assuming that home visits will differ between the patients using twice daily versus once weekly exenatide.</w:t>
            </w:r>
          </w:p>
          <w:p w:rsidR="006A0BBE" w:rsidRPr="00C10065" w:rsidRDefault="006A0BBE" w:rsidP="004E6CA2">
            <w:pPr>
              <w:keepNext/>
              <w:widowControl/>
              <w:jc w:val="left"/>
              <w:rPr>
                <w:rFonts w:ascii="Arial Narrow" w:hAnsi="Arial Narrow" w:cs="Times New Roman"/>
                <w:sz w:val="20"/>
              </w:rPr>
            </w:pPr>
          </w:p>
          <w:p w:rsidR="006A0BBE" w:rsidRPr="00C10065" w:rsidRDefault="006A0BBE" w:rsidP="004E6CA2">
            <w:pPr>
              <w:widowControl/>
              <w:ind w:left="-6" w:firstLine="6"/>
              <w:jc w:val="left"/>
              <w:rPr>
                <w:rFonts w:ascii="Arial Narrow" w:hAnsi="Arial Narrow" w:cs="Times New Roman"/>
                <w:sz w:val="20"/>
              </w:rPr>
            </w:pPr>
            <w:r w:rsidRPr="00C10065">
              <w:rPr>
                <w:rFonts w:ascii="Arial Narrow" w:hAnsi="Arial Narrow" w:cs="Times New Roman"/>
                <w:sz w:val="20"/>
                <w:u w:val="single"/>
              </w:rPr>
              <w:t>PSCR</w:t>
            </w:r>
            <w:r w:rsidRPr="00C10065">
              <w:rPr>
                <w:rFonts w:ascii="Arial Narrow" w:hAnsi="Arial Narrow" w:cs="Times New Roman"/>
                <w:sz w:val="20"/>
              </w:rPr>
              <w:t xml:space="preserve">: </w:t>
            </w:r>
            <w:r w:rsidR="008425E3" w:rsidRPr="00C10065">
              <w:rPr>
                <w:rFonts w:ascii="Arial Narrow" w:hAnsi="Arial Narrow"/>
                <w:sz w:val="20"/>
              </w:rPr>
              <w:t>The basis of the claim wa</w:t>
            </w:r>
            <w:r w:rsidRPr="00C10065">
              <w:rPr>
                <w:rFonts w:ascii="Arial Narrow" w:hAnsi="Arial Narrow"/>
                <w:sz w:val="20"/>
              </w:rPr>
              <w:t xml:space="preserve">s that exenatide twice daily users </w:t>
            </w:r>
            <w:r w:rsidR="008425E3" w:rsidRPr="00C10065">
              <w:rPr>
                <w:rFonts w:ascii="Arial Narrow" w:hAnsi="Arial Narrow"/>
                <w:sz w:val="20"/>
              </w:rPr>
              <w:t>would have more visits. The offset wa</w:t>
            </w:r>
            <w:r w:rsidRPr="00C10065">
              <w:rPr>
                <w:rFonts w:ascii="Arial Narrow" w:hAnsi="Arial Narrow"/>
                <w:sz w:val="20"/>
              </w:rPr>
              <w:t>s $</w:t>
            </w:r>
            <w:r w:rsidR="00C01A93">
              <w:rPr>
                <w:rFonts w:ascii="Arial Narrow" w:hAnsi="Arial Narrow"/>
                <w:noProof/>
                <w:color w:val="000000"/>
                <w:sz w:val="20"/>
                <w:highlight w:val="black"/>
              </w:rPr>
              <w:t>''''''</w:t>
            </w:r>
            <w:r w:rsidRPr="00423435">
              <w:rPr>
                <w:rFonts w:ascii="Arial Narrow" w:hAnsi="Arial Narrow"/>
                <w:sz w:val="20"/>
              </w:rPr>
              <w:t xml:space="preserve"> </w:t>
            </w:r>
            <w:r w:rsidRPr="00C10065">
              <w:rPr>
                <w:rFonts w:ascii="Arial Narrow" w:hAnsi="Arial Narrow"/>
                <w:sz w:val="20"/>
              </w:rPr>
              <w:t>per year (less than one visit) which</w:t>
            </w:r>
            <w:r w:rsidR="008425E3" w:rsidRPr="00C10065">
              <w:rPr>
                <w:rFonts w:ascii="Arial Narrow" w:hAnsi="Arial Narrow"/>
                <w:sz w:val="20"/>
              </w:rPr>
              <w:t xml:space="preserve"> wa</w:t>
            </w:r>
            <w:r w:rsidRPr="00C10065">
              <w:rPr>
                <w:rFonts w:ascii="Arial Narrow" w:hAnsi="Arial Narrow"/>
                <w:sz w:val="20"/>
              </w:rPr>
              <w:t xml:space="preserve">s entirely reasonable given there are 678 fewer injections per year with </w:t>
            </w:r>
            <w:r w:rsidR="00F566C0" w:rsidRPr="00C10065">
              <w:rPr>
                <w:rFonts w:ascii="Arial Narrow" w:hAnsi="Arial Narrow" w:cs="Times New Roman"/>
                <w:sz w:val="20"/>
              </w:rPr>
              <w:t>once weekly exenatide</w:t>
            </w:r>
            <w:r w:rsidRPr="00C10065">
              <w:rPr>
                <w:rFonts w:ascii="Arial Narrow" w:hAnsi="Arial Narrow"/>
                <w:sz w:val="20"/>
              </w:rPr>
              <w:t xml:space="preserve">. </w:t>
            </w:r>
            <w:r w:rsidR="005F3985" w:rsidRPr="00C10065">
              <w:rPr>
                <w:rFonts w:ascii="Arial Narrow" w:hAnsi="Arial Narrow" w:cs="Times New Roman"/>
                <w:sz w:val="20"/>
              </w:rPr>
              <w:t>Request unchanged.</w:t>
            </w:r>
          </w:p>
          <w:p w:rsidR="006A0BBE" w:rsidRPr="00C10065" w:rsidRDefault="006A0BBE" w:rsidP="004E6CA2">
            <w:pPr>
              <w:widowControl/>
              <w:ind w:left="-6" w:firstLine="6"/>
              <w:jc w:val="left"/>
              <w:rPr>
                <w:rFonts w:ascii="Arial Narrow" w:hAnsi="Arial Narrow"/>
                <w:sz w:val="20"/>
              </w:rPr>
            </w:pPr>
          </w:p>
          <w:p w:rsidR="006A0BBE" w:rsidRPr="00C10065" w:rsidRDefault="006A0BBE" w:rsidP="004E6CA2">
            <w:pPr>
              <w:widowControl/>
              <w:ind w:left="-6" w:firstLine="6"/>
              <w:jc w:val="left"/>
              <w:rPr>
                <w:rFonts w:ascii="Arial Narrow" w:hAnsi="Arial Narrow"/>
                <w:sz w:val="20"/>
              </w:rPr>
            </w:pPr>
            <w:r w:rsidRPr="00C10065">
              <w:rPr>
                <w:rFonts w:ascii="Arial Narrow" w:hAnsi="Arial Narrow"/>
                <w:sz w:val="20"/>
                <w:u w:val="single"/>
              </w:rPr>
              <w:t>ESC</w:t>
            </w:r>
            <w:r w:rsidRPr="00C10065">
              <w:rPr>
                <w:rFonts w:ascii="Arial Narrow" w:hAnsi="Arial Narrow"/>
                <w:sz w:val="20"/>
              </w:rPr>
              <w:t>: T</w:t>
            </w:r>
            <w:r w:rsidR="008425E3" w:rsidRPr="00C10065">
              <w:rPr>
                <w:rFonts w:ascii="Arial Narrow" w:hAnsi="Arial Narrow"/>
                <w:sz w:val="20"/>
              </w:rPr>
              <w:t>his wa</w:t>
            </w:r>
            <w:r w:rsidRPr="00C10065">
              <w:rPr>
                <w:rFonts w:ascii="Arial Narrow" w:hAnsi="Arial Narrow"/>
                <w:sz w:val="20"/>
              </w:rPr>
              <w:t xml:space="preserve">s an assumption and not substantiated however </w:t>
            </w:r>
            <w:r w:rsidR="008425E3" w:rsidRPr="00C10065">
              <w:rPr>
                <w:rFonts w:ascii="Arial Narrow" w:hAnsi="Arial Narrow"/>
                <w:sz w:val="20"/>
              </w:rPr>
              <w:t xml:space="preserve">it </w:t>
            </w:r>
            <w:r w:rsidRPr="00C10065">
              <w:rPr>
                <w:rFonts w:ascii="Arial Narrow" w:hAnsi="Arial Narrow"/>
                <w:sz w:val="20"/>
              </w:rPr>
              <w:t>may be reasonable to assume some reduction in home nursing visits (but not necessarily for the whole population).</w:t>
            </w:r>
          </w:p>
        </w:tc>
        <w:tc>
          <w:tcPr>
            <w:tcW w:w="499" w:type="pct"/>
            <w:vAlign w:val="center"/>
          </w:tcPr>
          <w:p w:rsidR="006A0BBE" w:rsidRPr="00C10065" w:rsidRDefault="006A0BBE" w:rsidP="004E6CA2">
            <w:pPr>
              <w:keepNext/>
              <w:widowControl/>
              <w:ind w:left="-6" w:firstLine="6"/>
              <w:jc w:val="center"/>
              <w:rPr>
                <w:rFonts w:ascii="Arial Narrow" w:hAnsi="Arial Narrow"/>
                <w:sz w:val="20"/>
                <w:szCs w:val="20"/>
              </w:rPr>
            </w:pPr>
            <w:r w:rsidRPr="00C10065">
              <w:rPr>
                <w:rFonts w:ascii="Arial Narrow" w:hAnsi="Arial Narrow" w:cs="Times New Roman"/>
                <w:sz w:val="20"/>
              </w:rPr>
              <w:t>$</w:t>
            </w:r>
            <w:r w:rsidR="00C01A93">
              <w:rPr>
                <w:rFonts w:ascii="Arial Narrow" w:hAnsi="Arial Narrow" w:cs="Times New Roman"/>
                <w:noProof/>
                <w:color w:val="000000"/>
                <w:sz w:val="20"/>
                <w:highlight w:val="black"/>
              </w:rPr>
              <w:t>''''''''''</w:t>
            </w:r>
          </w:p>
        </w:tc>
        <w:tc>
          <w:tcPr>
            <w:tcW w:w="500" w:type="pct"/>
            <w:vAlign w:val="center"/>
          </w:tcPr>
          <w:p w:rsidR="006A0BBE" w:rsidRPr="00C10065" w:rsidRDefault="006A0BBE" w:rsidP="004E6CA2">
            <w:pPr>
              <w:keepNext/>
              <w:widowControl/>
              <w:ind w:left="-6" w:firstLine="6"/>
              <w:jc w:val="center"/>
              <w:rPr>
                <w:rFonts w:ascii="Arial Narrow" w:hAnsi="Arial Narrow"/>
                <w:sz w:val="20"/>
                <w:szCs w:val="20"/>
              </w:rPr>
            </w:pPr>
            <w:r w:rsidRPr="00C10065">
              <w:rPr>
                <w:rFonts w:ascii="Arial Narrow" w:hAnsi="Arial Narrow" w:cs="Times New Roman"/>
                <w:sz w:val="20"/>
              </w:rPr>
              <w:t>$</w:t>
            </w:r>
            <w:r w:rsidR="00C01A93">
              <w:rPr>
                <w:rFonts w:ascii="Arial Narrow" w:hAnsi="Arial Narrow" w:cs="Times New Roman"/>
                <w:noProof/>
                <w:color w:val="000000"/>
                <w:sz w:val="20"/>
                <w:highlight w:val="black"/>
              </w:rPr>
              <w:t>''''''''''</w:t>
            </w:r>
          </w:p>
        </w:tc>
        <w:tc>
          <w:tcPr>
            <w:tcW w:w="499" w:type="pct"/>
            <w:vAlign w:val="center"/>
          </w:tcPr>
          <w:p w:rsidR="006A0BBE" w:rsidRPr="00C10065" w:rsidRDefault="006A0BBE" w:rsidP="004E6CA2">
            <w:pPr>
              <w:keepNext/>
              <w:widowControl/>
              <w:ind w:left="-6" w:firstLine="6"/>
              <w:jc w:val="center"/>
              <w:rPr>
                <w:rFonts w:ascii="Arial Narrow" w:hAnsi="Arial Narrow" w:cs="Times New Roman"/>
                <w:sz w:val="20"/>
              </w:rPr>
            </w:pPr>
            <w:r w:rsidRPr="00C10065">
              <w:rPr>
                <w:rFonts w:ascii="Arial Narrow" w:hAnsi="Arial Narrow"/>
                <w:sz w:val="20"/>
              </w:rPr>
              <w:t>$</w:t>
            </w:r>
            <w:r w:rsidR="00C01A93">
              <w:rPr>
                <w:rFonts w:ascii="Arial Narrow" w:hAnsi="Arial Narrow"/>
                <w:noProof/>
                <w:color w:val="000000"/>
                <w:sz w:val="20"/>
                <w:highlight w:val="black"/>
              </w:rPr>
              <w:t>'''''''''''</w:t>
            </w:r>
          </w:p>
        </w:tc>
        <w:tc>
          <w:tcPr>
            <w:tcW w:w="499" w:type="pct"/>
            <w:vAlign w:val="center"/>
          </w:tcPr>
          <w:p w:rsidR="006A0BBE" w:rsidRPr="00C10065" w:rsidRDefault="006A0BBE" w:rsidP="004E6CA2">
            <w:pPr>
              <w:keepNext/>
              <w:widowControl/>
              <w:ind w:left="-6" w:firstLine="6"/>
              <w:jc w:val="center"/>
              <w:rPr>
                <w:rFonts w:ascii="Arial Narrow" w:hAnsi="Arial Narrow" w:cs="Times New Roman"/>
                <w:sz w:val="20"/>
              </w:rPr>
            </w:pPr>
            <w:r w:rsidRPr="00C10065">
              <w:rPr>
                <w:rFonts w:ascii="Arial Narrow" w:hAnsi="Arial Narrow"/>
                <w:sz w:val="20"/>
              </w:rPr>
              <w:t>$</w:t>
            </w:r>
            <w:r w:rsidR="00C01A93">
              <w:rPr>
                <w:rFonts w:ascii="Arial Narrow" w:hAnsi="Arial Narrow"/>
                <w:noProof/>
                <w:color w:val="000000"/>
                <w:sz w:val="20"/>
                <w:highlight w:val="black"/>
              </w:rPr>
              <w:t>''''''''''</w:t>
            </w:r>
          </w:p>
        </w:tc>
      </w:tr>
      <w:tr w:rsidR="00B704A3" w:rsidRPr="00C10065" w:rsidTr="001A4D78">
        <w:trPr>
          <w:cantSplit/>
        </w:trPr>
        <w:tc>
          <w:tcPr>
            <w:tcW w:w="679" w:type="pct"/>
            <w:shd w:val="clear" w:color="auto" w:fill="auto"/>
            <w:vAlign w:val="center"/>
          </w:tcPr>
          <w:p w:rsidR="006A0BBE" w:rsidRPr="00C10065" w:rsidRDefault="006A0BBE" w:rsidP="004E6CA2">
            <w:pPr>
              <w:keepNext/>
              <w:widowControl/>
              <w:jc w:val="left"/>
              <w:rPr>
                <w:rFonts w:ascii="Arial Narrow" w:hAnsi="Arial Narrow"/>
                <w:sz w:val="20"/>
              </w:rPr>
            </w:pPr>
            <w:r w:rsidRPr="00C10065">
              <w:rPr>
                <w:rFonts w:ascii="Arial Narrow" w:hAnsi="Arial Narrow" w:cs="Times New Roman"/>
                <w:sz w:val="20"/>
              </w:rPr>
              <w:t>Avoidance of the need to up-titrate</w:t>
            </w:r>
          </w:p>
        </w:tc>
        <w:tc>
          <w:tcPr>
            <w:tcW w:w="2323" w:type="pct"/>
            <w:vAlign w:val="center"/>
          </w:tcPr>
          <w:p w:rsidR="006A0BBE" w:rsidRPr="00C10065" w:rsidRDefault="006A0BBE" w:rsidP="004E6CA2">
            <w:pPr>
              <w:keepNext/>
              <w:widowControl/>
              <w:jc w:val="left"/>
              <w:rPr>
                <w:rFonts w:ascii="Arial Narrow" w:hAnsi="Arial Narrow" w:cs="Times New Roman"/>
                <w:sz w:val="20"/>
              </w:rPr>
            </w:pPr>
            <w:r w:rsidRPr="00C10065">
              <w:rPr>
                <w:rFonts w:ascii="Arial Narrow" w:hAnsi="Arial Narrow"/>
                <w:sz w:val="20"/>
                <w:u w:val="single"/>
              </w:rPr>
              <w:t>Evaluation</w:t>
            </w:r>
            <w:r w:rsidRPr="00C10065">
              <w:rPr>
                <w:rFonts w:ascii="Arial Narrow" w:hAnsi="Arial Narrow"/>
                <w:sz w:val="20"/>
              </w:rPr>
              <w:t>: Patients using exenatide twice daily require up-titration</w:t>
            </w:r>
            <w:r w:rsidR="008425E3" w:rsidRPr="00C10065">
              <w:rPr>
                <w:rFonts w:ascii="Arial Narrow" w:hAnsi="Arial Narrow"/>
                <w:sz w:val="20"/>
              </w:rPr>
              <w:t>; re-submission assumed this would</w:t>
            </w:r>
            <w:r w:rsidRPr="00C10065">
              <w:rPr>
                <w:rFonts w:ascii="Arial Narrow" w:hAnsi="Arial Narrow"/>
                <w:sz w:val="20"/>
              </w:rPr>
              <w:t xml:space="preserve"> not occur with exenatide once weekly.</w:t>
            </w:r>
            <w:r w:rsidR="007578A8" w:rsidRPr="00C10065">
              <w:rPr>
                <w:rFonts w:ascii="Arial Narrow" w:hAnsi="Arial Narrow"/>
                <w:sz w:val="20"/>
              </w:rPr>
              <w:t xml:space="preserve"> </w:t>
            </w:r>
            <w:r w:rsidR="008425E3" w:rsidRPr="00C10065">
              <w:rPr>
                <w:rFonts w:ascii="Arial Narrow" w:hAnsi="Arial Narrow" w:cs="Times New Roman"/>
                <w:sz w:val="20"/>
              </w:rPr>
              <w:t>It wa</w:t>
            </w:r>
            <w:r w:rsidRPr="00C10065">
              <w:rPr>
                <w:rFonts w:ascii="Arial Narrow" w:hAnsi="Arial Narrow" w:cs="Times New Roman"/>
                <w:sz w:val="20"/>
              </w:rPr>
              <w:t>s not clear that an additional GP consultation would be required for up-titration.</w:t>
            </w:r>
          </w:p>
          <w:p w:rsidR="006A0BBE" w:rsidRPr="00C10065" w:rsidRDefault="006A0BBE" w:rsidP="004E6CA2">
            <w:pPr>
              <w:keepNext/>
              <w:widowControl/>
              <w:jc w:val="left"/>
              <w:rPr>
                <w:rFonts w:ascii="Arial Narrow" w:hAnsi="Arial Narrow" w:cs="Times New Roman"/>
                <w:sz w:val="20"/>
              </w:rPr>
            </w:pPr>
          </w:p>
          <w:p w:rsidR="006A0BBE" w:rsidRPr="00C10065" w:rsidRDefault="006A0BBE" w:rsidP="004E6CA2">
            <w:pPr>
              <w:keepNext/>
              <w:widowControl/>
              <w:jc w:val="left"/>
              <w:rPr>
                <w:rFonts w:ascii="Arial Narrow" w:hAnsi="Arial Narrow" w:cs="Times New Roman"/>
                <w:sz w:val="20"/>
              </w:rPr>
            </w:pPr>
            <w:r w:rsidRPr="00C10065">
              <w:rPr>
                <w:rFonts w:ascii="Arial Narrow" w:hAnsi="Arial Narrow" w:cs="Times New Roman"/>
                <w:sz w:val="20"/>
                <w:u w:val="single"/>
              </w:rPr>
              <w:t>PSCR</w:t>
            </w:r>
            <w:r w:rsidRPr="00C10065">
              <w:rPr>
                <w:rFonts w:ascii="Arial Narrow" w:hAnsi="Arial Narrow" w:cs="Times New Roman"/>
                <w:sz w:val="20"/>
              </w:rPr>
              <w:t>: Unchanged, defer to ESC.</w:t>
            </w:r>
          </w:p>
          <w:p w:rsidR="006A0BBE" w:rsidRPr="00C10065" w:rsidRDefault="006A0BBE" w:rsidP="004E6CA2">
            <w:pPr>
              <w:keepNext/>
              <w:widowControl/>
              <w:jc w:val="left"/>
              <w:rPr>
                <w:rFonts w:ascii="Arial Narrow" w:hAnsi="Arial Narrow" w:cs="Times New Roman"/>
                <w:sz w:val="20"/>
              </w:rPr>
            </w:pPr>
          </w:p>
          <w:p w:rsidR="006A0BBE" w:rsidRPr="00C10065" w:rsidRDefault="006A0BBE" w:rsidP="008425E3">
            <w:pPr>
              <w:keepNext/>
              <w:widowControl/>
              <w:jc w:val="left"/>
              <w:rPr>
                <w:rFonts w:ascii="Arial Narrow" w:hAnsi="Arial Narrow"/>
                <w:sz w:val="20"/>
              </w:rPr>
            </w:pPr>
            <w:r w:rsidRPr="00C10065">
              <w:rPr>
                <w:rFonts w:ascii="Arial Narrow" w:hAnsi="Arial Narrow" w:cs="Times New Roman"/>
                <w:sz w:val="20"/>
                <w:u w:val="single"/>
              </w:rPr>
              <w:t>ESC</w:t>
            </w:r>
            <w:r w:rsidRPr="00C10065">
              <w:rPr>
                <w:rFonts w:ascii="Arial Narrow" w:hAnsi="Arial Narrow" w:cs="Times New Roman"/>
                <w:sz w:val="20"/>
              </w:rPr>
              <w:t xml:space="preserve">: </w:t>
            </w:r>
            <w:r w:rsidR="008425E3" w:rsidRPr="00C10065">
              <w:rPr>
                <w:rFonts w:ascii="Arial Narrow" w:hAnsi="Arial Narrow"/>
                <w:sz w:val="20"/>
                <w:szCs w:val="20"/>
              </w:rPr>
              <w:t>As this cost offset was</w:t>
            </w:r>
            <w:r w:rsidR="00D24612" w:rsidRPr="00C10065">
              <w:rPr>
                <w:rFonts w:ascii="Arial Narrow" w:hAnsi="Arial Narrow"/>
                <w:sz w:val="20"/>
                <w:szCs w:val="20"/>
              </w:rPr>
              <w:t xml:space="preserve"> not sufficiently justified, it should be removed.</w:t>
            </w:r>
          </w:p>
        </w:tc>
        <w:tc>
          <w:tcPr>
            <w:tcW w:w="499" w:type="pct"/>
            <w:vAlign w:val="center"/>
          </w:tcPr>
          <w:p w:rsidR="006A0BBE" w:rsidRPr="00C10065" w:rsidRDefault="006A0BBE" w:rsidP="004E6CA2">
            <w:pPr>
              <w:keepNext/>
              <w:widowControl/>
              <w:ind w:left="-6" w:firstLine="6"/>
              <w:jc w:val="center"/>
              <w:rPr>
                <w:rFonts w:ascii="Arial Narrow" w:hAnsi="Arial Narrow"/>
                <w:sz w:val="20"/>
              </w:rPr>
            </w:pPr>
            <w:r w:rsidRPr="00C10065">
              <w:rPr>
                <w:rFonts w:ascii="Arial Narrow" w:hAnsi="Arial Narrow" w:cs="Times New Roman"/>
                <w:sz w:val="20"/>
              </w:rPr>
              <w:t>$</w:t>
            </w:r>
            <w:r w:rsidR="00C01A93">
              <w:rPr>
                <w:rFonts w:ascii="Arial Narrow" w:hAnsi="Arial Narrow" w:cs="Times New Roman"/>
                <w:noProof/>
                <w:color w:val="000000"/>
                <w:sz w:val="20"/>
                <w:highlight w:val="black"/>
              </w:rPr>
              <w:t>'''''''''''</w:t>
            </w:r>
          </w:p>
        </w:tc>
        <w:tc>
          <w:tcPr>
            <w:tcW w:w="500" w:type="pct"/>
            <w:vAlign w:val="center"/>
          </w:tcPr>
          <w:p w:rsidR="006A0BBE" w:rsidRPr="00C10065" w:rsidRDefault="006A0BBE" w:rsidP="004E6CA2">
            <w:pPr>
              <w:keepNext/>
              <w:widowControl/>
              <w:ind w:left="-6" w:firstLine="6"/>
              <w:jc w:val="center"/>
              <w:rPr>
                <w:rFonts w:ascii="Arial Narrow" w:hAnsi="Arial Narrow"/>
                <w:sz w:val="20"/>
              </w:rPr>
            </w:pPr>
            <w:r w:rsidRPr="00C10065">
              <w:rPr>
                <w:rFonts w:ascii="Arial Narrow" w:hAnsi="Arial Narrow" w:cs="Times New Roman"/>
                <w:sz w:val="20"/>
              </w:rPr>
              <w:t>$</w:t>
            </w:r>
            <w:r w:rsidR="00C01A93">
              <w:rPr>
                <w:rFonts w:ascii="Arial Narrow" w:hAnsi="Arial Narrow" w:cs="Times New Roman"/>
                <w:noProof/>
                <w:color w:val="000000"/>
                <w:sz w:val="20"/>
                <w:highlight w:val="black"/>
              </w:rPr>
              <w:t>''''''''''</w:t>
            </w:r>
          </w:p>
        </w:tc>
        <w:tc>
          <w:tcPr>
            <w:tcW w:w="499" w:type="pct"/>
            <w:vAlign w:val="center"/>
          </w:tcPr>
          <w:p w:rsidR="006A0BBE" w:rsidRPr="00C10065" w:rsidRDefault="006A0BBE" w:rsidP="004E6CA2">
            <w:pPr>
              <w:keepNext/>
              <w:widowControl/>
              <w:ind w:left="-6" w:firstLine="6"/>
              <w:jc w:val="center"/>
              <w:rPr>
                <w:rFonts w:ascii="Arial Narrow" w:hAnsi="Arial Narrow" w:cs="Times New Roman"/>
                <w:sz w:val="20"/>
              </w:rPr>
            </w:pPr>
            <w:r w:rsidRPr="00C10065">
              <w:rPr>
                <w:rFonts w:ascii="Arial Narrow" w:hAnsi="Arial Narrow" w:cs="Times New Roman"/>
                <w:sz w:val="20"/>
              </w:rPr>
              <w:t>$</w:t>
            </w:r>
            <w:r w:rsidR="00C01A93">
              <w:rPr>
                <w:rFonts w:ascii="Arial Narrow" w:hAnsi="Arial Narrow" w:cs="Times New Roman"/>
                <w:noProof/>
                <w:color w:val="000000"/>
                <w:sz w:val="20"/>
                <w:highlight w:val="black"/>
              </w:rPr>
              <w:t>'''''''''''</w:t>
            </w:r>
          </w:p>
        </w:tc>
        <w:tc>
          <w:tcPr>
            <w:tcW w:w="499" w:type="pct"/>
            <w:vAlign w:val="center"/>
          </w:tcPr>
          <w:p w:rsidR="006A0BBE" w:rsidRPr="00C10065" w:rsidRDefault="006A0BBE" w:rsidP="004E6CA2">
            <w:pPr>
              <w:keepNext/>
              <w:widowControl/>
              <w:ind w:left="-6" w:firstLine="6"/>
              <w:jc w:val="center"/>
              <w:rPr>
                <w:rFonts w:ascii="Arial Narrow" w:hAnsi="Arial Narrow" w:cs="Times New Roman"/>
                <w:sz w:val="20"/>
              </w:rPr>
            </w:pPr>
            <w:r w:rsidRPr="00C10065">
              <w:rPr>
                <w:rFonts w:ascii="Arial Narrow" w:hAnsi="Arial Narrow" w:cs="Times New Roman"/>
                <w:sz w:val="20"/>
              </w:rPr>
              <w:t>$</w:t>
            </w:r>
            <w:r w:rsidR="00C01A93">
              <w:rPr>
                <w:rFonts w:ascii="Arial Narrow" w:hAnsi="Arial Narrow" w:cs="Times New Roman"/>
                <w:noProof/>
                <w:color w:val="000000"/>
                <w:sz w:val="20"/>
                <w:highlight w:val="black"/>
              </w:rPr>
              <w:t>''''''''''</w:t>
            </w:r>
          </w:p>
        </w:tc>
      </w:tr>
      <w:tr w:rsidR="00B704A3" w:rsidRPr="00C10065" w:rsidTr="001A4D78">
        <w:trPr>
          <w:cantSplit/>
        </w:trPr>
        <w:tc>
          <w:tcPr>
            <w:tcW w:w="679" w:type="pct"/>
            <w:shd w:val="clear" w:color="auto" w:fill="auto"/>
            <w:vAlign w:val="center"/>
          </w:tcPr>
          <w:p w:rsidR="006A0BBE" w:rsidRPr="00C10065" w:rsidRDefault="006A0BBE" w:rsidP="004E6CA2">
            <w:pPr>
              <w:keepNext/>
              <w:widowControl/>
              <w:jc w:val="left"/>
              <w:rPr>
                <w:rFonts w:ascii="Arial Narrow" w:hAnsi="Arial Narrow"/>
                <w:sz w:val="20"/>
              </w:rPr>
            </w:pPr>
            <w:r w:rsidRPr="00C10065">
              <w:rPr>
                <w:rFonts w:ascii="Arial Narrow" w:hAnsi="Arial Narrow" w:cs="Times New Roman"/>
                <w:sz w:val="20"/>
              </w:rPr>
              <w:t>Reduced dis</w:t>
            </w:r>
            <w:r w:rsidR="005F3985" w:rsidRPr="00C10065">
              <w:rPr>
                <w:rFonts w:ascii="Arial Narrow" w:hAnsi="Arial Narrow" w:cs="Times New Roman"/>
                <w:sz w:val="20"/>
              </w:rPr>
              <w:t>-</w:t>
            </w:r>
            <w:r w:rsidRPr="00C10065">
              <w:rPr>
                <w:rFonts w:ascii="Arial Narrow" w:hAnsi="Arial Narrow" w:cs="Times New Roman"/>
                <w:sz w:val="20"/>
              </w:rPr>
              <w:t>continuations due to nausea and vomiting</w:t>
            </w:r>
          </w:p>
        </w:tc>
        <w:tc>
          <w:tcPr>
            <w:tcW w:w="2323" w:type="pct"/>
            <w:vAlign w:val="center"/>
          </w:tcPr>
          <w:p w:rsidR="006A0BBE" w:rsidRPr="00C10065" w:rsidRDefault="006A0BBE" w:rsidP="004E6CA2">
            <w:pPr>
              <w:keepNext/>
              <w:widowControl/>
              <w:jc w:val="left"/>
              <w:rPr>
                <w:rFonts w:ascii="Arial Narrow" w:hAnsi="Arial Narrow" w:cs="Times New Roman"/>
                <w:sz w:val="20"/>
                <w:szCs w:val="20"/>
              </w:rPr>
            </w:pPr>
            <w:r w:rsidRPr="00C10065">
              <w:rPr>
                <w:rFonts w:ascii="Arial Narrow" w:hAnsi="Arial Narrow"/>
                <w:sz w:val="20"/>
                <w:u w:val="single"/>
              </w:rPr>
              <w:t>E</w:t>
            </w:r>
            <w:r w:rsidR="00CD61F8" w:rsidRPr="00C10065">
              <w:rPr>
                <w:rFonts w:ascii="Arial Narrow" w:hAnsi="Arial Narrow"/>
                <w:sz w:val="20"/>
                <w:u w:val="single"/>
              </w:rPr>
              <w:t>valuation</w:t>
            </w:r>
            <w:r w:rsidR="00CD61F8" w:rsidRPr="00C10065">
              <w:rPr>
                <w:rFonts w:ascii="Arial Narrow" w:hAnsi="Arial Narrow"/>
                <w:sz w:val="20"/>
              </w:rPr>
              <w:t xml:space="preserve">: </w:t>
            </w:r>
            <w:r w:rsidRPr="00C10065">
              <w:rPr>
                <w:rFonts w:ascii="Arial Narrow" w:hAnsi="Arial Narrow"/>
                <w:sz w:val="20"/>
              </w:rPr>
              <w:t xml:space="preserve">Claim there will be </w:t>
            </w:r>
            <w:r w:rsidRPr="00C10065">
              <w:rPr>
                <w:rFonts w:ascii="Arial Narrow" w:hAnsi="Arial Narrow"/>
                <w:sz w:val="20"/>
                <w:szCs w:val="20"/>
              </w:rPr>
              <w:t>fewer discontinuations due to a reduced rate of nausea and vomiting for patients treated with exenatide once weekly compared to exenatide twice daily.</w:t>
            </w:r>
            <w:r w:rsidR="007578A8" w:rsidRPr="00C10065">
              <w:rPr>
                <w:rFonts w:ascii="Arial Narrow" w:hAnsi="Arial Narrow"/>
                <w:sz w:val="20"/>
                <w:szCs w:val="20"/>
              </w:rPr>
              <w:t xml:space="preserve"> </w:t>
            </w:r>
            <w:r w:rsidRPr="00C10065">
              <w:rPr>
                <w:rFonts w:ascii="Arial Narrow" w:hAnsi="Arial Narrow"/>
                <w:sz w:val="20"/>
                <w:szCs w:val="20"/>
              </w:rPr>
              <w:t>There was no trial-based data directly linking nausea and vomiting with discontinuation; and there was no data to support the extent and nature of the proposed additional resource use</w:t>
            </w:r>
            <w:r w:rsidRPr="00C10065">
              <w:rPr>
                <w:rFonts w:ascii="Arial Narrow" w:hAnsi="Arial Narrow" w:cs="Times New Roman"/>
                <w:sz w:val="20"/>
                <w:szCs w:val="20"/>
              </w:rPr>
              <w:t xml:space="preserve">. </w:t>
            </w:r>
          </w:p>
          <w:p w:rsidR="006A0BBE" w:rsidRPr="00C10065" w:rsidRDefault="006A0BBE" w:rsidP="004E6CA2">
            <w:pPr>
              <w:keepNext/>
              <w:widowControl/>
              <w:jc w:val="left"/>
              <w:rPr>
                <w:rFonts w:ascii="Arial Narrow" w:hAnsi="Arial Narrow" w:cs="Times New Roman"/>
                <w:sz w:val="20"/>
                <w:szCs w:val="20"/>
              </w:rPr>
            </w:pPr>
          </w:p>
          <w:p w:rsidR="006A0BBE" w:rsidRPr="00C10065" w:rsidRDefault="006A0BBE" w:rsidP="004E6CA2">
            <w:pPr>
              <w:widowControl/>
              <w:ind w:left="-6" w:firstLine="6"/>
              <w:jc w:val="left"/>
              <w:rPr>
                <w:rFonts w:ascii="Arial Narrow" w:hAnsi="Arial Narrow"/>
                <w:color w:val="000000"/>
                <w:sz w:val="20"/>
              </w:rPr>
            </w:pPr>
            <w:r w:rsidRPr="00C10065">
              <w:rPr>
                <w:rFonts w:ascii="Arial Narrow" w:hAnsi="Arial Narrow" w:cs="Times New Roman"/>
                <w:sz w:val="20"/>
                <w:szCs w:val="20"/>
                <w:u w:val="single"/>
              </w:rPr>
              <w:t>PSCR</w:t>
            </w:r>
            <w:r w:rsidRPr="00C10065">
              <w:rPr>
                <w:rFonts w:ascii="Arial Narrow" w:hAnsi="Arial Narrow" w:cs="Times New Roman"/>
                <w:sz w:val="20"/>
                <w:szCs w:val="20"/>
              </w:rPr>
              <w:t>:</w:t>
            </w:r>
            <w:r w:rsidRPr="00C10065">
              <w:rPr>
                <w:rFonts w:ascii="Arial Narrow" w:hAnsi="Arial Narrow"/>
                <w:color w:val="000000"/>
                <w:sz w:val="20"/>
              </w:rPr>
              <w:t xml:space="preserve"> Removed care plan component. Offset calculated on a pro-rata basis over 3 years.</w:t>
            </w:r>
          </w:p>
          <w:p w:rsidR="006A0BBE" w:rsidRPr="00C10065" w:rsidRDefault="006A0BBE" w:rsidP="004E6CA2">
            <w:pPr>
              <w:keepNext/>
              <w:widowControl/>
              <w:jc w:val="left"/>
              <w:rPr>
                <w:rFonts w:ascii="Arial Narrow" w:hAnsi="Arial Narrow" w:cs="Times New Roman"/>
                <w:sz w:val="20"/>
                <w:szCs w:val="20"/>
              </w:rPr>
            </w:pPr>
          </w:p>
          <w:p w:rsidR="006A0BBE" w:rsidRPr="00C10065" w:rsidRDefault="006A0BBE" w:rsidP="008425E3">
            <w:pPr>
              <w:keepNext/>
              <w:widowControl/>
              <w:jc w:val="left"/>
              <w:rPr>
                <w:rFonts w:ascii="Arial Narrow" w:hAnsi="Arial Narrow"/>
                <w:sz w:val="20"/>
              </w:rPr>
            </w:pPr>
            <w:r w:rsidRPr="00C10065">
              <w:rPr>
                <w:rFonts w:ascii="Arial Narrow" w:hAnsi="Arial Narrow" w:cs="Times New Roman"/>
                <w:sz w:val="20"/>
                <w:szCs w:val="20"/>
                <w:u w:val="single"/>
              </w:rPr>
              <w:t>ESC</w:t>
            </w:r>
            <w:r w:rsidRPr="00C10065">
              <w:rPr>
                <w:rFonts w:ascii="Arial Narrow" w:hAnsi="Arial Narrow" w:cs="Times New Roman"/>
                <w:sz w:val="20"/>
                <w:szCs w:val="20"/>
              </w:rPr>
              <w:t xml:space="preserve">: </w:t>
            </w:r>
            <w:r w:rsidR="008425E3" w:rsidRPr="00C10065">
              <w:rPr>
                <w:rFonts w:ascii="Arial Narrow" w:hAnsi="Arial Narrow"/>
                <w:sz w:val="20"/>
                <w:szCs w:val="20"/>
              </w:rPr>
              <w:t>As this cost offset w</w:t>
            </w:r>
            <w:r w:rsidR="00D24612" w:rsidRPr="00C10065">
              <w:rPr>
                <w:rFonts w:ascii="Arial Narrow" w:hAnsi="Arial Narrow"/>
                <w:sz w:val="20"/>
                <w:szCs w:val="20"/>
              </w:rPr>
              <w:t>as not sufficiently justified, it should be removed.</w:t>
            </w:r>
          </w:p>
        </w:tc>
        <w:tc>
          <w:tcPr>
            <w:tcW w:w="499" w:type="pct"/>
            <w:vAlign w:val="center"/>
          </w:tcPr>
          <w:p w:rsidR="006A0BBE" w:rsidRPr="00C10065" w:rsidRDefault="006A0BBE" w:rsidP="004E6CA2">
            <w:pPr>
              <w:keepNext/>
              <w:widowControl/>
              <w:ind w:left="-6" w:firstLine="6"/>
              <w:jc w:val="center"/>
              <w:rPr>
                <w:rFonts w:ascii="Arial Narrow" w:hAnsi="Arial Narrow"/>
                <w:sz w:val="20"/>
              </w:rPr>
            </w:pPr>
            <w:r w:rsidRPr="00C10065">
              <w:rPr>
                <w:rFonts w:ascii="Arial Narrow" w:hAnsi="Arial Narrow" w:cs="Times New Roman"/>
                <w:sz w:val="20"/>
              </w:rPr>
              <w:t>$</w:t>
            </w:r>
            <w:r w:rsidR="00C01A93">
              <w:rPr>
                <w:rFonts w:ascii="Arial Narrow" w:hAnsi="Arial Narrow" w:cs="Times New Roman"/>
                <w:noProof/>
                <w:color w:val="000000"/>
                <w:sz w:val="20"/>
                <w:highlight w:val="black"/>
              </w:rPr>
              <w:t>'''''''''''</w:t>
            </w:r>
          </w:p>
        </w:tc>
        <w:tc>
          <w:tcPr>
            <w:tcW w:w="500" w:type="pct"/>
            <w:vAlign w:val="center"/>
          </w:tcPr>
          <w:p w:rsidR="006A0BBE" w:rsidRPr="00C10065" w:rsidRDefault="006A0BBE" w:rsidP="004E6CA2">
            <w:pPr>
              <w:keepNext/>
              <w:widowControl/>
              <w:ind w:left="-6" w:firstLine="6"/>
              <w:jc w:val="center"/>
              <w:rPr>
                <w:rFonts w:ascii="Arial Narrow" w:hAnsi="Arial Narrow"/>
                <w:sz w:val="20"/>
              </w:rPr>
            </w:pPr>
            <w:r w:rsidRPr="00C10065">
              <w:rPr>
                <w:rFonts w:ascii="Arial Narrow" w:hAnsi="Arial Narrow" w:cs="Times New Roman"/>
                <w:sz w:val="20"/>
              </w:rPr>
              <w:t>$</w:t>
            </w:r>
            <w:r w:rsidR="00C01A93">
              <w:rPr>
                <w:rFonts w:ascii="Arial Narrow" w:hAnsi="Arial Narrow" w:cs="Times New Roman"/>
                <w:noProof/>
                <w:color w:val="000000"/>
                <w:sz w:val="20"/>
                <w:highlight w:val="black"/>
              </w:rPr>
              <w:t>''''''''''</w:t>
            </w:r>
          </w:p>
        </w:tc>
        <w:tc>
          <w:tcPr>
            <w:tcW w:w="499" w:type="pct"/>
            <w:vAlign w:val="center"/>
          </w:tcPr>
          <w:p w:rsidR="006A0BBE" w:rsidRPr="00C10065" w:rsidRDefault="006A0BBE" w:rsidP="004E6CA2">
            <w:pPr>
              <w:keepNext/>
              <w:widowControl/>
              <w:ind w:left="-6" w:firstLine="6"/>
              <w:jc w:val="center"/>
              <w:rPr>
                <w:rFonts w:ascii="Arial Narrow" w:hAnsi="Arial Narrow" w:cs="Times New Roman"/>
                <w:sz w:val="20"/>
              </w:rPr>
            </w:pPr>
            <w:r w:rsidRPr="00C10065">
              <w:rPr>
                <w:rFonts w:ascii="Arial Narrow" w:hAnsi="Arial Narrow"/>
                <w:color w:val="000000"/>
                <w:sz w:val="20"/>
              </w:rPr>
              <w:t>$</w:t>
            </w:r>
            <w:r w:rsidR="00C01A93">
              <w:rPr>
                <w:rFonts w:ascii="Arial Narrow" w:hAnsi="Arial Narrow"/>
                <w:noProof/>
                <w:color w:val="000000"/>
                <w:sz w:val="20"/>
                <w:highlight w:val="black"/>
              </w:rPr>
              <w:t>'''''''''''''</w:t>
            </w:r>
          </w:p>
        </w:tc>
        <w:tc>
          <w:tcPr>
            <w:tcW w:w="499" w:type="pct"/>
            <w:vAlign w:val="center"/>
          </w:tcPr>
          <w:p w:rsidR="006A0BBE" w:rsidRPr="00C10065" w:rsidRDefault="006A0BBE" w:rsidP="004E6CA2">
            <w:pPr>
              <w:keepNext/>
              <w:widowControl/>
              <w:ind w:left="-6" w:firstLine="6"/>
              <w:jc w:val="center"/>
              <w:rPr>
                <w:rFonts w:ascii="Arial Narrow" w:hAnsi="Arial Narrow" w:cs="Times New Roman"/>
                <w:sz w:val="20"/>
              </w:rPr>
            </w:pPr>
            <w:r w:rsidRPr="00C10065">
              <w:rPr>
                <w:rFonts w:ascii="Arial Narrow" w:hAnsi="Arial Narrow"/>
                <w:color w:val="000000"/>
                <w:sz w:val="20"/>
              </w:rPr>
              <w:t>$</w:t>
            </w:r>
            <w:r w:rsidR="00C01A93">
              <w:rPr>
                <w:rFonts w:ascii="Arial Narrow" w:hAnsi="Arial Narrow"/>
                <w:noProof/>
                <w:color w:val="000000"/>
                <w:sz w:val="20"/>
                <w:highlight w:val="black"/>
              </w:rPr>
              <w:t>'''''''''''</w:t>
            </w:r>
          </w:p>
        </w:tc>
      </w:tr>
      <w:tr w:rsidR="00B704A3" w:rsidRPr="00C10065" w:rsidTr="001A4D78">
        <w:trPr>
          <w:cantSplit/>
        </w:trPr>
        <w:tc>
          <w:tcPr>
            <w:tcW w:w="679" w:type="pct"/>
            <w:shd w:val="clear" w:color="auto" w:fill="auto"/>
            <w:vAlign w:val="center"/>
          </w:tcPr>
          <w:p w:rsidR="00B704A3" w:rsidRPr="00C10065" w:rsidRDefault="00B704A3" w:rsidP="004E6CA2">
            <w:pPr>
              <w:keepNext/>
              <w:widowControl/>
              <w:jc w:val="left"/>
              <w:rPr>
                <w:rFonts w:ascii="Arial Narrow" w:hAnsi="Arial Narrow"/>
                <w:sz w:val="20"/>
              </w:rPr>
            </w:pPr>
            <w:r w:rsidRPr="00C10065">
              <w:rPr>
                <w:rFonts w:ascii="Arial Narrow" w:hAnsi="Arial Narrow" w:cs="Times New Roman"/>
                <w:sz w:val="20"/>
              </w:rPr>
              <w:t>Reduced use of NDSS needles and other consumables</w:t>
            </w:r>
          </w:p>
        </w:tc>
        <w:tc>
          <w:tcPr>
            <w:tcW w:w="2323" w:type="pct"/>
            <w:vAlign w:val="center"/>
          </w:tcPr>
          <w:p w:rsidR="00B704A3" w:rsidRPr="00C10065" w:rsidRDefault="00B704A3" w:rsidP="004E6CA2">
            <w:pPr>
              <w:keepNext/>
              <w:widowControl/>
              <w:jc w:val="left"/>
              <w:rPr>
                <w:rFonts w:ascii="Arial Narrow" w:hAnsi="Arial Narrow" w:cs="Times New Roman"/>
                <w:sz w:val="20"/>
              </w:rPr>
            </w:pPr>
            <w:r w:rsidRPr="00C10065">
              <w:rPr>
                <w:rFonts w:ascii="Arial Narrow" w:hAnsi="Arial Narrow"/>
                <w:sz w:val="20"/>
                <w:u w:val="single"/>
              </w:rPr>
              <w:t>Evaluation</w:t>
            </w:r>
            <w:r w:rsidRPr="00C10065">
              <w:rPr>
                <w:rFonts w:ascii="Arial Narrow" w:hAnsi="Arial Narrow"/>
                <w:sz w:val="20"/>
              </w:rPr>
              <w:t>: Claim of a 100% cost offset for use of 2 needles per day, plus costs for other consumables including alcohol swabs and sharps disposal units.</w:t>
            </w:r>
            <w:r w:rsidR="007578A8" w:rsidRPr="00C10065">
              <w:rPr>
                <w:rFonts w:ascii="Arial Narrow" w:hAnsi="Arial Narrow"/>
                <w:sz w:val="20"/>
              </w:rPr>
              <w:t xml:space="preserve"> </w:t>
            </w:r>
            <w:r w:rsidRPr="00C10065">
              <w:rPr>
                <w:rFonts w:ascii="Arial Narrow" w:hAnsi="Arial Narrow" w:cs="Times New Roman"/>
                <w:sz w:val="20"/>
              </w:rPr>
              <w:t xml:space="preserve">The PBAC previously recommended needle cost offsets at 50% of the requested level, i.e. one per day and other consumables were not included (p8, </w:t>
            </w:r>
            <w:r w:rsidRPr="00C01A93">
              <w:rPr>
                <w:rFonts w:ascii="Arial Narrow" w:hAnsi="Arial Narrow" w:cs="Times New Roman"/>
                <w:sz w:val="20"/>
              </w:rPr>
              <w:t>November 2013 PSD</w:t>
            </w:r>
            <w:r w:rsidRPr="00C10065">
              <w:rPr>
                <w:rFonts w:ascii="Arial Narrow" w:hAnsi="Arial Narrow" w:cs="Times New Roman"/>
                <w:sz w:val="20"/>
              </w:rPr>
              <w:t>).</w:t>
            </w:r>
          </w:p>
          <w:p w:rsidR="00B704A3" w:rsidRPr="00C10065" w:rsidRDefault="00B704A3" w:rsidP="004E6CA2">
            <w:pPr>
              <w:keepNext/>
              <w:widowControl/>
              <w:jc w:val="left"/>
              <w:rPr>
                <w:rFonts w:ascii="Arial Narrow" w:hAnsi="Arial Narrow" w:cs="Times New Roman"/>
                <w:sz w:val="20"/>
              </w:rPr>
            </w:pPr>
          </w:p>
          <w:p w:rsidR="00B704A3" w:rsidRPr="00C10065" w:rsidRDefault="00B704A3" w:rsidP="004E6CA2">
            <w:pPr>
              <w:keepNext/>
              <w:widowControl/>
              <w:jc w:val="left"/>
              <w:rPr>
                <w:rFonts w:ascii="Arial Narrow" w:hAnsi="Arial Narrow" w:cs="Times New Roman"/>
                <w:sz w:val="20"/>
              </w:rPr>
            </w:pPr>
            <w:r w:rsidRPr="00C10065">
              <w:rPr>
                <w:rFonts w:ascii="Arial Narrow" w:hAnsi="Arial Narrow" w:cs="Times New Roman"/>
                <w:sz w:val="20"/>
                <w:u w:val="single"/>
              </w:rPr>
              <w:t>PSCR</w:t>
            </w:r>
            <w:r w:rsidRPr="00C10065">
              <w:rPr>
                <w:rFonts w:ascii="Arial Narrow" w:hAnsi="Arial Narrow" w:cs="Times New Roman"/>
                <w:sz w:val="20"/>
              </w:rPr>
              <w:t>: Needle offset reduced to previously recommended 1 per day consistent with previous negotiations</w:t>
            </w:r>
          </w:p>
          <w:p w:rsidR="00B704A3" w:rsidRPr="00C10065" w:rsidRDefault="00B704A3" w:rsidP="004E6CA2">
            <w:pPr>
              <w:keepNext/>
              <w:widowControl/>
              <w:jc w:val="left"/>
              <w:rPr>
                <w:rFonts w:ascii="Arial Narrow" w:hAnsi="Arial Narrow" w:cs="Times New Roman"/>
                <w:sz w:val="20"/>
              </w:rPr>
            </w:pPr>
          </w:p>
          <w:p w:rsidR="00B704A3" w:rsidRPr="00C10065" w:rsidRDefault="00B704A3" w:rsidP="00E26458">
            <w:pPr>
              <w:keepNext/>
              <w:widowControl/>
              <w:jc w:val="left"/>
              <w:rPr>
                <w:rFonts w:ascii="Arial Narrow" w:hAnsi="Arial Narrow" w:cs="Times New Roman"/>
                <w:sz w:val="20"/>
              </w:rPr>
            </w:pPr>
            <w:r w:rsidRPr="00C10065">
              <w:rPr>
                <w:rFonts w:ascii="Arial Narrow" w:hAnsi="Arial Narrow" w:cs="Times New Roman"/>
                <w:sz w:val="20"/>
                <w:u w:val="single"/>
              </w:rPr>
              <w:t>ESC</w:t>
            </w:r>
            <w:r w:rsidRPr="00C10065">
              <w:rPr>
                <w:rFonts w:ascii="Arial Narrow" w:hAnsi="Arial Narrow" w:cs="Times New Roman"/>
                <w:sz w:val="20"/>
              </w:rPr>
              <w:t>: Agree with the evaluat</w:t>
            </w:r>
            <w:r w:rsidR="00E26458" w:rsidRPr="00C10065">
              <w:rPr>
                <w:rFonts w:ascii="Arial Narrow" w:hAnsi="Arial Narrow" w:cs="Times New Roman"/>
                <w:sz w:val="20"/>
              </w:rPr>
              <w:t>i</w:t>
            </w:r>
            <w:r w:rsidRPr="00C10065">
              <w:rPr>
                <w:rFonts w:ascii="Arial Narrow" w:hAnsi="Arial Narrow" w:cs="Times New Roman"/>
                <w:sz w:val="20"/>
              </w:rPr>
              <w:t>o</w:t>
            </w:r>
            <w:r w:rsidR="00E26458" w:rsidRPr="00C10065">
              <w:rPr>
                <w:rFonts w:ascii="Arial Narrow" w:hAnsi="Arial Narrow" w:cs="Times New Roman"/>
                <w:sz w:val="20"/>
              </w:rPr>
              <w:t>n</w:t>
            </w:r>
            <w:r w:rsidRPr="00C10065">
              <w:rPr>
                <w:rFonts w:ascii="Arial Narrow" w:hAnsi="Arial Narrow" w:cs="Times New Roman"/>
                <w:sz w:val="20"/>
              </w:rPr>
              <w:t>; no evidence for reduced swabs c</w:t>
            </w:r>
            <w:r w:rsidR="00F6491F">
              <w:rPr>
                <w:rFonts w:ascii="Arial Narrow" w:hAnsi="Arial Narrow" w:cs="Times New Roman"/>
                <w:sz w:val="20"/>
              </w:rPr>
              <w:t>ost, or for the additional cost</w:t>
            </w:r>
            <w:r w:rsidR="00F6491F">
              <w:rPr>
                <w:rFonts w:ascii="Arial Narrow" w:hAnsi="Arial Narrow" w:cs="Times New Roman"/>
                <w:sz w:val="20"/>
              </w:rPr>
              <w:noBreakHyphen/>
            </w:r>
            <w:r w:rsidRPr="00C10065">
              <w:rPr>
                <w:rFonts w:ascii="Arial Narrow" w:hAnsi="Arial Narrow" w:cs="Times New Roman"/>
                <w:sz w:val="20"/>
              </w:rPr>
              <w:t>offsets above $</w:t>
            </w:r>
            <w:r w:rsidR="00C01A93">
              <w:rPr>
                <w:rFonts w:ascii="Arial Narrow" w:hAnsi="Arial Narrow" w:cs="Times New Roman"/>
                <w:noProof/>
                <w:color w:val="000000"/>
                <w:sz w:val="20"/>
                <w:highlight w:val="black"/>
              </w:rPr>
              <w:t>'''''''''''</w:t>
            </w:r>
            <w:r w:rsidRPr="00C10065">
              <w:rPr>
                <w:rFonts w:ascii="Arial Narrow" w:hAnsi="Arial Narrow" w:cs="Times New Roman"/>
                <w:sz w:val="20"/>
              </w:rPr>
              <w:t xml:space="preserve"> per day already agreed.</w:t>
            </w:r>
          </w:p>
        </w:tc>
        <w:tc>
          <w:tcPr>
            <w:tcW w:w="499" w:type="pct"/>
            <w:vAlign w:val="center"/>
          </w:tcPr>
          <w:p w:rsidR="00B704A3" w:rsidRPr="00C10065" w:rsidRDefault="00B704A3" w:rsidP="004E6CA2">
            <w:pPr>
              <w:keepNext/>
              <w:widowControl/>
              <w:ind w:left="-6" w:firstLine="6"/>
              <w:jc w:val="center"/>
              <w:rPr>
                <w:rFonts w:ascii="Arial Narrow" w:hAnsi="Arial Narrow"/>
                <w:sz w:val="20"/>
              </w:rPr>
            </w:pPr>
            <w:r w:rsidRPr="00C10065">
              <w:rPr>
                <w:rFonts w:ascii="Arial Narrow" w:hAnsi="Arial Narrow" w:cs="Times New Roman"/>
                <w:sz w:val="20"/>
              </w:rPr>
              <w:t>$</w:t>
            </w:r>
            <w:r w:rsidR="00C01A93">
              <w:rPr>
                <w:rFonts w:ascii="Arial Narrow" w:hAnsi="Arial Narrow" w:cs="Times New Roman"/>
                <w:noProof/>
                <w:color w:val="000000"/>
                <w:sz w:val="20"/>
                <w:highlight w:val="black"/>
              </w:rPr>
              <w:t>''''''''''</w:t>
            </w:r>
          </w:p>
        </w:tc>
        <w:tc>
          <w:tcPr>
            <w:tcW w:w="500" w:type="pct"/>
            <w:vAlign w:val="center"/>
          </w:tcPr>
          <w:p w:rsidR="00B704A3" w:rsidRPr="00C10065" w:rsidRDefault="00B704A3" w:rsidP="004E6CA2">
            <w:pPr>
              <w:keepNext/>
              <w:widowControl/>
              <w:ind w:left="-6" w:firstLine="6"/>
              <w:jc w:val="center"/>
              <w:rPr>
                <w:rFonts w:ascii="Arial Narrow" w:hAnsi="Arial Narrow"/>
                <w:sz w:val="20"/>
              </w:rPr>
            </w:pPr>
            <w:r w:rsidRPr="00C10065">
              <w:rPr>
                <w:rFonts w:ascii="Arial Narrow" w:hAnsi="Arial Narrow" w:cs="Times New Roman"/>
                <w:sz w:val="20"/>
              </w:rPr>
              <w:t>$</w:t>
            </w:r>
            <w:r w:rsidR="00C01A93">
              <w:rPr>
                <w:rFonts w:ascii="Arial Narrow" w:hAnsi="Arial Narrow" w:cs="Times New Roman"/>
                <w:noProof/>
                <w:color w:val="000000"/>
                <w:sz w:val="20"/>
                <w:highlight w:val="black"/>
              </w:rPr>
              <w:t>'''''''''''</w:t>
            </w:r>
          </w:p>
        </w:tc>
        <w:tc>
          <w:tcPr>
            <w:tcW w:w="499" w:type="pct"/>
            <w:vAlign w:val="center"/>
          </w:tcPr>
          <w:p w:rsidR="00B704A3" w:rsidRPr="00C10065" w:rsidRDefault="00B704A3" w:rsidP="004E6CA2">
            <w:pPr>
              <w:keepNext/>
              <w:widowControl/>
              <w:ind w:left="-6" w:firstLine="6"/>
              <w:jc w:val="center"/>
              <w:rPr>
                <w:rFonts w:ascii="Arial Narrow" w:hAnsi="Arial Narrow" w:cs="Times New Roman"/>
                <w:sz w:val="20"/>
              </w:rPr>
            </w:pPr>
            <w:r w:rsidRPr="00C10065">
              <w:rPr>
                <w:rFonts w:ascii="Arial Narrow" w:hAnsi="Arial Narrow"/>
                <w:sz w:val="20"/>
              </w:rPr>
              <w:t>$</w:t>
            </w:r>
            <w:r w:rsidR="00C01A93">
              <w:rPr>
                <w:rFonts w:ascii="Arial Narrow" w:hAnsi="Arial Narrow"/>
                <w:noProof/>
                <w:color w:val="000000"/>
                <w:sz w:val="20"/>
                <w:highlight w:val="black"/>
              </w:rPr>
              <w:t>''''''''''</w:t>
            </w:r>
          </w:p>
        </w:tc>
        <w:tc>
          <w:tcPr>
            <w:tcW w:w="499" w:type="pct"/>
            <w:vAlign w:val="center"/>
          </w:tcPr>
          <w:p w:rsidR="00B704A3" w:rsidRPr="00C10065" w:rsidRDefault="00B704A3" w:rsidP="004E6CA2">
            <w:pPr>
              <w:keepNext/>
              <w:widowControl/>
              <w:ind w:left="-6" w:firstLine="6"/>
              <w:jc w:val="center"/>
              <w:rPr>
                <w:rFonts w:ascii="Arial Narrow" w:hAnsi="Arial Narrow" w:cs="Times New Roman"/>
                <w:sz w:val="20"/>
              </w:rPr>
            </w:pPr>
            <w:r w:rsidRPr="00C10065">
              <w:rPr>
                <w:rFonts w:ascii="Arial Narrow" w:hAnsi="Arial Narrow"/>
                <w:sz w:val="20"/>
              </w:rPr>
              <w:t>$</w:t>
            </w:r>
            <w:r w:rsidR="00C01A93">
              <w:rPr>
                <w:rFonts w:ascii="Arial Narrow" w:hAnsi="Arial Narrow"/>
                <w:noProof/>
                <w:color w:val="000000"/>
                <w:sz w:val="20"/>
                <w:highlight w:val="black"/>
              </w:rPr>
              <w:t>'''''''''''</w:t>
            </w:r>
          </w:p>
        </w:tc>
      </w:tr>
      <w:tr w:rsidR="001A4D78" w:rsidRPr="00C10065" w:rsidTr="001A4D78">
        <w:trPr>
          <w:cantSplit/>
        </w:trPr>
        <w:tc>
          <w:tcPr>
            <w:tcW w:w="3002" w:type="pct"/>
            <w:gridSpan w:val="2"/>
            <w:shd w:val="clear" w:color="auto" w:fill="auto"/>
            <w:vAlign w:val="center"/>
          </w:tcPr>
          <w:p w:rsidR="001A4D78" w:rsidRPr="00C10065" w:rsidRDefault="001A4D78" w:rsidP="004E6CA2">
            <w:pPr>
              <w:keepNext/>
              <w:widowControl/>
              <w:jc w:val="left"/>
              <w:rPr>
                <w:rFonts w:ascii="Arial Narrow" w:hAnsi="Arial Narrow"/>
                <w:sz w:val="20"/>
                <w:u w:val="single"/>
              </w:rPr>
            </w:pPr>
            <w:r w:rsidRPr="00C10065">
              <w:rPr>
                <w:rFonts w:ascii="Arial Narrow" w:hAnsi="Arial Narrow"/>
                <w:sz w:val="20"/>
                <w:u w:val="single"/>
              </w:rPr>
              <w:t>Total cost analysis</w:t>
            </w:r>
          </w:p>
        </w:tc>
        <w:tc>
          <w:tcPr>
            <w:tcW w:w="499" w:type="pct"/>
            <w:vAlign w:val="center"/>
          </w:tcPr>
          <w:p w:rsidR="001A4D78" w:rsidRPr="00C10065" w:rsidRDefault="001A4D78" w:rsidP="004E6CA2">
            <w:pPr>
              <w:keepNext/>
              <w:widowControl/>
              <w:ind w:left="-6" w:firstLine="6"/>
              <w:jc w:val="center"/>
              <w:rPr>
                <w:rFonts w:ascii="Arial Narrow" w:hAnsi="Arial Narrow" w:cs="Times New Roman"/>
                <w:sz w:val="20"/>
              </w:rPr>
            </w:pPr>
          </w:p>
        </w:tc>
        <w:tc>
          <w:tcPr>
            <w:tcW w:w="500" w:type="pct"/>
            <w:vAlign w:val="center"/>
          </w:tcPr>
          <w:p w:rsidR="001A4D78" w:rsidRPr="00C10065" w:rsidRDefault="001A4D78" w:rsidP="004E6CA2">
            <w:pPr>
              <w:keepNext/>
              <w:widowControl/>
              <w:ind w:left="-6" w:firstLine="6"/>
              <w:jc w:val="center"/>
              <w:rPr>
                <w:rFonts w:ascii="Arial Narrow" w:hAnsi="Arial Narrow" w:cs="Times New Roman"/>
                <w:sz w:val="20"/>
              </w:rPr>
            </w:pPr>
            <w:r w:rsidRPr="00C10065">
              <w:rPr>
                <w:rFonts w:ascii="Arial Narrow" w:hAnsi="Arial Narrow" w:cs="Times New Roman"/>
                <w:sz w:val="20"/>
              </w:rPr>
              <w:t>$</w:t>
            </w:r>
            <w:r w:rsidR="00C01A93">
              <w:rPr>
                <w:rFonts w:ascii="Arial Narrow" w:hAnsi="Arial Narrow" w:cs="Times New Roman"/>
                <w:noProof/>
                <w:color w:val="000000"/>
                <w:sz w:val="20"/>
                <w:highlight w:val="black"/>
              </w:rPr>
              <w:t>'''''''''''''</w:t>
            </w:r>
          </w:p>
        </w:tc>
        <w:tc>
          <w:tcPr>
            <w:tcW w:w="499" w:type="pct"/>
            <w:vAlign w:val="center"/>
          </w:tcPr>
          <w:p w:rsidR="001A4D78" w:rsidRPr="00C10065" w:rsidRDefault="001A4D78" w:rsidP="004E6CA2">
            <w:pPr>
              <w:keepNext/>
              <w:widowControl/>
              <w:ind w:left="-6" w:firstLine="6"/>
              <w:jc w:val="center"/>
              <w:rPr>
                <w:rFonts w:ascii="Arial Narrow" w:hAnsi="Arial Narrow"/>
                <w:sz w:val="20"/>
              </w:rPr>
            </w:pPr>
          </w:p>
        </w:tc>
        <w:tc>
          <w:tcPr>
            <w:tcW w:w="499" w:type="pct"/>
            <w:vAlign w:val="center"/>
          </w:tcPr>
          <w:p w:rsidR="001A4D78" w:rsidRPr="00C10065" w:rsidRDefault="001A4D78" w:rsidP="004E6CA2">
            <w:pPr>
              <w:keepNext/>
              <w:widowControl/>
              <w:ind w:left="-6" w:firstLine="6"/>
              <w:jc w:val="center"/>
              <w:rPr>
                <w:rFonts w:ascii="Arial Narrow" w:hAnsi="Arial Narrow"/>
                <w:sz w:val="20"/>
              </w:rPr>
            </w:pPr>
            <w:r w:rsidRPr="00C10065">
              <w:rPr>
                <w:rFonts w:ascii="Arial Narrow" w:hAnsi="Arial Narrow"/>
                <w:sz w:val="20"/>
              </w:rPr>
              <w:t>$</w:t>
            </w:r>
            <w:r w:rsidR="00C01A93">
              <w:rPr>
                <w:rFonts w:ascii="Arial Narrow" w:hAnsi="Arial Narrow"/>
                <w:noProof/>
                <w:color w:val="000000"/>
                <w:sz w:val="20"/>
                <w:highlight w:val="black"/>
              </w:rPr>
              <w:t>''''''''''''</w:t>
            </w:r>
          </w:p>
        </w:tc>
      </w:tr>
    </w:tbl>
    <w:p w:rsidR="00AA5257" w:rsidRPr="00D93477" w:rsidRDefault="00AA5257" w:rsidP="004E6CA2">
      <w:pPr>
        <w:pStyle w:val="TableFooter"/>
        <w:keepNext/>
        <w:widowControl/>
        <w:ind w:left="709"/>
      </w:pPr>
      <w:r w:rsidRPr="00D93477">
        <w:t xml:space="preserve">Abbreviations: NDSS = National Diabetes Services Scheme; T2DM </w:t>
      </w:r>
      <w:r w:rsidR="00B704A3">
        <w:t>=</w:t>
      </w:r>
      <w:r w:rsidRPr="00D93477">
        <w:t xml:space="preserve"> type 2 diabetes mellitus</w:t>
      </w:r>
      <w:r w:rsidR="00B704A3">
        <w:t>; EQW = Exenatide 2</w:t>
      </w:r>
      <w:r w:rsidR="00B775AF">
        <w:t> </w:t>
      </w:r>
      <w:r w:rsidR="00B704A3">
        <w:t>mg once weekly</w:t>
      </w:r>
    </w:p>
    <w:p w:rsidR="00AA5257" w:rsidRDefault="00AA5257" w:rsidP="004E6CA2">
      <w:pPr>
        <w:pStyle w:val="TableFooter"/>
        <w:keepNext/>
        <w:widowControl/>
        <w:ind w:left="709"/>
      </w:pPr>
      <w:r w:rsidRPr="00D93477">
        <w:t>Source: compiled during the evaluation</w:t>
      </w:r>
    </w:p>
    <w:p w:rsidR="00786854" w:rsidRDefault="00786854" w:rsidP="004E6CA2">
      <w:pPr>
        <w:pStyle w:val="TableFooter"/>
        <w:widowControl/>
        <w:ind w:left="709"/>
      </w:pPr>
      <w:r>
        <w:t>* Differences in costs calculated based on per day cost multiplied by 28 days are due to rounding</w:t>
      </w:r>
    </w:p>
    <w:p w:rsidR="00AA5257" w:rsidRDefault="00AA5257" w:rsidP="004E6CA2">
      <w:pPr>
        <w:pStyle w:val="PBACheading10"/>
        <w:jc w:val="both"/>
      </w:pPr>
    </w:p>
    <w:p w:rsidR="009C41CE" w:rsidRPr="008752B3" w:rsidRDefault="009C41CE" w:rsidP="009C41CE">
      <w:pPr>
        <w:pStyle w:val="BodyText"/>
        <w:widowControl/>
        <w:numPr>
          <w:ilvl w:val="1"/>
          <w:numId w:val="47"/>
        </w:numPr>
        <w:jc w:val="both"/>
      </w:pPr>
      <w:r w:rsidRPr="008752B3">
        <w:t>The PBAC agreed with the ESC that, with the exception of a partial cost offset for reduced needle use, the cost offsets proposed in the costs analyses were unsubstantiated. However, the PBAC also agreed with the ESC that it may be reasonable to assume some reduction in home nursing visits and treatment benefits for older patients (which was one of the high clinical need populations identified by the submission)</w:t>
      </w:r>
      <w:r w:rsidR="001F48DF" w:rsidRPr="008752B3">
        <w:t>, but not to the extent proposed by the submission</w:t>
      </w:r>
      <w:r w:rsidRPr="008752B3">
        <w:t>.</w:t>
      </w:r>
    </w:p>
    <w:p w:rsidR="00B879E4" w:rsidRPr="008752B3" w:rsidRDefault="00B879E4" w:rsidP="00B879E4">
      <w:pPr>
        <w:widowControl/>
      </w:pPr>
    </w:p>
    <w:p w:rsidR="00B879E4" w:rsidRPr="008752B3" w:rsidRDefault="00B879E4" w:rsidP="00B879E4">
      <w:pPr>
        <w:pStyle w:val="BodyText"/>
        <w:widowControl/>
        <w:numPr>
          <w:ilvl w:val="1"/>
          <w:numId w:val="47"/>
        </w:numPr>
        <w:jc w:val="both"/>
      </w:pPr>
      <w:r w:rsidRPr="008752B3">
        <w:t>The PBAC recalled that</w:t>
      </w:r>
      <w:r w:rsidR="005F3985" w:rsidRPr="008752B3">
        <w:t>,</w:t>
      </w:r>
      <w:r w:rsidRPr="008752B3">
        <w:t xml:space="preserve"> in November 2013, the assumption</w:t>
      </w:r>
      <w:r w:rsidR="005F3985" w:rsidRPr="008752B3">
        <w:t>s</w:t>
      </w:r>
      <w:r w:rsidRPr="008752B3">
        <w:t xml:space="preserve"> in the submission of 100% compliance with twice daily exenatide dosing and use of a new needle for each dose w</w:t>
      </w:r>
      <w:r w:rsidR="005F3985" w:rsidRPr="008752B3">
        <w:t>ere</w:t>
      </w:r>
      <w:r w:rsidRPr="008752B3">
        <w:t xml:space="preserve"> not substantiated by any data. The PBAC considered that approximately 50% of that use would be a reasonable basis for a claimed offset and that this be used in pricing negotiations.</w:t>
      </w:r>
    </w:p>
    <w:p w:rsidR="009C41CE" w:rsidRDefault="009C41CE" w:rsidP="004E6CA2">
      <w:pPr>
        <w:pStyle w:val="PBACheading10"/>
        <w:jc w:val="both"/>
      </w:pPr>
    </w:p>
    <w:p w:rsidR="00F00773" w:rsidRPr="00F00773" w:rsidRDefault="00F00773" w:rsidP="004E6CA2">
      <w:pPr>
        <w:pStyle w:val="PBACheading10"/>
        <w:jc w:val="both"/>
        <w:rPr>
          <w:u w:val="single"/>
        </w:rPr>
      </w:pPr>
      <w:r w:rsidRPr="00F00773">
        <w:rPr>
          <w:u w:val="single"/>
        </w:rPr>
        <w:t xml:space="preserve">Summary of the requested price </w:t>
      </w:r>
      <w:r w:rsidR="00FF5077" w:rsidRPr="00745E20">
        <w:rPr>
          <w:u w:val="single"/>
        </w:rPr>
        <w:t>advantage</w:t>
      </w:r>
    </w:p>
    <w:p w:rsidR="00F00773" w:rsidRDefault="00F00773" w:rsidP="004E6CA2">
      <w:pPr>
        <w:pStyle w:val="PBACheading10"/>
        <w:jc w:val="both"/>
      </w:pPr>
    </w:p>
    <w:p w:rsidR="00202162" w:rsidRDefault="00202162" w:rsidP="004E6CA2">
      <w:pPr>
        <w:pStyle w:val="BodyText"/>
        <w:widowControl/>
        <w:numPr>
          <w:ilvl w:val="1"/>
          <w:numId w:val="47"/>
        </w:numPr>
        <w:jc w:val="both"/>
      </w:pPr>
      <w:r>
        <w:t xml:space="preserve">Table </w:t>
      </w:r>
      <w:r w:rsidR="004E7ECD">
        <w:t xml:space="preserve">5 </w:t>
      </w:r>
      <w:r>
        <w:t xml:space="preserve">provides a summary of the </w:t>
      </w:r>
      <w:r w:rsidR="002B5B27">
        <w:t>components of the</w:t>
      </w:r>
      <w:r>
        <w:t xml:space="preserve"> requested price for exenatide once weekly.</w:t>
      </w:r>
      <w:r w:rsidR="007578A8">
        <w:t xml:space="preserve"> </w:t>
      </w:r>
      <w:r w:rsidR="004D2108" w:rsidRPr="00FB52D4">
        <w:t xml:space="preserve">An alternate cost for exenatide once weekly is also provided in the table, based on the cost offset for needles only at the 50% level accepted by PBAC in November 2013, with </w:t>
      </w:r>
      <w:r w:rsidR="0019227F" w:rsidRPr="00FB52D4">
        <w:t xml:space="preserve">the proposed consumer surplus for WTP and </w:t>
      </w:r>
      <w:r w:rsidR="004D2108" w:rsidRPr="00FB52D4">
        <w:t>all other cost offsets from the re-submission’s cost analyses excluded</w:t>
      </w:r>
      <w:r w:rsidR="0019227F" w:rsidRPr="00FB52D4">
        <w:t>.</w:t>
      </w:r>
    </w:p>
    <w:p w:rsidR="00B27675" w:rsidRPr="005F3985" w:rsidRDefault="00B27675" w:rsidP="004E6CA2">
      <w:pPr>
        <w:pStyle w:val="PBACHeading1"/>
        <w:rPr>
          <w:rStyle w:val="CommentReference"/>
          <w:rFonts w:ascii="Arial" w:hAnsi="Arial"/>
          <w:sz w:val="22"/>
          <w:szCs w:val="22"/>
        </w:rPr>
      </w:pPr>
    </w:p>
    <w:p w:rsidR="00B27675" w:rsidRPr="00121799" w:rsidRDefault="00B27675" w:rsidP="004E6CA2">
      <w:pPr>
        <w:keepNext/>
        <w:widowControl/>
        <w:ind w:left="709"/>
        <w:rPr>
          <w:rStyle w:val="CommentReference"/>
        </w:rPr>
      </w:pPr>
      <w:r w:rsidRPr="00121799">
        <w:rPr>
          <w:rStyle w:val="CommentReference"/>
        </w:rPr>
        <w:t xml:space="preserve">Table </w:t>
      </w:r>
      <w:r w:rsidR="004E7ECD">
        <w:rPr>
          <w:rStyle w:val="CommentReference"/>
        </w:rPr>
        <w:t>5</w:t>
      </w:r>
      <w:r w:rsidRPr="00121799">
        <w:rPr>
          <w:rStyle w:val="CommentReference"/>
        </w:rPr>
        <w:t xml:space="preserve">: Summary of </w:t>
      </w:r>
      <w:r w:rsidR="00F27B67">
        <w:rPr>
          <w:rStyle w:val="CommentReference"/>
        </w:rPr>
        <w:t xml:space="preserve">the requested price </w:t>
      </w:r>
      <w:r w:rsidR="00FF5077" w:rsidRPr="00FF5077">
        <w:rPr>
          <w:rFonts w:ascii="Arial Narrow" w:hAnsi="Arial Narrow"/>
          <w:b/>
        </w:rPr>
        <w:t>advantage</w:t>
      </w:r>
      <w:r w:rsidR="00F27B67">
        <w:rPr>
          <w:rStyle w:val="CommentReference"/>
        </w:rPr>
        <w:t xml:space="preserve"> and price</w:t>
      </w:r>
      <w:r>
        <w:rPr>
          <w:rStyle w:val="CommentReference"/>
        </w:rPr>
        <w:t xml:space="preserve"> proposed in the re-submission</w:t>
      </w:r>
    </w:p>
    <w:tbl>
      <w:tblPr>
        <w:tblW w:w="4680"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00"/>
        <w:gridCol w:w="2736"/>
        <w:gridCol w:w="2141"/>
        <w:gridCol w:w="1824"/>
      </w:tblGrid>
      <w:tr w:rsidR="009B0C50" w:rsidRPr="00B27675" w:rsidTr="002B5B27">
        <w:trPr>
          <w:trHeight w:val="230"/>
        </w:trPr>
        <w:tc>
          <w:tcPr>
            <w:tcW w:w="1059" w:type="pct"/>
            <w:vMerge w:val="restart"/>
            <w:tcBorders>
              <w:top w:val="single" w:sz="4" w:space="0" w:color="auto"/>
            </w:tcBorders>
            <w:vAlign w:val="center"/>
          </w:tcPr>
          <w:p w:rsidR="002873AF" w:rsidRPr="00B27675" w:rsidRDefault="002873AF" w:rsidP="004E6CA2">
            <w:pPr>
              <w:keepNext/>
              <w:widowControl/>
              <w:jc w:val="left"/>
              <w:rPr>
                <w:rFonts w:ascii="Arial Narrow" w:hAnsi="Arial Narrow" w:cs="Times New Roman"/>
                <w:b/>
                <w:sz w:val="20"/>
              </w:rPr>
            </w:pPr>
          </w:p>
        </w:tc>
        <w:tc>
          <w:tcPr>
            <w:tcW w:w="1609" w:type="pct"/>
            <w:vMerge w:val="restart"/>
            <w:tcBorders>
              <w:top w:val="single" w:sz="4" w:space="0" w:color="auto"/>
            </w:tcBorders>
            <w:vAlign w:val="center"/>
          </w:tcPr>
          <w:p w:rsidR="002873AF" w:rsidRDefault="002873AF" w:rsidP="004E6CA2">
            <w:pPr>
              <w:keepNext/>
              <w:widowControl/>
              <w:jc w:val="center"/>
              <w:rPr>
                <w:rFonts w:ascii="Arial Narrow" w:hAnsi="Arial Narrow"/>
                <w:b/>
                <w:sz w:val="20"/>
              </w:rPr>
            </w:pPr>
            <w:r>
              <w:rPr>
                <w:rFonts w:ascii="Arial Narrow" w:hAnsi="Arial Narrow"/>
                <w:b/>
                <w:sz w:val="20"/>
              </w:rPr>
              <w:t>Requested cost</w:t>
            </w:r>
          </w:p>
          <w:p w:rsidR="002873AF" w:rsidRDefault="002873AF" w:rsidP="004E6CA2">
            <w:pPr>
              <w:keepNext/>
              <w:widowControl/>
              <w:jc w:val="center"/>
              <w:rPr>
                <w:rFonts w:ascii="Arial Narrow" w:hAnsi="Arial Narrow"/>
                <w:b/>
                <w:sz w:val="20"/>
              </w:rPr>
            </w:pPr>
            <w:r>
              <w:rPr>
                <w:rFonts w:ascii="Arial Narrow" w:hAnsi="Arial Narrow"/>
                <w:b/>
                <w:sz w:val="20"/>
              </w:rPr>
              <w:t>per 28-day pack</w:t>
            </w:r>
          </w:p>
        </w:tc>
        <w:tc>
          <w:tcPr>
            <w:tcW w:w="2332" w:type="pct"/>
            <w:gridSpan w:val="2"/>
            <w:tcBorders>
              <w:top w:val="single" w:sz="4" w:space="0" w:color="auto"/>
            </w:tcBorders>
            <w:vAlign w:val="center"/>
          </w:tcPr>
          <w:p w:rsidR="002873AF" w:rsidRPr="00B27675" w:rsidRDefault="002873AF" w:rsidP="004E6CA2">
            <w:pPr>
              <w:keepNext/>
              <w:widowControl/>
              <w:jc w:val="center"/>
              <w:rPr>
                <w:rFonts w:ascii="Arial Narrow" w:hAnsi="Arial Narrow" w:cs="Times New Roman"/>
                <w:b/>
                <w:sz w:val="20"/>
              </w:rPr>
            </w:pPr>
            <w:r>
              <w:rPr>
                <w:rFonts w:ascii="Arial Narrow" w:hAnsi="Arial Narrow"/>
                <w:b/>
                <w:sz w:val="20"/>
              </w:rPr>
              <w:t>Alternate cost per 28 day pack</w:t>
            </w:r>
            <w:r w:rsidR="00DF534C" w:rsidRPr="00DF534C">
              <w:rPr>
                <w:rFonts w:ascii="Arial Narrow" w:hAnsi="Arial Narrow"/>
                <w:b/>
                <w:sz w:val="20"/>
                <w:vertAlign w:val="superscript"/>
              </w:rPr>
              <w:t>A</w:t>
            </w:r>
          </w:p>
        </w:tc>
      </w:tr>
      <w:tr w:rsidR="009B0C50" w:rsidRPr="00B27675" w:rsidTr="004E49E7">
        <w:trPr>
          <w:trHeight w:val="230"/>
        </w:trPr>
        <w:tc>
          <w:tcPr>
            <w:tcW w:w="1059" w:type="pct"/>
            <w:vMerge/>
            <w:vAlign w:val="center"/>
          </w:tcPr>
          <w:p w:rsidR="002873AF" w:rsidRDefault="002873AF" w:rsidP="004E6CA2">
            <w:pPr>
              <w:keepNext/>
              <w:widowControl/>
              <w:jc w:val="left"/>
              <w:rPr>
                <w:rFonts w:ascii="Arial Narrow" w:hAnsi="Arial Narrow" w:cs="Times New Roman"/>
                <w:b/>
                <w:sz w:val="20"/>
              </w:rPr>
            </w:pPr>
          </w:p>
        </w:tc>
        <w:tc>
          <w:tcPr>
            <w:tcW w:w="1609" w:type="pct"/>
            <w:vMerge/>
            <w:vAlign w:val="center"/>
          </w:tcPr>
          <w:p w:rsidR="002873AF" w:rsidRDefault="002873AF" w:rsidP="004E6CA2">
            <w:pPr>
              <w:keepNext/>
              <w:widowControl/>
              <w:jc w:val="center"/>
              <w:rPr>
                <w:rFonts w:ascii="Arial Narrow" w:hAnsi="Arial Narrow"/>
                <w:b/>
                <w:sz w:val="20"/>
              </w:rPr>
            </w:pPr>
          </w:p>
        </w:tc>
        <w:tc>
          <w:tcPr>
            <w:tcW w:w="1259" w:type="pct"/>
            <w:tcBorders>
              <w:top w:val="single" w:sz="4" w:space="0" w:color="auto"/>
            </w:tcBorders>
            <w:vAlign w:val="center"/>
          </w:tcPr>
          <w:p w:rsidR="002873AF" w:rsidRPr="00B27675" w:rsidRDefault="002873AF" w:rsidP="004E6CA2">
            <w:pPr>
              <w:keepNext/>
              <w:widowControl/>
              <w:jc w:val="center"/>
              <w:rPr>
                <w:rFonts w:ascii="Arial Narrow" w:hAnsi="Arial Narrow" w:cs="Times New Roman"/>
                <w:b/>
                <w:sz w:val="20"/>
              </w:rPr>
            </w:pPr>
            <w:r>
              <w:rPr>
                <w:rFonts w:ascii="Arial Narrow" w:hAnsi="Arial Narrow"/>
                <w:b/>
                <w:sz w:val="20"/>
              </w:rPr>
              <w:t>92.7% adherence</w:t>
            </w:r>
          </w:p>
        </w:tc>
        <w:tc>
          <w:tcPr>
            <w:tcW w:w="1073" w:type="pct"/>
            <w:vAlign w:val="center"/>
          </w:tcPr>
          <w:p w:rsidR="002873AF" w:rsidRPr="00B27675" w:rsidRDefault="002873AF" w:rsidP="004E6CA2">
            <w:pPr>
              <w:keepNext/>
              <w:widowControl/>
              <w:jc w:val="center"/>
              <w:rPr>
                <w:rFonts w:ascii="Arial Narrow" w:hAnsi="Arial Narrow" w:cs="Times New Roman"/>
                <w:b/>
                <w:sz w:val="20"/>
              </w:rPr>
            </w:pPr>
            <w:r>
              <w:rPr>
                <w:rFonts w:ascii="Arial Narrow" w:hAnsi="Arial Narrow"/>
                <w:b/>
                <w:sz w:val="20"/>
              </w:rPr>
              <w:t>100% adherence</w:t>
            </w:r>
          </w:p>
        </w:tc>
      </w:tr>
      <w:tr w:rsidR="009B0C50" w:rsidRPr="00B27675" w:rsidTr="004E49E7">
        <w:tc>
          <w:tcPr>
            <w:tcW w:w="1059" w:type="pct"/>
            <w:vAlign w:val="center"/>
          </w:tcPr>
          <w:p w:rsidR="002873AF" w:rsidRPr="00B27675" w:rsidRDefault="002873AF" w:rsidP="004E6CA2">
            <w:pPr>
              <w:keepNext/>
              <w:widowControl/>
              <w:jc w:val="left"/>
              <w:rPr>
                <w:rFonts w:ascii="Arial Narrow" w:hAnsi="Arial Narrow" w:cs="Times New Roman"/>
                <w:sz w:val="20"/>
              </w:rPr>
            </w:pPr>
            <w:r>
              <w:rPr>
                <w:rFonts w:ascii="Arial Narrow" w:hAnsi="Arial Narrow"/>
                <w:sz w:val="20"/>
              </w:rPr>
              <w:t>Equi-effective dosing</w:t>
            </w:r>
          </w:p>
        </w:tc>
        <w:tc>
          <w:tcPr>
            <w:tcW w:w="1609" w:type="pct"/>
            <w:vAlign w:val="center"/>
          </w:tcPr>
          <w:p w:rsidR="002873AF" w:rsidRDefault="002873AF" w:rsidP="004E6CA2">
            <w:pPr>
              <w:keepNext/>
              <w:widowControl/>
              <w:jc w:val="center"/>
              <w:rPr>
                <w:rFonts w:ascii="Arial Narrow" w:hAnsi="Arial Narrow"/>
                <w:sz w:val="20"/>
              </w:rPr>
            </w:pPr>
            <w:r w:rsidRPr="009E19B2">
              <w:rPr>
                <w:rFonts w:ascii="Arial Narrow" w:hAnsi="Arial Narrow"/>
                <w:sz w:val="20"/>
              </w:rPr>
              <w:t>$91.54</w:t>
            </w:r>
          </w:p>
        </w:tc>
        <w:tc>
          <w:tcPr>
            <w:tcW w:w="1259" w:type="pct"/>
            <w:vAlign w:val="center"/>
          </w:tcPr>
          <w:p w:rsidR="002873AF" w:rsidRPr="0032562C" w:rsidRDefault="002873AF" w:rsidP="004E6CA2">
            <w:pPr>
              <w:keepNext/>
              <w:widowControl/>
              <w:jc w:val="center"/>
              <w:rPr>
                <w:rFonts w:ascii="Arial Narrow" w:hAnsi="Arial Narrow" w:cs="Times New Roman"/>
                <w:sz w:val="20"/>
              </w:rPr>
            </w:pPr>
            <w:r w:rsidRPr="0032562C">
              <w:rPr>
                <w:rFonts w:ascii="Arial Narrow" w:hAnsi="Arial Narrow"/>
                <w:sz w:val="20"/>
              </w:rPr>
              <w:t>$91.54</w:t>
            </w:r>
          </w:p>
        </w:tc>
        <w:tc>
          <w:tcPr>
            <w:tcW w:w="1073" w:type="pct"/>
            <w:vAlign w:val="center"/>
          </w:tcPr>
          <w:p w:rsidR="002873AF" w:rsidRPr="0032562C" w:rsidRDefault="002873AF" w:rsidP="004E6CA2">
            <w:pPr>
              <w:keepNext/>
              <w:widowControl/>
              <w:jc w:val="center"/>
              <w:rPr>
                <w:rFonts w:ascii="Arial Narrow" w:hAnsi="Arial Narrow" w:cs="Times New Roman"/>
                <w:sz w:val="20"/>
              </w:rPr>
            </w:pPr>
            <w:r w:rsidRPr="0032562C">
              <w:rPr>
                <w:rFonts w:ascii="Arial Narrow" w:hAnsi="Arial Narrow"/>
                <w:sz w:val="20"/>
              </w:rPr>
              <w:t>$91.54</w:t>
            </w:r>
          </w:p>
        </w:tc>
      </w:tr>
      <w:tr w:rsidR="009B0C50" w:rsidRPr="00B27675" w:rsidTr="004E49E7">
        <w:tc>
          <w:tcPr>
            <w:tcW w:w="1059" w:type="pct"/>
            <w:vAlign w:val="center"/>
          </w:tcPr>
          <w:p w:rsidR="00B95584" w:rsidRPr="00B27675" w:rsidRDefault="00B95584" w:rsidP="004E6CA2">
            <w:pPr>
              <w:keepNext/>
              <w:widowControl/>
              <w:jc w:val="left"/>
              <w:rPr>
                <w:rFonts w:ascii="Arial Narrow" w:hAnsi="Arial Narrow" w:cs="Times New Roman"/>
                <w:sz w:val="20"/>
              </w:rPr>
            </w:pPr>
            <w:r>
              <w:rPr>
                <w:rFonts w:ascii="Arial Narrow" w:hAnsi="Arial Narrow"/>
                <w:sz w:val="20"/>
              </w:rPr>
              <w:t>Cost analys</w:t>
            </w:r>
            <w:r w:rsidR="002B5B27">
              <w:rPr>
                <w:rFonts w:ascii="Arial Narrow" w:hAnsi="Arial Narrow"/>
                <w:sz w:val="20"/>
              </w:rPr>
              <w:t>e</w:t>
            </w:r>
            <w:r>
              <w:rPr>
                <w:rFonts w:ascii="Arial Narrow" w:hAnsi="Arial Narrow"/>
                <w:sz w:val="20"/>
              </w:rPr>
              <w:t>s</w:t>
            </w:r>
          </w:p>
        </w:tc>
        <w:tc>
          <w:tcPr>
            <w:tcW w:w="1609" w:type="pct"/>
            <w:vAlign w:val="center"/>
          </w:tcPr>
          <w:p w:rsidR="00B95584" w:rsidRPr="00F8666B" w:rsidRDefault="001A4D78" w:rsidP="004E6CA2">
            <w:pPr>
              <w:keepNext/>
              <w:widowControl/>
              <w:jc w:val="center"/>
              <w:rPr>
                <w:rFonts w:ascii="Arial Narrow" w:hAnsi="Arial Narrow"/>
                <w:sz w:val="20"/>
              </w:rPr>
            </w:pPr>
            <w:r w:rsidRPr="00F8666B">
              <w:rPr>
                <w:rFonts w:ascii="Arial Narrow" w:hAnsi="Arial Narrow"/>
                <w:sz w:val="20"/>
              </w:rPr>
              <w:t>$</w:t>
            </w:r>
            <w:r w:rsidR="00C01A93">
              <w:rPr>
                <w:rFonts w:ascii="Arial Narrow" w:hAnsi="Arial Narrow"/>
                <w:noProof/>
                <w:color w:val="000000"/>
                <w:sz w:val="20"/>
                <w:highlight w:val="black"/>
              </w:rPr>
              <w:t>''''''''''''''</w:t>
            </w:r>
            <w:r w:rsidR="0032562C" w:rsidRPr="00F8666B">
              <w:rPr>
                <w:rFonts w:ascii="Arial Narrow" w:hAnsi="Arial Narrow"/>
                <w:sz w:val="20"/>
                <w:vertAlign w:val="superscript"/>
              </w:rPr>
              <w:t>B</w:t>
            </w:r>
          </w:p>
        </w:tc>
        <w:tc>
          <w:tcPr>
            <w:tcW w:w="1259" w:type="pct"/>
            <w:vAlign w:val="center"/>
          </w:tcPr>
          <w:p w:rsidR="00B95584" w:rsidRPr="00F8666B" w:rsidRDefault="00B95584" w:rsidP="004E6CA2">
            <w:pPr>
              <w:keepNext/>
              <w:widowControl/>
              <w:jc w:val="center"/>
              <w:rPr>
                <w:rFonts w:ascii="Arial Narrow" w:hAnsi="Arial Narrow" w:cs="Times New Roman"/>
                <w:sz w:val="20"/>
              </w:rPr>
            </w:pPr>
            <w:r w:rsidRPr="00F8666B">
              <w:rPr>
                <w:rFonts w:ascii="Arial Narrow" w:hAnsi="Arial Narrow"/>
                <w:sz w:val="20"/>
              </w:rPr>
              <w:t>$</w:t>
            </w:r>
            <w:r w:rsidR="00C01A93">
              <w:rPr>
                <w:rFonts w:ascii="Arial Narrow" w:hAnsi="Arial Narrow"/>
                <w:noProof/>
                <w:color w:val="000000"/>
                <w:sz w:val="20"/>
                <w:highlight w:val="black"/>
              </w:rPr>
              <w:t>''''''''''</w:t>
            </w:r>
          </w:p>
        </w:tc>
        <w:tc>
          <w:tcPr>
            <w:tcW w:w="1073" w:type="pct"/>
            <w:vAlign w:val="center"/>
          </w:tcPr>
          <w:p w:rsidR="00B95584" w:rsidRPr="00F8666B" w:rsidRDefault="00B95584" w:rsidP="004E6CA2">
            <w:pPr>
              <w:keepNext/>
              <w:widowControl/>
              <w:jc w:val="center"/>
              <w:rPr>
                <w:rFonts w:ascii="Arial Narrow" w:hAnsi="Arial Narrow" w:cs="Times New Roman"/>
                <w:sz w:val="20"/>
              </w:rPr>
            </w:pPr>
            <w:r w:rsidRPr="00F8666B">
              <w:rPr>
                <w:rFonts w:ascii="Arial Narrow" w:hAnsi="Arial Narrow"/>
                <w:sz w:val="20"/>
              </w:rPr>
              <w:t>$</w:t>
            </w:r>
            <w:r w:rsidR="00C01A93">
              <w:rPr>
                <w:rFonts w:ascii="Arial Narrow" w:hAnsi="Arial Narrow"/>
                <w:noProof/>
                <w:color w:val="000000"/>
                <w:sz w:val="20"/>
                <w:highlight w:val="black"/>
              </w:rPr>
              <w:t>''''''''''</w:t>
            </w:r>
          </w:p>
        </w:tc>
      </w:tr>
      <w:tr w:rsidR="009B0C50" w:rsidRPr="00B27675" w:rsidTr="004E49E7">
        <w:tc>
          <w:tcPr>
            <w:tcW w:w="1059" w:type="pct"/>
            <w:vAlign w:val="center"/>
          </w:tcPr>
          <w:p w:rsidR="00B95584" w:rsidRPr="00B27675" w:rsidRDefault="00B95584" w:rsidP="004E6CA2">
            <w:pPr>
              <w:keepNext/>
              <w:widowControl/>
              <w:jc w:val="left"/>
              <w:rPr>
                <w:rFonts w:ascii="Arial Narrow" w:hAnsi="Arial Narrow" w:cs="Times New Roman"/>
                <w:sz w:val="20"/>
              </w:rPr>
            </w:pPr>
            <w:r>
              <w:rPr>
                <w:rFonts w:ascii="Arial Narrow" w:hAnsi="Arial Narrow"/>
                <w:sz w:val="20"/>
              </w:rPr>
              <w:t>Willingness to pay</w:t>
            </w:r>
          </w:p>
        </w:tc>
        <w:tc>
          <w:tcPr>
            <w:tcW w:w="1609" w:type="pct"/>
            <w:vAlign w:val="center"/>
          </w:tcPr>
          <w:p w:rsidR="00B95584" w:rsidRPr="00F8666B" w:rsidRDefault="00B95584" w:rsidP="004E6CA2">
            <w:pPr>
              <w:keepNext/>
              <w:widowControl/>
              <w:jc w:val="center"/>
              <w:rPr>
                <w:rFonts w:ascii="Arial Narrow" w:hAnsi="Arial Narrow"/>
                <w:sz w:val="20"/>
              </w:rPr>
            </w:pPr>
            <w:r w:rsidRPr="00F8666B">
              <w:rPr>
                <w:rFonts w:ascii="Arial Narrow" w:hAnsi="Arial Narrow"/>
                <w:sz w:val="20"/>
              </w:rPr>
              <w:t>$</w:t>
            </w:r>
            <w:r w:rsidR="00C01A93">
              <w:rPr>
                <w:rFonts w:ascii="Arial Narrow" w:hAnsi="Arial Narrow"/>
                <w:noProof/>
                <w:color w:val="000000"/>
                <w:sz w:val="20"/>
                <w:highlight w:val="black"/>
              </w:rPr>
              <w:t>'''''''''''''</w:t>
            </w:r>
          </w:p>
        </w:tc>
        <w:tc>
          <w:tcPr>
            <w:tcW w:w="1259" w:type="pct"/>
            <w:vAlign w:val="center"/>
          </w:tcPr>
          <w:p w:rsidR="00B95584" w:rsidRPr="00F8666B" w:rsidRDefault="00B95584" w:rsidP="004E6CA2">
            <w:pPr>
              <w:keepNext/>
              <w:widowControl/>
              <w:jc w:val="center"/>
              <w:rPr>
                <w:rFonts w:ascii="Arial Narrow" w:hAnsi="Arial Narrow" w:cs="Times New Roman"/>
                <w:sz w:val="20"/>
              </w:rPr>
            </w:pPr>
            <w:r w:rsidRPr="00F8666B">
              <w:rPr>
                <w:rFonts w:ascii="Arial Narrow" w:hAnsi="Arial Narrow"/>
                <w:sz w:val="20"/>
              </w:rPr>
              <w:t>$0</w:t>
            </w:r>
          </w:p>
        </w:tc>
        <w:tc>
          <w:tcPr>
            <w:tcW w:w="1073" w:type="pct"/>
            <w:vAlign w:val="center"/>
          </w:tcPr>
          <w:p w:rsidR="00B95584" w:rsidRPr="00F8666B" w:rsidRDefault="00B95584" w:rsidP="004E6CA2">
            <w:pPr>
              <w:keepNext/>
              <w:widowControl/>
              <w:jc w:val="center"/>
              <w:rPr>
                <w:rFonts w:ascii="Arial Narrow" w:hAnsi="Arial Narrow" w:cs="Times New Roman"/>
                <w:sz w:val="20"/>
              </w:rPr>
            </w:pPr>
            <w:r w:rsidRPr="00F8666B">
              <w:rPr>
                <w:rFonts w:ascii="Arial Narrow" w:hAnsi="Arial Narrow"/>
                <w:sz w:val="20"/>
              </w:rPr>
              <w:t>$0</w:t>
            </w:r>
          </w:p>
        </w:tc>
      </w:tr>
      <w:tr w:rsidR="009B0C50" w:rsidRPr="00B27675" w:rsidTr="004E49E7">
        <w:tc>
          <w:tcPr>
            <w:tcW w:w="1059" w:type="pct"/>
            <w:vAlign w:val="center"/>
          </w:tcPr>
          <w:p w:rsidR="00B95584" w:rsidRPr="00B27675" w:rsidRDefault="00B95584" w:rsidP="004E6CA2">
            <w:pPr>
              <w:keepNext/>
              <w:widowControl/>
              <w:jc w:val="left"/>
              <w:rPr>
                <w:rFonts w:ascii="Arial Narrow" w:hAnsi="Arial Narrow" w:cs="Times New Roman"/>
                <w:sz w:val="20"/>
              </w:rPr>
            </w:pPr>
            <w:r>
              <w:rPr>
                <w:rFonts w:ascii="Arial Narrow" w:hAnsi="Arial Narrow"/>
                <w:sz w:val="20"/>
              </w:rPr>
              <w:t>Total DPMQ</w:t>
            </w:r>
          </w:p>
        </w:tc>
        <w:tc>
          <w:tcPr>
            <w:tcW w:w="1609" w:type="pct"/>
            <w:vAlign w:val="center"/>
          </w:tcPr>
          <w:p w:rsidR="00B95584" w:rsidRPr="00F8666B" w:rsidRDefault="0032562C" w:rsidP="004E6CA2">
            <w:pPr>
              <w:keepNext/>
              <w:widowControl/>
              <w:jc w:val="center"/>
              <w:rPr>
                <w:rFonts w:ascii="Arial Narrow" w:hAnsi="Arial Narrow"/>
                <w:sz w:val="20"/>
                <w:highlight w:val="yellow"/>
              </w:rPr>
            </w:pPr>
            <w:r w:rsidRPr="00F8666B">
              <w:rPr>
                <w:rFonts w:ascii="Arial Narrow" w:hAnsi="Arial Narrow"/>
                <w:sz w:val="20"/>
              </w:rPr>
              <w:t>$</w:t>
            </w:r>
            <w:r w:rsidR="00C01A93">
              <w:rPr>
                <w:rFonts w:ascii="Arial Narrow" w:hAnsi="Arial Narrow"/>
                <w:noProof/>
                <w:color w:val="000000"/>
                <w:sz w:val="20"/>
                <w:highlight w:val="black"/>
              </w:rPr>
              <w:t>''''''''''''''''</w:t>
            </w:r>
          </w:p>
        </w:tc>
        <w:tc>
          <w:tcPr>
            <w:tcW w:w="1259" w:type="pct"/>
            <w:vAlign w:val="center"/>
          </w:tcPr>
          <w:p w:rsidR="00B95584" w:rsidRPr="00F8666B" w:rsidRDefault="00B95584" w:rsidP="004E6CA2">
            <w:pPr>
              <w:keepNext/>
              <w:widowControl/>
              <w:jc w:val="center"/>
              <w:rPr>
                <w:rFonts w:ascii="Arial Narrow" w:hAnsi="Arial Narrow" w:cs="Times New Roman"/>
                <w:sz w:val="20"/>
              </w:rPr>
            </w:pPr>
            <w:r w:rsidRPr="00F8666B">
              <w:rPr>
                <w:rFonts w:ascii="Arial Narrow" w:hAnsi="Arial Narrow"/>
                <w:sz w:val="20"/>
              </w:rPr>
              <w:t>$</w:t>
            </w:r>
            <w:r w:rsidR="00C01A93">
              <w:rPr>
                <w:rFonts w:ascii="Arial Narrow" w:hAnsi="Arial Narrow"/>
                <w:noProof/>
                <w:color w:val="000000"/>
                <w:sz w:val="20"/>
                <w:highlight w:val="black"/>
              </w:rPr>
              <w:t>'''''''''''''''</w:t>
            </w:r>
          </w:p>
        </w:tc>
        <w:tc>
          <w:tcPr>
            <w:tcW w:w="1073" w:type="pct"/>
            <w:vAlign w:val="center"/>
          </w:tcPr>
          <w:p w:rsidR="00B95584" w:rsidRPr="00F8666B" w:rsidRDefault="00B95584" w:rsidP="004E6CA2">
            <w:pPr>
              <w:keepNext/>
              <w:widowControl/>
              <w:jc w:val="center"/>
              <w:rPr>
                <w:rFonts w:ascii="Arial Narrow" w:hAnsi="Arial Narrow" w:cs="Times New Roman"/>
                <w:sz w:val="20"/>
              </w:rPr>
            </w:pPr>
            <w:r w:rsidRPr="00F8666B">
              <w:rPr>
                <w:rFonts w:ascii="Arial Narrow" w:hAnsi="Arial Narrow"/>
                <w:sz w:val="20"/>
              </w:rPr>
              <w:t>$</w:t>
            </w:r>
            <w:r w:rsidR="00C01A93">
              <w:rPr>
                <w:rFonts w:ascii="Arial Narrow" w:hAnsi="Arial Narrow"/>
                <w:noProof/>
                <w:color w:val="000000"/>
                <w:sz w:val="20"/>
                <w:highlight w:val="black"/>
              </w:rPr>
              <w:t>'''''''''''''</w:t>
            </w:r>
          </w:p>
        </w:tc>
      </w:tr>
      <w:tr w:rsidR="009B0C50" w:rsidRPr="00B27675" w:rsidTr="004E49E7">
        <w:tc>
          <w:tcPr>
            <w:tcW w:w="1059" w:type="pct"/>
            <w:vAlign w:val="center"/>
          </w:tcPr>
          <w:p w:rsidR="00B95584" w:rsidRPr="00B27675" w:rsidRDefault="00B95584" w:rsidP="004E6CA2">
            <w:pPr>
              <w:keepNext/>
              <w:widowControl/>
              <w:jc w:val="left"/>
              <w:rPr>
                <w:rFonts w:ascii="Arial Narrow" w:hAnsi="Arial Narrow" w:cs="Times New Roman"/>
                <w:sz w:val="20"/>
              </w:rPr>
            </w:pPr>
            <w:r>
              <w:rPr>
                <w:rFonts w:ascii="Arial Narrow" w:hAnsi="Arial Narrow"/>
                <w:sz w:val="20"/>
              </w:rPr>
              <w:t>Ex-manufacturer price</w:t>
            </w:r>
          </w:p>
        </w:tc>
        <w:tc>
          <w:tcPr>
            <w:tcW w:w="1609" w:type="pct"/>
            <w:vAlign w:val="center"/>
          </w:tcPr>
          <w:p w:rsidR="00B95584" w:rsidRPr="00F8666B" w:rsidRDefault="00B95584" w:rsidP="004E6CA2">
            <w:pPr>
              <w:keepNext/>
              <w:widowControl/>
              <w:jc w:val="center"/>
              <w:rPr>
                <w:rFonts w:ascii="Arial Narrow" w:hAnsi="Arial Narrow"/>
                <w:sz w:val="20"/>
                <w:highlight w:val="yellow"/>
              </w:rPr>
            </w:pPr>
            <w:r w:rsidRPr="00F8666B">
              <w:rPr>
                <w:rFonts w:ascii="Arial Narrow" w:hAnsi="Arial Narrow"/>
                <w:sz w:val="20"/>
              </w:rPr>
              <w:t>$</w:t>
            </w:r>
            <w:r w:rsidR="00C01A93">
              <w:rPr>
                <w:rFonts w:ascii="Arial Narrow" w:hAnsi="Arial Narrow"/>
                <w:noProof/>
                <w:color w:val="000000"/>
                <w:sz w:val="20"/>
                <w:highlight w:val="black"/>
              </w:rPr>
              <w:t>'''''''''''''''''</w:t>
            </w:r>
          </w:p>
        </w:tc>
        <w:tc>
          <w:tcPr>
            <w:tcW w:w="1259" w:type="pct"/>
            <w:vAlign w:val="center"/>
          </w:tcPr>
          <w:p w:rsidR="00B95584" w:rsidRPr="00F8666B" w:rsidRDefault="00B95584" w:rsidP="004E6CA2">
            <w:pPr>
              <w:keepNext/>
              <w:widowControl/>
              <w:jc w:val="center"/>
              <w:rPr>
                <w:rFonts w:ascii="Arial Narrow" w:hAnsi="Arial Narrow" w:cs="Times New Roman"/>
                <w:sz w:val="20"/>
              </w:rPr>
            </w:pPr>
            <w:r w:rsidRPr="00F8666B">
              <w:rPr>
                <w:rFonts w:ascii="Arial Narrow" w:hAnsi="Arial Narrow"/>
                <w:sz w:val="20"/>
              </w:rPr>
              <w:t>$</w:t>
            </w:r>
            <w:r w:rsidR="00C01A93">
              <w:rPr>
                <w:rFonts w:ascii="Arial Narrow" w:hAnsi="Arial Narrow"/>
                <w:noProof/>
                <w:color w:val="000000"/>
                <w:sz w:val="20"/>
                <w:highlight w:val="black"/>
              </w:rPr>
              <w:t>''''''''''''''</w:t>
            </w:r>
          </w:p>
        </w:tc>
        <w:tc>
          <w:tcPr>
            <w:tcW w:w="1073" w:type="pct"/>
            <w:vAlign w:val="center"/>
          </w:tcPr>
          <w:p w:rsidR="00B95584" w:rsidRPr="00F8666B" w:rsidRDefault="00B95584" w:rsidP="004E6CA2">
            <w:pPr>
              <w:keepNext/>
              <w:widowControl/>
              <w:jc w:val="center"/>
              <w:rPr>
                <w:rFonts w:ascii="Arial Narrow" w:hAnsi="Arial Narrow" w:cs="Times New Roman"/>
                <w:sz w:val="20"/>
              </w:rPr>
            </w:pPr>
            <w:r w:rsidRPr="00F8666B">
              <w:rPr>
                <w:rFonts w:ascii="Arial Narrow" w:hAnsi="Arial Narrow"/>
                <w:sz w:val="20"/>
              </w:rPr>
              <w:t>$</w:t>
            </w:r>
            <w:r w:rsidR="00C01A93">
              <w:rPr>
                <w:rFonts w:ascii="Arial Narrow" w:hAnsi="Arial Narrow"/>
                <w:noProof/>
                <w:color w:val="000000"/>
                <w:sz w:val="20"/>
                <w:highlight w:val="black"/>
              </w:rPr>
              <w:t>''''''''''''</w:t>
            </w:r>
          </w:p>
        </w:tc>
      </w:tr>
    </w:tbl>
    <w:p w:rsidR="00B27675" w:rsidRDefault="00B27675" w:rsidP="004E6CA2">
      <w:pPr>
        <w:pStyle w:val="TableFooter"/>
        <w:keepNext/>
        <w:widowControl/>
        <w:ind w:left="709"/>
      </w:pPr>
      <w:r>
        <w:t>Source: compiled during the evaluation</w:t>
      </w:r>
    </w:p>
    <w:p w:rsidR="00EC6D22" w:rsidRDefault="009A4D0E" w:rsidP="004E6CA2">
      <w:pPr>
        <w:pStyle w:val="TableFooter"/>
        <w:keepNext/>
        <w:widowControl/>
        <w:ind w:left="709"/>
      </w:pPr>
      <w:r>
        <w:t>Abbreviations: DPMQ = dispensed price for maximum quantity</w:t>
      </w:r>
    </w:p>
    <w:p w:rsidR="00A86388" w:rsidRDefault="00DF534C" w:rsidP="004E6CA2">
      <w:pPr>
        <w:pStyle w:val="TableFooter"/>
        <w:keepNext/>
        <w:widowControl/>
        <w:ind w:left="709"/>
      </w:pPr>
      <w:r w:rsidRPr="00DF534C">
        <w:rPr>
          <w:vertAlign w:val="superscript"/>
        </w:rPr>
        <w:t>A</w:t>
      </w:r>
      <w:r w:rsidR="00A86388" w:rsidRPr="00FB52D4">
        <w:t xml:space="preserve"> Alternate cost</w:t>
      </w:r>
      <w:r w:rsidR="00A55977" w:rsidRPr="00FB52D4">
        <w:t xml:space="preserve"> assumed cost offset for needles only at 50% level accepted by PBAC in November 2013; all other cost offsets from the re-submission’s cost analyses were excluded as was the proposed consumer surplus for WTP.</w:t>
      </w:r>
      <w:r w:rsidR="007578A8">
        <w:t xml:space="preserve"> </w:t>
      </w:r>
      <w:r w:rsidR="0019227F" w:rsidRPr="00FB52D4">
        <w:t>Values for 100% adherence are provided as they concur with the adherence level assumed in the November 2013 re-submission.</w:t>
      </w:r>
      <w:r w:rsidR="00A86388" w:rsidRPr="00FB52D4">
        <w:t xml:space="preserve"> </w:t>
      </w:r>
    </w:p>
    <w:p w:rsidR="00AF5F26" w:rsidRPr="00244A23" w:rsidRDefault="0032562C" w:rsidP="004E6CA2">
      <w:pPr>
        <w:pStyle w:val="TableFooter"/>
        <w:keepNext/>
        <w:widowControl/>
        <w:ind w:left="709"/>
        <w:rPr>
          <w:szCs w:val="18"/>
        </w:rPr>
      </w:pPr>
      <w:r w:rsidRPr="00244A23">
        <w:rPr>
          <w:vertAlign w:val="superscript"/>
        </w:rPr>
        <w:t>B</w:t>
      </w:r>
      <w:r w:rsidR="00AF5F26" w:rsidRPr="00244A23">
        <w:rPr>
          <w:vertAlign w:val="superscript"/>
        </w:rPr>
        <w:t xml:space="preserve"> </w:t>
      </w:r>
      <w:r w:rsidR="00AF5F26" w:rsidRPr="00244A23">
        <w:t xml:space="preserve">The cost analyses </w:t>
      </w:r>
      <w:r w:rsidR="001B298F" w:rsidRPr="00244A23">
        <w:t>figure was</w:t>
      </w:r>
      <w:r w:rsidR="00AF5F26" w:rsidRPr="00244A23">
        <w:t xml:space="preserve"> updated </w:t>
      </w:r>
      <w:r w:rsidR="001B298F" w:rsidRPr="00244A23">
        <w:t>based on the changes in</w:t>
      </w:r>
      <w:r w:rsidR="00AF5F26" w:rsidRPr="00244A23">
        <w:t xml:space="preserve"> the PSCR (see Table 4).</w:t>
      </w:r>
    </w:p>
    <w:p w:rsidR="006A56C7" w:rsidRDefault="006A56C7" w:rsidP="004E6CA2">
      <w:pPr>
        <w:widowControl/>
      </w:pPr>
    </w:p>
    <w:p w:rsidR="002D1716" w:rsidRPr="00FB52D4" w:rsidRDefault="002D1716" w:rsidP="004E6CA2">
      <w:pPr>
        <w:pStyle w:val="BodyText"/>
        <w:widowControl/>
        <w:numPr>
          <w:ilvl w:val="1"/>
          <w:numId w:val="47"/>
        </w:numPr>
        <w:jc w:val="both"/>
      </w:pPr>
      <w:r w:rsidRPr="00FB52D4">
        <w:t xml:space="preserve">Given that the estimated consumer surplus based on the DCE was considered to be overstated and highly uncertain, and with the exception of a partial cost offset for needle costs, the requested cost offsets are not likely to be realised, the </w:t>
      </w:r>
      <w:r w:rsidR="00B53235">
        <w:t xml:space="preserve">evaluation and the ESC did not consider the </w:t>
      </w:r>
      <w:r w:rsidRPr="00FB52D4">
        <w:t xml:space="preserve">price </w:t>
      </w:r>
      <w:r w:rsidR="00FF5077">
        <w:t>advantage</w:t>
      </w:r>
      <w:r w:rsidRPr="00FB52D4">
        <w:t xml:space="preserve"> requested by the re</w:t>
      </w:r>
      <w:r w:rsidR="005F3985">
        <w:t>-</w:t>
      </w:r>
      <w:r w:rsidRPr="00FB52D4">
        <w:t xml:space="preserve">submission </w:t>
      </w:r>
      <w:r w:rsidR="00B53235">
        <w:t xml:space="preserve">to be </w:t>
      </w:r>
      <w:r w:rsidRPr="00FB52D4">
        <w:t>reasonable.</w:t>
      </w:r>
    </w:p>
    <w:p w:rsidR="000033DF" w:rsidRPr="00FB52D4" w:rsidRDefault="000033DF" w:rsidP="004E6CA2">
      <w:pPr>
        <w:widowControl/>
      </w:pPr>
    </w:p>
    <w:p w:rsidR="00DF51FB" w:rsidRDefault="00B53235" w:rsidP="004E6CA2">
      <w:pPr>
        <w:pStyle w:val="BodyText"/>
        <w:widowControl/>
        <w:numPr>
          <w:ilvl w:val="1"/>
          <w:numId w:val="47"/>
        </w:numPr>
        <w:jc w:val="both"/>
      </w:pPr>
      <w:r>
        <w:t>The evaluation and the ESC questioned w</w:t>
      </w:r>
      <w:r w:rsidR="00012F68" w:rsidRPr="00FB52D4">
        <w:t>hether a consumer surplus should be funded for the convenience of administration.</w:t>
      </w:r>
      <w:r w:rsidR="007578A8">
        <w:t xml:space="preserve"> </w:t>
      </w:r>
      <w:r w:rsidR="008F0C85" w:rsidRPr="00FB52D4">
        <w:t>If a</w:t>
      </w:r>
      <w:r w:rsidR="00C779A2">
        <w:t>n</w:t>
      </w:r>
      <w:r w:rsidR="008F0C85" w:rsidRPr="00FB52D4">
        <w:t xml:space="preserve"> </w:t>
      </w:r>
      <w:r w:rsidR="00FF5077">
        <w:t>advantage</w:t>
      </w:r>
      <w:r w:rsidR="008F0C85" w:rsidRPr="00FB52D4">
        <w:t xml:space="preserve"> is to be funded, consideration should be</w:t>
      </w:r>
      <w:r w:rsidR="004D46E7" w:rsidRPr="00FB52D4">
        <w:t xml:space="preserve"> given to how much should b</w:t>
      </w:r>
      <w:r w:rsidR="00FC4D35">
        <w:t>e funded from the health budget</w:t>
      </w:r>
      <w:r w:rsidR="004D46E7" w:rsidRPr="00FB52D4">
        <w:t xml:space="preserve"> given th</w:t>
      </w:r>
      <w:r w:rsidR="00CA53D8" w:rsidRPr="00FB52D4">
        <w:t xml:space="preserve">at the consumer surplus </w:t>
      </w:r>
      <w:r w:rsidR="00CB0402" w:rsidRPr="00FB52D4">
        <w:t>appear</w:t>
      </w:r>
      <w:r>
        <w:t>ed</w:t>
      </w:r>
      <w:r w:rsidR="00CB0402" w:rsidRPr="00FB52D4">
        <w:t xml:space="preserve"> to have been </w:t>
      </w:r>
      <w:r w:rsidR="00CA53D8" w:rsidRPr="00FB52D4">
        <w:t>derived e</w:t>
      </w:r>
      <w:r w:rsidR="004D46E7" w:rsidRPr="00FB52D4">
        <w:t xml:space="preserve">ntirely </w:t>
      </w:r>
      <w:r w:rsidR="00CA53D8" w:rsidRPr="00FB52D4">
        <w:t xml:space="preserve">based on </w:t>
      </w:r>
      <w:r w:rsidR="004D46E7" w:rsidRPr="00FB52D4">
        <w:t>patient convenience associated with reduced injection frequency.</w:t>
      </w:r>
      <w:r w:rsidR="007578A8">
        <w:t xml:space="preserve"> </w:t>
      </w:r>
      <w:r w:rsidR="004D46E7" w:rsidRPr="00FB52D4">
        <w:t xml:space="preserve">Without corresponding clinical evidence to show that reduced injection frequency leads to improved adherence and improved health outcomes, funding a price </w:t>
      </w:r>
      <w:r w:rsidR="00FF5077">
        <w:t>advantage</w:t>
      </w:r>
      <w:r w:rsidR="004D46E7" w:rsidRPr="00FB52D4">
        <w:t xml:space="preserve"> for patient convenience will lead to an opportunity cost of foregone health benefits that could otherwise accrue from funds invested elsewhere in the health system.</w:t>
      </w:r>
    </w:p>
    <w:p w:rsidR="00DF51FB" w:rsidRDefault="00DF51FB" w:rsidP="00B8174F">
      <w:pPr>
        <w:widowControl/>
      </w:pPr>
    </w:p>
    <w:p w:rsidR="008C3B02" w:rsidRDefault="00F27B67" w:rsidP="004E6CA2">
      <w:pPr>
        <w:pStyle w:val="BodyText"/>
        <w:widowControl/>
        <w:numPr>
          <w:ilvl w:val="1"/>
          <w:numId w:val="47"/>
        </w:numPr>
        <w:jc w:val="both"/>
      </w:pPr>
      <w:r w:rsidRPr="00FB52D4">
        <w:t xml:space="preserve">In addition, </w:t>
      </w:r>
      <w:r w:rsidR="000051FA" w:rsidRPr="00FB52D4">
        <w:t>i</w:t>
      </w:r>
      <w:r w:rsidRPr="00FB52D4">
        <w:t xml:space="preserve">n the case of tobramycin (p7, </w:t>
      </w:r>
      <w:r w:rsidRPr="00C01A93">
        <w:t>November 2013 PSD</w:t>
      </w:r>
      <w:r w:rsidRPr="00FB52D4">
        <w:t xml:space="preserve">) the PBAC disagreed that the Government should pay the calculated consumer surplus in its entirety </w:t>
      </w:r>
      <w:r w:rsidR="005F3985">
        <w:t>to the sponsor. I</w:t>
      </w:r>
      <w:r w:rsidRPr="00FB52D4">
        <w:t xml:space="preserve">nstead, </w:t>
      </w:r>
      <w:r w:rsidR="005F3985">
        <w:t>any</w:t>
      </w:r>
      <w:r w:rsidRPr="00FB52D4">
        <w:t xml:space="preserve"> consumer surplus should be shared between the sponsor, t</w:t>
      </w:r>
      <w:r w:rsidR="009A555B" w:rsidRPr="00FB52D4">
        <w:t>he consumer and the Government.</w:t>
      </w:r>
    </w:p>
    <w:p w:rsidR="00E26458" w:rsidRDefault="00E26458" w:rsidP="00E26458"/>
    <w:p w:rsidR="001E6B63" w:rsidRPr="00244A23" w:rsidRDefault="00A92D16" w:rsidP="004E6CA2">
      <w:pPr>
        <w:pStyle w:val="BodyText"/>
        <w:widowControl/>
        <w:numPr>
          <w:ilvl w:val="1"/>
          <w:numId w:val="47"/>
        </w:numPr>
        <w:jc w:val="both"/>
      </w:pPr>
      <w:r w:rsidRPr="00244A23">
        <w:t>The ESC considered that</w:t>
      </w:r>
      <w:r w:rsidR="005F3985">
        <w:t>.</w:t>
      </w:r>
      <w:r w:rsidRPr="00244A23">
        <w:t xml:space="preserve"> </w:t>
      </w:r>
      <w:r w:rsidR="00E43C2B" w:rsidRPr="00244A23">
        <w:t xml:space="preserve">to the extent that there was a gain in </w:t>
      </w:r>
      <w:r w:rsidRPr="00244A23">
        <w:t>consumer surplus associated with reduced frequency of injections</w:t>
      </w:r>
      <w:r w:rsidR="00E43C2B" w:rsidRPr="00244A23">
        <w:t xml:space="preserve">, this should not all be reflected in the price to the sponsor, as this would effectively transfer all this consumer surplus to the sponsor. The ESC considered the PBAC’s previous position regarding sharing of </w:t>
      </w:r>
      <w:r w:rsidR="0037431E">
        <w:t xml:space="preserve">any </w:t>
      </w:r>
      <w:r w:rsidR="00E43C2B" w:rsidRPr="00244A23">
        <w:t xml:space="preserve">consumer surplus </w:t>
      </w:r>
      <w:r w:rsidRPr="00244A23">
        <w:t>between the sponsor, the consumer and the Government</w:t>
      </w:r>
      <w:r w:rsidR="00E43C2B" w:rsidRPr="00244A23">
        <w:t xml:space="preserve"> should also apply in this case</w:t>
      </w:r>
      <w:r w:rsidR="0037431E">
        <w:t>.</w:t>
      </w:r>
    </w:p>
    <w:p w:rsidR="008C3B02" w:rsidRPr="00244A23" w:rsidRDefault="008C3B02" w:rsidP="004E6CA2">
      <w:pPr>
        <w:widowControl/>
      </w:pPr>
    </w:p>
    <w:p w:rsidR="008C3B02" w:rsidRDefault="008C3B02" w:rsidP="004E6CA2">
      <w:pPr>
        <w:pStyle w:val="BodyText"/>
        <w:widowControl/>
        <w:numPr>
          <w:ilvl w:val="1"/>
          <w:numId w:val="47"/>
        </w:numPr>
        <w:jc w:val="both"/>
      </w:pPr>
      <w:r w:rsidRPr="00244A23">
        <w:t>The PSCR argued that because weight loss, HbA1c control and improved nausea were not included in the requested WTP estimate, the consumer surplus is already being shared to some extent. The ESC considered this was not appropriate as the clinical trial did not demonstrate a statistically significant benefit in w</w:t>
      </w:r>
      <w:r w:rsidR="0037431E">
        <w:t xml:space="preserve">eight change. </w:t>
      </w:r>
      <w:r w:rsidRPr="00244A23">
        <w:t xml:space="preserve">Furthermore, the re-submission did not claim any benefits relating to weight loss and improved nausea for exenatide </w:t>
      </w:r>
      <w:r w:rsidR="00583E1A">
        <w:t xml:space="preserve">2 mg </w:t>
      </w:r>
      <w:r w:rsidRPr="00244A23">
        <w:t xml:space="preserve">once weekly compared with </w:t>
      </w:r>
      <w:r w:rsidR="0037431E" w:rsidRPr="00DF2C4D">
        <w:t>10</w:t>
      </w:r>
      <w:r w:rsidR="0037431E">
        <w:t> </w:t>
      </w:r>
      <w:r w:rsidR="0037431E" w:rsidRPr="00DF2C4D">
        <w:t xml:space="preserve">mcg </w:t>
      </w:r>
      <w:r w:rsidRPr="00244A23">
        <w:t>twice daily. The re-submission did not dispute the claim accepted by the PBAC of at least non</w:t>
      </w:r>
      <w:r w:rsidR="003C4521">
        <w:noBreakHyphen/>
      </w:r>
      <w:r w:rsidRPr="00244A23">
        <w:t xml:space="preserve">inferior efficacy compared with exenatide twice daily, in terms of mean change in HbA1c. The ESC agreed that it was appropriate that the submission did not quantify any consumer surplus related to weight loss, HbA1c control and improved nausea. Accordingly, the ESC considered it would be inappropriate to consider the consumer surplus that may be associated with these potential </w:t>
      </w:r>
      <w:r w:rsidRPr="00244A23">
        <w:rPr>
          <w:iCs/>
          <w:szCs w:val="22"/>
        </w:rPr>
        <w:t>(but unsubstantiated)</w:t>
      </w:r>
      <w:r w:rsidRPr="00244A23">
        <w:t xml:space="preserve"> benefits of exenatide </w:t>
      </w:r>
      <w:r w:rsidR="008A5C61">
        <w:t xml:space="preserve">2 mg </w:t>
      </w:r>
      <w:r w:rsidRPr="00244A23">
        <w:t>once weekly in determining the relativities for sharing the consumer surplus associated with reduced frequency of injections.</w:t>
      </w:r>
    </w:p>
    <w:p w:rsidR="000F0D78" w:rsidRDefault="000F0D78" w:rsidP="0037431E">
      <w:pPr>
        <w:pStyle w:val="BodyText"/>
        <w:widowControl/>
        <w:jc w:val="both"/>
      </w:pPr>
    </w:p>
    <w:p w:rsidR="00DF68BC" w:rsidRPr="008752B3" w:rsidRDefault="00DF68BC" w:rsidP="00DF68BC">
      <w:pPr>
        <w:pStyle w:val="BodyText"/>
        <w:widowControl/>
        <w:numPr>
          <w:ilvl w:val="1"/>
          <w:numId w:val="47"/>
        </w:numPr>
        <w:jc w:val="both"/>
      </w:pPr>
      <w:r w:rsidRPr="008752B3">
        <w:t>While the PBAC did not accept the results of the WTP study (</w:t>
      </w:r>
      <w:r w:rsidR="00C10065" w:rsidRPr="008752B3">
        <w:t>see paragraph </w:t>
      </w:r>
      <w:r w:rsidRPr="008752B3">
        <w:t xml:space="preserve">6.25), it considered that the consumer surplus estimate for patients switching from twice daily to once weekly exenatide would be more relevant than the requested WTP price </w:t>
      </w:r>
      <w:r w:rsidR="00FF5077" w:rsidRPr="008752B3">
        <w:t>advantage</w:t>
      </w:r>
      <w:r w:rsidRPr="008752B3">
        <w:t>, which included a weighting for patients switching from oral therapies</w:t>
      </w:r>
      <w:r w:rsidR="004E572E" w:rsidRPr="008752B3">
        <w:t>.</w:t>
      </w:r>
      <w:r w:rsidRPr="008752B3">
        <w:t xml:space="preserve"> </w:t>
      </w:r>
      <w:r w:rsidR="00477C50" w:rsidRPr="008752B3">
        <w:t xml:space="preserve"> However t</w:t>
      </w:r>
      <w:r w:rsidR="001F48DF" w:rsidRPr="008752B3">
        <w:t xml:space="preserve">he PBAC noted that </w:t>
      </w:r>
      <w:r w:rsidR="00477C50" w:rsidRPr="008752B3">
        <w:t>the consumer surplus estimate of $</w:t>
      </w:r>
      <w:r w:rsidR="00C01A93">
        <w:rPr>
          <w:noProof/>
          <w:color w:val="000000"/>
          <w:highlight w:val="black"/>
        </w:rPr>
        <w:t>'''''''''''''''</w:t>
      </w:r>
      <w:r w:rsidR="00477C50" w:rsidRPr="008752B3">
        <w:t xml:space="preserve"> was itself highly uncertain (see paragraph 6.25</w:t>
      </w:r>
      <w:r w:rsidR="00FC4D35" w:rsidRPr="008752B3">
        <w:t>) and could be as low as $</w:t>
      </w:r>
      <w:r w:rsidR="00C01A93">
        <w:rPr>
          <w:noProof/>
          <w:color w:val="000000"/>
          <w:highlight w:val="black"/>
        </w:rPr>
        <w:t>'''''''''''''</w:t>
      </w:r>
      <w:r w:rsidR="00FC4D35" w:rsidRPr="008752B3">
        <w:t>, if the model was accepted.  The PBAC also noted that a number of parameters in the model used to derive the consumer surplus were not statistically significant.</w:t>
      </w:r>
    </w:p>
    <w:p w:rsidR="00DF68BC" w:rsidRPr="008752B3" w:rsidRDefault="00DF68BC" w:rsidP="00DF68BC">
      <w:pPr>
        <w:widowControl/>
      </w:pPr>
    </w:p>
    <w:p w:rsidR="00DF68BC" w:rsidRPr="008752B3" w:rsidRDefault="00477C50" w:rsidP="00DF68BC">
      <w:pPr>
        <w:pStyle w:val="BodyText"/>
        <w:widowControl/>
        <w:numPr>
          <w:ilvl w:val="1"/>
          <w:numId w:val="47"/>
        </w:numPr>
        <w:jc w:val="both"/>
      </w:pPr>
      <w:r w:rsidRPr="008752B3">
        <w:t xml:space="preserve">The </w:t>
      </w:r>
      <w:r w:rsidR="00DF68BC" w:rsidRPr="008752B3">
        <w:t>PBAC</w:t>
      </w:r>
      <w:r w:rsidRPr="008752B3">
        <w:t xml:space="preserve"> also</w:t>
      </w:r>
      <w:r w:rsidR="00DF68BC" w:rsidRPr="008752B3">
        <w:t xml:space="preserve"> recalled that</w:t>
      </w:r>
      <w:r w:rsidR="0037431E" w:rsidRPr="008752B3">
        <w:t>,</w:t>
      </w:r>
      <w:r w:rsidR="00DF68BC" w:rsidRPr="008752B3">
        <w:t xml:space="preserve"> in its </w:t>
      </w:r>
      <w:r w:rsidR="0037431E" w:rsidRPr="008752B3">
        <w:t xml:space="preserve">November 2013 </w:t>
      </w:r>
      <w:r w:rsidR="00DF68BC" w:rsidRPr="008752B3">
        <w:t xml:space="preserve">recommendation of tobramycin, it considered that it would be inappropriate for the estimated consumer surplus to be translated into a price </w:t>
      </w:r>
      <w:r w:rsidR="00FF5077" w:rsidRPr="008752B3">
        <w:t>advantage</w:t>
      </w:r>
      <w:r w:rsidR="00DF68BC" w:rsidRPr="008752B3">
        <w:t xml:space="preserve">, as this, in effect, would transfer the entire surplus to the sponsor. The PBAC noted that in a usual welfare economics framework, the surplus from a subsidy (or from an additional benefit of a product) is shared between consumers and producers, whereas the requested price </w:t>
      </w:r>
      <w:r w:rsidR="00FF5077" w:rsidRPr="008752B3">
        <w:t>advantage</w:t>
      </w:r>
      <w:r w:rsidR="00DF68BC" w:rsidRPr="008752B3">
        <w:t xml:space="preserve"> suggests that the entire welfare gain from the new product w</w:t>
      </w:r>
      <w:r w:rsidR="0037431E" w:rsidRPr="008752B3">
        <w:t>ould</w:t>
      </w:r>
      <w:r w:rsidR="00DF68BC" w:rsidRPr="008752B3">
        <w:t xml:space="preserve"> accrue to the sponsor and be borne by the government</w:t>
      </w:r>
      <w:r w:rsidR="0037431E" w:rsidRPr="008752B3">
        <w:t>.</w:t>
      </w:r>
      <w:r w:rsidRPr="008752B3">
        <w:t xml:space="preserve">  The PBAC considered a more reasonable approach would be for the welfare gain to be equally shared by consumers, the sponsor and government.</w:t>
      </w:r>
    </w:p>
    <w:p w:rsidR="00DF68BC" w:rsidRPr="008752B3" w:rsidRDefault="00DF68BC" w:rsidP="0037431E">
      <w:pPr>
        <w:pStyle w:val="BodyText"/>
        <w:widowControl/>
        <w:jc w:val="both"/>
      </w:pPr>
    </w:p>
    <w:p w:rsidR="00DF68BC" w:rsidRPr="008752B3" w:rsidRDefault="00DF68BC" w:rsidP="00DF68BC">
      <w:pPr>
        <w:pStyle w:val="BodyText"/>
        <w:widowControl/>
        <w:numPr>
          <w:ilvl w:val="1"/>
          <w:numId w:val="47"/>
        </w:numPr>
        <w:jc w:val="both"/>
      </w:pPr>
      <w:r w:rsidRPr="008752B3">
        <w:t xml:space="preserve">The </w:t>
      </w:r>
      <w:r w:rsidR="003C4521">
        <w:t>p</w:t>
      </w:r>
      <w:r w:rsidRPr="008752B3">
        <w:t>re-PBAC response indicated the sponsor was comfortable with the principle of sharing and the precedent set within the tobramycin consideration.</w:t>
      </w:r>
    </w:p>
    <w:p w:rsidR="00DF68BC" w:rsidRPr="008752B3" w:rsidRDefault="00DF68BC" w:rsidP="00DF68BC"/>
    <w:p w:rsidR="00DF68BC" w:rsidRPr="008752B3" w:rsidRDefault="00DF68BC" w:rsidP="00477C50">
      <w:pPr>
        <w:pStyle w:val="BodyText"/>
        <w:widowControl/>
        <w:numPr>
          <w:ilvl w:val="1"/>
          <w:numId w:val="47"/>
        </w:numPr>
        <w:jc w:val="both"/>
      </w:pPr>
      <w:r w:rsidRPr="008752B3">
        <w:t xml:space="preserve">Although the PBAC did not accept </w:t>
      </w:r>
      <w:r w:rsidR="0037431E" w:rsidRPr="008752B3">
        <w:t xml:space="preserve">the extent of the </w:t>
      </w:r>
      <w:r w:rsidRPr="008752B3">
        <w:t xml:space="preserve">price </w:t>
      </w:r>
      <w:r w:rsidR="00FF5077" w:rsidRPr="008752B3">
        <w:t>advantage</w:t>
      </w:r>
      <w:r w:rsidRPr="008752B3">
        <w:t xml:space="preserve"> based on the WTP</w:t>
      </w:r>
      <w:r w:rsidR="00477C50" w:rsidRPr="008752B3">
        <w:t xml:space="preserve"> results for patients switching from twice daily to once weekly exenatide</w:t>
      </w:r>
      <w:r w:rsidRPr="008752B3">
        <w:t>, it considered that a small incremental price advantage could be acceptable to account for the potential health benefits in high clinical need populations who may have better adherence with exenatide onc</w:t>
      </w:r>
      <w:r w:rsidR="0037431E" w:rsidRPr="008752B3">
        <w:t>e weekly than with twice daily.</w:t>
      </w:r>
    </w:p>
    <w:p w:rsidR="00DF68BC" w:rsidRPr="008752B3" w:rsidRDefault="00DF68BC" w:rsidP="00DF68BC"/>
    <w:p w:rsidR="00477C50" w:rsidRPr="008752B3" w:rsidRDefault="00B775AF" w:rsidP="00DF68BC">
      <w:pPr>
        <w:pStyle w:val="BodyText"/>
        <w:widowControl/>
        <w:numPr>
          <w:ilvl w:val="1"/>
          <w:numId w:val="47"/>
        </w:numPr>
        <w:jc w:val="both"/>
      </w:pPr>
      <w:r w:rsidRPr="008752B3">
        <w:t xml:space="preserve">The PBAC recalled that it was more persuaded that the new formulation of tobramycin provided significant impacts on quality of life for patients that were likely to lead to health benefits. </w:t>
      </w:r>
    </w:p>
    <w:p w:rsidR="00477C50" w:rsidRPr="008752B3" w:rsidRDefault="00477C50" w:rsidP="00BE2671">
      <w:pPr>
        <w:pStyle w:val="ListParagraph"/>
      </w:pPr>
    </w:p>
    <w:p w:rsidR="00DF68BC" w:rsidRPr="008752B3" w:rsidRDefault="00DF68BC" w:rsidP="00DF68BC">
      <w:pPr>
        <w:pStyle w:val="BodyText"/>
        <w:widowControl/>
        <w:numPr>
          <w:ilvl w:val="1"/>
          <w:numId w:val="47"/>
        </w:numPr>
        <w:jc w:val="both"/>
      </w:pPr>
      <w:r w:rsidRPr="008752B3">
        <w:t xml:space="preserve">Accordingly, the PBAC considered that the price advantage should be substantially less </w:t>
      </w:r>
      <w:r w:rsidR="00B775AF" w:rsidRPr="008752B3">
        <w:t xml:space="preserve">in absolute and relative terms </w:t>
      </w:r>
      <w:r w:rsidRPr="008752B3">
        <w:t xml:space="preserve">than the estimated WTP </w:t>
      </w:r>
      <w:r w:rsidR="00FF5077" w:rsidRPr="008752B3">
        <w:t>advantage</w:t>
      </w:r>
      <w:r w:rsidRPr="008752B3">
        <w:t xml:space="preserve"> for patients swapping from exenatide twice daily to once weekly of $</w:t>
      </w:r>
      <w:r w:rsidR="00C01A93">
        <w:rPr>
          <w:noProof/>
          <w:color w:val="000000"/>
          <w:highlight w:val="black"/>
        </w:rPr>
        <w:t>'''''''''''''''</w:t>
      </w:r>
      <w:r w:rsidRPr="008752B3">
        <w:t>.</w:t>
      </w:r>
    </w:p>
    <w:p w:rsidR="001222FC" w:rsidRDefault="001222FC" w:rsidP="004E6CA2">
      <w:pPr>
        <w:widowControl/>
      </w:pPr>
    </w:p>
    <w:p w:rsidR="0088648D" w:rsidRPr="0037431E" w:rsidRDefault="0088648D" w:rsidP="00583E1A">
      <w:pPr>
        <w:widowControl/>
        <w:ind w:firstLine="709"/>
        <w:rPr>
          <w:szCs w:val="22"/>
        </w:rPr>
      </w:pPr>
      <w:r w:rsidRPr="00146903">
        <w:rPr>
          <w:i/>
          <w:szCs w:val="22"/>
        </w:rPr>
        <w:t>For more detail on PBAC’s view, see section 7 “PBAC outcome”</w:t>
      </w:r>
      <w:r w:rsidR="0037431E">
        <w:rPr>
          <w:i/>
          <w:szCs w:val="22"/>
        </w:rPr>
        <w:t>.</w:t>
      </w:r>
    </w:p>
    <w:p w:rsidR="0088648D" w:rsidRDefault="0088648D" w:rsidP="004E6CA2">
      <w:pPr>
        <w:widowControl/>
      </w:pPr>
    </w:p>
    <w:p w:rsidR="003E33C0" w:rsidRPr="0037431E" w:rsidRDefault="003E33C0" w:rsidP="004E6CA2">
      <w:pPr>
        <w:keepNext/>
        <w:widowControl/>
        <w:rPr>
          <w:szCs w:val="22"/>
        </w:rPr>
      </w:pPr>
      <w:bookmarkStart w:id="35" w:name="_Toc392858200"/>
      <w:r w:rsidRPr="0037431E">
        <w:rPr>
          <w:b/>
          <w:i/>
        </w:rPr>
        <w:t>Drug cost/patient/year:</w:t>
      </w:r>
      <w:r w:rsidRPr="0037431E">
        <w:rPr>
          <w:i/>
        </w:rPr>
        <w:t xml:space="preserve"> </w:t>
      </w:r>
      <w:r w:rsidRPr="0037431E">
        <w:t>$</w:t>
      </w:r>
      <w:bookmarkEnd w:id="35"/>
      <w:r w:rsidR="00C01A93">
        <w:rPr>
          <w:noProof/>
          <w:color w:val="000000"/>
          <w:highlight w:val="black"/>
        </w:rPr>
        <w:t>''''''''''''''''''''</w:t>
      </w:r>
      <w:r w:rsidR="0037431E">
        <w:t>.</w:t>
      </w:r>
    </w:p>
    <w:p w:rsidR="003E33C0" w:rsidRPr="001222FC" w:rsidRDefault="003E33C0" w:rsidP="004E6CA2">
      <w:pPr>
        <w:keepNext/>
        <w:widowControl/>
      </w:pPr>
    </w:p>
    <w:p w:rsidR="00ED0F04" w:rsidRPr="009A555B" w:rsidRDefault="003E33C0" w:rsidP="004E6CA2">
      <w:pPr>
        <w:pStyle w:val="BodyText"/>
        <w:widowControl/>
        <w:numPr>
          <w:ilvl w:val="1"/>
          <w:numId w:val="47"/>
        </w:numPr>
        <w:jc w:val="both"/>
      </w:pPr>
      <w:bookmarkStart w:id="36" w:name="_Toc380679758"/>
      <w:bookmarkStart w:id="37" w:name="_Toc380742615"/>
      <w:bookmarkStart w:id="38" w:name="_Toc380746182"/>
      <w:bookmarkStart w:id="39" w:name="_Toc380746308"/>
      <w:bookmarkStart w:id="40" w:name="_Toc380746589"/>
      <w:r w:rsidRPr="009A555B">
        <w:t xml:space="preserve">The estimated cost per patient per year </w:t>
      </w:r>
      <w:r w:rsidR="000D014B" w:rsidRPr="009A555B">
        <w:t>wa</w:t>
      </w:r>
      <w:r w:rsidRPr="009A555B">
        <w:t>s</w:t>
      </w:r>
      <w:r w:rsidRPr="009A555B">
        <w:rPr>
          <w:rStyle w:val="Heading2Char"/>
        </w:rPr>
        <w:t xml:space="preserve"> </w:t>
      </w:r>
      <w:r w:rsidR="00ED0F04" w:rsidRPr="009A555B">
        <w:t>$</w:t>
      </w:r>
      <w:r w:rsidR="00C01A93">
        <w:rPr>
          <w:noProof/>
          <w:color w:val="000000"/>
          <w:highlight w:val="black"/>
        </w:rPr>
        <w:t>'''''''''''''''''''''''</w:t>
      </w:r>
      <w:r w:rsidR="00DB2A3E" w:rsidRPr="009A555B">
        <w:t xml:space="preserve"> </w:t>
      </w:r>
      <w:r w:rsidR="00D6477E">
        <w:t>(</w:t>
      </w:r>
      <w:r w:rsidR="0088648D">
        <w:t xml:space="preserve">based on the </w:t>
      </w:r>
      <w:r w:rsidR="00D6477E">
        <w:t xml:space="preserve">DPMQ </w:t>
      </w:r>
      <w:r w:rsidR="0088648D">
        <w:t xml:space="preserve">requested in the submission </w:t>
      </w:r>
      <w:r w:rsidR="00D6477E">
        <w:t>of $</w:t>
      </w:r>
      <w:r w:rsidR="00C01A93">
        <w:rPr>
          <w:noProof/>
          <w:color w:val="000000"/>
          <w:highlight w:val="black"/>
        </w:rPr>
        <w:t>'''''''''''''''''''</w:t>
      </w:r>
      <w:r w:rsidR="00D6477E">
        <w:t xml:space="preserve">) </w:t>
      </w:r>
      <w:r w:rsidR="00DB2A3E" w:rsidRPr="009A555B">
        <w:t xml:space="preserve">compared </w:t>
      </w:r>
      <w:r w:rsidR="0088648D">
        <w:t>with</w:t>
      </w:r>
      <w:r w:rsidR="0088648D" w:rsidRPr="009A555B">
        <w:t xml:space="preserve"> </w:t>
      </w:r>
      <w:r w:rsidR="00DB2A3E" w:rsidRPr="009A555B">
        <w:t>$</w:t>
      </w:r>
      <w:r w:rsidR="00731E69" w:rsidRPr="009A555B">
        <w:t>1,295.</w:t>
      </w:r>
      <w:r w:rsidR="00963F50" w:rsidRPr="009A555B">
        <w:t>18</w:t>
      </w:r>
      <w:r w:rsidR="00DB2A3E" w:rsidRPr="009A555B">
        <w:t xml:space="preserve"> for ex</w:t>
      </w:r>
      <w:r w:rsidR="00C81A26" w:rsidRPr="009A555B">
        <w:t>e</w:t>
      </w:r>
      <w:r w:rsidR="00DB2A3E" w:rsidRPr="009A555B">
        <w:t>natide 10</w:t>
      </w:r>
      <w:r w:rsidR="00B775AF">
        <w:t> </w:t>
      </w:r>
      <w:r w:rsidR="00DB2A3E" w:rsidRPr="009A555B">
        <w:t>mcg twice daily</w:t>
      </w:r>
      <w:r w:rsidR="00731E69" w:rsidRPr="009A555B">
        <w:t xml:space="preserve"> </w:t>
      </w:r>
      <w:r w:rsidR="00D6477E">
        <w:t>(</w:t>
      </w:r>
      <w:r w:rsidR="00731E69" w:rsidRPr="009A555B">
        <w:t xml:space="preserve">based on </w:t>
      </w:r>
      <w:r w:rsidR="006162A4">
        <w:t xml:space="preserve">a </w:t>
      </w:r>
      <w:r w:rsidR="00731E69" w:rsidRPr="009A555B">
        <w:t>DPMQ</w:t>
      </w:r>
      <w:r w:rsidR="00D6477E">
        <w:t xml:space="preserve"> of $99.36) assuming 13.04 prescriptions per year</w:t>
      </w:r>
      <w:r w:rsidRPr="009A555B">
        <w:t>.</w:t>
      </w:r>
    </w:p>
    <w:p w:rsidR="00ED0F04" w:rsidRDefault="00ED0F04" w:rsidP="004E6CA2">
      <w:pPr>
        <w:widowControl/>
      </w:pPr>
    </w:p>
    <w:p w:rsidR="003E33C0" w:rsidRPr="00A93969" w:rsidRDefault="003E33C0" w:rsidP="004E6CA2">
      <w:pPr>
        <w:pStyle w:val="Heading2"/>
        <w:keepNext/>
        <w:widowControl/>
        <w:rPr>
          <w:i/>
        </w:rPr>
      </w:pPr>
      <w:bookmarkStart w:id="41" w:name="_Toc419369084"/>
      <w:bookmarkEnd w:id="36"/>
      <w:bookmarkEnd w:id="37"/>
      <w:bookmarkEnd w:id="38"/>
      <w:bookmarkEnd w:id="39"/>
      <w:bookmarkEnd w:id="40"/>
      <w:r w:rsidRPr="00A93969">
        <w:rPr>
          <w:i/>
        </w:rPr>
        <w:t>Estimated PBS usage &amp; financial implications</w:t>
      </w:r>
      <w:bookmarkEnd w:id="41"/>
    </w:p>
    <w:p w:rsidR="003E33C0" w:rsidRPr="0037431E" w:rsidRDefault="003E33C0" w:rsidP="004E6CA2">
      <w:pPr>
        <w:keepNext/>
        <w:widowControl/>
      </w:pPr>
    </w:p>
    <w:p w:rsidR="00B63B02" w:rsidRDefault="003E33C0" w:rsidP="004E6CA2">
      <w:pPr>
        <w:pStyle w:val="BodyText"/>
        <w:widowControl/>
        <w:numPr>
          <w:ilvl w:val="1"/>
          <w:numId w:val="47"/>
        </w:numPr>
        <w:jc w:val="both"/>
      </w:pPr>
      <w:r w:rsidRPr="003E33C0">
        <w:t xml:space="preserve">This </w:t>
      </w:r>
      <w:r w:rsidR="00181FDD">
        <w:t>re-</w:t>
      </w:r>
      <w:r w:rsidR="00997076">
        <w:t>submission was</w:t>
      </w:r>
      <w:r w:rsidRPr="003E33C0">
        <w:t xml:space="preserve"> </w:t>
      </w:r>
      <w:r w:rsidR="00876C2D">
        <w:t xml:space="preserve">not </w:t>
      </w:r>
      <w:r w:rsidRPr="003E33C0">
        <w:t>considered by DUSC.</w:t>
      </w:r>
    </w:p>
    <w:p w:rsidR="00B63B02" w:rsidRDefault="00B63B02" w:rsidP="004E6CA2">
      <w:pPr>
        <w:widowControl/>
      </w:pPr>
    </w:p>
    <w:p w:rsidR="00DB4585" w:rsidRPr="003E33C0" w:rsidRDefault="00DB4585" w:rsidP="004E6CA2">
      <w:pPr>
        <w:pStyle w:val="BodyText"/>
        <w:widowControl/>
        <w:numPr>
          <w:ilvl w:val="1"/>
          <w:numId w:val="47"/>
        </w:numPr>
        <w:jc w:val="both"/>
      </w:pPr>
      <w:r w:rsidRPr="00880D77">
        <w:t>The estimated extent of use and financial implic</w:t>
      </w:r>
      <w:r w:rsidR="00A218D7" w:rsidRPr="00880D77">
        <w:t>ations</w:t>
      </w:r>
      <w:r w:rsidR="0088648D">
        <w:t xml:space="preserve"> presented in the submission</w:t>
      </w:r>
      <w:r w:rsidR="00A218D7" w:rsidRPr="00880D77">
        <w:t xml:space="preserve"> are summarised in Table</w:t>
      </w:r>
      <w:r w:rsidR="00A218D7">
        <w:t xml:space="preserve"> </w:t>
      </w:r>
      <w:r w:rsidR="004E7ECD">
        <w:t>6</w:t>
      </w:r>
      <w:r w:rsidR="00A218D7">
        <w:t>.</w:t>
      </w:r>
    </w:p>
    <w:p w:rsidR="003E33C0" w:rsidRDefault="003E33C0" w:rsidP="004E6CA2">
      <w:pPr>
        <w:widowControl/>
      </w:pPr>
    </w:p>
    <w:p w:rsidR="001222FC" w:rsidRPr="001222FC" w:rsidRDefault="001222FC" w:rsidP="004E6CA2">
      <w:pPr>
        <w:keepNext/>
        <w:widowControl/>
        <w:ind w:left="720"/>
        <w:rPr>
          <w:rStyle w:val="CommentReference"/>
        </w:rPr>
      </w:pPr>
      <w:r w:rsidRPr="001222FC">
        <w:rPr>
          <w:rStyle w:val="CommentReference"/>
        </w:rPr>
        <w:t xml:space="preserve">Table </w:t>
      </w:r>
      <w:r w:rsidR="004E7ECD">
        <w:rPr>
          <w:rStyle w:val="CommentReference"/>
        </w:rPr>
        <w:t>6</w:t>
      </w:r>
      <w:r w:rsidR="00A218D7">
        <w:rPr>
          <w:rStyle w:val="CommentReference"/>
        </w:rPr>
        <w:t>:</w:t>
      </w:r>
      <w:r w:rsidRPr="001222FC">
        <w:rPr>
          <w:rStyle w:val="CommentReference"/>
        </w:rPr>
        <w:t xml:space="preserve"> Estimated use and financial implications</w:t>
      </w:r>
    </w:p>
    <w:tbl>
      <w:tblPr>
        <w:tblW w:w="4667" w:type="pct"/>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79"/>
        <w:gridCol w:w="1143"/>
        <w:gridCol w:w="1283"/>
        <w:gridCol w:w="1285"/>
        <w:gridCol w:w="1283"/>
        <w:gridCol w:w="1204"/>
      </w:tblGrid>
      <w:tr w:rsidR="00D559E9" w:rsidRPr="00ED0F04" w:rsidTr="00082A7E">
        <w:trPr>
          <w:tblHeader/>
        </w:trPr>
        <w:tc>
          <w:tcPr>
            <w:tcW w:w="1344" w:type="pct"/>
            <w:shd w:val="clear" w:color="auto" w:fill="auto"/>
            <w:vAlign w:val="center"/>
          </w:tcPr>
          <w:p w:rsidR="00EF2D82" w:rsidRPr="00ED0F04" w:rsidRDefault="00EF2D82" w:rsidP="004E6CA2">
            <w:pPr>
              <w:keepNext/>
              <w:widowControl/>
              <w:tabs>
                <w:tab w:val="left" w:pos="142"/>
              </w:tabs>
              <w:jc w:val="left"/>
              <w:rPr>
                <w:rFonts w:ascii="Arial Narrow" w:hAnsi="Arial Narrow"/>
                <w:b/>
                <w:sz w:val="20"/>
              </w:rPr>
            </w:pPr>
          </w:p>
        </w:tc>
        <w:tc>
          <w:tcPr>
            <w:tcW w:w="674" w:type="pct"/>
            <w:shd w:val="clear" w:color="auto" w:fill="auto"/>
            <w:vAlign w:val="center"/>
          </w:tcPr>
          <w:p w:rsidR="00EF2D82" w:rsidRPr="00ED0F04" w:rsidRDefault="00EF2D82" w:rsidP="004E6CA2">
            <w:pPr>
              <w:keepNext/>
              <w:widowControl/>
              <w:jc w:val="center"/>
              <w:rPr>
                <w:rFonts w:ascii="Arial Narrow" w:hAnsi="Arial Narrow"/>
                <w:b/>
                <w:sz w:val="20"/>
              </w:rPr>
            </w:pPr>
            <w:r w:rsidRPr="00ED0F04">
              <w:rPr>
                <w:rFonts w:ascii="Arial Narrow" w:hAnsi="Arial Narrow"/>
                <w:b/>
                <w:sz w:val="20"/>
              </w:rPr>
              <w:t>Year 1</w:t>
            </w:r>
          </w:p>
        </w:tc>
        <w:tc>
          <w:tcPr>
            <w:tcW w:w="757" w:type="pct"/>
            <w:shd w:val="clear" w:color="auto" w:fill="auto"/>
            <w:vAlign w:val="center"/>
          </w:tcPr>
          <w:p w:rsidR="00EF2D82" w:rsidRPr="00ED0F04" w:rsidRDefault="00EF2D82" w:rsidP="004E6CA2">
            <w:pPr>
              <w:keepNext/>
              <w:widowControl/>
              <w:jc w:val="center"/>
              <w:rPr>
                <w:rFonts w:ascii="Arial Narrow" w:hAnsi="Arial Narrow"/>
                <w:b/>
                <w:sz w:val="20"/>
              </w:rPr>
            </w:pPr>
            <w:r w:rsidRPr="00ED0F04">
              <w:rPr>
                <w:rFonts w:ascii="Arial Narrow" w:hAnsi="Arial Narrow"/>
                <w:b/>
                <w:sz w:val="20"/>
              </w:rPr>
              <w:t>Year 2</w:t>
            </w:r>
          </w:p>
        </w:tc>
        <w:tc>
          <w:tcPr>
            <w:tcW w:w="758" w:type="pct"/>
            <w:shd w:val="clear" w:color="auto" w:fill="auto"/>
            <w:vAlign w:val="center"/>
          </w:tcPr>
          <w:p w:rsidR="00EF2D82" w:rsidRPr="00ED0F04" w:rsidRDefault="00EF2D82" w:rsidP="004E6CA2">
            <w:pPr>
              <w:keepNext/>
              <w:widowControl/>
              <w:jc w:val="center"/>
              <w:rPr>
                <w:rFonts w:ascii="Arial Narrow" w:hAnsi="Arial Narrow"/>
                <w:b/>
                <w:sz w:val="20"/>
              </w:rPr>
            </w:pPr>
            <w:r w:rsidRPr="00ED0F04">
              <w:rPr>
                <w:rFonts w:ascii="Arial Narrow" w:hAnsi="Arial Narrow"/>
                <w:b/>
                <w:sz w:val="20"/>
              </w:rPr>
              <w:t>Year 3</w:t>
            </w:r>
          </w:p>
        </w:tc>
        <w:tc>
          <w:tcPr>
            <w:tcW w:w="757" w:type="pct"/>
            <w:shd w:val="clear" w:color="auto" w:fill="auto"/>
            <w:vAlign w:val="center"/>
          </w:tcPr>
          <w:p w:rsidR="00EF2D82" w:rsidRPr="00ED0F04" w:rsidRDefault="00EF2D82" w:rsidP="004E6CA2">
            <w:pPr>
              <w:keepNext/>
              <w:widowControl/>
              <w:jc w:val="center"/>
              <w:rPr>
                <w:rFonts w:ascii="Arial Narrow" w:hAnsi="Arial Narrow"/>
                <w:b/>
                <w:sz w:val="20"/>
              </w:rPr>
            </w:pPr>
            <w:r w:rsidRPr="00ED0F04">
              <w:rPr>
                <w:rFonts w:ascii="Arial Narrow" w:hAnsi="Arial Narrow"/>
                <w:b/>
                <w:sz w:val="20"/>
              </w:rPr>
              <w:t>Year 4</w:t>
            </w:r>
          </w:p>
        </w:tc>
        <w:tc>
          <w:tcPr>
            <w:tcW w:w="710" w:type="pct"/>
            <w:shd w:val="clear" w:color="auto" w:fill="auto"/>
            <w:vAlign w:val="center"/>
          </w:tcPr>
          <w:p w:rsidR="00EF2D82" w:rsidRPr="00ED0F04" w:rsidRDefault="00EF2D82" w:rsidP="004E6CA2">
            <w:pPr>
              <w:keepNext/>
              <w:widowControl/>
              <w:jc w:val="center"/>
              <w:rPr>
                <w:rFonts w:ascii="Arial Narrow" w:hAnsi="Arial Narrow"/>
                <w:b/>
                <w:sz w:val="20"/>
              </w:rPr>
            </w:pPr>
            <w:r w:rsidRPr="00ED0F04">
              <w:rPr>
                <w:rFonts w:ascii="Arial Narrow" w:hAnsi="Arial Narrow"/>
                <w:b/>
                <w:sz w:val="20"/>
              </w:rPr>
              <w:t>Year 5</w:t>
            </w:r>
          </w:p>
        </w:tc>
      </w:tr>
      <w:tr w:rsidR="00EF2D82" w:rsidRPr="00ED0F04" w:rsidTr="00082A7E">
        <w:tc>
          <w:tcPr>
            <w:tcW w:w="5000" w:type="pct"/>
            <w:gridSpan w:val="6"/>
            <w:shd w:val="clear" w:color="auto" w:fill="auto"/>
            <w:vAlign w:val="center"/>
          </w:tcPr>
          <w:p w:rsidR="00EF2D82" w:rsidRPr="00ED0F04" w:rsidRDefault="00EF2D82" w:rsidP="004E6CA2">
            <w:pPr>
              <w:keepNext/>
              <w:widowControl/>
              <w:jc w:val="left"/>
              <w:rPr>
                <w:rFonts w:ascii="Arial Narrow" w:hAnsi="Arial Narrow"/>
                <w:b/>
                <w:bCs/>
                <w:color w:val="000000"/>
                <w:sz w:val="20"/>
              </w:rPr>
            </w:pPr>
            <w:r w:rsidRPr="00ED0F04">
              <w:rPr>
                <w:rFonts w:ascii="Arial Narrow" w:hAnsi="Arial Narrow"/>
                <w:b/>
                <w:bCs/>
                <w:color w:val="000000"/>
                <w:sz w:val="20"/>
              </w:rPr>
              <w:t>Estimated extent of use</w:t>
            </w:r>
          </w:p>
        </w:tc>
      </w:tr>
      <w:tr w:rsidR="00B4233F" w:rsidRPr="00ED0F04" w:rsidTr="00082A7E">
        <w:tc>
          <w:tcPr>
            <w:tcW w:w="1344" w:type="pct"/>
            <w:shd w:val="clear" w:color="auto" w:fill="auto"/>
            <w:vAlign w:val="center"/>
          </w:tcPr>
          <w:p w:rsidR="00667501" w:rsidRPr="00ED0F04" w:rsidRDefault="00667501" w:rsidP="004E6CA2">
            <w:pPr>
              <w:keepNext/>
              <w:widowControl/>
              <w:tabs>
                <w:tab w:val="left" w:pos="142"/>
              </w:tabs>
              <w:jc w:val="left"/>
              <w:rPr>
                <w:rFonts w:ascii="Arial Narrow" w:hAnsi="Arial Narrow"/>
                <w:sz w:val="20"/>
              </w:rPr>
            </w:pPr>
            <w:r w:rsidRPr="00ED0F04">
              <w:rPr>
                <w:rFonts w:ascii="Arial Narrow" w:hAnsi="Arial Narrow"/>
                <w:sz w:val="20"/>
              </w:rPr>
              <w:t>Number treated</w:t>
            </w:r>
          </w:p>
        </w:tc>
        <w:tc>
          <w:tcPr>
            <w:tcW w:w="674" w:type="pct"/>
            <w:vAlign w:val="bottom"/>
          </w:tcPr>
          <w:p w:rsidR="00667501" w:rsidRPr="00C01A93" w:rsidRDefault="00C01A93" w:rsidP="004E6CA2">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57" w:type="pct"/>
            <w:vAlign w:val="bottom"/>
          </w:tcPr>
          <w:p w:rsidR="00667501" w:rsidRPr="00C01A93" w:rsidRDefault="00C01A93" w:rsidP="004E6CA2">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58" w:type="pct"/>
            <w:vAlign w:val="bottom"/>
          </w:tcPr>
          <w:p w:rsidR="00667501" w:rsidRPr="00C01A93" w:rsidRDefault="00C01A93" w:rsidP="004E6CA2">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57" w:type="pct"/>
            <w:vAlign w:val="bottom"/>
          </w:tcPr>
          <w:p w:rsidR="00667501" w:rsidRPr="00C01A93" w:rsidRDefault="00C01A93" w:rsidP="004E6CA2">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10" w:type="pct"/>
            <w:vAlign w:val="bottom"/>
          </w:tcPr>
          <w:p w:rsidR="00667501" w:rsidRPr="00C01A93" w:rsidRDefault="00C01A93" w:rsidP="004E6CA2">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B4233F" w:rsidRPr="00ED0F04" w:rsidTr="00082A7E">
        <w:tc>
          <w:tcPr>
            <w:tcW w:w="1344" w:type="pct"/>
            <w:shd w:val="clear" w:color="auto" w:fill="auto"/>
            <w:vAlign w:val="center"/>
          </w:tcPr>
          <w:p w:rsidR="00CD1B87" w:rsidRPr="00ED0F04" w:rsidRDefault="00CD1B87" w:rsidP="00410B37">
            <w:pPr>
              <w:keepNext/>
              <w:widowControl/>
              <w:tabs>
                <w:tab w:val="left" w:pos="142"/>
              </w:tabs>
              <w:jc w:val="left"/>
              <w:rPr>
                <w:rFonts w:ascii="Arial Narrow" w:hAnsi="Arial Narrow"/>
                <w:sz w:val="20"/>
              </w:rPr>
            </w:pPr>
            <w:r w:rsidRPr="00ED0F04">
              <w:rPr>
                <w:rFonts w:ascii="Arial Narrow" w:hAnsi="Arial Narrow"/>
                <w:sz w:val="20"/>
              </w:rPr>
              <w:t>Market share</w:t>
            </w:r>
          </w:p>
        </w:tc>
        <w:tc>
          <w:tcPr>
            <w:tcW w:w="674" w:type="pct"/>
            <w:vAlign w:val="center"/>
          </w:tcPr>
          <w:p w:rsidR="00CD1B87" w:rsidRPr="00CD1B87" w:rsidRDefault="00C01A93" w:rsidP="004E6CA2">
            <w:pPr>
              <w:keepNext/>
              <w:widowControl/>
              <w:jc w:val="center"/>
              <w:rPr>
                <w:rFonts w:ascii="Arial Narrow" w:hAnsi="Arial Narrow"/>
                <w:bCs/>
                <w:color w:val="000000"/>
                <w:sz w:val="20"/>
              </w:rPr>
            </w:pPr>
            <w:r>
              <w:rPr>
                <w:rFonts w:ascii="Arial Narrow" w:hAnsi="Arial Narrow"/>
                <w:noProof/>
                <w:color w:val="000000"/>
                <w:sz w:val="20"/>
                <w:szCs w:val="18"/>
                <w:highlight w:val="black"/>
              </w:rPr>
              <w:t>''''''</w:t>
            </w:r>
            <w:r w:rsidR="00CD1B87" w:rsidRPr="00CD1B87">
              <w:rPr>
                <w:rFonts w:ascii="Arial Narrow" w:hAnsi="Arial Narrow"/>
                <w:sz w:val="20"/>
                <w:szCs w:val="18"/>
              </w:rPr>
              <w:t>%</w:t>
            </w:r>
          </w:p>
        </w:tc>
        <w:tc>
          <w:tcPr>
            <w:tcW w:w="757" w:type="pct"/>
            <w:vAlign w:val="center"/>
          </w:tcPr>
          <w:p w:rsidR="00CD1B87" w:rsidRPr="00CD1B87" w:rsidRDefault="00C01A93" w:rsidP="004E6CA2">
            <w:pPr>
              <w:keepNext/>
              <w:widowControl/>
              <w:jc w:val="center"/>
              <w:rPr>
                <w:rFonts w:ascii="Arial Narrow" w:hAnsi="Arial Narrow"/>
                <w:bCs/>
                <w:color w:val="000000"/>
                <w:sz w:val="20"/>
              </w:rPr>
            </w:pPr>
            <w:r>
              <w:rPr>
                <w:rFonts w:ascii="Arial Narrow" w:hAnsi="Arial Narrow"/>
                <w:noProof/>
                <w:color w:val="000000"/>
                <w:sz w:val="20"/>
                <w:szCs w:val="18"/>
                <w:highlight w:val="black"/>
              </w:rPr>
              <w:t>'''''''</w:t>
            </w:r>
            <w:r w:rsidR="00CD1B87" w:rsidRPr="00CD1B87">
              <w:rPr>
                <w:rFonts w:ascii="Arial Narrow" w:hAnsi="Arial Narrow"/>
                <w:sz w:val="20"/>
                <w:szCs w:val="18"/>
              </w:rPr>
              <w:t>%</w:t>
            </w:r>
          </w:p>
        </w:tc>
        <w:tc>
          <w:tcPr>
            <w:tcW w:w="758" w:type="pct"/>
            <w:vAlign w:val="center"/>
          </w:tcPr>
          <w:p w:rsidR="00CD1B87" w:rsidRPr="00CD1B87" w:rsidRDefault="00C01A93" w:rsidP="004E6CA2">
            <w:pPr>
              <w:keepNext/>
              <w:widowControl/>
              <w:jc w:val="center"/>
              <w:rPr>
                <w:rFonts w:ascii="Arial Narrow" w:hAnsi="Arial Narrow"/>
                <w:bCs/>
                <w:color w:val="000000"/>
                <w:sz w:val="20"/>
              </w:rPr>
            </w:pPr>
            <w:r>
              <w:rPr>
                <w:rFonts w:ascii="Arial Narrow" w:hAnsi="Arial Narrow"/>
                <w:noProof/>
                <w:color w:val="000000"/>
                <w:sz w:val="20"/>
                <w:szCs w:val="18"/>
                <w:highlight w:val="black"/>
              </w:rPr>
              <w:t>'''''</w:t>
            </w:r>
            <w:r w:rsidR="00CD1B87" w:rsidRPr="00CD1B87">
              <w:rPr>
                <w:rFonts w:ascii="Arial Narrow" w:hAnsi="Arial Narrow"/>
                <w:sz w:val="20"/>
                <w:szCs w:val="18"/>
              </w:rPr>
              <w:t>%</w:t>
            </w:r>
          </w:p>
        </w:tc>
        <w:tc>
          <w:tcPr>
            <w:tcW w:w="757" w:type="pct"/>
            <w:vAlign w:val="center"/>
          </w:tcPr>
          <w:p w:rsidR="00CD1B87" w:rsidRPr="00CD1B87" w:rsidRDefault="00C01A93" w:rsidP="004E6CA2">
            <w:pPr>
              <w:keepNext/>
              <w:widowControl/>
              <w:jc w:val="center"/>
              <w:rPr>
                <w:rFonts w:ascii="Arial Narrow" w:hAnsi="Arial Narrow"/>
                <w:bCs/>
                <w:color w:val="000000"/>
                <w:sz w:val="20"/>
              </w:rPr>
            </w:pPr>
            <w:r>
              <w:rPr>
                <w:rFonts w:ascii="Arial Narrow" w:hAnsi="Arial Narrow"/>
                <w:noProof/>
                <w:color w:val="000000"/>
                <w:sz w:val="20"/>
                <w:szCs w:val="18"/>
                <w:highlight w:val="black"/>
              </w:rPr>
              <w:t>''''''</w:t>
            </w:r>
            <w:r w:rsidR="00CD1B87" w:rsidRPr="00CD1B87">
              <w:rPr>
                <w:rFonts w:ascii="Arial Narrow" w:hAnsi="Arial Narrow"/>
                <w:sz w:val="20"/>
                <w:szCs w:val="18"/>
              </w:rPr>
              <w:t>%</w:t>
            </w:r>
          </w:p>
        </w:tc>
        <w:tc>
          <w:tcPr>
            <w:tcW w:w="710" w:type="pct"/>
            <w:vAlign w:val="center"/>
          </w:tcPr>
          <w:p w:rsidR="00CD1B87" w:rsidRPr="00CD1B87" w:rsidRDefault="00C01A93" w:rsidP="004E6CA2">
            <w:pPr>
              <w:keepNext/>
              <w:widowControl/>
              <w:jc w:val="center"/>
              <w:rPr>
                <w:rFonts w:ascii="Arial Narrow" w:hAnsi="Arial Narrow"/>
                <w:bCs/>
                <w:color w:val="000000"/>
                <w:sz w:val="20"/>
              </w:rPr>
            </w:pPr>
            <w:r>
              <w:rPr>
                <w:rFonts w:ascii="Arial Narrow" w:hAnsi="Arial Narrow"/>
                <w:noProof/>
                <w:color w:val="000000"/>
                <w:sz w:val="20"/>
                <w:szCs w:val="18"/>
                <w:highlight w:val="black"/>
              </w:rPr>
              <w:t>'''''''</w:t>
            </w:r>
            <w:r w:rsidR="00CD1B87" w:rsidRPr="00CD1B87">
              <w:rPr>
                <w:rFonts w:ascii="Arial Narrow" w:hAnsi="Arial Narrow"/>
                <w:sz w:val="20"/>
                <w:szCs w:val="18"/>
              </w:rPr>
              <w:t>%</w:t>
            </w:r>
          </w:p>
        </w:tc>
      </w:tr>
      <w:tr w:rsidR="00D559E9" w:rsidRPr="00ED0F04" w:rsidTr="00082A7E">
        <w:tc>
          <w:tcPr>
            <w:tcW w:w="1344" w:type="pct"/>
            <w:shd w:val="clear" w:color="auto" w:fill="auto"/>
            <w:vAlign w:val="center"/>
          </w:tcPr>
          <w:p w:rsidR="00876F63" w:rsidRPr="00ED0F04" w:rsidRDefault="00876F63" w:rsidP="004E6CA2">
            <w:pPr>
              <w:keepNext/>
              <w:widowControl/>
              <w:tabs>
                <w:tab w:val="left" w:pos="142"/>
              </w:tabs>
              <w:jc w:val="left"/>
              <w:rPr>
                <w:rFonts w:ascii="Arial Narrow" w:hAnsi="Arial Narrow"/>
                <w:sz w:val="20"/>
              </w:rPr>
            </w:pPr>
            <w:r w:rsidRPr="00ED0F04">
              <w:rPr>
                <w:rFonts w:ascii="Arial Narrow" w:hAnsi="Arial Narrow"/>
                <w:sz w:val="20"/>
              </w:rPr>
              <w:t>Scripts</w:t>
            </w:r>
            <w:r w:rsidRPr="00ED0F04">
              <w:rPr>
                <w:rFonts w:ascii="Arial Narrow" w:hAnsi="Arial Narrow"/>
                <w:sz w:val="20"/>
                <w:vertAlign w:val="superscript"/>
              </w:rPr>
              <w:t>a</w:t>
            </w:r>
          </w:p>
        </w:tc>
        <w:tc>
          <w:tcPr>
            <w:tcW w:w="674" w:type="pct"/>
            <w:vAlign w:val="center"/>
          </w:tcPr>
          <w:p w:rsidR="00876F63" w:rsidRPr="00C01A93" w:rsidRDefault="00C01A93" w:rsidP="004E6CA2">
            <w:pPr>
              <w:keepNext/>
              <w:widowControl/>
              <w:jc w:val="center"/>
              <w:rPr>
                <w:rFonts w:ascii="Arial Narrow" w:hAnsi="Arial Narrow"/>
                <w:bCs/>
                <w:color w:val="000000"/>
                <w:sz w:val="20"/>
                <w:highlight w:val="black"/>
              </w:rPr>
            </w:pPr>
            <w:r>
              <w:rPr>
                <w:rFonts w:ascii="Arial Narrow" w:hAnsi="Arial Narrow"/>
                <w:iCs/>
                <w:noProof/>
                <w:color w:val="000000"/>
                <w:sz w:val="20"/>
                <w:highlight w:val="black"/>
              </w:rPr>
              <w:t>''''''''''''''''''</w:t>
            </w:r>
          </w:p>
        </w:tc>
        <w:tc>
          <w:tcPr>
            <w:tcW w:w="757" w:type="pct"/>
            <w:vAlign w:val="center"/>
          </w:tcPr>
          <w:p w:rsidR="00876F63" w:rsidRPr="00C01A93" w:rsidRDefault="00C01A93" w:rsidP="004E6CA2">
            <w:pPr>
              <w:keepNext/>
              <w:widowControl/>
              <w:jc w:val="center"/>
              <w:rPr>
                <w:rFonts w:ascii="Arial Narrow" w:hAnsi="Arial Narrow"/>
                <w:bCs/>
                <w:color w:val="000000"/>
                <w:sz w:val="20"/>
                <w:highlight w:val="black"/>
              </w:rPr>
            </w:pPr>
            <w:r>
              <w:rPr>
                <w:rFonts w:ascii="Arial Narrow" w:hAnsi="Arial Narrow"/>
                <w:iCs/>
                <w:noProof/>
                <w:color w:val="000000"/>
                <w:sz w:val="20"/>
                <w:highlight w:val="black"/>
              </w:rPr>
              <w:t>''''''''''''''''''</w:t>
            </w:r>
          </w:p>
        </w:tc>
        <w:tc>
          <w:tcPr>
            <w:tcW w:w="758" w:type="pct"/>
            <w:vAlign w:val="center"/>
          </w:tcPr>
          <w:p w:rsidR="00876F63" w:rsidRPr="00C01A93" w:rsidRDefault="00C01A93" w:rsidP="004E6CA2">
            <w:pPr>
              <w:keepNext/>
              <w:widowControl/>
              <w:jc w:val="center"/>
              <w:rPr>
                <w:rFonts w:ascii="Arial Narrow" w:hAnsi="Arial Narrow"/>
                <w:bCs/>
                <w:color w:val="000000"/>
                <w:sz w:val="20"/>
                <w:highlight w:val="black"/>
              </w:rPr>
            </w:pPr>
            <w:r>
              <w:rPr>
                <w:rFonts w:ascii="Arial Narrow" w:hAnsi="Arial Narrow"/>
                <w:iCs/>
                <w:noProof/>
                <w:color w:val="000000"/>
                <w:sz w:val="20"/>
                <w:highlight w:val="black"/>
              </w:rPr>
              <w:t>''''''''''''''''''</w:t>
            </w:r>
          </w:p>
        </w:tc>
        <w:tc>
          <w:tcPr>
            <w:tcW w:w="757" w:type="pct"/>
            <w:vAlign w:val="center"/>
          </w:tcPr>
          <w:p w:rsidR="00876F63" w:rsidRPr="00C01A93" w:rsidRDefault="00C01A93" w:rsidP="004E6CA2">
            <w:pPr>
              <w:keepNext/>
              <w:widowControl/>
              <w:jc w:val="center"/>
              <w:rPr>
                <w:rFonts w:ascii="Arial Narrow" w:hAnsi="Arial Narrow"/>
                <w:bCs/>
                <w:color w:val="000000"/>
                <w:sz w:val="20"/>
                <w:highlight w:val="black"/>
              </w:rPr>
            </w:pPr>
            <w:r>
              <w:rPr>
                <w:rFonts w:ascii="Arial Narrow" w:hAnsi="Arial Narrow"/>
                <w:iCs/>
                <w:noProof/>
                <w:color w:val="000000"/>
                <w:sz w:val="20"/>
                <w:highlight w:val="black"/>
              </w:rPr>
              <w:t>''''''''''''''''''</w:t>
            </w:r>
          </w:p>
        </w:tc>
        <w:tc>
          <w:tcPr>
            <w:tcW w:w="710" w:type="pct"/>
            <w:vAlign w:val="center"/>
          </w:tcPr>
          <w:p w:rsidR="00876F63" w:rsidRPr="00C01A93" w:rsidRDefault="00C01A93" w:rsidP="004E6CA2">
            <w:pPr>
              <w:keepNext/>
              <w:widowControl/>
              <w:jc w:val="center"/>
              <w:rPr>
                <w:rFonts w:ascii="Arial Narrow" w:hAnsi="Arial Narrow"/>
                <w:bCs/>
                <w:color w:val="000000"/>
                <w:sz w:val="20"/>
                <w:highlight w:val="black"/>
              </w:rPr>
            </w:pPr>
            <w:r>
              <w:rPr>
                <w:rFonts w:ascii="Arial Narrow" w:hAnsi="Arial Narrow"/>
                <w:iCs/>
                <w:noProof/>
                <w:color w:val="000000"/>
                <w:sz w:val="20"/>
                <w:highlight w:val="black"/>
              </w:rPr>
              <w:t>''''''''''''''''''''</w:t>
            </w:r>
          </w:p>
        </w:tc>
      </w:tr>
      <w:tr w:rsidR="00E01887" w:rsidRPr="00D21EAE" w:rsidTr="00C045DA">
        <w:tc>
          <w:tcPr>
            <w:tcW w:w="1344" w:type="pct"/>
            <w:shd w:val="clear" w:color="auto" w:fill="auto"/>
            <w:vAlign w:val="center"/>
          </w:tcPr>
          <w:p w:rsidR="00E01887" w:rsidRPr="00D21EAE" w:rsidRDefault="00E01887" w:rsidP="004E6CA2">
            <w:pPr>
              <w:keepNext/>
              <w:widowControl/>
              <w:tabs>
                <w:tab w:val="left" w:pos="142"/>
              </w:tabs>
              <w:jc w:val="left"/>
              <w:rPr>
                <w:rFonts w:ascii="Arial Narrow" w:hAnsi="Arial Narrow"/>
                <w:sz w:val="20"/>
              </w:rPr>
            </w:pPr>
            <w:r w:rsidRPr="00D21EAE">
              <w:rPr>
                <w:rFonts w:ascii="Arial Narrow" w:hAnsi="Arial Narrow"/>
                <w:sz w:val="20"/>
              </w:rPr>
              <w:t>Scripts</w:t>
            </w:r>
            <w:r w:rsidRPr="00D21EAE">
              <w:rPr>
                <w:rFonts w:ascii="Arial Narrow" w:hAnsi="Arial Narrow"/>
                <w:sz w:val="20"/>
                <w:vertAlign w:val="superscript"/>
              </w:rPr>
              <w:t>a</w:t>
            </w:r>
            <w:r w:rsidRPr="00D21EAE">
              <w:rPr>
                <w:rFonts w:ascii="Arial Narrow" w:hAnsi="Arial Narrow"/>
                <w:sz w:val="20"/>
              </w:rPr>
              <w:t xml:space="preserve"> - Nov 2013</w:t>
            </w:r>
          </w:p>
        </w:tc>
        <w:tc>
          <w:tcPr>
            <w:tcW w:w="674" w:type="pct"/>
            <w:shd w:val="clear" w:color="auto" w:fill="auto"/>
            <w:vAlign w:val="center"/>
          </w:tcPr>
          <w:p w:rsidR="00E01887" w:rsidRPr="00C01A93" w:rsidRDefault="00C01A93" w:rsidP="004E6CA2">
            <w:pPr>
              <w:keepNext/>
              <w:widowControl/>
              <w:jc w:val="center"/>
              <w:rPr>
                <w:rFonts w:ascii="Arial Narrow" w:hAnsi="Arial Narrow"/>
                <w:bCs/>
                <w:sz w:val="20"/>
                <w:highlight w:val="black"/>
              </w:rPr>
            </w:pPr>
            <w:r>
              <w:rPr>
                <w:rFonts w:ascii="Arial Narrow" w:hAnsi="Arial Narrow"/>
                <w:noProof/>
                <w:color w:val="000000"/>
                <w:sz w:val="20"/>
                <w:highlight w:val="black"/>
              </w:rPr>
              <w:t>''''''''''''''''''''</w:t>
            </w:r>
          </w:p>
        </w:tc>
        <w:tc>
          <w:tcPr>
            <w:tcW w:w="757" w:type="pct"/>
            <w:shd w:val="clear" w:color="auto" w:fill="auto"/>
            <w:vAlign w:val="center"/>
          </w:tcPr>
          <w:p w:rsidR="00E01887" w:rsidRPr="00C01A93" w:rsidRDefault="00C01A93" w:rsidP="004E6CA2">
            <w:pPr>
              <w:keepNext/>
              <w:widowControl/>
              <w:jc w:val="center"/>
              <w:rPr>
                <w:rFonts w:ascii="Arial Narrow" w:hAnsi="Arial Narrow"/>
                <w:bCs/>
                <w:sz w:val="20"/>
                <w:highlight w:val="black"/>
              </w:rPr>
            </w:pPr>
            <w:r>
              <w:rPr>
                <w:rFonts w:ascii="Arial Narrow" w:hAnsi="Arial Narrow"/>
                <w:noProof/>
                <w:color w:val="000000"/>
                <w:sz w:val="20"/>
                <w:highlight w:val="black"/>
              </w:rPr>
              <w:t>''''''''''''''''''''</w:t>
            </w:r>
          </w:p>
        </w:tc>
        <w:tc>
          <w:tcPr>
            <w:tcW w:w="758" w:type="pct"/>
            <w:shd w:val="clear" w:color="auto" w:fill="auto"/>
            <w:vAlign w:val="center"/>
          </w:tcPr>
          <w:p w:rsidR="00E01887" w:rsidRPr="00C01A93" w:rsidRDefault="00C01A93" w:rsidP="004E6CA2">
            <w:pPr>
              <w:keepNext/>
              <w:widowControl/>
              <w:jc w:val="center"/>
              <w:rPr>
                <w:rFonts w:ascii="Arial Narrow" w:hAnsi="Arial Narrow"/>
                <w:bCs/>
                <w:sz w:val="20"/>
                <w:highlight w:val="black"/>
              </w:rPr>
            </w:pPr>
            <w:r>
              <w:rPr>
                <w:rFonts w:ascii="Arial Narrow" w:hAnsi="Arial Narrow"/>
                <w:noProof/>
                <w:color w:val="000000"/>
                <w:sz w:val="20"/>
                <w:highlight w:val="black"/>
              </w:rPr>
              <w:t>''''''''''''''''''''</w:t>
            </w:r>
          </w:p>
        </w:tc>
        <w:tc>
          <w:tcPr>
            <w:tcW w:w="757" w:type="pct"/>
            <w:shd w:val="clear" w:color="auto" w:fill="auto"/>
            <w:vAlign w:val="center"/>
          </w:tcPr>
          <w:p w:rsidR="00E01887" w:rsidRPr="00C01A93" w:rsidRDefault="00C01A93" w:rsidP="004E6CA2">
            <w:pPr>
              <w:keepNext/>
              <w:widowControl/>
              <w:jc w:val="center"/>
              <w:rPr>
                <w:rFonts w:ascii="Arial Narrow" w:hAnsi="Arial Narrow"/>
                <w:bCs/>
                <w:sz w:val="20"/>
                <w:highlight w:val="black"/>
              </w:rPr>
            </w:pPr>
            <w:r>
              <w:rPr>
                <w:rFonts w:ascii="Arial Narrow" w:hAnsi="Arial Narrow"/>
                <w:noProof/>
                <w:color w:val="000000"/>
                <w:sz w:val="20"/>
                <w:highlight w:val="black"/>
              </w:rPr>
              <w:t>'''''''''''''''''''</w:t>
            </w:r>
          </w:p>
        </w:tc>
        <w:tc>
          <w:tcPr>
            <w:tcW w:w="710" w:type="pct"/>
            <w:shd w:val="clear" w:color="auto" w:fill="auto"/>
            <w:vAlign w:val="center"/>
          </w:tcPr>
          <w:p w:rsidR="00E01887" w:rsidRPr="00C01A93" w:rsidRDefault="00C01A93" w:rsidP="004E6CA2">
            <w:pPr>
              <w:keepNext/>
              <w:widowControl/>
              <w:jc w:val="center"/>
              <w:rPr>
                <w:rFonts w:ascii="Arial Narrow" w:hAnsi="Arial Narrow"/>
                <w:bCs/>
                <w:sz w:val="20"/>
                <w:highlight w:val="black"/>
              </w:rPr>
            </w:pPr>
            <w:r>
              <w:rPr>
                <w:rFonts w:ascii="Arial Narrow" w:hAnsi="Arial Narrow"/>
                <w:noProof/>
                <w:color w:val="000000"/>
                <w:sz w:val="20"/>
                <w:highlight w:val="black"/>
              </w:rPr>
              <w:t>'''''''''''''''''''</w:t>
            </w:r>
          </w:p>
        </w:tc>
      </w:tr>
      <w:tr w:rsidR="00EF2D82" w:rsidRPr="00ED0F04" w:rsidTr="00082A7E">
        <w:tc>
          <w:tcPr>
            <w:tcW w:w="5000" w:type="pct"/>
            <w:gridSpan w:val="6"/>
            <w:shd w:val="clear" w:color="auto" w:fill="auto"/>
            <w:vAlign w:val="center"/>
          </w:tcPr>
          <w:p w:rsidR="00EF2D82" w:rsidRPr="00ED0F04" w:rsidRDefault="00EF2D82" w:rsidP="004E6CA2">
            <w:pPr>
              <w:keepNext/>
              <w:widowControl/>
              <w:jc w:val="left"/>
              <w:rPr>
                <w:rFonts w:ascii="Arial Narrow" w:hAnsi="Arial Narrow"/>
                <w:b/>
                <w:bCs/>
                <w:color w:val="000000"/>
                <w:sz w:val="20"/>
              </w:rPr>
            </w:pPr>
            <w:r w:rsidRPr="00ED0F04">
              <w:rPr>
                <w:rFonts w:ascii="Arial Narrow" w:hAnsi="Arial Narrow"/>
                <w:b/>
                <w:bCs/>
                <w:color w:val="000000"/>
                <w:sz w:val="20"/>
              </w:rPr>
              <w:t>Estimated net cost to PBS/RPBS/MBS</w:t>
            </w:r>
          </w:p>
        </w:tc>
      </w:tr>
      <w:tr w:rsidR="00B4233F" w:rsidRPr="00ED0F04" w:rsidTr="00082A7E">
        <w:tc>
          <w:tcPr>
            <w:tcW w:w="1344" w:type="pct"/>
            <w:shd w:val="clear" w:color="auto" w:fill="auto"/>
            <w:vAlign w:val="center"/>
          </w:tcPr>
          <w:p w:rsidR="005A2C89" w:rsidRPr="00ED0F04" w:rsidRDefault="005A2C89" w:rsidP="004E6CA2">
            <w:pPr>
              <w:keepNext/>
              <w:widowControl/>
              <w:tabs>
                <w:tab w:val="left" w:pos="142"/>
              </w:tabs>
              <w:jc w:val="left"/>
              <w:rPr>
                <w:rFonts w:ascii="Arial Narrow" w:hAnsi="Arial Narrow"/>
                <w:sz w:val="20"/>
              </w:rPr>
            </w:pPr>
            <w:r w:rsidRPr="00ED0F04">
              <w:rPr>
                <w:rFonts w:ascii="Arial Narrow" w:hAnsi="Arial Narrow"/>
                <w:sz w:val="20"/>
              </w:rPr>
              <w:t>Net cost to PBS</w:t>
            </w:r>
            <w:r>
              <w:rPr>
                <w:rFonts w:ascii="Arial Narrow" w:hAnsi="Arial Narrow"/>
                <w:sz w:val="20"/>
              </w:rPr>
              <w:t xml:space="preserve"> </w:t>
            </w:r>
          </w:p>
        </w:tc>
        <w:tc>
          <w:tcPr>
            <w:tcW w:w="674" w:type="pct"/>
            <w:vAlign w:val="bottom"/>
          </w:tcPr>
          <w:p w:rsidR="005A2C89" w:rsidRPr="005A2C89" w:rsidRDefault="005A2C89" w:rsidP="004E6CA2">
            <w:pPr>
              <w:keepNext/>
              <w:widowControl/>
              <w:jc w:val="center"/>
              <w:rPr>
                <w:rFonts w:ascii="Arial Narrow" w:hAnsi="Arial Narrow"/>
                <w:bCs/>
                <w:color w:val="000000"/>
                <w:sz w:val="20"/>
              </w:rPr>
            </w:pPr>
            <w:r w:rsidRPr="005A2C89">
              <w:rPr>
                <w:rFonts w:ascii="Arial Narrow" w:hAnsi="Arial Narrow"/>
                <w:bCs/>
                <w:sz w:val="20"/>
              </w:rPr>
              <w:t>$</w:t>
            </w:r>
            <w:r w:rsidR="00C01A93">
              <w:rPr>
                <w:rFonts w:ascii="Arial Narrow" w:hAnsi="Arial Narrow"/>
                <w:bCs/>
                <w:noProof/>
                <w:color w:val="000000"/>
                <w:sz w:val="20"/>
                <w:highlight w:val="black"/>
              </w:rPr>
              <w:t>''''''''''''''''''''''''</w:t>
            </w:r>
          </w:p>
        </w:tc>
        <w:tc>
          <w:tcPr>
            <w:tcW w:w="757" w:type="pct"/>
            <w:vAlign w:val="bottom"/>
          </w:tcPr>
          <w:p w:rsidR="005A2C89" w:rsidRPr="005A2C89" w:rsidRDefault="005A2C89" w:rsidP="004E6CA2">
            <w:pPr>
              <w:keepNext/>
              <w:widowControl/>
              <w:jc w:val="center"/>
              <w:rPr>
                <w:rFonts w:ascii="Arial Narrow" w:hAnsi="Arial Narrow"/>
                <w:bCs/>
                <w:color w:val="000000"/>
                <w:sz w:val="20"/>
              </w:rPr>
            </w:pPr>
            <w:r w:rsidRPr="005A2C89">
              <w:rPr>
                <w:rFonts w:ascii="Arial Narrow" w:hAnsi="Arial Narrow"/>
                <w:bCs/>
                <w:sz w:val="20"/>
              </w:rPr>
              <w:t>$</w:t>
            </w:r>
            <w:r w:rsidR="00C01A93">
              <w:rPr>
                <w:rFonts w:ascii="Arial Narrow" w:hAnsi="Arial Narrow"/>
                <w:bCs/>
                <w:noProof/>
                <w:color w:val="000000"/>
                <w:sz w:val="20"/>
                <w:highlight w:val="black"/>
              </w:rPr>
              <w:t>'''''''''''''''''''''''''''''</w:t>
            </w:r>
          </w:p>
        </w:tc>
        <w:tc>
          <w:tcPr>
            <w:tcW w:w="758" w:type="pct"/>
            <w:vAlign w:val="bottom"/>
          </w:tcPr>
          <w:p w:rsidR="005A2C89" w:rsidRPr="005A2C89" w:rsidRDefault="005A2C89" w:rsidP="004E6CA2">
            <w:pPr>
              <w:keepNext/>
              <w:widowControl/>
              <w:jc w:val="center"/>
              <w:rPr>
                <w:rFonts w:ascii="Arial Narrow" w:hAnsi="Arial Narrow"/>
                <w:bCs/>
                <w:color w:val="000000"/>
                <w:sz w:val="20"/>
              </w:rPr>
            </w:pPr>
            <w:r w:rsidRPr="005A2C89">
              <w:rPr>
                <w:rFonts w:ascii="Arial Narrow" w:hAnsi="Arial Narrow"/>
                <w:bCs/>
                <w:sz w:val="20"/>
              </w:rPr>
              <w:t>$</w:t>
            </w:r>
            <w:r w:rsidR="00C01A93">
              <w:rPr>
                <w:rFonts w:ascii="Arial Narrow" w:hAnsi="Arial Narrow"/>
                <w:bCs/>
                <w:noProof/>
                <w:color w:val="000000"/>
                <w:sz w:val="20"/>
                <w:highlight w:val="black"/>
              </w:rPr>
              <w:t>''''''''''''''''''''''''''''</w:t>
            </w:r>
          </w:p>
        </w:tc>
        <w:tc>
          <w:tcPr>
            <w:tcW w:w="757" w:type="pct"/>
            <w:vAlign w:val="bottom"/>
          </w:tcPr>
          <w:p w:rsidR="005A2C89" w:rsidRPr="005A2C89" w:rsidRDefault="005A2C89" w:rsidP="004E6CA2">
            <w:pPr>
              <w:keepNext/>
              <w:widowControl/>
              <w:jc w:val="center"/>
              <w:rPr>
                <w:rFonts w:ascii="Arial Narrow" w:hAnsi="Arial Narrow"/>
                <w:bCs/>
                <w:color w:val="000000"/>
                <w:sz w:val="20"/>
              </w:rPr>
            </w:pPr>
            <w:r w:rsidRPr="005A2C89">
              <w:rPr>
                <w:rFonts w:ascii="Arial Narrow" w:hAnsi="Arial Narrow"/>
                <w:bCs/>
                <w:sz w:val="20"/>
              </w:rPr>
              <w:t>$</w:t>
            </w:r>
            <w:r w:rsidR="00C01A93">
              <w:rPr>
                <w:rFonts w:ascii="Arial Narrow" w:hAnsi="Arial Narrow"/>
                <w:bCs/>
                <w:noProof/>
                <w:color w:val="000000"/>
                <w:sz w:val="20"/>
                <w:highlight w:val="black"/>
              </w:rPr>
              <w:t>'''''''''''''''''''''''</w:t>
            </w:r>
          </w:p>
        </w:tc>
        <w:tc>
          <w:tcPr>
            <w:tcW w:w="710" w:type="pct"/>
            <w:vAlign w:val="bottom"/>
          </w:tcPr>
          <w:p w:rsidR="005A2C89" w:rsidRPr="005A2C89" w:rsidRDefault="005A2C89" w:rsidP="004E6CA2">
            <w:pPr>
              <w:keepNext/>
              <w:widowControl/>
              <w:jc w:val="center"/>
              <w:rPr>
                <w:rFonts w:ascii="Arial Narrow" w:hAnsi="Arial Narrow"/>
                <w:bCs/>
                <w:color w:val="000000"/>
                <w:sz w:val="20"/>
              </w:rPr>
            </w:pPr>
            <w:r w:rsidRPr="005A2C89">
              <w:rPr>
                <w:rFonts w:ascii="Arial Narrow" w:hAnsi="Arial Narrow"/>
                <w:bCs/>
                <w:sz w:val="20"/>
              </w:rPr>
              <w:t>$</w:t>
            </w:r>
            <w:r w:rsidR="00C01A93">
              <w:rPr>
                <w:rFonts w:ascii="Arial Narrow" w:hAnsi="Arial Narrow"/>
                <w:bCs/>
                <w:noProof/>
                <w:color w:val="000000"/>
                <w:sz w:val="20"/>
                <w:highlight w:val="black"/>
              </w:rPr>
              <w:t>'''''''''''''''''''''''''</w:t>
            </w:r>
          </w:p>
        </w:tc>
      </w:tr>
      <w:tr w:rsidR="009E6973" w:rsidRPr="00ED0F04" w:rsidTr="009E6973">
        <w:tc>
          <w:tcPr>
            <w:tcW w:w="1344" w:type="pct"/>
            <w:tcBorders>
              <w:bottom w:val="single" w:sz="4" w:space="0" w:color="auto"/>
            </w:tcBorders>
            <w:shd w:val="clear" w:color="auto" w:fill="auto"/>
            <w:vAlign w:val="center"/>
          </w:tcPr>
          <w:p w:rsidR="009E6973" w:rsidRDefault="009E6973" w:rsidP="004E6CA2">
            <w:pPr>
              <w:keepNext/>
              <w:widowControl/>
              <w:tabs>
                <w:tab w:val="left" w:pos="142"/>
              </w:tabs>
              <w:jc w:val="left"/>
              <w:rPr>
                <w:rFonts w:ascii="Arial Narrow" w:hAnsi="Arial Narrow"/>
                <w:sz w:val="20"/>
              </w:rPr>
            </w:pPr>
            <w:r>
              <w:rPr>
                <w:rFonts w:ascii="Arial Narrow" w:hAnsi="Arial Narrow"/>
                <w:sz w:val="20"/>
              </w:rPr>
              <w:t>Net cost to PBS Nov 2013</w:t>
            </w:r>
          </w:p>
        </w:tc>
        <w:tc>
          <w:tcPr>
            <w:tcW w:w="674" w:type="pct"/>
            <w:tcBorders>
              <w:bottom w:val="single" w:sz="4" w:space="0" w:color="auto"/>
            </w:tcBorders>
            <w:shd w:val="clear" w:color="auto" w:fill="auto"/>
            <w:vAlign w:val="center"/>
          </w:tcPr>
          <w:p w:rsidR="009E6973" w:rsidRPr="00B4233F" w:rsidRDefault="009E6973" w:rsidP="004E6CA2">
            <w:pPr>
              <w:keepNext/>
              <w:widowControl/>
              <w:jc w:val="center"/>
              <w:rPr>
                <w:rFonts w:ascii="Arial Narrow" w:hAnsi="Arial Narrow"/>
                <w:bCs/>
                <w:sz w:val="20"/>
              </w:rPr>
            </w:pPr>
            <w:r w:rsidRPr="0013059C">
              <w:rPr>
                <w:rFonts w:ascii="Arial Narrow" w:hAnsi="Arial Narrow"/>
                <w:bCs/>
                <w:sz w:val="20"/>
              </w:rPr>
              <w:t>$</w:t>
            </w:r>
            <w:r w:rsidR="00C01A93">
              <w:rPr>
                <w:rFonts w:ascii="Arial Narrow" w:hAnsi="Arial Narrow"/>
                <w:bCs/>
                <w:noProof/>
                <w:color w:val="000000"/>
                <w:sz w:val="20"/>
                <w:highlight w:val="black"/>
              </w:rPr>
              <w:t>'''''''''''''''''''''</w:t>
            </w:r>
          </w:p>
        </w:tc>
        <w:tc>
          <w:tcPr>
            <w:tcW w:w="757" w:type="pct"/>
            <w:tcBorders>
              <w:bottom w:val="single" w:sz="4" w:space="0" w:color="auto"/>
            </w:tcBorders>
            <w:shd w:val="clear" w:color="auto" w:fill="auto"/>
            <w:vAlign w:val="center"/>
          </w:tcPr>
          <w:p w:rsidR="009E6973" w:rsidRPr="00B4233F" w:rsidRDefault="009E6973" w:rsidP="004E6CA2">
            <w:pPr>
              <w:keepNext/>
              <w:widowControl/>
              <w:jc w:val="center"/>
              <w:rPr>
                <w:rFonts w:ascii="Arial Narrow" w:hAnsi="Arial Narrow"/>
                <w:bCs/>
                <w:sz w:val="20"/>
              </w:rPr>
            </w:pPr>
            <w:r w:rsidRPr="0013059C">
              <w:rPr>
                <w:rFonts w:ascii="Arial Narrow" w:hAnsi="Arial Narrow"/>
                <w:bCs/>
                <w:sz w:val="20"/>
              </w:rPr>
              <w:t>$</w:t>
            </w:r>
            <w:r w:rsidR="00C01A93">
              <w:rPr>
                <w:rFonts w:ascii="Arial Narrow" w:hAnsi="Arial Narrow"/>
                <w:bCs/>
                <w:noProof/>
                <w:color w:val="000000"/>
                <w:sz w:val="20"/>
                <w:highlight w:val="black"/>
              </w:rPr>
              <w:t>''''''''''''''''''''''</w:t>
            </w:r>
          </w:p>
        </w:tc>
        <w:tc>
          <w:tcPr>
            <w:tcW w:w="758" w:type="pct"/>
            <w:tcBorders>
              <w:bottom w:val="single" w:sz="4" w:space="0" w:color="auto"/>
            </w:tcBorders>
            <w:shd w:val="clear" w:color="auto" w:fill="auto"/>
            <w:vAlign w:val="center"/>
          </w:tcPr>
          <w:p w:rsidR="009E6973" w:rsidRPr="00B4233F" w:rsidRDefault="009E6973" w:rsidP="004E6CA2">
            <w:pPr>
              <w:keepNext/>
              <w:widowControl/>
              <w:jc w:val="center"/>
              <w:rPr>
                <w:rFonts w:ascii="Arial Narrow" w:hAnsi="Arial Narrow"/>
                <w:bCs/>
                <w:sz w:val="20"/>
              </w:rPr>
            </w:pPr>
            <w:r w:rsidRPr="0013059C">
              <w:rPr>
                <w:rFonts w:ascii="Arial Narrow" w:hAnsi="Arial Narrow"/>
                <w:bCs/>
                <w:sz w:val="20"/>
              </w:rPr>
              <w:t>$</w:t>
            </w:r>
            <w:r w:rsidR="00C01A93">
              <w:rPr>
                <w:rFonts w:ascii="Arial Narrow" w:hAnsi="Arial Narrow"/>
                <w:bCs/>
                <w:noProof/>
                <w:color w:val="000000"/>
                <w:sz w:val="20"/>
                <w:highlight w:val="black"/>
              </w:rPr>
              <w:t>'''''''''''''''''''''''''</w:t>
            </w:r>
          </w:p>
        </w:tc>
        <w:tc>
          <w:tcPr>
            <w:tcW w:w="757" w:type="pct"/>
            <w:tcBorders>
              <w:bottom w:val="single" w:sz="4" w:space="0" w:color="auto"/>
            </w:tcBorders>
            <w:shd w:val="clear" w:color="auto" w:fill="auto"/>
            <w:vAlign w:val="center"/>
          </w:tcPr>
          <w:p w:rsidR="009E6973" w:rsidRPr="00B4233F" w:rsidRDefault="009E6973" w:rsidP="004E6CA2">
            <w:pPr>
              <w:keepNext/>
              <w:widowControl/>
              <w:jc w:val="center"/>
              <w:rPr>
                <w:rFonts w:ascii="Arial Narrow" w:hAnsi="Arial Narrow"/>
                <w:bCs/>
                <w:sz w:val="20"/>
              </w:rPr>
            </w:pPr>
            <w:r w:rsidRPr="0013059C">
              <w:rPr>
                <w:rFonts w:ascii="Arial Narrow" w:hAnsi="Arial Narrow"/>
                <w:bCs/>
                <w:sz w:val="20"/>
              </w:rPr>
              <w:t>$</w:t>
            </w:r>
            <w:r w:rsidR="00C01A93">
              <w:rPr>
                <w:rFonts w:ascii="Arial Narrow" w:hAnsi="Arial Narrow"/>
                <w:bCs/>
                <w:noProof/>
                <w:color w:val="000000"/>
                <w:sz w:val="20"/>
                <w:highlight w:val="black"/>
              </w:rPr>
              <w:t>''''''''''''''''''''''''</w:t>
            </w:r>
          </w:p>
        </w:tc>
        <w:tc>
          <w:tcPr>
            <w:tcW w:w="710" w:type="pct"/>
            <w:tcBorders>
              <w:bottom w:val="single" w:sz="4" w:space="0" w:color="auto"/>
            </w:tcBorders>
            <w:shd w:val="clear" w:color="auto" w:fill="auto"/>
            <w:vAlign w:val="center"/>
          </w:tcPr>
          <w:p w:rsidR="009E6973" w:rsidRPr="00B4233F" w:rsidRDefault="009E6973" w:rsidP="004E6CA2">
            <w:pPr>
              <w:keepNext/>
              <w:widowControl/>
              <w:jc w:val="center"/>
              <w:rPr>
                <w:rFonts w:ascii="Arial Narrow" w:hAnsi="Arial Narrow"/>
                <w:bCs/>
                <w:sz w:val="20"/>
              </w:rPr>
            </w:pPr>
            <w:r w:rsidRPr="0013059C">
              <w:rPr>
                <w:rFonts w:ascii="Arial Narrow" w:hAnsi="Arial Narrow"/>
                <w:bCs/>
                <w:sz w:val="20"/>
              </w:rPr>
              <w:t>$</w:t>
            </w:r>
            <w:r w:rsidR="00C01A93">
              <w:rPr>
                <w:rFonts w:ascii="Arial Narrow" w:hAnsi="Arial Narrow"/>
                <w:bCs/>
                <w:noProof/>
                <w:color w:val="000000"/>
                <w:sz w:val="20"/>
                <w:highlight w:val="black"/>
              </w:rPr>
              <w:t>''''''''''''''''''''''''</w:t>
            </w:r>
          </w:p>
        </w:tc>
      </w:tr>
      <w:tr w:rsidR="009E6973" w:rsidRPr="00ED0F04" w:rsidTr="009E6973">
        <w:tc>
          <w:tcPr>
            <w:tcW w:w="1344" w:type="pct"/>
            <w:tcBorders>
              <w:bottom w:val="double" w:sz="4" w:space="0" w:color="auto"/>
            </w:tcBorders>
            <w:shd w:val="clear" w:color="auto" w:fill="auto"/>
            <w:vAlign w:val="center"/>
          </w:tcPr>
          <w:p w:rsidR="009E6973" w:rsidRPr="00ED0F04" w:rsidRDefault="009E6973" w:rsidP="004E6CA2">
            <w:pPr>
              <w:keepNext/>
              <w:widowControl/>
              <w:tabs>
                <w:tab w:val="left" w:pos="142"/>
              </w:tabs>
              <w:jc w:val="left"/>
              <w:rPr>
                <w:rFonts w:ascii="Arial Narrow" w:hAnsi="Arial Narrow"/>
                <w:sz w:val="20"/>
              </w:rPr>
            </w:pPr>
            <w:r>
              <w:rPr>
                <w:rFonts w:ascii="Arial Narrow" w:hAnsi="Arial Narrow"/>
                <w:sz w:val="20"/>
              </w:rPr>
              <w:t>Cost reduction due to NDSS and MBS savings</w:t>
            </w:r>
          </w:p>
        </w:tc>
        <w:tc>
          <w:tcPr>
            <w:tcW w:w="674" w:type="pct"/>
            <w:tcBorders>
              <w:bottom w:val="double" w:sz="4" w:space="0" w:color="auto"/>
            </w:tcBorders>
            <w:shd w:val="clear" w:color="auto" w:fill="auto"/>
            <w:vAlign w:val="bottom"/>
          </w:tcPr>
          <w:p w:rsidR="009E6973" w:rsidRPr="00B4233F" w:rsidRDefault="009E6973" w:rsidP="004E6CA2">
            <w:pPr>
              <w:keepNext/>
              <w:widowControl/>
              <w:jc w:val="center"/>
              <w:rPr>
                <w:rFonts w:ascii="Arial Narrow" w:hAnsi="Arial Narrow"/>
                <w:bCs/>
                <w:color w:val="000000"/>
                <w:sz w:val="20"/>
              </w:rPr>
            </w:pPr>
            <w:r w:rsidRPr="00B4233F">
              <w:rPr>
                <w:rFonts w:ascii="Arial Narrow" w:hAnsi="Arial Narrow"/>
                <w:bCs/>
                <w:sz w:val="20"/>
              </w:rPr>
              <w:t>-$</w:t>
            </w:r>
            <w:r w:rsidR="00C01A93">
              <w:rPr>
                <w:rFonts w:ascii="Arial Narrow" w:hAnsi="Arial Narrow"/>
                <w:bCs/>
                <w:noProof/>
                <w:color w:val="000000"/>
                <w:sz w:val="20"/>
                <w:highlight w:val="black"/>
              </w:rPr>
              <w:t>''''''''''''''''''''''</w:t>
            </w:r>
          </w:p>
        </w:tc>
        <w:tc>
          <w:tcPr>
            <w:tcW w:w="757" w:type="pct"/>
            <w:tcBorders>
              <w:bottom w:val="double" w:sz="4" w:space="0" w:color="auto"/>
            </w:tcBorders>
            <w:shd w:val="clear" w:color="auto" w:fill="auto"/>
            <w:vAlign w:val="bottom"/>
          </w:tcPr>
          <w:p w:rsidR="009E6973" w:rsidRPr="00B4233F" w:rsidRDefault="009E6973" w:rsidP="004E6CA2">
            <w:pPr>
              <w:keepNext/>
              <w:widowControl/>
              <w:jc w:val="center"/>
              <w:rPr>
                <w:rFonts w:ascii="Arial Narrow" w:hAnsi="Arial Narrow"/>
                <w:bCs/>
                <w:color w:val="000000"/>
                <w:sz w:val="20"/>
              </w:rPr>
            </w:pPr>
            <w:r w:rsidRPr="00B4233F">
              <w:rPr>
                <w:rFonts w:ascii="Arial Narrow" w:hAnsi="Arial Narrow"/>
                <w:bCs/>
                <w:sz w:val="20"/>
              </w:rPr>
              <w:t>-$</w:t>
            </w:r>
            <w:r w:rsidR="00C01A93">
              <w:rPr>
                <w:rFonts w:ascii="Arial Narrow" w:hAnsi="Arial Narrow"/>
                <w:bCs/>
                <w:noProof/>
                <w:color w:val="000000"/>
                <w:sz w:val="20"/>
                <w:highlight w:val="black"/>
              </w:rPr>
              <w:t>'''''''''''''''''''''''''</w:t>
            </w:r>
          </w:p>
        </w:tc>
        <w:tc>
          <w:tcPr>
            <w:tcW w:w="758" w:type="pct"/>
            <w:tcBorders>
              <w:bottom w:val="double" w:sz="4" w:space="0" w:color="auto"/>
            </w:tcBorders>
            <w:shd w:val="clear" w:color="auto" w:fill="auto"/>
            <w:vAlign w:val="bottom"/>
          </w:tcPr>
          <w:p w:rsidR="009E6973" w:rsidRPr="00B4233F" w:rsidRDefault="009E6973" w:rsidP="004E6CA2">
            <w:pPr>
              <w:keepNext/>
              <w:widowControl/>
              <w:jc w:val="center"/>
              <w:rPr>
                <w:rFonts w:ascii="Arial Narrow" w:hAnsi="Arial Narrow"/>
                <w:bCs/>
                <w:color w:val="000000"/>
                <w:sz w:val="20"/>
              </w:rPr>
            </w:pPr>
            <w:r w:rsidRPr="00B4233F">
              <w:rPr>
                <w:rFonts w:ascii="Arial Narrow" w:hAnsi="Arial Narrow"/>
                <w:bCs/>
                <w:sz w:val="20"/>
              </w:rPr>
              <w:t>-$</w:t>
            </w:r>
            <w:r w:rsidR="00C01A93">
              <w:rPr>
                <w:rFonts w:ascii="Arial Narrow" w:hAnsi="Arial Narrow"/>
                <w:bCs/>
                <w:noProof/>
                <w:color w:val="000000"/>
                <w:sz w:val="20"/>
                <w:highlight w:val="black"/>
              </w:rPr>
              <w:t>'''''''''''''''''''''''</w:t>
            </w:r>
          </w:p>
        </w:tc>
        <w:tc>
          <w:tcPr>
            <w:tcW w:w="757" w:type="pct"/>
            <w:tcBorders>
              <w:bottom w:val="double" w:sz="4" w:space="0" w:color="auto"/>
            </w:tcBorders>
            <w:shd w:val="clear" w:color="auto" w:fill="auto"/>
            <w:vAlign w:val="bottom"/>
          </w:tcPr>
          <w:p w:rsidR="009E6973" w:rsidRPr="00B4233F" w:rsidRDefault="009E6973" w:rsidP="004E6CA2">
            <w:pPr>
              <w:keepNext/>
              <w:widowControl/>
              <w:jc w:val="center"/>
              <w:rPr>
                <w:rFonts w:ascii="Arial Narrow" w:hAnsi="Arial Narrow"/>
                <w:bCs/>
                <w:color w:val="000000"/>
                <w:sz w:val="20"/>
              </w:rPr>
            </w:pPr>
            <w:r w:rsidRPr="00B4233F">
              <w:rPr>
                <w:rFonts w:ascii="Arial Narrow" w:hAnsi="Arial Narrow"/>
                <w:bCs/>
                <w:sz w:val="20"/>
              </w:rPr>
              <w:t>-$</w:t>
            </w:r>
            <w:r w:rsidR="00C01A93">
              <w:rPr>
                <w:rFonts w:ascii="Arial Narrow" w:hAnsi="Arial Narrow"/>
                <w:bCs/>
                <w:noProof/>
                <w:color w:val="000000"/>
                <w:sz w:val="20"/>
                <w:highlight w:val="black"/>
              </w:rPr>
              <w:t>''''''''''''''''''''''</w:t>
            </w:r>
          </w:p>
        </w:tc>
        <w:tc>
          <w:tcPr>
            <w:tcW w:w="710" w:type="pct"/>
            <w:tcBorders>
              <w:bottom w:val="double" w:sz="4" w:space="0" w:color="auto"/>
            </w:tcBorders>
            <w:shd w:val="clear" w:color="auto" w:fill="auto"/>
            <w:vAlign w:val="bottom"/>
          </w:tcPr>
          <w:p w:rsidR="009E6973" w:rsidRPr="00B4233F" w:rsidRDefault="009E6973" w:rsidP="004E6CA2">
            <w:pPr>
              <w:keepNext/>
              <w:widowControl/>
              <w:jc w:val="center"/>
              <w:rPr>
                <w:rFonts w:ascii="Arial Narrow" w:hAnsi="Arial Narrow"/>
                <w:bCs/>
                <w:color w:val="000000"/>
                <w:sz w:val="20"/>
              </w:rPr>
            </w:pPr>
            <w:r w:rsidRPr="00B4233F">
              <w:rPr>
                <w:rFonts w:ascii="Arial Narrow" w:hAnsi="Arial Narrow"/>
                <w:bCs/>
                <w:sz w:val="20"/>
              </w:rPr>
              <w:t>-$</w:t>
            </w:r>
            <w:r w:rsidR="00C01A93">
              <w:rPr>
                <w:rFonts w:ascii="Arial Narrow" w:hAnsi="Arial Narrow"/>
                <w:bCs/>
                <w:noProof/>
                <w:color w:val="000000"/>
                <w:sz w:val="20"/>
                <w:highlight w:val="black"/>
              </w:rPr>
              <w:t>''''''''''''''''''''''''</w:t>
            </w:r>
          </w:p>
        </w:tc>
      </w:tr>
      <w:tr w:rsidR="009E6973" w:rsidRPr="00ED0F04" w:rsidTr="009E6973">
        <w:tc>
          <w:tcPr>
            <w:tcW w:w="1344" w:type="pct"/>
            <w:tcBorders>
              <w:top w:val="double" w:sz="4" w:space="0" w:color="auto"/>
            </w:tcBorders>
            <w:shd w:val="clear" w:color="auto" w:fill="auto"/>
            <w:vAlign w:val="center"/>
          </w:tcPr>
          <w:p w:rsidR="009E6973" w:rsidRPr="00D559E9" w:rsidRDefault="009E6973" w:rsidP="004E6CA2">
            <w:pPr>
              <w:keepNext/>
              <w:widowControl/>
              <w:tabs>
                <w:tab w:val="left" w:pos="142"/>
              </w:tabs>
              <w:jc w:val="left"/>
              <w:rPr>
                <w:rFonts w:ascii="Arial Narrow" w:hAnsi="Arial Narrow"/>
                <w:sz w:val="20"/>
              </w:rPr>
            </w:pPr>
            <w:r w:rsidRPr="00ED0F04">
              <w:rPr>
                <w:rFonts w:ascii="Arial Narrow" w:hAnsi="Arial Narrow"/>
                <w:b/>
                <w:color w:val="000000"/>
                <w:sz w:val="20"/>
              </w:rPr>
              <w:t>Estimated total net cost</w:t>
            </w:r>
            <w:r>
              <w:rPr>
                <w:rFonts w:ascii="Arial Narrow" w:hAnsi="Arial Narrow"/>
                <w:b/>
                <w:color w:val="000000"/>
                <w:sz w:val="20"/>
              </w:rPr>
              <w:t xml:space="preserve"> to Government</w:t>
            </w:r>
          </w:p>
        </w:tc>
        <w:tc>
          <w:tcPr>
            <w:tcW w:w="674" w:type="pct"/>
            <w:tcBorders>
              <w:top w:val="double" w:sz="4" w:space="0" w:color="auto"/>
            </w:tcBorders>
            <w:shd w:val="clear" w:color="000000" w:fill="auto"/>
            <w:vAlign w:val="bottom"/>
          </w:tcPr>
          <w:p w:rsidR="009E6973" w:rsidRPr="00B4233F" w:rsidRDefault="009E6973" w:rsidP="004E6CA2">
            <w:pPr>
              <w:keepNext/>
              <w:widowControl/>
              <w:jc w:val="center"/>
              <w:rPr>
                <w:rFonts w:ascii="Arial Narrow" w:hAnsi="Arial Narrow"/>
                <w:b/>
                <w:bCs/>
                <w:sz w:val="20"/>
              </w:rPr>
            </w:pPr>
            <w:r w:rsidRPr="00B4233F">
              <w:rPr>
                <w:rFonts w:ascii="Arial Narrow" w:hAnsi="Arial Narrow"/>
                <w:b/>
                <w:bCs/>
                <w:sz w:val="20"/>
              </w:rPr>
              <w:t>$</w:t>
            </w:r>
            <w:r w:rsidR="00C01A93">
              <w:rPr>
                <w:rFonts w:ascii="Arial Narrow" w:hAnsi="Arial Narrow"/>
                <w:b/>
                <w:bCs/>
                <w:noProof/>
                <w:color w:val="000000"/>
                <w:sz w:val="20"/>
                <w:highlight w:val="black"/>
              </w:rPr>
              <w:t>'''''''''''''''''</w:t>
            </w:r>
          </w:p>
        </w:tc>
        <w:tc>
          <w:tcPr>
            <w:tcW w:w="757" w:type="pct"/>
            <w:tcBorders>
              <w:top w:val="double" w:sz="4" w:space="0" w:color="auto"/>
            </w:tcBorders>
            <w:shd w:val="clear" w:color="000000" w:fill="auto"/>
            <w:vAlign w:val="bottom"/>
          </w:tcPr>
          <w:p w:rsidR="009E6973" w:rsidRPr="00B4233F" w:rsidRDefault="009E6973" w:rsidP="004E6CA2">
            <w:pPr>
              <w:keepNext/>
              <w:widowControl/>
              <w:jc w:val="center"/>
              <w:rPr>
                <w:rFonts w:ascii="Arial Narrow" w:hAnsi="Arial Narrow"/>
                <w:b/>
                <w:bCs/>
                <w:sz w:val="20"/>
              </w:rPr>
            </w:pPr>
            <w:r w:rsidRPr="00B4233F">
              <w:rPr>
                <w:rFonts w:ascii="Arial Narrow" w:hAnsi="Arial Narrow"/>
                <w:b/>
                <w:bCs/>
                <w:sz w:val="20"/>
              </w:rPr>
              <w:t>$</w:t>
            </w:r>
            <w:r w:rsidR="00C01A93">
              <w:rPr>
                <w:rFonts w:ascii="Arial Narrow" w:hAnsi="Arial Narrow"/>
                <w:b/>
                <w:bCs/>
                <w:noProof/>
                <w:color w:val="000000"/>
                <w:sz w:val="20"/>
                <w:highlight w:val="black"/>
              </w:rPr>
              <w:t>'''''''''''''''''''''</w:t>
            </w:r>
          </w:p>
        </w:tc>
        <w:tc>
          <w:tcPr>
            <w:tcW w:w="758" w:type="pct"/>
            <w:tcBorders>
              <w:top w:val="double" w:sz="4" w:space="0" w:color="auto"/>
            </w:tcBorders>
            <w:shd w:val="clear" w:color="000000" w:fill="auto"/>
            <w:vAlign w:val="bottom"/>
          </w:tcPr>
          <w:p w:rsidR="009E6973" w:rsidRPr="00B4233F" w:rsidRDefault="009E6973" w:rsidP="004E6CA2">
            <w:pPr>
              <w:keepNext/>
              <w:widowControl/>
              <w:jc w:val="center"/>
              <w:rPr>
                <w:rFonts w:ascii="Arial Narrow" w:hAnsi="Arial Narrow"/>
                <w:b/>
                <w:bCs/>
                <w:sz w:val="20"/>
              </w:rPr>
            </w:pPr>
            <w:r w:rsidRPr="00B4233F">
              <w:rPr>
                <w:rFonts w:ascii="Arial Narrow" w:hAnsi="Arial Narrow"/>
                <w:b/>
                <w:bCs/>
                <w:sz w:val="20"/>
              </w:rPr>
              <w:t>$</w:t>
            </w:r>
            <w:r w:rsidR="00C01A93">
              <w:rPr>
                <w:rFonts w:ascii="Arial Narrow" w:hAnsi="Arial Narrow"/>
                <w:b/>
                <w:bCs/>
                <w:noProof/>
                <w:color w:val="000000"/>
                <w:sz w:val="20"/>
                <w:highlight w:val="black"/>
              </w:rPr>
              <w:t>'''''''''''''''''''''</w:t>
            </w:r>
          </w:p>
        </w:tc>
        <w:tc>
          <w:tcPr>
            <w:tcW w:w="757" w:type="pct"/>
            <w:tcBorders>
              <w:top w:val="double" w:sz="4" w:space="0" w:color="auto"/>
            </w:tcBorders>
            <w:shd w:val="clear" w:color="000000" w:fill="auto"/>
            <w:vAlign w:val="bottom"/>
          </w:tcPr>
          <w:p w:rsidR="009E6973" w:rsidRPr="00B4233F" w:rsidRDefault="009E6973" w:rsidP="004E6CA2">
            <w:pPr>
              <w:keepNext/>
              <w:widowControl/>
              <w:jc w:val="center"/>
              <w:rPr>
                <w:rFonts w:ascii="Arial Narrow" w:hAnsi="Arial Narrow"/>
                <w:b/>
                <w:bCs/>
                <w:sz w:val="20"/>
              </w:rPr>
            </w:pPr>
            <w:r w:rsidRPr="00B4233F">
              <w:rPr>
                <w:rFonts w:ascii="Arial Narrow" w:hAnsi="Arial Narrow"/>
                <w:b/>
                <w:bCs/>
                <w:sz w:val="20"/>
              </w:rPr>
              <w:t>$</w:t>
            </w:r>
            <w:r w:rsidR="00C01A93">
              <w:rPr>
                <w:rFonts w:ascii="Arial Narrow" w:hAnsi="Arial Narrow"/>
                <w:b/>
                <w:bCs/>
                <w:noProof/>
                <w:color w:val="000000"/>
                <w:sz w:val="20"/>
                <w:highlight w:val="black"/>
              </w:rPr>
              <w:t>'''''''''''''''''''</w:t>
            </w:r>
          </w:p>
        </w:tc>
        <w:tc>
          <w:tcPr>
            <w:tcW w:w="710" w:type="pct"/>
            <w:tcBorders>
              <w:top w:val="double" w:sz="4" w:space="0" w:color="auto"/>
            </w:tcBorders>
            <w:shd w:val="clear" w:color="000000" w:fill="auto"/>
            <w:vAlign w:val="bottom"/>
          </w:tcPr>
          <w:p w:rsidR="009E6973" w:rsidRPr="00B4233F" w:rsidRDefault="009E6973" w:rsidP="004E6CA2">
            <w:pPr>
              <w:keepNext/>
              <w:widowControl/>
              <w:jc w:val="center"/>
              <w:rPr>
                <w:rFonts w:ascii="Arial Narrow" w:hAnsi="Arial Narrow"/>
                <w:b/>
                <w:bCs/>
                <w:sz w:val="20"/>
              </w:rPr>
            </w:pPr>
            <w:r w:rsidRPr="00B4233F">
              <w:rPr>
                <w:rFonts w:ascii="Arial Narrow" w:hAnsi="Arial Narrow"/>
                <w:b/>
                <w:bCs/>
                <w:sz w:val="20"/>
              </w:rPr>
              <w:t>$</w:t>
            </w:r>
            <w:r w:rsidR="00C01A93">
              <w:rPr>
                <w:rFonts w:ascii="Arial Narrow" w:hAnsi="Arial Narrow"/>
                <w:b/>
                <w:bCs/>
                <w:noProof/>
                <w:color w:val="000000"/>
                <w:sz w:val="20"/>
                <w:highlight w:val="black"/>
              </w:rPr>
              <w:t>''''''''''''''''''''</w:t>
            </w:r>
          </w:p>
        </w:tc>
      </w:tr>
      <w:tr w:rsidR="009E6973" w:rsidRPr="00ED0F04" w:rsidTr="001138B2">
        <w:tc>
          <w:tcPr>
            <w:tcW w:w="1344" w:type="pct"/>
            <w:shd w:val="clear" w:color="auto" w:fill="auto"/>
            <w:vAlign w:val="center"/>
          </w:tcPr>
          <w:p w:rsidR="009E6973" w:rsidRPr="00ED0F04" w:rsidRDefault="009E6973" w:rsidP="004E6CA2">
            <w:pPr>
              <w:keepNext/>
              <w:widowControl/>
              <w:tabs>
                <w:tab w:val="left" w:pos="142"/>
              </w:tabs>
              <w:jc w:val="left"/>
              <w:rPr>
                <w:rFonts w:ascii="Arial Narrow" w:hAnsi="Arial Narrow"/>
                <w:sz w:val="20"/>
              </w:rPr>
            </w:pPr>
            <w:r>
              <w:rPr>
                <w:rFonts w:ascii="Arial Narrow" w:hAnsi="Arial Narrow"/>
                <w:sz w:val="20"/>
              </w:rPr>
              <w:t>November 2013</w:t>
            </w:r>
          </w:p>
        </w:tc>
        <w:tc>
          <w:tcPr>
            <w:tcW w:w="674" w:type="pct"/>
            <w:shd w:val="clear" w:color="auto" w:fill="auto"/>
            <w:vAlign w:val="bottom"/>
          </w:tcPr>
          <w:p w:rsidR="009E6973" w:rsidRPr="000D0E40" w:rsidRDefault="009E6973" w:rsidP="004E6CA2">
            <w:pPr>
              <w:keepNext/>
              <w:widowControl/>
              <w:jc w:val="center"/>
              <w:rPr>
                <w:rFonts w:ascii="Arial Narrow" w:hAnsi="Arial Narrow"/>
                <w:bCs/>
                <w:sz w:val="20"/>
              </w:rPr>
            </w:pPr>
            <w:r w:rsidRPr="000D0E40">
              <w:rPr>
                <w:rFonts w:ascii="Arial Narrow" w:hAnsi="Arial Narrow"/>
                <w:bCs/>
                <w:sz w:val="20"/>
              </w:rPr>
              <w:t xml:space="preserve"> $</w:t>
            </w:r>
            <w:r w:rsidR="00C01A93">
              <w:rPr>
                <w:rFonts w:ascii="Arial Narrow" w:hAnsi="Arial Narrow"/>
                <w:bCs/>
                <w:noProof/>
                <w:color w:val="000000"/>
                <w:sz w:val="20"/>
                <w:highlight w:val="black"/>
              </w:rPr>
              <w:t>''''''''''</w:t>
            </w:r>
            <w:r w:rsidRPr="000D0E40">
              <w:rPr>
                <w:rFonts w:ascii="Arial Narrow" w:hAnsi="Arial Narrow"/>
                <w:bCs/>
                <w:sz w:val="20"/>
              </w:rPr>
              <w:t xml:space="preserve"> </w:t>
            </w:r>
          </w:p>
        </w:tc>
        <w:tc>
          <w:tcPr>
            <w:tcW w:w="757" w:type="pct"/>
            <w:shd w:val="clear" w:color="auto" w:fill="auto"/>
            <w:vAlign w:val="bottom"/>
          </w:tcPr>
          <w:p w:rsidR="009E6973" w:rsidRPr="000D0E40" w:rsidRDefault="009E6973" w:rsidP="004E6CA2">
            <w:pPr>
              <w:keepNext/>
              <w:widowControl/>
              <w:jc w:val="center"/>
              <w:rPr>
                <w:rFonts w:ascii="Arial Narrow" w:hAnsi="Arial Narrow"/>
                <w:bCs/>
                <w:sz w:val="20"/>
              </w:rPr>
            </w:pPr>
            <w:r w:rsidRPr="000D0E40">
              <w:rPr>
                <w:rFonts w:ascii="Arial Narrow" w:hAnsi="Arial Narrow"/>
                <w:bCs/>
                <w:sz w:val="20"/>
              </w:rPr>
              <w:t xml:space="preserve"> $</w:t>
            </w:r>
            <w:r w:rsidR="00C01A93">
              <w:rPr>
                <w:rFonts w:ascii="Arial Narrow" w:hAnsi="Arial Narrow"/>
                <w:bCs/>
                <w:noProof/>
                <w:color w:val="000000"/>
                <w:sz w:val="20"/>
                <w:highlight w:val="black"/>
              </w:rPr>
              <w:t xml:space="preserve">''''''''''''' </w:t>
            </w:r>
          </w:p>
        </w:tc>
        <w:tc>
          <w:tcPr>
            <w:tcW w:w="758" w:type="pct"/>
            <w:shd w:val="clear" w:color="auto" w:fill="auto"/>
            <w:vAlign w:val="bottom"/>
          </w:tcPr>
          <w:p w:rsidR="009E6973" w:rsidRPr="000D0E40" w:rsidRDefault="009E6973" w:rsidP="004E6CA2">
            <w:pPr>
              <w:keepNext/>
              <w:widowControl/>
              <w:jc w:val="center"/>
              <w:rPr>
                <w:rFonts w:ascii="Arial Narrow" w:hAnsi="Arial Narrow"/>
                <w:bCs/>
                <w:sz w:val="20"/>
              </w:rPr>
            </w:pPr>
            <w:r w:rsidRPr="000D0E40">
              <w:rPr>
                <w:rFonts w:ascii="Arial Narrow" w:hAnsi="Arial Narrow"/>
                <w:bCs/>
                <w:sz w:val="20"/>
              </w:rPr>
              <w:t xml:space="preserve"> $</w:t>
            </w:r>
            <w:r w:rsidR="00C01A93">
              <w:rPr>
                <w:rFonts w:ascii="Arial Narrow" w:hAnsi="Arial Narrow"/>
                <w:bCs/>
                <w:noProof/>
                <w:color w:val="000000"/>
                <w:sz w:val="20"/>
                <w:highlight w:val="black"/>
              </w:rPr>
              <w:t>'''''''''''''</w:t>
            </w:r>
            <w:r w:rsidRPr="000D0E40">
              <w:rPr>
                <w:rFonts w:ascii="Arial Narrow" w:hAnsi="Arial Narrow"/>
                <w:bCs/>
                <w:sz w:val="20"/>
              </w:rPr>
              <w:t xml:space="preserve"> </w:t>
            </w:r>
          </w:p>
        </w:tc>
        <w:tc>
          <w:tcPr>
            <w:tcW w:w="757" w:type="pct"/>
            <w:shd w:val="clear" w:color="auto" w:fill="auto"/>
            <w:vAlign w:val="bottom"/>
          </w:tcPr>
          <w:p w:rsidR="009E6973" w:rsidRPr="000D0E40" w:rsidRDefault="009E6973" w:rsidP="004E6CA2">
            <w:pPr>
              <w:keepNext/>
              <w:widowControl/>
              <w:jc w:val="center"/>
              <w:rPr>
                <w:rFonts w:ascii="Arial Narrow" w:hAnsi="Arial Narrow"/>
                <w:bCs/>
                <w:sz w:val="20"/>
              </w:rPr>
            </w:pPr>
            <w:r w:rsidRPr="000D0E40">
              <w:rPr>
                <w:rFonts w:ascii="Arial Narrow" w:hAnsi="Arial Narrow"/>
                <w:bCs/>
                <w:sz w:val="20"/>
              </w:rPr>
              <w:t xml:space="preserve"> $</w:t>
            </w:r>
            <w:r w:rsidR="00C01A93">
              <w:rPr>
                <w:rFonts w:ascii="Arial Narrow" w:hAnsi="Arial Narrow"/>
                <w:bCs/>
                <w:noProof/>
                <w:color w:val="000000"/>
                <w:sz w:val="20"/>
                <w:highlight w:val="black"/>
              </w:rPr>
              <w:t xml:space="preserve">''''''''''''''' </w:t>
            </w:r>
          </w:p>
        </w:tc>
        <w:tc>
          <w:tcPr>
            <w:tcW w:w="710" w:type="pct"/>
            <w:shd w:val="clear" w:color="auto" w:fill="auto"/>
            <w:vAlign w:val="bottom"/>
          </w:tcPr>
          <w:p w:rsidR="009E6973" w:rsidRPr="000D0E40" w:rsidRDefault="009E6973" w:rsidP="004E6CA2">
            <w:pPr>
              <w:keepNext/>
              <w:widowControl/>
              <w:jc w:val="center"/>
              <w:rPr>
                <w:rFonts w:ascii="Arial Narrow" w:hAnsi="Arial Narrow"/>
                <w:bCs/>
                <w:sz w:val="20"/>
              </w:rPr>
            </w:pPr>
            <w:r w:rsidRPr="000D0E40">
              <w:rPr>
                <w:rFonts w:ascii="Arial Narrow" w:hAnsi="Arial Narrow"/>
                <w:bCs/>
                <w:sz w:val="20"/>
              </w:rPr>
              <w:t xml:space="preserve"> $</w:t>
            </w:r>
            <w:r w:rsidR="00C01A93">
              <w:rPr>
                <w:rFonts w:ascii="Arial Narrow" w:hAnsi="Arial Narrow"/>
                <w:bCs/>
                <w:noProof/>
                <w:color w:val="000000"/>
                <w:sz w:val="20"/>
                <w:highlight w:val="black"/>
              </w:rPr>
              <w:t xml:space="preserve">''''''''''''''' </w:t>
            </w:r>
          </w:p>
        </w:tc>
      </w:tr>
    </w:tbl>
    <w:p w:rsidR="00E01887" w:rsidRPr="00DA2CB9" w:rsidRDefault="001222FC" w:rsidP="004E6CA2">
      <w:pPr>
        <w:pStyle w:val="TableFooter"/>
        <w:keepNext/>
        <w:widowControl/>
        <w:ind w:left="720"/>
      </w:pPr>
      <w:r w:rsidRPr="001222FC">
        <w:rPr>
          <w:vertAlign w:val="superscript"/>
        </w:rPr>
        <w:t>a</w:t>
      </w:r>
      <w:r w:rsidR="00667501">
        <w:t xml:space="preserve"> </w:t>
      </w:r>
      <w:r w:rsidRPr="001222FC">
        <w:t xml:space="preserve">Assuming </w:t>
      </w:r>
      <w:r w:rsidR="00667501">
        <w:t>13.04</w:t>
      </w:r>
      <w:r w:rsidRPr="001222FC">
        <w:t xml:space="preserve"> scripts</w:t>
      </w:r>
      <w:r w:rsidR="00667501">
        <w:t xml:space="preserve"> </w:t>
      </w:r>
      <w:r w:rsidRPr="001222FC">
        <w:t xml:space="preserve">per year as estimated by the </w:t>
      </w:r>
      <w:r w:rsidR="005D7AC0">
        <w:t>November 2013 re-</w:t>
      </w:r>
      <w:r w:rsidRPr="001222FC">
        <w:t>submission</w:t>
      </w:r>
      <w:r w:rsidR="002D5782">
        <w:t xml:space="preserve"> and the </w:t>
      </w:r>
      <w:r w:rsidR="005D7AC0">
        <w:t xml:space="preserve">current </w:t>
      </w:r>
      <w:r w:rsidR="002D5782">
        <w:t>re-submission</w:t>
      </w:r>
      <w:r w:rsidRPr="001222FC">
        <w:t>.</w:t>
      </w:r>
    </w:p>
    <w:p w:rsidR="001222FC" w:rsidRDefault="001222FC" w:rsidP="004E6CA2">
      <w:pPr>
        <w:pStyle w:val="TableFooter"/>
        <w:keepNext/>
        <w:widowControl/>
        <w:ind w:left="720"/>
      </w:pPr>
      <w:r w:rsidRPr="001222FC">
        <w:rPr>
          <w:sz w:val="16"/>
          <w:szCs w:val="18"/>
        </w:rPr>
        <w:t>Source:</w:t>
      </w:r>
      <w:r w:rsidR="007578A8">
        <w:rPr>
          <w:sz w:val="16"/>
          <w:szCs w:val="18"/>
        </w:rPr>
        <w:t xml:space="preserve"> </w:t>
      </w:r>
      <w:r w:rsidRPr="001222FC">
        <w:t>Table</w:t>
      </w:r>
      <w:r w:rsidR="004842A4">
        <w:t xml:space="preserve"> E</w:t>
      </w:r>
      <w:r w:rsidR="00667501">
        <w:t>-7, p108</w:t>
      </w:r>
      <w:r w:rsidR="00C045DA">
        <w:t>;</w:t>
      </w:r>
      <w:r w:rsidR="00CD1B87">
        <w:t xml:space="preserve"> T</w:t>
      </w:r>
      <w:r w:rsidR="00876F63">
        <w:t>a</w:t>
      </w:r>
      <w:r w:rsidR="00CD1B87">
        <w:t>ble</w:t>
      </w:r>
      <w:r w:rsidR="004842A4">
        <w:t>s</w:t>
      </w:r>
      <w:r w:rsidR="00CD1B87">
        <w:t xml:space="preserve"> E-16</w:t>
      </w:r>
      <w:r w:rsidR="00876F63">
        <w:t xml:space="preserve"> </w:t>
      </w:r>
      <w:r w:rsidR="004842A4">
        <w:t xml:space="preserve">to </w:t>
      </w:r>
      <w:r w:rsidR="00876F63">
        <w:t>E-1</w:t>
      </w:r>
      <w:r w:rsidR="005A2C89">
        <w:t>7</w:t>
      </w:r>
      <w:r w:rsidR="004842A4">
        <w:t>,</w:t>
      </w:r>
      <w:r w:rsidR="00876F63">
        <w:t xml:space="preserve"> p</w:t>
      </w:r>
      <w:r w:rsidR="00CD1B87">
        <w:t>113</w:t>
      </w:r>
      <w:r w:rsidR="00C045DA">
        <w:t>;</w:t>
      </w:r>
      <w:r w:rsidR="005A2C89">
        <w:t xml:space="preserve"> Table E-21, p116</w:t>
      </w:r>
      <w:r w:rsidR="00C045DA">
        <w:t>;</w:t>
      </w:r>
      <w:r w:rsidR="00B4233F">
        <w:t xml:space="preserve"> </w:t>
      </w:r>
      <w:r w:rsidR="00C045DA">
        <w:t xml:space="preserve">Table E-23, p118; </w:t>
      </w:r>
      <w:r w:rsidR="00B4233F">
        <w:t>Table E-24, p 118</w:t>
      </w:r>
      <w:r w:rsidR="00CC21F9">
        <w:t xml:space="preserve"> of the re</w:t>
      </w:r>
      <w:r w:rsidR="00CC21F9">
        <w:noBreakHyphen/>
      </w:r>
      <w:r w:rsidR="004842A4">
        <w:t>submission;</w:t>
      </w:r>
      <w:r w:rsidR="00667501">
        <w:t xml:space="preserve"> Table</w:t>
      </w:r>
      <w:r w:rsidR="004842A4">
        <w:t>s</w:t>
      </w:r>
      <w:r w:rsidR="00667501">
        <w:t xml:space="preserve"> </w:t>
      </w:r>
      <w:r w:rsidR="00254BFB">
        <w:t xml:space="preserve">E.2.1 </w:t>
      </w:r>
      <w:r w:rsidR="004842A4">
        <w:t>to</w:t>
      </w:r>
      <w:r w:rsidR="00E01887">
        <w:t xml:space="preserve"> E.2.3</w:t>
      </w:r>
      <w:r w:rsidR="00667501">
        <w:t>, p</w:t>
      </w:r>
      <w:r w:rsidR="00254BFB">
        <w:t>1</w:t>
      </w:r>
      <w:r w:rsidR="00667501">
        <w:t xml:space="preserve">68 </w:t>
      </w:r>
      <w:r w:rsidR="00FC579D">
        <w:t>and</w:t>
      </w:r>
      <w:r w:rsidR="00EE5DCE">
        <w:t xml:space="preserve"> Table E.5.3, p174 of the November 2013 </w:t>
      </w:r>
      <w:r w:rsidR="005D7AC0">
        <w:t>re-</w:t>
      </w:r>
      <w:r w:rsidR="00EE5DCE">
        <w:t>submission</w:t>
      </w:r>
    </w:p>
    <w:p w:rsidR="00E01887" w:rsidRPr="0037431E" w:rsidRDefault="00E01887" w:rsidP="004E6CA2">
      <w:pPr>
        <w:pStyle w:val="TableFooter"/>
        <w:keepNext/>
        <w:widowControl/>
        <w:ind w:left="720"/>
        <w:rPr>
          <w:sz w:val="20"/>
        </w:rPr>
      </w:pPr>
      <w:r>
        <w:t xml:space="preserve">Abbreviations: NDSS = </w:t>
      </w:r>
      <w:r w:rsidR="003D7403">
        <w:t>N</w:t>
      </w:r>
      <w:r>
        <w:t xml:space="preserve">ational </w:t>
      </w:r>
      <w:r w:rsidR="008646B6">
        <w:rPr>
          <w:szCs w:val="18"/>
        </w:rPr>
        <w:t>Diabetes Services</w:t>
      </w:r>
      <w:r w:rsidR="008646B6" w:rsidRPr="008D438C">
        <w:rPr>
          <w:szCs w:val="18"/>
        </w:rPr>
        <w:t xml:space="preserve"> </w:t>
      </w:r>
      <w:r w:rsidR="003D7403">
        <w:t>S</w:t>
      </w:r>
      <w:r>
        <w:t>cheme</w:t>
      </w:r>
    </w:p>
    <w:p w:rsidR="001222FC" w:rsidRDefault="001222FC" w:rsidP="004E6CA2">
      <w:pPr>
        <w:widowControl/>
      </w:pPr>
    </w:p>
    <w:p w:rsidR="0099312E" w:rsidRPr="0099312E" w:rsidRDefault="00E2306C" w:rsidP="004E6CA2">
      <w:pPr>
        <w:pStyle w:val="BodyText"/>
        <w:widowControl/>
        <w:numPr>
          <w:ilvl w:val="1"/>
          <w:numId w:val="47"/>
        </w:numPr>
        <w:jc w:val="both"/>
      </w:pPr>
      <w:r w:rsidRPr="00FB52D4">
        <w:rPr>
          <w:iCs/>
          <w:snapToGrid/>
          <w:lang w:val="en-US" w:eastAsia="en-AU"/>
        </w:rPr>
        <w:t xml:space="preserve">The expected financial cost to the Government with the full cost offsets proposed </w:t>
      </w:r>
      <w:r w:rsidR="0088648D">
        <w:rPr>
          <w:iCs/>
          <w:snapToGrid/>
          <w:lang w:val="en-US" w:eastAsia="en-AU"/>
        </w:rPr>
        <w:t xml:space="preserve">in the submission </w:t>
      </w:r>
      <w:r w:rsidRPr="00FB52D4">
        <w:rPr>
          <w:iCs/>
          <w:snapToGrid/>
          <w:lang w:val="en-US" w:eastAsia="en-AU"/>
        </w:rPr>
        <w:t xml:space="preserve">would be </w:t>
      </w:r>
      <w:r w:rsidR="003C4521">
        <w:rPr>
          <w:iCs/>
          <w:snapToGrid/>
          <w:lang w:val="en-US" w:eastAsia="en-AU"/>
        </w:rPr>
        <w:t>less than</w:t>
      </w:r>
      <w:r w:rsidR="003C4521" w:rsidRPr="00FB52D4">
        <w:rPr>
          <w:iCs/>
          <w:snapToGrid/>
          <w:lang w:val="en-US" w:eastAsia="en-AU"/>
        </w:rPr>
        <w:t xml:space="preserve"> </w:t>
      </w:r>
      <w:r w:rsidRPr="00FB52D4">
        <w:rPr>
          <w:iCs/>
          <w:snapToGrid/>
          <w:lang w:val="en-US" w:eastAsia="en-AU"/>
        </w:rPr>
        <w:t>$</w:t>
      </w:r>
      <w:r w:rsidR="003C4521">
        <w:rPr>
          <w:iCs/>
          <w:snapToGrid/>
          <w:lang w:val="en-US" w:eastAsia="en-AU"/>
        </w:rPr>
        <w:t>10</w:t>
      </w:r>
      <w:r w:rsidR="0037431E">
        <w:rPr>
          <w:iCs/>
          <w:snapToGrid/>
          <w:lang w:val="en-US" w:eastAsia="en-AU"/>
        </w:rPr>
        <w:t> </w:t>
      </w:r>
      <w:r w:rsidRPr="00FB52D4">
        <w:rPr>
          <w:iCs/>
          <w:snapToGrid/>
          <w:lang w:val="en-US" w:eastAsia="en-AU"/>
        </w:rPr>
        <w:t>million in year 1, increasing to $</w:t>
      </w:r>
      <w:r w:rsidR="00CC21F9">
        <w:rPr>
          <w:iCs/>
          <w:snapToGrid/>
          <w:lang w:val="en-US" w:eastAsia="en-AU"/>
        </w:rPr>
        <w:t>10-$20 million</w:t>
      </w:r>
      <w:r w:rsidRPr="00FB52D4">
        <w:rPr>
          <w:iCs/>
          <w:snapToGrid/>
          <w:lang w:val="en-US" w:eastAsia="en-AU"/>
        </w:rPr>
        <w:t xml:space="preserve"> in year 5.</w:t>
      </w:r>
      <w:r w:rsidR="007578A8">
        <w:rPr>
          <w:iCs/>
          <w:snapToGrid/>
          <w:lang w:val="en-US" w:eastAsia="en-AU"/>
        </w:rPr>
        <w:t xml:space="preserve"> </w:t>
      </w:r>
      <w:r w:rsidRPr="00FB52D4">
        <w:rPr>
          <w:iCs/>
          <w:snapToGrid/>
          <w:lang w:val="en-US" w:eastAsia="en-AU"/>
        </w:rPr>
        <w:t xml:space="preserve">This significant increase over that expected in the November 2013 re-submission (estimated to be cost-neutral) was due to the higher price requested and the treatment of </w:t>
      </w:r>
      <w:r w:rsidR="00CC21F9">
        <w:rPr>
          <w:iCs/>
          <w:snapToGrid/>
          <w:lang w:val="en-US" w:eastAsia="en-AU"/>
        </w:rPr>
        <w:t>less than 10,000</w:t>
      </w:r>
      <w:r w:rsidR="003C4521">
        <w:rPr>
          <w:iCs/>
          <w:snapToGrid/>
          <w:lang w:val="en-US" w:eastAsia="en-AU"/>
        </w:rPr>
        <w:t xml:space="preserve"> additional</w:t>
      </w:r>
      <w:r w:rsidRPr="00FB52D4">
        <w:rPr>
          <w:iCs/>
          <w:snapToGrid/>
          <w:lang w:val="en-US" w:eastAsia="en-AU"/>
        </w:rPr>
        <w:t xml:space="preserve"> patients per year with unmet clinical needs from the Indigenous population</w:t>
      </w:r>
      <w:r w:rsidR="00954606">
        <w:rPr>
          <w:iCs/>
          <w:snapToGrid/>
          <w:lang w:val="en-US" w:eastAsia="en-AU"/>
        </w:rPr>
        <w:t xml:space="preserve"> to </w:t>
      </w:r>
      <w:r w:rsidR="00CC21F9">
        <w:rPr>
          <w:iCs/>
          <w:snapToGrid/>
          <w:lang w:val="en-US" w:eastAsia="en-AU"/>
        </w:rPr>
        <w:t>10,000-50,000</w:t>
      </w:r>
      <w:r w:rsidR="00954606">
        <w:rPr>
          <w:iCs/>
          <w:snapToGrid/>
          <w:lang w:val="en-US" w:eastAsia="en-AU"/>
        </w:rPr>
        <w:t xml:space="preserve"> </w:t>
      </w:r>
      <w:r w:rsidR="0015146F">
        <w:rPr>
          <w:iCs/>
          <w:snapToGrid/>
          <w:lang w:val="en-US" w:eastAsia="en-AU"/>
        </w:rPr>
        <w:t xml:space="preserve">additional </w:t>
      </w:r>
      <w:r w:rsidR="00954606">
        <w:rPr>
          <w:iCs/>
          <w:snapToGrid/>
          <w:lang w:val="en-US" w:eastAsia="en-AU"/>
        </w:rPr>
        <w:t>patients in year 5</w:t>
      </w:r>
      <w:r w:rsidRPr="00FB52D4">
        <w:rPr>
          <w:iCs/>
          <w:snapToGrid/>
          <w:lang w:val="en-US" w:eastAsia="en-AU"/>
        </w:rPr>
        <w:t>.</w:t>
      </w:r>
    </w:p>
    <w:p w:rsidR="0099312E" w:rsidRPr="0099312E" w:rsidRDefault="0099312E" w:rsidP="0037431E">
      <w:pPr>
        <w:pStyle w:val="BodyText"/>
        <w:widowControl/>
        <w:jc w:val="both"/>
      </w:pPr>
    </w:p>
    <w:p w:rsidR="009E6973" w:rsidRPr="008752B3" w:rsidRDefault="00D6158E" w:rsidP="004E6CA2">
      <w:pPr>
        <w:pStyle w:val="BodyText"/>
        <w:widowControl/>
        <w:numPr>
          <w:ilvl w:val="1"/>
          <w:numId w:val="47"/>
        </w:numPr>
        <w:jc w:val="both"/>
      </w:pPr>
      <w:r w:rsidRPr="008752B3">
        <w:rPr>
          <w:iCs/>
          <w:snapToGrid/>
          <w:lang w:val="en-US" w:eastAsia="en-AU"/>
        </w:rPr>
        <w:t>The ESC noted the high opportunity cost</w:t>
      </w:r>
      <w:r w:rsidR="0099312E" w:rsidRPr="008752B3">
        <w:rPr>
          <w:iCs/>
          <w:snapToGrid/>
          <w:lang w:val="en-US" w:eastAsia="en-AU"/>
        </w:rPr>
        <w:t xml:space="preserve"> of listing exenatide once weekly with the requested price </w:t>
      </w:r>
      <w:r w:rsidR="00FF5077" w:rsidRPr="008752B3">
        <w:t>advantage</w:t>
      </w:r>
      <w:r w:rsidR="0099312E" w:rsidRPr="008752B3">
        <w:rPr>
          <w:iCs/>
          <w:snapToGrid/>
          <w:lang w:val="en-US" w:eastAsia="en-AU"/>
        </w:rPr>
        <w:t xml:space="preserve">. Specifically, the </w:t>
      </w:r>
      <w:r w:rsidR="009E19B2" w:rsidRPr="008752B3">
        <w:rPr>
          <w:iCs/>
          <w:snapToGrid/>
          <w:lang w:val="en-US" w:eastAsia="en-AU"/>
        </w:rPr>
        <w:t>lost</w:t>
      </w:r>
      <w:r w:rsidR="0099312E" w:rsidRPr="008752B3">
        <w:rPr>
          <w:iCs/>
          <w:szCs w:val="22"/>
        </w:rPr>
        <w:t xml:space="preserve"> opportunity for the Government to pay for actual health gains as opposed to paying for convenience of use.</w:t>
      </w:r>
      <w:r w:rsidR="001B298F" w:rsidRPr="008752B3">
        <w:rPr>
          <w:iCs/>
          <w:szCs w:val="22"/>
        </w:rPr>
        <w:t xml:space="preserve"> </w:t>
      </w:r>
      <w:r w:rsidR="00A829E3" w:rsidRPr="008752B3">
        <w:rPr>
          <w:iCs/>
          <w:szCs w:val="22"/>
        </w:rPr>
        <w:t xml:space="preserve">However, the PBAC considered that there </w:t>
      </w:r>
      <w:r w:rsidR="000A3CF1" w:rsidRPr="008752B3">
        <w:rPr>
          <w:iCs/>
          <w:szCs w:val="22"/>
        </w:rPr>
        <w:t xml:space="preserve">could </w:t>
      </w:r>
      <w:r w:rsidR="00A829E3" w:rsidRPr="008752B3">
        <w:rPr>
          <w:iCs/>
          <w:szCs w:val="22"/>
        </w:rPr>
        <w:t>be potential health benefits of listing exenatide 2 mg once weekly in patients who may have better adherence compared with the twice dai</w:t>
      </w:r>
      <w:r w:rsidR="0037431E" w:rsidRPr="008752B3">
        <w:rPr>
          <w:iCs/>
          <w:szCs w:val="22"/>
        </w:rPr>
        <w:t>ly exenatide treatment regimen.</w:t>
      </w:r>
    </w:p>
    <w:p w:rsidR="003164F7" w:rsidRPr="00244A23" w:rsidRDefault="003164F7" w:rsidP="004E6CA2">
      <w:pPr>
        <w:pStyle w:val="PBACheading10"/>
        <w:jc w:val="both"/>
      </w:pPr>
    </w:p>
    <w:p w:rsidR="00294C59" w:rsidRPr="00244A23" w:rsidRDefault="008F20A3" w:rsidP="004E6CA2">
      <w:pPr>
        <w:pStyle w:val="BodyText"/>
        <w:widowControl/>
        <w:numPr>
          <w:ilvl w:val="1"/>
          <w:numId w:val="47"/>
        </w:numPr>
        <w:jc w:val="both"/>
      </w:pPr>
      <w:r w:rsidRPr="00244A23">
        <w:t xml:space="preserve">Sensitivity analyses </w:t>
      </w:r>
      <w:r w:rsidR="005A6B45" w:rsidRPr="00244A23">
        <w:t xml:space="preserve">of the financial estimates </w:t>
      </w:r>
      <w:r w:rsidRPr="00244A23">
        <w:t xml:space="preserve">were not </w:t>
      </w:r>
      <w:r w:rsidR="005A6B45" w:rsidRPr="00244A23">
        <w:t>provided by the re</w:t>
      </w:r>
      <w:r w:rsidR="00D6477E">
        <w:noBreakHyphen/>
      </w:r>
      <w:r w:rsidR="005A6B45" w:rsidRPr="00244A23">
        <w:t>submission</w:t>
      </w:r>
      <w:r w:rsidRPr="00244A23">
        <w:t>.</w:t>
      </w:r>
      <w:r w:rsidR="007578A8" w:rsidRPr="00244A23">
        <w:t xml:space="preserve"> </w:t>
      </w:r>
      <w:r w:rsidR="005A6B45" w:rsidRPr="00244A23">
        <w:t>An analysis assuming</w:t>
      </w:r>
      <w:r w:rsidR="00CF270E" w:rsidRPr="00244A23">
        <w:t xml:space="preserve"> a price </w:t>
      </w:r>
      <w:r w:rsidR="00FF5077">
        <w:t>advantage</w:t>
      </w:r>
      <w:r w:rsidR="00CF270E" w:rsidRPr="00244A23">
        <w:t xml:space="preserve"> based solely on the 50% level of needle cost offsets</w:t>
      </w:r>
      <w:r w:rsidR="008E48DB" w:rsidRPr="00244A23">
        <w:t xml:space="preserve"> recommended by the PBAC in November 2013 (</w:t>
      </w:r>
      <w:r w:rsidR="00CF270E" w:rsidRPr="00244A23">
        <w:t>DPMQ of $</w:t>
      </w:r>
      <w:r w:rsidR="00C01A93">
        <w:rPr>
          <w:noProof/>
          <w:color w:val="000000"/>
          <w:highlight w:val="black"/>
        </w:rPr>
        <w:t>''''''''''''''</w:t>
      </w:r>
      <w:r w:rsidR="00CF270E" w:rsidRPr="00244A23">
        <w:t xml:space="preserve"> instead of the requested $</w:t>
      </w:r>
      <w:r w:rsidR="00C01A93">
        <w:rPr>
          <w:noProof/>
          <w:color w:val="000000"/>
          <w:highlight w:val="black"/>
        </w:rPr>
        <w:t>'''''''''''''''''</w:t>
      </w:r>
      <w:r w:rsidR="008E48DB" w:rsidRPr="00244A23">
        <w:t>),</w:t>
      </w:r>
      <w:r w:rsidR="005A6B45" w:rsidRPr="00244A23">
        <w:t xml:space="preserve"> resulted in net costs </w:t>
      </w:r>
      <w:r w:rsidR="00D14159" w:rsidRPr="00244A23">
        <w:t xml:space="preserve">to the Government </w:t>
      </w:r>
      <w:r w:rsidR="005A6B45" w:rsidRPr="00244A23">
        <w:t xml:space="preserve">of </w:t>
      </w:r>
      <w:r w:rsidR="00BA3B85">
        <w:t xml:space="preserve">less than $10 million </w:t>
      </w:r>
      <w:r w:rsidR="005A6B45" w:rsidRPr="00244A23">
        <w:t xml:space="preserve">in Year 1 increasing to </w:t>
      </w:r>
      <w:r w:rsidR="00BA3B85">
        <w:t>less than $10 million</w:t>
      </w:r>
      <w:r w:rsidR="00CF270E" w:rsidRPr="00244A23">
        <w:t xml:space="preserve"> </w:t>
      </w:r>
      <w:r w:rsidR="005A6B45" w:rsidRPr="00244A23">
        <w:t>in Year 5</w:t>
      </w:r>
      <w:r w:rsidR="00D14159" w:rsidRPr="00244A23">
        <w:t>,</w:t>
      </w:r>
      <w:r w:rsidR="00CF270E" w:rsidRPr="00244A23">
        <w:t xml:space="preserve"> </w:t>
      </w:r>
      <w:r w:rsidR="005A6B45" w:rsidRPr="00244A23">
        <w:t xml:space="preserve">a </w:t>
      </w:r>
      <w:r w:rsidR="00D14159" w:rsidRPr="00244A23">
        <w:t>de</w:t>
      </w:r>
      <w:r w:rsidR="005A6B45" w:rsidRPr="00244A23">
        <w:t xml:space="preserve">crease of approximately </w:t>
      </w:r>
      <w:r w:rsidR="00CF270E" w:rsidRPr="00244A23">
        <w:t>7</w:t>
      </w:r>
      <w:r w:rsidR="005A6B45" w:rsidRPr="00244A23">
        <w:t>0% from costs estimated by the re-submission.</w:t>
      </w:r>
    </w:p>
    <w:p w:rsidR="00294C59" w:rsidRPr="00244A23" w:rsidRDefault="00294C59" w:rsidP="004E6CA2">
      <w:pPr>
        <w:pStyle w:val="PBACheading10"/>
        <w:jc w:val="both"/>
      </w:pPr>
    </w:p>
    <w:p w:rsidR="001222FC" w:rsidRDefault="008F20A3" w:rsidP="004E6CA2">
      <w:pPr>
        <w:pStyle w:val="BodyText"/>
        <w:widowControl/>
        <w:numPr>
          <w:ilvl w:val="1"/>
          <w:numId w:val="47"/>
        </w:numPr>
        <w:jc w:val="both"/>
      </w:pPr>
      <w:r w:rsidRPr="00244A23">
        <w:t xml:space="preserve">The financial estimates </w:t>
      </w:r>
      <w:r w:rsidR="00426C82" w:rsidRPr="00244A23">
        <w:t>did not consider that exenatide once weekly may substitute for exenatide 5</w:t>
      </w:r>
      <w:r w:rsidR="00B775AF">
        <w:t> </w:t>
      </w:r>
      <w:r w:rsidR="00426C82" w:rsidRPr="00244A23">
        <w:t>mcg twice daily</w:t>
      </w:r>
      <w:r w:rsidR="004842A4" w:rsidRPr="00244A23">
        <w:t xml:space="preserve"> when the latter is used outside of titration purposes;</w:t>
      </w:r>
      <w:r w:rsidR="00426C82" w:rsidRPr="00244A23">
        <w:t xml:space="preserve"> </w:t>
      </w:r>
      <w:r w:rsidR="004842A4" w:rsidRPr="00244A23">
        <w:t xml:space="preserve">or </w:t>
      </w:r>
      <w:r w:rsidR="00426C82" w:rsidRPr="00244A23">
        <w:t>that additional use may also occur in non-Indigenous patients t</w:t>
      </w:r>
      <w:r w:rsidR="000807C9">
        <w:t>aking oral anti</w:t>
      </w:r>
      <w:r w:rsidR="000807C9">
        <w:noBreakHyphen/>
      </w:r>
      <w:r w:rsidR="004842A4" w:rsidRPr="00244A23">
        <w:t>diabetic agents</w:t>
      </w:r>
      <w:r w:rsidR="00426C82" w:rsidRPr="00244A23">
        <w:t>.</w:t>
      </w:r>
      <w:r w:rsidR="007578A8" w:rsidRPr="00244A23">
        <w:t xml:space="preserve"> </w:t>
      </w:r>
      <w:r w:rsidR="00426C82" w:rsidRPr="00244A23">
        <w:t xml:space="preserve">Consequently the </w:t>
      </w:r>
      <w:r w:rsidR="004842A4" w:rsidRPr="00244A23">
        <w:t xml:space="preserve">estimated </w:t>
      </w:r>
      <w:r w:rsidR="000F5BEC" w:rsidRPr="00244A23">
        <w:t>net</w:t>
      </w:r>
      <w:r w:rsidR="00426C82" w:rsidRPr="00244A23">
        <w:t xml:space="preserve"> cost </w:t>
      </w:r>
      <w:r w:rsidR="008E48DB" w:rsidRPr="00244A23">
        <w:t>wa</w:t>
      </w:r>
      <w:r w:rsidR="00426C82" w:rsidRPr="00244A23">
        <w:t>s considered underestimated.</w:t>
      </w:r>
      <w:r w:rsidR="007578A8" w:rsidRPr="00244A23">
        <w:t xml:space="preserve"> </w:t>
      </w:r>
      <w:r w:rsidR="00323933" w:rsidRPr="00244A23">
        <w:t xml:space="preserve">This underestimation </w:t>
      </w:r>
      <w:r w:rsidR="000F5BEC" w:rsidRPr="00244A23">
        <w:t>was considered</w:t>
      </w:r>
      <w:r w:rsidR="00323933" w:rsidRPr="00244A23">
        <w:t xml:space="preserve"> still </w:t>
      </w:r>
      <w:r w:rsidR="00CD2DD0" w:rsidRPr="00244A23">
        <w:t>likely</w:t>
      </w:r>
      <w:r w:rsidR="00323933" w:rsidRPr="00244A23">
        <w:t xml:space="preserve"> even with </w:t>
      </w:r>
      <w:r w:rsidR="000F5BEC" w:rsidRPr="00244A23">
        <w:t>removal of the requested</w:t>
      </w:r>
      <w:r w:rsidR="00323933" w:rsidRPr="00244A23">
        <w:t xml:space="preserve"> consumer surplus for WTP and a significant reduction in the </w:t>
      </w:r>
      <w:r w:rsidR="00B42C37" w:rsidRPr="00244A23">
        <w:t>requested</w:t>
      </w:r>
      <w:r w:rsidR="00323933" w:rsidRPr="00244A23">
        <w:t xml:space="preserve"> cost offsets. </w:t>
      </w:r>
      <w:r w:rsidR="00FD7BAF" w:rsidRPr="00244A23">
        <w:t>The PSCR argued that use is unlikely to occur in non-Indigenous patients switching from oral therapies and that patient numbers were therefore not underestimated.</w:t>
      </w:r>
    </w:p>
    <w:p w:rsidR="00E26458" w:rsidRDefault="00E26458" w:rsidP="00E26458"/>
    <w:p w:rsidR="00B879E4" w:rsidRPr="008752B3" w:rsidRDefault="00B879E4" w:rsidP="00B879E4">
      <w:pPr>
        <w:pStyle w:val="ListParagraph"/>
        <w:widowControl/>
        <w:numPr>
          <w:ilvl w:val="1"/>
          <w:numId w:val="47"/>
        </w:numPr>
      </w:pPr>
      <w:r w:rsidRPr="008752B3">
        <w:t xml:space="preserve">The PBAC noted that the financial impact of the listing recommended by the PBAC would be less than was estimated in the submission given the substantially lower price </w:t>
      </w:r>
      <w:r w:rsidR="00FF5077" w:rsidRPr="008752B3">
        <w:t>advantage</w:t>
      </w:r>
      <w:r w:rsidRPr="008752B3">
        <w:t xml:space="preserve"> recommended by the PBAC.</w:t>
      </w:r>
    </w:p>
    <w:p w:rsidR="00E26458" w:rsidRPr="008752B3" w:rsidRDefault="00E26458" w:rsidP="0037431E">
      <w:pPr>
        <w:pStyle w:val="BodyText"/>
        <w:widowControl/>
        <w:jc w:val="both"/>
      </w:pPr>
    </w:p>
    <w:p w:rsidR="0088648D" w:rsidRPr="008752B3" w:rsidRDefault="0088648D" w:rsidP="00423F38">
      <w:pPr>
        <w:widowControl/>
        <w:ind w:firstLine="709"/>
        <w:rPr>
          <w:i/>
          <w:szCs w:val="22"/>
        </w:rPr>
      </w:pPr>
      <w:r w:rsidRPr="008752B3">
        <w:rPr>
          <w:i/>
          <w:szCs w:val="22"/>
        </w:rPr>
        <w:t>For more detail on PBAC’s view, see section 7 “PBAC outcome”</w:t>
      </w:r>
      <w:r w:rsidR="0037431E" w:rsidRPr="008752B3">
        <w:rPr>
          <w:i/>
          <w:szCs w:val="22"/>
        </w:rPr>
        <w:t>.</w:t>
      </w:r>
    </w:p>
    <w:p w:rsidR="0088648D" w:rsidRPr="008752B3" w:rsidRDefault="0088648D" w:rsidP="004E6CA2">
      <w:pPr>
        <w:widowControl/>
      </w:pPr>
    </w:p>
    <w:p w:rsidR="001222FC" w:rsidRPr="008752B3" w:rsidRDefault="001222FC" w:rsidP="004E6CA2">
      <w:pPr>
        <w:pStyle w:val="Heading2"/>
        <w:keepNext/>
        <w:widowControl/>
        <w:rPr>
          <w:i/>
        </w:rPr>
      </w:pPr>
      <w:bookmarkStart w:id="42" w:name="_Toc341702034"/>
      <w:bookmarkStart w:id="43" w:name="_Toc380679759"/>
      <w:bookmarkStart w:id="44" w:name="_Toc380742616"/>
      <w:bookmarkStart w:id="45" w:name="_Toc380746183"/>
      <w:bookmarkStart w:id="46" w:name="_Toc380746309"/>
      <w:bookmarkStart w:id="47" w:name="_Toc380746590"/>
      <w:bookmarkStart w:id="48" w:name="_Toc419369085"/>
      <w:r w:rsidRPr="008752B3">
        <w:rPr>
          <w:i/>
        </w:rPr>
        <w:t>Quality Use of Medicines</w:t>
      </w:r>
      <w:bookmarkEnd w:id="42"/>
      <w:bookmarkEnd w:id="43"/>
      <w:bookmarkEnd w:id="44"/>
      <w:bookmarkEnd w:id="45"/>
      <w:bookmarkEnd w:id="46"/>
      <w:bookmarkEnd w:id="47"/>
      <w:bookmarkEnd w:id="48"/>
    </w:p>
    <w:p w:rsidR="00EB7836" w:rsidRPr="008752B3" w:rsidRDefault="00EB7836" w:rsidP="004E6CA2">
      <w:pPr>
        <w:keepNext/>
        <w:widowControl/>
      </w:pPr>
    </w:p>
    <w:p w:rsidR="009A555B" w:rsidRPr="008752B3" w:rsidRDefault="00662AA6" w:rsidP="004E6CA2">
      <w:pPr>
        <w:pStyle w:val="BodyText"/>
        <w:widowControl/>
        <w:numPr>
          <w:ilvl w:val="1"/>
          <w:numId w:val="47"/>
        </w:numPr>
        <w:jc w:val="both"/>
      </w:pPr>
      <w:r w:rsidRPr="008752B3">
        <w:t>The re-submission indicated that exenatide once weekly will improve quality use of medicines by reducing the likelihood of needle reuse.</w:t>
      </w:r>
      <w:r w:rsidR="007578A8" w:rsidRPr="008752B3">
        <w:t xml:space="preserve"> </w:t>
      </w:r>
      <w:r w:rsidR="00F161F0" w:rsidRPr="008752B3">
        <w:t xml:space="preserve">Given that needles can be accessed </w:t>
      </w:r>
      <w:r w:rsidR="00A076DB" w:rsidRPr="008752B3">
        <w:t>at no cost to the patients</w:t>
      </w:r>
      <w:r w:rsidR="00F161F0" w:rsidRPr="008752B3">
        <w:t xml:space="preserve"> through the </w:t>
      </w:r>
      <w:r w:rsidR="005D5ECB" w:rsidRPr="008752B3">
        <w:t>NDSS</w:t>
      </w:r>
      <w:r w:rsidR="00F161F0" w:rsidRPr="008752B3">
        <w:t>, it is unlikely that needle reuse is a large problem in Australia.</w:t>
      </w:r>
      <w:r w:rsidR="00423F38" w:rsidRPr="008752B3">
        <w:t xml:space="preserve"> The pre-PBAC response argues that this point contradicts the PBAC recommendation </w:t>
      </w:r>
      <w:r w:rsidR="004415EB" w:rsidRPr="008752B3">
        <w:t xml:space="preserve">in November 2013 </w:t>
      </w:r>
      <w:r w:rsidR="00423F38" w:rsidRPr="008752B3">
        <w:t xml:space="preserve">to halve the requested needle cost offset because it was assumed that needle reuse occurred such that, on average, each needle is used for two injections. </w:t>
      </w:r>
      <w:r w:rsidR="00EE284A" w:rsidRPr="008752B3">
        <w:t>The PBAC noted that it considered that 50% of the estimated needle use would be appropriate for the purpose of pricing negotiations in the absence of any data proving 100% compliance with twice daily exenatide dosing and use of a new needle for each dose. However, the PBAC conceded that there may be some small improvement in quality use of medicines by reducing the likelihood of needle reuse.</w:t>
      </w:r>
    </w:p>
    <w:p w:rsidR="007F2DC8" w:rsidRDefault="007F2DC8" w:rsidP="004E6CA2">
      <w:pPr>
        <w:pStyle w:val="PBACheading10"/>
        <w:jc w:val="both"/>
      </w:pPr>
    </w:p>
    <w:p w:rsidR="007F2DC8" w:rsidRPr="00662AA6" w:rsidRDefault="005910D8" w:rsidP="004E6CA2">
      <w:pPr>
        <w:pStyle w:val="BodyText"/>
        <w:widowControl/>
        <w:numPr>
          <w:ilvl w:val="1"/>
          <w:numId w:val="47"/>
        </w:numPr>
        <w:jc w:val="both"/>
      </w:pPr>
      <w:r>
        <w:t>The re-submissi</w:t>
      </w:r>
      <w:r w:rsidR="007F2DC8">
        <w:t>on provided a brief description of a sponsored study</w:t>
      </w:r>
      <w:r w:rsidR="00E6428B">
        <w:t xml:space="preserve"> that is scheduled to begin in </w:t>
      </w:r>
      <w:r w:rsidR="00DD4470">
        <w:t>mid-2015</w:t>
      </w:r>
      <w:r w:rsidR="00E6428B">
        <w:t>.</w:t>
      </w:r>
      <w:r w:rsidR="007578A8">
        <w:t xml:space="preserve"> </w:t>
      </w:r>
      <w:r w:rsidR="00E6428B">
        <w:t>The aim of the study is to investigate the acceptability, feasibility and efficacy of a model of care based on exenatide once weekly and associated weekly clinician contact for an Indigenous population.</w:t>
      </w:r>
      <w:r w:rsidR="007578A8">
        <w:t xml:space="preserve"> </w:t>
      </w:r>
      <w:r w:rsidR="00390E32" w:rsidRPr="00FB52D4">
        <w:t xml:space="preserve">Given that the sponsor is commissioning a study to assess the acceptability of exenatide once weekly in Indigenous patients, and whether there will be an impact on HbA1c, the assumed increased use </w:t>
      </w:r>
      <w:r w:rsidR="00F27B67" w:rsidRPr="00FB52D4">
        <w:t xml:space="preserve">of exenatide once weekly </w:t>
      </w:r>
      <w:r w:rsidR="00390E32" w:rsidRPr="00FB52D4">
        <w:t>by this population</w:t>
      </w:r>
      <w:r w:rsidR="00F27B67" w:rsidRPr="00FB52D4">
        <w:t>,</w:t>
      </w:r>
      <w:r w:rsidR="00390E32" w:rsidRPr="00FB52D4">
        <w:t xml:space="preserve"> along with improved health outcomes assumed in the re-submission cannot be substan</w:t>
      </w:r>
      <w:r w:rsidR="00F27B67" w:rsidRPr="00FB52D4">
        <w:t>ti</w:t>
      </w:r>
      <w:r w:rsidR="00390E32" w:rsidRPr="00FB52D4">
        <w:t>ated.</w:t>
      </w:r>
    </w:p>
    <w:p w:rsidR="00470FAE" w:rsidRPr="0037431E" w:rsidRDefault="00470FAE" w:rsidP="004E6CA2">
      <w:pPr>
        <w:widowControl/>
        <w:jc w:val="left"/>
      </w:pPr>
    </w:p>
    <w:p w:rsidR="00816063" w:rsidRPr="0037431E" w:rsidRDefault="00816063" w:rsidP="00B03D3E">
      <w:pPr>
        <w:pStyle w:val="ListParagraph"/>
        <w:widowControl/>
        <w:rPr>
          <w:szCs w:val="22"/>
        </w:rPr>
      </w:pPr>
      <w:r w:rsidRPr="00816063">
        <w:rPr>
          <w:i/>
          <w:szCs w:val="22"/>
        </w:rPr>
        <w:t>For more detail on PBAC’s view, see section 7 “PBAC outcome”</w:t>
      </w:r>
      <w:r w:rsidR="0037431E">
        <w:rPr>
          <w:i/>
          <w:szCs w:val="22"/>
        </w:rPr>
        <w:t>.</w:t>
      </w:r>
    </w:p>
    <w:p w:rsidR="00997076" w:rsidRPr="0037431E" w:rsidRDefault="00997076" w:rsidP="004E6CA2">
      <w:pPr>
        <w:widowControl/>
        <w:jc w:val="left"/>
      </w:pPr>
    </w:p>
    <w:p w:rsidR="00244A23" w:rsidRPr="0037431E" w:rsidRDefault="00244A23" w:rsidP="004E6CA2">
      <w:pPr>
        <w:widowControl/>
        <w:jc w:val="left"/>
      </w:pPr>
    </w:p>
    <w:p w:rsidR="00244A23" w:rsidRPr="00244A23" w:rsidRDefault="00244A23" w:rsidP="00C45A50">
      <w:pPr>
        <w:pStyle w:val="Heading2"/>
        <w:keepNext/>
        <w:widowControl/>
        <w:numPr>
          <w:ilvl w:val="0"/>
          <w:numId w:val="47"/>
        </w:numPr>
        <w:ind w:left="709" w:hanging="709"/>
      </w:pPr>
      <w:r w:rsidRPr="00244A23">
        <w:t>PBAC Outcome</w:t>
      </w:r>
    </w:p>
    <w:p w:rsidR="00244A23" w:rsidRPr="0037431E" w:rsidRDefault="00244A23" w:rsidP="00C45A50">
      <w:pPr>
        <w:keepNext/>
        <w:widowControl/>
        <w:contextualSpacing/>
        <w:rPr>
          <w:bCs/>
          <w:szCs w:val="22"/>
          <w:highlight w:val="yellow"/>
          <w:lang w:val="en-GB"/>
        </w:rPr>
      </w:pPr>
    </w:p>
    <w:p w:rsidR="00954606" w:rsidRPr="00954606" w:rsidRDefault="005D22E2" w:rsidP="004E6CA2">
      <w:pPr>
        <w:pStyle w:val="BodyText"/>
        <w:widowControl/>
        <w:numPr>
          <w:ilvl w:val="1"/>
          <w:numId w:val="47"/>
        </w:numPr>
        <w:jc w:val="both"/>
      </w:pPr>
      <w:r>
        <w:t xml:space="preserve">The PBAC recalled </w:t>
      </w:r>
      <w:r w:rsidR="0037431E">
        <w:t>that, in November 2013, it had recommended exenatide 2 </w:t>
      </w:r>
      <w:r>
        <w:t xml:space="preserve">mg once weekly as an Authority Required (Streamlined) benefit for </w:t>
      </w:r>
      <w:r w:rsidRPr="004D0643">
        <w:t>dual combination</w:t>
      </w:r>
      <w:r w:rsidRPr="00E30B11">
        <w:t xml:space="preserve"> therapy with metformin or a sulfonylurea</w:t>
      </w:r>
      <w:r>
        <w:t xml:space="preserve"> and </w:t>
      </w:r>
      <w:r w:rsidRPr="004D0643">
        <w:t>triple</w:t>
      </w:r>
      <w:r w:rsidRPr="00E30B11">
        <w:t xml:space="preserve"> combination therapy with metformin </w:t>
      </w:r>
      <w:r>
        <w:t>and</w:t>
      </w:r>
      <w:r w:rsidRPr="00E30B11">
        <w:t xml:space="preserve"> a sulfonylurea</w:t>
      </w:r>
      <w:r w:rsidRPr="00EC5AD5">
        <w:t xml:space="preserve"> </w:t>
      </w:r>
      <w:r>
        <w:t xml:space="preserve">in patients with T2DM, </w:t>
      </w:r>
      <w:r w:rsidRPr="00EC5AD5">
        <w:t xml:space="preserve">on </w:t>
      </w:r>
      <w:r>
        <w:t>a cost-minimisation basis with</w:t>
      </w:r>
      <w:r w:rsidRPr="00EC5AD5">
        <w:t xml:space="preserve"> </w:t>
      </w:r>
      <w:r>
        <w:t xml:space="preserve">exenatide 10 mcg twice daily (with a cost offset for reduced needle use). </w:t>
      </w:r>
      <w:r w:rsidR="00175442">
        <w:t xml:space="preserve">The </w:t>
      </w:r>
      <w:r>
        <w:t>PBAC re</w:t>
      </w:r>
      <w:r w:rsidR="00571BE5">
        <w:t>-endorse</w:t>
      </w:r>
      <w:r w:rsidR="00F61E50">
        <w:t>d it</w:t>
      </w:r>
      <w:r>
        <w:t>s Novemb</w:t>
      </w:r>
      <w:r w:rsidR="0037431E">
        <w:t>er 2013 recommendation (of cost-</w:t>
      </w:r>
      <w:r>
        <w:t xml:space="preserve">minimisation with a partial cost offset for reduced needle use) and recommended a </w:t>
      </w:r>
      <w:r w:rsidR="0037431E">
        <w:t xml:space="preserve">further </w:t>
      </w:r>
      <w:r>
        <w:t xml:space="preserve">small price </w:t>
      </w:r>
      <w:r w:rsidR="0037431E">
        <w:t>advantage for exenatide 2 </w:t>
      </w:r>
      <w:r>
        <w:t xml:space="preserve">mg once weekly on the basis of </w:t>
      </w:r>
      <w:r w:rsidR="0037431E">
        <w:t xml:space="preserve">potential health benefits from </w:t>
      </w:r>
      <w:r>
        <w:t>likely improved adherence by a small number of high clinical need populations.</w:t>
      </w:r>
    </w:p>
    <w:p w:rsidR="001E6585" w:rsidRDefault="001E6585" w:rsidP="00B03D3E">
      <w:pPr>
        <w:widowControl/>
      </w:pPr>
    </w:p>
    <w:p w:rsidR="001E6585" w:rsidRDefault="001E6585" w:rsidP="004E6CA2">
      <w:pPr>
        <w:pStyle w:val="BodyText"/>
        <w:widowControl/>
        <w:numPr>
          <w:ilvl w:val="1"/>
          <w:numId w:val="47"/>
        </w:numPr>
        <w:jc w:val="both"/>
      </w:pPr>
      <w:r>
        <w:t xml:space="preserve">The PBAC considered that the data presented in </w:t>
      </w:r>
      <w:r w:rsidR="005D22E2">
        <w:t>the November 2013 submission</w:t>
      </w:r>
      <w:r>
        <w:t xml:space="preserve"> supported exenatide </w:t>
      </w:r>
      <w:r w:rsidR="004B1076">
        <w:t xml:space="preserve">2 mg </w:t>
      </w:r>
      <w:r>
        <w:t xml:space="preserve">once weekly being at least non-inferior to exenatide </w:t>
      </w:r>
      <w:r w:rsidR="004B1076">
        <w:t xml:space="preserve">10 mcg </w:t>
      </w:r>
      <w:r>
        <w:t>twice daily in terms of efficacy</w:t>
      </w:r>
      <w:r w:rsidR="00D255E6">
        <w:t xml:space="preserve"> (based on mean change in HbA1c from baseline)</w:t>
      </w:r>
      <w:r>
        <w:t xml:space="preserve"> and non-inferior in terms of safety</w:t>
      </w:r>
      <w:r w:rsidRPr="002B2953">
        <w:t>.</w:t>
      </w:r>
      <w:r w:rsidR="005D22E2">
        <w:t xml:space="preserve"> The PBAC noted that the re-submission did not </w:t>
      </w:r>
      <w:r w:rsidR="0061040D">
        <w:t xml:space="preserve">present any new clinical data or </w:t>
      </w:r>
      <w:r w:rsidR="004B1076">
        <w:t>make a new clinical claim.</w:t>
      </w:r>
    </w:p>
    <w:p w:rsidR="001E6585" w:rsidRDefault="001E6585" w:rsidP="00B03D3E">
      <w:pPr>
        <w:widowControl/>
      </w:pPr>
    </w:p>
    <w:p w:rsidR="001E6585" w:rsidRPr="000A77F5" w:rsidRDefault="001E6585" w:rsidP="004E6CA2">
      <w:pPr>
        <w:pStyle w:val="BodyText"/>
        <w:widowControl/>
        <w:numPr>
          <w:ilvl w:val="1"/>
          <w:numId w:val="47"/>
        </w:numPr>
        <w:jc w:val="both"/>
      </w:pPr>
      <w:r>
        <w:t xml:space="preserve">The PBAC noted that the requested restriction was in line with that </w:t>
      </w:r>
      <w:r w:rsidR="00586768">
        <w:t>recommended</w:t>
      </w:r>
      <w:r>
        <w:t xml:space="preserve"> in November 2013</w:t>
      </w:r>
      <w:r w:rsidR="005D22E2">
        <w:t xml:space="preserve"> and </w:t>
      </w:r>
      <w:r w:rsidR="00586768">
        <w:t>it had previo</w:t>
      </w:r>
      <w:r w:rsidR="004B1076">
        <w:t>usly accepted that exenatide 10 </w:t>
      </w:r>
      <w:r w:rsidR="00586768">
        <w:t>mcg twice daily was the appropriate comparator</w:t>
      </w:r>
      <w:r w:rsidR="005D22E2">
        <w:t>.</w:t>
      </w:r>
    </w:p>
    <w:p w:rsidR="00954606" w:rsidRPr="00954606" w:rsidRDefault="00954606" w:rsidP="004B1076">
      <w:pPr>
        <w:pStyle w:val="BodyText"/>
        <w:widowControl/>
        <w:jc w:val="both"/>
        <w:rPr>
          <w:highlight w:val="yellow"/>
        </w:rPr>
      </w:pPr>
    </w:p>
    <w:p w:rsidR="00954606" w:rsidRPr="00745E20" w:rsidRDefault="00954606" w:rsidP="004E6CA2">
      <w:pPr>
        <w:pStyle w:val="BodyText"/>
        <w:widowControl/>
        <w:numPr>
          <w:ilvl w:val="1"/>
          <w:numId w:val="47"/>
        </w:numPr>
        <w:jc w:val="both"/>
      </w:pPr>
      <w:r w:rsidRPr="00954606">
        <w:t xml:space="preserve">The PBAC noted that exenatide </w:t>
      </w:r>
      <w:r w:rsidR="007429EF">
        <w:t xml:space="preserve">2 mg </w:t>
      </w:r>
      <w:r w:rsidRPr="00954606">
        <w:t xml:space="preserve">once weekly </w:t>
      </w:r>
      <w:r>
        <w:t xml:space="preserve">would mainly substitute </w:t>
      </w:r>
      <w:r w:rsidR="000A77F5">
        <w:t xml:space="preserve">for exenatide </w:t>
      </w:r>
      <w:r w:rsidR="004B1076">
        <w:t xml:space="preserve">10 mcg </w:t>
      </w:r>
      <w:r w:rsidR="000A77F5">
        <w:t xml:space="preserve">twice daily. </w:t>
      </w:r>
      <w:r w:rsidR="00586768">
        <w:t xml:space="preserve">The PBAC considered </w:t>
      </w:r>
      <w:r w:rsidR="00586768" w:rsidRPr="00586768">
        <w:t xml:space="preserve">that the simplified treatment regimen of reducing dosing frequency by 13 injections per week may translate into fulfilling an unmet need for high </w:t>
      </w:r>
      <w:r w:rsidR="00586768" w:rsidRPr="00745E20">
        <w:t xml:space="preserve">clinical need populations; specifically Indigenous, aged and mental health </w:t>
      </w:r>
      <w:r w:rsidR="00116B0A" w:rsidRPr="00745E20">
        <w:t>patients</w:t>
      </w:r>
      <w:r w:rsidR="000B5577" w:rsidRPr="00745E20">
        <w:t xml:space="preserve"> (see </w:t>
      </w:r>
      <w:r w:rsidR="00B03D3E" w:rsidRPr="00745E20">
        <w:t>paragraphs 6.9-6.</w:t>
      </w:r>
      <w:r w:rsidR="00571BE5" w:rsidRPr="00745E20">
        <w:t>11</w:t>
      </w:r>
      <w:r w:rsidR="009E7080" w:rsidRPr="00745E20">
        <w:t xml:space="preserve"> </w:t>
      </w:r>
      <w:r w:rsidR="00745E20" w:rsidRPr="00745E20">
        <w:t>and 6.28</w:t>
      </w:r>
      <w:r w:rsidR="000B5577" w:rsidRPr="00745E20">
        <w:t>)</w:t>
      </w:r>
      <w:r w:rsidR="00586768" w:rsidRPr="00745E20">
        <w:t xml:space="preserve">. </w:t>
      </w:r>
      <w:r w:rsidR="007C163D" w:rsidRPr="00745E20">
        <w:t xml:space="preserve">In this regard, the PBAC noted the consumer comments described the benefits of once weekly administration compared with twice daily, including the potential compliance benefit. </w:t>
      </w:r>
      <w:r w:rsidR="007E3565" w:rsidRPr="00745E20">
        <w:t xml:space="preserve">The PBAC </w:t>
      </w:r>
      <w:r w:rsidR="007C163D" w:rsidRPr="00745E20">
        <w:t>considered</w:t>
      </w:r>
      <w:r w:rsidR="007E3565" w:rsidRPr="00745E20">
        <w:t xml:space="preserve"> that the </w:t>
      </w:r>
      <w:r w:rsidR="00F119B4" w:rsidRPr="00745E20">
        <w:t>s</w:t>
      </w:r>
      <w:r w:rsidR="004220A3" w:rsidRPr="00745E20">
        <w:t xml:space="preserve">ponsor-funded </w:t>
      </w:r>
      <w:r w:rsidR="00F119B4" w:rsidRPr="00745E20">
        <w:t xml:space="preserve">study in Indigenous Australians </w:t>
      </w:r>
      <w:r w:rsidR="000518D5" w:rsidRPr="00745E20">
        <w:t>(see paragraph 6.</w:t>
      </w:r>
      <w:r w:rsidR="00DF68BC" w:rsidRPr="00745E20">
        <w:t>5</w:t>
      </w:r>
      <w:r w:rsidR="008752B3" w:rsidRPr="00745E20">
        <w:t>1</w:t>
      </w:r>
      <w:r w:rsidR="000518D5" w:rsidRPr="00745E20">
        <w:t xml:space="preserve">) </w:t>
      </w:r>
      <w:r w:rsidR="004220A3" w:rsidRPr="00745E20">
        <w:t xml:space="preserve">may </w:t>
      </w:r>
      <w:r w:rsidR="00144510" w:rsidRPr="00745E20">
        <w:t xml:space="preserve">provide confirmation of an </w:t>
      </w:r>
      <w:r w:rsidR="004220A3" w:rsidRPr="00745E20">
        <w:t>unmet need for a simplified treatment regimen for that population</w:t>
      </w:r>
      <w:r w:rsidR="00F119B4" w:rsidRPr="00745E20">
        <w:t>.</w:t>
      </w:r>
    </w:p>
    <w:p w:rsidR="00631000" w:rsidRPr="00745E20" w:rsidRDefault="00631000" w:rsidP="009C41CE">
      <w:pPr>
        <w:widowControl/>
      </w:pPr>
    </w:p>
    <w:p w:rsidR="002F123C" w:rsidRDefault="00631000" w:rsidP="004E6CA2">
      <w:pPr>
        <w:pStyle w:val="BodyText"/>
        <w:widowControl/>
        <w:numPr>
          <w:ilvl w:val="1"/>
          <w:numId w:val="47"/>
        </w:numPr>
        <w:jc w:val="both"/>
      </w:pPr>
      <w:r w:rsidRPr="00745E20">
        <w:t xml:space="preserve">The PBAC noted that the </w:t>
      </w:r>
      <w:r w:rsidR="00D422B6" w:rsidRPr="00745E20">
        <w:t xml:space="preserve">re-submission </w:t>
      </w:r>
      <w:r w:rsidRPr="00745E20">
        <w:t xml:space="preserve">requested </w:t>
      </w:r>
      <w:r w:rsidR="00D422B6" w:rsidRPr="00745E20">
        <w:t xml:space="preserve">a </w:t>
      </w:r>
      <w:r w:rsidRPr="00745E20">
        <w:t xml:space="preserve">price </w:t>
      </w:r>
      <w:r w:rsidR="004B1076" w:rsidRPr="00745E20">
        <w:t>advantage</w:t>
      </w:r>
      <w:r w:rsidRPr="00745E20">
        <w:t xml:space="preserve"> on the basis of patient preferences as measure</w:t>
      </w:r>
      <w:r w:rsidR="00F2345E" w:rsidRPr="00745E20">
        <w:t>d</w:t>
      </w:r>
      <w:r w:rsidRPr="00745E20">
        <w:t xml:space="preserve"> by consumer surplus, estimated from a WTP study. </w:t>
      </w:r>
      <w:r w:rsidR="0083086F" w:rsidRPr="00745E20">
        <w:t>The PBAC</w:t>
      </w:r>
      <w:r w:rsidR="002F123C" w:rsidRPr="00745E20">
        <w:t xml:space="preserve"> </w:t>
      </w:r>
      <w:r w:rsidR="0083086F" w:rsidRPr="00745E20">
        <w:t xml:space="preserve">did not accept </w:t>
      </w:r>
      <w:r w:rsidR="00D16F8F" w:rsidRPr="00745E20">
        <w:t xml:space="preserve">that the WTP study provided a sufficient basis for quantifying the potential benefit of exenatide once weekly for patients </w:t>
      </w:r>
      <w:r w:rsidR="0083086F" w:rsidRPr="00745E20">
        <w:t>(</w:t>
      </w:r>
      <w:r w:rsidR="002F123C" w:rsidRPr="00745E20">
        <w:t>see para</w:t>
      </w:r>
      <w:r w:rsidR="0083086F" w:rsidRPr="00745E20">
        <w:t>graph</w:t>
      </w:r>
      <w:r w:rsidR="00FA0CFD" w:rsidRPr="00745E20">
        <w:t> </w:t>
      </w:r>
      <w:r w:rsidR="002F123C" w:rsidRPr="00745E20">
        <w:t>6.</w:t>
      </w:r>
      <w:r w:rsidR="007700BA" w:rsidRPr="00745E20">
        <w:t>2</w:t>
      </w:r>
      <w:r w:rsidR="009E7080" w:rsidRPr="00745E20">
        <w:t>5</w:t>
      </w:r>
      <w:r w:rsidR="0083086F" w:rsidRPr="00745E20">
        <w:t>)</w:t>
      </w:r>
      <w:r w:rsidR="002F123C" w:rsidRPr="00745E20">
        <w:t>.</w:t>
      </w:r>
      <w:r w:rsidR="002F123C" w:rsidRPr="0083086F">
        <w:t xml:space="preserve"> </w:t>
      </w:r>
      <w:r w:rsidR="00D16F8F">
        <w:t>Furthermore, t</w:t>
      </w:r>
      <w:r w:rsidR="002F123C" w:rsidRPr="0083086F">
        <w:t xml:space="preserve">he PBAC recalled that when a price </w:t>
      </w:r>
      <w:r w:rsidR="004B1076">
        <w:t>advantage</w:t>
      </w:r>
      <w:r w:rsidR="002F123C" w:rsidRPr="0083086F">
        <w:t xml:space="preserve"> based on a WTP study was accepted for tobramycin</w:t>
      </w:r>
      <w:r w:rsidR="009E7080">
        <w:t xml:space="preserve"> (November 2013)</w:t>
      </w:r>
      <w:r w:rsidR="002F123C" w:rsidRPr="0083086F">
        <w:t xml:space="preserve">, the PBAC </w:t>
      </w:r>
      <w:r w:rsidR="00841A63">
        <w:t>was</w:t>
      </w:r>
      <w:r w:rsidR="002F123C" w:rsidRPr="0083086F">
        <w:t xml:space="preserve"> more persuaded that the new </w:t>
      </w:r>
      <w:r w:rsidR="00B775AF">
        <w:t xml:space="preserve">tobramycin </w:t>
      </w:r>
      <w:r w:rsidR="002F123C" w:rsidRPr="0083086F">
        <w:t>formulation provided significant impacts on quality of life for patients that were lik</w:t>
      </w:r>
      <w:r w:rsidR="00936F83">
        <w:t>ely to lead to health benefits.</w:t>
      </w:r>
      <w:r w:rsidR="00844ACE">
        <w:t xml:space="preserve"> The PBAC therefore recommended that </w:t>
      </w:r>
      <w:r w:rsidR="00FF5077">
        <w:t xml:space="preserve">the price advantage for this </w:t>
      </w:r>
      <w:r w:rsidR="00B775AF">
        <w:t xml:space="preserve">exenatide </w:t>
      </w:r>
      <w:r w:rsidR="00FF5077">
        <w:t xml:space="preserve">product should be </w:t>
      </w:r>
      <w:r w:rsidR="00B775AF">
        <w:t xml:space="preserve">substantially </w:t>
      </w:r>
      <w:r w:rsidR="00FF5077">
        <w:t>less in absolute and relative terms than applied in the tobramycin precedent.</w:t>
      </w:r>
    </w:p>
    <w:p w:rsidR="00D97624" w:rsidRDefault="00D97624" w:rsidP="00B03D3E">
      <w:pPr>
        <w:widowControl/>
      </w:pPr>
    </w:p>
    <w:p w:rsidR="000518D5" w:rsidRDefault="004B1076" w:rsidP="000518D5">
      <w:pPr>
        <w:pStyle w:val="ListParagraph"/>
        <w:widowControl/>
        <w:numPr>
          <w:ilvl w:val="1"/>
          <w:numId w:val="47"/>
        </w:numPr>
      </w:pPr>
      <w:r>
        <w:t>The PBAC listing exenatide 2 </w:t>
      </w:r>
      <w:r w:rsidR="000518D5">
        <w:t>mg once weekly may lead to a</w:t>
      </w:r>
      <w:r w:rsidR="00B879E4">
        <w:t>n</w:t>
      </w:r>
      <w:r w:rsidR="000518D5">
        <w:t xml:space="preserve"> </w:t>
      </w:r>
      <w:r w:rsidR="0050110C">
        <w:t xml:space="preserve">improvement in quality use of medicines due to a potential </w:t>
      </w:r>
      <w:r>
        <w:t>reduction in needle reuse.</w:t>
      </w:r>
    </w:p>
    <w:p w:rsidR="00631000" w:rsidRPr="00747737" w:rsidRDefault="00631000" w:rsidP="000518D5">
      <w:pPr>
        <w:widowControl/>
      </w:pPr>
    </w:p>
    <w:p w:rsidR="00954606" w:rsidRPr="00747737" w:rsidRDefault="00954606" w:rsidP="004E6CA2">
      <w:pPr>
        <w:pStyle w:val="BodyText"/>
        <w:widowControl/>
        <w:numPr>
          <w:ilvl w:val="1"/>
          <w:numId w:val="47"/>
        </w:numPr>
        <w:jc w:val="both"/>
      </w:pPr>
      <w:r w:rsidRPr="00747737">
        <w:t>The PBAC advised that</w:t>
      </w:r>
      <w:r w:rsidR="000A77F5" w:rsidRPr="00747737">
        <w:t xml:space="preserve"> exenatide wa</w:t>
      </w:r>
      <w:r w:rsidRPr="00747737">
        <w:t>s suitable for prescribing by nurse practitioners</w:t>
      </w:r>
      <w:r w:rsidR="000A77F5" w:rsidRPr="00747737">
        <w:t xml:space="preserve"> under collaborative arrangements</w:t>
      </w:r>
      <w:r w:rsidR="00803D49" w:rsidRPr="00747737">
        <w:t>.</w:t>
      </w:r>
    </w:p>
    <w:p w:rsidR="00954606" w:rsidRPr="00747737" w:rsidRDefault="00954606" w:rsidP="00844ACE">
      <w:pPr>
        <w:pStyle w:val="BodyText"/>
        <w:widowControl/>
        <w:jc w:val="both"/>
      </w:pPr>
    </w:p>
    <w:p w:rsidR="00954606" w:rsidRPr="00747737" w:rsidRDefault="00954606" w:rsidP="004E6CA2">
      <w:pPr>
        <w:pStyle w:val="BodyText"/>
        <w:widowControl/>
        <w:numPr>
          <w:ilvl w:val="1"/>
          <w:numId w:val="47"/>
        </w:numPr>
        <w:jc w:val="both"/>
      </w:pPr>
      <w:r w:rsidRPr="00747737">
        <w:t>The PBAC recommended that the Safet</w:t>
      </w:r>
      <w:r w:rsidR="00844ACE">
        <w:t>y Net 20 Day Rule should apply.</w:t>
      </w:r>
    </w:p>
    <w:p w:rsidR="00954606" w:rsidRPr="00747737" w:rsidRDefault="00954606" w:rsidP="00844ACE">
      <w:pPr>
        <w:pStyle w:val="BodyText"/>
        <w:widowControl/>
        <w:jc w:val="both"/>
      </w:pPr>
    </w:p>
    <w:p w:rsidR="00954606" w:rsidRPr="00747737" w:rsidRDefault="00954606" w:rsidP="004E6CA2">
      <w:pPr>
        <w:pStyle w:val="BodyText"/>
        <w:widowControl/>
        <w:numPr>
          <w:ilvl w:val="1"/>
          <w:numId w:val="47"/>
        </w:numPr>
        <w:jc w:val="both"/>
        <w:rPr>
          <w:bCs/>
          <w:szCs w:val="22"/>
          <w:lang w:val="en-GB"/>
        </w:rPr>
      </w:pPr>
      <w:r w:rsidRPr="00747737">
        <w:t>The PBAC noted that this submission</w:t>
      </w:r>
      <w:r w:rsidR="000A77F5" w:rsidRPr="00747737">
        <w:t xml:space="preserve"> wa</w:t>
      </w:r>
      <w:r w:rsidRPr="00747737">
        <w:t>s not eligible for an Independent Review</w:t>
      </w:r>
      <w:r w:rsidR="000E5EB3" w:rsidRPr="00747737">
        <w:t xml:space="preserve"> </w:t>
      </w:r>
      <w:r w:rsidR="00803D49" w:rsidRPr="00747737">
        <w:t xml:space="preserve">because it was </w:t>
      </w:r>
      <w:r w:rsidR="00FF5077">
        <w:t xml:space="preserve">neither </w:t>
      </w:r>
      <w:r w:rsidR="00803D49" w:rsidRPr="00747737">
        <w:t xml:space="preserve">a </w:t>
      </w:r>
      <w:r w:rsidR="000E5EB3" w:rsidRPr="00747737">
        <w:t xml:space="preserve">request </w:t>
      </w:r>
      <w:r w:rsidR="00FF5077">
        <w:t xml:space="preserve">for a new drug, nor an </w:t>
      </w:r>
      <w:r w:rsidR="000C56B7">
        <w:t>additional indication</w:t>
      </w:r>
      <w:r w:rsidR="00FF5077">
        <w:t xml:space="preserve"> for an existing drug</w:t>
      </w:r>
      <w:r w:rsidR="00844ACE">
        <w:t>.</w:t>
      </w:r>
    </w:p>
    <w:p w:rsidR="00244A23" w:rsidRPr="00FF5077" w:rsidRDefault="00244A23" w:rsidP="000518D5">
      <w:pPr>
        <w:widowControl/>
        <w:rPr>
          <w:szCs w:val="22"/>
          <w:lang w:val="en-GB"/>
        </w:rPr>
      </w:pPr>
    </w:p>
    <w:p w:rsidR="00244A23" w:rsidRPr="00FF5077" w:rsidRDefault="00244A23" w:rsidP="000518D5">
      <w:pPr>
        <w:widowControl/>
        <w:rPr>
          <w:bCs/>
          <w:szCs w:val="22"/>
          <w:lang w:val="en-GB"/>
        </w:rPr>
      </w:pPr>
    </w:p>
    <w:p w:rsidR="00244A23" w:rsidRPr="00244A23" w:rsidRDefault="00244A23" w:rsidP="005947D7">
      <w:pPr>
        <w:keepNext/>
        <w:widowControl/>
        <w:rPr>
          <w:b/>
          <w:bCs/>
          <w:szCs w:val="22"/>
          <w:lang w:val="en-GB"/>
        </w:rPr>
      </w:pPr>
      <w:r w:rsidRPr="00747737">
        <w:rPr>
          <w:b/>
          <w:bCs/>
          <w:szCs w:val="22"/>
          <w:lang w:val="en-GB"/>
        </w:rPr>
        <w:t>Outcome:</w:t>
      </w:r>
    </w:p>
    <w:p w:rsidR="00244A23" w:rsidRPr="00127720" w:rsidRDefault="00244A23" w:rsidP="000518D5">
      <w:pPr>
        <w:widowControl/>
        <w:rPr>
          <w:bCs/>
          <w:szCs w:val="22"/>
          <w:lang w:val="en-GB"/>
        </w:rPr>
      </w:pPr>
      <w:r w:rsidRPr="00127720">
        <w:rPr>
          <w:bCs/>
          <w:szCs w:val="22"/>
          <w:lang w:val="en-GB"/>
        </w:rPr>
        <w:t>Recommended</w:t>
      </w:r>
    </w:p>
    <w:p w:rsidR="009539FA" w:rsidRDefault="009539FA" w:rsidP="000518D5">
      <w:pPr>
        <w:widowControl/>
        <w:rPr>
          <w:bCs/>
          <w:szCs w:val="22"/>
          <w:highlight w:val="yellow"/>
        </w:rPr>
      </w:pPr>
    </w:p>
    <w:p w:rsidR="00844ACE" w:rsidRPr="007F6D9D" w:rsidRDefault="00844ACE" w:rsidP="000518D5">
      <w:pPr>
        <w:widowControl/>
        <w:rPr>
          <w:bCs/>
          <w:szCs w:val="22"/>
          <w:highlight w:val="yellow"/>
        </w:rPr>
      </w:pPr>
    </w:p>
    <w:p w:rsidR="00244A23" w:rsidRPr="00244A23" w:rsidRDefault="00244A23" w:rsidP="004E6CA2">
      <w:pPr>
        <w:pStyle w:val="Heading2"/>
        <w:keepNext/>
        <w:widowControl/>
        <w:numPr>
          <w:ilvl w:val="0"/>
          <w:numId w:val="47"/>
        </w:numPr>
        <w:ind w:left="709" w:hanging="709"/>
      </w:pPr>
      <w:r w:rsidRPr="00244A23">
        <w:t>Recommended listing</w:t>
      </w:r>
    </w:p>
    <w:p w:rsidR="00244A23" w:rsidRPr="00844ACE" w:rsidRDefault="00244A23" w:rsidP="000518D5">
      <w:pPr>
        <w:widowControl/>
        <w:rPr>
          <w:bCs/>
          <w:szCs w:val="22"/>
          <w:highlight w:val="yellow"/>
          <w:lang w:val="en-GB"/>
        </w:rPr>
      </w:pPr>
    </w:p>
    <w:p w:rsidR="00244A23" w:rsidRPr="009D074D" w:rsidRDefault="00244A23" w:rsidP="004E6CA2">
      <w:pPr>
        <w:pStyle w:val="BodyText"/>
        <w:widowControl/>
        <w:numPr>
          <w:ilvl w:val="1"/>
          <w:numId w:val="47"/>
        </w:numPr>
        <w:jc w:val="both"/>
        <w:rPr>
          <w:bCs/>
          <w:szCs w:val="22"/>
        </w:rPr>
      </w:pPr>
      <w:r w:rsidRPr="009D074D">
        <w:rPr>
          <w:bCs/>
          <w:szCs w:val="22"/>
        </w:rPr>
        <w:t>Amend recommended listing as follows:</w:t>
      </w:r>
    </w:p>
    <w:p w:rsidR="00127720" w:rsidRDefault="00127720" w:rsidP="004E6CA2">
      <w:pPr>
        <w:widowControl/>
        <w:jc w:val="left"/>
        <w:rPr>
          <w:bCs/>
          <w:szCs w:val="22"/>
        </w:rPr>
      </w:pPr>
    </w:p>
    <w:tbl>
      <w:tblPr>
        <w:tblW w:w="9024" w:type="dxa"/>
        <w:tblInd w:w="959" w:type="dxa"/>
        <w:tblLayout w:type="fixed"/>
        <w:tblLook w:val="0000" w:firstRow="0" w:lastRow="0" w:firstColumn="0" w:lastColumn="0" w:noHBand="0" w:noVBand="0"/>
      </w:tblPr>
      <w:tblGrid>
        <w:gridCol w:w="1843"/>
        <w:gridCol w:w="1984"/>
        <w:gridCol w:w="709"/>
        <w:gridCol w:w="236"/>
        <w:gridCol w:w="756"/>
        <w:gridCol w:w="1276"/>
        <w:gridCol w:w="283"/>
        <w:gridCol w:w="1276"/>
        <w:gridCol w:w="661"/>
      </w:tblGrid>
      <w:tr w:rsidR="005947D7" w:rsidRPr="00260CE3" w:rsidTr="005947D7">
        <w:trPr>
          <w:gridAfter w:val="1"/>
          <w:wAfter w:w="661" w:type="dxa"/>
          <w:cantSplit/>
          <w:trHeight w:val="471"/>
        </w:trPr>
        <w:tc>
          <w:tcPr>
            <w:tcW w:w="3827" w:type="dxa"/>
            <w:gridSpan w:val="2"/>
            <w:tcBorders>
              <w:bottom w:val="single" w:sz="4" w:space="0" w:color="auto"/>
            </w:tcBorders>
          </w:tcPr>
          <w:p w:rsidR="005947D7" w:rsidRPr="00260CE3" w:rsidRDefault="005947D7" w:rsidP="004E6CA2">
            <w:pPr>
              <w:keepNext/>
              <w:widowControl/>
              <w:ind w:left="-108"/>
              <w:rPr>
                <w:rFonts w:ascii="Arial Narrow" w:hAnsi="Arial Narrow"/>
                <w:sz w:val="20"/>
                <w:szCs w:val="20"/>
              </w:rPr>
            </w:pPr>
            <w:r w:rsidRPr="00260CE3">
              <w:rPr>
                <w:rFonts w:ascii="Arial Narrow" w:hAnsi="Arial Narrow"/>
                <w:sz w:val="20"/>
                <w:szCs w:val="20"/>
              </w:rPr>
              <w:t>Name, Restriction,</w:t>
            </w:r>
          </w:p>
          <w:p w:rsidR="005947D7" w:rsidRPr="00260CE3" w:rsidRDefault="005947D7" w:rsidP="004E6CA2">
            <w:pPr>
              <w:keepNext/>
              <w:widowControl/>
              <w:ind w:left="-108"/>
              <w:rPr>
                <w:rFonts w:ascii="Arial Narrow" w:hAnsi="Arial Narrow"/>
                <w:sz w:val="20"/>
                <w:szCs w:val="20"/>
              </w:rPr>
            </w:pPr>
            <w:r w:rsidRPr="00260CE3">
              <w:rPr>
                <w:rFonts w:ascii="Arial Narrow" w:hAnsi="Arial Narrow"/>
                <w:sz w:val="20"/>
                <w:szCs w:val="20"/>
              </w:rPr>
              <w:t>Manner of administration and form</w:t>
            </w:r>
          </w:p>
        </w:tc>
        <w:tc>
          <w:tcPr>
            <w:tcW w:w="709" w:type="dxa"/>
            <w:tcBorders>
              <w:bottom w:val="single" w:sz="4" w:space="0" w:color="auto"/>
            </w:tcBorders>
          </w:tcPr>
          <w:p w:rsidR="005947D7" w:rsidRPr="00260CE3" w:rsidRDefault="005947D7" w:rsidP="004E6CA2">
            <w:pPr>
              <w:keepNext/>
              <w:widowControl/>
              <w:ind w:left="-108"/>
              <w:rPr>
                <w:rFonts w:ascii="Arial Narrow" w:hAnsi="Arial Narrow"/>
                <w:sz w:val="20"/>
                <w:szCs w:val="20"/>
              </w:rPr>
            </w:pPr>
            <w:r w:rsidRPr="00260CE3">
              <w:rPr>
                <w:rFonts w:ascii="Arial Narrow" w:hAnsi="Arial Narrow"/>
                <w:sz w:val="20"/>
                <w:szCs w:val="20"/>
              </w:rPr>
              <w:t>Max.</w:t>
            </w:r>
          </w:p>
          <w:p w:rsidR="005947D7" w:rsidRPr="00260CE3" w:rsidRDefault="005947D7" w:rsidP="004E6CA2">
            <w:pPr>
              <w:keepNext/>
              <w:widowControl/>
              <w:ind w:left="-108"/>
              <w:rPr>
                <w:rFonts w:ascii="Arial Narrow" w:hAnsi="Arial Narrow"/>
                <w:sz w:val="20"/>
                <w:szCs w:val="20"/>
              </w:rPr>
            </w:pPr>
            <w:r w:rsidRPr="00260CE3">
              <w:rPr>
                <w:rFonts w:ascii="Arial Narrow" w:hAnsi="Arial Narrow"/>
                <w:sz w:val="20"/>
                <w:szCs w:val="20"/>
              </w:rPr>
              <w:t>Qty</w:t>
            </w:r>
          </w:p>
        </w:tc>
        <w:tc>
          <w:tcPr>
            <w:tcW w:w="992" w:type="dxa"/>
            <w:gridSpan w:val="2"/>
            <w:tcBorders>
              <w:bottom w:val="single" w:sz="4" w:space="0" w:color="auto"/>
            </w:tcBorders>
          </w:tcPr>
          <w:p w:rsidR="005947D7" w:rsidRPr="00260CE3" w:rsidRDefault="005947D7" w:rsidP="004E6CA2">
            <w:pPr>
              <w:keepNext/>
              <w:widowControl/>
              <w:ind w:left="-108"/>
              <w:rPr>
                <w:rFonts w:ascii="Arial Narrow" w:hAnsi="Arial Narrow"/>
                <w:sz w:val="20"/>
                <w:szCs w:val="20"/>
              </w:rPr>
            </w:pPr>
            <w:r w:rsidRPr="00260CE3">
              <w:rPr>
                <w:rFonts w:ascii="Arial Narrow" w:hAnsi="Arial Narrow"/>
                <w:sz w:val="20"/>
                <w:szCs w:val="20"/>
              </w:rPr>
              <w:t>№.of</w:t>
            </w:r>
          </w:p>
          <w:p w:rsidR="005947D7" w:rsidRPr="00260CE3" w:rsidRDefault="005947D7" w:rsidP="004E6CA2">
            <w:pPr>
              <w:keepNext/>
              <w:widowControl/>
              <w:ind w:left="-108"/>
              <w:rPr>
                <w:rFonts w:ascii="Arial Narrow" w:hAnsi="Arial Narrow"/>
                <w:sz w:val="20"/>
                <w:szCs w:val="20"/>
              </w:rPr>
            </w:pPr>
            <w:r w:rsidRPr="00260CE3">
              <w:rPr>
                <w:rFonts w:ascii="Arial Narrow" w:hAnsi="Arial Narrow"/>
                <w:sz w:val="20"/>
                <w:szCs w:val="20"/>
              </w:rPr>
              <w:t>Rpts</w:t>
            </w:r>
          </w:p>
        </w:tc>
        <w:tc>
          <w:tcPr>
            <w:tcW w:w="2835" w:type="dxa"/>
            <w:gridSpan w:val="3"/>
            <w:tcBorders>
              <w:bottom w:val="single" w:sz="4" w:space="0" w:color="auto"/>
            </w:tcBorders>
          </w:tcPr>
          <w:p w:rsidR="005947D7" w:rsidRPr="00260CE3" w:rsidRDefault="005947D7" w:rsidP="004E6CA2">
            <w:pPr>
              <w:keepNext/>
              <w:widowControl/>
              <w:rPr>
                <w:rFonts w:ascii="Arial Narrow" w:hAnsi="Arial Narrow"/>
                <w:sz w:val="20"/>
                <w:szCs w:val="20"/>
                <w:lang w:val="fr-FR"/>
              </w:rPr>
            </w:pPr>
            <w:r w:rsidRPr="00260CE3">
              <w:rPr>
                <w:rFonts w:ascii="Arial Narrow" w:hAnsi="Arial Narrow"/>
                <w:sz w:val="20"/>
                <w:szCs w:val="20"/>
              </w:rPr>
              <w:t>Proprietary Name and Manufacturer</w:t>
            </w:r>
          </w:p>
        </w:tc>
      </w:tr>
      <w:tr w:rsidR="00127720" w:rsidRPr="00260CE3" w:rsidTr="005947D7">
        <w:trPr>
          <w:cantSplit/>
          <w:trHeight w:val="288"/>
        </w:trPr>
        <w:tc>
          <w:tcPr>
            <w:tcW w:w="3827" w:type="dxa"/>
            <w:gridSpan w:val="2"/>
            <w:tcBorders>
              <w:top w:val="single" w:sz="4" w:space="0" w:color="auto"/>
            </w:tcBorders>
          </w:tcPr>
          <w:p w:rsidR="00127720" w:rsidRPr="003464EE" w:rsidRDefault="00127720" w:rsidP="004E6CA2">
            <w:pPr>
              <w:keepNext/>
              <w:widowControl/>
              <w:ind w:left="-108"/>
              <w:rPr>
                <w:rFonts w:ascii="Arial Narrow" w:hAnsi="Arial Narrow"/>
                <w:smallCaps/>
                <w:sz w:val="20"/>
                <w:szCs w:val="20"/>
              </w:rPr>
            </w:pPr>
            <w:r w:rsidRPr="007358CA">
              <w:rPr>
                <w:rFonts w:ascii="Arial Narrow" w:hAnsi="Arial Narrow"/>
                <w:smallCaps/>
                <w:sz w:val="20"/>
                <w:szCs w:val="20"/>
              </w:rPr>
              <w:t>EXENATIDE</w:t>
            </w:r>
          </w:p>
        </w:tc>
        <w:tc>
          <w:tcPr>
            <w:tcW w:w="709" w:type="dxa"/>
            <w:tcBorders>
              <w:top w:val="single" w:sz="4" w:space="0" w:color="auto"/>
            </w:tcBorders>
          </w:tcPr>
          <w:p w:rsidR="00127720" w:rsidRPr="00260CE3" w:rsidRDefault="00127720" w:rsidP="004E6CA2">
            <w:pPr>
              <w:keepNext/>
              <w:widowControl/>
              <w:ind w:left="-108"/>
              <w:rPr>
                <w:rFonts w:ascii="Arial Narrow" w:hAnsi="Arial Narrow"/>
                <w:sz w:val="20"/>
                <w:szCs w:val="20"/>
              </w:rPr>
            </w:pPr>
          </w:p>
        </w:tc>
        <w:tc>
          <w:tcPr>
            <w:tcW w:w="236" w:type="dxa"/>
            <w:tcBorders>
              <w:top w:val="single" w:sz="4" w:space="0" w:color="auto"/>
            </w:tcBorders>
          </w:tcPr>
          <w:p w:rsidR="00127720" w:rsidRPr="00260CE3" w:rsidRDefault="00127720" w:rsidP="004E6CA2">
            <w:pPr>
              <w:keepNext/>
              <w:widowControl/>
              <w:ind w:left="-108"/>
              <w:rPr>
                <w:rFonts w:ascii="Arial Narrow" w:hAnsi="Arial Narrow"/>
                <w:sz w:val="20"/>
                <w:szCs w:val="20"/>
              </w:rPr>
            </w:pPr>
          </w:p>
        </w:tc>
        <w:tc>
          <w:tcPr>
            <w:tcW w:w="756" w:type="dxa"/>
            <w:tcBorders>
              <w:top w:val="single" w:sz="4" w:space="0" w:color="auto"/>
            </w:tcBorders>
          </w:tcPr>
          <w:p w:rsidR="00127720" w:rsidRPr="00260CE3" w:rsidRDefault="00127720" w:rsidP="004E6CA2">
            <w:pPr>
              <w:keepNext/>
              <w:widowControl/>
              <w:ind w:left="-108"/>
              <w:rPr>
                <w:rFonts w:ascii="Arial Narrow" w:hAnsi="Arial Narrow"/>
                <w:sz w:val="20"/>
                <w:szCs w:val="20"/>
              </w:rPr>
            </w:pPr>
          </w:p>
        </w:tc>
        <w:tc>
          <w:tcPr>
            <w:tcW w:w="1276" w:type="dxa"/>
            <w:tcBorders>
              <w:top w:val="single" w:sz="4" w:space="0" w:color="auto"/>
            </w:tcBorders>
          </w:tcPr>
          <w:p w:rsidR="00127720" w:rsidRPr="00260CE3" w:rsidRDefault="00127720" w:rsidP="004E6CA2">
            <w:pPr>
              <w:keepNext/>
              <w:widowControl/>
              <w:rPr>
                <w:rFonts w:ascii="Arial Narrow" w:hAnsi="Arial Narrow"/>
                <w:sz w:val="20"/>
                <w:szCs w:val="20"/>
              </w:rPr>
            </w:pPr>
            <w:r w:rsidRPr="007358CA">
              <w:rPr>
                <w:rFonts w:ascii="Arial Narrow" w:hAnsi="Arial Narrow"/>
                <w:sz w:val="20"/>
                <w:szCs w:val="20"/>
              </w:rPr>
              <w:t>Bydureon®</w:t>
            </w:r>
          </w:p>
        </w:tc>
        <w:tc>
          <w:tcPr>
            <w:tcW w:w="2220" w:type="dxa"/>
            <w:gridSpan w:val="3"/>
            <w:tcBorders>
              <w:top w:val="single" w:sz="4" w:space="0" w:color="auto"/>
            </w:tcBorders>
          </w:tcPr>
          <w:p w:rsidR="00127720" w:rsidRPr="00260CE3" w:rsidRDefault="00127720" w:rsidP="004E6CA2">
            <w:pPr>
              <w:keepNext/>
              <w:widowControl/>
              <w:rPr>
                <w:rFonts w:ascii="Arial Narrow" w:hAnsi="Arial Narrow"/>
                <w:sz w:val="20"/>
                <w:szCs w:val="20"/>
              </w:rPr>
            </w:pPr>
            <w:r>
              <w:rPr>
                <w:rFonts w:ascii="Arial Narrow" w:hAnsi="Arial Narrow"/>
                <w:sz w:val="20"/>
                <w:szCs w:val="20"/>
              </w:rPr>
              <w:t>AstraZeneca</w:t>
            </w:r>
          </w:p>
        </w:tc>
      </w:tr>
      <w:tr w:rsidR="005947D7" w:rsidRPr="00260CE3" w:rsidTr="005947D7">
        <w:trPr>
          <w:gridAfter w:val="1"/>
          <w:wAfter w:w="661" w:type="dxa"/>
          <w:cantSplit/>
          <w:trHeight w:val="855"/>
        </w:trPr>
        <w:tc>
          <w:tcPr>
            <w:tcW w:w="3827" w:type="dxa"/>
            <w:gridSpan w:val="2"/>
          </w:tcPr>
          <w:p w:rsidR="005947D7" w:rsidRPr="007358CA" w:rsidRDefault="005947D7" w:rsidP="00844ACE">
            <w:pPr>
              <w:keepNext/>
              <w:widowControl/>
              <w:ind w:left="-108" w:right="175"/>
              <w:rPr>
                <w:rFonts w:ascii="Arial Narrow" w:hAnsi="Arial Narrow"/>
                <w:smallCaps/>
                <w:sz w:val="20"/>
                <w:szCs w:val="20"/>
              </w:rPr>
            </w:pPr>
            <w:r w:rsidRPr="007358CA">
              <w:rPr>
                <w:rFonts w:ascii="Arial Narrow" w:hAnsi="Arial Narrow"/>
                <w:sz w:val="20"/>
                <w:szCs w:val="20"/>
              </w:rPr>
              <w:t>exenatide 2</w:t>
            </w:r>
            <w:r>
              <w:rPr>
                <w:rFonts w:ascii="Arial Narrow" w:hAnsi="Arial Narrow"/>
                <w:sz w:val="20"/>
                <w:szCs w:val="20"/>
              </w:rPr>
              <w:t> </w:t>
            </w:r>
            <w:r w:rsidRPr="007358CA">
              <w:rPr>
                <w:rFonts w:ascii="Arial Narrow" w:hAnsi="Arial Narrow"/>
                <w:sz w:val="20"/>
                <w:szCs w:val="20"/>
              </w:rPr>
              <w:t>mg injection [4 x 2</w:t>
            </w:r>
            <w:r>
              <w:rPr>
                <w:rFonts w:ascii="Arial Narrow" w:hAnsi="Arial Narrow"/>
                <w:sz w:val="20"/>
                <w:szCs w:val="20"/>
              </w:rPr>
              <w:t> </w:t>
            </w:r>
            <w:r w:rsidRPr="007358CA">
              <w:rPr>
                <w:rFonts w:ascii="Arial Narrow" w:hAnsi="Arial Narrow"/>
                <w:sz w:val="20"/>
                <w:szCs w:val="20"/>
              </w:rPr>
              <w:t>mg vials] (&amp;) inert substance diluent [4 x 1.5</w:t>
            </w:r>
            <w:r>
              <w:rPr>
                <w:rFonts w:ascii="Arial Narrow" w:hAnsi="Arial Narrow"/>
                <w:sz w:val="20"/>
                <w:szCs w:val="20"/>
              </w:rPr>
              <w:t> </w:t>
            </w:r>
            <w:r w:rsidRPr="007358CA">
              <w:rPr>
                <w:rFonts w:ascii="Arial Narrow" w:hAnsi="Arial Narrow"/>
                <w:sz w:val="20"/>
                <w:szCs w:val="20"/>
              </w:rPr>
              <w:t>mL syringes], 1 pack</w:t>
            </w:r>
          </w:p>
        </w:tc>
        <w:tc>
          <w:tcPr>
            <w:tcW w:w="709" w:type="dxa"/>
          </w:tcPr>
          <w:p w:rsidR="005947D7" w:rsidRPr="00260CE3" w:rsidRDefault="005947D7" w:rsidP="004E6CA2">
            <w:pPr>
              <w:keepNext/>
              <w:widowControl/>
              <w:ind w:left="-108"/>
              <w:rPr>
                <w:rFonts w:ascii="Arial Narrow" w:hAnsi="Arial Narrow"/>
                <w:sz w:val="20"/>
                <w:szCs w:val="20"/>
              </w:rPr>
            </w:pPr>
            <w:r>
              <w:rPr>
                <w:rFonts w:ascii="Arial Narrow" w:hAnsi="Arial Narrow"/>
                <w:sz w:val="20"/>
                <w:szCs w:val="20"/>
              </w:rPr>
              <w:t>1</w:t>
            </w:r>
          </w:p>
        </w:tc>
        <w:tc>
          <w:tcPr>
            <w:tcW w:w="992" w:type="dxa"/>
            <w:gridSpan w:val="2"/>
          </w:tcPr>
          <w:p w:rsidR="005947D7" w:rsidRPr="00260CE3" w:rsidRDefault="005947D7" w:rsidP="004E6CA2">
            <w:pPr>
              <w:keepNext/>
              <w:widowControl/>
              <w:ind w:left="-108"/>
              <w:rPr>
                <w:rFonts w:ascii="Arial Narrow" w:hAnsi="Arial Narrow"/>
                <w:sz w:val="20"/>
                <w:szCs w:val="20"/>
              </w:rPr>
            </w:pPr>
            <w:r>
              <w:rPr>
                <w:rFonts w:ascii="Arial Narrow" w:hAnsi="Arial Narrow"/>
                <w:sz w:val="20"/>
                <w:szCs w:val="20"/>
              </w:rPr>
              <w:t>5</w:t>
            </w:r>
          </w:p>
        </w:tc>
        <w:tc>
          <w:tcPr>
            <w:tcW w:w="1559" w:type="dxa"/>
            <w:gridSpan w:val="2"/>
          </w:tcPr>
          <w:p w:rsidR="005947D7" w:rsidRPr="007358CA" w:rsidRDefault="005947D7" w:rsidP="004E6CA2">
            <w:pPr>
              <w:keepNext/>
              <w:widowControl/>
              <w:rPr>
                <w:rFonts w:ascii="Arial Narrow" w:hAnsi="Arial Narrow"/>
                <w:sz w:val="20"/>
                <w:szCs w:val="20"/>
              </w:rPr>
            </w:pPr>
          </w:p>
        </w:tc>
        <w:tc>
          <w:tcPr>
            <w:tcW w:w="1276" w:type="dxa"/>
          </w:tcPr>
          <w:p w:rsidR="005947D7" w:rsidRDefault="005947D7" w:rsidP="004E6CA2">
            <w:pPr>
              <w:keepNext/>
              <w:widowControl/>
              <w:rPr>
                <w:rFonts w:ascii="Arial Narrow" w:hAnsi="Arial Narrow"/>
                <w:sz w:val="20"/>
                <w:szCs w:val="20"/>
              </w:rPr>
            </w:pPr>
          </w:p>
        </w:tc>
      </w:tr>
      <w:tr w:rsidR="00127720" w:rsidRPr="00260CE3" w:rsidTr="005947D7">
        <w:trPr>
          <w:gridAfter w:val="1"/>
          <w:wAfter w:w="661" w:type="dxa"/>
          <w:cantSplit/>
          <w:trHeight w:val="360"/>
        </w:trPr>
        <w:tc>
          <w:tcPr>
            <w:tcW w:w="1843" w:type="dxa"/>
            <w:tcBorders>
              <w:top w:val="single" w:sz="4" w:space="0" w:color="auto"/>
              <w:left w:val="single" w:sz="4" w:space="0" w:color="auto"/>
              <w:bottom w:val="single" w:sz="4" w:space="0" w:color="auto"/>
              <w:right w:val="single" w:sz="4" w:space="0" w:color="auto"/>
            </w:tcBorders>
          </w:tcPr>
          <w:p w:rsidR="00127720" w:rsidRPr="00260CE3" w:rsidRDefault="00127720" w:rsidP="004E6CA2">
            <w:pPr>
              <w:widowControl/>
              <w:rPr>
                <w:rFonts w:ascii="Arial Narrow" w:hAnsi="Arial Narrow"/>
                <w:b/>
                <w:sz w:val="20"/>
                <w:szCs w:val="20"/>
              </w:rPr>
            </w:pPr>
            <w:r w:rsidRPr="00260CE3">
              <w:rPr>
                <w:rFonts w:ascii="Arial Narrow" w:hAnsi="Arial Narrow"/>
                <w:b/>
                <w:sz w:val="20"/>
                <w:szCs w:val="20"/>
              </w:rPr>
              <w:t xml:space="preserve">Category / </w:t>
            </w:r>
          </w:p>
          <w:p w:rsidR="00127720" w:rsidRPr="00260CE3" w:rsidRDefault="00127720" w:rsidP="004E6CA2">
            <w:pPr>
              <w:widowControl/>
              <w:rPr>
                <w:rFonts w:ascii="Arial Narrow" w:hAnsi="Arial Narrow"/>
                <w:b/>
                <w:sz w:val="20"/>
                <w:szCs w:val="20"/>
              </w:rPr>
            </w:pPr>
            <w:r w:rsidRPr="00260CE3">
              <w:rPr>
                <w:rFonts w:ascii="Arial Narrow" w:hAnsi="Arial Narrow"/>
                <w:b/>
                <w:sz w:val="20"/>
                <w:szCs w:val="20"/>
              </w:rPr>
              <w:t>Program</w:t>
            </w:r>
          </w:p>
        </w:tc>
        <w:tc>
          <w:tcPr>
            <w:tcW w:w="6520" w:type="dxa"/>
            <w:gridSpan w:val="7"/>
            <w:tcBorders>
              <w:top w:val="single" w:sz="4" w:space="0" w:color="auto"/>
              <w:left w:val="single" w:sz="4" w:space="0" w:color="auto"/>
              <w:bottom w:val="single" w:sz="4" w:space="0" w:color="auto"/>
              <w:right w:val="single" w:sz="4" w:space="0" w:color="auto"/>
            </w:tcBorders>
          </w:tcPr>
          <w:p w:rsidR="00127720" w:rsidRPr="00260CE3" w:rsidRDefault="00127720" w:rsidP="004E6CA2">
            <w:pPr>
              <w:widowControl/>
              <w:rPr>
                <w:rFonts w:ascii="Arial Narrow" w:hAnsi="Arial Narrow"/>
                <w:sz w:val="20"/>
                <w:szCs w:val="20"/>
              </w:rPr>
            </w:pPr>
            <w:r w:rsidRPr="00260CE3">
              <w:rPr>
                <w:rFonts w:ascii="Arial Narrow" w:hAnsi="Arial Narrow"/>
                <w:sz w:val="20"/>
                <w:szCs w:val="20"/>
              </w:rPr>
              <w:t>GENERAL – General Schedule (Code GE)</w:t>
            </w:r>
          </w:p>
        </w:tc>
      </w:tr>
      <w:tr w:rsidR="00127720" w:rsidRPr="00260CE3" w:rsidTr="005947D7">
        <w:trPr>
          <w:gridAfter w:val="1"/>
          <w:wAfter w:w="661" w:type="dxa"/>
          <w:cantSplit/>
          <w:trHeight w:val="360"/>
        </w:trPr>
        <w:tc>
          <w:tcPr>
            <w:tcW w:w="1843" w:type="dxa"/>
            <w:tcBorders>
              <w:top w:val="single" w:sz="4" w:space="0" w:color="auto"/>
              <w:left w:val="single" w:sz="4" w:space="0" w:color="auto"/>
              <w:bottom w:val="single" w:sz="4" w:space="0" w:color="auto"/>
              <w:right w:val="single" w:sz="4" w:space="0" w:color="auto"/>
            </w:tcBorders>
          </w:tcPr>
          <w:p w:rsidR="00127720" w:rsidRPr="00260CE3" w:rsidRDefault="00127720" w:rsidP="004E6CA2">
            <w:pPr>
              <w:widowControl/>
              <w:rPr>
                <w:rFonts w:ascii="Arial Narrow" w:hAnsi="Arial Narrow"/>
                <w:b/>
                <w:sz w:val="20"/>
                <w:szCs w:val="20"/>
              </w:rPr>
            </w:pPr>
            <w:r w:rsidRPr="00260CE3">
              <w:rPr>
                <w:rFonts w:ascii="Arial Narrow" w:hAnsi="Arial Narrow"/>
                <w:b/>
                <w:sz w:val="20"/>
                <w:szCs w:val="20"/>
              </w:rPr>
              <w:t>Prescriber type:</w:t>
            </w:r>
          </w:p>
        </w:tc>
        <w:tc>
          <w:tcPr>
            <w:tcW w:w="6520" w:type="dxa"/>
            <w:gridSpan w:val="7"/>
            <w:tcBorders>
              <w:top w:val="single" w:sz="4" w:space="0" w:color="auto"/>
              <w:left w:val="single" w:sz="4" w:space="0" w:color="auto"/>
              <w:bottom w:val="single" w:sz="4" w:space="0" w:color="auto"/>
              <w:right w:val="single" w:sz="4" w:space="0" w:color="auto"/>
            </w:tcBorders>
          </w:tcPr>
          <w:p w:rsidR="00127720" w:rsidRPr="00260CE3" w:rsidRDefault="00127720" w:rsidP="004E6CA2">
            <w:pPr>
              <w:widowControl/>
              <w:rPr>
                <w:rFonts w:ascii="Arial Narrow" w:hAnsi="Arial Narrow"/>
                <w:sz w:val="20"/>
                <w:szCs w:val="20"/>
              </w:rPr>
            </w:pPr>
            <w:r w:rsidRPr="00260CE3">
              <w:rPr>
                <w:rFonts w:ascii="Arial Narrow" w:hAnsi="Arial Narrow"/>
                <w:sz w:val="20"/>
                <w:szCs w:val="20"/>
              </w:rPr>
              <w:fldChar w:fldCharType="begin">
                <w:ffData>
                  <w:name w:val="Check1"/>
                  <w:enabled/>
                  <w:calcOnExit w:val="0"/>
                  <w:checkBox>
                    <w:sizeAuto/>
                    <w:default w:val="0"/>
                  </w:checkBox>
                </w:ffData>
              </w:fldChar>
            </w:r>
            <w:r w:rsidRPr="00260CE3">
              <w:rPr>
                <w:rFonts w:ascii="Arial Narrow" w:hAnsi="Arial Narrow"/>
                <w:sz w:val="20"/>
                <w:szCs w:val="20"/>
              </w:rPr>
              <w:instrText xml:space="preserve"> FORMCHECKBOX </w:instrText>
            </w:r>
            <w:r w:rsidR="00C075E1">
              <w:rPr>
                <w:rFonts w:ascii="Arial Narrow" w:hAnsi="Arial Narrow"/>
                <w:sz w:val="20"/>
                <w:szCs w:val="20"/>
              </w:rPr>
            </w:r>
            <w:r w:rsidR="00C075E1">
              <w:rPr>
                <w:rFonts w:ascii="Arial Narrow" w:hAnsi="Arial Narrow"/>
                <w:sz w:val="20"/>
                <w:szCs w:val="20"/>
              </w:rPr>
              <w:fldChar w:fldCharType="separate"/>
            </w:r>
            <w:r w:rsidRPr="00260CE3">
              <w:rPr>
                <w:rFonts w:ascii="Arial Narrow" w:hAnsi="Arial Narrow"/>
                <w:sz w:val="20"/>
                <w:szCs w:val="20"/>
              </w:rPr>
              <w:fldChar w:fldCharType="end"/>
            </w:r>
            <w:r w:rsidRPr="00260CE3">
              <w:rPr>
                <w:rFonts w:ascii="Arial Narrow" w:hAnsi="Arial Narrow"/>
                <w:sz w:val="20"/>
                <w:szCs w:val="20"/>
              </w:rPr>
              <w:t xml:space="preserve">Dental  </w:t>
            </w: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C075E1">
              <w:rPr>
                <w:rFonts w:ascii="Arial Narrow" w:hAnsi="Arial Narrow"/>
                <w:sz w:val="20"/>
                <w:szCs w:val="20"/>
              </w:rPr>
            </w:r>
            <w:r w:rsidR="00C075E1">
              <w:rPr>
                <w:rFonts w:ascii="Arial Narrow" w:hAnsi="Arial Narrow"/>
                <w:sz w:val="20"/>
                <w:szCs w:val="20"/>
              </w:rPr>
              <w:fldChar w:fldCharType="separate"/>
            </w:r>
            <w:r>
              <w:rPr>
                <w:rFonts w:ascii="Arial Narrow" w:hAnsi="Arial Narrow"/>
                <w:sz w:val="20"/>
                <w:szCs w:val="20"/>
              </w:rPr>
              <w:fldChar w:fldCharType="end"/>
            </w:r>
            <w:r w:rsidRPr="00260CE3">
              <w:rPr>
                <w:rFonts w:ascii="Arial Narrow" w:hAnsi="Arial Narrow"/>
                <w:sz w:val="20"/>
                <w:szCs w:val="20"/>
              </w:rPr>
              <w:t xml:space="preserve">Medical Practitioners  </w:t>
            </w:r>
            <w:r>
              <w:rPr>
                <w:rFonts w:ascii="Arial Narrow" w:hAnsi="Arial Narrow"/>
                <w:sz w:val="20"/>
                <w:szCs w:val="20"/>
              </w:rPr>
              <w:fldChar w:fldCharType="begin">
                <w:ffData>
                  <w:name w:val="Check3"/>
                  <w:enabled/>
                  <w:calcOnExit w:val="0"/>
                  <w:checkBox>
                    <w:sizeAuto/>
                    <w:default w:val="1"/>
                  </w:checkBox>
                </w:ffData>
              </w:fldChar>
            </w:r>
            <w:bookmarkStart w:id="49" w:name="Check3"/>
            <w:r>
              <w:rPr>
                <w:rFonts w:ascii="Arial Narrow" w:hAnsi="Arial Narrow"/>
                <w:sz w:val="20"/>
                <w:szCs w:val="20"/>
              </w:rPr>
              <w:instrText xml:space="preserve"> FORMCHECKBOX </w:instrText>
            </w:r>
            <w:r w:rsidR="00C075E1">
              <w:rPr>
                <w:rFonts w:ascii="Arial Narrow" w:hAnsi="Arial Narrow"/>
                <w:sz w:val="20"/>
                <w:szCs w:val="20"/>
              </w:rPr>
            </w:r>
            <w:r w:rsidR="00C075E1">
              <w:rPr>
                <w:rFonts w:ascii="Arial Narrow" w:hAnsi="Arial Narrow"/>
                <w:sz w:val="20"/>
                <w:szCs w:val="20"/>
              </w:rPr>
              <w:fldChar w:fldCharType="separate"/>
            </w:r>
            <w:r>
              <w:rPr>
                <w:rFonts w:ascii="Arial Narrow" w:hAnsi="Arial Narrow"/>
                <w:sz w:val="20"/>
                <w:szCs w:val="20"/>
              </w:rPr>
              <w:fldChar w:fldCharType="end"/>
            </w:r>
            <w:bookmarkEnd w:id="49"/>
            <w:r w:rsidRPr="00260CE3">
              <w:rPr>
                <w:rFonts w:ascii="Arial Narrow" w:hAnsi="Arial Narrow"/>
                <w:sz w:val="20"/>
                <w:szCs w:val="20"/>
              </w:rPr>
              <w:t xml:space="preserve">Nurse practitioners  </w:t>
            </w:r>
            <w:r w:rsidRPr="00260CE3">
              <w:rPr>
                <w:rFonts w:ascii="Arial Narrow" w:hAnsi="Arial Narrow"/>
                <w:sz w:val="20"/>
                <w:szCs w:val="20"/>
              </w:rPr>
              <w:fldChar w:fldCharType="begin">
                <w:ffData>
                  <w:name w:val=""/>
                  <w:enabled/>
                  <w:calcOnExit w:val="0"/>
                  <w:checkBox>
                    <w:sizeAuto/>
                    <w:default w:val="0"/>
                  </w:checkBox>
                </w:ffData>
              </w:fldChar>
            </w:r>
            <w:r w:rsidRPr="00260CE3">
              <w:rPr>
                <w:rFonts w:ascii="Arial Narrow" w:hAnsi="Arial Narrow"/>
                <w:sz w:val="20"/>
                <w:szCs w:val="20"/>
              </w:rPr>
              <w:instrText xml:space="preserve"> FORMCHECKBOX </w:instrText>
            </w:r>
            <w:r w:rsidR="00C075E1">
              <w:rPr>
                <w:rFonts w:ascii="Arial Narrow" w:hAnsi="Arial Narrow"/>
                <w:sz w:val="20"/>
                <w:szCs w:val="20"/>
              </w:rPr>
            </w:r>
            <w:r w:rsidR="00C075E1">
              <w:rPr>
                <w:rFonts w:ascii="Arial Narrow" w:hAnsi="Arial Narrow"/>
                <w:sz w:val="20"/>
                <w:szCs w:val="20"/>
              </w:rPr>
              <w:fldChar w:fldCharType="separate"/>
            </w:r>
            <w:r w:rsidRPr="00260CE3">
              <w:rPr>
                <w:rFonts w:ascii="Arial Narrow" w:hAnsi="Arial Narrow"/>
                <w:sz w:val="20"/>
                <w:szCs w:val="20"/>
              </w:rPr>
              <w:fldChar w:fldCharType="end"/>
            </w:r>
            <w:r w:rsidRPr="00260CE3">
              <w:rPr>
                <w:rFonts w:ascii="Arial Narrow" w:hAnsi="Arial Narrow"/>
                <w:sz w:val="20"/>
                <w:szCs w:val="20"/>
              </w:rPr>
              <w:t>Optometrists</w:t>
            </w:r>
          </w:p>
          <w:p w:rsidR="00127720" w:rsidRPr="00260CE3" w:rsidRDefault="00127720" w:rsidP="004E6CA2">
            <w:pPr>
              <w:widowControl/>
              <w:rPr>
                <w:rFonts w:ascii="Arial Narrow" w:hAnsi="Arial Narrow"/>
                <w:sz w:val="20"/>
                <w:szCs w:val="20"/>
              </w:rPr>
            </w:pPr>
            <w:r w:rsidRPr="00260CE3">
              <w:rPr>
                <w:rFonts w:ascii="Arial Narrow" w:hAnsi="Arial Narrow"/>
                <w:sz w:val="20"/>
                <w:szCs w:val="20"/>
              </w:rPr>
              <w:fldChar w:fldCharType="begin">
                <w:ffData>
                  <w:name w:val="Check5"/>
                  <w:enabled/>
                  <w:calcOnExit w:val="0"/>
                  <w:checkBox>
                    <w:sizeAuto/>
                    <w:default w:val="0"/>
                  </w:checkBox>
                </w:ffData>
              </w:fldChar>
            </w:r>
            <w:r w:rsidRPr="00260CE3">
              <w:rPr>
                <w:rFonts w:ascii="Arial Narrow" w:hAnsi="Arial Narrow"/>
                <w:sz w:val="20"/>
                <w:szCs w:val="20"/>
              </w:rPr>
              <w:instrText xml:space="preserve"> FORMCHECKBOX </w:instrText>
            </w:r>
            <w:r w:rsidR="00C075E1">
              <w:rPr>
                <w:rFonts w:ascii="Arial Narrow" w:hAnsi="Arial Narrow"/>
                <w:sz w:val="20"/>
                <w:szCs w:val="20"/>
              </w:rPr>
            </w:r>
            <w:r w:rsidR="00C075E1">
              <w:rPr>
                <w:rFonts w:ascii="Arial Narrow" w:hAnsi="Arial Narrow"/>
                <w:sz w:val="20"/>
                <w:szCs w:val="20"/>
              </w:rPr>
              <w:fldChar w:fldCharType="separate"/>
            </w:r>
            <w:r w:rsidRPr="00260CE3">
              <w:rPr>
                <w:rFonts w:ascii="Arial Narrow" w:hAnsi="Arial Narrow"/>
                <w:sz w:val="20"/>
                <w:szCs w:val="20"/>
              </w:rPr>
              <w:fldChar w:fldCharType="end"/>
            </w:r>
            <w:r w:rsidRPr="00260CE3">
              <w:rPr>
                <w:rFonts w:ascii="Arial Narrow" w:hAnsi="Arial Narrow"/>
                <w:sz w:val="20"/>
                <w:szCs w:val="20"/>
              </w:rPr>
              <w:t>Midwives</w:t>
            </w:r>
          </w:p>
        </w:tc>
      </w:tr>
      <w:tr w:rsidR="00127720" w:rsidRPr="00260CE3" w:rsidTr="005947D7">
        <w:trPr>
          <w:gridAfter w:val="1"/>
          <w:wAfter w:w="661" w:type="dxa"/>
          <w:cantSplit/>
          <w:trHeight w:val="360"/>
        </w:trPr>
        <w:tc>
          <w:tcPr>
            <w:tcW w:w="1843" w:type="dxa"/>
            <w:tcBorders>
              <w:top w:val="single" w:sz="4" w:space="0" w:color="auto"/>
              <w:left w:val="single" w:sz="4" w:space="0" w:color="auto"/>
              <w:bottom w:val="single" w:sz="4" w:space="0" w:color="auto"/>
              <w:right w:val="single" w:sz="4" w:space="0" w:color="auto"/>
            </w:tcBorders>
          </w:tcPr>
          <w:p w:rsidR="00127720" w:rsidRPr="00260CE3" w:rsidRDefault="00127720" w:rsidP="004E6CA2">
            <w:pPr>
              <w:widowControl/>
              <w:rPr>
                <w:rFonts w:ascii="Arial Narrow" w:hAnsi="Arial Narrow"/>
                <w:b/>
                <w:sz w:val="20"/>
                <w:szCs w:val="20"/>
              </w:rPr>
            </w:pPr>
            <w:r w:rsidRPr="00260CE3">
              <w:rPr>
                <w:rFonts w:ascii="Arial Narrow" w:hAnsi="Arial Narrow"/>
                <w:b/>
                <w:sz w:val="20"/>
                <w:szCs w:val="20"/>
              </w:rPr>
              <w:t>Condition:</w:t>
            </w:r>
          </w:p>
        </w:tc>
        <w:tc>
          <w:tcPr>
            <w:tcW w:w="6520" w:type="dxa"/>
            <w:gridSpan w:val="7"/>
            <w:tcBorders>
              <w:top w:val="single" w:sz="4" w:space="0" w:color="auto"/>
              <w:left w:val="single" w:sz="4" w:space="0" w:color="auto"/>
              <w:bottom w:val="single" w:sz="4" w:space="0" w:color="auto"/>
              <w:right w:val="single" w:sz="4" w:space="0" w:color="auto"/>
            </w:tcBorders>
          </w:tcPr>
          <w:p w:rsidR="00127720" w:rsidRPr="00127720" w:rsidRDefault="00127720" w:rsidP="004E6CA2">
            <w:pPr>
              <w:widowControl/>
              <w:rPr>
                <w:rFonts w:ascii="Arial Narrow" w:hAnsi="Arial Narrow"/>
                <w:sz w:val="20"/>
                <w:szCs w:val="20"/>
              </w:rPr>
            </w:pPr>
            <w:r w:rsidRPr="00127720">
              <w:rPr>
                <w:rFonts w:ascii="Arial Narrow" w:hAnsi="Arial Narrow"/>
                <w:sz w:val="20"/>
                <w:szCs w:val="20"/>
              </w:rPr>
              <w:t>Diabetes mellitus type 2</w:t>
            </w:r>
          </w:p>
        </w:tc>
      </w:tr>
      <w:tr w:rsidR="00127720" w:rsidRPr="00260CE3" w:rsidTr="005947D7">
        <w:trPr>
          <w:gridAfter w:val="1"/>
          <w:wAfter w:w="661" w:type="dxa"/>
          <w:cantSplit/>
          <w:trHeight w:val="360"/>
        </w:trPr>
        <w:tc>
          <w:tcPr>
            <w:tcW w:w="1843" w:type="dxa"/>
            <w:tcBorders>
              <w:top w:val="single" w:sz="4" w:space="0" w:color="auto"/>
              <w:left w:val="single" w:sz="4" w:space="0" w:color="auto"/>
              <w:bottom w:val="single" w:sz="4" w:space="0" w:color="auto"/>
              <w:right w:val="single" w:sz="4" w:space="0" w:color="auto"/>
            </w:tcBorders>
          </w:tcPr>
          <w:p w:rsidR="00127720" w:rsidRPr="00260CE3" w:rsidRDefault="00127720" w:rsidP="004E6CA2">
            <w:pPr>
              <w:widowControl/>
              <w:rPr>
                <w:rFonts w:ascii="Arial Narrow" w:hAnsi="Arial Narrow"/>
                <w:b/>
                <w:sz w:val="20"/>
                <w:szCs w:val="20"/>
              </w:rPr>
            </w:pPr>
            <w:r w:rsidRPr="00260CE3">
              <w:rPr>
                <w:rFonts w:ascii="Arial Narrow" w:hAnsi="Arial Narrow"/>
                <w:b/>
                <w:sz w:val="20"/>
                <w:szCs w:val="20"/>
              </w:rPr>
              <w:t>PBS Indication:</w:t>
            </w:r>
          </w:p>
        </w:tc>
        <w:tc>
          <w:tcPr>
            <w:tcW w:w="6520" w:type="dxa"/>
            <w:gridSpan w:val="7"/>
            <w:tcBorders>
              <w:top w:val="single" w:sz="4" w:space="0" w:color="auto"/>
              <w:left w:val="single" w:sz="4" w:space="0" w:color="auto"/>
              <w:bottom w:val="single" w:sz="4" w:space="0" w:color="auto"/>
              <w:right w:val="single" w:sz="4" w:space="0" w:color="auto"/>
            </w:tcBorders>
          </w:tcPr>
          <w:p w:rsidR="00127720" w:rsidRPr="00127720" w:rsidRDefault="00127720" w:rsidP="004E6CA2">
            <w:pPr>
              <w:widowControl/>
              <w:rPr>
                <w:rFonts w:ascii="Arial Narrow" w:hAnsi="Arial Narrow"/>
                <w:sz w:val="20"/>
                <w:szCs w:val="20"/>
              </w:rPr>
            </w:pPr>
            <w:r w:rsidRPr="00127720">
              <w:rPr>
                <w:rFonts w:ascii="Arial Narrow" w:hAnsi="Arial Narrow"/>
                <w:sz w:val="20"/>
                <w:szCs w:val="20"/>
              </w:rPr>
              <w:t>Diabetes mellitus type 2</w:t>
            </w:r>
          </w:p>
        </w:tc>
      </w:tr>
      <w:tr w:rsidR="00127720" w:rsidRPr="00260CE3" w:rsidTr="005947D7">
        <w:trPr>
          <w:gridAfter w:val="1"/>
          <w:wAfter w:w="661" w:type="dxa"/>
          <w:cantSplit/>
          <w:trHeight w:val="360"/>
        </w:trPr>
        <w:tc>
          <w:tcPr>
            <w:tcW w:w="1843" w:type="dxa"/>
            <w:tcBorders>
              <w:top w:val="single" w:sz="4" w:space="0" w:color="auto"/>
              <w:left w:val="single" w:sz="4" w:space="0" w:color="auto"/>
              <w:bottom w:val="single" w:sz="4" w:space="0" w:color="auto"/>
              <w:right w:val="single" w:sz="4" w:space="0" w:color="auto"/>
            </w:tcBorders>
          </w:tcPr>
          <w:p w:rsidR="00127720" w:rsidRPr="004E7E1F" w:rsidRDefault="00127720" w:rsidP="004E6CA2">
            <w:pPr>
              <w:widowControl/>
              <w:rPr>
                <w:rFonts w:ascii="Arial Narrow" w:hAnsi="Arial Narrow"/>
                <w:b/>
                <w:sz w:val="20"/>
                <w:szCs w:val="20"/>
              </w:rPr>
            </w:pPr>
            <w:r w:rsidRPr="00260CE3">
              <w:rPr>
                <w:rFonts w:ascii="Arial Narrow" w:hAnsi="Arial Narrow"/>
                <w:b/>
                <w:sz w:val="20"/>
                <w:szCs w:val="20"/>
              </w:rPr>
              <w:t>Restriction</w:t>
            </w:r>
            <w:r>
              <w:rPr>
                <w:rFonts w:ascii="Arial Narrow" w:hAnsi="Arial Narrow"/>
                <w:b/>
                <w:sz w:val="20"/>
                <w:szCs w:val="20"/>
              </w:rPr>
              <w:t xml:space="preserve"> Level / Method</w:t>
            </w:r>
            <w:r w:rsidRPr="00260CE3">
              <w:rPr>
                <w:rFonts w:ascii="Arial Narrow" w:hAnsi="Arial Narrow"/>
                <w:b/>
                <w:sz w:val="20"/>
                <w:szCs w:val="20"/>
              </w:rPr>
              <w:t>:</w:t>
            </w:r>
          </w:p>
        </w:tc>
        <w:tc>
          <w:tcPr>
            <w:tcW w:w="6520" w:type="dxa"/>
            <w:gridSpan w:val="7"/>
            <w:tcBorders>
              <w:top w:val="single" w:sz="4" w:space="0" w:color="auto"/>
              <w:left w:val="single" w:sz="4" w:space="0" w:color="auto"/>
              <w:bottom w:val="single" w:sz="4" w:space="0" w:color="auto"/>
              <w:right w:val="single" w:sz="4" w:space="0" w:color="auto"/>
            </w:tcBorders>
          </w:tcPr>
          <w:p w:rsidR="00127720" w:rsidRPr="00106BCF" w:rsidRDefault="00127720" w:rsidP="004E6CA2">
            <w:pPr>
              <w:widowControl/>
              <w:rPr>
                <w:rFonts w:ascii="Arial Narrow" w:hAnsi="Arial Narrow"/>
                <w:sz w:val="20"/>
                <w:szCs w:val="20"/>
              </w:rPr>
            </w:pPr>
            <w:r w:rsidRPr="00106BCF">
              <w:rPr>
                <w:rFonts w:ascii="Arial Narrow" w:hAnsi="Arial Narrow"/>
                <w:sz w:val="20"/>
                <w:szCs w:val="20"/>
              </w:rPr>
              <w:fldChar w:fldCharType="begin">
                <w:ffData>
                  <w:name w:val="Check1"/>
                  <w:enabled/>
                  <w:calcOnExit w:val="0"/>
                  <w:checkBox>
                    <w:sizeAuto/>
                    <w:default w:val="0"/>
                  </w:checkBox>
                </w:ffData>
              </w:fldChar>
            </w:r>
            <w:r w:rsidRPr="00106BCF">
              <w:rPr>
                <w:rFonts w:ascii="Arial Narrow" w:hAnsi="Arial Narrow"/>
                <w:sz w:val="20"/>
                <w:szCs w:val="20"/>
              </w:rPr>
              <w:instrText xml:space="preserve"> FORMCHECKBOX </w:instrText>
            </w:r>
            <w:r w:rsidR="00C075E1">
              <w:rPr>
                <w:rFonts w:ascii="Arial Narrow" w:hAnsi="Arial Narrow"/>
                <w:sz w:val="20"/>
                <w:szCs w:val="20"/>
              </w:rPr>
            </w:r>
            <w:r w:rsidR="00C075E1">
              <w:rPr>
                <w:rFonts w:ascii="Arial Narrow" w:hAnsi="Arial Narrow"/>
                <w:sz w:val="20"/>
                <w:szCs w:val="20"/>
              </w:rPr>
              <w:fldChar w:fldCharType="separate"/>
            </w:r>
            <w:r w:rsidRPr="00106BCF">
              <w:rPr>
                <w:rFonts w:ascii="Arial Narrow" w:hAnsi="Arial Narrow"/>
                <w:sz w:val="20"/>
                <w:szCs w:val="20"/>
              </w:rPr>
              <w:fldChar w:fldCharType="end"/>
            </w:r>
            <w:r w:rsidRPr="00106BCF">
              <w:rPr>
                <w:rFonts w:ascii="Arial Narrow" w:hAnsi="Arial Narrow"/>
                <w:sz w:val="20"/>
                <w:szCs w:val="20"/>
              </w:rPr>
              <w:t>Restricted benefit</w:t>
            </w:r>
          </w:p>
          <w:p w:rsidR="00127720" w:rsidRPr="00106BCF" w:rsidRDefault="00127720" w:rsidP="004E6CA2">
            <w:pPr>
              <w:widowControl/>
              <w:rPr>
                <w:rFonts w:ascii="Arial Narrow" w:hAnsi="Arial Narrow"/>
                <w:sz w:val="20"/>
                <w:szCs w:val="20"/>
              </w:rPr>
            </w:pPr>
            <w:r w:rsidRPr="00106BCF">
              <w:rPr>
                <w:rFonts w:ascii="Arial Narrow" w:hAnsi="Arial Narrow"/>
                <w:sz w:val="20"/>
                <w:szCs w:val="20"/>
              </w:rPr>
              <w:fldChar w:fldCharType="begin">
                <w:ffData>
                  <w:name w:val=""/>
                  <w:enabled/>
                  <w:calcOnExit w:val="0"/>
                  <w:checkBox>
                    <w:sizeAuto/>
                    <w:default w:val="0"/>
                  </w:checkBox>
                </w:ffData>
              </w:fldChar>
            </w:r>
            <w:r w:rsidRPr="00106BCF">
              <w:rPr>
                <w:rFonts w:ascii="Arial Narrow" w:hAnsi="Arial Narrow"/>
                <w:sz w:val="20"/>
                <w:szCs w:val="20"/>
              </w:rPr>
              <w:instrText xml:space="preserve"> FORMCHECKBOX </w:instrText>
            </w:r>
            <w:r w:rsidR="00C075E1">
              <w:rPr>
                <w:rFonts w:ascii="Arial Narrow" w:hAnsi="Arial Narrow"/>
                <w:sz w:val="20"/>
                <w:szCs w:val="20"/>
              </w:rPr>
            </w:r>
            <w:r w:rsidR="00C075E1">
              <w:rPr>
                <w:rFonts w:ascii="Arial Narrow" w:hAnsi="Arial Narrow"/>
                <w:sz w:val="20"/>
                <w:szCs w:val="20"/>
              </w:rPr>
              <w:fldChar w:fldCharType="separate"/>
            </w:r>
            <w:r w:rsidRPr="00106BCF">
              <w:rPr>
                <w:rFonts w:ascii="Arial Narrow" w:hAnsi="Arial Narrow"/>
                <w:sz w:val="20"/>
                <w:szCs w:val="20"/>
              </w:rPr>
              <w:fldChar w:fldCharType="end"/>
            </w:r>
            <w:r w:rsidRPr="00106BCF">
              <w:rPr>
                <w:rFonts w:ascii="Arial Narrow" w:hAnsi="Arial Narrow"/>
                <w:sz w:val="20"/>
                <w:szCs w:val="20"/>
              </w:rPr>
              <w:t>Authority Required - In Writing</w:t>
            </w:r>
          </w:p>
          <w:p w:rsidR="00127720" w:rsidRPr="00106BCF" w:rsidRDefault="00127720" w:rsidP="004E6CA2">
            <w:pPr>
              <w:widowControl/>
              <w:rPr>
                <w:rFonts w:ascii="Arial Narrow" w:hAnsi="Arial Narrow"/>
                <w:sz w:val="20"/>
                <w:szCs w:val="20"/>
              </w:rPr>
            </w:pPr>
            <w:r w:rsidRPr="00106BCF">
              <w:rPr>
                <w:rFonts w:ascii="Arial Narrow" w:hAnsi="Arial Narrow"/>
                <w:sz w:val="20"/>
                <w:szCs w:val="20"/>
              </w:rPr>
              <w:fldChar w:fldCharType="begin">
                <w:ffData>
                  <w:name w:val="Check3"/>
                  <w:enabled/>
                  <w:calcOnExit w:val="0"/>
                  <w:checkBox>
                    <w:sizeAuto/>
                    <w:default w:val="0"/>
                  </w:checkBox>
                </w:ffData>
              </w:fldChar>
            </w:r>
            <w:r w:rsidRPr="00106BCF">
              <w:rPr>
                <w:rFonts w:ascii="Arial Narrow" w:hAnsi="Arial Narrow"/>
                <w:sz w:val="20"/>
                <w:szCs w:val="20"/>
              </w:rPr>
              <w:instrText xml:space="preserve"> FORMCHECKBOX </w:instrText>
            </w:r>
            <w:r w:rsidR="00C075E1">
              <w:rPr>
                <w:rFonts w:ascii="Arial Narrow" w:hAnsi="Arial Narrow"/>
                <w:sz w:val="20"/>
                <w:szCs w:val="20"/>
              </w:rPr>
            </w:r>
            <w:r w:rsidR="00C075E1">
              <w:rPr>
                <w:rFonts w:ascii="Arial Narrow" w:hAnsi="Arial Narrow"/>
                <w:sz w:val="20"/>
                <w:szCs w:val="20"/>
              </w:rPr>
              <w:fldChar w:fldCharType="separate"/>
            </w:r>
            <w:r w:rsidRPr="00106BCF">
              <w:rPr>
                <w:rFonts w:ascii="Arial Narrow" w:hAnsi="Arial Narrow"/>
                <w:sz w:val="20"/>
                <w:szCs w:val="20"/>
              </w:rPr>
              <w:fldChar w:fldCharType="end"/>
            </w:r>
            <w:r w:rsidRPr="00106BCF">
              <w:rPr>
                <w:rFonts w:ascii="Arial Narrow" w:hAnsi="Arial Narrow"/>
                <w:sz w:val="20"/>
                <w:szCs w:val="20"/>
              </w:rPr>
              <w:t>Authority Required - Telephone</w:t>
            </w:r>
          </w:p>
          <w:p w:rsidR="00127720" w:rsidRPr="00106BCF" w:rsidRDefault="00127720" w:rsidP="004E6CA2">
            <w:pPr>
              <w:widowControl/>
              <w:rPr>
                <w:rFonts w:ascii="Arial Narrow" w:hAnsi="Arial Narrow"/>
                <w:sz w:val="20"/>
                <w:szCs w:val="20"/>
              </w:rPr>
            </w:pPr>
            <w:r w:rsidRPr="00106BCF">
              <w:rPr>
                <w:rFonts w:ascii="Arial Narrow" w:hAnsi="Arial Narrow"/>
                <w:sz w:val="20"/>
                <w:szCs w:val="20"/>
              </w:rPr>
              <w:fldChar w:fldCharType="begin">
                <w:ffData>
                  <w:name w:val=""/>
                  <w:enabled/>
                  <w:calcOnExit w:val="0"/>
                  <w:checkBox>
                    <w:sizeAuto/>
                    <w:default w:val="0"/>
                  </w:checkBox>
                </w:ffData>
              </w:fldChar>
            </w:r>
            <w:r w:rsidRPr="00106BCF">
              <w:rPr>
                <w:rFonts w:ascii="Arial Narrow" w:hAnsi="Arial Narrow"/>
                <w:sz w:val="20"/>
                <w:szCs w:val="20"/>
              </w:rPr>
              <w:instrText xml:space="preserve"> FORMCHECKBOX </w:instrText>
            </w:r>
            <w:r w:rsidR="00C075E1">
              <w:rPr>
                <w:rFonts w:ascii="Arial Narrow" w:hAnsi="Arial Narrow"/>
                <w:sz w:val="20"/>
                <w:szCs w:val="20"/>
              </w:rPr>
            </w:r>
            <w:r w:rsidR="00C075E1">
              <w:rPr>
                <w:rFonts w:ascii="Arial Narrow" w:hAnsi="Arial Narrow"/>
                <w:sz w:val="20"/>
                <w:szCs w:val="20"/>
              </w:rPr>
              <w:fldChar w:fldCharType="separate"/>
            </w:r>
            <w:r w:rsidRPr="00106BCF">
              <w:rPr>
                <w:rFonts w:ascii="Arial Narrow" w:hAnsi="Arial Narrow"/>
                <w:sz w:val="20"/>
                <w:szCs w:val="20"/>
              </w:rPr>
              <w:fldChar w:fldCharType="end"/>
            </w:r>
            <w:r w:rsidRPr="00106BCF">
              <w:rPr>
                <w:rFonts w:ascii="Arial Narrow" w:hAnsi="Arial Narrow"/>
                <w:sz w:val="20"/>
                <w:szCs w:val="20"/>
              </w:rPr>
              <w:t>Authority Required – Emergency</w:t>
            </w:r>
          </w:p>
          <w:p w:rsidR="00127720" w:rsidRPr="00106BCF" w:rsidRDefault="00127720" w:rsidP="004E6CA2">
            <w:pPr>
              <w:widowControl/>
              <w:rPr>
                <w:rFonts w:ascii="Arial Narrow" w:hAnsi="Arial Narrow"/>
                <w:sz w:val="20"/>
                <w:szCs w:val="20"/>
              </w:rPr>
            </w:pPr>
            <w:r w:rsidRPr="00106BCF">
              <w:rPr>
                <w:rFonts w:ascii="Arial Narrow" w:hAnsi="Arial Narrow"/>
                <w:sz w:val="20"/>
                <w:szCs w:val="20"/>
              </w:rPr>
              <w:fldChar w:fldCharType="begin">
                <w:ffData>
                  <w:name w:val="Check5"/>
                  <w:enabled/>
                  <w:calcOnExit w:val="0"/>
                  <w:checkBox>
                    <w:sizeAuto/>
                    <w:default w:val="0"/>
                  </w:checkBox>
                </w:ffData>
              </w:fldChar>
            </w:r>
            <w:r w:rsidRPr="00106BCF">
              <w:rPr>
                <w:rFonts w:ascii="Arial Narrow" w:hAnsi="Arial Narrow"/>
                <w:sz w:val="20"/>
                <w:szCs w:val="20"/>
              </w:rPr>
              <w:instrText xml:space="preserve"> FORMCHECKBOX </w:instrText>
            </w:r>
            <w:r w:rsidR="00C075E1">
              <w:rPr>
                <w:rFonts w:ascii="Arial Narrow" w:hAnsi="Arial Narrow"/>
                <w:sz w:val="20"/>
                <w:szCs w:val="20"/>
              </w:rPr>
            </w:r>
            <w:r w:rsidR="00C075E1">
              <w:rPr>
                <w:rFonts w:ascii="Arial Narrow" w:hAnsi="Arial Narrow"/>
                <w:sz w:val="20"/>
                <w:szCs w:val="20"/>
              </w:rPr>
              <w:fldChar w:fldCharType="separate"/>
            </w:r>
            <w:r w:rsidRPr="00106BCF">
              <w:rPr>
                <w:rFonts w:ascii="Arial Narrow" w:hAnsi="Arial Narrow"/>
                <w:sz w:val="20"/>
                <w:szCs w:val="20"/>
              </w:rPr>
              <w:fldChar w:fldCharType="end"/>
            </w:r>
            <w:r w:rsidRPr="00106BCF">
              <w:rPr>
                <w:rFonts w:ascii="Arial Narrow" w:hAnsi="Arial Narrow"/>
                <w:sz w:val="20"/>
                <w:szCs w:val="20"/>
              </w:rPr>
              <w:t>Authority Required - Electronic</w:t>
            </w:r>
          </w:p>
          <w:p w:rsidR="00127720" w:rsidRPr="00260CE3" w:rsidRDefault="00127720" w:rsidP="004E6CA2">
            <w:pPr>
              <w:widowControl/>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1"/>
                  </w:checkBox>
                </w:ffData>
              </w:fldChar>
            </w:r>
            <w:bookmarkStart w:id="50" w:name="Check5"/>
            <w:r>
              <w:rPr>
                <w:rFonts w:ascii="Arial Narrow" w:hAnsi="Arial Narrow"/>
                <w:sz w:val="20"/>
                <w:szCs w:val="20"/>
              </w:rPr>
              <w:instrText xml:space="preserve"> FORMCHECKBOX </w:instrText>
            </w:r>
            <w:r w:rsidR="00C075E1">
              <w:rPr>
                <w:rFonts w:ascii="Arial Narrow" w:hAnsi="Arial Narrow"/>
                <w:sz w:val="20"/>
                <w:szCs w:val="20"/>
              </w:rPr>
            </w:r>
            <w:r w:rsidR="00C075E1">
              <w:rPr>
                <w:rFonts w:ascii="Arial Narrow" w:hAnsi="Arial Narrow"/>
                <w:sz w:val="20"/>
                <w:szCs w:val="20"/>
              </w:rPr>
              <w:fldChar w:fldCharType="separate"/>
            </w:r>
            <w:r>
              <w:rPr>
                <w:rFonts w:ascii="Arial Narrow" w:hAnsi="Arial Narrow"/>
                <w:sz w:val="20"/>
                <w:szCs w:val="20"/>
              </w:rPr>
              <w:fldChar w:fldCharType="end"/>
            </w:r>
            <w:bookmarkEnd w:id="50"/>
            <w:r w:rsidRPr="00106BCF">
              <w:rPr>
                <w:rFonts w:ascii="Arial Narrow" w:hAnsi="Arial Narrow"/>
                <w:sz w:val="20"/>
                <w:szCs w:val="20"/>
              </w:rPr>
              <w:t>Streamlined</w:t>
            </w:r>
          </w:p>
        </w:tc>
      </w:tr>
      <w:tr w:rsidR="00127720" w:rsidRPr="00260CE3" w:rsidTr="005947D7">
        <w:trPr>
          <w:gridAfter w:val="1"/>
          <w:wAfter w:w="661" w:type="dxa"/>
          <w:cantSplit/>
          <w:trHeight w:val="360"/>
        </w:trPr>
        <w:tc>
          <w:tcPr>
            <w:tcW w:w="1843" w:type="dxa"/>
            <w:tcBorders>
              <w:top w:val="single" w:sz="4" w:space="0" w:color="auto"/>
              <w:left w:val="single" w:sz="4" w:space="0" w:color="auto"/>
              <w:bottom w:val="single" w:sz="4" w:space="0" w:color="auto"/>
              <w:right w:val="single" w:sz="4" w:space="0" w:color="auto"/>
            </w:tcBorders>
          </w:tcPr>
          <w:p w:rsidR="00127720" w:rsidRPr="004E7E1F" w:rsidRDefault="00127720" w:rsidP="004E6CA2">
            <w:pPr>
              <w:widowControl/>
              <w:rPr>
                <w:rFonts w:ascii="Arial Narrow" w:hAnsi="Arial Narrow"/>
                <w:b/>
                <w:sz w:val="20"/>
                <w:szCs w:val="20"/>
              </w:rPr>
            </w:pPr>
            <w:r w:rsidRPr="00260CE3">
              <w:rPr>
                <w:rFonts w:ascii="Arial Narrow" w:hAnsi="Arial Narrow"/>
                <w:b/>
                <w:sz w:val="20"/>
                <w:szCs w:val="20"/>
              </w:rPr>
              <w:t>Clinical criteria:</w:t>
            </w:r>
          </w:p>
        </w:tc>
        <w:tc>
          <w:tcPr>
            <w:tcW w:w="6520" w:type="dxa"/>
            <w:gridSpan w:val="7"/>
            <w:tcBorders>
              <w:top w:val="single" w:sz="4" w:space="0" w:color="auto"/>
              <w:left w:val="single" w:sz="4" w:space="0" w:color="auto"/>
              <w:bottom w:val="single" w:sz="4" w:space="0" w:color="auto"/>
              <w:right w:val="single" w:sz="4" w:space="0" w:color="auto"/>
            </w:tcBorders>
          </w:tcPr>
          <w:p w:rsidR="00127720" w:rsidRPr="004E7E1F" w:rsidRDefault="00127720" w:rsidP="004E6CA2">
            <w:pPr>
              <w:widowControl/>
              <w:rPr>
                <w:rFonts w:ascii="Arial Narrow" w:hAnsi="Arial Narrow"/>
                <w:sz w:val="20"/>
                <w:szCs w:val="20"/>
              </w:rPr>
            </w:pPr>
            <w:r w:rsidRPr="004E7E1F">
              <w:rPr>
                <w:rFonts w:ascii="Arial Narrow" w:hAnsi="Arial Narrow"/>
                <w:sz w:val="20"/>
                <w:szCs w:val="20"/>
              </w:rPr>
              <w:t>The treatment must be in combination with metformin; OR</w:t>
            </w:r>
          </w:p>
          <w:p w:rsidR="00127720" w:rsidRPr="004E7E1F" w:rsidRDefault="00127720" w:rsidP="004E6CA2">
            <w:pPr>
              <w:widowControl/>
              <w:rPr>
                <w:rFonts w:ascii="Arial Narrow" w:hAnsi="Arial Narrow"/>
                <w:sz w:val="20"/>
                <w:szCs w:val="20"/>
              </w:rPr>
            </w:pPr>
            <w:r w:rsidRPr="004E7E1F">
              <w:rPr>
                <w:rFonts w:ascii="Arial Narrow" w:hAnsi="Arial Narrow"/>
                <w:sz w:val="20"/>
                <w:szCs w:val="20"/>
              </w:rPr>
              <w:t>The treatment must be in combination with a sulfonylurea.</w:t>
            </w:r>
          </w:p>
          <w:p w:rsidR="00127720" w:rsidRPr="004E7E1F" w:rsidRDefault="00127720" w:rsidP="004E6CA2">
            <w:pPr>
              <w:widowControl/>
              <w:rPr>
                <w:rFonts w:ascii="Arial Narrow" w:hAnsi="Arial Narrow"/>
                <w:sz w:val="20"/>
                <w:szCs w:val="20"/>
              </w:rPr>
            </w:pPr>
          </w:p>
          <w:p w:rsidR="00127720" w:rsidRPr="004E7E1F" w:rsidRDefault="00127720" w:rsidP="004E6CA2">
            <w:pPr>
              <w:widowControl/>
              <w:rPr>
                <w:rFonts w:ascii="Arial Narrow" w:hAnsi="Arial Narrow"/>
                <w:sz w:val="20"/>
                <w:szCs w:val="20"/>
              </w:rPr>
            </w:pPr>
            <w:r w:rsidRPr="004E7E1F">
              <w:rPr>
                <w:rFonts w:ascii="Arial Narrow" w:hAnsi="Arial Narrow"/>
                <w:sz w:val="20"/>
                <w:szCs w:val="20"/>
              </w:rPr>
              <w:t>AND</w:t>
            </w:r>
          </w:p>
          <w:p w:rsidR="00127720" w:rsidRPr="004E7E1F" w:rsidRDefault="00127720" w:rsidP="004E6CA2">
            <w:pPr>
              <w:widowControl/>
              <w:rPr>
                <w:rFonts w:ascii="Arial Narrow" w:hAnsi="Arial Narrow"/>
                <w:sz w:val="20"/>
                <w:szCs w:val="20"/>
              </w:rPr>
            </w:pPr>
          </w:p>
          <w:p w:rsidR="00127720" w:rsidRPr="004E7E1F" w:rsidRDefault="00127720" w:rsidP="004E6CA2">
            <w:pPr>
              <w:widowControl/>
              <w:rPr>
                <w:rFonts w:ascii="Arial Narrow" w:hAnsi="Arial Narrow"/>
                <w:sz w:val="20"/>
                <w:szCs w:val="20"/>
              </w:rPr>
            </w:pPr>
            <w:r w:rsidRPr="004E7E1F">
              <w:rPr>
                <w:rFonts w:ascii="Arial Narrow" w:hAnsi="Arial Narrow"/>
                <w:sz w:val="20"/>
                <w:szCs w:val="20"/>
              </w:rPr>
              <w:t>Patient must have a contraindication to a combination of metformin and a sulfonylurea; OR</w:t>
            </w:r>
          </w:p>
          <w:p w:rsidR="00127720" w:rsidRPr="004E7E1F" w:rsidRDefault="00127720" w:rsidP="004E6CA2">
            <w:pPr>
              <w:widowControl/>
              <w:rPr>
                <w:rFonts w:ascii="Arial Narrow" w:hAnsi="Arial Narrow"/>
                <w:sz w:val="20"/>
                <w:szCs w:val="20"/>
              </w:rPr>
            </w:pPr>
            <w:r w:rsidRPr="004E7E1F">
              <w:rPr>
                <w:rFonts w:ascii="Arial Narrow" w:hAnsi="Arial Narrow"/>
                <w:sz w:val="20"/>
                <w:szCs w:val="20"/>
              </w:rPr>
              <w:t>Patient must not have tolerated a combination of metformin and a sulfonylurea.</w:t>
            </w:r>
          </w:p>
          <w:p w:rsidR="00127720" w:rsidRPr="004E7E1F" w:rsidRDefault="00127720" w:rsidP="004E6CA2">
            <w:pPr>
              <w:widowControl/>
              <w:rPr>
                <w:rFonts w:ascii="Arial Narrow" w:hAnsi="Arial Narrow"/>
                <w:sz w:val="20"/>
                <w:szCs w:val="20"/>
              </w:rPr>
            </w:pPr>
          </w:p>
          <w:p w:rsidR="00127720" w:rsidRPr="004E7E1F" w:rsidRDefault="00127720" w:rsidP="004E6CA2">
            <w:pPr>
              <w:widowControl/>
              <w:rPr>
                <w:rFonts w:ascii="Arial Narrow" w:hAnsi="Arial Narrow"/>
                <w:sz w:val="20"/>
                <w:szCs w:val="20"/>
              </w:rPr>
            </w:pPr>
            <w:r w:rsidRPr="004E7E1F">
              <w:rPr>
                <w:rFonts w:ascii="Arial Narrow" w:hAnsi="Arial Narrow"/>
                <w:sz w:val="20"/>
                <w:szCs w:val="20"/>
              </w:rPr>
              <w:t>AND</w:t>
            </w:r>
          </w:p>
          <w:p w:rsidR="00127720" w:rsidRPr="004E7E1F" w:rsidRDefault="00127720" w:rsidP="004E6CA2">
            <w:pPr>
              <w:widowControl/>
              <w:rPr>
                <w:rFonts w:ascii="Arial Narrow" w:hAnsi="Arial Narrow"/>
                <w:sz w:val="20"/>
                <w:szCs w:val="20"/>
              </w:rPr>
            </w:pPr>
          </w:p>
          <w:p w:rsidR="00127720" w:rsidRPr="004E7E1F" w:rsidRDefault="00127720" w:rsidP="004E6CA2">
            <w:pPr>
              <w:widowControl/>
              <w:rPr>
                <w:rFonts w:ascii="Arial Narrow" w:hAnsi="Arial Narrow"/>
                <w:sz w:val="20"/>
                <w:szCs w:val="20"/>
              </w:rPr>
            </w:pPr>
            <w:r w:rsidRPr="004E7E1F">
              <w:rPr>
                <w:rFonts w:ascii="Arial Narrow" w:hAnsi="Arial Narrow"/>
                <w:sz w:val="20"/>
                <w:szCs w:val="20"/>
              </w:rPr>
              <w:t>Patient must have, or have had, a HbA1c measurement greater than 7% prior to the initiation of a dipeptidyl peptidase 4 inhibitor (gliptin), a thiazolidinedione (glitazone), a glucagon-like-peptide-1 or a sodium-glucose co-transporter 2 (SGLT2) inhibitor despite treatment with either metformin or a sulfonylurea; OR</w:t>
            </w:r>
          </w:p>
          <w:p w:rsidR="00127720" w:rsidRPr="00260CE3" w:rsidRDefault="00127720" w:rsidP="004E6CA2">
            <w:pPr>
              <w:widowControl/>
              <w:rPr>
                <w:rFonts w:ascii="Arial Narrow" w:hAnsi="Arial Narrow"/>
                <w:sz w:val="20"/>
                <w:szCs w:val="20"/>
              </w:rPr>
            </w:pPr>
            <w:r w:rsidRPr="004E7E1F">
              <w:rPr>
                <w:rFonts w:ascii="Arial Narrow" w:hAnsi="Arial Narrow"/>
                <w:sz w:val="20"/>
                <w:szCs w:val="20"/>
              </w:rPr>
              <w:t>Patient must have, or have had, where HbA1c measurement is clinically inappropriate, blood glucose levels greater than 10 mmol per L in more than 20% of tests over a 2 week period prior to initiation with a gliptin, a glitazone, a glucagon-like peptide-1 or an SGLT2 inhibitor despite treatment with either metformin or a sulfonylurea.</w:t>
            </w:r>
          </w:p>
        </w:tc>
      </w:tr>
      <w:tr w:rsidR="00127720" w:rsidRPr="00260CE3" w:rsidTr="005947D7">
        <w:trPr>
          <w:gridAfter w:val="1"/>
          <w:wAfter w:w="661" w:type="dxa"/>
          <w:cantSplit/>
          <w:trHeight w:val="360"/>
        </w:trPr>
        <w:tc>
          <w:tcPr>
            <w:tcW w:w="1843" w:type="dxa"/>
            <w:tcBorders>
              <w:top w:val="single" w:sz="4" w:space="0" w:color="auto"/>
              <w:left w:val="single" w:sz="4" w:space="0" w:color="auto"/>
              <w:bottom w:val="single" w:sz="4" w:space="0" w:color="auto"/>
              <w:right w:val="single" w:sz="4" w:space="0" w:color="auto"/>
            </w:tcBorders>
          </w:tcPr>
          <w:p w:rsidR="00127720" w:rsidRPr="00260CE3" w:rsidRDefault="00127720" w:rsidP="00844ACE">
            <w:pPr>
              <w:widowControl/>
              <w:rPr>
                <w:rFonts w:ascii="Arial Narrow" w:hAnsi="Arial Narrow"/>
                <w:sz w:val="20"/>
                <w:szCs w:val="20"/>
              </w:rPr>
            </w:pPr>
            <w:r w:rsidRPr="00260CE3">
              <w:rPr>
                <w:rFonts w:ascii="Arial Narrow" w:hAnsi="Arial Narrow"/>
                <w:b/>
                <w:sz w:val="20"/>
                <w:szCs w:val="20"/>
              </w:rPr>
              <w:t>Prescriber Instructions</w:t>
            </w:r>
            <w:r w:rsidR="00844ACE">
              <w:rPr>
                <w:rFonts w:ascii="Arial Narrow" w:hAnsi="Arial Narrow"/>
                <w:b/>
                <w:sz w:val="20"/>
                <w:szCs w:val="20"/>
              </w:rPr>
              <w:t>:</w:t>
            </w:r>
          </w:p>
        </w:tc>
        <w:tc>
          <w:tcPr>
            <w:tcW w:w="6520" w:type="dxa"/>
            <w:gridSpan w:val="7"/>
            <w:tcBorders>
              <w:top w:val="single" w:sz="4" w:space="0" w:color="auto"/>
              <w:left w:val="single" w:sz="4" w:space="0" w:color="auto"/>
              <w:bottom w:val="single" w:sz="4" w:space="0" w:color="auto"/>
              <w:right w:val="single" w:sz="4" w:space="0" w:color="auto"/>
            </w:tcBorders>
          </w:tcPr>
          <w:p w:rsidR="00127720" w:rsidRPr="004E7E1F" w:rsidRDefault="00127720" w:rsidP="004E6CA2">
            <w:pPr>
              <w:widowControl/>
              <w:rPr>
                <w:rFonts w:ascii="Arial Narrow" w:hAnsi="Arial Narrow"/>
                <w:sz w:val="20"/>
                <w:szCs w:val="20"/>
              </w:rPr>
            </w:pPr>
            <w:r w:rsidRPr="004E7E1F">
              <w:rPr>
                <w:rFonts w:ascii="Arial Narrow" w:hAnsi="Arial Narrow"/>
                <w:sz w:val="20"/>
                <w:szCs w:val="20"/>
              </w:rPr>
              <w:t>The date and level of the qualifying HbA1c measurement must be</w:t>
            </w:r>
            <w:r>
              <w:rPr>
                <w:rFonts w:ascii="Arial Narrow" w:hAnsi="Arial Narrow"/>
                <w:sz w:val="20"/>
                <w:szCs w:val="20"/>
              </w:rPr>
              <w:t>,</w:t>
            </w:r>
            <w:r w:rsidRPr="004E7E1F">
              <w:rPr>
                <w:rFonts w:ascii="Arial Narrow" w:hAnsi="Arial Narrow"/>
                <w:sz w:val="20"/>
                <w:szCs w:val="20"/>
              </w:rPr>
              <w:t xml:space="preserve"> or must have been</w:t>
            </w:r>
            <w:r>
              <w:rPr>
                <w:rFonts w:ascii="Arial Narrow" w:hAnsi="Arial Narrow"/>
                <w:sz w:val="20"/>
                <w:szCs w:val="20"/>
              </w:rPr>
              <w:t>,</w:t>
            </w:r>
            <w:r w:rsidRPr="004E7E1F">
              <w:rPr>
                <w:rFonts w:ascii="Arial Narrow" w:hAnsi="Arial Narrow"/>
                <w:sz w:val="20"/>
                <w:szCs w:val="20"/>
              </w:rPr>
              <w:t xml:space="preserve"> documented in the patient’s medical records at the time treatment with a gliptin, a glitazone, a glucagon-like peptide-1 or an SGLT2 inhibitor is initiated. </w:t>
            </w:r>
          </w:p>
          <w:p w:rsidR="00127720" w:rsidRPr="004E7E1F" w:rsidRDefault="00127720" w:rsidP="004E6CA2">
            <w:pPr>
              <w:widowControl/>
              <w:rPr>
                <w:rFonts w:ascii="Arial Narrow" w:hAnsi="Arial Narrow"/>
                <w:sz w:val="20"/>
                <w:szCs w:val="20"/>
              </w:rPr>
            </w:pPr>
          </w:p>
          <w:p w:rsidR="00127720" w:rsidRPr="004E7E1F" w:rsidRDefault="00127720" w:rsidP="004E6CA2">
            <w:pPr>
              <w:widowControl/>
              <w:rPr>
                <w:rFonts w:ascii="Arial Narrow" w:hAnsi="Arial Narrow"/>
                <w:sz w:val="20"/>
                <w:szCs w:val="20"/>
              </w:rPr>
            </w:pPr>
            <w:r w:rsidRPr="004E7E1F">
              <w:rPr>
                <w:rFonts w:ascii="Arial Narrow" w:hAnsi="Arial Narrow"/>
                <w:sz w:val="20"/>
                <w:szCs w:val="20"/>
              </w:rPr>
              <w:t>The HbA1c must be no more than 4 months old at the time treatment with a gliptin, a glitazone, a glucagon-like peptide-1 or an SGLT2 inhibitor was initiated.</w:t>
            </w:r>
          </w:p>
          <w:p w:rsidR="00127720" w:rsidRPr="004E7E1F" w:rsidRDefault="00127720" w:rsidP="004E6CA2">
            <w:pPr>
              <w:widowControl/>
              <w:rPr>
                <w:rFonts w:ascii="Arial Narrow" w:hAnsi="Arial Narrow"/>
                <w:sz w:val="20"/>
                <w:szCs w:val="20"/>
              </w:rPr>
            </w:pPr>
          </w:p>
          <w:p w:rsidR="00127720" w:rsidRPr="004E7E1F" w:rsidRDefault="00127720" w:rsidP="004E6CA2">
            <w:pPr>
              <w:widowControl/>
              <w:rPr>
                <w:rFonts w:ascii="Arial Narrow" w:hAnsi="Arial Narrow"/>
                <w:sz w:val="20"/>
                <w:szCs w:val="20"/>
              </w:rPr>
            </w:pPr>
            <w:r w:rsidRPr="004E7E1F">
              <w:rPr>
                <w:rFonts w:ascii="Arial Narrow" w:hAnsi="Arial Narrow"/>
                <w:sz w:val="20"/>
                <w:szCs w:val="20"/>
              </w:rPr>
              <w:t>Blood glucose monitoring may be used as an alternative assessment to HbA1c levels in the following circumstances:</w:t>
            </w:r>
          </w:p>
          <w:p w:rsidR="00127720" w:rsidRPr="004E7E1F" w:rsidRDefault="00127720" w:rsidP="004E6CA2">
            <w:pPr>
              <w:widowControl/>
              <w:numPr>
                <w:ilvl w:val="0"/>
                <w:numId w:val="41"/>
              </w:numPr>
              <w:ind w:left="318" w:hanging="284"/>
              <w:jc w:val="left"/>
              <w:rPr>
                <w:rFonts w:ascii="Arial Narrow" w:hAnsi="Arial Narrow"/>
                <w:sz w:val="20"/>
                <w:szCs w:val="20"/>
              </w:rPr>
            </w:pPr>
            <w:r w:rsidRPr="004E7E1F">
              <w:rPr>
                <w:rFonts w:ascii="Arial Narrow" w:hAnsi="Arial Narrow"/>
                <w:sz w:val="20"/>
                <w:szCs w:val="20"/>
              </w:rPr>
              <w:t>A clinical condition with re</w:t>
            </w:r>
            <w:r w:rsidR="00B775AF">
              <w:rPr>
                <w:rFonts w:ascii="Arial Narrow" w:hAnsi="Arial Narrow"/>
                <w:sz w:val="20"/>
                <w:szCs w:val="20"/>
              </w:rPr>
              <w:t>duced red blood cell survival,</w:t>
            </w:r>
            <w:r w:rsidRPr="004E7E1F">
              <w:rPr>
                <w:rFonts w:ascii="Arial Narrow" w:hAnsi="Arial Narrow"/>
                <w:sz w:val="20"/>
                <w:szCs w:val="20"/>
              </w:rPr>
              <w:t xml:space="preserve"> including haemolytic anaemias and haemoglobinopathies; and/or</w:t>
            </w:r>
          </w:p>
          <w:p w:rsidR="00127720" w:rsidRPr="004E7E1F" w:rsidRDefault="00127720" w:rsidP="004E6CA2">
            <w:pPr>
              <w:widowControl/>
              <w:numPr>
                <w:ilvl w:val="0"/>
                <w:numId w:val="41"/>
              </w:numPr>
              <w:ind w:left="318" w:hanging="284"/>
              <w:jc w:val="left"/>
              <w:rPr>
                <w:rFonts w:ascii="Arial Narrow" w:hAnsi="Arial Narrow"/>
                <w:sz w:val="20"/>
                <w:szCs w:val="20"/>
              </w:rPr>
            </w:pPr>
            <w:r w:rsidRPr="004E7E1F">
              <w:rPr>
                <w:rFonts w:ascii="Arial Narrow" w:hAnsi="Arial Narrow"/>
                <w:sz w:val="20"/>
                <w:szCs w:val="20"/>
              </w:rPr>
              <w:t>Had red cell transfusion within the previous 3 months</w:t>
            </w:r>
          </w:p>
          <w:p w:rsidR="00127720" w:rsidRPr="004E7E1F" w:rsidRDefault="00127720" w:rsidP="004E6CA2">
            <w:pPr>
              <w:widowControl/>
              <w:rPr>
                <w:rFonts w:ascii="Arial Narrow" w:hAnsi="Arial Narrow"/>
                <w:sz w:val="20"/>
                <w:szCs w:val="20"/>
              </w:rPr>
            </w:pPr>
          </w:p>
          <w:p w:rsidR="00127720" w:rsidRPr="00260CE3" w:rsidRDefault="00127720" w:rsidP="004E6CA2">
            <w:pPr>
              <w:widowControl/>
              <w:rPr>
                <w:rFonts w:ascii="Arial Narrow" w:hAnsi="Arial Narrow"/>
                <w:sz w:val="20"/>
                <w:szCs w:val="20"/>
              </w:rPr>
            </w:pPr>
            <w:r w:rsidRPr="004E7E1F">
              <w:rPr>
                <w:rFonts w:ascii="Arial Narrow" w:hAnsi="Arial Narrow"/>
                <w:sz w:val="20"/>
                <w:szCs w:val="20"/>
              </w:rPr>
              <w:t>The results of the blood glucose monitoring, which must be no more than 4 months old at the time of initiation of treatment with a gliptin, a glitazone, a glucagon-like peptide-1 or an SGLT2 inhibitor, must be documented in the patient's medical records.</w:t>
            </w:r>
          </w:p>
        </w:tc>
      </w:tr>
      <w:tr w:rsidR="00127720" w:rsidRPr="00260CE3" w:rsidTr="005947D7">
        <w:trPr>
          <w:gridAfter w:val="1"/>
          <w:wAfter w:w="661" w:type="dxa"/>
          <w:cantSplit/>
          <w:trHeight w:val="360"/>
        </w:trPr>
        <w:tc>
          <w:tcPr>
            <w:tcW w:w="1843" w:type="dxa"/>
            <w:tcBorders>
              <w:top w:val="single" w:sz="4" w:space="0" w:color="auto"/>
              <w:left w:val="single" w:sz="4" w:space="0" w:color="auto"/>
              <w:bottom w:val="single" w:sz="4" w:space="0" w:color="auto"/>
              <w:right w:val="single" w:sz="4" w:space="0" w:color="auto"/>
            </w:tcBorders>
          </w:tcPr>
          <w:p w:rsidR="00127720" w:rsidRPr="004E7E1F" w:rsidRDefault="00127720" w:rsidP="004E6CA2">
            <w:pPr>
              <w:widowControl/>
              <w:rPr>
                <w:rFonts w:ascii="Arial Narrow" w:hAnsi="Arial Narrow"/>
                <w:b/>
                <w:sz w:val="20"/>
                <w:szCs w:val="20"/>
              </w:rPr>
            </w:pPr>
            <w:r w:rsidRPr="00260CE3">
              <w:rPr>
                <w:rFonts w:ascii="Arial Narrow" w:hAnsi="Arial Narrow"/>
                <w:b/>
                <w:sz w:val="20"/>
                <w:szCs w:val="20"/>
              </w:rPr>
              <w:t>Administrative Advice</w:t>
            </w:r>
            <w:r w:rsidR="00844ACE">
              <w:rPr>
                <w:rFonts w:ascii="Arial Narrow" w:hAnsi="Arial Narrow"/>
                <w:b/>
                <w:sz w:val="20"/>
                <w:szCs w:val="20"/>
              </w:rPr>
              <w:t>:</w:t>
            </w:r>
          </w:p>
        </w:tc>
        <w:tc>
          <w:tcPr>
            <w:tcW w:w="6520" w:type="dxa"/>
            <w:gridSpan w:val="7"/>
            <w:tcBorders>
              <w:top w:val="single" w:sz="4" w:space="0" w:color="auto"/>
              <w:left w:val="single" w:sz="4" w:space="0" w:color="auto"/>
              <w:bottom w:val="single" w:sz="4" w:space="0" w:color="auto"/>
              <w:right w:val="single" w:sz="4" w:space="0" w:color="auto"/>
            </w:tcBorders>
          </w:tcPr>
          <w:p w:rsidR="00127720" w:rsidRPr="004E7E1F" w:rsidRDefault="00127720" w:rsidP="004E6CA2">
            <w:pPr>
              <w:widowControl/>
              <w:rPr>
                <w:rFonts w:ascii="Arial Narrow" w:hAnsi="Arial Narrow"/>
                <w:sz w:val="20"/>
                <w:szCs w:val="20"/>
              </w:rPr>
            </w:pPr>
            <w:r w:rsidRPr="004E7E1F">
              <w:rPr>
                <w:rFonts w:ascii="Arial Narrow" w:hAnsi="Arial Narrow"/>
                <w:sz w:val="20"/>
                <w:szCs w:val="20"/>
              </w:rPr>
              <w:t>Note:</w:t>
            </w:r>
          </w:p>
          <w:p w:rsidR="00127720" w:rsidRPr="00260CE3" w:rsidRDefault="00127720" w:rsidP="00844ACE">
            <w:pPr>
              <w:widowControl/>
              <w:rPr>
                <w:rFonts w:ascii="Arial Narrow" w:hAnsi="Arial Narrow"/>
                <w:sz w:val="20"/>
                <w:szCs w:val="20"/>
              </w:rPr>
            </w:pPr>
            <w:r w:rsidRPr="004E7E1F">
              <w:rPr>
                <w:rFonts w:ascii="Arial Narrow" w:hAnsi="Arial Narrow"/>
                <w:sz w:val="20"/>
                <w:szCs w:val="20"/>
              </w:rPr>
              <w:t>This drug is not PBS-subsidised for use as monotherapy or in combination with a dipeptidyl peptidase 4 inhibitor (gliptin), a thiazolidinedione (glitazone), an insulin or an SGLT2 inhibitor.</w:t>
            </w:r>
          </w:p>
        </w:tc>
      </w:tr>
    </w:tbl>
    <w:p w:rsidR="00127720" w:rsidRPr="00552722" w:rsidRDefault="00127720" w:rsidP="004E6CA2">
      <w:pPr>
        <w:widowControl/>
        <w:rPr>
          <w:szCs w:val="22"/>
        </w:rPr>
      </w:pPr>
    </w:p>
    <w:tbl>
      <w:tblPr>
        <w:tblW w:w="8363" w:type="dxa"/>
        <w:tblInd w:w="959" w:type="dxa"/>
        <w:tblLayout w:type="fixed"/>
        <w:tblLook w:val="0000" w:firstRow="0" w:lastRow="0" w:firstColumn="0" w:lastColumn="0" w:noHBand="0" w:noVBand="0"/>
      </w:tblPr>
      <w:tblGrid>
        <w:gridCol w:w="1843"/>
        <w:gridCol w:w="6520"/>
      </w:tblGrid>
      <w:tr w:rsidR="00127720" w:rsidRPr="00260CE3" w:rsidTr="00127720">
        <w:trPr>
          <w:cantSplit/>
          <w:trHeight w:val="360"/>
        </w:trPr>
        <w:tc>
          <w:tcPr>
            <w:tcW w:w="1843" w:type="dxa"/>
            <w:tcBorders>
              <w:top w:val="single" w:sz="4" w:space="0" w:color="auto"/>
              <w:left w:val="single" w:sz="4" w:space="0" w:color="auto"/>
              <w:bottom w:val="single" w:sz="4" w:space="0" w:color="auto"/>
              <w:right w:val="single" w:sz="4" w:space="0" w:color="auto"/>
            </w:tcBorders>
          </w:tcPr>
          <w:p w:rsidR="00127720" w:rsidRPr="00260CE3" w:rsidRDefault="00127720" w:rsidP="004E6CA2">
            <w:pPr>
              <w:widowControl/>
              <w:rPr>
                <w:rFonts w:ascii="Arial Narrow" w:hAnsi="Arial Narrow"/>
                <w:b/>
                <w:sz w:val="20"/>
                <w:szCs w:val="20"/>
              </w:rPr>
            </w:pPr>
            <w:r w:rsidRPr="00260CE3">
              <w:rPr>
                <w:rFonts w:ascii="Arial Narrow" w:hAnsi="Arial Narrow"/>
                <w:b/>
                <w:sz w:val="20"/>
                <w:szCs w:val="20"/>
              </w:rPr>
              <w:t xml:space="preserve">Category / </w:t>
            </w:r>
          </w:p>
          <w:p w:rsidR="00127720" w:rsidRPr="00260CE3" w:rsidRDefault="00127720" w:rsidP="004E6CA2">
            <w:pPr>
              <w:widowControl/>
              <w:rPr>
                <w:rFonts w:ascii="Arial Narrow" w:hAnsi="Arial Narrow"/>
                <w:b/>
                <w:sz w:val="20"/>
                <w:szCs w:val="20"/>
              </w:rPr>
            </w:pPr>
            <w:r w:rsidRPr="00260CE3">
              <w:rPr>
                <w:rFonts w:ascii="Arial Narrow" w:hAnsi="Arial Narrow"/>
                <w:b/>
                <w:sz w:val="20"/>
                <w:szCs w:val="20"/>
              </w:rPr>
              <w:t>Program</w:t>
            </w:r>
          </w:p>
        </w:tc>
        <w:tc>
          <w:tcPr>
            <w:tcW w:w="6520" w:type="dxa"/>
            <w:tcBorders>
              <w:top w:val="single" w:sz="4" w:space="0" w:color="auto"/>
              <w:left w:val="single" w:sz="4" w:space="0" w:color="auto"/>
              <w:bottom w:val="single" w:sz="4" w:space="0" w:color="auto"/>
              <w:right w:val="single" w:sz="4" w:space="0" w:color="auto"/>
            </w:tcBorders>
          </w:tcPr>
          <w:p w:rsidR="00127720" w:rsidRPr="00260CE3" w:rsidRDefault="00127720" w:rsidP="004E6CA2">
            <w:pPr>
              <w:widowControl/>
              <w:rPr>
                <w:rFonts w:ascii="Arial Narrow" w:hAnsi="Arial Narrow"/>
                <w:sz w:val="20"/>
                <w:szCs w:val="20"/>
              </w:rPr>
            </w:pPr>
            <w:r w:rsidRPr="00260CE3">
              <w:rPr>
                <w:rFonts w:ascii="Arial Narrow" w:hAnsi="Arial Narrow"/>
                <w:sz w:val="20"/>
                <w:szCs w:val="20"/>
              </w:rPr>
              <w:t>GENERAL – General Schedule (Code GE)</w:t>
            </w:r>
          </w:p>
        </w:tc>
      </w:tr>
      <w:tr w:rsidR="00127720" w:rsidRPr="00260CE3" w:rsidTr="00127720">
        <w:trPr>
          <w:cantSplit/>
          <w:trHeight w:val="360"/>
        </w:trPr>
        <w:tc>
          <w:tcPr>
            <w:tcW w:w="1843" w:type="dxa"/>
            <w:tcBorders>
              <w:top w:val="single" w:sz="4" w:space="0" w:color="auto"/>
              <w:left w:val="single" w:sz="4" w:space="0" w:color="auto"/>
              <w:bottom w:val="single" w:sz="4" w:space="0" w:color="auto"/>
              <w:right w:val="single" w:sz="4" w:space="0" w:color="auto"/>
            </w:tcBorders>
          </w:tcPr>
          <w:p w:rsidR="00127720" w:rsidRPr="00260CE3" w:rsidRDefault="00127720" w:rsidP="004E6CA2">
            <w:pPr>
              <w:widowControl/>
              <w:rPr>
                <w:rFonts w:ascii="Arial Narrow" w:hAnsi="Arial Narrow"/>
                <w:b/>
                <w:sz w:val="20"/>
                <w:szCs w:val="20"/>
              </w:rPr>
            </w:pPr>
            <w:r w:rsidRPr="00260CE3">
              <w:rPr>
                <w:rFonts w:ascii="Arial Narrow" w:hAnsi="Arial Narrow"/>
                <w:b/>
                <w:sz w:val="20"/>
                <w:szCs w:val="20"/>
              </w:rPr>
              <w:t>Prescriber type:</w:t>
            </w:r>
          </w:p>
        </w:tc>
        <w:tc>
          <w:tcPr>
            <w:tcW w:w="6520" w:type="dxa"/>
            <w:tcBorders>
              <w:top w:val="single" w:sz="4" w:space="0" w:color="auto"/>
              <w:left w:val="single" w:sz="4" w:space="0" w:color="auto"/>
              <w:bottom w:val="single" w:sz="4" w:space="0" w:color="auto"/>
              <w:right w:val="single" w:sz="4" w:space="0" w:color="auto"/>
            </w:tcBorders>
          </w:tcPr>
          <w:p w:rsidR="00127720" w:rsidRPr="00260CE3" w:rsidRDefault="00127720" w:rsidP="004E6CA2">
            <w:pPr>
              <w:widowControl/>
              <w:rPr>
                <w:rFonts w:ascii="Arial Narrow" w:hAnsi="Arial Narrow"/>
                <w:sz w:val="20"/>
                <w:szCs w:val="20"/>
              </w:rPr>
            </w:pPr>
            <w:r w:rsidRPr="00260CE3">
              <w:rPr>
                <w:rFonts w:ascii="Arial Narrow" w:hAnsi="Arial Narrow"/>
                <w:sz w:val="20"/>
                <w:szCs w:val="20"/>
              </w:rPr>
              <w:fldChar w:fldCharType="begin">
                <w:ffData>
                  <w:name w:val="Check1"/>
                  <w:enabled/>
                  <w:calcOnExit w:val="0"/>
                  <w:checkBox>
                    <w:sizeAuto/>
                    <w:default w:val="0"/>
                  </w:checkBox>
                </w:ffData>
              </w:fldChar>
            </w:r>
            <w:r w:rsidRPr="00260CE3">
              <w:rPr>
                <w:rFonts w:ascii="Arial Narrow" w:hAnsi="Arial Narrow"/>
                <w:sz w:val="20"/>
                <w:szCs w:val="20"/>
              </w:rPr>
              <w:instrText xml:space="preserve"> FORMCHECKBOX </w:instrText>
            </w:r>
            <w:r w:rsidR="00C075E1">
              <w:rPr>
                <w:rFonts w:ascii="Arial Narrow" w:hAnsi="Arial Narrow"/>
                <w:sz w:val="20"/>
                <w:szCs w:val="20"/>
              </w:rPr>
            </w:r>
            <w:r w:rsidR="00C075E1">
              <w:rPr>
                <w:rFonts w:ascii="Arial Narrow" w:hAnsi="Arial Narrow"/>
                <w:sz w:val="20"/>
                <w:szCs w:val="20"/>
              </w:rPr>
              <w:fldChar w:fldCharType="separate"/>
            </w:r>
            <w:r w:rsidRPr="00260CE3">
              <w:rPr>
                <w:rFonts w:ascii="Arial Narrow" w:hAnsi="Arial Narrow"/>
                <w:sz w:val="20"/>
                <w:szCs w:val="20"/>
              </w:rPr>
              <w:fldChar w:fldCharType="end"/>
            </w:r>
            <w:r w:rsidRPr="00260CE3">
              <w:rPr>
                <w:rFonts w:ascii="Arial Narrow" w:hAnsi="Arial Narrow"/>
                <w:sz w:val="20"/>
                <w:szCs w:val="20"/>
              </w:rPr>
              <w:t xml:space="preserve">Dental  </w:t>
            </w: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C075E1">
              <w:rPr>
                <w:rFonts w:ascii="Arial Narrow" w:hAnsi="Arial Narrow"/>
                <w:sz w:val="20"/>
                <w:szCs w:val="20"/>
              </w:rPr>
            </w:r>
            <w:r w:rsidR="00C075E1">
              <w:rPr>
                <w:rFonts w:ascii="Arial Narrow" w:hAnsi="Arial Narrow"/>
                <w:sz w:val="20"/>
                <w:szCs w:val="20"/>
              </w:rPr>
              <w:fldChar w:fldCharType="separate"/>
            </w:r>
            <w:r>
              <w:rPr>
                <w:rFonts w:ascii="Arial Narrow" w:hAnsi="Arial Narrow"/>
                <w:sz w:val="20"/>
                <w:szCs w:val="20"/>
              </w:rPr>
              <w:fldChar w:fldCharType="end"/>
            </w:r>
            <w:r w:rsidRPr="00260CE3">
              <w:rPr>
                <w:rFonts w:ascii="Arial Narrow" w:hAnsi="Arial Narrow"/>
                <w:sz w:val="20"/>
                <w:szCs w:val="20"/>
              </w:rPr>
              <w:t xml:space="preserve">Medical Practitioners  </w:t>
            </w:r>
            <w:r>
              <w:rPr>
                <w:rFonts w:ascii="Arial Narrow" w:hAnsi="Arial Narrow"/>
                <w:sz w:val="20"/>
                <w:szCs w:val="20"/>
              </w:rPr>
              <w:fldChar w:fldCharType="begin">
                <w:ffData>
                  <w:name w:val="Check3"/>
                  <w:enabled/>
                  <w:calcOnExit w:val="0"/>
                  <w:checkBox>
                    <w:sizeAuto/>
                    <w:default w:val="1"/>
                  </w:checkBox>
                </w:ffData>
              </w:fldChar>
            </w:r>
            <w:r>
              <w:rPr>
                <w:rFonts w:ascii="Arial Narrow" w:hAnsi="Arial Narrow"/>
                <w:sz w:val="20"/>
                <w:szCs w:val="20"/>
              </w:rPr>
              <w:instrText xml:space="preserve"> FORMCHECKBOX </w:instrText>
            </w:r>
            <w:r w:rsidR="00C075E1">
              <w:rPr>
                <w:rFonts w:ascii="Arial Narrow" w:hAnsi="Arial Narrow"/>
                <w:sz w:val="20"/>
                <w:szCs w:val="20"/>
              </w:rPr>
            </w:r>
            <w:r w:rsidR="00C075E1">
              <w:rPr>
                <w:rFonts w:ascii="Arial Narrow" w:hAnsi="Arial Narrow"/>
                <w:sz w:val="20"/>
                <w:szCs w:val="20"/>
              </w:rPr>
              <w:fldChar w:fldCharType="separate"/>
            </w:r>
            <w:r>
              <w:rPr>
                <w:rFonts w:ascii="Arial Narrow" w:hAnsi="Arial Narrow"/>
                <w:sz w:val="20"/>
                <w:szCs w:val="20"/>
              </w:rPr>
              <w:fldChar w:fldCharType="end"/>
            </w:r>
            <w:r w:rsidRPr="00260CE3">
              <w:rPr>
                <w:rFonts w:ascii="Arial Narrow" w:hAnsi="Arial Narrow"/>
                <w:sz w:val="20"/>
                <w:szCs w:val="20"/>
              </w:rPr>
              <w:t xml:space="preserve">Nurse practitioners  </w:t>
            </w:r>
            <w:r w:rsidRPr="00260CE3">
              <w:rPr>
                <w:rFonts w:ascii="Arial Narrow" w:hAnsi="Arial Narrow"/>
                <w:sz w:val="20"/>
                <w:szCs w:val="20"/>
              </w:rPr>
              <w:fldChar w:fldCharType="begin">
                <w:ffData>
                  <w:name w:val=""/>
                  <w:enabled/>
                  <w:calcOnExit w:val="0"/>
                  <w:checkBox>
                    <w:sizeAuto/>
                    <w:default w:val="0"/>
                  </w:checkBox>
                </w:ffData>
              </w:fldChar>
            </w:r>
            <w:r w:rsidRPr="00260CE3">
              <w:rPr>
                <w:rFonts w:ascii="Arial Narrow" w:hAnsi="Arial Narrow"/>
                <w:sz w:val="20"/>
                <w:szCs w:val="20"/>
              </w:rPr>
              <w:instrText xml:space="preserve"> FORMCHECKBOX </w:instrText>
            </w:r>
            <w:r w:rsidR="00C075E1">
              <w:rPr>
                <w:rFonts w:ascii="Arial Narrow" w:hAnsi="Arial Narrow"/>
                <w:sz w:val="20"/>
                <w:szCs w:val="20"/>
              </w:rPr>
            </w:r>
            <w:r w:rsidR="00C075E1">
              <w:rPr>
                <w:rFonts w:ascii="Arial Narrow" w:hAnsi="Arial Narrow"/>
                <w:sz w:val="20"/>
                <w:szCs w:val="20"/>
              </w:rPr>
              <w:fldChar w:fldCharType="separate"/>
            </w:r>
            <w:r w:rsidRPr="00260CE3">
              <w:rPr>
                <w:rFonts w:ascii="Arial Narrow" w:hAnsi="Arial Narrow"/>
                <w:sz w:val="20"/>
                <w:szCs w:val="20"/>
              </w:rPr>
              <w:fldChar w:fldCharType="end"/>
            </w:r>
            <w:r w:rsidRPr="00260CE3">
              <w:rPr>
                <w:rFonts w:ascii="Arial Narrow" w:hAnsi="Arial Narrow"/>
                <w:sz w:val="20"/>
                <w:szCs w:val="20"/>
              </w:rPr>
              <w:t>Optometrists</w:t>
            </w:r>
          </w:p>
          <w:p w:rsidR="00127720" w:rsidRPr="00260CE3" w:rsidRDefault="00127720" w:rsidP="004E6CA2">
            <w:pPr>
              <w:widowControl/>
              <w:rPr>
                <w:rFonts w:ascii="Arial Narrow" w:hAnsi="Arial Narrow"/>
                <w:sz w:val="20"/>
                <w:szCs w:val="20"/>
              </w:rPr>
            </w:pPr>
            <w:r w:rsidRPr="00260CE3">
              <w:rPr>
                <w:rFonts w:ascii="Arial Narrow" w:hAnsi="Arial Narrow"/>
                <w:sz w:val="20"/>
                <w:szCs w:val="20"/>
              </w:rPr>
              <w:fldChar w:fldCharType="begin">
                <w:ffData>
                  <w:name w:val="Check5"/>
                  <w:enabled/>
                  <w:calcOnExit w:val="0"/>
                  <w:checkBox>
                    <w:sizeAuto/>
                    <w:default w:val="0"/>
                  </w:checkBox>
                </w:ffData>
              </w:fldChar>
            </w:r>
            <w:r w:rsidRPr="00260CE3">
              <w:rPr>
                <w:rFonts w:ascii="Arial Narrow" w:hAnsi="Arial Narrow"/>
                <w:sz w:val="20"/>
                <w:szCs w:val="20"/>
              </w:rPr>
              <w:instrText xml:space="preserve"> FORMCHECKBOX </w:instrText>
            </w:r>
            <w:r w:rsidR="00C075E1">
              <w:rPr>
                <w:rFonts w:ascii="Arial Narrow" w:hAnsi="Arial Narrow"/>
                <w:sz w:val="20"/>
                <w:szCs w:val="20"/>
              </w:rPr>
            </w:r>
            <w:r w:rsidR="00C075E1">
              <w:rPr>
                <w:rFonts w:ascii="Arial Narrow" w:hAnsi="Arial Narrow"/>
                <w:sz w:val="20"/>
                <w:szCs w:val="20"/>
              </w:rPr>
              <w:fldChar w:fldCharType="separate"/>
            </w:r>
            <w:r w:rsidRPr="00260CE3">
              <w:rPr>
                <w:rFonts w:ascii="Arial Narrow" w:hAnsi="Arial Narrow"/>
                <w:sz w:val="20"/>
                <w:szCs w:val="20"/>
              </w:rPr>
              <w:fldChar w:fldCharType="end"/>
            </w:r>
            <w:r w:rsidRPr="00260CE3">
              <w:rPr>
                <w:rFonts w:ascii="Arial Narrow" w:hAnsi="Arial Narrow"/>
                <w:sz w:val="20"/>
                <w:szCs w:val="20"/>
              </w:rPr>
              <w:t>Midwives</w:t>
            </w:r>
          </w:p>
        </w:tc>
      </w:tr>
      <w:tr w:rsidR="00127720" w:rsidRPr="00260CE3" w:rsidTr="00127720">
        <w:trPr>
          <w:cantSplit/>
          <w:trHeight w:val="360"/>
        </w:trPr>
        <w:tc>
          <w:tcPr>
            <w:tcW w:w="1843" w:type="dxa"/>
            <w:tcBorders>
              <w:top w:val="single" w:sz="4" w:space="0" w:color="auto"/>
              <w:left w:val="single" w:sz="4" w:space="0" w:color="auto"/>
              <w:bottom w:val="single" w:sz="4" w:space="0" w:color="auto"/>
              <w:right w:val="single" w:sz="4" w:space="0" w:color="auto"/>
            </w:tcBorders>
          </w:tcPr>
          <w:p w:rsidR="00127720" w:rsidRPr="00260CE3" w:rsidRDefault="00127720" w:rsidP="004E6CA2">
            <w:pPr>
              <w:widowControl/>
              <w:rPr>
                <w:rFonts w:ascii="Arial Narrow" w:hAnsi="Arial Narrow"/>
                <w:b/>
                <w:sz w:val="20"/>
                <w:szCs w:val="20"/>
              </w:rPr>
            </w:pPr>
            <w:r w:rsidRPr="00260CE3">
              <w:rPr>
                <w:rFonts w:ascii="Arial Narrow" w:hAnsi="Arial Narrow"/>
                <w:b/>
                <w:sz w:val="20"/>
                <w:szCs w:val="20"/>
              </w:rPr>
              <w:t>Condition:</w:t>
            </w:r>
          </w:p>
        </w:tc>
        <w:tc>
          <w:tcPr>
            <w:tcW w:w="6520" w:type="dxa"/>
            <w:tcBorders>
              <w:top w:val="single" w:sz="4" w:space="0" w:color="auto"/>
              <w:left w:val="single" w:sz="4" w:space="0" w:color="auto"/>
              <w:bottom w:val="single" w:sz="4" w:space="0" w:color="auto"/>
              <w:right w:val="single" w:sz="4" w:space="0" w:color="auto"/>
            </w:tcBorders>
          </w:tcPr>
          <w:p w:rsidR="00127720" w:rsidRPr="00127720" w:rsidRDefault="00127720" w:rsidP="004E6CA2">
            <w:pPr>
              <w:widowControl/>
              <w:rPr>
                <w:rFonts w:ascii="Arial Narrow" w:hAnsi="Arial Narrow"/>
                <w:sz w:val="20"/>
                <w:szCs w:val="20"/>
              </w:rPr>
            </w:pPr>
            <w:r w:rsidRPr="00127720">
              <w:rPr>
                <w:rFonts w:ascii="Arial Narrow" w:hAnsi="Arial Narrow"/>
                <w:sz w:val="20"/>
                <w:szCs w:val="20"/>
              </w:rPr>
              <w:t>Diabetes mellitus type 2</w:t>
            </w:r>
          </w:p>
        </w:tc>
      </w:tr>
      <w:tr w:rsidR="00127720" w:rsidRPr="00260CE3" w:rsidTr="00127720">
        <w:trPr>
          <w:cantSplit/>
          <w:trHeight w:val="360"/>
        </w:trPr>
        <w:tc>
          <w:tcPr>
            <w:tcW w:w="1843" w:type="dxa"/>
            <w:tcBorders>
              <w:top w:val="single" w:sz="4" w:space="0" w:color="auto"/>
              <w:left w:val="single" w:sz="4" w:space="0" w:color="auto"/>
              <w:bottom w:val="single" w:sz="4" w:space="0" w:color="auto"/>
              <w:right w:val="single" w:sz="4" w:space="0" w:color="auto"/>
            </w:tcBorders>
          </w:tcPr>
          <w:p w:rsidR="00127720" w:rsidRPr="00260CE3" w:rsidRDefault="00127720" w:rsidP="004E6CA2">
            <w:pPr>
              <w:widowControl/>
              <w:rPr>
                <w:rFonts w:ascii="Arial Narrow" w:hAnsi="Arial Narrow"/>
                <w:b/>
                <w:sz w:val="20"/>
                <w:szCs w:val="20"/>
              </w:rPr>
            </w:pPr>
            <w:r w:rsidRPr="00260CE3">
              <w:rPr>
                <w:rFonts w:ascii="Arial Narrow" w:hAnsi="Arial Narrow"/>
                <w:b/>
                <w:sz w:val="20"/>
                <w:szCs w:val="20"/>
              </w:rPr>
              <w:t>PBS Indication:</w:t>
            </w:r>
          </w:p>
        </w:tc>
        <w:tc>
          <w:tcPr>
            <w:tcW w:w="6520" w:type="dxa"/>
            <w:tcBorders>
              <w:top w:val="single" w:sz="4" w:space="0" w:color="auto"/>
              <w:left w:val="single" w:sz="4" w:space="0" w:color="auto"/>
              <w:bottom w:val="single" w:sz="4" w:space="0" w:color="auto"/>
              <w:right w:val="single" w:sz="4" w:space="0" w:color="auto"/>
            </w:tcBorders>
          </w:tcPr>
          <w:p w:rsidR="00127720" w:rsidRPr="00127720" w:rsidRDefault="00127720" w:rsidP="004E6CA2">
            <w:pPr>
              <w:widowControl/>
              <w:rPr>
                <w:rFonts w:ascii="Arial Narrow" w:hAnsi="Arial Narrow"/>
                <w:sz w:val="20"/>
                <w:szCs w:val="20"/>
              </w:rPr>
            </w:pPr>
            <w:r w:rsidRPr="00127720">
              <w:rPr>
                <w:rFonts w:ascii="Arial Narrow" w:hAnsi="Arial Narrow"/>
                <w:sz w:val="20"/>
                <w:szCs w:val="20"/>
              </w:rPr>
              <w:t>Diabetes mellitus type 2</w:t>
            </w:r>
          </w:p>
        </w:tc>
      </w:tr>
      <w:tr w:rsidR="00127720" w:rsidRPr="00260CE3" w:rsidTr="00127720">
        <w:trPr>
          <w:cantSplit/>
          <w:trHeight w:val="360"/>
        </w:trPr>
        <w:tc>
          <w:tcPr>
            <w:tcW w:w="1843" w:type="dxa"/>
            <w:tcBorders>
              <w:top w:val="single" w:sz="4" w:space="0" w:color="auto"/>
              <w:left w:val="single" w:sz="4" w:space="0" w:color="auto"/>
              <w:bottom w:val="single" w:sz="4" w:space="0" w:color="auto"/>
              <w:right w:val="single" w:sz="4" w:space="0" w:color="auto"/>
            </w:tcBorders>
          </w:tcPr>
          <w:p w:rsidR="00127720" w:rsidRPr="004E7E1F" w:rsidRDefault="00127720" w:rsidP="004E6CA2">
            <w:pPr>
              <w:widowControl/>
              <w:jc w:val="left"/>
              <w:rPr>
                <w:rFonts w:ascii="Arial Narrow" w:hAnsi="Arial Narrow"/>
                <w:b/>
                <w:sz w:val="20"/>
                <w:szCs w:val="20"/>
              </w:rPr>
            </w:pPr>
            <w:r w:rsidRPr="00260CE3">
              <w:rPr>
                <w:rFonts w:ascii="Arial Narrow" w:hAnsi="Arial Narrow"/>
                <w:b/>
                <w:sz w:val="20"/>
                <w:szCs w:val="20"/>
              </w:rPr>
              <w:t>Restriction</w:t>
            </w:r>
            <w:r>
              <w:rPr>
                <w:rFonts w:ascii="Arial Narrow" w:hAnsi="Arial Narrow"/>
                <w:b/>
                <w:sz w:val="20"/>
                <w:szCs w:val="20"/>
              </w:rPr>
              <w:t xml:space="preserve"> Level / Method</w:t>
            </w:r>
            <w:r w:rsidRPr="00260CE3">
              <w:rPr>
                <w:rFonts w:ascii="Arial Narrow" w:hAnsi="Arial Narrow"/>
                <w:b/>
                <w:sz w:val="20"/>
                <w:szCs w:val="20"/>
              </w:rPr>
              <w:t>:</w:t>
            </w:r>
          </w:p>
        </w:tc>
        <w:tc>
          <w:tcPr>
            <w:tcW w:w="6520" w:type="dxa"/>
            <w:tcBorders>
              <w:top w:val="single" w:sz="4" w:space="0" w:color="auto"/>
              <w:left w:val="single" w:sz="4" w:space="0" w:color="auto"/>
              <w:bottom w:val="single" w:sz="4" w:space="0" w:color="auto"/>
              <w:right w:val="single" w:sz="4" w:space="0" w:color="auto"/>
            </w:tcBorders>
          </w:tcPr>
          <w:p w:rsidR="00127720" w:rsidRPr="00106BCF" w:rsidRDefault="00127720" w:rsidP="004E6CA2">
            <w:pPr>
              <w:widowControl/>
              <w:rPr>
                <w:rFonts w:ascii="Arial Narrow" w:hAnsi="Arial Narrow"/>
                <w:sz w:val="20"/>
                <w:szCs w:val="20"/>
              </w:rPr>
            </w:pPr>
            <w:r w:rsidRPr="00106BCF">
              <w:rPr>
                <w:rFonts w:ascii="Arial Narrow" w:hAnsi="Arial Narrow"/>
                <w:sz w:val="20"/>
                <w:szCs w:val="20"/>
              </w:rPr>
              <w:fldChar w:fldCharType="begin">
                <w:ffData>
                  <w:name w:val="Check1"/>
                  <w:enabled/>
                  <w:calcOnExit w:val="0"/>
                  <w:checkBox>
                    <w:sizeAuto/>
                    <w:default w:val="0"/>
                  </w:checkBox>
                </w:ffData>
              </w:fldChar>
            </w:r>
            <w:r w:rsidRPr="00106BCF">
              <w:rPr>
                <w:rFonts w:ascii="Arial Narrow" w:hAnsi="Arial Narrow"/>
                <w:sz w:val="20"/>
                <w:szCs w:val="20"/>
              </w:rPr>
              <w:instrText xml:space="preserve"> FORMCHECKBOX </w:instrText>
            </w:r>
            <w:r w:rsidR="00C075E1">
              <w:rPr>
                <w:rFonts w:ascii="Arial Narrow" w:hAnsi="Arial Narrow"/>
                <w:sz w:val="20"/>
                <w:szCs w:val="20"/>
              </w:rPr>
            </w:r>
            <w:r w:rsidR="00C075E1">
              <w:rPr>
                <w:rFonts w:ascii="Arial Narrow" w:hAnsi="Arial Narrow"/>
                <w:sz w:val="20"/>
                <w:szCs w:val="20"/>
              </w:rPr>
              <w:fldChar w:fldCharType="separate"/>
            </w:r>
            <w:r w:rsidRPr="00106BCF">
              <w:rPr>
                <w:rFonts w:ascii="Arial Narrow" w:hAnsi="Arial Narrow"/>
                <w:sz w:val="20"/>
                <w:szCs w:val="20"/>
              </w:rPr>
              <w:fldChar w:fldCharType="end"/>
            </w:r>
            <w:r w:rsidRPr="00106BCF">
              <w:rPr>
                <w:rFonts w:ascii="Arial Narrow" w:hAnsi="Arial Narrow"/>
                <w:sz w:val="20"/>
                <w:szCs w:val="20"/>
              </w:rPr>
              <w:t>Restricted benefit</w:t>
            </w:r>
          </w:p>
          <w:p w:rsidR="00127720" w:rsidRPr="00106BCF" w:rsidRDefault="00127720" w:rsidP="004E6CA2">
            <w:pPr>
              <w:widowControl/>
              <w:rPr>
                <w:rFonts w:ascii="Arial Narrow" w:hAnsi="Arial Narrow"/>
                <w:sz w:val="20"/>
                <w:szCs w:val="20"/>
              </w:rPr>
            </w:pPr>
            <w:r w:rsidRPr="00106BCF">
              <w:rPr>
                <w:rFonts w:ascii="Arial Narrow" w:hAnsi="Arial Narrow"/>
                <w:sz w:val="20"/>
                <w:szCs w:val="20"/>
              </w:rPr>
              <w:fldChar w:fldCharType="begin">
                <w:ffData>
                  <w:name w:val=""/>
                  <w:enabled/>
                  <w:calcOnExit w:val="0"/>
                  <w:checkBox>
                    <w:sizeAuto/>
                    <w:default w:val="0"/>
                  </w:checkBox>
                </w:ffData>
              </w:fldChar>
            </w:r>
            <w:r w:rsidRPr="00106BCF">
              <w:rPr>
                <w:rFonts w:ascii="Arial Narrow" w:hAnsi="Arial Narrow"/>
                <w:sz w:val="20"/>
                <w:szCs w:val="20"/>
              </w:rPr>
              <w:instrText xml:space="preserve"> FORMCHECKBOX </w:instrText>
            </w:r>
            <w:r w:rsidR="00C075E1">
              <w:rPr>
                <w:rFonts w:ascii="Arial Narrow" w:hAnsi="Arial Narrow"/>
                <w:sz w:val="20"/>
                <w:szCs w:val="20"/>
              </w:rPr>
            </w:r>
            <w:r w:rsidR="00C075E1">
              <w:rPr>
                <w:rFonts w:ascii="Arial Narrow" w:hAnsi="Arial Narrow"/>
                <w:sz w:val="20"/>
                <w:szCs w:val="20"/>
              </w:rPr>
              <w:fldChar w:fldCharType="separate"/>
            </w:r>
            <w:r w:rsidRPr="00106BCF">
              <w:rPr>
                <w:rFonts w:ascii="Arial Narrow" w:hAnsi="Arial Narrow"/>
                <w:sz w:val="20"/>
                <w:szCs w:val="20"/>
              </w:rPr>
              <w:fldChar w:fldCharType="end"/>
            </w:r>
            <w:r w:rsidRPr="00106BCF">
              <w:rPr>
                <w:rFonts w:ascii="Arial Narrow" w:hAnsi="Arial Narrow"/>
                <w:sz w:val="20"/>
                <w:szCs w:val="20"/>
              </w:rPr>
              <w:t>Authority Required - In Writing</w:t>
            </w:r>
          </w:p>
          <w:p w:rsidR="00127720" w:rsidRPr="00106BCF" w:rsidRDefault="00127720" w:rsidP="004E6CA2">
            <w:pPr>
              <w:widowControl/>
              <w:rPr>
                <w:rFonts w:ascii="Arial Narrow" w:hAnsi="Arial Narrow"/>
                <w:sz w:val="20"/>
                <w:szCs w:val="20"/>
              </w:rPr>
            </w:pPr>
            <w:r w:rsidRPr="00106BCF">
              <w:rPr>
                <w:rFonts w:ascii="Arial Narrow" w:hAnsi="Arial Narrow"/>
                <w:sz w:val="20"/>
                <w:szCs w:val="20"/>
              </w:rPr>
              <w:fldChar w:fldCharType="begin">
                <w:ffData>
                  <w:name w:val="Check3"/>
                  <w:enabled/>
                  <w:calcOnExit w:val="0"/>
                  <w:checkBox>
                    <w:sizeAuto/>
                    <w:default w:val="0"/>
                  </w:checkBox>
                </w:ffData>
              </w:fldChar>
            </w:r>
            <w:r w:rsidRPr="00106BCF">
              <w:rPr>
                <w:rFonts w:ascii="Arial Narrow" w:hAnsi="Arial Narrow"/>
                <w:sz w:val="20"/>
                <w:szCs w:val="20"/>
              </w:rPr>
              <w:instrText xml:space="preserve"> FORMCHECKBOX </w:instrText>
            </w:r>
            <w:r w:rsidR="00C075E1">
              <w:rPr>
                <w:rFonts w:ascii="Arial Narrow" w:hAnsi="Arial Narrow"/>
                <w:sz w:val="20"/>
                <w:szCs w:val="20"/>
              </w:rPr>
            </w:r>
            <w:r w:rsidR="00C075E1">
              <w:rPr>
                <w:rFonts w:ascii="Arial Narrow" w:hAnsi="Arial Narrow"/>
                <w:sz w:val="20"/>
                <w:szCs w:val="20"/>
              </w:rPr>
              <w:fldChar w:fldCharType="separate"/>
            </w:r>
            <w:r w:rsidRPr="00106BCF">
              <w:rPr>
                <w:rFonts w:ascii="Arial Narrow" w:hAnsi="Arial Narrow"/>
                <w:sz w:val="20"/>
                <w:szCs w:val="20"/>
              </w:rPr>
              <w:fldChar w:fldCharType="end"/>
            </w:r>
            <w:r w:rsidRPr="00106BCF">
              <w:rPr>
                <w:rFonts w:ascii="Arial Narrow" w:hAnsi="Arial Narrow"/>
                <w:sz w:val="20"/>
                <w:szCs w:val="20"/>
              </w:rPr>
              <w:t>Authority Required - Telephone</w:t>
            </w:r>
          </w:p>
          <w:p w:rsidR="00127720" w:rsidRPr="00106BCF" w:rsidRDefault="00127720" w:rsidP="004E6CA2">
            <w:pPr>
              <w:widowControl/>
              <w:rPr>
                <w:rFonts w:ascii="Arial Narrow" w:hAnsi="Arial Narrow"/>
                <w:sz w:val="20"/>
                <w:szCs w:val="20"/>
              </w:rPr>
            </w:pPr>
            <w:r w:rsidRPr="00106BCF">
              <w:rPr>
                <w:rFonts w:ascii="Arial Narrow" w:hAnsi="Arial Narrow"/>
                <w:sz w:val="20"/>
                <w:szCs w:val="20"/>
              </w:rPr>
              <w:fldChar w:fldCharType="begin">
                <w:ffData>
                  <w:name w:val=""/>
                  <w:enabled/>
                  <w:calcOnExit w:val="0"/>
                  <w:checkBox>
                    <w:sizeAuto/>
                    <w:default w:val="0"/>
                  </w:checkBox>
                </w:ffData>
              </w:fldChar>
            </w:r>
            <w:r w:rsidRPr="00106BCF">
              <w:rPr>
                <w:rFonts w:ascii="Arial Narrow" w:hAnsi="Arial Narrow"/>
                <w:sz w:val="20"/>
                <w:szCs w:val="20"/>
              </w:rPr>
              <w:instrText xml:space="preserve"> FORMCHECKBOX </w:instrText>
            </w:r>
            <w:r w:rsidR="00C075E1">
              <w:rPr>
                <w:rFonts w:ascii="Arial Narrow" w:hAnsi="Arial Narrow"/>
                <w:sz w:val="20"/>
                <w:szCs w:val="20"/>
              </w:rPr>
            </w:r>
            <w:r w:rsidR="00C075E1">
              <w:rPr>
                <w:rFonts w:ascii="Arial Narrow" w:hAnsi="Arial Narrow"/>
                <w:sz w:val="20"/>
                <w:szCs w:val="20"/>
              </w:rPr>
              <w:fldChar w:fldCharType="separate"/>
            </w:r>
            <w:r w:rsidRPr="00106BCF">
              <w:rPr>
                <w:rFonts w:ascii="Arial Narrow" w:hAnsi="Arial Narrow"/>
                <w:sz w:val="20"/>
                <w:szCs w:val="20"/>
              </w:rPr>
              <w:fldChar w:fldCharType="end"/>
            </w:r>
            <w:r w:rsidRPr="00106BCF">
              <w:rPr>
                <w:rFonts w:ascii="Arial Narrow" w:hAnsi="Arial Narrow"/>
                <w:sz w:val="20"/>
                <w:szCs w:val="20"/>
              </w:rPr>
              <w:t>Authority Required – Emergency</w:t>
            </w:r>
          </w:p>
          <w:p w:rsidR="00127720" w:rsidRPr="00106BCF" w:rsidRDefault="00127720" w:rsidP="004E6CA2">
            <w:pPr>
              <w:widowControl/>
              <w:rPr>
                <w:rFonts w:ascii="Arial Narrow" w:hAnsi="Arial Narrow"/>
                <w:sz w:val="20"/>
                <w:szCs w:val="20"/>
              </w:rPr>
            </w:pPr>
            <w:r w:rsidRPr="00106BCF">
              <w:rPr>
                <w:rFonts w:ascii="Arial Narrow" w:hAnsi="Arial Narrow"/>
                <w:sz w:val="20"/>
                <w:szCs w:val="20"/>
              </w:rPr>
              <w:fldChar w:fldCharType="begin">
                <w:ffData>
                  <w:name w:val="Check5"/>
                  <w:enabled/>
                  <w:calcOnExit w:val="0"/>
                  <w:checkBox>
                    <w:sizeAuto/>
                    <w:default w:val="0"/>
                  </w:checkBox>
                </w:ffData>
              </w:fldChar>
            </w:r>
            <w:r w:rsidRPr="00106BCF">
              <w:rPr>
                <w:rFonts w:ascii="Arial Narrow" w:hAnsi="Arial Narrow"/>
                <w:sz w:val="20"/>
                <w:szCs w:val="20"/>
              </w:rPr>
              <w:instrText xml:space="preserve"> FORMCHECKBOX </w:instrText>
            </w:r>
            <w:r w:rsidR="00C075E1">
              <w:rPr>
                <w:rFonts w:ascii="Arial Narrow" w:hAnsi="Arial Narrow"/>
                <w:sz w:val="20"/>
                <w:szCs w:val="20"/>
              </w:rPr>
            </w:r>
            <w:r w:rsidR="00C075E1">
              <w:rPr>
                <w:rFonts w:ascii="Arial Narrow" w:hAnsi="Arial Narrow"/>
                <w:sz w:val="20"/>
                <w:szCs w:val="20"/>
              </w:rPr>
              <w:fldChar w:fldCharType="separate"/>
            </w:r>
            <w:r w:rsidRPr="00106BCF">
              <w:rPr>
                <w:rFonts w:ascii="Arial Narrow" w:hAnsi="Arial Narrow"/>
                <w:sz w:val="20"/>
                <w:szCs w:val="20"/>
              </w:rPr>
              <w:fldChar w:fldCharType="end"/>
            </w:r>
            <w:r w:rsidRPr="00106BCF">
              <w:rPr>
                <w:rFonts w:ascii="Arial Narrow" w:hAnsi="Arial Narrow"/>
                <w:sz w:val="20"/>
                <w:szCs w:val="20"/>
              </w:rPr>
              <w:t>Authority Required - Electronic</w:t>
            </w:r>
          </w:p>
          <w:p w:rsidR="00127720" w:rsidRPr="00260CE3" w:rsidRDefault="00127720" w:rsidP="004E6CA2">
            <w:pPr>
              <w:widowControl/>
              <w:rPr>
                <w:rFonts w:ascii="Arial Narrow" w:hAnsi="Arial Narrow"/>
                <w:sz w:val="20"/>
                <w:szCs w:val="20"/>
              </w:rPr>
            </w:pPr>
            <w:r>
              <w:rPr>
                <w:rFonts w:ascii="Arial Narrow" w:hAnsi="Arial Narrow"/>
                <w:sz w:val="20"/>
                <w:szCs w:val="20"/>
              </w:rPr>
              <w:fldChar w:fldCharType="begin">
                <w:ffData>
                  <w:name w:val="Check5"/>
                  <w:enabled/>
                  <w:calcOnExit w:val="0"/>
                  <w:checkBox>
                    <w:sizeAuto/>
                    <w:default w:val="1"/>
                  </w:checkBox>
                </w:ffData>
              </w:fldChar>
            </w:r>
            <w:r>
              <w:rPr>
                <w:rFonts w:ascii="Arial Narrow" w:hAnsi="Arial Narrow"/>
                <w:sz w:val="20"/>
                <w:szCs w:val="20"/>
              </w:rPr>
              <w:instrText xml:space="preserve"> FORMCHECKBOX </w:instrText>
            </w:r>
            <w:r w:rsidR="00C075E1">
              <w:rPr>
                <w:rFonts w:ascii="Arial Narrow" w:hAnsi="Arial Narrow"/>
                <w:sz w:val="20"/>
                <w:szCs w:val="20"/>
              </w:rPr>
            </w:r>
            <w:r w:rsidR="00C075E1">
              <w:rPr>
                <w:rFonts w:ascii="Arial Narrow" w:hAnsi="Arial Narrow"/>
                <w:sz w:val="20"/>
                <w:szCs w:val="20"/>
              </w:rPr>
              <w:fldChar w:fldCharType="separate"/>
            </w:r>
            <w:r>
              <w:rPr>
                <w:rFonts w:ascii="Arial Narrow" w:hAnsi="Arial Narrow"/>
                <w:sz w:val="20"/>
                <w:szCs w:val="20"/>
              </w:rPr>
              <w:fldChar w:fldCharType="end"/>
            </w:r>
            <w:r w:rsidRPr="00106BCF">
              <w:rPr>
                <w:rFonts w:ascii="Arial Narrow" w:hAnsi="Arial Narrow"/>
                <w:sz w:val="20"/>
                <w:szCs w:val="20"/>
              </w:rPr>
              <w:t>Streamlined</w:t>
            </w:r>
          </w:p>
        </w:tc>
      </w:tr>
      <w:tr w:rsidR="00127720" w:rsidRPr="00260CE3" w:rsidTr="00127720">
        <w:trPr>
          <w:cantSplit/>
          <w:trHeight w:val="360"/>
        </w:trPr>
        <w:tc>
          <w:tcPr>
            <w:tcW w:w="1843" w:type="dxa"/>
            <w:tcBorders>
              <w:top w:val="single" w:sz="4" w:space="0" w:color="auto"/>
              <w:left w:val="single" w:sz="4" w:space="0" w:color="auto"/>
              <w:bottom w:val="single" w:sz="4" w:space="0" w:color="auto"/>
              <w:right w:val="single" w:sz="4" w:space="0" w:color="auto"/>
            </w:tcBorders>
          </w:tcPr>
          <w:p w:rsidR="00127720" w:rsidRPr="004E7E1F" w:rsidRDefault="00127720" w:rsidP="004E6CA2">
            <w:pPr>
              <w:widowControl/>
              <w:rPr>
                <w:rFonts w:ascii="Arial Narrow" w:hAnsi="Arial Narrow"/>
                <w:b/>
                <w:sz w:val="20"/>
                <w:szCs w:val="20"/>
              </w:rPr>
            </w:pPr>
            <w:r w:rsidRPr="00260CE3">
              <w:rPr>
                <w:rFonts w:ascii="Arial Narrow" w:hAnsi="Arial Narrow"/>
                <w:b/>
                <w:sz w:val="20"/>
                <w:szCs w:val="20"/>
              </w:rPr>
              <w:t>Clinical criteria:</w:t>
            </w:r>
          </w:p>
        </w:tc>
        <w:tc>
          <w:tcPr>
            <w:tcW w:w="6520" w:type="dxa"/>
            <w:tcBorders>
              <w:top w:val="single" w:sz="4" w:space="0" w:color="auto"/>
              <w:left w:val="single" w:sz="4" w:space="0" w:color="auto"/>
              <w:bottom w:val="single" w:sz="4" w:space="0" w:color="auto"/>
              <w:right w:val="single" w:sz="4" w:space="0" w:color="auto"/>
            </w:tcBorders>
          </w:tcPr>
          <w:p w:rsidR="00127720" w:rsidRDefault="00127720" w:rsidP="004E6CA2">
            <w:pPr>
              <w:widowControl/>
              <w:rPr>
                <w:rFonts w:ascii="Arial Narrow" w:hAnsi="Arial Narrow"/>
                <w:sz w:val="20"/>
                <w:szCs w:val="20"/>
              </w:rPr>
            </w:pPr>
            <w:r w:rsidRPr="007358CA">
              <w:rPr>
                <w:rFonts w:ascii="Arial Narrow" w:hAnsi="Arial Narrow"/>
                <w:sz w:val="20"/>
                <w:szCs w:val="20"/>
              </w:rPr>
              <w:t>The treatment must b</w:t>
            </w:r>
            <w:r>
              <w:rPr>
                <w:rFonts w:ascii="Arial Narrow" w:hAnsi="Arial Narrow"/>
                <w:sz w:val="20"/>
                <w:szCs w:val="20"/>
              </w:rPr>
              <w:t>e in combination with metformin,</w:t>
            </w:r>
          </w:p>
          <w:p w:rsidR="00127720" w:rsidRDefault="00127720" w:rsidP="004E6CA2">
            <w:pPr>
              <w:widowControl/>
              <w:rPr>
                <w:rFonts w:ascii="Arial Narrow" w:hAnsi="Arial Narrow"/>
                <w:sz w:val="20"/>
                <w:szCs w:val="20"/>
              </w:rPr>
            </w:pPr>
          </w:p>
          <w:p w:rsidR="00127720" w:rsidRPr="007358CA" w:rsidRDefault="00127720" w:rsidP="004E6CA2">
            <w:pPr>
              <w:widowControl/>
              <w:rPr>
                <w:rFonts w:ascii="Arial Narrow" w:hAnsi="Arial Narrow"/>
                <w:sz w:val="20"/>
                <w:szCs w:val="20"/>
              </w:rPr>
            </w:pPr>
            <w:r>
              <w:rPr>
                <w:rFonts w:ascii="Arial Narrow" w:hAnsi="Arial Narrow"/>
                <w:sz w:val="20"/>
                <w:szCs w:val="20"/>
              </w:rPr>
              <w:t>AND</w:t>
            </w:r>
          </w:p>
          <w:p w:rsidR="00127720" w:rsidRPr="007358CA" w:rsidRDefault="00127720" w:rsidP="004E6CA2">
            <w:pPr>
              <w:widowControl/>
              <w:rPr>
                <w:rFonts w:ascii="Arial Narrow" w:hAnsi="Arial Narrow"/>
                <w:sz w:val="20"/>
                <w:szCs w:val="20"/>
              </w:rPr>
            </w:pPr>
          </w:p>
          <w:p w:rsidR="00127720" w:rsidRPr="007358CA" w:rsidRDefault="00127720" w:rsidP="004E6CA2">
            <w:pPr>
              <w:widowControl/>
              <w:rPr>
                <w:rFonts w:ascii="Arial Narrow" w:hAnsi="Arial Narrow"/>
                <w:sz w:val="20"/>
                <w:szCs w:val="20"/>
              </w:rPr>
            </w:pPr>
            <w:r w:rsidRPr="007358CA">
              <w:rPr>
                <w:rFonts w:ascii="Arial Narrow" w:hAnsi="Arial Narrow"/>
                <w:sz w:val="20"/>
                <w:szCs w:val="20"/>
              </w:rPr>
              <w:t>The treatment must be in combination with a sulfonylurea,</w:t>
            </w:r>
          </w:p>
          <w:p w:rsidR="00127720" w:rsidRPr="007358CA" w:rsidRDefault="00127720" w:rsidP="004E6CA2">
            <w:pPr>
              <w:widowControl/>
              <w:rPr>
                <w:rFonts w:ascii="Arial Narrow" w:hAnsi="Arial Narrow"/>
                <w:sz w:val="20"/>
                <w:szCs w:val="20"/>
              </w:rPr>
            </w:pPr>
          </w:p>
          <w:p w:rsidR="00127720" w:rsidRPr="007358CA" w:rsidRDefault="00127720" w:rsidP="004E6CA2">
            <w:pPr>
              <w:widowControl/>
              <w:rPr>
                <w:rFonts w:ascii="Arial Narrow" w:hAnsi="Arial Narrow"/>
                <w:sz w:val="20"/>
                <w:szCs w:val="20"/>
              </w:rPr>
            </w:pPr>
            <w:r w:rsidRPr="007358CA">
              <w:rPr>
                <w:rFonts w:ascii="Arial Narrow" w:hAnsi="Arial Narrow"/>
                <w:sz w:val="20"/>
                <w:szCs w:val="20"/>
              </w:rPr>
              <w:t>AND</w:t>
            </w:r>
          </w:p>
          <w:p w:rsidR="00127720" w:rsidRPr="007358CA" w:rsidRDefault="00127720" w:rsidP="004E6CA2">
            <w:pPr>
              <w:widowControl/>
              <w:rPr>
                <w:rFonts w:ascii="Arial Narrow" w:hAnsi="Arial Narrow"/>
                <w:sz w:val="20"/>
                <w:szCs w:val="20"/>
              </w:rPr>
            </w:pPr>
          </w:p>
          <w:p w:rsidR="00127720" w:rsidRPr="007358CA" w:rsidRDefault="00127720" w:rsidP="004E6CA2">
            <w:pPr>
              <w:widowControl/>
              <w:rPr>
                <w:rFonts w:ascii="Arial Narrow" w:hAnsi="Arial Narrow"/>
                <w:sz w:val="20"/>
                <w:szCs w:val="20"/>
              </w:rPr>
            </w:pPr>
            <w:r w:rsidRPr="007358CA">
              <w:rPr>
                <w:rFonts w:ascii="Arial Narrow" w:hAnsi="Arial Narrow"/>
                <w:sz w:val="20"/>
                <w:szCs w:val="20"/>
              </w:rPr>
              <w:t xml:space="preserve">Patient must have, or have had, a HbA1c measurement greater than 7% prior to the initiation of a dipeptidyl peptidase 4 inhibitor (gliptin), a </w:t>
            </w:r>
            <w:r w:rsidR="00B775AF">
              <w:rPr>
                <w:rFonts w:ascii="Arial Narrow" w:hAnsi="Arial Narrow"/>
                <w:sz w:val="20"/>
                <w:szCs w:val="20"/>
              </w:rPr>
              <w:t xml:space="preserve">thiazolidinedione (glitazone), </w:t>
            </w:r>
            <w:r w:rsidRPr="007358CA">
              <w:rPr>
                <w:rFonts w:ascii="Arial Narrow" w:hAnsi="Arial Narrow"/>
                <w:sz w:val="20"/>
                <w:szCs w:val="20"/>
              </w:rPr>
              <w:t>a glucagon-like-peptide-1 or a sodium-glucose co- transporter 2 (SGLT2) inhibitor despite treatment wi</w:t>
            </w:r>
            <w:r w:rsidR="00B775AF">
              <w:rPr>
                <w:rFonts w:ascii="Arial Narrow" w:hAnsi="Arial Narrow"/>
                <w:sz w:val="20"/>
                <w:szCs w:val="20"/>
              </w:rPr>
              <w:t>th maximally tolerated doses of</w:t>
            </w:r>
            <w:r w:rsidRPr="007358CA">
              <w:rPr>
                <w:rFonts w:ascii="Arial Narrow" w:hAnsi="Arial Narrow"/>
                <w:sz w:val="20"/>
                <w:szCs w:val="20"/>
              </w:rPr>
              <w:t xml:space="preserve"> m</w:t>
            </w:r>
            <w:r>
              <w:rPr>
                <w:rFonts w:ascii="Arial Narrow" w:hAnsi="Arial Narrow"/>
                <w:sz w:val="20"/>
                <w:szCs w:val="20"/>
              </w:rPr>
              <w:t>etformin and a sulfonylurea; OR</w:t>
            </w:r>
          </w:p>
          <w:p w:rsidR="00127720" w:rsidRPr="00260CE3" w:rsidRDefault="00127720" w:rsidP="004E6CA2">
            <w:pPr>
              <w:widowControl/>
              <w:rPr>
                <w:rFonts w:ascii="Arial Narrow" w:hAnsi="Arial Narrow"/>
                <w:sz w:val="20"/>
                <w:szCs w:val="20"/>
              </w:rPr>
            </w:pPr>
            <w:r w:rsidRPr="007358CA">
              <w:rPr>
                <w:rFonts w:ascii="Arial Narrow" w:hAnsi="Arial Narrow"/>
                <w:sz w:val="20"/>
                <w:szCs w:val="20"/>
              </w:rPr>
              <w:t>Patient must have, or have had, where HbA1c measurement is clinically inappropriate, blood glucose levels greater than 10 mmol per L in more than 20% of tests over a 2 week period prior to initiatio</w:t>
            </w:r>
            <w:r w:rsidR="00B775AF">
              <w:rPr>
                <w:rFonts w:ascii="Arial Narrow" w:hAnsi="Arial Narrow"/>
                <w:sz w:val="20"/>
                <w:szCs w:val="20"/>
              </w:rPr>
              <w:t xml:space="preserve">n with a gliptin, a glitazone, </w:t>
            </w:r>
            <w:r w:rsidRPr="007358CA">
              <w:rPr>
                <w:rFonts w:ascii="Arial Narrow" w:hAnsi="Arial Narrow"/>
                <w:sz w:val="20"/>
                <w:szCs w:val="20"/>
              </w:rPr>
              <w:t>a glucagon-like peptide-1 or an SGLT2 inhibitor despite treatment with maximally tolerated doses of metformin and a sulfonylurea.</w:t>
            </w:r>
          </w:p>
        </w:tc>
      </w:tr>
      <w:tr w:rsidR="00127720" w:rsidRPr="00260CE3" w:rsidTr="00127720">
        <w:trPr>
          <w:cantSplit/>
          <w:trHeight w:val="360"/>
        </w:trPr>
        <w:tc>
          <w:tcPr>
            <w:tcW w:w="1843" w:type="dxa"/>
            <w:tcBorders>
              <w:top w:val="single" w:sz="4" w:space="0" w:color="auto"/>
              <w:left w:val="single" w:sz="4" w:space="0" w:color="auto"/>
              <w:bottom w:val="single" w:sz="4" w:space="0" w:color="auto"/>
              <w:right w:val="single" w:sz="4" w:space="0" w:color="auto"/>
            </w:tcBorders>
          </w:tcPr>
          <w:p w:rsidR="00127720" w:rsidRPr="00260CE3" w:rsidRDefault="00127720" w:rsidP="00844ACE">
            <w:pPr>
              <w:widowControl/>
              <w:rPr>
                <w:rFonts w:ascii="Arial Narrow" w:hAnsi="Arial Narrow"/>
                <w:sz w:val="20"/>
                <w:szCs w:val="20"/>
              </w:rPr>
            </w:pPr>
            <w:r w:rsidRPr="00260CE3">
              <w:rPr>
                <w:rFonts w:ascii="Arial Narrow" w:hAnsi="Arial Narrow"/>
                <w:b/>
                <w:sz w:val="20"/>
                <w:szCs w:val="20"/>
              </w:rPr>
              <w:t>Prescriber Instructions</w:t>
            </w:r>
            <w:r w:rsidR="00844ACE">
              <w:rPr>
                <w:rFonts w:ascii="Arial Narrow" w:hAnsi="Arial Narrow"/>
                <w:b/>
                <w:sz w:val="20"/>
                <w:szCs w:val="20"/>
              </w:rPr>
              <w:t>:</w:t>
            </w:r>
          </w:p>
        </w:tc>
        <w:tc>
          <w:tcPr>
            <w:tcW w:w="6520" w:type="dxa"/>
            <w:tcBorders>
              <w:top w:val="single" w:sz="4" w:space="0" w:color="auto"/>
              <w:left w:val="single" w:sz="4" w:space="0" w:color="auto"/>
              <w:bottom w:val="single" w:sz="4" w:space="0" w:color="auto"/>
              <w:right w:val="single" w:sz="4" w:space="0" w:color="auto"/>
            </w:tcBorders>
          </w:tcPr>
          <w:p w:rsidR="00127720" w:rsidRPr="004E7E1F" w:rsidRDefault="00127720" w:rsidP="004E6CA2">
            <w:pPr>
              <w:widowControl/>
              <w:rPr>
                <w:rFonts w:ascii="Arial Narrow" w:hAnsi="Arial Narrow"/>
                <w:sz w:val="20"/>
                <w:szCs w:val="20"/>
              </w:rPr>
            </w:pPr>
            <w:r w:rsidRPr="004E7E1F">
              <w:rPr>
                <w:rFonts w:ascii="Arial Narrow" w:hAnsi="Arial Narrow"/>
                <w:sz w:val="20"/>
                <w:szCs w:val="20"/>
              </w:rPr>
              <w:t>The date and level of the qualifying HbA1c measurement must be</w:t>
            </w:r>
            <w:r>
              <w:rPr>
                <w:rFonts w:ascii="Arial Narrow" w:hAnsi="Arial Narrow"/>
                <w:sz w:val="20"/>
                <w:szCs w:val="20"/>
              </w:rPr>
              <w:t>,</w:t>
            </w:r>
            <w:r w:rsidRPr="004E7E1F">
              <w:rPr>
                <w:rFonts w:ascii="Arial Narrow" w:hAnsi="Arial Narrow"/>
                <w:sz w:val="20"/>
                <w:szCs w:val="20"/>
              </w:rPr>
              <w:t xml:space="preserve"> or must have been</w:t>
            </w:r>
            <w:r>
              <w:rPr>
                <w:rFonts w:ascii="Arial Narrow" w:hAnsi="Arial Narrow"/>
                <w:sz w:val="20"/>
                <w:szCs w:val="20"/>
              </w:rPr>
              <w:t>,</w:t>
            </w:r>
            <w:r w:rsidRPr="004E7E1F">
              <w:rPr>
                <w:rFonts w:ascii="Arial Narrow" w:hAnsi="Arial Narrow"/>
                <w:sz w:val="20"/>
                <w:szCs w:val="20"/>
              </w:rPr>
              <w:t xml:space="preserve"> documented in the patient’s medical records at the time treatment with a gliptin, a glitazone, a glucagon-like peptide-1 or an SGLT2 inhibitor is initiated. </w:t>
            </w:r>
          </w:p>
          <w:p w:rsidR="00127720" w:rsidRPr="004E7E1F" w:rsidRDefault="00127720" w:rsidP="004E6CA2">
            <w:pPr>
              <w:widowControl/>
              <w:rPr>
                <w:rFonts w:ascii="Arial Narrow" w:hAnsi="Arial Narrow"/>
                <w:sz w:val="20"/>
                <w:szCs w:val="20"/>
              </w:rPr>
            </w:pPr>
          </w:p>
          <w:p w:rsidR="00127720" w:rsidRPr="004E7E1F" w:rsidRDefault="00127720" w:rsidP="004E6CA2">
            <w:pPr>
              <w:widowControl/>
              <w:rPr>
                <w:rFonts w:ascii="Arial Narrow" w:hAnsi="Arial Narrow"/>
                <w:sz w:val="20"/>
                <w:szCs w:val="20"/>
              </w:rPr>
            </w:pPr>
            <w:r w:rsidRPr="004E7E1F">
              <w:rPr>
                <w:rFonts w:ascii="Arial Narrow" w:hAnsi="Arial Narrow"/>
                <w:sz w:val="20"/>
                <w:szCs w:val="20"/>
              </w:rPr>
              <w:t>The HbA1c must be no more than 4 months old at the time treatment with a gliptin, a glitazone, a glucagon-like peptide-1 or an SGLT2 inhibitor was initiated.</w:t>
            </w:r>
          </w:p>
          <w:p w:rsidR="00127720" w:rsidRPr="004E7E1F" w:rsidRDefault="00127720" w:rsidP="004E6CA2">
            <w:pPr>
              <w:widowControl/>
              <w:rPr>
                <w:rFonts w:ascii="Arial Narrow" w:hAnsi="Arial Narrow"/>
                <w:sz w:val="20"/>
                <w:szCs w:val="20"/>
              </w:rPr>
            </w:pPr>
          </w:p>
          <w:p w:rsidR="00127720" w:rsidRPr="004E7E1F" w:rsidRDefault="00127720" w:rsidP="004E6CA2">
            <w:pPr>
              <w:widowControl/>
              <w:rPr>
                <w:rFonts w:ascii="Arial Narrow" w:hAnsi="Arial Narrow"/>
                <w:sz w:val="20"/>
                <w:szCs w:val="20"/>
              </w:rPr>
            </w:pPr>
            <w:r w:rsidRPr="004E7E1F">
              <w:rPr>
                <w:rFonts w:ascii="Arial Narrow" w:hAnsi="Arial Narrow"/>
                <w:sz w:val="20"/>
                <w:szCs w:val="20"/>
              </w:rPr>
              <w:t>Blood glucose monitoring may be used as an alternative assessment to HbA1c levels in the following circumstances:</w:t>
            </w:r>
          </w:p>
          <w:p w:rsidR="00127720" w:rsidRPr="004E7E1F" w:rsidRDefault="00127720" w:rsidP="004E6CA2">
            <w:pPr>
              <w:widowControl/>
              <w:numPr>
                <w:ilvl w:val="0"/>
                <w:numId w:val="42"/>
              </w:numPr>
              <w:ind w:left="318" w:hanging="284"/>
              <w:jc w:val="left"/>
              <w:rPr>
                <w:rFonts w:ascii="Arial Narrow" w:hAnsi="Arial Narrow"/>
                <w:sz w:val="20"/>
                <w:szCs w:val="20"/>
              </w:rPr>
            </w:pPr>
            <w:r w:rsidRPr="004E7E1F">
              <w:rPr>
                <w:rFonts w:ascii="Arial Narrow" w:hAnsi="Arial Narrow"/>
                <w:sz w:val="20"/>
                <w:szCs w:val="20"/>
              </w:rPr>
              <w:t>A clinical condition with r</w:t>
            </w:r>
            <w:r>
              <w:rPr>
                <w:rFonts w:ascii="Arial Narrow" w:hAnsi="Arial Narrow"/>
                <w:sz w:val="20"/>
                <w:szCs w:val="20"/>
              </w:rPr>
              <w:t>educed red blood cell survival,</w:t>
            </w:r>
            <w:r w:rsidR="00B775AF">
              <w:rPr>
                <w:rFonts w:ascii="Arial Narrow" w:hAnsi="Arial Narrow"/>
                <w:sz w:val="20"/>
                <w:szCs w:val="20"/>
              </w:rPr>
              <w:t xml:space="preserve"> </w:t>
            </w:r>
            <w:r w:rsidRPr="004E7E1F">
              <w:rPr>
                <w:rFonts w:ascii="Arial Narrow" w:hAnsi="Arial Narrow"/>
                <w:sz w:val="20"/>
                <w:szCs w:val="20"/>
              </w:rPr>
              <w:t>including haemolytic anaemias and haemoglobinopathies; and/or</w:t>
            </w:r>
          </w:p>
          <w:p w:rsidR="00127720" w:rsidRPr="004E7E1F" w:rsidRDefault="00127720" w:rsidP="004E6CA2">
            <w:pPr>
              <w:widowControl/>
              <w:numPr>
                <w:ilvl w:val="0"/>
                <w:numId w:val="42"/>
              </w:numPr>
              <w:ind w:left="318" w:hanging="284"/>
              <w:jc w:val="left"/>
              <w:rPr>
                <w:rFonts w:ascii="Arial Narrow" w:hAnsi="Arial Narrow"/>
                <w:sz w:val="20"/>
                <w:szCs w:val="20"/>
              </w:rPr>
            </w:pPr>
            <w:r w:rsidRPr="004E7E1F">
              <w:rPr>
                <w:rFonts w:ascii="Arial Narrow" w:hAnsi="Arial Narrow"/>
                <w:sz w:val="20"/>
                <w:szCs w:val="20"/>
              </w:rPr>
              <w:t>Had red cell transfusion within the previous 3 months</w:t>
            </w:r>
          </w:p>
          <w:p w:rsidR="00127720" w:rsidRPr="004E7E1F" w:rsidRDefault="00127720" w:rsidP="004E6CA2">
            <w:pPr>
              <w:widowControl/>
              <w:rPr>
                <w:rFonts w:ascii="Arial Narrow" w:hAnsi="Arial Narrow"/>
                <w:sz w:val="20"/>
                <w:szCs w:val="20"/>
              </w:rPr>
            </w:pPr>
          </w:p>
          <w:p w:rsidR="00127720" w:rsidRPr="00260CE3" w:rsidRDefault="00127720" w:rsidP="004E6CA2">
            <w:pPr>
              <w:widowControl/>
              <w:rPr>
                <w:rFonts w:ascii="Arial Narrow" w:hAnsi="Arial Narrow"/>
                <w:sz w:val="20"/>
                <w:szCs w:val="20"/>
              </w:rPr>
            </w:pPr>
            <w:r w:rsidRPr="004E7E1F">
              <w:rPr>
                <w:rFonts w:ascii="Arial Narrow" w:hAnsi="Arial Narrow"/>
                <w:sz w:val="20"/>
                <w:szCs w:val="20"/>
              </w:rPr>
              <w:t>The results of the blood glucose monitoring, which must be no more than 4 months old at the time of initiation of treatment with a gliptin, a glitazone, a glucagon-like peptide-1 or an SGLT2 inhibitor, must be documented in the patient's medical records.</w:t>
            </w:r>
          </w:p>
        </w:tc>
      </w:tr>
      <w:tr w:rsidR="00127720" w:rsidRPr="00260CE3" w:rsidTr="00127720">
        <w:trPr>
          <w:cantSplit/>
          <w:trHeight w:val="360"/>
        </w:trPr>
        <w:tc>
          <w:tcPr>
            <w:tcW w:w="1843" w:type="dxa"/>
            <w:tcBorders>
              <w:top w:val="single" w:sz="4" w:space="0" w:color="auto"/>
              <w:left w:val="single" w:sz="4" w:space="0" w:color="auto"/>
              <w:bottom w:val="single" w:sz="4" w:space="0" w:color="auto"/>
              <w:right w:val="single" w:sz="4" w:space="0" w:color="auto"/>
            </w:tcBorders>
          </w:tcPr>
          <w:p w:rsidR="00127720" w:rsidRPr="004E7E1F" w:rsidRDefault="00127720" w:rsidP="004E6CA2">
            <w:pPr>
              <w:widowControl/>
              <w:rPr>
                <w:rFonts w:ascii="Arial Narrow" w:hAnsi="Arial Narrow"/>
                <w:b/>
                <w:sz w:val="20"/>
                <w:szCs w:val="20"/>
              </w:rPr>
            </w:pPr>
            <w:r w:rsidRPr="00260CE3">
              <w:rPr>
                <w:rFonts w:ascii="Arial Narrow" w:hAnsi="Arial Narrow"/>
                <w:b/>
                <w:sz w:val="20"/>
                <w:szCs w:val="20"/>
              </w:rPr>
              <w:t>Administrative Advice</w:t>
            </w:r>
            <w:r w:rsidR="00844ACE">
              <w:rPr>
                <w:rFonts w:ascii="Arial Narrow" w:hAnsi="Arial Narrow"/>
                <w:b/>
                <w:sz w:val="20"/>
                <w:szCs w:val="20"/>
              </w:rPr>
              <w:t>:</w:t>
            </w:r>
          </w:p>
        </w:tc>
        <w:tc>
          <w:tcPr>
            <w:tcW w:w="6520" w:type="dxa"/>
            <w:tcBorders>
              <w:top w:val="single" w:sz="4" w:space="0" w:color="auto"/>
              <w:left w:val="single" w:sz="4" w:space="0" w:color="auto"/>
              <w:bottom w:val="single" w:sz="4" w:space="0" w:color="auto"/>
              <w:right w:val="single" w:sz="4" w:space="0" w:color="auto"/>
            </w:tcBorders>
          </w:tcPr>
          <w:p w:rsidR="00127720" w:rsidRPr="004E7E1F" w:rsidRDefault="00127720" w:rsidP="004E6CA2">
            <w:pPr>
              <w:widowControl/>
              <w:rPr>
                <w:rFonts w:ascii="Arial Narrow" w:hAnsi="Arial Narrow"/>
                <w:sz w:val="20"/>
                <w:szCs w:val="20"/>
              </w:rPr>
            </w:pPr>
            <w:r w:rsidRPr="004E7E1F">
              <w:rPr>
                <w:rFonts w:ascii="Arial Narrow" w:hAnsi="Arial Narrow"/>
                <w:sz w:val="20"/>
                <w:szCs w:val="20"/>
              </w:rPr>
              <w:t>Note:</w:t>
            </w:r>
          </w:p>
          <w:p w:rsidR="00127720" w:rsidRPr="00260CE3" w:rsidRDefault="00127720" w:rsidP="004E6CA2">
            <w:pPr>
              <w:widowControl/>
              <w:rPr>
                <w:rFonts w:ascii="Arial Narrow" w:hAnsi="Arial Narrow"/>
                <w:sz w:val="20"/>
                <w:szCs w:val="20"/>
              </w:rPr>
            </w:pPr>
            <w:r w:rsidRPr="004E7E1F">
              <w:rPr>
                <w:rFonts w:ascii="Arial Narrow" w:hAnsi="Arial Narrow"/>
                <w:sz w:val="20"/>
                <w:szCs w:val="20"/>
              </w:rPr>
              <w:t>This drug is not PBS-subsidised for use as monotherapy or in combination with a dipeptidyl peptidase 4 inhibitor (gliptin), a thiazolidinedione (glitazone), an insulin or an SGLT2 inhibitor.</w:t>
            </w:r>
          </w:p>
        </w:tc>
      </w:tr>
    </w:tbl>
    <w:p w:rsidR="00127720" w:rsidRDefault="00127720" w:rsidP="000518D5">
      <w:pPr>
        <w:pStyle w:val="ListParagraph"/>
        <w:widowControl/>
        <w:ind w:left="360"/>
        <w:rPr>
          <w:rFonts w:ascii="Calibri" w:hAnsi="Calibri" w:cs="Calibri"/>
        </w:rPr>
      </w:pPr>
    </w:p>
    <w:p w:rsidR="00BA3B85" w:rsidRDefault="00BA3B85" w:rsidP="00BA3B85">
      <w:pPr>
        <w:pStyle w:val="ListParagraph"/>
        <w:widowControl/>
        <w:numPr>
          <w:ilvl w:val="0"/>
          <w:numId w:val="47"/>
        </w:numPr>
        <w:rPr>
          <w:b/>
        </w:rPr>
      </w:pPr>
      <w:r w:rsidRPr="00BA3B85">
        <w:rPr>
          <w:b/>
        </w:rPr>
        <w:t xml:space="preserve">Context for Decision </w:t>
      </w:r>
    </w:p>
    <w:p w:rsidR="00BA3B85" w:rsidRDefault="00BA3B85" w:rsidP="00BA3B85">
      <w:pPr>
        <w:pStyle w:val="ListParagraph"/>
        <w:widowControl/>
        <w:rPr>
          <w:b/>
        </w:rPr>
      </w:pPr>
    </w:p>
    <w:p w:rsidR="00BA3B85" w:rsidRPr="00107D49" w:rsidRDefault="00BA3B85" w:rsidP="00BA3B85">
      <w:pPr>
        <w:pStyle w:val="ListParagraph"/>
        <w:widowControl/>
      </w:pPr>
      <w:r w:rsidRPr="00BA3B85">
        <w:t xml:space="preserve">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 </w:t>
      </w:r>
    </w:p>
    <w:p w:rsidR="00BA3B85" w:rsidRPr="00BA3B85" w:rsidRDefault="00BA3B85" w:rsidP="00BA3B85">
      <w:pPr>
        <w:pStyle w:val="ListParagraph"/>
        <w:widowControl/>
        <w:rPr>
          <w:rFonts w:ascii="Calibri" w:hAnsi="Calibri" w:cs="Calibri"/>
        </w:rPr>
      </w:pPr>
    </w:p>
    <w:p w:rsidR="00BA3B85" w:rsidRDefault="00BA3B85" w:rsidP="00BA3B85">
      <w:pPr>
        <w:pStyle w:val="ListParagraph"/>
        <w:widowControl/>
        <w:numPr>
          <w:ilvl w:val="0"/>
          <w:numId w:val="47"/>
        </w:numPr>
        <w:rPr>
          <w:b/>
        </w:rPr>
      </w:pPr>
      <w:r w:rsidRPr="00BA3B85">
        <w:rPr>
          <w:b/>
        </w:rPr>
        <w:t>Sponsor’s Comment</w:t>
      </w:r>
    </w:p>
    <w:p w:rsidR="00BA3B85" w:rsidRDefault="00BA3B85" w:rsidP="00BA3B85">
      <w:pPr>
        <w:pStyle w:val="ListParagraph"/>
        <w:widowControl/>
        <w:rPr>
          <w:b/>
        </w:rPr>
      </w:pPr>
    </w:p>
    <w:p w:rsidR="002555C1" w:rsidRPr="006E2444" w:rsidRDefault="006E2444" w:rsidP="00BA3B85">
      <w:pPr>
        <w:pStyle w:val="ListParagraph"/>
        <w:widowControl/>
      </w:pPr>
      <w:r w:rsidRPr="006E2444">
        <w:t>The sponsor had no comment.</w:t>
      </w:r>
    </w:p>
    <w:sectPr w:rsidR="002555C1" w:rsidRPr="006E2444" w:rsidSect="00B552B9">
      <w:headerReference w:type="default" r:id="rId10"/>
      <w:footerReference w:type="default" r:id="rId11"/>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6B3ADC" w15:done="0"/>
  <w15:commentEx w15:paraId="1E93A016" w15:done="0"/>
  <w15:commentEx w15:paraId="762B8A93" w15:done="0"/>
  <w15:commentEx w15:paraId="71B4D6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A93" w:rsidRDefault="00C01A93" w:rsidP="00124A51">
      <w:r>
        <w:separator/>
      </w:r>
    </w:p>
  </w:endnote>
  <w:endnote w:type="continuationSeparator" w:id="0">
    <w:p w:rsidR="00C01A93" w:rsidRDefault="00C01A93"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AA6" w:rsidRPr="00D13A3E" w:rsidRDefault="008C5AA6" w:rsidP="00997076">
    <w:pPr>
      <w:ind w:right="360"/>
      <w:jc w:val="center"/>
      <w:rPr>
        <w:b/>
        <w:sz w:val="20"/>
      </w:rPr>
    </w:pPr>
  </w:p>
  <w:p w:rsidR="008C5AA6" w:rsidRPr="00244A23" w:rsidRDefault="008C5AA6" w:rsidP="00244A23">
    <w:pPr>
      <w:pStyle w:val="Footer"/>
      <w:ind w:left="360"/>
      <w:jc w:val="center"/>
      <w:rPr>
        <w:sz w:val="20"/>
        <w:szCs w:val="20"/>
      </w:rPr>
    </w:pPr>
    <w:r w:rsidRPr="00651169">
      <w:rPr>
        <w:sz w:val="20"/>
        <w:szCs w:val="20"/>
      </w:rPr>
      <w:fldChar w:fldCharType="begin"/>
    </w:r>
    <w:r w:rsidRPr="00651169">
      <w:rPr>
        <w:sz w:val="20"/>
        <w:szCs w:val="20"/>
      </w:rPr>
      <w:instrText xml:space="preserve"> PAGE   \* MERGEFORMAT </w:instrText>
    </w:r>
    <w:r w:rsidRPr="00651169">
      <w:rPr>
        <w:sz w:val="20"/>
        <w:szCs w:val="20"/>
      </w:rPr>
      <w:fldChar w:fldCharType="separate"/>
    </w:r>
    <w:r w:rsidR="00C075E1">
      <w:rPr>
        <w:noProof/>
        <w:sz w:val="20"/>
        <w:szCs w:val="20"/>
      </w:rPr>
      <w:t>2</w:t>
    </w:r>
    <w:r w:rsidRPr="00651169">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A93" w:rsidRDefault="00C01A93" w:rsidP="00124A51">
      <w:r>
        <w:separator/>
      </w:r>
    </w:p>
  </w:footnote>
  <w:footnote w:type="continuationSeparator" w:id="0">
    <w:p w:rsidR="00C01A93" w:rsidRDefault="00C01A93"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AA6" w:rsidRPr="00DF217D" w:rsidRDefault="008C5AA6" w:rsidP="00244A23">
    <w:pPr>
      <w:pStyle w:val="Header"/>
      <w:ind w:left="360"/>
      <w:jc w:val="center"/>
      <w:rPr>
        <w:i/>
        <w:color w:val="808080"/>
      </w:rPr>
    </w:pPr>
    <w:r>
      <w:rPr>
        <w:i/>
        <w:color w:val="808080"/>
      </w:rPr>
      <w:t xml:space="preserve">Draft Public Summary Document </w:t>
    </w:r>
    <w:r w:rsidRPr="00DF217D">
      <w:rPr>
        <w:i/>
        <w:color w:val="808080"/>
      </w:rPr>
      <w:t xml:space="preserve">– </w:t>
    </w:r>
    <w:r>
      <w:rPr>
        <w:i/>
        <w:color w:val="808080"/>
      </w:rPr>
      <w:t xml:space="preserve">July 2015 </w:t>
    </w:r>
    <w:r w:rsidRPr="00DF217D">
      <w:rPr>
        <w:i/>
        <w:color w:val="808080"/>
      </w:rPr>
      <w:t>PBAC</w:t>
    </w:r>
    <w:r>
      <w:rPr>
        <w:i/>
        <w:color w:val="808080"/>
      </w:rPr>
      <w:t xml:space="preserve"> </w:t>
    </w:r>
    <w:r w:rsidRPr="00DF217D">
      <w:rPr>
        <w:i/>
        <w:color w:val="808080"/>
      </w:rPr>
      <w:t>Meeting</w:t>
    </w:r>
  </w:p>
  <w:p w:rsidR="008C5AA6" w:rsidRDefault="008C5AA6" w:rsidP="00B824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1B64418"/>
    <w:multiLevelType w:val="hybridMultilevel"/>
    <w:tmpl w:val="FF96A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D63436A"/>
    <w:multiLevelType w:val="hybridMultilevel"/>
    <w:tmpl w:val="6A826F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3FB4A7A"/>
    <w:multiLevelType w:val="hybridMultilevel"/>
    <w:tmpl w:val="FB28EAB6"/>
    <w:lvl w:ilvl="0" w:tplc="F488CFD6">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4AF2C58"/>
    <w:multiLevelType w:val="multilevel"/>
    <w:tmpl w:val="40F43C6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AB60056"/>
    <w:multiLevelType w:val="hybridMultilevel"/>
    <w:tmpl w:val="05E0C6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nsid w:val="1D724300"/>
    <w:multiLevelType w:val="hybridMultilevel"/>
    <w:tmpl w:val="50A8B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F345056"/>
    <w:multiLevelType w:val="hybridMultilevel"/>
    <w:tmpl w:val="58401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F6F27EE"/>
    <w:multiLevelType w:val="hybridMultilevel"/>
    <w:tmpl w:val="32F42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FCB66FA"/>
    <w:multiLevelType w:val="hybridMultilevel"/>
    <w:tmpl w:val="B7C8EB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FFE1C62"/>
    <w:multiLevelType w:val="hybridMultilevel"/>
    <w:tmpl w:val="42867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0458C1"/>
    <w:multiLevelType w:val="multilevel"/>
    <w:tmpl w:val="569AE124"/>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E66FFF"/>
    <w:multiLevelType w:val="hybridMultilevel"/>
    <w:tmpl w:val="AAC4C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77A2A23"/>
    <w:multiLevelType w:val="hybridMultilevel"/>
    <w:tmpl w:val="8E6A244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nsid w:val="283A6F11"/>
    <w:multiLevelType w:val="hybridMultilevel"/>
    <w:tmpl w:val="4600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CF1AFB"/>
    <w:multiLevelType w:val="hybridMultilevel"/>
    <w:tmpl w:val="7E90F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B7A2CFC"/>
    <w:multiLevelType w:val="hybridMultilevel"/>
    <w:tmpl w:val="F9EC8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AC0EA2"/>
    <w:multiLevelType w:val="hybridMultilevel"/>
    <w:tmpl w:val="3138861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2D401A46"/>
    <w:multiLevelType w:val="hybridMultilevel"/>
    <w:tmpl w:val="841CAADC"/>
    <w:lvl w:ilvl="0" w:tplc="FC0AA2C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D7B09BF"/>
    <w:multiLevelType w:val="hybridMultilevel"/>
    <w:tmpl w:val="9F74A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FD408FE"/>
    <w:multiLevelType w:val="hybridMultilevel"/>
    <w:tmpl w:val="584AA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00B56FD"/>
    <w:multiLevelType w:val="hybridMultilevel"/>
    <w:tmpl w:val="D8561AC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nsid w:val="3621606C"/>
    <w:multiLevelType w:val="hybridMultilevel"/>
    <w:tmpl w:val="53FA3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397A49"/>
    <w:multiLevelType w:val="hybridMultilevel"/>
    <w:tmpl w:val="1BF010C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6B215B5"/>
    <w:multiLevelType w:val="hybridMultilevel"/>
    <w:tmpl w:val="06FC6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B7C34E2"/>
    <w:multiLevelType w:val="hybridMultilevel"/>
    <w:tmpl w:val="73B0C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DDF4E2D"/>
    <w:multiLevelType w:val="hybridMultilevel"/>
    <w:tmpl w:val="940882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3DFC2466"/>
    <w:multiLevelType w:val="hybridMultilevel"/>
    <w:tmpl w:val="09369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32">
    <w:nsid w:val="40276062"/>
    <w:multiLevelType w:val="hybridMultilevel"/>
    <w:tmpl w:val="C4463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0D61216"/>
    <w:multiLevelType w:val="hybridMultilevel"/>
    <w:tmpl w:val="FFA85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300088C"/>
    <w:multiLevelType w:val="hybridMultilevel"/>
    <w:tmpl w:val="2ABCCE9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nsid w:val="54126E8C"/>
    <w:multiLevelType w:val="hybridMultilevel"/>
    <w:tmpl w:val="851E5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5ED378E"/>
    <w:multiLevelType w:val="hybridMultilevel"/>
    <w:tmpl w:val="EFECD2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560C650E"/>
    <w:multiLevelType w:val="hybridMultilevel"/>
    <w:tmpl w:val="42203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1A709E6"/>
    <w:multiLevelType w:val="hybridMultilevel"/>
    <w:tmpl w:val="B7C8EB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59A13DC"/>
    <w:multiLevelType w:val="hybridMultilevel"/>
    <w:tmpl w:val="245A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785B4E"/>
    <w:multiLevelType w:val="hybridMultilevel"/>
    <w:tmpl w:val="2E94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311705"/>
    <w:multiLevelType w:val="hybridMultilevel"/>
    <w:tmpl w:val="9CD8A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A859C8"/>
    <w:multiLevelType w:val="hybridMultilevel"/>
    <w:tmpl w:val="DD4AF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BB83B42"/>
    <w:multiLevelType w:val="hybridMultilevel"/>
    <w:tmpl w:val="B8088FE0"/>
    <w:lvl w:ilvl="0" w:tplc="6374D372">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nsid w:val="6E046169"/>
    <w:multiLevelType w:val="hybridMultilevel"/>
    <w:tmpl w:val="E1E0DBFA"/>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nsid w:val="701F2DE6"/>
    <w:multiLevelType w:val="hybridMultilevel"/>
    <w:tmpl w:val="2B747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1E24AC9"/>
    <w:multiLevelType w:val="hybridMultilevel"/>
    <w:tmpl w:val="593228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2CF4ED5"/>
    <w:multiLevelType w:val="hybridMultilevel"/>
    <w:tmpl w:val="279A8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3FB376F"/>
    <w:multiLevelType w:val="hybridMultilevel"/>
    <w:tmpl w:val="B58AE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84D033C"/>
    <w:multiLevelType w:val="multilevel"/>
    <w:tmpl w:val="40F43C6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78954B62"/>
    <w:multiLevelType w:val="hybridMultilevel"/>
    <w:tmpl w:val="7390D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7AF85130"/>
    <w:multiLevelType w:val="hybridMultilevel"/>
    <w:tmpl w:val="F64A0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7B291715"/>
    <w:multiLevelType w:val="hybridMultilevel"/>
    <w:tmpl w:val="4A725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C6D2D3A"/>
    <w:multiLevelType w:val="hybridMultilevel"/>
    <w:tmpl w:val="79981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8"/>
  </w:num>
  <w:num w:numId="3">
    <w:abstractNumId w:val="7"/>
  </w:num>
  <w:num w:numId="4">
    <w:abstractNumId w:val="10"/>
  </w:num>
  <w:num w:numId="5">
    <w:abstractNumId w:val="8"/>
  </w:num>
  <w:num w:numId="6">
    <w:abstractNumId w:val="16"/>
  </w:num>
  <w:num w:numId="7">
    <w:abstractNumId w:val="9"/>
  </w:num>
  <w:num w:numId="8">
    <w:abstractNumId w:val="24"/>
  </w:num>
  <w:num w:numId="9">
    <w:abstractNumId w:val="50"/>
  </w:num>
  <w:num w:numId="10">
    <w:abstractNumId w:val="5"/>
  </w:num>
  <w:num w:numId="11">
    <w:abstractNumId w:val="48"/>
  </w:num>
  <w:num w:numId="12">
    <w:abstractNumId w:val="43"/>
  </w:num>
  <w:num w:numId="13">
    <w:abstractNumId w:val="32"/>
  </w:num>
  <w:num w:numId="14">
    <w:abstractNumId w:val="2"/>
  </w:num>
  <w:num w:numId="15">
    <w:abstractNumId w:val="29"/>
  </w:num>
  <w:num w:numId="16">
    <w:abstractNumId w:val="18"/>
  </w:num>
  <w:num w:numId="17">
    <w:abstractNumId w:val="46"/>
  </w:num>
  <w:num w:numId="18">
    <w:abstractNumId w:val="53"/>
  </w:num>
  <w:num w:numId="19">
    <w:abstractNumId w:val="33"/>
  </w:num>
  <w:num w:numId="20">
    <w:abstractNumId w:val="34"/>
  </w:num>
  <w:num w:numId="21">
    <w:abstractNumId w:val="0"/>
  </w:num>
  <w:num w:numId="22">
    <w:abstractNumId w:val="41"/>
  </w:num>
  <w:num w:numId="23">
    <w:abstractNumId w:val="17"/>
  </w:num>
  <w:num w:numId="24">
    <w:abstractNumId w:val="54"/>
  </w:num>
  <w:num w:numId="25">
    <w:abstractNumId w:val="42"/>
  </w:num>
  <w:num w:numId="26">
    <w:abstractNumId w:val="38"/>
  </w:num>
  <w:num w:numId="27">
    <w:abstractNumId w:val="51"/>
  </w:num>
  <w:num w:numId="28">
    <w:abstractNumId w:val="35"/>
  </w:num>
  <w:num w:numId="29">
    <w:abstractNumId w:val="30"/>
  </w:num>
  <w:num w:numId="30">
    <w:abstractNumId w:val="40"/>
  </w:num>
  <w:num w:numId="31">
    <w:abstractNumId w:val="22"/>
  </w:num>
  <w:num w:numId="32">
    <w:abstractNumId w:val="23"/>
  </w:num>
  <w:num w:numId="33">
    <w:abstractNumId w:val="44"/>
  </w:num>
  <w:num w:numId="34">
    <w:abstractNumId w:val="20"/>
  </w:num>
  <w:num w:numId="35">
    <w:abstractNumId w:val="12"/>
  </w:num>
  <w:num w:numId="36">
    <w:abstractNumId w:val="19"/>
  </w:num>
  <w:num w:numId="37">
    <w:abstractNumId w:val="49"/>
  </w:num>
  <w:num w:numId="38">
    <w:abstractNumId w:val="47"/>
  </w:num>
  <w:num w:numId="39">
    <w:abstractNumId w:val="45"/>
  </w:num>
  <w:num w:numId="40">
    <w:abstractNumId w:val="27"/>
  </w:num>
  <w:num w:numId="41">
    <w:abstractNumId w:val="39"/>
  </w:num>
  <w:num w:numId="42">
    <w:abstractNumId w:val="11"/>
  </w:num>
  <w:num w:numId="43">
    <w:abstractNumId w:val="4"/>
  </w:num>
  <w:num w:numId="44">
    <w:abstractNumId w:val="50"/>
  </w:num>
  <w:num w:numId="45">
    <w:abstractNumId w:val="50"/>
  </w:num>
  <w:num w:numId="46">
    <w:abstractNumId w:val="6"/>
  </w:num>
  <w:num w:numId="47">
    <w:abstractNumId w:val="13"/>
  </w:num>
  <w:num w:numId="48">
    <w:abstractNumId w:val="26"/>
  </w:num>
  <w:num w:numId="49">
    <w:abstractNumId w:val="37"/>
  </w:num>
  <w:num w:numId="50">
    <w:abstractNumId w:val="15"/>
  </w:num>
  <w:num w:numId="51">
    <w:abstractNumId w:val="52"/>
  </w:num>
  <w:num w:numId="52">
    <w:abstractNumId w:val="25"/>
  </w:num>
  <w:num w:numId="53">
    <w:abstractNumId w:val="21"/>
  </w:num>
  <w:num w:numId="54">
    <w:abstractNumId w:val="3"/>
  </w:num>
  <w:num w:numId="55">
    <w:abstractNumId w:val="1"/>
  </w:num>
  <w:num w:numId="56">
    <w:abstractNumId w:val="14"/>
  </w:num>
  <w:num w:numId="57">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050"/>
    <w:rsid w:val="000009B3"/>
    <w:rsid w:val="000009F2"/>
    <w:rsid w:val="00000DC0"/>
    <w:rsid w:val="0000110B"/>
    <w:rsid w:val="000019E9"/>
    <w:rsid w:val="000033DF"/>
    <w:rsid w:val="00003ADA"/>
    <w:rsid w:val="00004B93"/>
    <w:rsid w:val="000051FA"/>
    <w:rsid w:val="000076F1"/>
    <w:rsid w:val="00010A0E"/>
    <w:rsid w:val="00012852"/>
    <w:rsid w:val="00012F68"/>
    <w:rsid w:val="00014378"/>
    <w:rsid w:val="00015770"/>
    <w:rsid w:val="00015EE2"/>
    <w:rsid w:val="000177F7"/>
    <w:rsid w:val="00017E67"/>
    <w:rsid w:val="000200F6"/>
    <w:rsid w:val="000217B9"/>
    <w:rsid w:val="0002225F"/>
    <w:rsid w:val="0002247A"/>
    <w:rsid w:val="00023201"/>
    <w:rsid w:val="0002342D"/>
    <w:rsid w:val="00023763"/>
    <w:rsid w:val="00026ADF"/>
    <w:rsid w:val="00027AC0"/>
    <w:rsid w:val="00027FE2"/>
    <w:rsid w:val="000317B8"/>
    <w:rsid w:val="0003294B"/>
    <w:rsid w:val="00033ACF"/>
    <w:rsid w:val="00034A62"/>
    <w:rsid w:val="000372AD"/>
    <w:rsid w:val="00040895"/>
    <w:rsid w:val="00040FF5"/>
    <w:rsid w:val="000414BB"/>
    <w:rsid w:val="00041669"/>
    <w:rsid w:val="000421AF"/>
    <w:rsid w:val="00042FF4"/>
    <w:rsid w:val="00044579"/>
    <w:rsid w:val="000507B4"/>
    <w:rsid w:val="00050A24"/>
    <w:rsid w:val="00050EA1"/>
    <w:rsid w:val="000518D5"/>
    <w:rsid w:val="00051C87"/>
    <w:rsid w:val="00051FCB"/>
    <w:rsid w:val="0005343A"/>
    <w:rsid w:val="000546D7"/>
    <w:rsid w:val="00054A5B"/>
    <w:rsid w:val="00063104"/>
    <w:rsid w:val="000639DE"/>
    <w:rsid w:val="00063CF8"/>
    <w:rsid w:val="000650AB"/>
    <w:rsid w:val="0006625A"/>
    <w:rsid w:val="00072493"/>
    <w:rsid w:val="00072E5D"/>
    <w:rsid w:val="000747A8"/>
    <w:rsid w:val="00075C4D"/>
    <w:rsid w:val="000768E2"/>
    <w:rsid w:val="0008025B"/>
    <w:rsid w:val="000807C9"/>
    <w:rsid w:val="000812CA"/>
    <w:rsid w:val="000828D0"/>
    <w:rsid w:val="00082A7E"/>
    <w:rsid w:val="000835E2"/>
    <w:rsid w:val="00084567"/>
    <w:rsid w:val="00084D4F"/>
    <w:rsid w:val="00086DE5"/>
    <w:rsid w:val="00090557"/>
    <w:rsid w:val="00090C7E"/>
    <w:rsid w:val="00092E4F"/>
    <w:rsid w:val="0009650C"/>
    <w:rsid w:val="000977BD"/>
    <w:rsid w:val="000A0573"/>
    <w:rsid w:val="000A2C3D"/>
    <w:rsid w:val="000A3440"/>
    <w:rsid w:val="000A3CF1"/>
    <w:rsid w:val="000A4EDA"/>
    <w:rsid w:val="000A77F5"/>
    <w:rsid w:val="000B004C"/>
    <w:rsid w:val="000B0B6D"/>
    <w:rsid w:val="000B13A6"/>
    <w:rsid w:val="000B1519"/>
    <w:rsid w:val="000B1C47"/>
    <w:rsid w:val="000B2C2B"/>
    <w:rsid w:val="000B4753"/>
    <w:rsid w:val="000B5577"/>
    <w:rsid w:val="000B6434"/>
    <w:rsid w:val="000B7B79"/>
    <w:rsid w:val="000C3738"/>
    <w:rsid w:val="000C56B7"/>
    <w:rsid w:val="000C6C99"/>
    <w:rsid w:val="000D014B"/>
    <w:rsid w:val="000D0E40"/>
    <w:rsid w:val="000D1BFC"/>
    <w:rsid w:val="000D29D3"/>
    <w:rsid w:val="000D2B8D"/>
    <w:rsid w:val="000D2BC0"/>
    <w:rsid w:val="000D3238"/>
    <w:rsid w:val="000D520F"/>
    <w:rsid w:val="000D7401"/>
    <w:rsid w:val="000E0402"/>
    <w:rsid w:val="000E1A28"/>
    <w:rsid w:val="000E1B0A"/>
    <w:rsid w:val="000E1EE1"/>
    <w:rsid w:val="000E430B"/>
    <w:rsid w:val="000E4A64"/>
    <w:rsid w:val="000E5511"/>
    <w:rsid w:val="000E5EB3"/>
    <w:rsid w:val="000E6807"/>
    <w:rsid w:val="000E6DC1"/>
    <w:rsid w:val="000E6F11"/>
    <w:rsid w:val="000E711B"/>
    <w:rsid w:val="000E731D"/>
    <w:rsid w:val="000F08EC"/>
    <w:rsid w:val="000F0A17"/>
    <w:rsid w:val="000F0D78"/>
    <w:rsid w:val="000F1002"/>
    <w:rsid w:val="000F18EA"/>
    <w:rsid w:val="000F5BB7"/>
    <w:rsid w:val="000F5BEC"/>
    <w:rsid w:val="000F699B"/>
    <w:rsid w:val="000F79E1"/>
    <w:rsid w:val="00101329"/>
    <w:rsid w:val="001017BB"/>
    <w:rsid w:val="00102241"/>
    <w:rsid w:val="001029AA"/>
    <w:rsid w:val="00102ECA"/>
    <w:rsid w:val="00104DDE"/>
    <w:rsid w:val="00105244"/>
    <w:rsid w:val="00105752"/>
    <w:rsid w:val="0010699B"/>
    <w:rsid w:val="001076BD"/>
    <w:rsid w:val="00107D49"/>
    <w:rsid w:val="0011032E"/>
    <w:rsid w:val="001105AB"/>
    <w:rsid w:val="00110F2E"/>
    <w:rsid w:val="00110F63"/>
    <w:rsid w:val="00111E0D"/>
    <w:rsid w:val="00113745"/>
    <w:rsid w:val="001138B2"/>
    <w:rsid w:val="00114415"/>
    <w:rsid w:val="0011443E"/>
    <w:rsid w:val="00114796"/>
    <w:rsid w:val="00115405"/>
    <w:rsid w:val="00116253"/>
    <w:rsid w:val="00116B0A"/>
    <w:rsid w:val="00117E09"/>
    <w:rsid w:val="00120579"/>
    <w:rsid w:val="00121328"/>
    <w:rsid w:val="00121799"/>
    <w:rsid w:val="001222FC"/>
    <w:rsid w:val="00122C17"/>
    <w:rsid w:val="00124A51"/>
    <w:rsid w:val="00124CC9"/>
    <w:rsid w:val="0012609B"/>
    <w:rsid w:val="00126C65"/>
    <w:rsid w:val="00127720"/>
    <w:rsid w:val="00127F9E"/>
    <w:rsid w:val="001303CB"/>
    <w:rsid w:val="0013059C"/>
    <w:rsid w:val="0013373B"/>
    <w:rsid w:val="00135764"/>
    <w:rsid w:val="00135F1D"/>
    <w:rsid w:val="00137645"/>
    <w:rsid w:val="00137E68"/>
    <w:rsid w:val="00140971"/>
    <w:rsid w:val="00140E99"/>
    <w:rsid w:val="00141C74"/>
    <w:rsid w:val="00142DAC"/>
    <w:rsid w:val="001434ED"/>
    <w:rsid w:val="00143570"/>
    <w:rsid w:val="00143673"/>
    <w:rsid w:val="00144510"/>
    <w:rsid w:val="00146317"/>
    <w:rsid w:val="0014650A"/>
    <w:rsid w:val="00146903"/>
    <w:rsid w:val="00146F4B"/>
    <w:rsid w:val="001470F8"/>
    <w:rsid w:val="00150E40"/>
    <w:rsid w:val="0015146F"/>
    <w:rsid w:val="00152E18"/>
    <w:rsid w:val="00155820"/>
    <w:rsid w:val="0015687B"/>
    <w:rsid w:val="00157559"/>
    <w:rsid w:val="00160A1F"/>
    <w:rsid w:val="001613CC"/>
    <w:rsid w:val="00161BD9"/>
    <w:rsid w:val="00162BC4"/>
    <w:rsid w:val="00163B35"/>
    <w:rsid w:val="00163B81"/>
    <w:rsid w:val="00164DC8"/>
    <w:rsid w:val="00164F66"/>
    <w:rsid w:val="001653BC"/>
    <w:rsid w:val="001661FB"/>
    <w:rsid w:val="001667A7"/>
    <w:rsid w:val="001668FB"/>
    <w:rsid w:val="0017346B"/>
    <w:rsid w:val="00174B17"/>
    <w:rsid w:val="00175442"/>
    <w:rsid w:val="00177A36"/>
    <w:rsid w:val="0018108B"/>
    <w:rsid w:val="00181C10"/>
    <w:rsid w:val="00181FDD"/>
    <w:rsid w:val="0018645C"/>
    <w:rsid w:val="00186E0C"/>
    <w:rsid w:val="00191556"/>
    <w:rsid w:val="0019227F"/>
    <w:rsid w:val="00193B50"/>
    <w:rsid w:val="00193C29"/>
    <w:rsid w:val="00193F4E"/>
    <w:rsid w:val="001943B8"/>
    <w:rsid w:val="00195222"/>
    <w:rsid w:val="00196007"/>
    <w:rsid w:val="00196F00"/>
    <w:rsid w:val="001971ED"/>
    <w:rsid w:val="001975D8"/>
    <w:rsid w:val="001A0393"/>
    <w:rsid w:val="001A145C"/>
    <w:rsid w:val="001A1A57"/>
    <w:rsid w:val="001A1CE1"/>
    <w:rsid w:val="001A4D78"/>
    <w:rsid w:val="001A4F17"/>
    <w:rsid w:val="001A6DA0"/>
    <w:rsid w:val="001A7255"/>
    <w:rsid w:val="001B069D"/>
    <w:rsid w:val="001B1A39"/>
    <w:rsid w:val="001B2842"/>
    <w:rsid w:val="001B298F"/>
    <w:rsid w:val="001B2CEC"/>
    <w:rsid w:val="001B3443"/>
    <w:rsid w:val="001B3FF1"/>
    <w:rsid w:val="001B6467"/>
    <w:rsid w:val="001B6C91"/>
    <w:rsid w:val="001C0EE0"/>
    <w:rsid w:val="001C1882"/>
    <w:rsid w:val="001C267D"/>
    <w:rsid w:val="001C39A1"/>
    <w:rsid w:val="001C6E66"/>
    <w:rsid w:val="001D0942"/>
    <w:rsid w:val="001D39DA"/>
    <w:rsid w:val="001D4D7F"/>
    <w:rsid w:val="001D5DFC"/>
    <w:rsid w:val="001E033A"/>
    <w:rsid w:val="001E058A"/>
    <w:rsid w:val="001E112F"/>
    <w:rsid w:val="001E2A3B"/>
    <w:rsid w:val="001E2EF6"/>
    <w:rsid w:val="001E38B2"/>
    <w:rsid w:val="001E4BC5"/>
    <w:rsid w:val="001E52EB"/>
    <w:rsid w:val="001E5370"/>
    <w:rsid w:val="001E639D"/>
    <w:rsid w:val="001E6585"/>
    <w:rsid w:val="001E6B63"/>
    <w:rsid w:val="001E76B7"/>
    <w:rsid w:val="001F029B"/>
    <w:rsid w:val="001F0954"/>
    <w:rsid w:val="001F0D74"/>
    <w:rsid w:val="001F1235"/>
    <w:rsid w:val="001F265A"/>
    <w:rsid w:val="001F296F"/>
    <w:rsid w:val="001F4028"/>
    <w:rsid w:val="001F48DF"/>
    <w:rsid w:val="001F7361"/>
    <w:rsid w:val="001F748B"/>
    <w:rsid w:val="00200CEE"/>
    <w:rsid w:val="00201344"/>
    <w:rsid w:val="00202162"/>
    <w:rsid w:val="00202624"/>
    <w:rsid w:val="00203251"/>
    <w:rsid w:val="00204061"/>
    <w:rsid w:val="00205A2A"/>
    <w:rsid w:val="002105C1"/>
    <w:rsid w:val="0021117F"/>
    <w:rsid w:val="00213CCB"/>
    <w:rsid w:val="0021412C"/>
    <w:rsid w:val="0021415C"/>
    <w:rsid w:val="0021610E"/>
    <w:rsid w:val="00216586"/>
    <w:rsid w:val="00216C73"/>
    <w:rsid w:val="002240B2"/>
    <w:rsid w:val="00224DD4"/>
    <w:rsid w:val="002251C2"/>
    <w:rsid w:val="00230040"/>
    <w:rsid w:val="002309CC"/>
    <w:rsid w:val="00230C1B"/>
    <w:rsid w:val="00231C96"/>
    <w:rsid w:val="00232BE3"/>
    <w:rsid w:val="0023337B"/>
    <w:rsid w:val="00233F35"/>
    <w:rsid w:val="0023427A"/>
    <w:rsid w:val="00236CF7"/>
    <w:rsid w:val="002379B2"/>
    <w:rsid w:val="002408C2"/>
    <w:rsid w:val="002408F8"/>
    <w:rsid w:val="00241425"/>
    <w:rsid w:val="00243A74"/>
    <w:rsid w:val="00244829"/>
    <w:rsid w:val="00244A23"/>
    <w:rsid w:val="0025304B"/>
    <w:rsid w:val="00253D59"/>
    <w:rsid w:val="00254BFB"/>
    <w:rsid w:val="0025534B"/>
    <w:rsid w:val="002555C1"/>
    <w:rsid w:val="00260126"/>
    <w:rsid w:val="00260BCE"/>
    <w:rsid w:val="00261424"/>
    <w:rsid w:val="00261DB3"/>
    <w:rsid w:val="0026250A"/>
    <w:rsid w:val="00262B5C"/>
    <w:rsid w:val="00262EAD"/>
    <w:rsid w:val="00263BC1"/>
    <w:rsid w:val="00266738"/>
    <w:rsid w:val="00267402"/>
    <w:rsid w:val="00267C72"/>
    <w:rsid w:val="00270CB6"/>
    <w:rsid w:val="00271D9B"/>
    <w:rsid w:val="00272D59"/>
    <w:rsid w:val="0027592E"/>
    <w:rsid w:val="00276019"/>
    <w:rsid w:val="0027620E"/>
    <w:rsid w:val="00277C70"/>
    <w:rsid w:val="00281582"/>
    <w:rsid w:val="002819F6"/>
    <w:rsid w:val="00281ECA"/>
    <w:rsid w:val="00281FF6"/>
    <w:rsid w:val="00282858"/>
    <w:rsid w:val="002829A8"/>
    <w:rsid w:val="0028510C"/>
    <w:rsid w:val="002852E1"/>
    <w:rsid w:val="00285974"/>
    <w:rsid w:val="00285F31"/>
    <w:rsid w:val="00286A0E"/>
    <w:rsid w:val="002873AF"/>
    <w:rsid w:val="00290C2D"/>
    <w:rsid w:val="00294C59"/>
    <w:rsid w:val="002976C0"/>
    <w:rsid w:val="002A1BAA"/>
    <w:rsid w:val="002A2E3A"/>
    <w:rsid w:val="002A4837"/>
    <w:rsid w:val="002A4EA3"/>
    <w:rsid w:val="002A6148"/>
    <w:rsid w:val="002A7BF9"/>
    <w:rsid w:val="002A7D72"/>
    <w:rsid w:val="002B075D"/>
    <w:rsid w:val="002B1D4B"/>
    <w:rsid w:val="002B20E2"/>
    <w:rsid w:val="002B2581"/>
    <w:rsid w:val="002B2FC1"/>
    <w:rsid w:val="002B361D"/>
    <w:rsid w:val="002B5051"/>
    <w:rsid w:val="002B5434"/>
    <w:rsid w:val="002B5B27"/>
    <w:rsid w:val="002B757D"/>
    <w:rsid w:val="002B758C"/>
    <w:rsid w:val="002B76A9"/>
    <w:rsid w:val="002C27C1"/>
    <w:rsid w:val="002C6B03"/>
    <w:rsid w:val="002D00A7"/>
    <w:rsid w:val="002D0587"/>
    <w:rsid w:val="002D0951"/>
    <w:rsid w:val="002D0CC4"/>
    <w:rsid w:val="002D1716"/>
    <w:rsid w:val="002D3653"/>
    <w:rsid w:val="002D5782"/>
    <w:rsid w:val="002D5CFD"/>
    <w:rsid w:val="002D649E"/>
    <w:rsid w:val="002D6CB7"/>
    <w:rsid w:val="002E1FC9"/>
    <w:rsid w:val="002E2841"/>
    <w:rsid w:val="002E3582"/>
    <w:rsid w:val="002E4E57"/>
    <w:rsid w:val="002E66A5"/>
    <w:rsid w:val="002E6AC8"/>
    <w:rsid w:val="002E7BB6"/>
    <w:rsid w:val="002F0B56"/>
    <w:rsid w:val="002F123C"/>
    <w:rsid w:val="002F1495"/>
    <w:rsid w:val="002F1A82"/>
    <w:rsid w:val="002F29A4"/>
    <w:rsid w:val="002F3D74"/>
    <w:rsid w:val="002F4635"/>
    <w:rsid w:val="00300B80"/>
    <w:rsid w:val="00301017"/>
    <w:rsid w:val="00302345"/>
    <w:rsid w:val="00303C4E"/>
    <w:rsid w:val="00304D5C"/>
    <w:rsid w:val="00306A50"/>
    <w:rsid w:val="00306B87"/>
    <w:rsid w:val="0030786C"/>
    <w:rsid w:val="003078D9"/>
    <w:rsid w:val="0031031A"/>
    <w:rsid w:val="00310512"/>
    <w:rsid w:val="0031075B"/>
    <w:rsid w:val="0031135C"/>
    <w:rsid w:val="00311F61"/>
    <w:rsid w:val="00312982"/>
    <w:rsid w:val="00315498"/>
    <w:rsid w:val="003163E8"/>
    <w:rsid w:val="003164F7"/>
    <w:rsid w:val="0031729F"/>
    <w:rsid w:val="003200FC"/>
    <w:rsid w:val="00320700"/>
    <w:rsid w:val="00320884"/>
    <w:rsid w:val="00322079"/>
    <w:rsid w:val="00323933"/>
    <w:rsid w:val="0032489C"/>
    <w:rsid w:val="003249B7"/>
    <w:rsid w:val="00324BD2"/>
    <w:rsid w:val="00325112"/>
    <w:rsid w:val="0032562C"/>
    <w:rsid w:val="00327F5D"/>
    <w:rsid w:val="00330487"/>
    <w:rsid w:val="00330CD7"/>
    <w:rsid w:val="00330DFE"/>
    <w:rsid w:val="00331422"/>
    <w:rsid w:val="0033181E"/>
    <w:rsid w:val="00331823"/>
    <w:rsid w:val="00333569"/>
    <w:rsid w:val="00333BBF"/>
    <w:rsid w:val="00333DE8"/>
    <w:rsid w:val="003358BC"/>
    <w:rsid w:val="00335AC6"/>
    <w:rsid w:val="00336079"/>
    <w:rsid w:val="003366C9"/>
    <w:rsid w:val="003378E1"/>
    <w:rsid w:val="00341746"/>
    <w:rsid w:val="00341F95"/>
    <w:rsid w:val="00343994"/>
    <w:rsid w:val="00344028"/>
    <w:rsid w:val="00346A46"/>
    <w:rsid w:val="003500CE"/>
    <w:rsid w:val="003513AF"/>
    <w:rsid w:val="003513EB"/>
    <w:rsid w:val="00352728"/>
    <w:rsid w:val="00352BDD"/>
    <w:rsid w:val="00354B99"/>
    <w:rsid w:val="00354D88"/>
    <w:rsid w:val="00356386"/>
    <w:rsid w:val="0035755E"/>
    <w:rsid w:val="003576C6"/>
    <w:rsid w:val="00357DC1"/>
    <w:rsid w:val="00357E2D"/>
    <w:rsid w:val="00361AA0"/>
    <w:rsid w:val="00362F36"/>
    <w:rsid w:val="0036336D"/>
    <w:rsid w:val="0036363F"/>
    <w:rsid w:val="00363C29"/>
    <w:rsid w:val="00366671"/>
    <w:rsid w:val="00367AC0"/>
    <w:rsid w:val="003732B9"/>
    <w:rsid w:val="003734D3"/>
    <w:rsid w:val="0037431E"/>
    <w:rsid w:val="00375BF4"/>
    <w:rsid w:val="0037600F"/>
    <w:rsid w:val="00377DCA"/>
    <w:rsid w:val="003831F3"/>
    <w:rsid w:val="00384070"/>
    <w:rsid w:val="003841CB"/>
    <w:rsid w:val="003847E9"/>
    <w:rsid w:val="00386355"/>
    <w:rsid w:val="003864F4"/>
    <w:rsid w:val="00390E32"/>
    <w:rsid w:val="00392151"/>
    <w:rsid w:val="003925A8"/>
    <w:rsid w:val="00392B4B"/>
    <w:rsid w:val="00393394"/>
    <w:rsid w:val="00394D41"/>
    <w:rsid w:val="0039564A"/>
    <w:rsid w:val="003964B8"/>
    <w:rsid w:val="00396FD0"/>
    <w:rsid w:val="003975D6"/>
    <w:rsid w:val="003A14A7"/>
    <w:rsid w:val="003A1A7A"/>
    <w:rsid w:val="003A2F1B"/>
    <w:rsid w:val="003A485E"/>
    <w:rsid w:val="003A7EE2"/>
    <w:rsid w:val="003B2F34"/>
    <w:rsid w:val="003B313B"/>
    <w:rsid w:val="003B7EB7"/>
    <w:rsid w:val="003C10AD"/>
    <w:rsid w:val="003C1FC9"/>
    <w:rsid w:val="003C3497"/>
    <w:rsid w:val="003C3B60"/>
    <w:rsid w:val="003C3CCE"/>
    <w:rsid w:val="003C421E"/>
    <w:rsid w:val="003C4521"/>
    <w:rsid w:val="003C4FDF"/>
    <w:rsid w:val="003C4FF7"/>
    <w:rsid w:val="003C6459"/>
    <w:rsid w:val="003C6480"/>
    <w:rsid w:val="003C6DA9"/>
    <w:rsid w:val="003C7725"/>
    <w:rsid w:val="003D022F"/>
    <w:rsid w:val="003D0BA8"/>
    <w:rsid w:val="003D10A5"/>
    <w:rsid w:val="003D1828"/>
    <w:rsid w:val="003D28D7"/>
    <w:rsid w:val="003D3D46"/>
    <w:rsid w:val="003D4A04"/>
    <w:rsid w:val="003D5611"/>
    <w:rsid w:val="003D5AE4"/>
    <w:rsid w:val="003D6108"/>
    <w:rsid w:val="003D67E2"/>
    <w:rsid w:val="003D7118"/>
    <w:rsid w:val="003D7403"/>
    <w:rsid w:val="003E0A1C"/>
    <w:rsid w:val="003E2850"/>
    <w:rsid w:val="003E33C0"/>
    <w:rsid w:val="003E3D4C"/>
    <w:rsid w:val="003E5700"/>
    <w:rsid w:val="003E64D8"/>
    <w:rsid w:val="003E6A5C"/>
    <w:rsid w:val="003F078F"/>
    <w:rsid w:val="003F1788"/>
    <w:rsid w:val="003F18BD"/>
    <w:rsid w:val="003F2A6F"/>
    <w:rsid w:val="003F2DDD"/>
    <w:rsid w:val="003F3245"/>
    <w:rsid w:val="003F33A9"/>
    <w:rsid w:val="003F351A"/>
    <w:rsid w:val="003F37B3"/>
    <w:rsid w:val="003F4156"/>
    <w:rsid w:val="003F43D3"/>
    <w:rsid w:val="003F6AE5"/>
    <w:rsid w:val="00400EB9"/>
    <w:rsid w:val="004047F3"/>
    <w:rsid w:val="00404DA5"/>
    <w:rsid w:val="004050A6"/>
    <w:rsid w:val="004057CD"/>
    <w:rsid w:val="0040611B"/>
    <w:rsid w:val="00406DA2"/>
    <w:rsid w:val="004078F9"/>
    <w:rsid w:val="00410B37"/>
    <w:rsid w:val="00410EC7"/>
    <w:rsid w:val="00411C21"/>
    <w:rsid w:val="0041517B"/>
    <w:rsid w:val="00415571"/>
    <w:rsid w:val="00415F9E"/>
    <w:rsid w:val="00415FDA"/>
    <w:rsid w:val="00416BF2"/>
    <w:rsid w:val="00420ECD"/>
    <w:rsid w:val="004220A3"/>
    <w:rsid w:val="00422BA6"/>
    <w:rsid w:val="00423435"/>
    <w:rsid w:val="00423F38"/>
    <w:rsid w:val="00424477"/>
    <w:rsid w:val="00426C82"/>
    <w:rsid w:val="004321CD"/>
    <w:rsid w:val="00432A95"/>
    <w:rsid w:val="00433FF8"/>
    <w:rsid w:val="004342A0"/>
    <w:rsid w:val="004360B6"/>
    <w:rsid w:val="00436C74"/>
    <w:rsid w:val="004374D6"/>
    <w:rsid w:val="00437709"/>
    <w:rsid w:val="00437A35"/>
    <w:rsid w:val="004415EB"/>
    <w:rsid w:val="00442837"/>
    <w:rsid w:val="00442D9A"/>
    <w:rsid w:val="00443359"/>
    <w:rsid w:val="00445135"/>
    <w:rsid w:val="004463F0"/>
    <w:rsid w:val="004464EB"/>
    <w:rsid w:val="00447DEA"/>
    <w:rsid w:val="0045088E"/>
    <w:rsid w:val="00450C12"/>
    <w:rsid w:val="00453CFD"/>
    <w:rsid w:val="00453D9F"/>
    <w:rsid w:val="00454EB8"/>
    <w:rsid w:val="00455D45"/>
    <w:rsid w:val="00456CE9"/>
    <w:rsid w:val="00456F18"/>
    <w:rsid w:val="0045720B"/>
    <w:rsid w:val="004601E1"/>
    <w:rsid w:val="0046262E"/>
    <w:rsid w:val="00462858"/>
    <w:rsid w:val="00462EA1"/>
    <w:rsid w:val="004641BB"/>
    <w:rsid w:val="0046427C"/>
    <w:rsid w:val="00464595"/>
    <w:rsid w:val="0046604C"/>
    <w:rsid w:val="004665D3"/>
    <w:rsid w:val="00467B5B"/>
    <w:rsid w:val="00470FAE"/>
    <w:rsid w:val="00475599"/>
    <w:rsid w:val="004766ED"/>
    <w:rsid w:val="00477C50"/>
    <w:rsid w:val="00480689"/>
    <w:rsid w:val="004842A4"/>
    <w:rsid w:val="0048445C"/>
    <w:rsid w:val="0048462B"/>
    <w:rsid w:val="00484C1F"/>
    <w:rsid w:val="004867E2"/>
    <w:rsid w:val="004868FC"/>
    <w:rsid w:val="004870F0"/>
    <w:rsid w:val="00487153"/>
    <w:rsid w:val="00487729"/>
    <w:rsid w:val="0048779E"/>
    <w:rsid w:val="00490378"/>
    <w:rsid w:val="00490CF8"/>
    <w:rsid w:val="004915A9"/>
    <w:rsid w:val="004928DA"/>
    <w:rsid w:val="0049300E"/>
    <w:rsid w:val="00493D7A"/>
    <w:rsid w:val="0049586D"/>
    <w:rsid w:val="0049691F"/>
    <w:rsid w:val="004A0D96"/>
    <w:rsid w:val="004A0DA1"/>
    <w:rsid w:val="004A22A1"/>
    <w:rsid w:val="004A2366"/>
    <w:rsid w:val="004A2844"/>
    <w:rsid w:val="004A3654"/>
    <w:rsid w:val="004A448C"/>
    <w:rsid w:val="004A4A8D"/>
    <w:rsid w:val="004A4E17"/>
    <w:rsid w:val="004A4EDD"/>
    <w:rsid w:val="004A524D"/>
    <w:rsid w:val="004A5AEE"/>
    <w:rsid w:val="004B04F2"/>
    <w:rsid w:val="004B0772"/>
    <w:rsid w:val="004B1076"/>
    <w:rsid w:val="004B1EC4"/>
    <w:rsid w:val="004B209B"/>
    <w:rsid w:val="004B29E0"/>
    <w:rsid w:val="004B2E7C"/>
    <w:rsid w:val="004B34A4"/>
    <w:rsid w:val="004B3CA3"/>
    <w:rsid w:val="004B3DDB"/>
    <w:rsid w:val="004B5CFC"/>
    <w:rsid w:val="004B70B1"/>
    <w:rsid w:val="004C1BF4"/>
    <w:rsid w:val="004C22E1"/>
    <w:rsid w:val="004C2A04"/>
    <w:rsid w:val="004C2D60"/>
    <w:rsid w:val="004C323C"/>
    <w:rsid w:val="004C4AED"/>
    <w:rsid w:val="004C5217"/>
    <w:rsid w:val="004D0320"/>
    <w:rsid w:val="004D0652"/>
    <w:rsid w:val="004D2108"/>
    <w:rsid w:val="004D2F5A"/>
    <w:rsid w:val="004D31EA"/>
    <w:rsid w:val="004D44EB"/>
    <w:rsid w:val="004D46E7"/>
    <w:rsid w:val="004D632D"/>
    <w:rsid w:val="004D7E92"/>
    <w:rsid w:val="004E0FDF"/>
    <w:rsid w:val="004E3847"/>
    <w:rsid w:val="004E49E7"/>
    <w:rsid w:val="004E572E"/>
    <w:rsid w:val="004E5A2F"/>
    <w:rsid w:val="004E5E2D"/>
    <w:rsid w:val="004E69B7"/>
    <w:rsid w:val="004E6CA2"/>
    <w:rsid w:val="004E7AB9"/>
    <w:rsid w:val="004E7ECD"/>
    <w:rsid w:val="004F1D02"/>
    <w:rsid w:val="004F1E21"/>
    <w:rsid w:val="004F2679"/>
    <w:rsid w:val="004F2811"/>
    <w:rsid w:val="004F3095"/>
    <w:rsid w:val="004F30C6"/>
    <w:rsid w:val="004F3939"/>
    <w:rsid w:val="004F597D"/>
    <w:rsid w:val="0050110C"/>
    <w:rsid w:val="005012BA"/>
    <w:rsid w:val="00502FBE"/>
    <w:rsid w:val="005041C2"/>
    <w:rsid w:val="00504986"/>
    <w:rsid w:val="00504F7E"/>
    <w:rsid w:val="00505344"/>
    <w:rsid w:val="0050556A"/>
    <w:rsid w:val="00507DE6"/>
    <w:rsid w:val="00511ABA"/>
    <w:rsid w:val="0051290B"/>
    <w:rsid w:val="005135D0"/>
    <w:rsid w:val="00513D0B"/>
    <w:rsid w:val="00514638"/>
    <w:rsid w:val="005158A5"/>
    <w:rsid w:val="0051679E"/>
    <w:rsid w:val="00521319"/>
    <w:rsid w:val="00523917"/>
    <w:rsid w:val="005240E8"/>
    <w:rsid w:val="00525EFA"/>
    <w:rsid w:val="00527503"/>
    <w:rsid w:val="00530C39"/>
    <w:rsid w:val="00534C85"/>
    <w:rsid w:val="0053766F"/>
    <w:rsid w:val="00540734"/>
    <w:rsid w:val="00543F6C"/>
    <w:rsid w:val="0054402C"/>
    <w:rsid w:val="00544F4D"/>
    <w:rsid w:val="005457F6"/>
    <w:rsid w:val="005472A8"/>
    <w:rsid w:val="00550A72"/>
    <w:rsid w:val="0055290D"/>
    <w:rsid w:val="0055461D"/>
    <w:rsid w:val="00555109"/>
    <w:rsid w:val="00555E8E"/>
    <w:rsid w:val="00557569"/>
    <w:rsid w:val="0056696F"/>
    <w:rsid w:val="00566A7C"/>
    <w:rsid w:val="00570447"/>
    <w:rsid w:val="00571085"/>
    <w:rsid w:val="00571BE5"/>
    <w:rsid w:val="00571EE1"/>
    <w:rsid w:val="00580C96"/>
    <w:rsid w:val="00581684"/>
    <w:rsid w:val="00582F68"/>
    <w:rsid w:val="00583DFD"/>
    <w:rsid w:val="00583E1A"/>
    <w:rsid w:val="00585DAA"/>
    <w:rsid w:val="00586358"/>
    <w:rsid w:val="00586768"/>
    <w:rsid w:val="0058709E"/>
    <w:rsid w:val="00587285"/>
    <w:rsid w:val="005910D8"/>
    <w:rsid w:val="0059185F"/>
    <w:rsid w:val="005929F7"/>
    <w:rsid w:val="00592B7D"/>
    <w:rsid w:val="005947D7"/>
    <w:rsid w:val="00595836"/>
    <w:rsid w:val="00595B01"/>
    <w:rsid w:val="0059694C"/>
    <w:rsid w:val="005971F0"/>
    <w:rsid w:val="00597594"/>
    <w:rsid w:val="005A2C89"/>
    <w:rsid w:val="005A3214"/>
    <w:rsid w:val="005A3828"/>
    <w:rsid w:val="005A4800"/>
    <w:rsid w:val="005A50EF"/>
    <w:rsid w:val="005A612F"/>
    <w:rsid w:val="005A6726"/>
    <w:rsid w:val="005A6B45"/>
    <w:rsid w:val="005A6CE5"/>
    <w:rsid w:val="005A7AD4"/>
    <w:rsid w:val="005A7DE4"/>
    <w:rsid w:val="005B03E6"/>
    <w:rsid w:val="005B0787"/>
    <w:rsid w:val="005B0B37"/>
    <w:rsid w:val="005B2CB9"/>
    <w:rsid w:val="005B3578"/>
    <w:rsid w:val="005B4444"/>
    <w:rsid w:val="005B456F"/>
    <w:rsid w:val="005B4D98"/>
    <w:rsid w:val="005B5857"/>
    <w:rsid w:val="005B7E21"/>
    <w:rsid w:val="005B7EB7"/>
    <w:rsid w:val="005C1854"/>
    <w:rsid w:val="005C2F08"/>
    <w:rsid w:val="005D0660"/>
    <w:rsid w:val="005D10EE"/>
    <w:rsid w:val="005D11A1"/>
    <w:rsid w:val="005D18AD"/>
    <w:rsid w:val="005D22E2"/>
    <w:rsid w:val="005D2566"/>
    <w:rsid w:val="005D365C"/>
    <w:rsid w:val="005D38CE"/>
    <w:rsid w:val="005D3FF4"/>
    <w:rsid w:val="005D534C"/>
    <w:rsid w:val="005D5E11"/>
    <w:rsid w:val="005D5ECB"/>
    <w:rsid w:val="005D66DE"/>
    <w:rsid w:val="005D694E"/>
    <w:rsid w:val="005D7AC0"/>
    <w:rsid w:val="005D7F2C"/>
    <w:rsid w:val="005E180E"/>
    <w:rsid w:val="005E1CF0"/>
    <w:rsid w:val="005E432B"/>
    <w:rsid w:val="005E492C"/>
    <w:rsid w:val="005E4937"/>
    <w:rsid w:val="005E4E28"/>
    <w:rsid w:val="005E609B"/>
    <w:rsid w:val="005F0940"/>
    <w:rsid w:val="005F11A0"/>
    <w:rsid w:val="005F2706"/>
    <w:rsid w:val="005F37BC"/>
    <w:rsid w:val="005F3985"/>
    <w:rsid w:val="005F4578"/>
    <w:rsid w:val="005F598D"/>
    <w:rsid w:val="005F5FC5"/>
    <w:rsid w:val="005F6994"/>
    <w:rsid w:val="005F6A8F"/>
    <w:rsid w:val="006006BE"/>
    <w:rsid w:val="00600AA1"/>
    <w:rsid w:val="00601136"/>
    <w:rsid w:val="00602427"/>
    <w:rsid w:val="006032BD"/>
    <w:rsid w:val="0060473D"/>
    <w:rsid w:val="0060502F"/>
    <w:rsid w:val="00605C53"/>
    <w:rsid w:val="00607669"/>
    <w:rsid w:val="00607A8C"/>
    <w:rsid w:val="0061040D"/>
    <w:rsid w:val="0061170B"/>
    <w:rsid w:val="00611933"/>
    <w:rsid w:val="00612CF1"/>
    <w:rsid w:val="00613532"/>
    <w:rsid w:val="00613B10"/>
    <w:rsid w:val="00614054"/>
    <w:rsid w:val="00614124"/>
    <w:rsid w:val="00615240"/>
    <w:rsid w:val="006162A4"/>
    <w:rsid w:val="006165DB"/>
    <w:rsid w:val="00616802"/>
    <w:rsid w:val="00616A69"/>
    <w:rsid w:val="00616B42"/>
    <w:rsid w:val="00616F50"/>
    <w:rsid w:val="006175B4"/>
    <w:rsid w:val="00617813"/>
    <w:rsid w:val="006178E5"/>
    <w:rsid w:val="0062126D"/>
    <w:rsid w:val="00621477"/>
    <w:rsid w:val="0062220C"/>
    <w:rsid w:val="0062260F"/>
    <w:rsid w:val="0062400F"/>
    <w:rsid w:val="00624900"/>
    <w:rsid w:val="006255D2"/>
    <w:rsid w:val="00625E74"/>
    <w:rsid w:val="00627826"/>
    <w:rsid w:val="00627CA2"/>
    <w:rsid w:val="0063066F"/>
    <w:rsid w:val="00631000"/>
    <w:rsid w:val="00631D6B"/>
    <w:rsid w:val="006364A1"/>
    <w:rsid w:val="00636F5F"/>
    <w:rsid w:val="006372A1"/>
    <w:rsid w:val="00637A64"/>
    <w:rsid w:val="00637D0F"/>
    <w:rsid w:val="00640C37"/>
    <w:rsid w:val="006420D2"/>
    <w:rsid w:val="00642A1C"/>
    <w:rsid w:val="00642F22"/>
    <w:rsid w:val="00643570"/>
    <w:rsid w:val="0064384B"/>
    <w:rsid w:val="00644A81"/>
    <w:rsid w:val="00655596"/>
    <w:rsid w:val="00656A58"/>
    <w:rsid w:val="00657754"/>
    <w:rsid w:val="00660913"/>
    <w:rsid w:val="00661917"/>
    <w:rsid w:val="006624E5"/>
    <w:rsid w:val="00662AA6"/>
    <w:rsid w:val="00662E0F"/>
    <w:rsid w:val="0066588A"/>
    <w:rsid w:val="00667260"/>
    <w:rsid w:val="00667501"/>
    <w:rsid w:val="00670C27"/>
    <w:rsid w:val="00670CD4"/>
    <w:rsid w:val="00671F6B"/>
    <w:rsid w:val="006720B1"/>
    <w:rsid w:val="006758A9"/>
    <w:rsid w:val="00675BD2"/>
    <w:rsid w:val="00675C36"/>
    <w:rsid w:val="00676DD0"/>
    <w:rsid w:val="00680591"/>
    <w:rsid w:val="00680807"/>
    <w:rsid w:val="00681426"/>
    <w:rsid w:val="006814F7"/>
    <w:rsid w:val="0068176F"/>
    <w:rsid w:val="00681EE9"/>
    <w:rsid w:val="00682112"/>
    <w:rsid w:val="006831DF"/>
    <w:rsid w:val="00683C80"/>
    <w:rsid w:val="00683E7F"/>
    <w:rsid w:val="00685B6A"/>
    <w:rsid w:val="006867F1"/>
    <w:rsid w:val="00686D1D"/>
    <w:rsid w:val="006941FF"/>
    <w:rsid w:val="00695E2A"/>
    <w:rsid w:val="00695ECD"/>
    <w:rsid w:val="0069754C"/>
    <w:rsid w:val="00697711"/>
    <w:rsid w:val="00697933"/>
    <w:rsid w:val="006A0513"/>
    <w:rsid w:val="006A0BBE"/>
    <w:rsid w:val="006A0D57"/>
    <w:rsid w:val="006A0E72"/>
    <w:rsid w:val="006A27ED"/>
    <w:rsid w:val="006A4202"/>
    <w:rsid w:val="006A56C7"/>
    <w:rsid w:val="006A5CE7"/>
    <w:rsid w:val="006A5F92"/>
    <w:rsid w:val="006A684F"/>
    <w:rsid w:val="006A7118"/>
    <w:rsid w:val="006B128E"/>
    <w:rsid w:val="006B196E"/>
    <w:rsid w:val="006B2EB6"/>
    <w:rsid w:val="006B4EA4"/>
    <w:rsid w:val="006B7878"/>
    <w:rsid w:val="006B7BE3"/>
    <w:rsid w:val="006B7D70"/>
    <w:rsid w:val="006C0E34"/>
    <w:rsid w:val="006C1820"/>
    <w:rsid w:val="006C2A8E"/>
    <w:rsid w:val="006C4E1A"/>
    <w:rsid w:val="006C6AC1"/>
    <w:rsid w:val="006C78CB"/>
    <w:rsid w:val="006C7E97"/>
    <w:rsid w:val="006D1DA6"/>
    <w:rsid w:val="006D2B5F"/>
    <w:rsid w:val="006D3C7D"/>
    <w:rsid w:val="006D5B3D"/>
    <w:rsid w:val="006D62DF"/>
    <w:rsid w:val="006D7119"/>
    <w:rsid w:val="006E066A"/>
    <w:rsid w:val="006E2444"/>
    <w:rsid w:val="006E5F09"/>
    <w:rsid w:val="006E71EB"/>
    <w:rsid w:val="006E7359"/>
    <w:rsid w:val="006F0005"/>
    <w:rsid w:val="006F03A6"/>
    <w:rsid w:val="006F0E36"/>
    <w:rsid w:val="006F2389"/>
    <w:rsid w:val="006F2AA7"/>
    <w:rsid w:val="006F2B39"/>
    <w:rsid w:val="006F3799"/>
    <w:rsid w:val="006F3B9D"/>
    <w:rsid w:val="006F49B1"/>
    <w:rsid w:val="006F4D8D"/>
    <w:rsid w:val="006F4FE4"/>
    <w:rsid w:val="006F6249"/>
    <w:rsid w:val="006F63A5"/>
    <w:rsid w:val="006F6E23"/>
    <w:rsid w:val="006F6FF6"/>
    <w:rsid w:val="006F7150"/>
    <w:rsid w:val="007009E7"/>
    <w:rsid w:val="00700F5A"/>
    <w:rsid w:val="0070147B"/>
    <w:rsid w:val="00701B8A"/>
    <w:rsid w:val="0070276E"/>
    <w:rsid w:val="00705F28"/>
    <w:rsid w:val="00706047"/>
    <w:rsid w:val="007061A1"/>
    <w:rsid w:val="0070660C"/>
    <w:rsid w:val="00710D7E"/>
    <w:rsid w:val="00711A36"/>
    <w:rsid w:val="00713B8C"/>
    <w:rsid w:val="00713DFF"/>
    <w:rsid w:val="007147F3"/>
    <w:rsid w:val="007159E4"/>
    <w:rsid w:val="007172AD"/>
    <w:rsid w:val="0071739D"/>
    <w:rsid w:val="00717CF4"/>
    <w:rsid w:val="00720D21"/>
    <w:rsid w:val="00723115"/>
    <w:rsid w:val="00723ADF"/>
    <w:rsid w:val="007257F9"/>
    <w:rsid w:val="00726207"/>
    <w:rsid w:val="00726DD9"/>
    <w:rsid w:val="007306F1"/>
    <w:rsid w:val="00730A32"/>
    <w:rsid w:val="00731457"/>
    <w:rsid w:val="00731778"/>
    <w:rsid w:val="00731E69"/>
    <w:rsid w:val="00732798"/>
    <w:rsid w:val="00732C4E"/>
    <w:rsid w:val="00735272"/>
    <w:rsid w:val="007367DC"/>
    <w:rsid w:val="0073685B"/>
    <w:rsid w:val="007400E0"/>
    <w:rsid w:val="007403F9"/>
    <w:rsid w:val="00741328"/>
    <w:rsid w:val="00741515"/>
    <w:rsid w:val="00741681"/>
    <w:rsid w:val="007429EF"/>
    <w:rsid w:val="00742B68"/>
    <w:rsid w:val="00744149"/>
    <w:rsid w:val="00745E20"/>
    <w:rsid w:val="00746FE6"/>
    <w:rsid w:val="00747737"/>
    <w:rsid w:val="007553E6"/>
    <w:rsid w:val="00755983"/>
    <w:rsid w:val="007571D7"/>
    <w:rsid w:val="007578A8"/>
    <w:rsid w:val="00760D1D"/>
    <w:rsid w:val="007612C2"/>
    <w:rsid w:val="0076168E"/>
    <w:rsid w:val="00763617"/>
    <w:rsid w:val="007661D3"/>
    <w:rsid w:val="0076745A"/>
    <w:rsid w:val="007677EA"/>
    <w:rsid w:val="00767C98"/>
    <w:rsid w:val="00767F8F"/>
    <w:rsid w:val="007700BA"/>
    <w:rsid w:val="007705AD"/>
    <w:rsid w:val="00773321"/>
    <w:rsid w:val="007752AA"/>
    <w:rsid w:val="0077768F"/>
    <w:rsid w:val="0078058B"/>
    <w:rsid w:val="0078277E"/>
    <w:rsid w:val="00782894"/>
    <w:rsid w:val="00782B47"/>
    <w:rsid w:val="007852E3"/>
    <w:rsid w:val="00786073"/>
    <w:rsid w:val="0078676E"/>
    <w:rsid w:val="00786854"/>
    <w:rsid w:val="00786DEC"/>
    <w:rsid w:val="00787ED8"/>
    <w:rsid w:val="00790126"/>
    <w:rsid w:val="007906D0"/>
    <w:rsid w:val="00790F8A"/>
    <w:rsid w:val="007928C3"/>
    <w:rsid w:val="007954D7"/>
    <w:rsid w:val="007A02C7"/>
    <w:rsid w:val="007A2159"/>
    <w:rsid w:val="007A2661"/>
    <w:rsid w:val="007A30D9"/>
    <w:rsid w:val="007A35AD"/>
    <w:rsid w:val="007A59B7"/>
    <w:rsid w:val="007B00A5"/>
    <w:rsid w:val="007B13ED"/>
    <w:rsid w:val="007B239B"/>
    <w:rsid w:val="007B322B"/>
    <w:rsid w:val="007B47ED"/>
    <w:rsid w:val="007B5BB3"/>
    <w:rsid w:val="007B647F"/>
    <w:rsid w:val="007B7478"/>
    <w:rsid w:val="007B77D1"/>
    <w:rsid w:val="007C163D"/>
    <w:rsid w:val="007C19D6"/>
    <w:rsid w:val="007C3DFF"/>
    <w:rsid w:val="007C423C"/>
    <w:rsid w:val="007C5571"/>
    <w:rsid w:val="007C6610"/>
    <w:rsid w:val="007C68BE"/>
    <w:rsid w:val="007C6EA9"/>
    <w:rsid w:val="007C7924"/>
    <w:rsid w:val="007C79A3"/>
    <w:rsid w:val="007D0FBE"/>
    <w:rsid w:val="007D20F3"/>
    <w:rsid w:val="007D2286"/>
    <w:rsid w:val="007D24C4"/>
    <w:rsid w:val="007D3A5C"/>
    <w:rsid w:val="007D42AA"/>
    <w:rsid w:val="007D47DC"/>
    <w:rsid w:val="007D627E"/>
    <w:rsid w:val="007E01E1"/>
    <w:rsid w:val="007E10C4"/>
    <w:rsid w:val="007E1C47"/>
    <w:rsid w:val="007E27F8"/>
    <w:rsid w:val="007E3565"/>
    <w:rsid w:val="007E3E31"/>
    <w:rsid w:val="007E5642"/>
    <w:rsid w:val="007E7B15"/>
    <w:rsid w:val="007F25FB"/>
    <w:rsid w:val="007F2DC8"/>
    <w:rsid w:val="007F2EBA"/>
    <w:rsid w:val="007F366A"/>
    <w:rsid w:val="007F5155"/>
    <w:rsid w:val="007F5359"/>
    <w:rsid w:val="007F5C8F"/>
    <w:rsid w:val="007F7363"/>
    <w:rsid w:val="007F7591"/>
    <w:rsid w:val="008006FD"/>
    <w:rsid w:val="00801FDA"/>
    <w:rsid w:val="00802936"/>
    <w:rsid w:val="008030B1"/>
    <w:rsid w:val="00803D49"/>
    <w:rsid w:val="00804806"/>
    <w:rsid w:val="0080498C"/>
    <w:rsid w:val="00804EC1"/>
    <w:rsid w:val="00805142"/>
    <w:rsid w:val="00805581"/>
    <w:rsid w:val="00806383"/>
    <w:rsid w:val="00807380"/>
    <w:rsid w:val="008076C7"/>
    <w:rsid w:val="00807A8B"/>
    <w:rsid w:val="00811481"/>
    <w:rsid w:val="00812149"/>
    <w:rsid w:val="008136EE"/>
    <w:rsid w:val="0081502D"/>
    <w:rsid w:val="00816025"/>
    <w:rsid w:val="00816063"/>
    <w:rsid w:val="008166EF"/>
    <w:rsid w:val="008200CF"/>
    <w:rsid w:val="00820CA0"/>
    <w:rsid w:val="008233E1"/>
    <w:rsid w:val="0082378A"/>
    <w:rsid w:val="00824D79"/>
    <w:rsid w:val="00825A28"/>
    <w:rsid w:val="00825F65"/>
    <w:rsid w:val="008260CB"/>
    <w:rsid w:val="00826122"/>
    <w:rsid w:val="008264EB"/>
    <w:rsid w:val="00827035"/>
    <w:rsid w:val="0082708B"/>
    <w:rsid w:val="008273E3"/>
    <w:rsid w:val="00827F63"/>
    <w:rsid w:val="0083086F"/>
    <w:rsid w:val="0083167B"/>
    <w:rsid w:val="00832850"/>
    <w:rsid w:val="008330F9"/>
    <w:rsid w:val="0083317D"/>
    <w:rsid w:val="00833239"/>
    <w:rsid w:val="008332E7"/>
    <w:rsid w:val="00833621"/>
    <w:rsid w:val="0083397B"/>
    <w:rsid w:val="008340F6"/>
    <w:rsid w:val="008349EB"/>
    <w:rsid w:val="008353BB"/>
    <w:rsid w:val="00835660"/>
    <w:rsid w:val="00836798"/>
    <w:rsid w:val="00836F65"/>
    <w:rsid w:val="00837133"/>
    <w:rsid w:val="008371EA"/>
    <w:rsid w:val="00840098"/>
    <w:rsid w:val="00840CA2"/>
    <w:rsid w:val="00841A63"/>
    <w:rsid w:val="008425E3"/>
    <w:rsid w:val="0084269D"/>
    <w:rsid w:val="00842B3F"/>
    <w:rsid w:val="00843A18"/>
    <w:rsid w:val="0084485D"/>
    <w:rsid w:val="00844ACE"/>
    <w:rsid w:val="008450A8"/>
    <w:rsid w:val="008452B9"/>
    <w:rsid w:val="0084548F"/>
    <w:rsid w:val="00846E1B"/>
    <w:rsid w:val="00850C78"/>
    <w:rsid w:val="00851B77"/>
    <w:rsid w:val="00852F46"/>
    <w:rsid w:val="008536F2"/>
    <w:rsid w:val="008538CF"/>
    <w:rsid w:val="00853D13"/>
    <w:rsid w:val="00853E24"/>
    <w:rsid w:val="0085482D"/>
    <w:rsid w:val="00854DB2"/>
    <w:rsid w:val="008550AE"/>
    <w:rsid w:val="00855E3C"/>
    <w:rsid w:val="0085623C"/>
    <w:rsid w:val="00856E9A"/>
    <w:rsid w:val="00861CE0"/>
    <w:rsid w:val="00863720"/>
    <w:rsid w:val="008646B6"/>
    <w:rsid w:val="0086681B"/>
    <w:rsid w:val="00870819"/>
    <w:rsid w:val="00870980"/>
    <w:rsid w:val="00870BAA"/>
    <w:rsid w:val="0087257F"/>
    <w:rsid w:val="008727F7"/>
    <w:rsid w:val="008752B3"/>
    <w:rsid w:val="00875BAE"/>
    <w:rsid w:val="00876797"/>
    <w:rsid w:val="008769B4"/>
    <w:rsid w:val="00876C2D"/>
    <w:rsid w:val="00876E38"/>
    <w:rsid w:val="00876F63"/>
    <w:rsid w:val="00880829"/>
    <w:rsid w:val="00880B5E"/>
    <w:rsid w:val="00880D77"/>
    <w:rsid w:val="008819F0"/>
    <w:rsid w:val="00882874"/>
    <w:rsid w:val="00883631"/>
    <w:rsid w:val="00883CF2"/>
    <w:rsid w:val="00884A23"/>
    <w:rsid w:val="00885A71"/>
    <w:rsid w:val="00885D72"/>
    <w:rsid w:val="0088648D"/>
    <w:rsid w:val="0088705D"/>
    <w:rsid w:val="00887355"/>
    <w:rsid w:val="0088762A"/>
    <w:rsid w:val="00887BE0"/>
    <w:rsid w:val="008905C3"/>
    <w:rsid w:val="00894A9B"/>
    <w:rsid w:val="00895894"/>
    <w:rsid w:val="00895C66"/>
    <w:rsid w:val="008A0B0E"/>
    <w:rsid w:val="008A10F2"/>
    <w:rsid w:val="008A176B"/>
    <w:rsid w:val="008A2502"/>
    <w:rsid w:val="008A2BFB"/>
    <w:rsid w:val="008A3C2A"/>
    <w:rsid w:val="008A54A8"/>
    <w:rsid w:val="008A5C61"/>
    <w:rsid w:val="008A727C"/>
    <w:rsid w:val="008A79DE"/>
    <w:rsid w:val="008B090A"/>
    <w:rsid w:val="008B1A09"/>
    <w:rsid w:val="008B28CC"/>
    <w:rsid w:val="008B2A9B"/>
    <w:rsid w:val="008B2FFD"/>
    <w:rsid w:val="008B3D12"/>
    <w:rsid w:val="008B4736"/>
    <w:rsid w:val="008B5B29"/>
    <w:rsid w:val="008B5EE8"/>
    <w:rsid w:val="008B6159"/>
    <w:rsid w:val="008B68BF"/>
    <w:rsid w:val="008B699E"/>
    <w:rsid w:val="008B6DEC"/>
    <w:rsid w:val="008B7C62"/>
    <w:rsid w:val="008B7D7E"/>
    <w:rsid w:val="008C0040"/>
    <w:rsid w:val="008C1932"/>
    <w:rsid w:val="008C1E9F"/>
    <w:rsid w:val="008C2B65"/>
    <w:rsid w:val="008C30E9"/>
    <w:rsid w:val="008C3B02"/>
    <w:rsid w:val="008C3EB8"/>
    <w:rsid w:val="008C426D"/>
    <w:rsid w:val="008C4946"/>
    <w:rsid w:val="008C5652"/>
    <w:rsid w:val="008C5AA6"/>
    <w:rsid w:val="008C5B48"/>
    <w:rsid w:val="008C5DF8"/>
    <w:rsid w:val="008D24B8"/>
    <w:rsid w:val="008D39AB"/>
    <w:rsid w:val="008D438C"/>
    <w:rsid w:val="008D469E"/>
    <w:rsid w:val="008D5BA9"/>
    <w:rsid w:val="008D5F90"/>
    <w:rsid w:val="008D6B53"/>
    <w:rsid w:val="008D6DA9"/>
    <w:rsid w:val="008E167A"/>
    <w:rsid w:val="008E3BE5"/>
    <w:rsid w:val="008E48DB"/>
    <w:rsid w:val="008E5456"/>
    <w:rsid w:val="008E6B6F"/>
    <w:rsid w:val="008E7435"/>
    <w:rsid w:val="008F032D"/>
    <w:rsid w:val="008F0C85"/>
    <w:rsid w:val="008F1B8C"/>
    <w:rsid w:val="008F20A3"/>
    <w:rsid w:val="008F2385"/>
    <w:rsid w:val="008F2913"/>
    <w:rsid w:val="008F3646"/>
    <w:rsid w:val="008F48EB"/>
    <w:rsid w:val="008F6D51"/>
    <w:rsid w:val="008F757B"/>
    <w:rsid w:val="008F7860"/>
    <w:rsid w:val="008F79D6"/>
    <w:rsid w:val="008F7B5A"/>
    <w:rsid w:val="00900883"/>
    <w:rsid w:val="009009CF"/>
    <w:rsid w:val="009071C8"/>
    <w:rsid w:val="00910B10"/>
    <w:rsid w:val="00911272"/>
    <w:rsid w:val="0091225E"/>
    <w:rsid w:val="00912A96"/>
    <w:rsid w:val="00913055"/>
    <w:rsid w:val="009146A1"/>
    <w:rsid w:val="009163E5"/>
    <w:rsid w:val="0091750C"/>
    <w:rsid w:val="009210BE"/>
    <w:rsid w:val="00923E4C"/>
    <w:rsid w:val="00925ECC"/>
    <w:rsid w:val="009322A4"/>
    <w:rsid w:val="00933262"/>
    <w:rsid w:val="00933D2B"/>
    <w:rsid w:val="0093443E"/>
    <w:rsid w:val="009345AC"/>
    <w:rsid w:val="00936F83"/>
    <w:rsid w:val="009376A1"/>
    <w:rsid w:val="00937893"/>
    <w:rsid w:val="00940B33"/>
    <w:rsid w:val="009412A6"/>
    <w:rsid w:val="00941350"/>
    <w:rsid w:val="009416DB"/>
    <w:rsid w:val="009418D5"/>
    <w:rsid w:val="00942191"/>
    <w:rsid w:val="00942D6A"/>
    <w:rsid w:val="00944891"/>
    <w:rsid w:val="0094551B"/>
    <w:rsid w:val="00947A67"/>
    <w:rsid w:val="00950525"/>
    <w:rsid w:val="009505DB"/>
    <w:rsid w:val="0095140E"/>
    <w:rsid w:val="009539FA"/>
    <w:rsid w:val="00954606"/>
    <w:rsid w:val="009553CA"/>
    <w:rsid w:val="009557EA"/>
    <w:rsid w:val="0095667F"/>
    <w:rsid w:val="009605EC"/>
    <w:rsid w:val="009606E1"/>
    <w:rsid w:val="00961DAF"/>
    <w:rsid w:val="00963F50"/>
    <w:rsid w:val="0096487F"/>
    <w:rsid w:val="009648CA"/>
    <w:rsid w:val="009650A3"/>
    <w:rsid w:val="00965B33"/>
    <w:rsid w:val="009666E6"/>
    <w:rsid w:val="00966B87"/>
    <w:rsid w:val="009713F8"/>
    <w:rsid w:val="00971E1C"/>
    <w:rsid w:val="00974CF9"/>
    <w:rsid w:val="009769E2"/>
    <w:rsid w:val="009776DC"/>
    <w:rsid w:val="009808ED"/>
    <w:rsid w:val="00980C57"/>
    <w:rsid w:val="00983205"/>
    <w:rsid w:val="00983E57"/>
    <w:rsid w:val="009853F3"/>
    <w:rsid w:val="00985CF7"/>
    <w:rsid w:val="009864AC"/>
    <w:rsid w:val="00987A18"/>
    <w:rsid w:val="00990803"/>
    <w:rsid w:val="009909DF"/>
    <w:rsid w:val="0099190A"/>
    <w:rsid w:val="00992E61"/>
    <w:rsid w:val="0099312E"/>
    <w:rsid w:val="00994444"/>
    <w:rsid w:val="00994C06"/>
    <w:rsid w:val="00995764"/>
    <w:rsid w:val="00997076"/>
    <w:rsid w:val="00997219"/>
    <w:rsid w:val="009A06BD"/>
    <w:rsid w:val="009A19F7"/>
    <w:rsid w:val="009A1CDA"/>
    <w:rsid w:val="009A291C"/>
    <w:rsid w:val="009A314B"/>
    <w:rsid w:val="009A4D0E"/>
    <w:rsid w:val="009A555B"/>
    <w:rsid w:val="009A5839"/>
    <w:rsid w:val="009A6064"/>
    <w:rsid w:val="009A6EB8"/>
    <w:rsid w:val="009A71D9"/>
    <w:rsid w:val="009B01C5"/>
    <w:rsid w:val="009B0C50"/>
    <w:rsid w:val="009B1D17"/>
    <w:rsid w:val="009B3E26"/>
    <w:rsid w:val="009B5BE3"/>
    <w:rsid w:val="009B721D"/>
    <w:rsid w:val="009B7DA0"/>
    <w:rsid w:val="009C0A75"/>
    <w:rsid w:val="009C2117"/>
    <w:rsid w:val="009C2C51"/>
    <w:rsid w:val="009C325B"/>
    <w:rsid w:val="009C32BD"/>
    <w:rsid w:val="009C401A"/>
    <w:rsid w:val="009C41CE"/>
    <w:rsid w:val="009C4435"/>
    <w:rsid w:val="009C681F"/>
    <w:rsid w:val="009C6E98"/>
    <w:rsid w:val="009C712E"/>
    <w:rsid w:val="009D04B3"/>
    <w:rsid w:val="009D06FD"/>
    <w:rsid w:val="009D074D"/>
    <w:rsid w:val="009D2A9F"/>
    <w:rsid w:val="009D4DB8"/>
    <w:rsid w:val="009D5804"/>
    <w:rsid w:val="009D64C6"/>
    <w:rsid w:val="009D67CF"/>
    <w:rsid w:val="009D7786"/>
    <w:rsid w:val="009E0519"/>
    <w:rsid w:val="009E0FC1"/>
    <w:rsid w:val="009E19B2"/>
    <w:rsid w:val="009E249B"/>
    <w:rsid w:val="009E2647"/>
    <w:rsid w:val="009E2CDC"/>
    <w:rsid w:val="009E386C"/>
    <w:rsid w:val="009E4C07"/>
    <w:rsid w:val="009E54FF"/>
    <w:rsid w:val="009E5612"/>
    <w:rsid w:val="009E57B2"/>
    <w:rsid w:val="009E687B"/>
    <w:rsid w:val="009E6973"/>
    <w:rsid w:val="009E7080"/>
    <w:rsid w:val="009F11AC"/>
    <w:rsid w:val="009F24A6"/>
    <w:rsid w:val="009F32C2"/>
    <w:rsid w:val="009F6950"/>
    <w:rsid w:val="009F6F41"/>
    <w:rsid w:val="009F7AFA"/>
    <w:rsid w:val="00A00A46"/>
    <w:rsid w:val="00A00CEF"/>
    <w:rsid w:val="00A0103B"/>
    <w:rsid w:val="00A01781"/>
    <w:rsid w:val="00A0267B"/>
    <w:rsid w:val="00A029B1"/>
    <w:rsid w:val="00A03D43"/>
    <w:rsid w:val="00A04380"/>
    <w:rsid w:val="00A05442"/>
    <w:rsid w:val="00A076DB"/>
    <w:rsid w:val="00A0772F"/>
    <w:rsid w:val="00A105EC"/>
    <w:rsid w:val="00A13381"/>
    <w:rsid w:val="00A13948"/>
    <w:rsid w:val="00A1401E"/>
    <w:rsid w:val="00A15295"/>
    <w:rsid w:val="00A17BAB"/>
    <w:rsid w:val="00A20470"/>
    <w:rsid w:val="00A208BF"/>
    <w:rsid w:val="00A20A57"/>
    <w:rsid w:val="00A20A8A"/>
    <w:rsid w:val="00A218D7"/>
    <w:rsid w:val="00A22D83"/>
    <w:rsid w:val="00A2335A"/>
    <w:rsid w:val="00A24B62"/>
    <w:rsid w:val="00A25C95"/>
    <w:rsid w:val="00A26514"/>
    <w:rsid w:val="00A27AEC"/>
    <w:rsid w:val="00A30867"/>
    <w:rsid w:val="00A30FE5"/>
    <w:rsid w:val="00A33C23"/>
    <w:rsid w:val="00A3427F"/>
    <w:rsid w:val="00A34754"/>
    <w:rsid w:val="00A35D62"/>
    <w:rsid w:val="00A36BB1"/>
    <w:rsid w:val="00A42BEC"/>
    <w:rsid w:val="00A43424"/>
    <w:rsid w:val="00A47EA8"/>
    <w:rsid w:val="00A504D4"/>
    <w:rsid w:val="00A50ECD"/>
    <w:rsid w:val="00A511F1"/>
    <w:rsid w:val="00A51262"/>
    <w:rsid w:val="00A55460"/>
    <w:rsid w:val="00A55977"/>
    <w:rsid w:val="00A56B6A"/>
    <w:rsid w:val="00A579A4"/>
    <w:rsid w:val="00A61449"/>
    <w:rsid w:val="00A62E70"/>
    <w:rsid w:val="00A6446C"/>
    <w:rsid w:val="00A660C0"/>
    <w:rsid w:val="00A6725B"/>
    <w:rsid w:val="00A67977"/>
    <w:rsid w:val="00A67D92"/>
    <w:rsid w:val="00A70F9E"/>
    <w:rsid w:val="00A728B2"/>
    <w:rsid w:val="00A72C07"/>
    <w:rsid w:val="00A734A5"/>
    <w:rsid w:val="00A75216"/>
    <w:rsid w:val="00A75D71"/>
    <w:rsid w:val="00A763DE"/>
    <w:rsid w:val="00A802C8"/>
    <w:rsid w:val="00A8049C"/>
    <w:rsid w:val="00A804D9"/>
    <w:rsid w:val="00A829E3"/>
    <w:rsid w:val="00A834D1"/>
    <w:rsid w:val="00A83ED5"/>
    <w:rsid w:val="00A84BF5"/>
    <w:rsid w:val="00A84EC6"/>
    <w:rsid w:val="00A85169"/>
    <w:rsid w:val="00A86388"/>
    <w:rsid w:val="00A874E9"/>
    <w:rsid w:val="00A87EED"/>
    <w:rsid w:val="00A90EAE"/>
    <w:rsid w:val="00A913A3"/>
    <w:rsid w:val="00A92D16"/>
    <w:rsid w:val="00A93232"/>
    <w:rsid w:val="00A93969"/>
    <w:rsid w:val="00A9516F"/>
    <w:rsid w:val="00A9586C"/>
    <w:rsid w:val="00A95A4A"/>
    <w:rsid w:val="00AA0050"/>
    <w:rsid w:val="00AA0FEE"/>
    <w:rsid w:val="00AA5257"/>
    <w:rsid w:val="00AA574D"/>
    <w:rsid w:val="00AA771C"/>
    <w:rsid w:val="00AB042A"/>
    <w:rsid w:val="00AB18A2"/>
    <w:rsid w:val="00AB3430"/>
    <w:rsid w:val="00AB3492"/>
    <w:rsid w:val="00AB64CF"/>
    <w:rsid w:val="00AB7CFA"/>
    <w:rsid w:val="00AC2E92"/>
    <w:rsid w:val="00AC4B9F"/>
    <w:rsid w:val="00AC74E0"/>
    <w:rsid w:val="00AC777F"/>
    <w:rsid w:val="00AD12C7"/>
    <w:rsid w:val="00AD1376"/>
    <w:rsid w:val="00AD539F"/>
    <w:rsid w:val="00AD6B59"/>
    <w:rsid w:val="00AD6DE3"/>
    <w:rsid w:val="00AE21E0"/>
    <w:rsid w:val="00AE2605"/>
    <w:rsid w:val="00AE568B"/>
    <w:rsid w:val="00AE5B78"/>
    <w:rsid w:val="00AE6A39"/>
    <w:rsid w:val="00AE6DCA"/>
    <w:rsid w:val="00AE6E49"/>
    <w:rsid w:val="00AE7CBB"/>
    <w:rsid w:val="00AF004E"/>
    <w:rsid w:val="00AF009F"/>
    <w:rsid w:val="00AF269A"/>
    <w:rsid w:val="00AF5390"/>
    <w:rsid w:val="00AF5C38"/>
    <w:rsid w:val="00AF5F26"/>
    <w:rsid w:val="00AF6C85"/>
    <w:rsid w:val="00AF6D39"/>
    <w:rsid w:val="00AF747E"/>
    <w:rsid w:val="00B00A90"/>
    <w:rsid w:val="00B01546"/>
    <w:rsid w:val="00B03D3E"/>
    <w:rsid w:val="00B03D5F"/>
    <w:rsid w:val="00B04002"/>
    <w:rsid w:val="00B042EB"/>
    <w:rsid w:val="00B045E8"/>
    <w:rsid w:val="00B06D9E"/>
    <w:rsid w:val="00B06FCE"/>
    <w:rsid w:val="00B12325"/>
    <w:rsid w:val="00B13BDC"/>
    <w:rsid w:val="00B1435B"/>
    <w:rsid w:val="00B1636B"/>
    <w:rsid w:val="00B16392"/>
    <w:rsid w:val="00B20D00"/>
    <w:rsid w:val="00B21748"/>
    <w:rsid w:val="00B22332"/>
    <w:rsid w:val="00B22D6A"/>
    <w:rsid w:val="00B22FA4"/>
    <w:rsid w:val="00B23853"/>
    <w:rsid w:val="00B24786"/>
    <w:rsid w:val="00B24FAE"/>
    <w:rsid w:val="00B25651"/>
    <w:rsid w:val="00B270C8"/>
    <w:rsid w:val="00B27675"/>
    <w:rsid w:val="00B314A8"/>
    <w:rsid w:val="00B316F9"/>
    <w:rsid w:val="00B32148"/>
    <w:rsid w:val="00B33505"/>
    <w:rsid w:val="00B3439A"/>
    <w:rsid w:val="00B34AF2"/>
    <w:rsid w:val="00B365AF"/>
    <w:rsid w:val="00B368D5"/>
    <w:rsid w:val="00B37581"/>
    <w:rsid w:val="00B377BA"/>
    <w:rsid w:val="00B402BA"/>
    <w:rsid w:val="00B405E4"/>
    <w:rsid w:val="00B4233F"/>
    <w:rsid w:val="00B42851"/>
    <w:rsid w:val="00B42C37"/>
    <w:rsid w:val="00B42F1F"/>
    <w:rsid w:val="00B43B8A"/>
    <w:rsid w:val="00B45C27"/>
    <w:rsid w:val="00B47522"/>
    <w:rsid w:val="00B50B10"/>
    <w:rsid w:val="00B50C31"/>
    <w:rsid w:val="00B527DF"/>
    <w:rsid w:val="00B530F7"/>
    <w:rsid w:val="00B531B8"/>
    <w:rsid w:val="00B53235"/>
    <w:rsid w:val="00B53300"/>
    <w:rsid w:val="00B53764"/>
    <w:rsid w:val="00B543BF"/>
    <w:rsid w:val="00B54B5B"/>
    <w:rsid w:val="00B552B9"/>
    <w:rsid w:val="00B5562E"/>
    <w:rsid w:val="00B55AA7"/>
    <w:rsid w:val="00B56177"/>
    <w:rsid w:val="00B60464"/>
    <w:rsid w:val="00B61397"/>
    <w:rsid w:val="00B61952"/>
    <w:rsid w:val="00B63B02"/>
    <w:rsid w:val="00B641F9"/>
    <w:rsid w:val="00B66020"/>
    <w:rsid w:val="00B66845"/>
    <w:rsid w:val="00B66A2F"/>
    <w:rsid w:val="00B67C3B"/>
    <w:rsid w:val="00B70030"/>
    <w:rsid w:val="00B704A3"/>
    <w:rsid w:val="00B70588"/>
    <w:rsid w:val="00B70880"/>
    <w:rsid w:val="00B71821"/>
    <w:rsid w:val="00B73B86"/>
    <w:rsid w:val="00B775AF"/>
    <w:rsid w:val="00B8174F"/>
    <w:rsid w:val="00B818A4"/>
    <w:rsid w:val="00B824FA"/>
    <w:rsid w:val="00B82A84"/>
    <w:rsid w:val="00B83D39"/>
    <w:rsid w:val="00B84580"/>
    <w:rsid w:val="00B8529C"/>
    <w:rsid w:val="00B85349"/>
    <w:rsid w:val="00B861CC"/>
    <w:rsid w:val="00B8711B"/>
    <w:rsid w:val="00B875B7"/>
    <w:rsid w:val="00B879E4"/>
    <w:rsid w:val="00B9064F"/>
    <w:rsid w:val="00B91218"/>
    <w:rsid w:val="00B93630"/>
    <w:rsid w:val="00B936A6"/>
    <w:rsid w:val="00B93F85"/>
    <w:rsid w:val="00B93FF3"/>
    <w:rsid w:val="00B95584"/>
    <w:rsid w:val="00B95A66"/>
    <w:rsid w:val="00B971C0"/>
    <w:rsid w:val="00B9779B"/>
    <w:rsid w:val="00BA1AEA"/>
    <w:rsid w:val="00BA39AC"/>
    <w:rsid w:val="00BA3A39"/>
    <w:rsid w:val="00BA3B85"/>
    <w:rsid w:val="00BA3D10"/>
    <w:rsid w:val="00BA68F1"/>
    <w:rsid w:val="00BA72EF"/>
    <w:rsid w:val="00BB1729"/>
    <w:rsid w:val="00BB1D34"/>
    <w:rsid w:val="00BB46E7"/>
    <w:rsid w:val="00BB67C0"/>
    <w:rsid w:val="00BB6CAD"/>
    <w:rsid w:val="00BC1E5C"/>
    <w:rsid w:val="00BC3DD7"/>
    <w:rsid w:val="00BC4490"/>
    <w:rsid w:val="00BC5615"/>
    <w:rsid w:val="00BC5A8A"/>
    <w:rsid w:val="00BC5AF7"/>
    <w:rsid w:val="00BC7045"/>
    <w:rsid w:val="00BC7DBE"/>
    <w:rsid w:val="00BD0C3C"/>
    <w:rsid w:val="00BD188B"/>
    <w:rsid w:val="00BD1E00"/>
    <w:rsid w:val="00BD3DA5"/>
    <w:rsid w:val="00BD596F"/>
    <w:rsid w:val="00BD6C04"/>
    <w:rsid w:val="00BD75AC"/>
    <w:rsid w:val="00BD75E5"/>
    <w:rsid w:val="00BD7FC3"/>
    <w:rsid w:val="00BE00DB"/>
    <w:rsid w:val="00BE0300"/>
    <w:rsid w:val="00BE0D68"/>
    <w:rsid w:val="00BE0FDD"/>
    <w:rsid w:val="00BE20A9"/>
    <w:rsid w:val="00BE2671"/>
    <w:rsid w:val="00BE2824"/>
    <w:rsid w:val="00BE3C36"/>
    <w:rsid w:val="00BE4275"/>
    <w:rsid w:val="00BE73F7"/>
    <w:rsid w:val="00BE7704"/>
    <w:rsid w:val="00BF180D"/>
    <w:rsid w:val="00BF198A"/>
    <w:rsid w:val="00BF2F1C"/>
    <w:rsid w:val="00BF30A0"/>
    <w:rsid w:val="00BF4D31"/>
    <w:rsid w:val="00BF5067"/>
    <w:rsid w:val="00BF5A11"/>
    <w:rsid w:val="00BF5DBF"/>
    <w:rsid w:val="00BF5F91"/>
    <w:rsid w:val="00BF61C9"/>
    <w:rsid w:val="00C00A32"/>
    <w:rsid w:val="00C01A93"/>
    <w:rsid w:val="00C0260E"/>
    <w:rsid w:val="00C02906"/>
    <w:rsid w:val="00C02AB1"/>
    <w:rsid w:val="00C0378D"/>
    <w:rsid w:val="00C03B70"/>
    <w:rsid w:val="00C045DA"/>
    <w:rsid w:val="00C04BDF"/>
    <w:rsid w:val="00C04C5A"/>
    <w:rsid w:val="00C04F72"/>
    <w:rsid w:val="00C0561F"/>
    <w:rsid w:val="00C057FD"/>
    <w:rsid w:val="00C0662A"/>
    <w:rsid w:val="00C067E7"/>
    <w:rsid w:val="00C075E1"/>
    <w:rsid w:val="00C07FAF"/>
    <w:rsid w:val="00C10065"/>
    <w:rsid w:val="00C10570"/>
    <w:rsid w:val="00C124DB"/>
    <w:rsid w:val="00C1284F"/>
    <w:rsid w:val="00C12BAF"/>
    <w:rsid w:val="00C14D4D"/>
    <w:rsid w:val="00C15E38"/>
    <w:rsid w:val="00C16576"/>
    <w:rsid w:val="00C1725E"/>
    <w:rsid w:val="00C17F79"/>
    <w:rsid w:val="00C21D46"/>
    <w:rsid w:val="00C25328"/>
    <w:rsid w:val="00C25A3F"/>
    <w:rsid w:val="00C26C67"/>
    <w:rsid w:val="00C30615"/>
    <w:rsid w:val="00C31649"/>
    <w:rsid w:val="00C322AC"/>
    <w:rsid w:val="00C3274A"/>
    <w:rsid w:val="00C3276E"/>
    <w:rsid w:val="00C34286"/>
    <w:rsid w:val="00C34464"/>
    <w:rsid w:val="00C37245"/>
    <w:rsid w:val="00C378E8"/>
    <w:rsid w:val="00C40385"/>
    <w:rsid w:val="00C40B87"/>
    <w:rsid w:val="00C43104"/>
    <w:rsid w:val="00C4480E"/>
    <w:rsid w:val="00C44E8C"/>
    <w:rsid w:val="00C4523F"/>
    <w:rsid w:val="00C45A50"/>
    <w:rsid w:val="00C45D63"/>
    <w:rsid w:val="00C50095"/>
    <w:rsid w:val="00C51747"/>
    <w:rsid w:val="00C5174E"/>
    <w:rsid w:val="00C546B7"/>
    <w:rsid w:val="00C54753"/>
    <w:rsid w:val="00C54DE7"/>
    <w:rsid w:val="00C60634"/>
    <w:rsid w:val="00C608B9"/>
    <w:rsid w:val="00C60B59"/>
    <w:rsid w:val="00C62B18"/>
    <w:rsid w:val="00C638DC"/>
    <w:rsid w:val="00C65576"/>
    <w:rsid w:val="00C656E0"/>
    <w:rsid w:val="00C6641C"/>
    <w:rsid w:val="00C7183F"/>
    <w:rsid w:val="00C7330F"/>
    <w:rsid w:val="00C75699"/>
    <w:rsid w:val="00C76933"/>
    <w:rsid w:val="00C76AF9"/>
    <w:rsid w:val="00C779A2"/>
    <w:rsid w:val="00C81A26"/>
    <w:rsid w:val="00C82044"/>
    <w:rsid w:val="00C8213F"/>
    <w:rsid w:val="00C85C7A"/>
    <w:rsid w:val="00C8607B"/>
    <w:rsid w:val="00C86FC1"/>
    <w:rsid w:val="00C87607"/>
    <w:rsid w:val="00C8797A"/>
    <w:rsid w:val="00C87A31"/>
    <w:rsid w:val="00C90ACF"/>
    <w:rsid w:val="00C9152E"/>
    <w:rsid w:val="00C92E29"/>
    <w:rsid w:val="00C93216"/>
    <w:rsid w:val="00C938CF"/>
    <w:rsid w:val="00C93D57"/>
    <w:rsid w:val="00C96BFB"/>
    <w:rsid w:val="00CA0903"/>
    <w:rsid w:val="00CA0FB7"/>
    <w:rsid w:val="00CA1F15"/>
    <w:rsid w:val="00CA2409"/>
    <w:rsid w:val="00CA2939"/>
    <w:rsid w:val="00CA3DDF"/>
    <w:rsid w:val="00CA5245"/>
    <w:rsid w:val="00CA53D8"/>
    <w:rsid w:val="00CA553B"/>
    <w:rsid w:val="00CA7B09"/>
    <w:rsid w:val="00CA7DCF"/>
    <w:rsid w:val="00CB0402"/>
    <w:rsid w:val="00CB15B9"/>
    <w:rsid w:val="00CB273B"/>
    <w:rsid w:val="00CB2AD3"/>
    <w:rsid w:val="00CB3A67"/>
    <w:rsid w:val="00CB475E"/>
    <w:rsid w:val="00CB485A"/>
    <w:rsid w:val="00CB539C"/>
    <w:rsid w:val="00CB58A9"/>
    <w:rsid w:val="00CB5B1A"/>
    <w:rsid w:val="00CB6A78"/>
    <w:rsid w:val="00CB7946"/>
    <w:rsid w:val="00CC14D1"/>
    <w:rsid w:val="00CC21F9"/>
    <w:rsid w:val="00CC35C9"/>
    <w:rsid w:val="00CC3D55"/>
    <w:rsid w:val="00CC48A8"/>
    <w:rsid w:val="00CC4B77"/>
    <w:rsid w:val="00CC4F67"/>
    <w:rsid w:val="00CC5A9F"/>
    <w:rsid w:val="00CD0FAD"/>
    <w:rsid w:val="00CD1AF6"/>
    <w:rsid w:val="00CD1B87"/>
    <w:rsid w:val="00CD2DD0"/>
    <w:rsid w:val="00CD543B"/>
    <w:rsid w:val="00CD61F8"/>
    <w:rsid w:val="00CD6818"/>
    <w:rsid w:val="00CD7D38"/>
    <w:rsid w:val="00CE6274"/>
    <w:rsid w:val="00CE726F"/>
    <w:rsid w:val="00CE7D2A"/>
    <w:rsid w:val="00CF1702"/>
    <w:rsid w:val="00CF19F2"/>
    <w:rsid w:val="00CF1E23"/>
    <w:rsid w:val="00CF270E"/>
    <w:rsid w:val="00CF3187"/>
    <w:rsid w:val="00CF333D"/>
    <w:rsid w:val="00CF3AC2"/>
    <w:rsid w:val="00CF4BAC"/>
    <w:rsid w:val="00CF5A22"/>
    <w:rsid w:val="00CF67F7"/>
    <w:rsid w:val="00CF6B47"/>
    <w:rsid w:val="00CF6F8F"/>
    <w:rsid w:val="00D00DD1"/>
    <w:rsid w:val="00D0165A"/>
    <w:rsid w:val="00D02350"/>
    <w:rsid w:val="00D0262E"/>
    <w:rsid w:val="00D03E51"/>
    <w:rsid w:val="00D044B3"/>
    <w:rsid w:val="00D0536C"/>
    <w:rsid w:val="00D06525"/>
    <w:rsid w:val="00D06CC1"/>
    <w:rsid w:val="00D109B0"/>
    <w:rsid w:val="00D11F40"/>
    <w:rsid w:val="00D12D8D"/>
    <w:rsid w:val="00D12FEC"/>
    <w:rsid w:val="00D13EFC"/>
    <w:rsid w:val="00D14159"/>
    <w:rsid w:val="00D143E1"/>
    <w:rsid w:val="00D15265"/>
    <w:rsid w:val="00D15404"/>
    <w:rsid w:val="00D16BBD"/>
    <w:rsid w:val="00D16F8F"/>
    <w:rsid w:val="00D17D6C"/>
    <w:rsid w:val="00D2001F"/>
    <w:rsid w:val="00D21489"/>
    <w:rsid w:val="00D219A3"/>
    <w:rsid w:val="00D21EAE"/>
    <w:rsid w:val="00D243A4"/>
    <w:rsid w:val="00D24612"/>
    <w:rsid w:val="00D255E6"/>
    <w:rsid w:val="00D2564C"/>
    <w:rsid w:val="00D316BB"/>
    <w:rsid w:val="00D319B7"/>
    <w:rsid w:val="00D31BAB"/>
    <w:rsid w:val="00D337EB"/>
    <w:rsid w:val="00D34D88"/>
    <w:rsid w:val="00D35CC0"/>
    <w:rsid w:val="00D35D18"/>
    <w:rsid w:val="00D411C7"/>
    <w:rsid w:val="00D422B6"/>
    <w:rsid w:val="00D42A21"/>
    <w:rsid w:val="00D43A34"/>
    <w:rsid w:val="00D43E9F"/>
    <w:rsid w:val="00D45C61"/>
    <w:rsid w:val="00D45F81"/>
    <w:rsid w:val="00D463C3"/>
    <w:rsid w:val="00D5084C"/>
    <w:rsid w:val="00D52224"/>
    <w:rsid w:val="00D5456E"/>
    <w:rsid w:val="00D550EF"/>
    <w:rsid w:val="00D559E9"/>
    <w:rsid w:val="00D577D3"/>
    <w:rsid w:val="00D611A5"/>
    <w:rsid w:val="00D6158E"/>
    <w:rsid w:val="00D630B1"/>
    <w:rsid w:val="00D63891"/>
    <w:rsid w:val="00D64589"/>
    <w:rsid w:val="00D6477E"/>
    <w:rsid w:val="00D64ABB"/>
    <w:rsid w:val="00D651C1"/>
    <w:rsid w:val="00D65E12"/>
    <w:rsid w:val="00D677F8"/>
    <w:rsid w:val="00D67977"/>
    <w:rsid w:val="00D67DA2"/>
    <w:rsid w:val="00D714EE"/>
    <w:rsid w:val="00D71DD7"/>
    <w:rsid w:val="00D7290B"/>
    <w:rsid w:val="00D8082B"/>
    <w:rsid w:val="00D8089F"/>
    <w:rsid w:val="00D80912"/>
    <w:rsid w:val="00D809BE"/>
    <w:rsid w:val="00D81AEE"/>
    <w:rsid w:val="00D82B8A"/>
    <w:rsid w:val="00D841AD"/>
    <w:rsid w:val="00D8425B"/>
    <w:rsid w:val="00D861B9"/>
    <w:rsid w:val="00D90262"/>
    <w:rsid w:val="00D90730"/>
    <w:rsid w:val="00D90E6D"/>
    <w:rsid w:val="00D9148B"/>
    <w:rsid w:val="00D91906"/>
    <w:rsid w:val="00D941A8"/>
    <w:rsid w:val="00D94E74"/>
    <w:rsid w:val="00D9520F"/>
    <w:rsid w:val="00D954D9"/>
    <w:rsid w:val="00D971CF"/>
    <w:rsid w:val="00D97624"/>
    <w:rsid w:val="00DA2CB9"/>
    <w:rsid w:val="00DA2E15"/>
    <w:rsid w:val="00DA3B6A"/>
    <w:rsid w:val="00DA6AA4"/>
    <w:rsid w:val="00DA6D31"/>
    <w:rsid w:val="00DA7D74"/>
    <w:rsid w:val="00DB0576"/>
    <w:rsid w:val="00DB05D8"/>
    <w:rsid w:val="00DB0CE9"/>
    <w:rsid w:val="00DB153E"/>
    <w:rsid w:val="00DB2257"/>
    <w:rsid w:val="00DB2A3E"/>
    <w:rsid w:val="00DB3046"/>
    <w:rsid w:val="00DB3094"/>
    <w:rsid w:val="00DB31BE"/>
    <w:rsid w:val="00DB4585"/>
    <w:rsid w:val="00DB475E"/>
    <w:rsid w:val="00DB5902"/>
    <w:rsid w:val="00DC0E3D"/>
    <w:rsid w:val="00DC5226"/>
    <w:rsid w:val="00DC5501"/>
    <w:rsid w:val="00DC6EB7"/>
    <w:rsid w:val="00DC7B72"/>
    <w:rsid w:val="00DD1143"/>
    <w:rsid w:val="00DD12C4"/>
    <w:rsid w:val="00DD33C9"/>
    <w:rsid w:val="00DD3F28"/>
    <w:rsid w:val="00DD4470"/>
    <w:rsid w:val="00DD4537"/>
    <w:rsid w:val="00DD47C5"/>
    <w:rsid w:val="00DD5C2E"/>
    <w:rsid w:val="00DD6813"/>
    <w:rsid w:val="00DE041B"/>
    <w:rsid w:val="00DE07A3"/>
    <w:rsid w:val="00DE07C5"/>
    <w:rsid w:val="00DE1596"/>
    <w:rsid w:val="00DE4552"/>
    <w:rsid w:val="00DE49E9"/>
    <w:rsid w:val="00DE659C"/>
    <w:rsid w:val="00DE73D7"/>
    <w:rsid w:val="00DF20E2"/>
    <w:rsid w:val="00DF225B"/>
    <w:rsid w:val="00DF2371"/>
    <w:rsid w:val="00DF2C4D"/>
    <w:rsid w:val="00DF51AA"/>
    <w:rsid w:val="00DF51FB"/>
    <w:rsid w:val="00DF534C"/>
    <w:rsid w:val="00DF68BC"/>
    <w:rsid w:val="00E012C9"/>
    <w:rsid w:val="00E01887"/>
    <w:rsid w:val="00E02F4B"/>
    <w:rsid w:val="00E03947"/>
    <w:rsid w:val="00E039A6"/>
    <w:rsid w:val="00E03A62"/>
    <w:rsid w:val="00E0653C"/>
    <w:rsid w:val="00E071BD"/>
    <w:rsid w:val="00E12D19"/>
    <w:rsid w:val="00E12FDE"/>
    <w:rsid w:val="00E130F6"/>
    <w:rsid w:val="00E14683"/>
    <w:rsid w:val="00E16372"/>
    <w:rsid w:val="00E22292"/>
    <w:rsid w:val="00E2240D"/>
    <w:rsid w:val="00E2249B"/>
    <w:rsid w:val="00E2306C"/>
    <w:rsid w:val="00E2372B"/>
    <w:rsid w:val="00E23E67"/>
    <w:rsid w:val="00E2523B"/>
    <w:rsid w:val="00E254B8"/>
    <w:rsid w:val="00E26458"/>
    <w:rsid w:val="00E27396"/>
    <w:rsid w:val="00E304CD"/>
    <w:rsid w:val="00E30911"/>
    <w:rsid w:val="00E312CB"/>
    <w:rsid w:val="00E31CDC"/>
    <w:rsid w:val="00E32693"/>
    <w:rsid w:val="00E327B9"/>
    <w:rsid w:val="00E32966"/>
    <w:rsid w:val="00E33050"/>
    <w:rsid w:val="00E344A1"/>
    <w:rsid w:val="00E3678D"/>
    <w:rsid w:val="00E40216"/>
    <w:rsid w:val="00E43C2B"/>
    <w:rsid w:val="00E43C2C"/>
    <w:rsid w:val="00E43DAF"/>
    <w:rsid w:val="00E443A3"/>
    <w:rsid w:val="00E44559"/>
    <w:rsid w:val="00E459AA"/>
    <w:rsid w:val="00E47B2C"/>
    <w:rsid w:val="00E50E71"/>
    <w:rsid w:val="00E52CC7"/>
    <w:rsid w:val="00E52CE9"/>
    <w:rsid w:val="00E534E9"/>
    <w:rsid w:val="00E55424"/>
    <w:rsid w:val="00E57B2D"/>
    <w:rsid w:val="00E61FB6"/>
    <w:rsid w:val="00E62597"/>
    <w:rsid w:val="00E626AF"/>
    <w:rsid w:val="00E63C61"/>
    <w:rsid w:val="00E6428B"/>
    <w:rsid w:val="00E643C0"/>
    <w:rsid w:val="00E6548E"/>
    <w:rsid w:val="00E65E79"/>
    <w:rsid w:val="00E6681A"/>
    <w:rsid w:val="00E6706F"/>
    <w:rsid w:val="00E671E9"/>
    <w:rsid w:val="00E67416"/>
    <w:rsid w:val="00E70130"/>
    <w:rsid w:val="00E718B6"/>
    <w:rsid w:val="00E72E93"/>
    <w:rsid w:val="00E73581"/>
    <w:rsid w:val="00E75358"/>
    <w:rsid w:val="00E75CBE"/>
    <w:rsid w:val="00E76BE7"/>
    <w:rsid w:val="00E7780D"/>
    <w:rsid w:val="00E80698"/>
    <w:rsid w:val="00E820A9"/>
    <w:rsid w:val="00E82105"/>
    <w:rsid w:val="00E82DF6"/>
    <w:rsid w:val="00E83BDF"/>
    <w:rsid w:val="00E84881"/>
    <w:rsid w:val="00E84DB5"/>
    <w:rsid w:val="00E84FD0"/>
    <w:rsid w:val="00E90231"/>
    <w:rsid w:val="00E90279"/>
    <w:rsid w:val="00E931CF"/>
    <w:rsid w:val="00E932C5"/>
    <w:rsid w:val="00E960CF"/>
    <w:rsid w:val="00EA2857"/>
    <w:rsid w:val="00EA3465"/>
    <w:rsid w:val="00EA3864"/>
    <w:rsid w:val="00EA4249"/>
    <w:rsid w:val="00EA7D83"/>
    <w:rsid w:val="00EB0168"/>
    <w:rsid w:val="00EB01E1"/>
    <w:rsid w:val="00EB0E50"/>
    <w:rsid w:val="00EB0F82"/>
    <w:rsid w:val="00EB152E"/>
    <w:rsid w:val="00EB245A"/>
    <w:rsid w:val="00EB50E6"/>
    <w:rsid w:val="00EB512C"/>
    <w:rsid w:val="00EB52F1"/>
    <w:rsid w:val="00EB6308"/>
    <w:rsid w:val="00EB7836"/>
    <w:rsid w:val="00EC07A0"/>
    <w:rsid w:val="00EC0C52"/>
    <w:rsid w:val="00EC1DB8"/>
    <w:rsid w:val="00EC2CB8"/>
    <w:rsid w:val="00EC2E67"/>
    <w:rsid w:val="00EC6B0F"/>
    <w:rsid w:val="00EC6D22"/>
    <w:rsid w:val="00ED0F04"/>
    <w:rsid w:val="00ED1DF2"/>
    <w:rsid w:val="00ED1F3C"/>
    <w:rsid w:val="00ED2049"/>
    <w:rsid w:val="00ED3F9F"/>
    <w:rsid w:val="00ED4133"/>
    <w:rsid w:val="00ED4B61"/>
    <w:rsid w:val="00ED670A"/>
    <w:rsid w:val="00ED711F"/>
    <w:rsid w:val="00ED7CE5"/>
    <w:rsid w:val="00EE07D3"/>
    <w:rsid w:val="00EE19E1"/>
    <w:rsid w:val="00EE284A"/>
    <w:rsid w:val="00EE5DCE"/>
    <w:rsid w:val="00EE6212"/>
    <w:rsid w:val="00EE7AE5"/>
    <w:rsid w:val="00EF0496"/>
    <w:rsid w:val="00EF258F"/>
    <w:rsid w:val="00EF2D82"/>
    <w:rsid w:val="00EF2F46"/>
    <w:rsid w:val="00EF49BD"/>
    <w:rsid w:val="00EF542B"/>
    <w:rsid w:val="00EF543D"/>
    <w:rsid w:val="00EF5456"/>
    <w:rsid w:val="00EF5F3E"/>
    <w:rsid w:val="00EF679A"/>
    <w:rsid w:val="00EF6AF3"/>
    <w:rsid w:val="00EF7C18"/>
    <w:rsid w:val="00F0068E"/>
    <w:rsid w:val="00F00773"/>
    <w:rsid w:val="00F00878"/>
    <w:rsid w:val="00F01275"/>
    <w:rsid w:val="00F02D14"/>
    <w:rsid w:val="00F0307A"/>
    <w:rsid w:val="00F06B35"/>
    <w:rsid w:val="00F06C50"/>
    <w:rsid w:val="00F111DF"/>
    <w:rsid w:val="00F119B4"/>
    <w:rsid w:val="00F11C92"/>
    <w:rsid w:val="00F13900"/>
    <w:rsid w:val="00F15913"/>
    <w:rsid w:val="00F15973"/>
    <w:rsid w:val="00F161F0"/>
    <w:rsid w:val="00F164CA"/>
    <w:rsid w:val="00F21BB7"/>
    <w:rsid w:val="00F21F29"/>
    <w:rsid w:val="00F224DB"/>
    <w:rsid w:val="00F22F34"/>
    <w:rsid w:val="00F2345E"/>
    <w:rsid w:val="00F2570F"/>
    <w:rsid w:val="00F2575F"/>
    <w:rsid w:val="00F264A5"/>
    <w:rsid w:val="00F27B67"/>
    <w:rsid w:val="00F27F7B"/>
    <w:rsid w:val="00F3063A"/>
    <w:rsid w:val="00F32ED5"/>
    <w:rsid w:val="00F33907"/>
    <w:rsid w:val="00F33DE9"/>
    <w:rsid w:val="00F34EF3"/>
    <w:rsid w:val="00F34F0B"/>
    <w:rsid w:val="00F3539D"/>
    <w:rsid w:val="00F35F4C"/>
    <w:rsid w:val="00F36104"/>
    <w:rsid w:val="00F36235"/>
    <w:rsid w:val="00F36978"/>
    <w:rsid w:val="00F40DAA"/>
    <w:rsid w:val="00F413D7"/>
    <w:rsid w:val="00F42ADD"/>
    <w:rsid w:val="00F438E4"/>
    <w:rsid w:val="00F43E17"/>
    <w:rsid w:val="00F44E3C"/>
    <w:rsid w:val="00F46CB6"/>
    <w:rsid w:val="00F47224"/>
    <w:rsid w:val="00F5008F"/>
    <w:rsid w:val="00F513F6"/>
    <w:rsid w:val="00F51ADA"/>
    <w:rsid w:val="00F53CA5"/>
    <w:rsid w:val="00F55070"/>
    <w:rsid w:val="00F557B3"/>
    <w:rsid w:val="00F55B77"/>
    <w:rsid w:val="00F55F6D"/>
    <w:rsid w:val="00F566C0"/>
    <w:rsid w:val="00F567B4"/>
    <w:rsid w:val="00F61B3C"/>
    <w:rsid w:val="00F61E50"/>
    <w:rsid w:val="00F62D34"/>
    <w:rsid w:val="00F6491F"/>
    <w:rsid w:val="00F65C5C"/>
    <w:rsid w:val="00F66D03"/>
    <w:rsid w:val="00F670F7"/>
    <w:rsid w:val="00F701AE"/>
    <w:rsid w:val="00F70692"/>
    <w:rsid w:val="00F712EF"/>
    <w:rsid w:val="00F724A0"/>
    <w:rsid w:val="00F72B96"/>
    <w:rsid w:val="00F7352C"/>
    <w:rsid w:val="00F73F95"/>
    <w:rsid w:val="00F76BA3"/>
    <w:rsid w:val="00F821F8"/>
    <w:rsid w:val="00F8666B"/>
    <w:rsid w:val="00F8683F"/>
    <w:rsid w:val="00F86C55"/>
    <w:rsid w:val="00F944A9"/>
    <w:rsid w:val="00F94A8C"/>
    <w:rsid w:val="00F94B0E"/>
    <w:rsid w:val="00F95BB1"/>
    <w:rsid w:val="00F96170"/>
    <w:rsid w:val="00FA0A25"/>
    <w:rsid w:val="00FA0CFD"/>
    <w:rsid w:val="00FA1DA7"/>
    <w:rsid w:val="00FA272D"/>
    <w:rsid w:val="00FA5892"/>
    <w:rsid w:val="00FA6734"/>
    <w:rsid w:val="00FB08F3"/>
    <w:rsid w:val="00FB0DA7"/>
    <w:rsid w:val="00FB14E1"/>
    <w:rsid w:val="00FB17D0"/>
    <w:rsid w:val="00FB197D"/>
    <w:rsid w:val="00FB3EDB"/>
    <w:rsid w:val="00FB4206"/>
    <w:rsid w:val="00FB4557"/>
    <w:rsid w:val="00FB52D4"/>
    <w:rsid w:val="00FB59E0"/>
    <w:rsid w:val="00FC1074"/>
    <w:rsid w:val="00FC1E7F"/>
    <w:rsid w:val="00FC2602"/>
    <w:rsid w:val="00FC266D"/>
    <w:rsid w:val="00FC4D35"/>
    <w:rsid w:val="00FC579D"/>
    <w:rsid w:val="00FC5D37"/>
    <w:rsid w:val="00FC5FC4"/>
    <w:rsid w:val="00FC6D3E"/>
    <w:rsid w:val="00FD1548"/>
    <w:rsid w:val="00FD2100"/>
    <w:rsid w:val="00FD3506"/>
    <w:rsid w:val="00FD412B"/>
    <w:rsid w:val="00FD446D"/>
    <w:rsid w:val="00FD5BF3"/>
    <w:rsid w:val="00FD79F8"/>
    <w:rsid w:val="00FD7A74"/>
    <w:rsid w:val="00FD7BAF"/>
    <w:rsid w:val="00FE0DED"/>
    <w:rsid w:val="00FE41C4"/>
    <w:rsid w:val="00FE4350"/>
    <w:rsid w:val="00FE50AF"/>
    <w:rsid w:val="00FE575F"/>
    <w:rsid w:val="00FE6EE0"/>
    <w:rsid w:val="00FE7AA9"/>
    <w:rsid w:val="00FE7D14"/>
    <w:rsid w:val="00FF0427"/>
    <w:rsid w:val="00FF36EA"/>
    <w:rsid w:val="00FF3DCF"/>
    <w:rsid w:val="00FF4A2D"/>
    <w:rsid w:val="00FF5077"/>
    <w:rsid w:val="00FF5303"/>
    <w:rsid w:val="00FF5AA3"/>
    <w:rsid w:val="00FF5F22"/>
    <w:rsid w:val="00FF6EBD"/>
    <w:rsid w:val="00FF718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49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F567B4"/>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835660"/>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D0F04"/>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Caption Char Char,IB Caption Char,Medical Caption Char,Caption Char1 Char Char Char,Caption Char Char Char Char Char1,Caption Char1 Char Char1,Caption Char Char Char Char Char Char,Caption Char Char Char1,IB 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1 Char1,Caption Char Char Char2,IB Caption Char Char1,Medical Caption Char Char1,Caption Char1 Char Char Char Char1,Caption Char Char Char Char Char1 Char1,Caption Char1 Char Char1 Char1,Caption Char Char Char1 Char1"/>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Table Gridbeth"/>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D0F04"/>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B824FA"/>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B824FA"/>
    <w:pPr>
      <w:tabs>
        <w:tab w:val="left" w:pos="440"/>
        <w:tab w:val="right" w:leader="dot" w:pos="9016"/>
      </w:tabs>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Revision">
    <w:name w:val="Revision"/>
    <w:hidden/>
    <w:uiPriority w:val="99"/>
    <w:semiHidden/>
    <w:rsid w:val="000414BB"/>
    <w:rPr>
      <w:rFonts w:ascii="Arial" w:hAnsi="Arial" w:cs="Arial"/>
      <w:snapToGrid w:val="0"/>
      <w:sz w:val="22"/>
      <w:lang w:eastAsia="en-US"/>
    </w:rPr>
  </w:style>
  <w:style w:type="paragraph" w:styleId="BodyTextIndent">
    <w:name w:val="Body Text Indent"/>
    <w:basedOn w:val="Normal"/>
    <w:link w:val="BodyTextIndentChar"/>
    <w:rsid w:val="000372AD"/>
    <w:pPr>
      <w:spacing w:after="120"/>
      <w:ind w:left="283"/>
    </w:pPr>
  </w:style>
  <w:style w:type="character" w:customStyle="1" w:styleId="BodyTextIndentChar">
    <w:name w:val="Body Text Indent Char"/>
    <w:basedOn w:val="DefaultParagraphFont"/>
    <w:link w:val="BodyTextIndent"/>
    <w:rsid w:val="000372AD"/>
    <w:rPr>
      <w:rFonts w:ascii="Arial" w:hAnsi="Arial" w:cs="Arial"/>
      <w:snapToGrid w:val="0"/>
      <w:sz w:val="22"/>
      <w:lang w:eastAsia="en-US"/>
    </w:rPr>
  </w:style>
  <w:style w:type="paragraph" w:styleId="CommentSubject">
    <w:name w:val="annotation subject"/>
    <w:basedOn w:val="CommentText"/>
    <w:next w:val="CommentText"/>
    <w:link w:val="CommentSubjectChar"/>
    <w:semiHidden/>
    <w:unhideWhenUsed/>
    <w:rsid w:val="001F029B"/>
    <w:rPr>
      <w:rFonts w:ascii="Arial" w:hAnsi="Arial" w:cs="Arial"/>
      <w:b/>
      <w:bCs/>
    </w:rPr>
  </w:style>
  <w:style w:type="character" w:customStyle="1" w:styleId="CommentSubjectChar">
    <w:name w:val="Comment Subject Char"/>
    <w:basedOn w:val="CommentTextChar"/>
    <w:link w:val="CommentSubject"/>
    <w:semiHidden/>
    <w:rsid w:val="001F029B"/>
    <w:rPr>
      <w:rFonts w:ascii="Arial" w:hAnsi="Arial" w:cs="Arial"/>
      <w:b/>
      <w:bCs/>
      <w:snapToGrid w:val="0"/>
      <w:lang w:eastAsia="en-US"/>
    </w:rPr>
  </w:style>
  <w:style w:type="paragraph" w:customStyle="1" w:styleId="Char1CharCharChar">
    <w:name w:val="Char1 Char Char Char"/>
    <w:basedOn w:val="Normal"/>
    <w:rsid w:val="00ED0F04"/>
    <w:pPr>
      <w:widowControl/>
      <w:spacing w:after="160" w:line="240" w:lineRule="exact"/>
      <w:jc w:val="left"/>
    </w:pPr>
    <w:rPr>
      <w:rFonts w:ascii="Verdana" w:eastAsia="MS Mincho" w:hAnsi="Verdana" w:cs="Verdana"/>
      <w:snapToGrid/>
      <w:sz w:val="20"/>
      <w:lang w:val="en-US"/>
    </w:rPr>
  </w:style>
  <w:style w:type="paragraph" w:customStyle="1" w:styleId="TableText1">
    <w:name w:val="Table Text"/>
    <w:basedOn w:val="Normal"/>
    <w:link w:val="TableTextChar0"/>
    <w:qFormat/>
    <w:rsid w:val="00033ACF"/>
    <w:pPr>
      <w:widowControl/>
      <w:spacing w:line="360" w:lineRule="auto"/>
      <w:jc w:val="left"/>
    </w:pPr>
    <w:rPr>
      <w:rFonts w:eastAsia="SimSun" w:cs="Times New Roman"/>
      <w:snapToGrid/>
      <w:sz w:val="20"/>
      <w:lang w:eastAsia="zh-CN"/>
    </w:rPr>
  </w:style>
  <w:style w:type="character" w:customStyle="1" w:styleId="TableTextChar0">
    <w:name w:val="Table Text Char"/>
    <w:link w:val="TableText1"/>
    <w:rsid w:val="00033ACF"/>
    <w:rPr>
      <w:rFonts w:ascii="Arial" w:eastAsia="SimSun" w:hAnsi="Arial"/>
      <w:lang w:eastAsia="zh-CN"/>
    </w:rPr>
  </w:style>
  <w:style w:type="character" w:customStyle="1" w:styleId="TableFooterChar">
    <w:name w:val="Table Footer Char"/>
    <w:link w:val="TableFooter"/>
    <w:rsid w:val="00033ACF"/>
    <w:rPr>
      <w:rFonts w:ascii="Arial Narrow" w:hAnsi="Arial Narrow" w:cs="Arial"/>
      <w:snapToGrid w:val="0"/>
      <w:sz w:val="18"/>
      <w:lang w:eastAsia="en-US"/>
    </w:rPr>
  </w:style>
  <w:style w:type="character" w:customStyle="1" w:styleId="CaptionChar2">
    <w:name w:val="Caption Char2"/>
    <w:aliases w:val="Caption Char1 Char,Caption Char Char Char,Caption Char Char1,IB Caption Char Char,Medical Caption Char Char,Caption Char1 Char Char Char Char,Caption Char Char Char Char Char1 Char,Caption Char1 Char Char1 Char,Caption Char Char Char1 Char"/>
    <w:basedOn w:val="DefaultParagraphFont"/>
    <w:rsid w:val="00033ACF"/>
    <w:rPr>
      <w:b/>
      <w:bCs/>
      <w:sz w:val="22"/>
      <w:lang w:eastAsia="zh-CN"/>
    </w:rPr>
  </w:style>
  <w:style w:type="character" w:customStyle="1" w:styleId="ListParagraphChar">
    <w:name w:val="List Paragraph Char"/>
    <w:aliases w:val="BulletPoints Char"/>
    <w:link w:val="ListParagraph"/>
    <w:uiPriority w:val="34"/>
    <w:rsid w:val="00826122"/>
    <w:rPr>
      <w:rFonts w:ascii="Arial" w:hAnsi="Arial" w:cs="Arial"/>
      <w:snapToGrid w:val="0"/>
      <w:sz w:val="22"/>
      <w:lang w:eastAsia="en-US"/>
    </w:rPr>
  </w:style>
  <w:style w:type="paragraph" w:customStyle="1" w:styleId="PBACHeading1">
    <w:name w:val="PBAC Heading 1"/>
    <w:qFormat/>
    <w:rsid w:val="00487729"/>
    <w:rPr>
      <w:rFonts w:ascii="Arial" w:hAnsi="Arial" w:cs="Arial"/>
      <w:b/>
      <w:snapToGrid w:val="0"/>
      <w:sz w:val="22"/>
      <w:szCs w:val="22"/>
      <w:lang w:eastAsia="en-US"/>
    </w:rPr>
  </w:style>
  <w:style w:type="character" w:customStyle="1" w:styleId="Heading1Char">
    <w:name w:val="Heading 1 Char"/>
    <w:basedOn w:val="DefaultParagraphFont"/>
    <w:link w:val="Heading1"/>
    <w:rsid w:val="009F32C2"/>
    <w:rPr>
      <w:rFonts w:ascii="Arial Bold" w:hAnsi="Arial Bold" w:cs="Arial"/>
      <w:b/>
      <w:caps/>
      <w:snapToGrid w:val="0"/>
      <w:sz w:val="22"/>
      <w:lang w:eastAsia="en-US"/>
    </w:rPr>
  </w:style>
  <w:style w:type="paragraph" w:customStyle="1" w:styleId="PBACheading10">
    <w:name w:val="PBAC heading 1"/>
    <w:qFormat/>
    <w:rsid w:val="00367AC0"/>
    <w:rPr>
      <w:rFonts w:ascii="Arial" w:hAnsi="Arial" w:cs="Arial"/>
      <w:snapToGrid w:val="0"/>
      <w:sz w:val="22"/>
      <w:szCs w:val="22"/>
      <w:lang w:eastAsia="en-US"/>
    </w:rPr>
  </w:style>
  <w:style w:type="paragraph" w:customStyle="1" w:styleId="Default">
    <w:name w:val="Default"/>
    <w:rsid w:val="00D463C3"/>
    <w:pPr>
      <w:autoSpaceDE w:val="0"/>
      <w:autoSpaceDN w:val="0"/>
      <w:adjustRightInd w:val="0"/>
    </w:pPr>
    <w:rPr>
      <w:rFonts w:ascii="Arial" w:hAnsi="Arial" w:cs="Arial"/>
      <w:color w:val="000000"/>
    </w:rPr>
  </w:style>
  <w:style w:type="paragraph" w:customStyle="1" w:styleId="CM18">
    <w:name w:val="CM18"/>
    <w:basedOn w:val="Default"/>
    <w:next w:val="Default"/>
    <w:locked/>
    <w:rsid w:val="00FE50AF"/>
    <w:pPr>
      <w:widowControl w:val="0"/>
      <w:spacing w:line="266" w:lineRule="atLeast"/>
    </w:pPr>
    <w:rPr>
      <w:rFonts w:eastAsia="SimSun" w:cs="Times New Roman"/>
      <w:color w:val="auto"/>
      <w:lang w:eastAsia="zh-CN"/>
    </w:rPr>
  </w:style>
  <w:style w:type="character" w:customStyle="1" w:styleId="Heading3Char">
    <w:name w:val="Heading 3 Char"/>
    <w:basedOn w:val="DefaultParagraphFont"/>
    <w:link w:val="Heading3"/>
    <w:rsid w:val="005D11A1"/>
    <w:rPr>
      <w:rFonts w:ascii="Arial" w:hAnsi="Arial" w:cs="Arial"/>
      <w:snapToGrid w:val="0"/>
      <w:sz w:val="22"/>
      <w:u w:val="single"/>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B0168"/>
    <w:pPr>
      <w:widowControl/>
      <w:spacing w:after="160" w:line="240" w:lineRule="exact"/>
      <w:jc w:val="left"/>
    </w:pPr>
    <w:rPr>
      <w:rFonts w:ascii="Verdana" w:eastAsia="MS Mincho" w:hAnsi="Verdana" w:cs="Verdana"/>
      <w:snapToGrid/>
      <w:sz w:val="20"/>
      <w:szCs w:val="20"/>
      <w:lang w:val="en-US"/>
    </w:rPr>
  </w:style>
  <w:style w:type="character" w:customStyle="1" w:styleId="highlight">
    <w:name w:val="highlight"/>
    <w:basedOn w:val="DefaultParagraphFont"/>
    <w:rsid w:val="005F5FC5"/>
  </w:style>
  <w:style w:type="paragraph" w:styleId="FootnoteText">
    <w:name w:val="footnote text"/>
    <w:basedOn w:val="Normal"/>
    <w:link w:val="FootnoteTextChar"/>
    <w:unhideWhenUsed/>
    <w:rsid w:val="00B527DF"/>
    <w:rPr>
      <w:sz w:val="24"/>
    </w:rPr>
  </w:style>
  <w:style w:type="character" w:customStyle="1" w:styleId="FootnoteTextChar">
    <w:name w:val="Footnote Text Char"/>
    <w:basedOn w:val="DefaultParagraphFont"/>
    <w:link w:val="FootnoteText"/>
    <w:rsid w:val="00B527DF"/>
    <w:rPr>
      <w:rFonts w:ascii="Arial" w:hAnsi="Arial" w:cs="Arial"/>
      <w:snapToGrid w:val="0"/>
      <w:lang w:eastAsia="en-US"/>
    </w:rPr>
  </w:style>
  <w:style w:type="character" w:styleId="FootnoteReference">
    <w:name w:val="footnote reference"/>
    <w:basedOn w:val="DefaultParagraphFont"/>
    <w:unhideWhenUsed/>
    <w:rsid w:val="00B527DF"/>
    <w:rPr>
      <w:vertAlign w:val="superscript"/>
    </w:rPr>
  </w:style>
  <w:style w:type="paragraph" w:styleId="Subtitle">
    <w:name w:val="Subtitle"/>
    <w:basedOn w:val="Normal"/>
    <w:link w:val="SubtitleChar"/>
    <w:qFormat/>
    <w:rsid w:val="00FD7BAF"/>
    <w:pPr>
      <w:widowControl/>
    </w:pPr>
    <w:rPr>
      <w:rFonts w:ascii="Times New Roman" w:hAnsi="Times New Roman" w:cs="Times New Roman"/>
      <w:b/>
      <w:snapToGrid/>
      <w:sz w:val="24"/>
      <w:szCs w:val="20"/>
      <w:lang w:eastAsia="en-AU"/>
    </w:rPr>
  </w:style>
  <w:style w:type="character" w:customStyle="1" w:styleId="SubtitleChar">
    <w:name w:val="Subtitle Char"/>
    <w:basedOn w:val="DefaultParagraphFont"/>
    <w:link w:val="Subtitle"/>
    <w:rsid w:val="00FD7BAF"/>
    <w:rPr>
      <w:b/>
      <w:szCs w:val="20"/>
    </w:rPr>
  </w:style>
  <w:style w:type="character" w:customStyle="1" w:styleId="apple-converted-space">
    <w:name w:val="apple-converted-space"/>
    <w:basedOn w:val="DefaultParagraphFont"/>
    <w:rsid w:val="00631000"/>
  </w:style>
  <w:style w:type="character" w:styleId="FollowedHyperlink">
    <w:name w:val="FollowedHyperlink"/>
    <w:basedOn w:val="DefaultParagraphFont"/>
    <w:semiHidden/>
    <w:unhideWhenUsed/>
    <w:rsid w:val="008905C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F567B4"/>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835660"/>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link w:val="TableFooterChar"/>
    <w:qFormat/>
    <w:rsid w:val="00ED0F04"/>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Caption Char Char,IB Caption Char,Medical Caption Char,Caption Char1 Char Char Char,Caption Char Char Char Char Char1,Caption Char1 Char Char1,Caption Char Char Char Char Char Char,Caption Char Char Char1,IB 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1 Char1,Caption Char Char Char2,IB Caption Char Char1,Medical Caption Char Char1,Caption Char1 Char Char Char Char1,Caption Char Char Char Char Char1 Char1,Caption Char1 Char Char1 Char1,Caption Char Char Char1 Char1"/>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Table Gridbeth"/>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D0F04"/>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B824FA"/>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B824FA"/>
    <w:pPr>
      <w:tabs>
        <w:tab w:val="left" w:pos="440"/>
        <w:tab w:val="right" w:leader="dot" w:pos="9016"/>
      </w:tabs>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Revision">
    <w:name w:val="Revision"/>
    <w:hidden/>
    <w:uiPriority w:val="99"/>
    <w:semiHidden/>
    <w:rsid w:val="000414BB"/>
    <w:rPr>
      <w:rFonts w:ascii="Arial" w:hAnsi="Arial" w:cs="Arial"/>
      <w:snapToGrid w:val="0"/>
      <w:sz w:val="22"/>
      <w:lang w:eastAsia="en-US"/>
    </w:rPr>
  </w:style>
  <w:style w:type="paragraph" w:styleId="BodyTextIndent">
    <w:name w:val="Body Text Indent"/>
    <w:basedOn w:val="Normal"/>
    <w:link w:val="BodyTextIndentChar"/>
    <w:rsid w:val="000372AD"/>
    <w:pPr>
      <w:spacing w:after="120"/>
      <w:ind w:left="283"/>
    </w:pPr>
  </w:style>
  <w:style w:type="character" w:customStyle="1" w:styleId="BodyTextIndentChar">
    <w:name w:val="Body Text Indent Char"/>
    <w:basedOn w:val="DefaultParagraphFont"/>
    <w:link w:val="BodyTextIndent"/>
    <w:rsid w:val="000372AD"/>
    <w:rPr>
      <w:rFonts w:ascii="Arial" w:hAnsi="Arial" w:cs="Arial"/>
      <w:snapToGrid w:val="0"/>
      <w:sz w:val="22"/>
      <w:lang w:eastAsia="en-US"/>
    </w:rPr>
  </w:style>
  <w:style w:type="paragraph" w:styleId="CommentSubject">
    <w:name w:val="annotation subject"/>
    <w:basedOn w:val="CommentText"/>
    <w:next w:val="CommentText"/>
    <w:link w:val="CommentSubjectChar"/>
    <w:semiHidden/>
    <w:unhideWhenUsed/>
    <w:rsid w:val="001F029B"/>
    <w:rPr>
      <w:rFonts w:ascii="Arial" w:hAnsi="Arial" w:cs="Arial"/>
      <w:b/>
      <w:bCs/>
    </w:rPr>
  </w:style>
  <w:style w:type="character" w:customStyle="1" w:styleId="CommentSubjectChar">
    <w:name w:val="Comment Subject Char"/>
    <w:basedOn w:val="CommentTextChar"/>
    <w:link w:val="CommentSubject"/>
    <w:semiHidden/>
    <w:rsid w:val="001F029B"/>
    <w:rPr>
      <w:rFonts w:ascii="Arial" w:hAnsi="Arial" w:cs="Arial"/>
      <w:b/>
      <w:bCs/>
      <w:snapToGrid w:val="0"/>
      <w:lang w:eastAsia="en-US"/>
    </w:rPr>
  </w:style>
  <w:style w:type="paragraph" w:customStyle="1" w:styleId="Char1CharCharChar">
    <w:name w:val="Char1 Char Char Char"/>
    <w:basedOn w:val="Normal"/>
    <w:rsid w:val="00ED0F04"/>
    <w:pPr>
      <w:widowControl/>
      <w:spacing w:after="160" w:line="240" w:lineRule="exact"/>
      <w:jc w:val="left"/>
    </w:pPr>
    <w:rPr>
      <w:rFonts w:ascii="Verdana" w:eastAsia="MS Mincho" w:hAnsi="Verdana" w:cs="Verdana"/>
      <w:snapToGrid/>
      <w:sz w:val="20"/>
      <w:lang w:val="en-US"/>
    </w:rPr>
  </w:style>
  <w:style w:type="paragraph" w:customStyle="1" w:styleId="TableText1">
    <w:name w:val="Table Text"/>
    <w:basedOn w:val="Normal"/>
    <w:link w:val="TableTextChar0"/>
    <w:qFormat/>
    <w:rsid w:val="00033ACF"/>
    <w:pPr>
      <w:widowControl/>
      <w:spacing w:line="360" w:lineRule="auto"/>
      <w:jc w:val="left"/>
    </w:pPr>
    <w:rPr>
      <w:rFonts w:eastAsia="SimSun" w:cs="Times New Roman"/>
      <w:snapToGrid/>
      <w:sz w:val="20"/>
      <w:lang w:eastAsia="zh-CN"/>
    </w:rPr>
  </w:style>
  <w:style w:type="character" w:customStyle="1" w:styleId="TableTextChar0">
    <w:name w:val="Table Text Char"/>
    <w:link w:val="TableText1"/>
    <w:rsid w:val="00033ACF"/>
    <w:rPr>
      <w:rFonts w:ascii="Arial" w:eastAsia="SimSun" w:hAnsi="Arial"/>
      <w:lang w:eastAsia="zh-CN"/>
    </w:rPr>
  </w:style>
  <w:style w:type="character" w:customStyle="1" w:styleId="TableFooterChar">
    <w:name w:val="Table Footer Char"/>
    <w:link w:val="TableFooter"/>
    <w:rsid w:val="00033ACF"/>
    <w:rPr>
      <w:rFonts w:ascii="Arial Narrow" w:hAnsi="Arial Narrow" w:cs="Arial"/>
      <w:snapToGrid w:val="0"/>
      <w:sz w:val="18"/>
      <w:lang w:eastAsia="en-US"/>
    </w:rPr>
  </w:style>
  <w:style w:type="character" w:customStyle="1" w:styleId="CaptionChar2">
    <w:name w:val="Caption Char2"/>
    <w:aliases w:val="Caption Char1 Char,Caption Char Char Char,Caption Char Char1,IB Caption Char Char,Medical Caption Char Char,Caption Char1 Char Char Char Char,Caption Char Char Char Char Char1 Char,Caption Char1 Char Char1 Char,Caption Char Char Char1 Char"/>
    <w:basedOn w:val="DefaultParagraphFont"/>
    <w:rsid w:val="00033ACF"/>
    <w:rPr>
      <w:b/>
      <w:bCs/>
      <w:sz w:val="22"/>
      <w:lang w:eastAsia="zh-CN"/>
    </w:rPr>
  </w:style>
  <w:style w:type="character" w:customStyle="1" w:styleId="ListParagraphChar">
    <w:name w:val="List Paragraph Char"/>
    <w:aliases w:val="BulletPoints Char"/>
    <w:link w:val="ListParagraph"/>
    <w:uiPriority w:val="34"/>
    <w:rsid w:val="00826122"/>
    <w:rPr>
      <w:rFonts w:ascii="Arial" w:hAnsi="Arial" w:cs="Arial"/>
      <w:snapToGrid w:val="0"/>
      <w:sz w:val="22"/>
      <w:lang w:eastAsia="en-US"/>
    </w:rPr>
  </w:style>
  <w:style w:type="paragraph" w:customStyle="1" w:styleId="PBACHeading1">
    <w:name w:val="PBAC Heading 1"/>
    <w:qFormat/>
    <w:rsid w:val="00487729"/>
    <w:rPr>
      <w:rFonts w:ascii="Arial" w:hAnsi="Arial" w:cs="Arial"/>
      <w:b/>
      <w:snapToGrid w:val="0"/>
      <w:sz w:val="22"/>
      <w:szCs w:val="22"/>
      <w:lang w:eastAsia="en-US"/>
    </w:rPr>
  </w:style>
  <w:style w:type="character" w:customStyle="1" w:styleId="Heading1Char">
    <w:name w:val="Heading 1 Char"/>
    <w:basedOn w:val="DefaultParagraphFont"/>
    <w:link w:val="Heading1"/>
    <w:rsid w:val="009F32C2"/>
    <w:rPr>
      <w:rFonts w:ascii="Arial Bold" w:hAnsi="Arial Bold" w:cs="Arial"/>
      <w:b/>
      <w:caps/>
      <w:snapToGrid w:val="0"/>
      <w:sz w:val="22"/>
      <w:lang w:eastAsia="en-US"/>
    </w:rPr>
  </w:style>
  <w:style w:type="paragraph" w:customStyle="1" w:styleId="PBACheading10">
    <w:name w:val="PBAC heading 1"/>
    <w:qFormat/>
    <w:rsid w:val="00367AC0"/>
    <w:rPr>
      <w:rFonts w:ascii="Arial" w:hAnsi="Arial" w:cs="Arial"/>
      <w:snapToGrid w:val="0"/>
      <w:sz w:val="22"/>
      <w:szCs w:val="22"/>
      <w:lang w:eastAsia="en-US"/>
    </w:rPr>
  </w:style>
  <w:style w:type="paragraph" w:customStyle="1" w:styleId="Default">
    <w:name w:val="Default"/>
    <w:rsid w:val="00D463C3"/>
    <w:pPr>
      <w:autoSpaceDE w:val="0"/>
      <w:autoSpaceDN w:val="0"/>
      <w:adjustRightInd w:val="0"/>
    </w:pPr>
    <w:rPr>
      <w:rFonts w:ascii="Arial" w:hAnsi="Arial" w:cs="Arial"/>
      <w:color w:val="000000"/>
    </w:rPr>
  </w:style>
  <w:style w:type="paragraph" w:customStyle="1" w:styleId="CM18">
    <w:name w:val="CM18"/>
    <w:basedOn w:val="Default"/>
    <w:next w:val="Default"/>
    <w:locked/>
    <w:rsid w:val="00FE50AF"/>
    <w:pPr>
      <w:widowControl w:val="0"/>
      <w:spacing w:line="266" w:lineRule="atLeast"/>
    </w:pPr>
    <w:rPr>
      <w:rFonts w:eastAsia="SimSun" w:cs="Times New Roman"/>
      <w:color w:val="auto"/>
      <w:lang w:eastAsia="zh-CN"/>
    </w:rPr>
  </w:style>
  <w:style w:type="character" w:customStyle="1" w:styleId="Heading3Char">
    <w:name w:val="Heading 3 Char"/>
    <w:basedOn w:val="DefaultParagraphFont"/>
    <w:link w:val="Heading3"/>
    <w:rsid w:val="005D11A1"/>
    <w:rPr>
      <w:rFonts w:ascii="Arial" w:hAnsi="Arial" w:cs="Arial"/>
      <w:snapToGrid w:val="0"/>
      <w:sz w:val="22"/>
      <w:u w:val="single"/>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B0168"/>
    <w:pPr>
      <w:widowControl/>
      <w:spacing w:after="160" w:line="240" w:lineRule="exact"/>
      <w:jc w:val="left"/>
    </w:pPr>
    <w:rPr>
      <w:rFonts w:ascii="Verdana" w:eastAsia="MS Mincho" w:hAnsi="Verdana" w:cs="Verdana"/>
      <w:snapToGrid/>
      <w:sz w:val="20"/>
      <w:szCs w:val="20"/>
      <w:lang w:val="en-US"/>
    </w:rPr>
  </w:style>
  <w:style w:type="character" w:customStyle="1" w:styleId="highlight">
    <w:name w:val="highlight"/>
    <w:basedOn w:val="DefaultParagraphFont"/>
    <w:rsid w:val="005F5FC5"/>
  </w:style>
  <w:style w:type="paragraph" w:styleId="FootnoteText">
    <w:name w:val="footnote text"/>
    <w:basedOn w:val="Normal"/>
    <w:link w:val="FootnoteTextChar"/>
    <w:unhideWhenUsed/>
    <w:rsid w:val="00B527DF"/>
    <w:rPr>
      <w:sz w:val="24"/>
    </w:rPr>
  </w:style>
  <w:style w:type="character" w:customStyle="1" w:styleId="FootnoteTextChar">
    <w:name w:val="Footnote Text Char"/>
    <w:basedOn w:val="DefaultParagraphFont"/>
    <w:link w:val="FootnoteText"/>
    <w:rsid w:val="00B527DF"/>
    <w:rPr>
      <w:rFonts w:ascii="Arial" w:hAnsi="Arial" w:cs="Arial"/>
      <w:snapToGrid w:val="0"/>
      <w:lang w:eastAsia="en-US"/>
    </w:rPr>
  </w:style>
  <w:style w:type="character" w:styleId="FootnoteReference">
    <w:name w:val="footnote reference"/>
    <w:basedOn w:val="DefaultParagraphFont"/>
    <w:unhideWhenUsed/>
    <w:rsid w:val="00B527DF"/>
    <w:rPr>
      <w:vertAlign w:val="superscript"/>
    </w:rPr>
  </w:style>
  <w:style w:type="paragraph" w:styleId="Subtitle">
    <w:name w:val="Subtitle"/>
    <w:basedOn w:val="Normal"/>
    <w:link w:val="SubtitleChar"/>
    <w:qFormat/>
    <w:rsid w:val="00FD7BAF"/>
    <w:pPr>
      <w:widowControl/>
    </w:pPr>
    <w:rPr>
      <w:rFonts w:ascii="Times New Roman" w:hAnsi="Times New Roman" w:cs="Times New Roman"/>
      <w:b/>
      <w:snapToGrid/>
      <w:sz w:val="24"/>
      <w:szCs w:val="20"/>
      <w:lang w:eastAsia="en-AU"/>
    </w:rPr>
  </w:style>
  <w:style w:type="character" w:customStyle="1" w:styleId="SubtitleChar">
    <w:name w:val="Subtitle Char"/>
    <w:basedOn w:val="DefaultParagraphFont"/>
    <w:link w:val="Subtitle"/>
    <w:rsid w:val="00FD7BAF"/>
    <w:rPr>
      <w:b/>
      <w:szCs w:val="20"/>
    </w:rPr>
  </w:style>
  <w:style w:type="character" w:customStyle="1" w:styleId="apple-converted-space">
    <w:name w:val="apple-converted-space"/>
    <w:basedOn w:val="DefaultParagraphFont"/>
    <w:rsid w:val="00631000"/>
  </w:style>
  <w:style w:type="character" w:styleId="FollowedHyperlink">
    <w:name w:val="FollowedHyperlink"/>
    <w:basedOn w:val="DefaultParagraphFont"/>
    <w:semiHidden/>
    <w:unhideWhenUsed/>
    <w:rsid w:val="008905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8943">
      <w:bodyDiv w:val="1"/>
      <w:marLeft w:val="0"/>
      <w:marRight w:val="0"/>
      <w:marTop w:val="0"/>
      <w:marBottom w:val="0"/>
      <w:divBdr>
        <w:top w:val="none" w:sz="0" w:space="0" w:color="auto"/>
        <w:left w:val="none" w:sz="0" w:space="0" w:color="auto"/>
        <w:bottom w:val="none" w:sz="0" w:space="0" w:color="auto"/>
        <w:right w:val="none" w:sz="0" w:space="0" w:color="auto"/>
      </w:divBdr>
    </w:div>
    <w:div w:id="751388487">
      <w:bodyDiv w:val="1"/>
      <w:marLeft w:val="0"/>
      <w:marRight w:val="0"/>
      <w:marTop w:val="0"/>
      <w:marBottom w:val="0"/>
      <w:divBdr>
        <w:top w:val="none" w:sz="0" w:space="0" w:color="auto"/>
        <w:left w:val="none" w:sz="0" w:space="0" w:color="auto"/>
        <w:bottom w:val="none" w:sz="0" w:space="0" w:color="auto"/>
        <w:right w:val="none" w:sz="0" w:space="0" w:color="auto"/>
      </w:divBdr>
    </w:div>
    <w:div w:id="1048992705">
      <w:bodyDiv w:val="1"/>
      <w:marLeft w:val="0"/>
      <w:marRight w:val="0"/>
      <w:marTop w:val="0"/>
      <w:marBottom w:val="0"/>
      <w:divBdr>
        <w:top w:val="none" w:sz="0" w:space="0" w:color="auto"/>
        <w:left w:val="none" w:sz="0" w:space="0" w:color="auto"/>
        <w:bottom w:val="none" w:sz="0" w:space="0" w:color="auto"/>
        <w:right w:val="none" w:sz="0" w:space="0" w:color="auto"/>
      </w:divBdr>
      <w:divsChild>
        <w:div w:id="2125731368">
          <w:marLeft w:val="0"/>
          <w:marRight w:val="0"/>
          <w:marTop w:val="0"/>
          <w:marBottom w:val="0"/>
          <w:divBdr>
            <w:top w:val="none" w:sz="0" w:space="0" w:color="auto"/>
            <w:left w:val="none" w:sz="0" w:space="0" w:color="auto"/>
            <w:bottom w:val="none" w:sz="0" w:space="0" w:color="auto"/>
            <w:right w:val="none" w:sz="0" w:space="0" w:color="auto"/>
          </w:divBdr>
        </w:div>
        <w:div w:id="149445084">
          <w:marLeft w:val="0"/>
          <w:marRight w:val="0"/>
          <w:marTop w:val="0"/>
          <w:marBottom w:val="0"/>
          <w:divBdr>
            <w:top w:val="none" w:sz="0" w:space="0" w:color="auto"/>
            <w:left w:val="none" w:sz="0" w:space="0" w:color="auto"/>
            <w:bottom w:val="none" w:sz="0" w:space="0" w:color="auto"/>
            <w:right w:val="none" w:sz="0" w:space="0" w:color="auto"/>
          </w:divBdr>
        </w:div>
        <w:div w:id="1965499426">
          <w:marLeft w:val="0"/>
          <w:marRight w:val="0"/>
          <w:marTop w:val="0"/>
          <w:marBottom w:val="0"/>
          <w:divBdr>
            <w:top w:val="none" w:sz="0" w:space="0" w:color="auto"/>
            <w:left w:val="none" w:sz="0" w:space="0" w:color="auto"/>
            <w:bottom w:val="none" w:sz="0" w:space="0" w:color="auto"/>
            <w:right w:val="none" w:sz="0" w:space="0" w:color="auto"/>
          </w:divBdr>
        </w:div>
        <w:div w:id="1004170451">
          <w:marLeft w:val="0"/>
          <w:marRight w:val="0"/>
          <w:marTop w:val="0"/>
          <w:marBottom w:val="0"/>
          <w:divBdr>
            <w:top w:val="none" w:sz="0" w:space="0" w:color="auto"/>
            <w:left w:val="none" w:sz="0" w:space="0" w:color="auto"/>
            <w:bottom w:val="none" w:sz="0" w:space="0" w:color="auto"/>
            <w:right w:val="none" w:sz="0" w:space="0" w:color="auto"/>
          </w:divBdr>
        </w:div>
        <w:div w:id="72092273">
          <w:marLeft w:val="0"/>
          <w:marRight w:val="0"/>
          <w:marTop w:val="0"/>
          <w:marBottom w:val="0"/>
          <w:divBdr>
            <w:top w:val="none" w:sz="0" w:space="0" w:color="auto"/>
            <w:left w:val="none" w:sz="0" w:space="0" w:color="auto"/>
            <w:bottom w:val="none" w:sz="0" w:space="0" w:color="auto"/>
            <w:right w:val="none" w:sz="0" w:space="0" w:color="auto"/>
          </w:divBdr>
        </w:div>
        <w:div w:id="401872490">
          <w:marLeft w:val="0"/>
          <w:marRight w:val="0"/>
          <w:marTop w:val="0"/>
          <w:marBottom w:val="0"/>
          <w:divBdr>
            <w:top w:val="none" w:sz="0" w:space="0" w:color="auto"/>
            <w:left w:val="none" w:sz="0" w:space="0" w:color="auto"/>
            <w:bottom w:val="none" w:sz="0" w:space="0" w:color="auto"/>
            <w:right w:val="none" w:sz="0" w:space="0" w:color="auto"/>
          </w:divBdr>
        </w:div>
        <w:div w:id="2049984131">
          <w:marLeft w:val="0"/>
          <w:marRight w:val="0"/>
          <w:marTop w:val="0"/>
          <w:marBottom w:val="0"/>
          <w:divBdr>
            <w:top w:val="none" w:sz="0" w:space="0" w:color="auto"/>
            <w:left w:val="none" w:sz="0" w:space="0" w:color="auto"/>
            <w:bottom w:val="none" w:sz="0" w:space="0" w:color="auto"/>
            <w:right w:val="none" w:sz="0" w:space="0" w:color="auto"/>
          </w:divBdr>
        </w:div>
        <w:div w:id="561911220">
          <w:marLeft w:val="0"/>
          <w:marRight w:val="0"/>
          <w:marTop w:val="0"/>
          <w:marBottom w:val="0"/>
          <w:divBdr>
            <w:top w:val="none" w:sz="0" w:space="0" w:color="auto"/>
            <w:left w:val="none" w:sz="0" w:space="0" w:color="auto"/>
            <w:bottom w:val="none" w:sz="0" w:space="0" w:color="auto"/>
            <w:right w:val="none" w:sz="0" w:space="0" w:color="auto"/>
          </w:divBdr>
        </w:div>
        <w:div w:id="503784729">
          <w:marLeft w:val="0"/>
          <w:marRight w:val="0"/>
          <w:marTop w:val="0"/>
          <w:marBottom w:val="0"/>
          <w:divBdr>
            <w:top w:val="none" w:sz="0" w:space="0" w:color="auto"/>
            <w:left w:val="none" w:sz="0" w:space="0" w:color="auto"/>
            <w:bottom w:val="none" w:sz="0" w:space="0" w:color="auto"/>
            <w:right w:val="none" w:sz="0" w:space="0" w:color="auto"/>
          </w:divBdr>
        </w:div>
      </w:divsChild>
    </w:div>
    <w:div w:id="1304892622">
      <w:bodyDiv w:val="1"/>
      <w:marLeft w:val="0"/>
      <w:marRight w:val="0"/>
      <w:marTop w:val="0"/>
      <w:marBottom w:val="0"/>
      <w:divBdr>
        <w:top w:val="none" w:sz="0" w:space="0" w:color="auto"/>
        <w:left w:val="none" w:sz="0" w:space="0" w:color="auto"/>
        <w:bottom w:val="none" w:sz="0" w:space="0" w:color="auto"/>
        <w:right w:val="none" w:sz="0" w:space="0" w:color="auto"/>
      </w:divBdr>
    </w:div>
    <w:div w:id="1997562029">
      <w:bodyDiv w:val="1"/>
      <w:marLeft w:val="0"/>
      <w:marRight w:val="0"/>
      <w:marTop w:val="0"/>
      <w:marBottom w:val="0"/>
      <w:divBdr>
        <w:top w:val="none" w:sz="0" w:space="0" w:color="auto"/>
        <w:left w:val="none" w:sz="0" w:space="0" w:color="auto"/>
        <w:bottom w:val="none" w:sz="0" w:space="0" w:color="auto"/>
        <w:right w:val="none" w:sz="0" w:space="0" w:color="auto"/>
      </w:divBdr>
    </w:div>
    <w:div w:id="2084914413">
      <w:bodyDiv w:val="1"/>
      <w:marLeft w:val="0"/>
      <w:marRight w:val="0"/>
      <w:marTop w:val="0"/>
      <w:marBottom w:val="0"/>
      <w:divBdr>
        <w:top w:val="none" w:sz="0" w:space="0" w:color="auto"/>
        <w:left w:val="none" w:sz="0" w:space="0" w:color="auto"/>
        <w:bottom w:val="none" w:sz="0" w:space="0" w:color="auto"/>
        <w:right w:val="none" w:sz="0" w:space="0" w:color="auto"/>
      </w:divBdr>
      <w:divsChild>
        <w:div w:id="2048798953">
          <w:marLeft w:val="0"/>
          <w:marRight w:val="0"/>
          <w:marTop w:val="240"/>
          <w:marBottom w:val="480"/>
          <w:divBdr>
            <w:top w:val="none" w:sz="0" w:space="0" w:color="auto"/>
            <w:left w:val="none" w:sz="0" w:space="0" w:color="auto"/>
            <w:bottom w:val="none" w:sz="0" w:space="0" w:color="auto"/>
            <w:right w:val="none" w:sz="0" w:space="0" w:color="auto"/>
          </w:divBdr>
          <w:divsChild>
            <w:div w:id="1349529750">
              <w:marLeft w:val="0"/>
              <w:marRight w:val="0"/>
              <w:marTop w:val="0"/>
              <w:marBottom w:val="0"/>
              <w:divBdr>
                <w:top w:val="none" w:sz="0" w:space="0" w:color="auto"/>
                <w:left w:val="none" w:sz="0" w:space="0" w:color="auto"/>
                <w:bottom w:val="none" w:sz="0" w:space="0" w:color="auto"/>
                <w:right w:val="none" w:sz="0" w:space="0" w:color="auto"/>
              </w:divBdr>
              <w:divsChild>
                <w:div w:id="532116840">
                  <w:marLeft w:val="0"/>
                  <w:marRight w:val="0"/>
                  <w:marTop w:val="0"/>
                  <w:marBottom w:val="0"/>
                  <w:divBdr>
                    <w:top w:val="none" w:sz="0" w:space="0" w:color="auto"/>
                    <w:left w:val="none" w:sz="0" w:space="0" w:color="auto"/>
                    <w:bottom w:val="none" w:sz="0" w:space="0" w:color="auto"/>
                    <w:right w:val="none" w:sz="0" w:space="0" w:color="auto"/>
                  </w:divBdr>
                  <w:divsChild>
                    <w:div w:id="4389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F7201-3768-41FC-B22C-9BDB2A3AE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8376</Words>
  <Characters>46688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2015-10-23T04:06:00Z</dcterms:created>
  <dcterms:modified xsi:type="dcterms:W3CDTF">2015-10-23T04:07:00Z</dcterms:modified>
</cp:coreProperties>
</file>