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3365D6" w:rsidRDefault="00DE5E05" w:rsidP="007C0F57">
      <w:pPr>
        <w:ind w:left="720" w:hanging="720"/>
        <w:rPr>
          <w:rFonts w:ascii="Arial" w:hAnsi="Arial"/>
          <w:b/>
          <w:sz w:val="28"/>
          <w:szCs w:val="28"/>
        </w:rPr>
      </w:pPr>
      <w:r w:rsidRPr="003365D6">
        <w:rPr>
          <w:rFonts w:ascii="Arial" w:hAnsi="Arial"/>
          <w:b/>
          <w:sz w:val="28"/>
          <w:szCs w:val="28"/>
        </w:rPr>
        <w:t>5</w:t>
      </w:r>
      <w:r w:rsidR="0004240E" w:rsidRPr="003365D6">
        <w:rPr>
          <w:rFonts w:ascii="Arial" w:hAnsi="Arial"/>
          <w:b/>
          <w:sz w:val="28"/>
          <w:szCs w:val="28"/>
        </w:rPr>
        <w:t>.</w:t>
      </w:r>
      <w:r w:rsidRPr="003365D6">
        <w:rPr>
          <w:rFonts w:ascii="Arial" w:hAnsi="Arial"/>
          <w:b/>
          <w:sz w:val="28"/>
          <w:szCs w:val="28"/>
        </w:rPr>
        <w:t>15</w:t>
      </w:r>
      <w:r w:rsidR="007C0F57" w:rsidRPr="003365D6">
        <w:rPr>
          <w:rFonts w:ascii="Arial" w:hAnsi="Arial"/>
          <w:b/>
          <w:sz w:val="28"/>
          <w:szCs w:val="28"/>
        </w:rPr>
        <w:tab/>
      </w:r>
      <w:r w:rsidR="00123F9A" w:rsidRPr="003365D6">
        <w:rPr>
          <w:rFonts w:ascii="Arial" w:hAnsi="Arial"/>
          <w:b/>
          <w:sz w:val="28"/>
          <w:szCs w:val="28"/>
        </w:rPr>
        <w:t>INFLIXIMAB (biosimilar)</w:t>
      </w:r>
    </w:p>
    <w:p w:rsidR="00C27B58" w:rsidRPr="003365D6" w:rsidRDefault="00123F9A" w:rsidP="00C27B58">
      <w:pPr>
        <w:ind w:left="720"/>
        <w:rPr>
          <w:rFonts w:ascii="Arial" w:hAnsi="Arial"/>
          <w:b/>
          <w:sz w:val="28"/>
          <w:szCs w:val="28"/>
        </w:rPr>
      </w:pPr>
      <w:r w:rsidRPr="003365D6">
        <w:rPr>
          <w:rFonts w:ascii="Arial" w:hAnsi="Arial"/>
          <w:b/>
          <w:sz w:val="28"/>
          <w:szCs w:val="28"/>
        </w:rPr>
        <w:t>injection</w:t>
      </w:r>
      <w:r w:rsidR="0004240E" w:rsidRPr="003365D6">
        <w:rPr>
          <w:rFonts w:ascii="Arial" w:hAnsi="Arial"/>
          <w:b/>
          <w:sz w:val="28"/>
          <w:szCs w:val="28"/>
        </w:rPr>
        <w:t xml:space="preserve">, </w:t>
      </w:r>
      <w:r w:rsidRPr="003365D6">
        <w:rPr>
          <w:rFonts w:ascii="Arial" w:hAnsi="Arial"/>
          <w:b/>
          <w:sz w:val="28"/>
          <w:szCs w:val="28"/>
        </w:rPr>
        <w:t>100mg</w:t>
      </w:r>
      <w:r w:rsidR="0004240E" w:rsidRPr="003365D6">
        <w:rPr>
          <w:rFonts w:ascii="Arial" w:hAnsi="Arial"/>
          <w:b/>
          <w:sz w:val="28"/>
          <w:szCs w:val="28"/>
        </w:rPr>
        <w:t>,</w:t>
      </w:r>
    </w:p>
    <w:p w:rsidR="00D3280C" w:rsidRPr="003365D6" w:rsidRDefault="00123F9A" w:rsidP="00C27B58">
      <w:pPr>
        <w:ind w:left="720"/>
        <w:rPr>
          <w:rFonts w:ascii="Arial" w:hAnsi="Arial"/>
          <w:b/>
          <w:sz w:val="28"/>
          <w:szCs w:val="28"/>
        </w:rPr>
      </w:pPr>
      <w:r w:rsidRPr="003365D6">
        <w:rPr>
          <w:rFonts w:ascii="Arial" w:hAnsi="Arial"/>
          <w:b/>
          <w:sz w:val="28"/>
          <w:szCs w:val="28"/>
        </w:rPr>
        <w:t>Inflectra</w:t>
      </w:r>
      <w:r w:rsidR="0004240E" w:rsidRPr="003365D6">
        <w:rPr>
          <w:rFonts w:ascii="Arial" w:hAnsi="Arial"/>
          <w:b/>
          <w:sz w:val="28"/>
          <w:szCs w:val="28"/>
          <w:vertAlign w:val="superscript"/>
        </w:rPr>
        <w:t>®</w:t>
      </w:r>
      <w:r w:rsidR="00EF44A0" w:rsidRPr="003365D6">
        <w:rPr>
          <w:rFonts w:ascii="Arial" w:hAnsi="Arial"/>
          <w:b/>
          <w:sz w:val="28"/>
          <w:szCs w:val="28"/>
        </w:rPr>
        <w:t xml:space="preserve">, </w:t>
      </w:r>
      <w:r w:rsidRPr="003365D6">
        <w:rPr>
          <w:rFonts w:ascii="Arial" w:hAnsi="Arial"/>
          <w:b/>
          <w:sz w:val="28"/>
          <w:szCs w:val="28"/>
        </w:rPr>
        <w:t>Hospira</w:t>
      </w:r>
    </w:p>
    <w:p w:rsidR="00CE10C4" w:rsidRPr="003365D6" w:rsidRDefault="00CE10C4" w:rsidP="00C27B58">
      <w:pPr>
        <w:pStyle w:val="NoSpacing"/>
      </w:pPr>
    </w:p>
    <w:p w:rsidR="007D176B" w:rsidRPr="003365D6" w:rsidRDefault="007D176B" w:rsidP="00C27B58">
      <w:pPr>
        <w:pStyle w:val="NoSpacing"/>
      </w:pPr>
    </w:p>
    <w:p w:rsidR="00CE10C4" w:rsidRPr="003365D6" w:rsidRDefault="00CE10C4" w:rsidP="00526CD0">
      <w:pPr>
        <w:pStyle w:val="ListParagraph"/>
        <w:numPr>
          <w:ilvl w:val="0"/>
          <w:numId w:val="2"/>
        </w:numPr>
        <w:jc w:val="both"/>
        <w:rPr>
          <w:rFonts w:ascii="Arial" w:hAnsi="Arial"/>
          <w:b/>
          <w:sz w:val="22"/>
          <w:szCs w:val="22"/>
        </w:rPr>
      </w:pPr>
      <w:r w:rsidRPr="003365D6">
        <w:rPr>
          <w:rFonts w:ascii="Arial" w:hAnsi="Arial"/>
          <w:b/>
          <w:sz w:val="22"/>
          <w:szCs w:val="22"/>
        </w:rPr>
        <w:t xml:space="preserve">Purpose of </w:t>
      </w:r>
      <w:r w:rsidR="0004240E" w:rsidRPr="003365D6">
        <w:rPr>
          <w:rFonts w:ascii="Arial" w:hAnsi="Arial"/>
          <w:b/>
          <w:sz w:val="22"/>
          <w:szCs w:val="22"/>
        </w:rPr>
        <w:t>Application</w:t>
      </w:r>
    </w:p>
    <w:p w:rsidR="006A12A5" w:rsidRPr="003365D6" w:rsidRDefault="006A12A5" w:rsidP="00882085">
      <w:pPr>
        <w:jc w:val="both"/>
        <w:rPr>
          <w:rFonts w:ascii="Arial" w:hAnsi="Arial"/>
          <w:sz w:val="22"/>
          <w:szCs w:val="22"/>
        </w:rPr>
      </w:pPr>
    </w:p>
    <w:p w:rsidR="00760DAA" w:rsidRPr="003365D6" w:rsidRDefault="002E173E" w:rsidP="00760DAA">
      <w:pPr>
        <w:pStyle w:val="ListParagraph"/>
        <w:numPr>
          <w:ilvl w:val="1"/>
          <w:numId w:val="2"/>
        </w:numPr>
        <w:jc w:val="both"/>
        <w:rPr>
          <w:rFonts w:ascii="Arial" w:hAnsi="Arial"/>
          <w:sz w:val="22"/>
          <w:szCs w:val="22"/>
        </w:rPr>
      </w:pPr>
      <w:r w:rsidRPr="003365D6">
        <w:rPr>
          <w:rFonts w:ascii="Arial" w:hAnsi="Arial"/>
          <w:sz w:val="22"/>
          <w:szCs w:val="22"/>
        </w:rPr>
        <w:t xml:space="preserve">To request a Section 100 (Highly Specialised Drugs Program) listing of </w:t>
      </w:r>
      <w:r w:rsidR="006020C9" w:rsidRPr="003365D6">
        <w:rPr>
          <w:rFonts w:ascii="Arial" w:hAnsi="Arial"/>
          <w:sz w:val="22"/>
          <w:szCs w:val="22"/>
        </w:rPr>
        <w:t>Inflectra™</w:t>
      </w:r>
      <w:r w:rsidR="00F342E0" w:rsidRPr="003365D6">
        <w:rPr>
          <w:rFonts w:ascii="Arial" w:hAnsi="Arial"/>
          <w:sz w:val="22"/>
          <w:szCs w:val="22"/>
        </w:rPr>
        <w:t xml:space="preserve"> (infliximab)</w:t>
      </w:r>
      <w:r w:rsidRPr="003365D6">
        <w:rPr>
          <w:rFonts w:ascii="Arial" w:hAnsi="Arial"/>
          <w:sz w:val="22"/>
          <w:szCs w:val="22"/>
        </w:rPr>
        <w:t xml:space="preserve">, a </w:t>
      </w:r>
      <w:r w:rsidR="00B349C7" w:rsidRPr="003365D6">
        <w:rPr>
          <w:rFonts w:ascii="Arial" w:hAnsi="Arial"/>
          <w:sz w:val="22"/>
          <w:szCs w:val="22"/>
        </w:rPr>
        <w:t xml:space="preserve">biosimilar (or </w:t>
      </w:r>
      <w:r w:rsidRPr="003365D6">
        <w:rPr>
          <w:rFonts w:ascii="Arial" w:hAnsi="Arial"/>
          <w:sz w:val="22"/>
          <w:szCs w:val="22"/>
        </w:rPr>
        <w:t>similar biological medicinal product (SBMP)</w:t>
      </w:r>
      <w:r w:rsidR="00B349C7" w:rsidRPr="003365D6">
        <w:rPr>
          <w:rFonts w:ascii="Arial" w:hAnsi="Arial"/>
          <w:sz w:val="22"/>
          <w:szCs w:val="22"/>
        </w:rPr>
        <w:t>)</w:t>
      </w:r>
      <w:r w:rsidRPr="003365D6">
        <w:rPr>
          <w:rFonts w:ascii="Arial" w:hAnsi="Arial"/>
          <w:sz w:val="22"/>
          <w:szCs w:val="22"/>
        </w:rPr>
        <w:t xml:space="preserve">, with the same indications and restrictions as the currently PBS listed brand of </w:t>
      </w:r>
      <w:r w:rsidR="006020C9" w:rsidRPr="003365D6">
        <w:rPr>
          <w:rFonts w:ascii="Arial" w:hAnsi="Arial"/>
          <w:sz w:val="22"/>
          <w:szCs w:val="22"/>
        </w:rPr>
        <w:t>Remicade®</w:t>
      </w:r>
      <w:r w:rsidR="00F30391" w:rsidRPr="003365D6">
        <w:rPr>
          <w:rFonts w:ascii="Arial" w:hAnsi="Arial"/>
          <w:sz w:val="22"/>
          <w:szCs w:val="22"/>
        </w:rPr>
        <w:t xml:space="preserve"> (infliximab)</w:t>
      </w:r>
      <w:r w:rsidR="006020C9" w:rsidRPr="003365D6">
        <w:rPr>
          <w:rFonts w:ascii="Arial" w:hAnsi="Arial"/>
          <w:sz w:val="22"/>
          <w:szCs w:val="22"/>
        </w:rPr>
        <w:t>.</w:t>
      </w:r>
      <w:r w:rsidR="00760DAA" w:rsidRPr="003365D6">
        <w:rPr>
          <w:rFonts w:ascii="Arial" w:hAnsi="Arial"/>
          <w:sz w:val="22"/>
          <w:szCs w:val="22"/>
        </w:rPr>
        <w:t xml:space="preserve">  Remicade is currently PBS listed for rheumatoid arthritis, ankylosing spondylitis, psoriatic arthritis, psoriasis, ulc</w:t>
      </w:r>
      <w:bookmarkStart w:id="0" w:name="_GoBack"/>
      <w:bookmarkEnd w:id="0"/>
      <w:r w:rsidR="00760DAA" w:rsidRPr="003365D6">
        <w:rPr>
          <w:rFonts w:ascii="Arial" w:hAnsi="Arial"/>
          <w:sz w:val="22"/>
          <w:szCs w:val="22"/>
        </w:rPr>
        <w:t>erative colitis and Crohn’s disease.</w:t>
      </w:r>
    </w:p>
    <w:p w:rsidR="00760DAA" w:rsidRPr="003365D6" w:rsidRDefault="00760DAA" w:rsidP="00760DAA">
      <w:pPr>
        <w:pStyle w:val="ListParagraph"/>
        <w:jc w:val="both"/>
        <w:rPr>
          <w:rFonts w:ascii="Arial" w:hAnsi="Arial"/>
          <w:sz w:val="22"/>
          <w:szCs w:val="22"/>
        </w:rPr>
      </w:pPr>
    </w:p>
    <w:p w:rsidR="009C07B7" w:rsidRPr="003365D6" w:rsidRDefault="00756C8F" w:rsidP="002E19FD">
      <w:pPr>
        <w:pStyle w:val="ListParagraph"/>
        <w:numPr>
          <w:ilvl w:val="1"/>
          <w:numId w:val="2"/>
        </w:numPr>
        <w:jc w:val="both"/>
        <w:rPr>
          <w:rFonts w:ascii="Arial" w:hAnsi="Arial"/>
          <w:sz w:val="22"/>
          <w:szCs w:val="22"/>
        </w:rPr>
      </w:pPr>
      <w:r w:rsidRPr="003365D6">
        <w:rPr>
          <w:rFonts w:ascii="Arial" w:hAnsi="Arial"/>
          <w:sz w:val="22"/>
          <w:szCs w:val="22"/>
        </w:rPr>
        <w:t xml:space="preserve">The Minister (delegate) </w:t>
      </w:r>
      <w:r w:rsidR="00B349C7" w:rsidRPr="003365D6">
        <w:rPr>
          <w:rFonts w:ascii="Arial" w:hAnsi="Arial"/>
          <w:sz w:val="22"/>
          <w:szCs w:val="22"/>
        </w:rPr>
        <w:t xml:space="preserve">also </w:t>
      </w:r>
      <w:r w:rsidR="005119D0" w:rsidRPr="003365D6">
        <w:rPr>
          <w:rFonts w:ascii="Arial" w:hAnsi="Arial"/>
          <w:sz w:val="22"/>
          <w:szCs w:val="22"/>
        </w:rPr>
        <w:t xml:space="preserve">requested </w:t>
      </w:r>
      <w:r w:rsidRPr="003365D6">
        <w:rPr>
          <w:rFonts w:ascii="Arial" w:hAnsi="Arial"/>
          <w:sz w:val="22"/>
          <w:szCs w:val="22"/>
        </w:rPr>
        <w:t xml:space="preserve">the PBAC provide advice under section 101(3) of the </w:t>
      </w:r>
      <w:r w:rsidRPr="003365D6">
        <w:rPr>
          <w:rFonts w:ascii="Arial" w:hAnsi="Arial"/>
          <w:i/>
          <w:sz w:val="22"/>
          <w:szCs w:val="22"/>
        </w:rPr>
        <w:t>National Health Act 1953</w:t>
      </w:r>
      <w:r w:rsidRPr="003365D6">
        <w:rPr>
          <w:rFonts w:ascii="Arial" w:hAnsi="Arial"/>
          <w:sz w:val="22"/>
          <w:szCs w:val="22"/>
        </w:rPr>
        <w:t xml:space="preserve"> (the Act)</w:t>
      </w:r>
      <w:r w:rsidR="00F342E0" w:rsidRPr="003365D6">
        <w:rPr>
          <w:rFonts w:ascii="Arial" w:hAnsi="Arial"/>
          <w:sz w:val="22"/>
          <w:szCs w:val="22"/>
        </w:rPr>
        <w:t xml:space="preserve"> on the marking</w:t>
      </w:r>
      <w:r w:rsidR="00515A4F">
        <w:rPr>
          <w:rFonts w:ascii="Arial" w:hAnsi="Arial"/>
          <w:sz w:val="22"/>
          <w:szCs w:val="22"/>
        </w:rPr>
        <w:t xml:space="preserve"> of</w:t>
      </w:r>
      <w:r w:rsidR="00F342E0" w:rsidRPr="003365D6">
        <w:rPr>
          <w:rFonts w:ascii="Arial" w:hAnsi="Arial"/>
          <w:sz w:val="22"/>
          <w:szCs w:val="22"/>
        </w:rPr>
        <w:t xml:space="preserve"> Inflectra </w:t>
      </w:r>
      <w:r w:rsidRPr="003365D6">
        <w:rPr>
          <w:rFonts w:ascii="Arial" w:hAnsi="Arial"/>
          <w:sz w:val="22"/>
          <w:szCs w:val="22"/>
        </w:rPr>
        <w:t>as equivalent (</w:t>
      </w:r>
      <w:r w:rsidRPr="003365D6">
        <w:rPr>
          <w:rFonts w:ascii="Arial" w:hAnsi="Arial"/>
          <w:i/>
          <w:sz w:val="22"/>
          <w:szCs w:val="22"/>
        </w:rPr>
        <w:t>i.e.</w:t>
      </w:r>
      <w:r w:rsidRPr="003365D6">
        <w:rPr>
          <w:rFonts w:ascii="Arial" w:hAnsi="Arial"/>
          <w:sz w:val="22"/>
          <w:szCs w:val="22"/>
        </w:rPr>
        <w:t xml:space="preserve"> “a” flagging) to Remicade in the Schedule</w:t>
      </w:r>
      <w:r w:rsidR="00760DAA" w:rsidRPr="003365D6">
        <w:rPr>
          <w:rFonts w:ascii="Arial" w:hAnsi="Arial"/>
          <w:sz w:val="22"/>
          <w:szCs w:val="22"/>
        </w:rPr>
        <w:t>.</w:t>
      </w:r>
      <w:r w:rsidRPr="003365D6">
        <w:rPr>
          <w:rFonts w:ascii="Arial" w:hAnsi="Arial"/>
          <w:sz w:val="22"/>
          <w:szCs w:val="22"/>
        </w:rPr>
        <w:t xml:space="preserve"> </w:t>
      </w:r>
    </w:p>
    <w:p w:rsidR="0019562C" w:rsidRPr="003365D6" w:rsidRDefault="0019562C" w:rsidP="004E7F71">
      <w:pPr>
        <w:pStyle w:val="ListParagraph"/>
        <w:rPr>
          <w:rFonts w:ascii="Arial" w:hAnsi="Arial"/>
          <w:sz w:val="22"/>
          <w:szCs w:val="22"/>
        </w:rPr>
      </w:pPr>
    </w:p>
    <w:p w:rsidR="0019562C" w:rsidRPr="003365D6" w:rsidRDefault="0019562C" w:rsidP="004E7F71">
      <w:pPr>
        <w:ind w:left="720"/>
        <w:jc w:val="both"/>
        <w:rPr>
          <w:rFonts w:ascii="Arial" w:hAnsi="Arial"/>
          <w:sz w:val="22"/>
          <w:szCs w:val="22"/>
        </w:rPr>
      </w:pPr>
      <w:r w:rsidRPr="003365D6">
        <w:rPr>
          <w:rFonts w:ascii="Arial" w:hAnsi="Arial"/>
          <w:sz w:val="22"/>
          <w:szCs w:val="22"/>
        </w:rPr>
        <w:t xml:space="preserve">Note: Hospira advised </w:t>
      </w:r>
      <w:r w:rsidR="00ED3EE0" w:rsidRPr="003365D6">
        <w:rPr>
          <w:rFonts w:ascii="Arial" w:hAnsi="Arial"/>
          <w:sz w:val="22"/>
          <w:szCs w:val="22"/>
        </w:rPr>
        <w:t xml:space="preserve">the Department </w:t>
      </w:r>
      <w:r w:rsidRPr="003365D6">
        <w:rPr>
          <w:rFonts w:ascii="Arial" w:hAnsi="Arial"/>
          <w:sz w:val="22"/>
          <w:szCs w:val="22"/>
        </w:rPr>
        <w:t>on 29 May 2015 that</w:t>
      </w:r>
      <w:r w:rsidR="004E7F71" w:rsidRPr="003365D6">
        <w:rPr>
          <w:rFonts w:ascii="Arial" w:hAnsi="Arial"/>
          <w:sz w:val="22"/>
          <w:szCs w:val="22"/>
        </w:rPr>
        <w:t>:</w:t>
      </w:r>
      <w:r w:rsidRPr="003365D6">
        <w:rPr>
          <w:rFonts w:ascii="Arial" w:hAnsi="Arial"/>
          <w:sz w:val="22"/>
          <w:szCs w:val="22"/>
        </w:rPr>
        <w:t xml:space="preserve"> “Whilst Hospira is amenable to ‘a’ flagging for biosimilar Infliximab, Hospira is not formally requesting ‘a’ flagging status for this minor PBAC submission for biosimilar infliximab, (Inflectra™) lodged in April 2015. In reference to TGA’s current position not to endorse interchangeability of </w:t>
      </w:r>
      <w:r w:rsidR="00A74039">
        <w:rPr>
          <w:rFonts w:ascii="Arial" w:hAnsi="Arial"/>
          <w:sz w:val="22"/>
          <w:szCs w:val="22"/>
        </w:rPr>
        <w:t>biosimilars in its “Evaluation o</w:t>
      </w:r>
      <w:r w:rsidRPr="003365D6">
        <w:rPr>
          <w:rFonts w:ascii="Arial" w:hAnsi="Arial"/>
          <w:sz w:val="22"/>
          <w:szCs w:val="22"/>
        </w:rPr>
        <w:t xml:space="preserve">f Biosimilar” guidelines, Hospira will not apply for ‘a’ flagging request for biosimilar infliximab application at this time but defer to the discretion of the PBAC to make judgment on interchangeability/ substitution upon assessment of available evidence </w:t>
      </w:r>
      <w:r w:rsidR="004E7F71" w:rsidRPr="003365D6">
        <w:rPr>
          <w:rFonts w:ascii="Arial" w:hAnsi="Arial"/>
          <w:sz w:val="22"/>
          <w:szCs w:val="22"/>
        </w:rPr>
        <w:t>supp</w:t>
      </w:r>
      <w:r w:rsidRPr="003365D6">
        <w:rPr>
          <w:rFonts w:ascii="Arial" w:hAnsi="Arial"/>
          <w:sz w:val="22"/>
          <w:szCs w:val="22"/>
        </w:rPr>
        <w:t>lied.</w:t>
      </w:r>
      <w:r w:rsidR="004E7F71" w:rsidRPr="003365D6">
        <w:rPr>
          <w:rFonts w:ascii="Arial" w:hAnsi="Arial"/>
          <w:sz w:val="22"/>
          <w:szCs w:val="22"/>
        </w:rPr>
        <w:t>”</w:t>
      </w:r>
    </w:p>
    <w:p w:rsidR="00EF44A0" w:rsidRPr="003365D6" w:rsidRDefault="00EF44A0" w:rsidP="00C27B58">
      <w:pPr>
        <w:pStyle w:val="NoSpacing"/>
      </w:pPr>
    </w:p>
    <w:p w:rsidR="001216FE" w:rsidRPr="003365D6" w:rsidRDefault="001216FE" w:rsidP="00C27B58">
      <w:pPr>
        <w:pStyle w:val="NoSpacing"/>
      </w:pPr>
    </w:p>
    <w:p w:rsidR="00614159" w:rsidRPr="003365D6" w:rsidRDefault="006A12A5" w:rsidP="00526CD0">
      <w:pPr>
        <w:pStyle w:val="ListParagraph"/>
        <w:numPr>
          <w:ilvl w:val="0"/>
          <w:numId w:val="2"/>
        </w:numPr>
        <w:jc w:val="both"/>
        <w:rPr>
          <w:rFonts w:ascii="Arial" w:hAnsi="Arial"/>
          <w:b/>
          <w:sz w:val="22"/>
          <w:szCs w:val="22"/>
        </w:rPr>
      </w:pPr>
      <w:r w:rsidRPr="003365D6">
        <w:rPr>
          <w:rFonts w:ascii="Arial" w:hAnsi="Arial"/>
          <w:b/>
          <w:sz w:val="22"/>
          <w:szCs w:val="22"/>
        </w:rPr>
        <w:t>Requested listing</w:t>
      </w:r>
    </w:p>
    <w:p w:rsidR="00E7115E" w:rsidRPr="003365D6" w:rsidRDefault="00E7115E" w:rsidP="002237B1">
      <w:pPr>
        <w:pStyle w:val="ListParagraph"/>
        <w:jc w:val="both"/>
        <w:rPr>
          <w:rFonts w:ascii="Arial" w:hAnsi="Arial"/>
          <w:sz w:val="22"/>
          <w:szCs w:val="22"/>
        </w:rPr>
      </w:pPr>
    </w:p>
    <w:p w:rsidR="00E7115E" w:rsidRPr="003365D6" w:rsidRDefault="00E7115E" w:rsidP="00526CD0">
      <w:pPr>
        <w:pStyle w:val="ListParagraph"/>
        <w:numPr>
          <w:ilvl w:val="1"/>
          <w:numId w:val="2"/>
        </w:numPr>
        <w:jc w:val="both"/>
        <w:rPr>
          <w:rFonts w:ascii="Arial" w:hAnsi="Arial"/>
          <w:sz w:val="22"/>
          <w:szCs w:val="22"/>
        </w:rPr>
      </w:pPr>
      <w:r w:rsidRPr="003365D6">
        <w:rPr>
          <w:rFonts w:ascii="Arial" w:hAnsi="Arial"/>
          <w:sz w:val="22"/>
          <w:szCs w:val="22"/>
        </w:rPr>
        <w:t xml:space="preserve">Inflectra is marketed in some countries </w:t>
      </w:r>
      <w:r w:rsidR="00B34B83" w:rsidRPr="003365D6">
        <w:rPr>
          <w:rFonts w:ascii="Arial" w:hAnsi="Arial"/>
          <w:sz w:val="22"/>
          <w:szCs w:val="22"/>
        </w:rPr>
        <w:t xml:space="preserve">by Celltrion Inc. under the </w:t>
      </w:r>
      <w:r w:rsidR="00981EEA" w:rsidRPr="003365D6">
        <w:rPr>
          <w:rFonts w:ascii="Arial" w:hAnsi="Arial"/>
          <w:sz w:val="22"/>
          <w:szCs w:val="22"/>
        </w:rPr>
        <w:t>trade name</w:t>
      </w:r>
      <w:r w:rsidRPr="003365D6">
        <w:rPr>
          <w:rFonts w:ascii="Arial" w:hAnsi="Arial"/>
          <w:sz w:val="22"/>
          <w:szCs w:val="22"/>
        </w:rPr>
        <w:t xml:space="preserve"> </w:t>
      </w:r>
      <w:r w:rsidR="00B34B83" w:rsidRPr="003365D6">
        <w:rPr>
          <w:rFonts w:ascii="Arial" w:hAnsi="Arial"/>
          <w:sz w:val="22"/>
          <w:szCs w:val="22"/>
        </w:rPr>
        <w:t>“</w:t>
      </w:r>
      <w:r w:rsidRPr="003365D6">
        <w:rPr>
          <w:rFonts w:ascii="Arial" w:hAnsi="Arial"/>
          <w:sz w:val="22"/>
          <w:szCs w:val="22"/>
        </w:rPr>
        <w:t>Remsima</w:t>
      </w:r>
      <w:r w:rsidR="00B34B83" w:rsidRPr="003365D6">
        <w:rPr>
          <w:rFonts w:ascii="Arial" w:hAnsi="Arial"/>
          <w:sz w:val="22"/>
          <w:szCs w:val="22"/>
        </w:rPr>
        <w:t>”.</w:t>
      </w:r>
      <w:r w:rsidR="00760DAA" w:rsidRPr="003365D6">
        <w:rPr>
          <w:rFonts w:ascii="Arial" w:hAnsi="Arial"/>
          <w:sz w:val="22"/>
          <w:szCs w:val="22"/>
        </w:rPr>
        <w:t xml:space="preserve"> Several documents </w:t>
      </w:r>
      <w:r w:rsidR="000F7309" w:rsidRPr="003365D6">
        <w:rPr>
          <w:rFonts w:ascii="Arial" w:hAnsi="Arial"/>
          <w:sz w:val="22"/>
          <w:szCs w:val="22"/>
        </w:rPr>
        <w:t>refer to Inflectra as Rem</w:t>
      </w:r>
      <w:r w:rsidR="00760DAA" w:rsidRPr="003365D6">
        <w:rPr>
          <w:rFonts w:ascii="Arial" w:hAnsi="Arial"/>
          <w:sz w:val="22"/>
          <w:szCs w:val="22"/>
        </w:rPr>
        <w:t>s</w:t>
      </w:r>
      <w:r w:rsidR="000F7309" w:rsidRPr="003365D6">
        <w:rPr>
          <w:rFonts w:ascii="Arial" w:hAnsi="Arial"/>
          <w:sz w:val="22"/>
          <w:szCs w:val="22"/>
        </w:rPr>
        <w:t>i</w:t>
      </w:r>
      <w:r w:rsidR="00760DAA" w:rsidRPr="003365D6">
        <w:rPr>
          <w:rFonts w:ascii="Arial" w:hAnsi="Arial"/>
          <w:sz w:val="22"/>
          <w:szCs w:val="22"/>
        </w:rPr>
        <w:t>ma or CT-P13.</w:t>
      </w:r>
    </w:p>
    <w:p w:rsidR="0072053C" w:rsidRPr="003365D6" w:rsidRDefault="0072053C" w:rsidP="0072053C">
      <w:pPr>
        <w:pStyle w:val="ListParagraph"/>
        <w:jc w:val="both"/>
        <w:rPr>
          <w:rFonts w:ascii="Arial" w:hAnsi="Arial"/>
          <w:sz w:val="22"/>
          <w:szCs w:val="22"/>
        </w:rPr>
      </w:pPr>
    </w:p>
    <w:p w:rsidR="00826F6D" w:rsidRPr="00A74039" w:rsidRDefault="0072053C" w:rsidP="00C27B58">
      <w:pPr>
        <w:pStyle w:val="ListParagraph"/>
        <w:numPr>
          <w:ilvl w:val="1"/>
          <w:numId w:val="2"/>
        </w:numPr>
        <w:jc w:val="both"/>
      </w:pPr>
      <w:r w:rsidRPr="003365D6">
        <w:rPr>
          <w:rFonts w:ascii="Arial" w:hAnsi="Arial"/>
          <w:sz w:val="22"/>
          <w:szCs w:val="22"/>
        </w:rPr>
        <w:t>The proposed listing</w:t>
      </w:r>
      <w:r w:rsidR="005D6C77">
        <w:rPr>
          <w:rFonts w:ascii="Arial" w:hAnsi="Arial"/>
          <w:sz w:val="22"/>
          <w:szCs w:val="22"/>
        </w:rPr>
        <w:t xml:space="preserve">s are for the same indications as Remicade with the statutory 16% price reduction in accordance with the </w:t>
      </w:r>
      <w:r w:rsidR="005D6C77" w:rsidRPr="00A74039">
        <w:rPr>
          <w:rFonts w:ascii="Arial" w:hAnsi="Arial"/>
          <w:i/>
          <w:sz w:val="22"/>
          <w:szCs w:val="22"/>
        </w:rPr>
        <w:t>National Health Act</w:t>
      </w:r>
      <w:r w:rsidR="00A74039" w:rsidRPr="00A74039">
        <w:rPr>
          <w:rFonts w:ascii="Arial" w:hAnsi="Arial"/>
          <w:i/>
          <w:sz w:val="22"/>
          <w:szCs w:val="22"/>
        </w:rPr>
        <w:t xml:space="preserve"> 1953</w:t>
      </w:r>
      <w:r w:rsidR="006F2E42" w:rsidRPr="006F2E42">
        <w:rPr>
          <w:rFonts w:ascii="Arial" w:hAnsi="Arial"/>
          <w:sz w:val="22"/>
          <w:szCs w:val="22"/>
        </w:rPr>
        <w:t>.</w:t>
      </w:r>
    </w:p>
    <w:p w:rsidR="0072053C" w:rsidRPr="003365D6" w:rsidRDefault="0072053C" w:rsidP="00826F6D">
      <w:pPr>
        <w:pStyle w:val="ListParagraph"/>
        <w:jc w:val="both"/>
        <w:rPr>
          <w:rFonts w:ascii="Arial" w:hAnsi="Arial"/>
          <w:sz w:val="22"/>
          <w:szCs w:val="22"/>
        </w:rPr>
      </w:pPr>
    </w:p>
    <w:p w:rsidR="00BA7CCE" w:rsidRPr="003365D6" w:rsidRDefault="00BA7CCE" w:rsidP="00864BC4">
      <w:pPr>
        <w:pStyle w:val="ListParagraph"/>
        <w:numPr>
          <w:ilvl w:val="1"/>
          <w:numId w:val="2"/>
        </w:numPr>
        <w:jc w:val="both"/>
        <w:rPr>
          <w:rFonts w:ascii="Arial" w:hAnsi="Arial"/>
          <w:sz w:val="22"/>
          <w:szCs w:val="22"/>
        </w:rPr>
      </w:pPr>
      <w:r w:rsidRPr="003365D6">
        <w:rPr>
          <w:rFonts w:ascii="Arial" w:hAnsi="Arial"/>
          <w:sz w:val="22"/>
          <w:szCs w:val="22"/>
        </w:rPr>
        <w:t>In addition to the submission, the sponsor provided the following evidence:</w:t>
      </w:r>
    </w:p>
    <w:p w:rsidR="00BA7CCE" w:rsidRPr="003365D6" w:rsidRDefault="00BA7CCE" w:rsidP="00103BE3">
      <w:pPr>
        <w:pStyle w:val="ListParagraph"/>
        <w:numPr>
          <w:ilvl w:val="2"/>
          <w:numId w:val="2"/>
        </w:numPr>
        <w:jc w:val="both"/>
        <w:rPr>
          <w:rFonts w:ascii="Arial" w:hAnsi="Arial"/>
          <w:sz w:val="22"/>
          <w:szCs w:val="22"/>
        </w:rPr>
      </w:pPr>
      <w:r w:rsidRPr="003365D6">
        <w:rPr>
          <w:rFonts w:ascii="Arial" w:hAnsi="Arial"/>
          <w:sz w:val="22"/>
          <w:szCs w:val="22"/>
        </w:rPr>
        <w:t>TGA documents provided at the time of the lodgement of the submission</w:t>
      </w:r>
    </w:p>
    <w:p w:rsidR="007B0444" w:rsidRDefault="00117469" w:rsidP="00103BE3">
      <w:pPr>
        <w:pStyle w:val="ListParagraph"/>
        <w:numPr>
          <w:ilvl w:val="2"/>
          <w:numId w:val="2"/>
        </w:numPr>
        <w:jc w:val="both"/>
        <w:rPr>
          <w:rFonts w:ascii="Arial" w:hAnsi="Arial"/>
          <w:sz w:val="22"/>
          <w:szCs w:val="22"/>
        </w:rPr>
      </w:pPr>
      <w:r w:rsidRPr="007B0444">
        <w:rPr>
          <w:rFonts w:ascii="Arial" w:hAnsi="Arial"/>
          <w:sz w:val="22"/>
          <w:szCs w:val="22"/>
        </w:rPr>
        <w:t xml:space="preserve">ACPM ratified resolution </w:t>
      </w:r>
    </w:p>
    <w:p w:rsidR="00BA7CCE" w:rsidRPr="007B0444" w:rsidRDefault="00BA7CCE" w:rsidP="00103BE3">
      <w:pPr>
        <w:pStyle w:val="ListParagraph"/>
        <w:numPr>
          <w:ilvl w:val="2"/>
          <w:numId w:val="2"/>
        </w:numPr>
        <w:jc w:val="both"/>
        <w:rPr>
          <w:rFonts w:ascii="Arial" w:hAnsi="Arial"/>
          <w:sz w:val="22"/>
          <w:szCs w:val="22"/>
        </w:rPr>
      </w:pPr>
      <w:r w:rsidRPr="0015219D">
        <w:rPr>
          <w:rFonts w:ascii="Arial" w:hAnsi="Arial"/>
          <w:sz w:val="22"/>
          <w:szCs w:val="22"/>
        </w:rPr>
        <w:t xml:space="preserve">Supplementary clinical section </w:t>
      </w:r>
      <w:r w:rsidRPr="007B0444">
        <w:rPr>
          <w:rFonts w:ascii="Arial" w:hAnsi="Arial"/>
          <w:sz w:val="22"/>
          <w:szCs w:val="22"/>
        </w:rPr>
        <w:t>addressing the use of Inflectra in IBD conditions</w:t>
      </w:r>
    </w:p>
    <w:p w:rsidR="00BA7CCE" w:rsidRPr="0015219D" w:rsidRDefault="003C650E" w:rsidP="00103BE3">
      <w:pPr>
        <w:pStyle w:val="ListParagraph"/>
        <w:numPr>
          <w:ilvl w:val="2"/>
          <w:numId w:val="2"/>
        </w:numPr>
        <w:jc w:val="both"/>
        <w:rPr>
          <w:rFonts w:ascii="Arial" w:hAnsi="Arial"/>
          <w:sz w:val="22"/>
          <w:szCs w:val="22"/>
        </w:rPr>
      </w:pPr>
      <w:r w:rsidRPr="007B0444">
        <w:rPr>
          <w:rFonts w:ascii="Arial" w:hAnsi="Arial"/>
          <w:sz w:val="22"/>
          <w:szCs w:val="22"/>
        </w:rPr>
        <w:t xml:space="preserve">A discussion of </w:t>
      </w:r>
      <w:r w:rsidR="00864BC4" w:rsidRPr="007B0444">
        <w:rPr>
          <w:rFonts w:ascii="Arial" w:hAnsi="Arial"/>
          <w:sz w:val="22"/>
          <w:szCs w:val="22"/>
        </w:rPr>
        <w:t xml:space="preserve">the </w:t>
      </w:r>
      <w:r w:rsidRPr="007B0444">
        <w:rPr>
          <w:rFonts w:ascii="Arial" w:hAnsi="Arial"/>
          <w:sz w:val="22"/>
          <w:szCs w:val="22"/>
        </w:rPr>
        <w:t xml:space="preserve">data supportive of substitution at the point of dispensing </w:t>
      </w:r>
    </w:p>
    <w:p w:rsidR="007B0444" w:rsidRPr="00626C74" w:rsidRDefault="007B0444" w:rsidP="00626C74">
      <w:pPr>
        <w:pStyle w:val="ListParagraph"/>
        <w:jc w:val="both"/>
        <w:rPr>
          <w:rFonts w:ascii="Arial" w:hAnsi="Arial"/>
          <w:b/>
          <w:sz w:val="22"/>
          <w:szCs w:val="22"/>
        </w:rPr>
      </w:pPr>
    </w:p>
    <w:p w:rsidR="00BA7CCE" w:rsidRPr="003365D6" w:rsidRDefault="003C650E" w:rsidP="00864BC4">
      <w:pPr>
        <w:pStyle w:val="ListParagraph"/>
        <w:numPr>
          <w:ilvl w:val="1"/>
          <w:numId w:val="2"/>
        </w:numPr>
        <w:jc w:val="both"/>
        <w:rPr>
          <w:rFonts w:ascii="Arial" w:hAnsi="Arial"/>
          <w:b/>
          <w:sz w:val="22"/>
          <w:szCs w:val="22"/>
        </w:rPr>
      </w:pPr>
      <w:r w:rsidRPr="003365D6">
        <w:rPr>
          <w:rFonts w:ascii="Arial" w:hAnsi="Arial"/>
          <w:sz w:val="22"/>
          <w:szCs w:val="22"/>
        </w:rPr>
        <w:t xml:space="preserve">The sponsor </w:t>
      </w:r>
      <w:r w:rsidR="005119D0" w:rsidRPr="003365D6">
        <w:rPr>
          <w:rFonts w:ascii="Arial" w:hAnsi="Arial"/>
          <w:sz w:val="22"/>
          <w:szCs w:val="22"/>
        </w:rPr>
        <w:t xml:space="preserve">claimed </w:t>
      </w:r>
      <w:r w:rsidRPr="003365D6">
        <w:rPr>
          <w:rFonts w:ascii="Arial" w:hAnsi="Arial"/>
          <w:sz w:val="22"/>
          <w:szCs w:val="22"/>
        </w:rPr>
        <w:t>that the provided evidence, as well as demonstrating highly similar efficacy, safety and immunogenicity features in AS and RA patients who are infliximab-naïve, also display</w:t>
      </w:r>
      <w:r w:rsidR="00D632DD" w:rsidRPr="003365D6">
        <w:rPr>
          <w:rFonts w:ascii="Arial" w:hAnsi="Arial"/>
          <w:sz w:val="22"/>
          <w:szCs w:val="22"/>
        </w:rPr>
        <w:t>s</w:t>
      </w:r>
      <w:r w:rsidRPr="003365D6">
        <w:rPr>
          <w:rFonts w:ascii="Arial" w:hAnsi="Arial"/>
          <w:sz w:val="22"/>
          <w:szCs w:val="22"/>
        </w:rPr>
        <w:t>, “consistently similar efficacy, safety and immunogenicity attributes following a single transition of Remicade® treated AS and RA patients on CT-P13</w:t>
      </w:r>
      <w:r w:rsidR="00864BC4" w:rsidRPr="003365D6">
        <w:rPr>
          <w:rFonts w:ascii="Arial" w:hAnsi="Arial"/>
          <w:sz w:val="22"/>
          <w:szCs w:val="22"/>
        </w:rPr>
        <w:t xml:space="preserve"> [Inflectra]</w:t>
      </w:r>
      <w:r w:rsidRPr="003365D6">
        <w:rPr>
          <w:rFonts w:ascii="Arial" w:hAnsi="Arial"/>
          <w:sz w:val="22"/>
          <w:szCs w:val="22"/>
        </w:rPr>
        <w:t xml:space="preserve">”.  </w:t>
      </w:r>
    </w:p>
    <w:p w:rsidR="00BA7CCE" w:rsidRPr="003365D6" w:rsidRDefault="00BA7CCE" w:rsidP="00882085">
      <w:pPr>
        <w:jc w:val="both"/>
        <w:rPr>
          <w:rFonts w:ascii="Arial" w:hAnsi="Arial"/>
          <w:b/>
          <w:sz w:val="22"/>
          <w:szCs w:val="22"/>
        </w:rPr>
      </w:pPr>
    </w:p>
    <w:p w:rsidR="001216FE" w:rsidRPr="003365D6" w:rsidRDefault="001216FE" w:rsidP="00882085">
      <w:pPr>
        <w:jc w:val="both"/>
        <w:rPr>
          <w:rFonts w:ascii="Arial" w:hAnsi="Arial"/>
          <w:b/>
          <w:sz w:val="22"/>
          <w:szCs w:val="22"/>
        </w:rPr>
      </w:pPr>
    </w:p>
    <w:p w:rsidR="00CE10C4" w:rsidRPr="003365D6" w:rsidRDefault="00CE10C4" w:rsidP="00103BE3">
      <w:pPr>
        <w:pStyle w:val="ListParagraph"/>
        <w:keepNext/>
        <w:numPr>
          <w:ilvl w:val="0"/>
          <w:numId w:val="2"/>
        </w:numPr>
        <w:jc w:val="both"/>
        <w:rPr>
          <w:rFonts w:ascii="Arial" w:hAnsi="Arial"/>
          <w:sz w:val="22"/>
          <w:szCs w:val="22"/>
        </w:rPr>
      </w:pPr>
      <w:r w:rsidRPr="003365D6">
        <w:rPr>
          <w:rFonts w:ascii="Arial" w:hAnsi="Arial"/>
          <w:b/>
          <w:sz w:val="22"/>
          <w:szCs w:val="22"/>
        </w:rPr>
        <w:lastRenderedPageBreak/>
        <w:t>Background</w:t>
      </w:r>
    </w:p>
    <w:p w:rsidR="006A12A5" w:rsidRPr="003365D6" w:rsidRDefault="006A12A5" w:rsidP="00103BE3">
      <w:pPr>
        <w:keepNext/>
        <w:jc w:val="both"/>
        <w:rPr>
          <w:rFonts w:ascii="Arial" w:hAnsi="Arial"/>
          <w:sz w:val="22"/>
          <w:szCs w:val="22"/>
        </w:rPr>
      </w:pPr>
    </w:p>
    <w:p w:rsidR="00DB3985" w:rsidRPr="003365D6" w:rsidRDefault="005119D0" w:rsidP="00526CD0">
      <w:pPr>
        <w:pStyle w:val="ListParagraph"/>
        <w:numPr>
          <w:ilvl w:val="1"/>
          <w:numId w:val="2"/>
        </w:numPr>
        <w:jc w:val="both"/>
        <w:rPr>
          <w:rFonts w:ascii="Arial" w:hAnsi="Arial"/>
          <w:i/>
          <w:sz w:val="22"/>
          <w:szCs w:val="22"/>
        </w:rPr>
      </w:pPr>
      <w:r w:rsidRPr="003365D6">
        <w:rPr>
          <w:rFonts w:ascii="Arial" w:hAnsi="Arial"/>
          <w:sz w:val="22"/>
          <w:szCs w:val="22"/>
        </w:rPr>
        <w:t>The following information is outlined below</w:t>
      </w:r>
      <w:r w:rsidR="00DB3985" w:rsidRPr="003365D6">
        <w:rPr>
          <w:rFonts w:ascii="Arial" w:hAnsi="Arial"/>
          <w:sz w:val="22"/>
          <w:szCs w:val="22"/>
        </w:rPr>
        <w:t>:</w:t>
      </w:r>
    </w:p>
    <w:p w:rsidR="00AF1A57" w:rsidRPr="003365D6" w:rsidRDefault="003A2B93" w:rsidP="00526CD0">
      <w:pPr>
        <w:pStyle w:val="ListParagraph"/>
        <w:numPr>
          <w:ilvl w:val="2"/>
          <w:numId w:val="2"/>
        </w:numPr>
        <w:jc w:val="both"/>
        <w:rPr>
          <w:rFonts w:ascii="Arial" w:hAnsi="Arial"/>
          <w:sz w:val="22"/>
          <w:szCs w:val="22"/>
        </w:rPr>
      </w:pPr>
      <w:r w:rsidRPr="003365D6">
        <w:rPr>
          <w:rFonts w:ascii="Arial" w:hAnsi="Arial"/>
          <w:sz w:val="22"/>
          <w:szCs w:val="22"/>
        </w:rPr>
        <w:t>Previous PBAC consideration of biosimilars</w:t>
      </w:r>
    </w:p>
    <w:p w:rsidR="00C54E82" w:rsidRPr="003365D6" w:rsidRDefault="00C54E82" w:rsidP="00526CD0">
      <w:pPr>
        <w:pStyle w:val="ListParagraph"/>
        <w:numPr>
          <w:ilvl w:val="2"/>
          <w:numId w:val="2"/>
        </w:numPr>
        <w:jc w:val="both"/>
        <w:rPr>
          <w:rFonts w:ascii="Arial" w:hAnsi="Arial"/>
          <w:sz w:val="22"/>
          <w:szCs w:val="22"/>
        </w:rPr>
      </w:pPr>
      <w:r w:rsidRPr="003365D6">
        <w:rPr>
          <w:rFonts w:ascii="Arial" w:hAnsi="Arial"/>
          <w:sz w:val="22"/>
          <w:szCs w:val="22"/>
        </w:rPr>
        <w:t>Substitution of biosimilars at the pharmacist level (“a” flagging)</w:t>
      </w:r>
    </w:p>
    <w:p w:rsidR="00DB3985" w:rsidRPr="003365D6" w:rsidRDefault="00DB3985" w:rsidP="00526CD0">
      <w:pPr>
        <w:pStyle w:val="ListParagraph"/>
        <w:numPr>
          <w:ilvl w:val="2"/>
          <w:numId w:val="2"/>
        </w:numPr>
        <w:jc w:val="both"/>
        <w:rPr>
          <w:rFonts w:ascii="Arial" w:hAnsi="Arial"/>
          <w:i/>
          <w:sz w:val="22"/>
          <w:szCs w:val="22"/>
        </w:rPr>
      </w:pPr>
      <w:r w:rsidRPr="003365D6">
        <w:rPr>
          <w:rFonts w:ascii="Arial" w:hAnsi="Arial"/>
          <w:sz w:val="22"/>
          <w:szCs w:val="22"/>
        </w:rPr>
        <w:t>TGA consideration of Inflectra</w:t>
      </w:r>
    </w:p>
    <w:p w:rsidR="00FE157F" w:rsidRPr="003365D6" w:rsidRDefault="00FE157F" w:rsidP="00FE157F">
      <w:pPr>
        <w:jc w:val="both"/>
        <w:rPr>
          <w:rFonts w:ascii="Arial" w:hAnsi="Arial"/>
          <w:i/>
          <w:sz w:val="22"/>
          <w:szCs w:val="22"/>
        </w:rPr>
      </w:pPr>
    </w:p>
    <w:p w:rsidR="0099519E" w:rsidRPr="003365D6" w:rsidRDefault="0099519E" w:rsidP="00A23869">
      <w:pPr>
        <w:ind w:firstLine="720"/>
        <w:jc w:val="both"/>
        <w:rPr>
          <w:rFonts w:ascii="Arial" w:hAnsi="Arial"/>
          <w:sz w:val="22"/>
          <w:szCs w:val="22"/>
          <w:u w:val="single"/>
        </w:rPr>
      </w:pPr>
      <w:r w:rsidRPr="003365D6">
        <w:rPr>
          <w:rFonts w:ascii="Arial" w:hAnsi="Arial"/>
          <w:sz w:val="22"/>
          <w:szCs w:val="22"/>
          <w:u w:val="single"/>
        </w:rPr>
        <w:t>Previous PBAC consideration of biosimilars</w:t>
      </w:r>
    </w:p>
    <w:p w:rsidR="0099519E" w:rsidRPr="003365D6" w:rsidRDefault="0099519E" w:rsidP="00E22AB1">
      <w:pPr>
        <w:jc w:val="both"/>
        <w:rPr>
          <w:rFonts w:ascii="Arial" w:hAnsi="Arial"/>
          <w:sz w:val="22"/>
          <w:szCs w:val="22"/>
          <w:u w:val="single"/>
        </w:rPr>
      </w:pPr>
    </w:p>
    <w:p w:rsidR="0099519E" w:rsidRPr="003365D6" w:rsidRDefault="00D632DD" w:rsidP="003A2B93">
      <w:pPr>
        <w:pStyle w:val="ListParagraph"/>
        <w:numPr>
          <w:ilvl w:val="1"/>
          <w:numId w:val="2"/>
        </w:numPr>
        <w:jc w:val="both"/>
        <w:rPr>
          <w:rFonts w:ascii="Arial" w:hAnsi="Arial"/>
          <w:sz w:val="22"/>
          <w:szCs w:val="22"/>
        </w:rPr>
      </w:pPr>
      <w:r w:rsidRPr="003365D6">
        <w:rPr>
          <w:rFonts w:ascii="Arial" w:hAnsi="Arial"/>
          <w:sz w:val="22"/>
          <w:szCs w:val="22"/>
        </w:rPr>
        <w:t>Since the TGA has developed a biosimilars evaluation pathway, t</w:t>
      </w:r>
      <w:r w:rsidR="0099519E" w:rsidRPr="003365D6">
        <w:rPr>
          <w:rFonts w:ascii="Arial" w:hAnsi="Arial"/>
          <w:sz w:val="22"/>
          <w:szCs w:val="22"/>
        </w:rPr>
        <w:t>he PBAC has previously recommended the subsidy of biosimilars for epoetin alfa, filgrastim and insulin glargine.</w:t>
      </w:r>
    </w:p>
    <w:p w:rsidR="0099519E" w:rsidRPr="003365D6" w:rsidRDefault="0099519E" w:rsidP="00E22AB1">
      <w:pPr>
        <w:jc w:val="both"/>
        <w:rPr>
          <w:rFonts w:ascii="Arial" w:hAnsi="Arial"/>
          <w:sz w:val="22"/>
          <w:szCs w:val="22"/>
          <w:u w:val="single"/>
        </w:rPr>
      </w:pPr>
    </w:p>
    <w:p w:rsidR="0099519E" w:rsidRPr="003365D6" w:rsidRDefault="0099519E" w:rsidP="003A2B93">
      <w:pPr>
        <w:pStyle w:val="ListParagraph"/>
        <w:numPr>
          <w:ilvl w:val="1"/>
          <w:numId w:val="2"/>
        </w:numPr>
        <w:jc w:val="both"/>
        <w:rPr>
          <w:rFonts w:ascii="Arial" w:hAnsi="Arial"/>
          <w:sz w:val="22"/>
          <w:szCs w:val="22"/>
        </w:rPr>
      </w:pPr>
      <w:r w:rsidRPr="003365D6">
        <w:rPr>
          <w:rFonts w:ascii="Arial" w:hAnsi="Arial"/>
          <w:sz w:val="22"/>
          <w:szCs w:val="22"/>
        </w:rPr>
        <w:t xml:space="preserve">Epoetin lambda was recommended for subsidy by the PBAC in July 2010.  The PBAC noted that epoetin lambda had been approved by TGA under the Similar Biological Medicinal Product guidelines with the reference product epoetin alfa. However, </w:t>
      </w:r>
      <w:r w:rsidR="005D3C75" w:rsidRPr="003365D6">
        <w:rPr>
          <w:rFonts w:ascii="Arial" w:hAnsi="Arial"/>
          <w:sz w:val="22"/>
          <w:szCs w:val="22"/>
        </w:rPr>
        <w:t xml:space="preserve">the TGA registered the epoetin alfa biosimilar under a </w:t>
      </w:r>
      <w:r w:rsidR="00BA095E" w:rsidRPr="003365D6">
        <w:rPr>
          <w:rFonts w:ascii="Arial" w:hAnsi="Arial"/>
          <w:sz w:val="22"/>
          <w:szCs w:val="22"/>
        </w:rPr>
        <w:t>diff</w:t>
      </w:r>
      <w:r w:rsidR="005D3C75" w:rsidRPr="003365D6">
        <w:rPr>
          <w:rFonts w:ascii="Arial" w:hAnsi="Arial"/>
          <w:sz w:val="22"/>
          <w:szCs w:val="22"/>
        </w:rPr>
        <w:t xml:space="preserve">erent Australian Biologic Name, </w:t>
      </w:r>
      <w:r w:rsidR="00BA095E" w:rsidRPr="003365D6">
        <w:rPr>
          <w:rFonts w:ascii="Arial" w:hAnsi="Arial"/>
          <w:sz w:val="22"/>
          <w:szCs w:val="22"/>
        </w:rPr>
        <w:t>epoetin lambda</w:t>
      </w:r>
      <w:r w:rsidR="005D3C75" w:rsidRPr="003365D6">
        <w:rPr>
          <w:rFonts w:ascii="Arial" w:hAnsi="Arial"/>
          <w:sz w:val="22"/>
          <w:szCs w:val="22"/>
        </w:rPr>
        <w:t>,</w:t>
      </w:r>
      <w:r w:rsidR="00BA095E" w:rsidRPr="003365D6">
        <w:rPr>
          <w:rFonts w:ascii="Arial" w:hAnsi="Arial"/>
          <w:sz w:val="22"/>
          <w:szCs w:val="22"/>
        </w:rPr>
        <w:t xml:space="preserve"> </w:t>
      </w:r>
      <w:r w:rsidRPr="003365D6">
        <w:rPr>
          <w:rFonts w:ascii="Arial" w:hAnsi="Arial"/>
          <w:sz w:val="22"/>
          <w:szCs w:val="22"/>
        </w:rPr>
        <w:t>due to difference</w:t>
      </w:r>
      <w:r w:rsidR="005D3C75" w:rsidRPr="003365D6">
        <w:rPr>
          <w:rFonts w:ascii="Arial" w:hAnsi="Arial"/>
          <w:sz w:val="22"/>
          <w:szCs w:val="22"/>
        </w:rPr>
        <w:t>s</w:t>
      </w:r>
      <w:r w:rsidRPr="003365D6">
        <w:rPr>
          <w:rFonts w:ascii="Arial" w:hAnsi="Arial"/>
          <w:sz w:val="22"/>
          <w:szCs w:val="22"/>
        </w:rPr>
        <w:t xml:space="preserve"> in the glycosylation pattern of</w:t>
      </w:r>
      <w:r w:rsidR="00BA095E" w:rsidRPr="003365D6">
        <w:rPr>
          <w:rFonts w:ascii="Arial" w:hAnsi="Arial"/>
          <w:sz w:val="22"/>
          <w:szCs w:val="22"/>
        </w:rPr>
        <w:t xml:space="preserve"> the product.  </w:t>
      </w:r>
      <w:r w:rsidR="005D3C75" w:rsidRPr="003365D6">
        <w:rPr>
          <w:rFonts w:ascii="Arial" w:hAnsi="Arial"/>
          <w:sz w:val="22"/>
          <w:szCs w:val="22"/>
        </w:rPr>
        <w:t xml:space="preserve">The </w:t>
      </w:r>
      <w:r w:rsidR="00756C8F" w:rsidRPr="003365D6">
        <w:rPr>
          <w:rFonts w:ascii="Arial" w:hAnsi="Arial"/>
          <w:sz w:val="22"/>
          <w:szCs w:val="22"/>
        </w:rPr>
        <w:t>Minister subsequently</w:t>
      </w:r>
      <w:r w:rsidR="005D3C75" w:rsidRPr="003365D6">
        <w:rPr>
          <w:rFonts w:ascii="Arial" w:hAnsi="Arial"/>
          <w:sz w:val="22"/>
          <w:szCs w:val="22"/>
        </w:rPr>
        <w:t xml:space="preserve"> declared epoetin lambda to be a different drug and both epoetin alfa and epoetin lambda remain on the PBS F1 formulary.</w:t>
      </w:r>
    </w:p>
    <w:p w:rsidR="005D3C75" w:rsidRPr="003365D6" w:rsidRDefault="005D3C75" w:rsidP="00E22AB1">
      <w:pPr>
        <w:jc w:val="both"/>
        <w:rPr>
          <w:rFonts w:ascii="Arial" w:hAnsi="Arial"/>
          <w:sz w:val="22"/>
          <w:szCs w:val="22"/>
        </w:rPr>
      </w:pPr>
    </w:p>
    <w:p w:rsidR="005D3C75" w:rsidRPr="003365D6" w:rsidRDefault="005D3C75" w:rsidP="00626C74">
      <w:pPr>
        <w:ind w:left="720"/>
        <w:jc w:val="both"/>
        <w:rPr>
          <w:rFonts w:ascii="Arial" w:hAnsi="Arial"/>
          <w:sz w:val="22"/>
          <w:szCs w:val="22"/>
        </w:rPr>
      </w:pPr>
      <w:r w:rsidRPr="003365D6">
        <w:rPr>
          <w:rFonts w:ascii="Arial" w:hAnsi="Arial"/>
          <w:sz w:val="22"/>
          <w:szCs w:val="22"/>
        </w:rPr>
        <w:t>The PBAC has recommended three biosimilars to Neupogen® filgrastim.  The TGA delegate proposed to list the first filgrastim biosimilar (Nivestim®) on the basis of comparable efficacy and safety and having the same non-proprietary name as its reference product</w:t>
      </w:r>
      <w:r w:rsidR="00910325" w:rsidRPr="003365D6">
        <w:rPr>
          <w:rFonts w:ascii="Arial" w:hAnsi="Arial"/>
          <w:sz w:val="22"/>
          <w:szCs w:val="22"/>
        </w:rPr>
        <w:t>.  This was determined using</w:t>
      </w:r>
      <w:r w:rsidRPr="003365D6">
        <w:rPr>
          <w:rFonts w:ascii="Arial" w:hAnsi="Arial"/>
          <w:sz w:val="22"/>
          <w:szCs w:val="22"/>
        </w:rPr>
        <w:t xml:space="preserve"> an abridged dataset </w:t>
      </w:r>
      <w:r w:rsidR="00910325" w:rsidRPr="003365D6">
        <w:rPr>
          <w:rFonts w:ascii="Arial" w:hAnsi="Arial"/>
          <w:sz w:val="22"/>
          <w:szCs w:val="22"/>
        </w:rPr>
        <w:t xml:space="preserve">consistent with </w:t>
      </w:r>
      <w:r w:rsidRPr="003365D6">
        <w:rPr>
          <w:rFonts w:ascii="Arial" w:hAnsi="Arial"/>
          <w:sz w:val="22"/>
          <w:szCs w:val="22"/>
        </w:rPr>
        <w:t xml:space="preserve">European </w:t>
      </w:r>
      <w:r w:rsidR="002D5B3E" w:rsidRPr="003365D6">
        <w:rPr>
          <w:rFonts w:ascii="Arial" w:hAnsi="Arial"/>
          <w:sz w:val="22"/>
          <w:szCs w:val="22"/>
        </w:rPr>
        <w:t>Medicines Agency</w:t>
      </w:r>
      <w:r w:rsidRPr="003365D6">
        <w:rPr>
          <w:rFonts w:ascii="Arial" w:hAnsi="Arial"/>
          <w:sz w:val="22"/>
          <w:szCs w:val="22"/>
        </w:rPr>
        <w:t xml:space="preserve"> guidelines adopted by the TGA.  At the time of listing the first filgrastim biosimilar (Nivestim®), the PBAC recommended that </w:t>
      </w:r>
      <w:r w:rsidR="00A6540F" w:rsidRPr="003365D6">
        <w:rPr>
          <w:rFonts w:ascii="Arial" w:hAnsi="Arial"/>
          <w:sz w:val="22"/>
          <w:szCs w:val="22"/>
        </w:rPr>
        <w:t xml:space="preserve">”a” </w:t>
      </w:r>
      <w:r w:rsidRPr="003365D6">
        <w:rPr>
          <w:rFonts w:ascii="Arial" w:hAnsi="Arial"/>
          <w:sz w:val="22"/>
          <w:szCs w:val="22"/>
        </w:rPr>
        <w:t xml:space="preserve">flagging for the purposes of subsection 103(2A)(b) of the </w:t>
      </w:r>
      <w:r w:rsidRPr="003365D6">
        <w:rPr>
          <w:rFonts w:ascii="Arial" w:hAnsi="Arial"/>
          <w:i/>
          <w:sz w:val="22"/>
          <w:szCs w:val="22"/>
        </w:rPr>
        <w:t>National Health Act 1953</w:t>
      </w:r>
      <w:r w:rsidRPr="003365D6">
        <w:rPr>
          <w:rFonts w:ascii="Arial" w:hAnsi="Arial"/>
          <w:sz w:val="22"/>
          <w:szCs w:val="22"/>
        </w:rPr>
        <w:t xml:space="preserve"> should not be applied to the reference and biosimilar filgrastim products, noting the absence of a TGA issued statement, at the time of consideration, that would support </w:t>
      </w:r>
      <w:r w:rsidR="00A6540F" w:rsidRPr="003365D6">
        <w:rPr>
          <w:rFonts w:ascii="Arial" w:hAnsi="Arial"/>
          <w:sz w:val="22"/>
          <w:szCs w:val="22"/>
        </w:rPr>
        <w:t xml:space="preserve">”a” </w:t>
      </w:r>
      <w:r w:rsidRPr="003365D6">
        <w:rPr>
          <w:rFonts w:ascii="Arial" w:hAnsi="Arial"/>
          <w:sz w:val="22"/>
          <w:szCs w:val="22"/>
        </w:rPr>
        <w:t>flagging.</w:t>
      </w:r>
    </w:p>
    <w:p w:rsidR="005D3C75" w:rsidRPr="003365D6" w:rsidRDefault="005D3C75" w:rsidP="00E22AB1">
      <w:pPr>
        <w:jc w:val="both"/>
        <w:rPr>
          <w:rFonts w:ascii="Arial" w:hAnsi="Arial"/>
          <w:sz w:val="22"/>
          <w:szCs w:val="22"/>
        </w:rPr>
      </w:pPr>
    </w:p>
    <w:p w:rsidR="005D3C75" w:rsidRPr="003365D6" w:rsidRDefault="005D3C75" w:rsidP="003A2B93">
      <w:pPr>
        <w:pStyle w:val="ListParagraph"/>
        <w:numPr>
          <w:ilvl w:val="1"/>
          <w:numId w:val="2"/>
        </w:numPr>
        <w:jc w:val="both"/>
        <w:rPr>
          <w:rFonts w:ascii="Arial" w:hAnsi="Arial"/>
          <w:sz w:val="22"/>
          <w:szCs w:val="22"/>
        </w:rPr>
      </w:pPr>
      <w:r w:rsidRPr="003365D6">
        <w:rPr>
          <w:rFonts w:ascii="Arial" w:hAnsi="Arial"/>
          <w:sz w:val="22"/>
          <w:szCs w:val="22"/>
        </w:rPr>
        <w:t>Subsequent biosimilars for filgrastim</w:t>
      </w:r>
      <w:r w:rsidR="00EA6557" w:rsidRPr="003365D6">
        <w:rPr>
          <w:rFonts w:ascii="Arial" w:hAnsi="Arial"/>
          <w:sz w:val="22"/>
          <w:szCs w:val="22"/>
        </w:rPr>
        <w:t xml:space="preserve"> (TevaGrastim and Zarzio) were listed on the PBS under the same conditions as Nivestim®.</w:t>
      </w:r>
    </w:p>
    <w:p w:rsidR="00EA6557" w:rsidRPr="003365D6" w:rsidRDefault="00EA6557" w:rsidP="00E22AB1">
      <w:pPr>
        <w:jc w:val="both"/>
        <w:rPr>
          <w:rFonts w:ascii="Arial" w:hAnsi="Arial"/>
          <w:sz w:val="22"/>
          <w:szCs w:val="22"/>
        </w:rPr>
      </w:pPr>
    </w:p>
    <w:p w:rsidR="00EA6557" w:rsidRPr="003365D6" w:rsidRDefault="00EA6557" w:rsidP="003A2B93">
      <w:pPr>
        <w:pStyle w:val="ListParagraph"/>
        <w:numPr>
          <w:ilvl w:val="1"/>
          <w:numId w:val="2"/>
        </w:numPr>
        <w:jc w:val="both"/>
        <w:rPr>
          <w:rFonts w:ascii="Arial" w:hAnsi="Arial"/>
          <w:sz w:val="22"/>
          <w:szCs w:val="22"/>
        </w:rPr>
      </w:pPr>
      <w:r w:rsidRPr="003365D6">
        <w:rPr>
          <w:rFonts w:ascii="Arial" w:hAnsi="Arial"/>
          <w:sz w:val="22"/>
          <w:szCs w:val="22"/>
        </w:rPr>
        <w:t xml:space="preserve">At the March 2015 meeting, the PBAC recommended the listing of the insulin glargine biosimilar Basaglar® on a cost minimisation basis with the reference product, Lantus.  </w:t>
      </w:r>
      <w:r w:rsidR="00B60CB2" w:rsidRPr="003365D6">
        <w:rPr>
          <w:rFonts w:ascii="Arial" w:hAnsi="Arial"/>
          <w:sz w:val="22"/>
          <w:szCs w:val="22"/>
        </w:rPr>
        <w:t xml:space="preserve">In response to a request from the </w:t>
      </w:r>
      <w:r w:rsidRPr="003365D6">
        <w:rPr>
          <w:rFonts w:ascii="Arial" w:hAnsi="Arial"/>
          <w:sz w:val="22"/>
          <w:szCs w:val="22"/>
        </w:rPr>
        <w:t xml:space="preserve">Minister </w:t>
      </w:r>
      <w:r w:rsidR="002D5B3E" w:rsidRPr="003365D6">
        <w:rPr>
          <w:rFonts w:ascii="Arial" w:hAnsi="Arial"/>
          <w:sz w:val="22"/>
          <w:szCs w:val="22"/>
        </w:rPr>
        <w:t xml:space="preserve">the PBAC </w:t>
      </w:r>
      <w:r w:rsidR="00B60CB2" w:rsidRPr="003365D6">
        <w:rPr>
          <w:rFonts w:ascii="Arial" w:hAnsi="Arial"/>
          <w:sz w:val="22"/>
          <w:szCs w:val="22"/>
        </w:rPr>
        <w:t xml:space="preserve">provided advice </w:t>
      </w:r>
      <w:r w:rsidR="002D5B3E" w:rsidRPr="003365D6">
        <w:rPr>
          <w:rFonts w:ascii="Arial" w:hAnsi="Arial"/>
          <w:sz w:val="22"/>
          <w:szCs w:val="22"/>
        </w:rPr>
        <w:t>regarding</w:t>
      </w:r>
      <w:r w:rsidRPr="003365D6">
        <w:rPr>
          <w:rFonts w:ascii="Arial" w:hAnsi="Arial"/>
          <w:sz w:val="22"/>
          <w:szCs w:val="22"/>
        </w:rPr>
        <w:t xml:space="preserve"> </w:t>
      </w:r>
      <w:r w:rsidR="00DA1992">
        <w:rPr>
          <w:rFonts w:ascii="Arial" w:hAnsi="Arial"/>
          <w:sz w:val="22"/>
          <w:szCs w:val="22"/>
        </w:rPr>
        <w:t>“</w:t>
      </w:r>
      <w:r w:rsidR="00A6540F" w:rsidRPr="003365D6">
        <w:rPr>
          <w:rFonts w:ascii="Arial" w:hAnsi="Arial"/>
          <w:sz w:val="22"/>
          <w:szCs w:val="22"/>
        </w:rPr>
        <w:t xml:space="preserve">a” </w:t>
      </w:r>
      <w:r w:rsidRPr="003365D6">
        <w:rPr>
          <w:rFonts w:ascii="Arial" w:hAnsi="Arial"/>
          <w:sz w:val="22"/>
          <w:szCs w:val="22"/>
        </w:rPr>
        <w:t xml:space="preserve">flagging in the Schedule of Pharmaceutical Benefits of </w:t>
      </w:r>
      <w:r w:rsidR="00B60CB2" w:rsidRPr="003365D6">
        <w:rPr>
          <w:rFonts w:ascii="Arial" w:hAnsi="Arial"/>
          <w:sz w:val="22"/>
          <w:szCs w:val="22"/>
        </w:rPr>
        <w:t xml:space="preserve">the two </w:t>
      </w:r>
      <w:r w:rsidRPr="003365D6">
        <w:rPr>
          <w:rFonts w:ascii="Arial" w:hAnsi="Arial"/>
          <w:sz w:val="22"/>
          <w:szCs w:val="22"/>
        </w:rPr>
        <w:t xml:space="preserve">insulin glargine </w:t>
      </w:r>
      <w:r w:rsidR="00B60CB2" w:rsidRPr="003365D6">
        <w:rPr>
          <w:rFonts w:ascii="Arial" w:hAnsi="Arial"/>
          <w:sz w:val="22"/>
          <w:szCs w:val="22"/>
        </w:rPr>
        <w:t>brands</w:t>
      </w:r>
      <w:r w:rsidRPr="003365D6">
        <w:rPr>
          <w:rFonts w:ascii="Arial" w:hAnsi="Arial"/>
          <w:sz w:val="22"/>
          <w:szCs w:val="22"/>
        </w:rPr>
        <w:t>.  Th</w:t>
      </w:r>
      <w:r w:rsidR="00910325" w:rsidRPr="003365D6">
        <w:rPr>
          <w:rFonts w:ascii="Arial" w:hAnsi="Arial"/>
          <w:sz w:val="22"/>
          <w:szCs w:val="22"/>
        </w:rPr>
        <w:t>is</w:t>
      </w:r>
      <w:r w:rsidRPr="003365D6">
        <w:rPr>
          <w:rFonts w:ascii="Arial" w:hAnsi="Arial"/>
          <w:sz w:val="22"/>
          <w:szCs w:val="22"/>
        </w:rPr>
        <w:t xml:space="preserve"> advice was not published in the March 2015 PBAC meeting positive recommendations document</w:t>
      </w:r>
      <w:r w:rsidR="0011578D" w:rsidRPr="003365D6">
        <w:rPr>
          <w:rFonts w:ascii="Arial" w:hAnsi="Arial"/>
          <w:sz w:val="22"/>
          <w:szCs w:val="22"/>
        </w:rPr>
        <w:t>.</w:t>
      </w:r>
    </w:p>
    <w:p w:rsidR="00756C8F" w:rsidRPr="003365D6" w:rsidRDefault="00756C8F" w:rsidP="00756C8F">
      <w:pPr>
        <w:jc w:val="both"/>
        <w:rPr>
          <w:rFonts w:ascii="Arial" w:hAnsi="Arial"/>
          <w:sz w:val="22"/>
          <w:szCs w:val="22"/>
        </w:rPr>
      </w:pPr>
    </w:p>
    <w:p w:rsidR="00C54E82" w:rsidRPr="003365D6" w:rsidRDefault="00C54E82" w:rsidP="00A23869">
      <w:pPr>
        <w:ind w:firstLine="720"/>
        <w:jc w:val="both"/>
        <w:rPr>
          <w:rFonts w:ascii="Arial" w:hAnsi="Arial"/>
          <w:sz w:val="22"/>
          <w:szCs w:val="22"/>
          <w:u w:val="single"/>
        </w:rPr>
      </w:pPr>
      <w:r w:rsidRPr="003365D6">
        <w:rPr>
          <w:rFonts w:ascii="Arial" w:hAnsi="Arial"/>
          <w:sz w:val="22"/>
          <w:szCs w:val="22"/>
          <w:u w:val="single"/>
        </w:rPr>
        <w:t>Substitution of biosimilars at the pharmacist level (“a” flagging)</w:t>
      </w:r>
    </w:p>
    <w:p w:rsidR="00C54E82" w:rsidRPr="003365D6" w:rsidRDefault="00C54E82" w:rsidP="00C54E82">
      <w:pPr>
        <w:jc w:val="both"/>
        <w:rPr>
          <w:rFonts w:ascii="Arial" w:hAnsi="Arial"/>
          <w:sz w:val="22"/>
          <w:szCs w:val="22"/>
          <w:u w:val="single"/>
        </w:rPr>
      </w:pPr>
    </w:p>
    <w:p w:rsidR="0097277A" w:rsidRPr="003365D6" w:rsidRDefault="0097277A" w:rsidP="0097277A">
      <w:pPr>
        <w:pStyle w:val="ListParagraph"/>
        <w:numPr>
          <w:ilvl w:val="1"/>
          <w:numId w:val="2"/>
        </w:numPr>
        <w:rPr>
          <w:rFonts w:ascii="Arial" w:hAnsi="Arial" w:cs="Arial"/>
          <w:sz w:val="22"/>
          <w:szCs w:val="22"/>
        </w:rPr>
      </w:pPr>
      <w:r w:rsidRPr="003365D6">
        <w:rPr>
          <w:rFonts w:ascii="Arial" w:hAnsi="Arial" w:cs="Arial"/>
          <w:sz w:val="22"/>
          <w:szCs w:val="22"/>
        </w:rPr>
        <w:t xml:space="preserve">Many medicines are available on the PBS in different brands. The Schedule of Pharmaceutical Benefits indicates where different brands are considered equivalent for the purposes of substitution at the point of dispensing by using “a” flags.  For any individual prescription, a prescriber may choose to </w:t>
      </w:r>
      <w:r w:rsidR="00E51A57">
        <w:rPr>
          <w:rFonts w:ascii="Arial" w:hAnsi="Arial" w:cs="Arial"/>
          <w:sz w:val="22"/>
          <w:szCs w:val="22"/>
        </w:rPr>
        <w:t>not permit</w:t>
      </w:r>
      <w:r w:rsidRPr="003365D6">
        <w:rPr>
          <w:rFonts w:ascii="Arial" w:hAnsi="Arial" w:cs="Arial"/>
          <w:sz w:val="22"/>
          <w:szCs w:val="22"/>
        </w:rPr>
        <w:t xml:space="preserve"> brand substitution by indicating ‘substitution not permitted’ on the prescription.  Likewise, whe</w:t>
      </w:r>
      <w:r w:rsidR="00515A4F">
        <w:rPr>
          <w:rFonts w:ascii="Arial" w:hAnsi="Arial" w:cs="Arial"/>
          <w:sz w:val="22"/>
          <w:szCs w:val="22"/>
        </w:rPr>
        <w:t>n</w:t>
      </w:r>
      <w:r w:rsidRPr="003365D6">
        <w:rPr>
          <w:rFonts w:ascii="Arial" w:hAnsi="Arial" w:cs="Arial"/>
          <w:sz w:val="22"/>
          <w:szCs w:val="22"/>
        </w:rPr>
        <w:t xml:space="preserve"> substitution is permitted, a patient may nominate which “a” flagged brand they wish to receive from the pharmacist, except whe</w:t>
      </w:r>
      <w:r w:rsidR="00515A4F">
        <w:rPr>
          <w:rFonts w:ascii="Arial" w:hAnsi="Arial" w:cs="Arial"/>
          <w:sz w:val="22"/>
          <w:szCs w:val="22"/>
        </w:rPr>
        <w:t>n</w:t>
      </w:r>
      <w:r w:rsidRPr="003365D6">
        <w:rPr>
          <w:rFonts w:ascii="Arial" w:hAnsi="Arial" w:cs="Arial"/>
          <w:sz w:val="22"/>
          <w:szCs w:val="22"/>
        </w:rPr>
        <w:t xml:space="preserve"> State or Territory Law prohibits substitution (e.g. </w:t>
      </w:r>
      <w:r w:rsidRPr="003365D6">
        <w:rPr>
          <w:rFonts w:ascii="Arial" w:hAnsi="Arial" w:cs="Arial"/>
          <w:sz w:val="22"/>
          <w:szCs w:val="22"/>
        </w:rPr>
        <w:lastRenderedPageBreak/>
        <w:t>for Schedule 8 drugs of dependence). The substitution process allows for patient and prescriber choice and is not automatic.</w:t>
      </w:r>
    </w:p>
    <w:p w:rsidR="0097277A" w:rsidRPr="003365D6" w:rsidRDefault="0097277A" w:rsidP="00D7777A">
      <w:pPr>
        <w:pStyle w:val="ListParagraph"/>
        <w:jc w:val="both"/>
        <w:rPr>
          <w:rFonts w:ascii="Arial" w:hAnsi="Arial" w:cs="Arial"/>
          <w:sz w:val="22"/>
          <w:szCs w:val="22"/>
        </w:rPr>
      </w:pPr>
    </w:p>
    <w:p w:rsidR="008B4ED4" w:rsidRPr="003365D6" w:rsidRDefault="008B4ED4" w:rsidP="008B4ED4">
      <w:pPr>
        <w:pStyle w:val="ListParagraph"/>
        <w:numPr>
          <w:ilvl w:val="1"/>
          <w:numId w:val="2"/>
        </w:numPr>
        <w:jc w:val="both"/>
        <w:rPr>
          <w:rFonts w:ascii="Arial" w:hAnsi="Arial" w:cs="Arial"/>
          <w:sz w:val="22"/>
          <w:szCs w:val="22"/>
        </w:rPr>
      </w:pPr>
      <w:r w:rsidRPr="003365D6">
        <w:rPr>
          <w:rFonts w:ascii="Arial" w:hAnsi="Arial" w:cs="Arial"/>
          <w:sz w:val="22"/>
          <w:szCs w:val="22"/>
        </w:rPr>
        <w:t xml:space="preserve">The Act makes it an offence for a pharmacist to supply a pharmaceutical benefit other than the benefit directed to be supplied in a prescription except when, amongst other criteria, the Schedule issued by the Department of Health states that the specified benefit and the substitute benefit are equivalent. </w:t>
      </w:r>
    </w:p>
    <w:p w:rsidR="004111BB" w:rsidRPr="003365D6" w:rsidRDefault="004111BB" w:rsidP="004111BB">
      <w:pPr>
        <w:jc w:val="both"/>
        <w:rPr>
          <w:rFonts w:ascii="Arial" w:hAnsi="Arial" w:cs="Arial"/>
          <w:sz w:val="22"/>
          <w:szCs w:val="22"/>
        </w:rPr>
      </w:pPr>
    </w:p>
    <w:p w:rsidR="000D462F" w:rsidRPr="003365D6" w:rsidRDefault="000D462F" w:rsidP="008B4ED4">
      <w:pPr>
        <w:pStyle w:val="ListParagraph"/>
        <w:numPr>
          <w:ilvl w:val="1"/>
          <w:numId w:val="2"/>
        </w:numPr>
        <w:jc w:val="both"/>
        <w:rPr>
          <w:rFonts w:ascii="Arial" w:hAnsi="Arial"/>
          <w:sz w:val="22"/>
          <w:szCs w:val="22"/>
        </w:rPr>
      </w:pPr>
      <w:r w:rsidRPr="003365D6">
        <w:rPr>
          <w:rFonts w:ascii="Arial" w:hAnsi="Arial"/>
          <w:sz w:val="22"/>
          <w:szCs w:val="22"/>
        </w:rPr>
        <w:t xml:space="preserve">The Schedule of Pharmaceutical Benefits provide the following definition of brand equivalence: </w:t>
      </w:r>
    </w:p>
    <w:p w:rsidR="000D462F" w:rsidRPr="003365D6" w:rsidRDefault="000D462F" w:rsidP="00555197">
      <w:pPr>
        <w:pStyle w:val="NormalWeb"/>
        <w:pBdr>
          <w:top w:val="single" w:sz="4" w:space="1" w:color="auto"/>
          <w:left w:val="single" w:sz="4" w:space="4" w:color="auto"/>
          <w:bottom w:val="single" w:sz="4" w:space="1" w:color="auto"/>
          <w:right w:val="single" w:sz="4" w:space="4" w:color="auto"/>
        </w:pBdr>
        <w:ind w:left="720"/>
        <w:rPr>
          <w:rFonts w:ascii="Arial" w:hAnsi="Arial" w:cs="Arial"/>
          <w:b/>
          <w:sz w:val="22"/>
          <w:szCs w:val="22"/>
        </w:rPr>
      </w:pPr>
      <w:r w:rsidRPr="003365D6">
        <w:rPr>
          <w:rFonts w:ascii="Arial" w:hAnsi="Arial" w:cs="Arial"/>
          <w:b/>
          <w:sz w:val="22"/>
          <w:szCs w:val="22"/>
        </w:rPr>
        <w:t>Extract from the Explanatory Notes to the PBS Schedule</w:t>
      </w:r>
      <w:r w:rsidRPr="003365D6">
        <w:rPr>
          <w:b/>
          <w:vertAlign w:val="superscript"/>
        </w:rPr>
        <w:footnoteReference w:id="1"/>
      </w:r>
    </w:p>
    <w:p w:rsidR="000D462F" w:rsidRPr="003365D6" w:rsidRDefault="000D462F" w:rsidP="00555197">
      <w:pPr>
        <w:pStyle w:val="NormalWeb"/>
        <w:pBdr>
          <w:top w:val="single" w:sz="4" w:space="1" w:color="auto"/>
          <w:left w:val="single" w:sz="4" w:space="4" w:color="auto"/>
          <w:bottom w:val="single" w:sz="4" w:space="1" w:color="auto"/>
          <w:right w:val="single" w:sz="4" w:space="4" w:color="auto"/>
        </w:pBdr>
        <w:ind w:left="720"/>
        <w:rPr>
          <w:rFonts w:ascii="Arial" w:hAnsi="Arial" w:cs="Arial"/>
          <w:b/>
          <w:sz w:val="22"/>
          <w:szCs w:val="22"/>
        </w:rPr>
      </w:pPr>
      <w:r w:rsidRPr="003365D6">
        <w:rPr>
          <w:rFonts w:ascii="Arial" w:hAnsi="Arial" w:cs="Arial"/>
          <w:b/>
          <w:sz w:val="22"/>
          <w:szCs w:val="22"/>
        </w:rPr>
        <w:t>BRAND EQUIVALENCE</w:t>
      </w:r>
    </w:p>
    <w:p w:rsidR="000D462F" w:rsidRPr="003365D6" w:rsidRDefault="000D462F" w:rsidP="000D462F">
      <w:pPr>
        <w:pStyle w:val="NormalWeb"/>
        <w:pBdr>
          <w:top w:val="single" w:sz="4" w:space="1" w:color="auto"/>
          <w:left w:val="single" w:sz="4" w:space="4" w:color="auto"/>
          <w:bottom w:val="single" w:sz="4" w:space="1" w:color="auto"/>
          <w:right w:val="single" w:sz="4" w:space="4" w:color="auto"/>
        </w:pBdr>
        <w:ind w:left="720"/>
        <w:rPr>
          <w:rFonts w:ascii="Arial" w:hAnsi="Arial" w:cs="Arial"/>
          <w:sz w:val="22"/>
          <w:szCs w:val="22"/>
        </w:rPr>
      </w:pPr>
      <w:r w:rsidRPr="003365D6">
        <w:rPr>
          <w:rFonts w:ascii="Arial" w:hAnsi="Arial" w:cs="Arial"/>
          <w:sz w:val="22"/>
          <w:szCs w:val="22"/>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EA6557" w:rsidRPr="003365D6" w:rsidRDefault="00EA6557" w:rsidP="008B4ED4">
      <w:pPr>
        <w:pStyle w:val="ListParagraph"/>
        <w:numPr>
          <w:ilvl w:val="1"/>
          <w:numId w:val="2"/>
        </w:numPr>
        <w:jc w:val="both"/>
        <w:rPr>
          <w:rFonts w:ascii="Arial" w:hAnsi="Arial"/>
          <w:sz w:val="22"/>
          <w:szCs w:val="22"/>
        </w:rPr>
      </w:pPr>
      <w:r w:rsidRPr="003365D6">
        <w:rPr>
          <w:rFonts w:ascii="Arial" w:hAnsi="Arial"/>
          <w:sz w:val="22"/>
          <w:szCs w:val="22"/>
        </w:rPr>
        <w:t>At the March 2015 meeting, the PBAC:</w:t>
      </w:r>
    </w:p>
    <w:p w:rsidR="00EA6557" w:rsidRPr="003365D6" w:rsidRDefault="00EA6557" w:rsidP="00E22AB1">
      <w:pPr>
        <w:jc w:val="both"/>
        <w:rPr>
          <w:rFonts w:ascii="Arial" w:hAnsi="Arial"/>
          <w:sz w:val="22"/>
          <w:szCs w:val="22"/>
        </w:rPr>
      </w:pPr>
    </w:p>
    <w:p w:rsidR="00EA6557" w:rsidRPr="003365D6" w:rsidRDefault="003A2B93" w:rsidP="003A2B93">
      <w:pPr>
        <w:ind w:left="720"/>
        <w:jc w:val="both"/>
        <w:rPr>
          <w:rFonts w:ascii="Arial" w:hAnsi="Arial"/>
          <w:sz w:val="22"/>
          <w:szCs w:val="22"/>
        </w:rPr>
      </w:pPr>
      <w:r w:rsidRPr="003365D6">
        <w:rPr>
          <w:rFonts w:ascii="Arial" w:hAnsi="Arial"/>
          <w:sz w:val="22"/>
          <w:szCs w:val="22"/>
        </w:rPr>
        <w:t>“</w:t>
      </w:r>
      <w:r w:rsidR="00EA6557" w:rsidRPr="003365D6">
        <w:rPr>
          <w:rFonts w:ascii="Arial" w:hAnsi="Arial"/>
          <w:sz w:val="22"/>
          <w:szCs w:val="22"/>
        </w:rPr>
        <w:t>indicated it would consider the marking of equivalent (i.e. “a” flagging) in the Schedule of Pharmaceutical Benefits (the Schedule) of biosimilar medicines with their reference medicine on a case by case basis, taking into account the evidence presented in each submission to list a biosimilar medicine.</w:t>
      </w:r>
      <w:r w:rsidRPr="003365D6">
        <w:rPr>
          <w:rFonts w:ascii="Arial" w:hAnsi="Arial"/>
          <w:sz w:val="22"/>
          <w:szCs w:val="22"/>
        </w:rPr>
        <w:t>”</w:t>
      </w:r>
      <w:r w:rsidR="007C3DBE" w:rsidRPr="003365D6" w:rsidDel="007C3DBE">
        <w:t xml:space="preserve"> </w:t>
      </w:r>
    </w:p>
    <w:p w:rsidR="00EA6557" w:rsidRPr="003365D6" w:rsidRDefault="00EA6557" w:rsidP="007C3DBE">
      <w:pPr>
        <w:ind w:left="720"/>
        <w:jc w:val="both"/>
        <w:rPr>
          <w:rFonts w:ascii="Arial" w:hAnsi="Arial"/>
          <w:sz w:val="22"/>
          <w:szCs w:val="22"/>
        </w:rPr>
      </w:pPr>
    </w:p>
    <w:p w:rsidR="0099519E" w:rsidRPr="003365D6" w:rsidRDefault="00910325" w:rsidP="008B4ED4">
      <w:pPr>
        <w:pStyle w:val="ListParagraph"/>
        <w:numPr>
          <w:ilvl w:val="1"/>
          <w:numId w:val="2"/>
        </w:numPr>
        <w:jc w:val="both"/>
        <w:rPr>
          <w:rFonts w:ascii="Arial" w:hAnsi="Arial"/>
          <w:sz w:val="22"/>
          <w:szCs w:val="22"/>
        </w:rPr>
      </w:pPr>
      <w:r w:rsidRPr="003365D6">
        <w:rPr>
          <w:rFonts w:ascii="Arial" w:hAnsi="Arial"/>
          <w:sz w:val="22"/>
          <w:szCs w:val="22"/>
        </w:rPr>
        <w:t xml:space="preserve">When </w:t>
      </w:r>
      <w:r w:rsidR="00A6540F" w:rsidRPr="003365D6">
        <w:rPr>
          <w:rFonts w:ascii="Arial" w:hAnsi="Arial"/>
          <w:sz w:val="22"/>
          <w:szCs w:val="22"/>
        </w:rPr>
        <w:t xml:space="preserve">”a” </w:t>
      </w:r>
      <w:r w:rsidR="00EA6557" w:rsidRPr="003365D6">
        <w:rPr>
          <w:rFonts w:ascii="Arial" w:hAnsi="Arial"/>
          <w:sz w:val="22"/>
          <w:szCs w:val="22"/>
        </w:rPr>
        <w:t xml:space="preserve">flagging </w:t>
      </w:r>
      <w:r w:rsidR="0097277A" w:rsidRPr="003365D6">
        <w:rPr>
          <w:rFonts w:ascii="Arial" w:hAnsi="Arial"/>
          <w:sz w:val="22"/>
          <w:szCs w:val="22"/>
        </w:rPr>
        <w:t xml:space="preserve">of biosimilar brands and their reference brands </w:t>
      </w:r>
      <w:r w:rsidRPr="003365D6">
        <w:rPr>
          <w:rFonts w:ascii="Arial" w:hAnsi="Arial"/>
          <w:sz w:val="22"/>
          <w:szCs w:val="22"/>
        </w:rPr>
        <w:t xml:space="preserve">was discussed by the PBAC </w:t>
      </w:r>
      <w:r w:rsidR="00EA6557" w:rsidRPr="003365D6">
        <w:rPr>
          <w:rFonts w:ascii="Arial" w:hAnsi="Arial"/>
          <w:sz w:val="22"/>
          <w:szCs w:val="22"/>
        </w:rPr>
        <w:t>at its special meeting on 17 April 2015</w:t>
      </w:r>
      <w:r w:rsidRPr="003365D6">
        <w:rPr>
          <w:rFonts w:ascii="Arial" w:hAnsi="Arial"/>
          <w:sz w:val="22"/>
          <w:szCs w:val="22"/>
        </w:rPr>
        <w:t xml:space="preserve">, </w:t>
      </w:r>
      <w:r w:rsidR="0097277A" w:rsidRPr="003365D6">
        <w:rPr>
          <w:rFonts w:ascii="Arial" w:hAnsi="Arial"/>
          <w:sz w:val="22"/>
          <w:szCs w:val="22"/>
        </w:rPr>
        <w:t>the PBAC</w:t>
      </w:r>
      <w:r w:rsidR="00DC6B27" w:rsidRPr="003365D6">
        <w:rPr>
          <w:rFonts w:ascii="Arial" w:hAnsi="Arial"/>
          <w:sz w:val="22"/>
          <w:szCs w:val="22"/>
        </w:rPr>
        <w:t xml:space="preserve"> advised that biosimilar products would be </w:t>
      </w:r>
      <w:r w:rsidR="0097277A" w:rsidRPr="003365D6">
        <w:rPr>
          <w:rFonts w:ascii="Arial" w:hAnsi="Arial"/>
          <w:sz w:val="22"/>
          <w:szCs w:val="22"/>
        </w:rPr>
        <w:t xml:space="preserve">recommended for </w:t>
      </w:r>
      <w:r w:rsidR="00A6540F" w:rsidRPr="003365D6">
        <w:rPr>
          <w:rFonts w:ascii="Arial" w:hAnsi="Arial"/>
          <w:sz w:val="22"/>
          <w:szCs w:val="22"/>
        </w:rPr>
        <w:t xml:space="preserve">”a” </w:t>
      </w:r>
      <w:r w:rsidR="00DC6B27" w:rsidRPr="003365D6">
        <w:rPr>
          <w:rFonts w:ascii="Arial" w:hAnsi="Arial"/>
          <w:sz w:val="22"/>
          <w:szCs w:val="22"/>
        </w:rPr>
        <w:t>flagg</w:t>
      </w:r>
      <w:r w:rsidR="0097277A" w:rsidRPr="003365D6">
        <w:rPr>
          <w:rFonts w:ascii="Arial" w:hAnsi="Arial"/>
          <w:sz w:val="22"/>
          <w:szCs w:val="22"/>
        </w:rPr>
        <w:t>ing</w:t>
      </w:r>
      <w:r w:rsidR="00DC6B27" w:rsidRPr="003365D6">
        <w:rPr>
          <w:rFonts w:ascii="Arial" w:hAnsi="Arial"/>
          <w:sz w:val="22"/>
          <w:szCs w:val="22"/>
        </w:rPr>
        <w:t>, “where the data are supportive of this conclusion.”</w:t>
      </w:r>
    </w:p>
    <w:p w:rsidR="00DC6B27" w:rsidRPr="003365D6" w:rsidRDefault="00DC6B27" w:rsidP="00DC6B27">
      <w:pPr>
        <w:ind w:left="720"/>
        <w:jc w:val="both"/>
        <w:rPr>
          <w:rFonts w:ascii="Arial" w:hAnsi="Arial"/>
          <w:sz w:val="22"/>
          <w:szCs w:val="22"/>
        </w:rPr>
      </w:pPr>
    </w:p>
    <w:p w:rsidR="00DC6B27" w:rsidRPr="003365D6" w:rsidRDefault="0011578D" w:rsidP="00DC6B27">
      <w:pPr>
        <w:ind w:left="720"/>
        <w:jc w:val="both"/>
        <w:rPr>
          <w:rFonts w:ascii="Arial" w:hAnsi="Arial"/>
          <w:sz w:val="22"/>
          <w:szCs w:val="22"/>
        </w:rPr>
      </w:pPr>
      <w:r w:rsidRPr="003365D6">
        <w:rPr>
          <w:rFonts w:ascii="Arial" w:hAnsi="Arial"/>
          <w:sz w:val="22"/>
          <w:szCs w:val="22"/>
        </w:rPr>
        <w:t>“</w:t>
      </w:r>
      <w:r w:rsidR="00DC6B27" w:rsidRPr="003365D6">
        <w:rPr>
          <w:rFonts w:ascii="Arial" w:hAnsi="Arial"/>
          <w:sz w:val="22"/>
          <w:szCs w:val="22"/>
        </w:rPr>
        <w:t>The PBAC advised that the following would be relevant considerations in establishing that a biosimilar product could be “a” flagged with the originator product:</w:t>
      </w:r>
    </w:p>
    <w:p w:rsidR="00DC6B27" w:rsidRPr="003365D6" w:rsidRDefault="00DC6B27" w:rsidP="00103BE3">
      <w:pPr>
        <w:pStyle w:val="ListParagraph"/>
        <w:numPr>
          <w:ilvl w:val="2"/>
          <w:numId w:val="2"/>
        </w:numPr>
        <w:jc w:val="both"/>
        <w:rPr>
          <w:rFonts w:ascii="Arial" w:hAnsi="Arial"/>
          <w:sz w:val="22"/>
          <w:szCs w:val="22"/>
        </w:rPr>
      </w:pPr>
      <w:r w:rsidRPr="003365D6">
        <w:rPr>
          <w:rFonts w:ascii="Arial" w:hAnsi="Arial"/>
          <w:sz w:val="22"/>
          <w:szCs w:val="22"/>
        </w:rPr>
        <w:t>Absence of data to suggest significant differences in clinical effectiveness or safety compared with the originator product;</w:t>
      </w:r>
    </w:p>
    <w:p w:rsidR="00DC6B27" w:rsidRPr="003365D6" w:rsidRDefault="00DC6B27" w:rsidP="00103BE3">
      <w:pPr>
        <w:pStyle w:val="ListParagraph"/>
        <w:numPr>
          <w:ilvl w:val="2"/>
          <w:numId w:val="2"/>
        </w:numPr>
        <w:jc w:val="both"/>
        <w:rPr>
          <w:rFonts w:ascii="Arial" w:hAnsi="Arial"/>
          <w:sz w:val="22"/>
          <w:szCs w:val="22"/>
        </w:rPr>
      </w:pPr>
      <w:r w:rsidRPr="003365D6">
        <w:rPr>
          <w:rFonts w:ascii="Arial" w:hAnsi="Arial"/>
          <w:sz w:val="22"/>
          <w:szCs w:val="22"/>
        </w:rPr>
        <w:t>Absence of identified populations where the risks of using the biosimilar product are disproportionately high;</w:t>
      </w:r>
    </w:p>
    <w:p w:rsidR="00DC6B27" w:rsidRPr="003365D6" w:rsidRDefault="00DC6B27" w:rsidP="00103BE3">
      <w:pPr>
        <w:pStyle w:val="ListParagraph"/>
        <w:numPr>
          <w:ilvl w:val="2"/>
          <w:numId w:val="2"/>
        </w:numPr>
        <w:jc w:val="both"/>
        <w:rPr>
          <w:rFonts w:ascii="Arial" w:hAnsi="Arial"/>
          <w:sz w:val="22"/>
          <w:szCs w:val="22"/>
        </w:rPr>
      </w:pPr>
      <w:r w:rsidRPr="003365D6">
        <w:rPr>
          <w:rFonts w:ascii="Arial" w:hAnsi="Arial"/>
          <w:sz w:val="22"/>
          <w:szCs w:val="22"/>
        </w:rPr>
        <w:t>Availability of data to support switching between the originator product and the biosimilar product;</w:t>
      </w:r>
    </w:p>
    <w:p w:rsidR="00DC6B27" w:rsidRPr="003365D6" w:rsidRDefault="00DC6B27" w:rsidP="00103BE3">
      <w:pPr>
        <w:pStyle w:val="ListParagraph"/>
        <w:numPr>
          <w:ilvl w:val="2"/>
          <w:numId w:val="2"/>
        </w:numPr>
        <w:jc w:val="both"/>
        <w:rPr>
          <w:rFonts w:ascii="Arial" w:hAnsi="Arial"/>
          <w:sz w:val="22"/>
          <w:szCs w:val="22"/>
        </w:rPr>
      </w:pPr>
      <w:r w:rsidRPr="003365D6">
        <w:rPr>
          <w:rFonts w:ascii="Arial" w:hAnsi="Arial"/>
          <w:sz w:val="22"/>
          <w:szCs w:val="22"/>
        </w:rPr>
        <w:t>Availability of data for treatment-naïve patients initiating on the biosimilar product;</w:t>
      </w:r>
    </w:p>
    <w:p w:rsidR="00DC6B27" w:rsidRPr="003365D6" w:rsidRDefault="00DC6B27" w:rsidP="00103BE3">
      <w:pPr>
        <w:pStyle w:val="ListParagraph"/>
        <w:numPr>
          <w:ilvl w:val="2"/>
          <w:numId w:val="2"/>
        </w:numPr>
        <w:jc w:val="both"/>
        <w:rPr>
          <w:rFonts w:ascii="Arial" w:hAnsi="Arial"/>
          <w:sz w:val="22"/>
          <w:szCs w:val="22"/>
        </w:rPr>
      </w:pPr>
      <w:r w:rsidRPr="003365D6">
        <w:rPr>
          <w:rFonts w:ascii="Arial" w:hAnsi="Arial"/>
          <w:sz w:val="22"/>
          <w:szCs w:val="22"/>
        </w:rPr>
        <w:lastRenderedPageBreak/>
        <w:t>Whether the Therapeutic Goods Administration has deemed a product to be biosimilar with the originator product.</w:t>
      </w:r>
    </w:p>
    <w:p w:rsidR="00DC6B27" w:rsidRPr="003365D6" w:rsidRDefault="00DC6B27" w:rsidP="00DC6B27">
      <w:pPr>
        <w:ind w:left="720"/>
        <w:jc w:val="both"/>
        <w:rPr>
          <w:rFonts w:ascii="Arial" w:hAnsi="Arial"/>
          <w:sz w:val="22"/>
          <w:szCs w:val="22"/>
        </w:rPr>
      </w:pPr>
    </w:p>
    <w:p w:rsidR="00DC6B27" w:rsidRPr="003365D6" w:rsidRDefault="00DC6B27" w:rsidP="00DC6B27">
      <w:pPr>
        <w:ind w:left="720"/>
        <w:jc w:val="both"/>
        <w:rPr>
          <w:rFonts w:ascii="Arial" w:hAnsi="Arial"/>
          <w:sz w:val="22"/>
          <w:szCs w:val="22"/>
        </w:rPr>
      </w:pPr>
      <w:r w:rsidRPr="003365D6">
        <w:rPr>
          <w:rFonts w:ascii="Arial" w:hAnsi="Arial"/>
          <w:sz w:val="22"/>
          <w:szCs w:val="22"/>
        </w:rPr>
        <w:t>The PBAC considered that where a biosimilar product could not be “a” flagged at the time of PBS listing, data should be collected to support “a” flagging at a later point.</w:t>
      </w:r>
      <w:r w:rsidR="0011578D" w:rsidRPr="003365D6">
        <w:rPr>
          <w:rFonts w:ascii="Arial" w:hAnsi="Arial"/>
          <w:sz w:val="22"/>
          <w:szCs w:val="22"/>
        </w:rPr>
        <w:t>”</w:t>
      </w:r>
    </w:p>
    <w:p w:rsidR="00532A65" w:rsidRPr="003365D6" w:rsidRDefault="00532A65" w:rsidP="00C6698A">
      <w:pPr>
        <w:jc w:val="both"/>
        <w:rPr>
          <w:rFonts w:ascii="Arial" w:hAnsi="Arial"/>
          <w:sz w:val="22"/>
          <w:szCs w:val="22"/>
        </w:rPr>
      </w:pPr>
    </w:p>
    <w:p w:rsidR="00532A65" w:rsidRPr="003365D6" w:rsidRDefault="00532A65" w:rsidP="00A23869">
      <w:pPr>
        <w:ind w:firstLine="720"/>
        <w:jc w:val="both"/>
        <w:rPr>
          <w:rFonts w:ascii="Arial" w:hAnsi="Arial"/>
          <w:sz w:val="22"/>
          <w:szCs w:val="22"/>
          <w:u w:val="single"/>
        </w:rPr>
      </w:pPr>
      <w:r w:rsidRPr="003365D6">
        <w:rPr>
          <w:rFonts w:ascii="Arial" w:hAnsi="Arial"/>
          <w:sz w:val="22"/>
          <w:szCs w:val="22"/>
          <w:u w:val="single"/>
        </w:rPr>
        <w:t>TGA consideration of Inflectra</w:t>
      </w:r>
    </w:p>
    <w:p w:rsidR="00EC4FA9" w:rsidRPr="003365D6" w:rsidRDefault="00EC4FA9" w:rsidP="00C6698A">
      <w:pPr>
        <w:jc w:val="both"/>
        <w:rPr>
          <w:rFonts w:ascii="Arial" w:hAnsi="Arial"/>
          <w:sz w:val="22"/>
          <w:szCs w:val="22"/>
        </w:rPr>
      </w:pPr>
    </w:p>
    <w:p w:rsidR="00EC4EEB" w:rsidRDefault="00E51A57" w:rsidP="00E51A57">
      <w:pPr>
        <w:ind w:left="720" w:hanging="720"/>
        <w:jc w:val="both"/>
        <w:rPr>
          <w:rFonts w:ascii="Arial" w:hAnsi="Arial"/>
          <w:sz w:val="22"/>
          <w:szCs w:val="22"/>
        </w:rPr>
      </w:pPr>
      <w:r>
        <w:rPr>
          <w:rFonts w:ascii="Arial" w:hAnsi="Arial"/>
          <w:sz w:val="22"/>
          <w:szCs w:val="22"/>
        </w:rPr>
        <w:t>3.11</w:t>
      </w:r>
      <w:r>
        <w:rPr>
          <w:rFonts w:ascii="Arial" w:hAnsi="Arial"/>
          <w:sz w:val="22"/>
          <w:szCs w:val="22"/>
        </w:rPr>
        <w:tab/>
      </w:r>
      <w:r w:rsidR="00532A65" w:rsidRPr="00EC4EEB">
        <w:rPr>
          <w:rFonts w:ascii="Arial" w:hAnsi="Arial"/>
          <w:sz w:val="22"/>
          <w:szCs w:val="22"/>
        </w:rPr>
        <w:t xml:space="preserve">Inflectra </w:t>
      </w:r>
      <w:r w:rsidR="0015219D" w:rsidRPr="00EC4EEB">
        <w:rPr>
          <w:rFonts w:ascii="Arial" w:hAnsi="Arial"/>
          <w:sz w:val="22"/>
          <w:szCs w:val="22"/>
        </w:rPr>
        <w:t xml:space="preserve">has been </w:t>
      </w:r>
      <w:r w:rsidR="00864BC4" w:rsidRPr="00EC4EEB">
        <w:rPr>
          <w:rFonts w:ascii="Arial" w:hAnsi="Arial"/>
          <w:sz w:val="22"/>
          <w:szCs w:val="22"/>
        </w:rPr>
        <w:t>considered by the ACPM</w:t>
      </w:r>
      <w:r w:rsidR="0015219D" w:rsidRPr="00EC4EEB">
        <w:rPr>
          <w:rFonts w:ascii="Arial" w:hAnsi="Arial"/>
          <w:sz w:val="22"/>
          <w:szCs w:val="22"/>
        </w:rPr>
        <w:t xml:space="preserve">. </w:t>
      </w:r>
      <w:r w:rsidR="00864BC4" w:rsidRPr="00EC4EEB">
        <w:rPr>
          <w:rFonts w:ascii="Arial" w:hAnsi="Arial"/>
          <w:sz w:val="22"/>
          <w:szCs w:val="22"/>
        </w:rPr>
        <w:t xml:space="preserve"> </w:t>
      </w:r>
      <w:r w:rsidR="0015219D" w:rsidRPr="00EC4EEB">
        <w:rPr>
          <w:rFonts w:ascii="Arial" w:hAnsi="Arial"/>
          <w:sz w:val="22"/>
          <w:szCs w:val="22"/>
        </w:rPr>
        <w:t xml:space="preserve">The ACPM has stated there were sufficient data to declare Inflectra a biosimilar for Remicade and to extrapolate the conclusion of equivalent efficacy from the rheumatoid arthritis and ankylosing spondylitis indications for which evidence was provided to IBD conditions. </w:t>
      </w:r>
    </w:p>
    <w:p w:rsidR="00C75FBE" w:rsidRPr="003365D6" w:rsidRDefault="00C75FBE" w:rsidP="00626C74">
      <w:pPr>
        <w:pStyle w:val="ListParagraph"/>
        <w:rPr>
          <w:rFonts w:ascii="Arial" w:hAnsi="Arial"/>
          <w:sz w:val="22"/>
          <w:szCs w:val="22"/>
        </w:rPr>
      </w:pPr>
    </w:p>
    <w:p w:rsidR="00626C74" w:rsidRDefault="00E51A57" w:rsidP="00E51A57">
      <w:pPr>
        <w:ind w:left="720" w:hanging="720"/>
        <w:jc w:val="both"/>
        <w:rPr>
          <w:rFonts w:ascii="Arial" w:hAnsi="Arial"/>
          <w:sz w:val="22"/>
          <w:szCs w:val="22"/>
        </w:rPr>
      </w:pPr>
      <w:r>
        <w:rPr>
          <w:rFonts w:ascii="Arial" w:hAnsi="Arial"/>
          <w:sz w:val="22"/>
          <w:szCs w:val="22"/>
        </w:rPr>
        <w:t>3.12</w:t>
      </w:r>
      <w:r>
        <w:rPr>
          <w:rFonts w:ascii="Arial" w:hAnsi="Arial"/>
          <w:sz w:val="22"/>
          <w:szCs w:val="22"/>
        </w:rPr>
        <w:tab/>
      </w:r>
      <w:r w:rsidR="00E0308E" w:rsidRPr="003365D6">
        <w:rPr>
          <w:rFonts w:ascii="Arial" w:hAnsi="Arial"/>
          <w:sz w:val="22"/>
          <w:szCs w:val="22"/>
        </w:rPr>
        <w:t xml:space="preserve">The ACPM noted “that there is insufficient evidence to discount the possibility that there are different rates of TB activation for this biosimilar product compared to </w:t>
      </w:r>
      <w:r w:rsidR="008C33D5" w:rsidRPr="003365D6">
        <w:rPr>
          <w:rFonts w:ascii="Arial" w:hAnsi="Arial"/>
          <w:sz w:val="22"/>
          <w:szCs w:val="22"/>
        </w:rPr>
        <w:t>the incidence with R</w:t>
      </w:r>
      <w:r w:rsidR="00E0308E" w:rsidRPr="003365D6">
        <w:rPr>
          <w:rFonts w:ascii="Arial" w:hAnsi="Arial"/>
          <w:sz w:val="22"/>
          <w:szCs w:val="22"/>
        </w:rPr>
        <w:t>emicade”, however the ACPM discussed some possible non-d</w:t>
      </w:r>
      <w:r w:rsidR="008C33D5" w:rsidRPr="003365D6">
        <w:rPr>
          <w:rFonts w:ascii="Arial" w:hAnsi="Arial"/>
          <w:sz w:val="22"/>
          <w:szCs w:val="22"/>
        </w:rPr>
        <w:t>rug related causes for the difference.</w:t>
      </w:r>
      <w:r w:rsidR="00E0308E" w:rsidRPr="003365D6">
        <w:rPr>
          <w:rFonts w:ascii="Arial" w:hAnsi="Arial"/>
          <w:sz w:val="22"/>
          <w:szCs w:val="22"/>
        </w:rPr>
        <w:t xml:space="preserve">  Monitoring for TB is recommended in the product information, and TB surveillance is included in the Risk Management Plan.</w:t>
      </w:r>
      <w:r w:rsidR="00E0308E" w:rsidRPr="003365D6">
        <w:rPr>
          <w:rFonts w:ascii="Arial" w:hAnsi="Arial"/>
          <w:i/>
          <w:sz w:val="22"/>
          <w:szCs w:val="22"/>
        </w:rPr>
        <w:t xml:space="preserve"> </w:t>
      </w:r>
      <w:r w:rsidR="00E0308E" w:rsidRPr="003365D6">
        <w:rPr>
          <w:rFonts w:ascii="Arial" w:hAnsi="Arial"/>
          <w:sz w:val="22"/>
          <w:szCs w:val="22"/>
        </w:rPr>
        <w:t>T</w:t>
      </w:r>
      <w:r w:rsidR="008C33D5" w:rsidRPr="003365D6">
        <w:rPr>
          <w:rFonts w:ascii="Arial" w:hAnsi="Arial"/>
          <w:sz w:val="22"/>
          <w:szCs w:val="22"/>
        </w:rPr>
        <w:t>he ACPM advised that, despite the observed differences, the findings are acceptable to conclude similarity with the safety profile of Remicade.</w:t>
      </w:r>
    </w:p>
    <w:p w:rsidR="00626C74" w:rsidRDefault="00626C74" w:rsidP="00626C74">
      <w:pPr>
        <w:ind w:left="720"/>
        <w:jc w:val="both"/>
        <w:rPr>
          <w:rFonts w:ascii="Arial" w:hAnsi="Arial"/>
          <w:sz w:val="22"/>
          <w:szCs w:val="22"/>
        </w:rPr>
      </w:pPr>
    </w:p>
    <w:p w:rsidR="0082175B" w:rsidRPr="003365D6" w:rsidRDefault="0082175B" w:rsidP="00626C74">
      <w:pPr>
        <w:ind w:left="720"/>
        <w:jc w:val="both"/>
        <w:rPr>
          <w:i/>
        </w:rPr>
      </w:pPr>
      <w:r w:rsidRPr="003365D6">
        <w:rPr>
          <w:rFonts w:ascii="Arial" w:hAnsi="Arial"/>
          <w:i/>
          <w:sz w:val="22"/>
          <w:szCs w:val="22"/>
        </w:rPr>
        <w:t>For more detail on PBAC’s view, see section 7 “PBAC outcome”</w:t>
      </w:r>
    </w:p>
    <w:p w:rsidR="0082175B" w:rsidRPr="003365D6" w:rsidRDefault="0082175B" w:rsidP="001C2F7E">
      <w:pPr>
        <w:jc w:val="both"/>
        <w:rPr>
          <w:rFonts w:ascii="Arial" w:hAnsi="Arial"/>
          <w:sz w:val="22"/>
          <w:szCs w:val="22"/>
          <w:u w:val="single"/>
        </w:rPr>
      </w:pPr>
    </w:p>
    <w:p w:rsidR="008A1956" w:rsidRPr="003365D6" w:rsidRDefault="008A1956" w:rsidP="00882085">
      <w:pPr>
        <w:jc w:val="both"/>
        <w:rPr>
          <w:rFonts w:ascii="Arial" w:hAnsi="Arial"/>
          <w:b/>
          <w:sz w:val="22"/>
          <w:szCs w:val="22"/>
        </w:rPr>
      </w:pPr>
    </w:p>
    <w:p w:rsidR="00CE10C4" w:rsidRPr="003365D6" w:rsidRDefault="00CE10C4" w:rsidP="00526CD0">
      <w:pPr>
        <w:pStyle w:val="ListParagraph"/>
        <w:numPr>
          <w:ilvl w:val="0"/>
          <w:numId w:val="2"/>
        </w:numPr>
        <w:jc w:val="both"/>
        <w:rPr>
          <w:rFonts w:ascii="Arial" w:hAnsi="Arial"/>
          <w:b/>
          <w:sz w:val="22"/>
          <w:szCs w:val="22"/>
        </w:rPr>
      </w:pPr>
      <w:r w:rsidRPr="003365D6">
        <w:rPr>
          <w:rFonts w:ascii="Arial" w:hAnsi="Arial"/>
          <w:b/>
          <w:sz w:val="22"/>
          <w:szCs w:val="22"/>
        </w:rPr>
        <w:t>Clinical place for the proposed ther</w:t>
      </w:r>
      <w:r w:rsidR="006A12A5" w:rsidRPr="003365D6">
        <w:rPr>
          <w:rFonts w:ascii="Arial" w:hAnsi="Arial"/>
          <w:b/>
          <w:sz w:val="22"/>
          <w:szCs w:val="22"/>
        </w:rPr>
        <w:t>apy</w:t>
      </w:r>
    </w:p>
    <w:p w:rsidR="00CE10C4" w:rsidRPr="003365D6" w:rsidRDefault="00CE10C4" w:rsidP="00882085">
      <w:pPr>
        <w:jc w:val="both"/>
        <w:rPr>
          <w:rFonts w:ascii="Arial" w:hAnsi="Arial"/>
          <w:sz w:val="22"/>
          <w:szCs w:val="22"/>
        </w:rPr>
      </w:pPr>
    </w:p>
    <w:p w:rsidR="009C07B7" w:rsidRPr="003365D6" w:rsidRDefault="00D8705B" w:rsidP="00526CD0">
      <w:pPr>
        <w:pStyle w:val="ListParagraph"/>
        <w:numPr>
          <w:ilvl w:val="1"/>
          <w:numId w:val="2"/>
        </w:numPr>
        <w:jc w:val="both"/>
        <w:rPr>
          <w:rFonts w:ascii="Arial" w:hAnsi="Arial"/>
          <w:sz w:val="22"/>
          <w:szCs w:val="22"/>
        </w:rPr>
      </w:pPr>
      <w:r w:rsidRPr="003365D6">
        <w:rPr>
          <w:rFonts w:ascii="Arial" w:hAnsi="Arial"/>
          <w:sz w:val="22"/>
          <w:szCs w:val="22"/>
        </w:rPr>
        <w:t>Infliximab (Remicade) is currently listed on the PBS for the following conditions</w:t>
      </w:r>
      <w:r w:rsidR="009C07B7" w:rsidRPr="003365D6">
        <w:rPr>
          <w:rFonts w:ascii="Arial" w:hAnsi="Arial"/>
          <w:sz w:val="22"/>
          <w:szCs w:val="22"/>
        </w:rPr>
        <w:t>:</w:t>
      </w:r>
    </w:p>
    <w:p w:rsidR="006527C4" w:rsidRPr="003365D6" w:rsidRDefault="006527C4" w:rsidP="00A23869">
      <w:pPr>
        <w:pStyle w:val="ListParagraph"/>
        <w:numPr>
          <w:ilvl w:val="2"/>
          <w:numId w:val="30"/>
        </w:numPr>
        <w:jc w:val="both"/>
        <w:rPr>
          <w:rFonts w:ascii="Arial" w:hAnsi="Arial"/>
          <w:sz w:val="22"/>
          <w:szCs w:val="22"/>
        </w:rPr>
      </w:pPr>
      <w:r w:rsidRPr="003365D6">
        <w:rPr>
          <w:rFonts w:ascii="Arial" w:hAnsi="Arial"/>
          <w:sz w:val="22"/>
          <w:szCs w:val="22"/>
        </w:rPr>
        <w:t>Acute severe ulcerative colitis</w:t>
      </w:r>
    </w:p>
    <w:p w:rsidR="009C07B7" w:rsidRPr="003365D6" w:rsidRDefault="006527C4" w:rsidP="00A23869">
      <w:pPr>
        <w:pStyle w:val="ListParagraph"/>
        <w:numPr>
          <w:ilvl w:val="2"/>
          <w:numId w:val="30"/>
        </w:numPr>
        <w:jc w:val="both"/>
        <w:rPr>
          <w:rFonts w:ascii="Arial" w:hAnsi="Arial"/>
          <w:sz w:val="22"/>
          <w:szCs w:val="22"/>
        </w:rPr>
      </w:pPr>
      <w:r w:rsidRPr="003365D6">
        <w:rPr>
          <w:rFonts w:ascii="Arial" w:hAnsi="Arial"/>
          <w:sz w:val="22"/>
          <w:szCs w:val="22"/>
        </w:rPr>
        <w:t xml:space="preserve">Moderate to </w:t>
      </w:r>
      <w:r w:rsidR="009C07B7" w:rsidRPr="003365D6">
        <w:rPr>
          <w:rFonts w:ascii="Arial" w:hAnsi="Arial"/>
          <w:sz w:val="22"/>
          <w:szCs w:val="22"/>
        </w:rPr>
        <w:t>severe ulcerative colitis</w:t>
      </w:r>
    </w:p>
    <w:p w:rsidR="00767BBE" w:rsidRPr="003365D6" w:rsidRDefault="00767BBE" w:rsidP="00A23869">
      <w:pPr>
        <w:pStyle w:val="ListParagraph"/>
        <w:numPr>
          <w:ilvl w:val="2"/>
          <w:numId w:val="30"/>
        </w:numPr>
        <w:jc w:val="both"/>
        <w:rPr>
          <w:rFonts w:ascii="Arial" w:hAnsi="Arial"/>
          <w:sz w:val="22"/>
          <w:szCs w:val="22"/>
        </w:rPr>
      </w:pPr>
      <w:r w:rsidRPr="003365D6">
        <w:rPr>
          <w:rFonts w:ascii="Arial" w:hAnsi="Arial"/>
          <w:sz w:val="22"/>
          <w:szCs w:val="22"/>
        </w:rPr>
        <w:t>Severe refractory Crohn’s disease</w:t>
      </w:r>
    </w:p>
    <w:p w:rsidR="00767BBE" w:rsidRPr="003365D6" w:rsidRDefault="00767BBE" w:rsidP="00A23869">
      <w:pPr>
        <w:pStyle w:val="ListParagraph"/>
        <w:numPr>
          <w:ilvl w:val="2"/>
          <w:numId w:val="30"/>
        </w:numPr>
        <w:jc w:val="both"/>
        <w:rPr>
          <w:rFonts w:ascii="Arial" w:hAnsi="Arial"/>
          <w:sz w:val="22"/>
          <w:szCs w:val="22"/>
        </w:rPr>
      </w:pPr>
      <w:r w:rsidRPr="003365D6">
        <w:rPr>
          <w:rFonts w:ascii="Arial" w:hAnsi="Arial"/>
          <w:sz w:val="22"/>
          <w:szCs w:val="22"/>
        </w:rPr>
        <w:t>Refractory fistulising Crohn’s disease</w:t>
      </w:r>
    </w:p>
    <w:p w:rsidR="00767BBE" w:rsidRPr="0015219D" w:rsidRDefault="005A0E36" w:rsidP="00A23869">
      <w:pPr>
        <w:pStyle w:val="ListParagraph"/>
        <w:numPr>
          <w:ilvl w:val="2"/>
          <w:numId w:val="30"/>
        </w:numPr>
        <w:jc w:val="both"/>
        <w:rPr>
          <w:rFonts w:ascii="Arial" w:hAnsi="Arial"/>
          <w:sz w:val="22"/>
          <w:szCs w:val="22"/>
        </w:rPr>
      </w:pPr>
      <w:r w:rsidRPr="0015219D">
        <w:rPr>
          <w:rFonts w:ascii="Arial" w:hAnsi="Arial"/>
          <w:sz w:val="22"/>
          <w:szCs w:val="22"/>
        </w:rPr>
        <w:t xml:space="preserve">Severe active </w:t>
      </w:r>
      <w:r w:rsidR="00767BBE" w:rsidRPr="0015219D">
        <w:rPr>
          <w:rFonts w:ascii="Arial" w:hAnsi="Arial"/>
          <w:sz w:val="22"/>
          <w:szCs w:val="22"/>
        </w:rPr>
        <w:t>rheumatoid arthritis</w:t>
      </w:r>
    </w:p>
    <w:p w:rsidR="009C07B7" w:rsidRPr="003365D6" w:rsidRDefault="009C07B7" w:rsidP="00A23869">
      <w:pPr>
        <w:pStyle w:val="ListParagraph"/>
        <w:numPr>
          <w:ilvl w:val="2"/>
          <w:numId w:val="30"/>
        </w:numPr>
        <w:jc w:val="both"/>
        <w:rPr>
          <w:rFonts w:ascii="Arial" w:hAnsi="Arial"/>
          <w:sz w:val="22"/>
          <w:szCs w:val="22"/>
        </w:rPr>
      </w:pPr>
      <w:r w:rsidRPr="003365D6">
        <w:rPr>
          <w:rFonts w:ascii="Arial" w:hAnsi="Arial"/>
          <w:sz w:val="22"/>
          <w:szCs w:val="22"/>
        </w:rPr>
        <w:t>Active ankylosing spondylitis</w:t>
      </w:r>
    </w:p>
    <w:p w:rsidR="009C07B7" w:rsidRPr="003365D6" w:rsidRDefault="00767BBE" w:rsidP="00A23869">
      <w:pPr>
        <w:pStyle w:val="ListParagraph"/>
        <w:numPr>
          <w:ilvl w:val="2"/>
          <w:numId w:val="30"/>
        </w:numPr>
        <w:jc w:val="both"/>
        <w:rPr>
          <w:rFonts w:ascii="Arial" w:hAnsi="Arial"/>
          <w:sz w:val="22"/>
          <w:szCs w:val="22"/>
        </w:rPr>
      </w:pPr>
      <w:r w:rsidRPr="003365D6">
        <w:rPr>
          <w:rFonts w:ascii="Arial" w:hAnsi="Arial"/>
          <w:sz w:val="22"/>
          <w:szCs w:val="22"/>
        </w:rPr>
        <w:t>Severe</w:t>
      </w:r>
      <w:r w:rsidR="009C07B7" w:rsidRPr="003365D6">
        <w:rPr>
          <w:rFonts w:ascii="Arial" w:hAnsi="Arial"/>
          <w:sz w:val="22"/>
          <w:szCs w:val="22"/>
        </w:rPr>
        <w:t xml:space="preserve"> active psoriatic arthritis</w:t>
      </w:r>
    </w:p>
    <w:p w:rsidR="009C07B7" w:rsidRPr="003365D6" w:rsidRDefault="009C07B7" w:rsidP="00A23869">
      <w:pPr>
        <w:pStyle w:val="ListParagraph"/>
        <w:numPr>
          <w:ilvl w:val="2"/>
          <w:numId w:val="30"/>
        </w:numPr>
        <w:jc w:val="both"/>
        <w:rPr>
          <w:rFonts w:ascii="Arial" w:hAnsi="Arial"/>
          <w:sz w:val="22"/>
          <w:szCs w:val="22"/>
        </w:rPr>
      </w:pPr>
      <w:r w:rsidRPr="003365D6">
        <w:rPr>
          <w:rFonts w:ascii="Arial" w:hAnsi="Arial"/>
          <w:sz w:val="22"/>
          <w:szCs w:val="22"/>
        </w:rPr>
        <w:t>Severe chronic plaque psoriasis</w:t>
      </w:r>
    </w:p>
    <w:p w:rsidR="00AF7836" w:rsidRPr="003365D6" w:rsidRDefault="00AF7836" w:rsidP="005B2D72">
      <w:pPr>
        <w:jc w:val="both"/>
        <w:rPr>
          <w:rFonts w:ascii="Arial" w:hAnsi="Arial"/>
          <w:sz w:val="22"/>
          <w:szCs w:val="22"/>
        </w:rPr>
      </w:pPr>
    </w:p>
    <w:p w:rsidR="009C07B7" w:rsidRPr="003365D6" w:rsidRDefault="00401560" w:rsidP="00526CD0">
      <w:pPr>
        <w:pStyle w:val="ListParagraph"/>
        <w:numPr>
          <w:ilvl w:val="1"/>
          <w:numId w:val="2"/>
        </w:numPr>
        <w:jc w:val="both"/>
        <w:rPr>
          <w:rFonts w:ascii="Arial" w:hAnsi="Arial"/>
          <w:sz w:val="22"/>
          <w:szCs w:val="22"/>
        </w:rPr>
      </w:pPr>
      <w:r w:rsidRPr="003365D6">
        <w:rPr>
          <w:rFonts w:ascii="Arial" w:hAnsi="Arial"/>
          <w:sz w:val="22"/>
          <w:szCs w:val="22"/>
        </w:rPr>
        <w:t xml:space="preserve">The submission </w:t>
      </w:r>
      <w:r w:rsidR="00AC2E57" w:rsidRPr="003365D6">
        <w:rPr>
          <w:rFonts w:ascii="Arial" w:hAnsi="Arial"/>
          <w:sz w:val="22"/>
          <w:szCs w:val="22"/>
        </w:rPr>
        <w:t xml:space="preserve">claimed </w:t>
      </w:r>
      <w:r w:rsidRPr="003365D6">
        <w:rPr>
          <w:rFonts w:ascii="Arial" w:hAnsi="Arial"/>
          <w:sz w:val="22"/>
          <w:szCs w:val="22"/>
        </w:rPr>
        <w:t xml:space="preserve">an identical place in the clinical management algorithm to Remicade.  As Inflectra is expected to be used exactly </w:t>
      </w:r>
      <w:r w:rsidR="00AF5A81" w:rsidRPr="003365D6">
        <w:rPr>
          <w:rFonts w:ascii="Arial" w:hAnsi="Arial"/>
          <w:sz w:val="22"/>
          <w:szCs w:val="22"/>
        </w:rPr>
        <w:t xml:space="preserve">the same way </w:t>
      </w:r>
      <w:r w:rsidRPr="003365D6">
        <w:rPr>
          <w:rFonts w:ascii="Arial" w:hAnsi="Arial"/>
          <w:sz w:val="22"/>
          <w:szCs w:val="22"/>
        </w:rPr>
        <w:t>as Remicade, the listing of Inflectra would not affect treatment patterns or co-administered medicines.</w:t>
      </w:r>
    </w:p>
    <w:p w:rsidR="001216FE" w:rsidRDefault="001216FE" w:rsidP="00401560">
      <w:pPr>
        <w:jc w:val="both"/>
        <w:rPr>
          <w:rFonts w:ascii="Arial" w:hAnsi="Arial"/>
          <w:sz w:val="22"/>
          <w:szCs w:val="22"/>
        </w:rPr>
      </w:pPr>
    </w:p>
    <w:p w:rsidR="00AC2421" w:rsidRPr="003365D6" w:rsidRDefault="00AC2421" w:rsidP="00401560">
      <w:pPr>
        <w:jc w:val="both"/>
        <w:rPr>
          <w:rFonts w:ascii="Arial" w:hAnsi="Arial"/>
          <w:sz w:val="22"/>
          <w:szCs w:val="22"/>
        </w:rPr>
      </w:pPr>
    </w:p>
    <w:p w:rsidR="005A3173" w:rsidRPr="003365D6" w:rsidRDefault="005A3173" w:rsidP="00526CD0">
      <w:pPr>
        <w:pStyle w:val="Header"/>
        <w:numPr>
          <w:ilvl w:val="0"/>
          <w:numId w:val="2"/>
        </w:numPr>
        <w:tabs>
          <w:tab w:val="clear" w:pos="4153"/>
          <w:tab w:val="clear" w:pos="8306"/>
        </w:tabs>
        <w:jc w:val="both"/>
        <w:rPr>
          <w:rFonts w:ascii="Arial" w:hAnsi="Arial"/>
          <w:b/>
          <w:sz w:val="22"/>
          <w:szCs w:val="22"/>
        </w:rPr>
      </w:pPr>
      <w:r w:rsidRPr="003365D6">
        <w:rPr>
          <w:rFonts w:ascii="Arial" w:hAnsi="Arial"/>
          <w:b/>
          <w:sz w:val="22"/>
          <w:szCs w:val="22"/>
        </w:rPr>
        <w:t>Comparator</w:t>
      </w:r>
    </w:p>
    <w:p w:rsidR="005A3173" w:rsidRPr="003365D6" w:rsidRDefault="005A3173" w:rsidP="00882085">
      <w:pPr>
        <w:pStyle w:val="Header"/>
        <w:tabs>
          <w:tab w:val="clear" w:pos="4153"/>
          <w:tab w:val="clear" w:pos="8306"/>
        </w:tabs>
        <w:jc w:val="both"/>
        <w:rPr>
          <w:rFonts w:ascii="Arial" w:hAnsi="Arial"/>
          <w:b/>
          <w:sz w:val="22"/>
          <w:szCs w:val="22"/>
        </w:rPr>
      </w:pPr>
    </w:p>
    <w:p w:rsidR="003446CD" w:rsidRPr="003365D6" w:rsidRDefault="00981EEA" w:rsidP="00526CD0">
      <w:pPr>
        <w:pStyle w:val="ListParagraph"/>
        <w:numPr>
          <w:ilvl w:val="1"/>
          <w:numId w:val="2"/>
        </w:numPr>
        <w:jc w:val="both"/>
        <w:rPr>
          <w:rFonts w:ascii="Arial" w:hAnsi="Arial"/>
          <w:sz w:val="22"/>
          <w:szCs w:val="22"/>
        </w:rPr>
      </w:pPr>
      <w:r w:rsidRPr="003365D6">
        <w:rPr>
          <w:rFonts w:ascii="Arial" w:hAnsi="Arial"/>
          <w:sz w:val="22"/>
          <w:szCs w:val="22"/>
        </w:rPr>
        <w:t>The minor submission appropriately nominate</w:t>
      </w:r>
      <w:r w:rsidR="003613FB" w:rsidRPr="003365D6">
        <w:rPr>
          <w:rFonts w:ascii="Arial" w:hAnsi="Arial"/>
          <w:sz w:val="22"/>
          <w:szCs w:val="22"/>
        </w:rPr>
        <w:t>d</w:t>
      </w:r>
      <w:r w:rsidRPr="003365D6">
        <w:rPr>
          <w:rFonts w:ascii="Arial" w:hAnsi="Arial"/>
          <w:i/>
          <w:sz w:val="22"/>
          <w:szCs w:val="22"/>
        </w:rPr>
        <w:t xml:space="preserve"> </w:t>
      </w:r>
      <w:r w:rsidRPr="003365D6">
        <w:rPr>
          <w:rFonts w:ascii="Arial" w:hAnsi="Arial"/>
          <w:sz w:val="22"/>
          <w:szCs w:val="22"/>
        </w:rPr>
        <w:t>Remicade as the comparator</w:t>
      </w:r>
      <w:r w:rsidR="00AC2E57" w:rsidRPr="003365D6">
        <w:rPr>
          <w:rFonts w:ascii="Arial" w:hAnsi="Arial"/>
          <w:sz w:val="22"/>
          <w:szCs w:val="22"/>
        </w:rPr>
        <w:t>.</w:t>
      </w:r>
    </w:p>
    <w:p w:rsidR="003446CD" w:rsidRPr="003365D6" w:rsidRDefault="003446CD" w:rsidP="003446CD">
      <w:pPr>
        <w:jc w:val="both"/>
        <w:rPr>
          <w:rFonts w:ascii="Arial" w:hAnsi="Arial"/>
          <w:sz w:val="22"/>
          <w:szCs w:val="22"/>
        </w:rPr>
      </w:pPr>
    </w:p>
    <w:p w:rsidR="001216FE" w:rsidRPr="003365D6" w:rsidRDefault="001216FE" w:rsidP="003446CD">
      <w:pPr>
        <w:jc w:val="both"/>
        <w:rPr>
          <w:rFonts w:ascii="Arial" w:hAnsi="Arial"/>
          <w:sz w:val="22"/>
          <w:szCs w:val="22"/>
        </w:rPr>
      </w:pPr>
    </w:p>
    <w:p w:rsidR="000B558D" w:rsidRPr="003365D6" w:rsidRDefault="008D7A41" w:rsidP="00526CD0">
      <w:pPr>
        <w:pStyle w:val="Header"/>
        <w:numPr>
          <w:ilvl w:val="0"/>
          <w:numId w:val="2"/>
        </w:numPr>
        <w:tabs>
          <w:tab w:val="clear" w:pos="4153"/>
          <w:tab w:val="clear" w:pos="8306"/>
        </w:tabs>
        <w:jc w:val="both"/>
        <w:rPr>
          <w:rFonts w:ascii="Arial" w:hAnsi="Arial"/>
          <w:b/>
          <w:sz w:val="22"/>
          <w:szCs w:val="22"/>
        </w:rPr>
      </w:pPr>
      <w:r w:rsidRPr="003365D6">
        <w:rPr>
          <w:rFonts w:ascii="Arial" w:hAnsi="Arial"/>
          <w:b/>
          <w:sz w:val="22"/>
          <w:szCs w:val="22"/>
        </w:rPr>
        <w:t>C</w:t>
      </w:r>
      <w:r w:rsidR="00D84934" w:rsidRPr="003365D6">
        <w:rPr>
          <w:rFonts w:ascii="Arial" w:hAnsi="Arial"/>
          <w:b/>
          <w:sz w:val="22"/>
          <w:szCs w:val="22"/>
        </w:rPr>
        <w:t>onsideration of the evidence</w:t>
      </w:r>
    </w:p>
    <w:p w:rsidR="007A553F" w:rsidRPr="003365D6" w:rsidRDefault="007A553F" w:rsidP="007A553F">
      <w:pPr>
        <w:pStyle w:val="Header"/>
        <w:tabs>
          <w:tab w:val="clear" w:pos="4153"/>
          <w:tab w:val="clear" w:pos="8306"/>
        </w:tabs>
        <w:jc w:val="both"/>
        <w:rPr>
          <w:rFonts w:ascii="Arial" w:hAnsi="Arial"/>
          <w:b/>
          <w:sz w:val="22"/>
          <w:szCs w:val="22"/>
        </w:rPr>
      </w:pPr>
    </w:p>
    <w:p w:rsidR="001750A9" w:rsidRPr="003365D6" w:rsidRDefault="001750A9" w:rsidP="001750A9">
      <w:pPr>
        <w:widowControl w:val="0"/>
        <w:spacing w:after="200" w:line="276" w:lineRule="auto"/>
        <w:jc w:val="both"/>
        <w:rPr>
          <w:rFonts w:ascii="Arial" w:hAnsi="Arial" w:cs="Arial"/>
          <w:b/>
          <w:bCs/>
          <w:i/>
          <w:snapToGrid w:val="0"/>
          <w:sz w:val="22"/>
          <w:szCs w:val="22"/>
        </w:rPr>
      </w:pPr>
      <w:r w:rsidRPr="003365D6">
        <w:rPr>
          <w:rFonts w:ascii="Arial" w:hAnsi="Arial" w:cs="Arial"/>
          <w:b/>
          <w:bCs/>
          <w:i/>
          <w:snapToGrid w:val="0"/>
          <w:sz w:val="22"/>
          <w:szCs w:val="22"/>
        </w:rPr>
        <w:t>Sponsor hearing</w:t>
      </w:r>
    </w:p>
    <w:p w:rsidR="001750A9" w:rsidRPr="003365D6" w:rsidRDefault="001750A9" w:rsidP="001750A9">
      <w:pPr>
        <w:widowControl w:val="0"/>
        <w:numPr>
          <w:ilvl w:val="1"/>
          <w:numId w:val="2"/>
        </w:numPr>
        <w:contextualSpacing/>
        <w:jc w:val="both"/>
        <w:rPr>
          <w:rFonts w:ascii="Arial" w:hAnsi="Arial" w:cs="Arial"/>
          <w:bCs/>
          <w:snapToGrid w:val="0"/>
          <w:sz w:val="22"/>
          <w:szCs w:val="22"/>
        </w:rPr>
      </w:pPr>
      <w:r w:rsidRPr="003365D6">
        <w:rPr>
          <w:rFonts w:ascii="Arial" w:hAnsi="Arial" w:cs="Arial"/>
          <w:bCs/>
          <w:snapToGrid w:val="0"/>
          <w:sz w:val="22"/>
          <w:szCs w:val="22"/>
        </w:rPr>
        <w:t>There was no hearing for this item as it was a minor submission.</w:t>
      </w:r>
    </w:p>
    <w:p w:rsidR="007A553F" w:rsidRPr="00626C74" w:rsidRDefault="007A553F" w:rsidP="007A553F">
      <w:pPr>
        <w:jc w:val="both"/>
        <w:rPr>
          <w:rFonts w:ascii="Arial" w:hAnsi="Arial" w:cs="Arial"/>
          <w:bCs/>
          <w:snapToGrid w:val="0"/>
          <w:sz w:val="22"/>
          <w:szCs w:val="22"/>
        </w:rPr>
      </w:pPr>
    </w:p>
    <w:p w:rsidR="00186923" w:rsidRPr="003365D6" w:rsidRDefault="00186923" w:rsidP="00186923">
      <w:pPr>
        <w:widowControl w:val="0"/>
        <w:spacing w:after="200" w:line="276" w:lineRule="auto"/>
        <w:jc w:val="both"/>
        <w:rPr>
          <w:rFonts w:ascii="Arial" w:hAnsi="Arial" w:cs="Arial"/>
          <w:b/>
          <w:bCs/>
          <w:i/>
          <w:snapToGrid w:val="0"/>
          <w:sz w:val="22"/>
          <w:szCs w:val="22"/>
        </w:rPr>
      </w:pPr>
      <w:r w:rsidRPr="003365D6">
        <w:rPr>
          <w:rFonts w:ascii="Arial" w:hAnsi="Arial" w:cs="Arial"/>
          <w:b/>
          <w:bCs/>
          <w:i/>
          <w:snapToGrid w:val="0"/>
          <w:sz w:val="22"/>
          <w:szCs w:val="22"/>
        </w:rPr>
        <w:t>Consumer comments</w:t>
      </w:r>
    </w:p>
    <w:p w:rsidR="00186923" w:rsidRPr="003365D6" w:rsidRDefault="00186923" w:rsidP="00186923">
      <w:pPr>
        <w:widowControl w:val="0"/>
        <w:numPr>
          <w:ilvl w:val="1"/>
          <w:numId w:val="2"/>
        </w:numPr>
        <w:contextualSpacing/>
        <w:jc w:val="both"/>
        <w:rPr>
          <w:rFonts w:ascii="Arial" w:hAnsi="Arial" w:cs="Arial"/>
          <w:bCs/>
          <w:snapToGrid w:val="0"/>
          <w:sz w:val="22"/>
          <w:szCs w:val="22"/>
        </w:rPr>
      </w:pPr>
      <w:r w:rsidRPr="0015219D">
        <w:rPr>
          <w:rFonts w:ascii="Arial" w:hAnsi="Arial" w:cs="Arial"/>
          <w:bCs/>
          <w:snapToGrid w:val="0"/>
          <w:sz w:val="22"/>
          <w:szCs w:val="22"/>
        </w:rPr>
        <w:t>The PBAC noted and welcomed the input from individuals (2) and organisations (2) via the Consumer Comments facility on the PBS website. The comments expressed concern around perceived differences in efficacy that may result from switching and substitution between the biosimilar and reference biologic.</w:t>
      </w:r>
      <w:r w:rsidRPr="003365D6">
        <w:rPr>
          <w:rFonts w:ascii="Arial" w:hAnsi="Arial" w:cs="Arial"/>
          <w:bCs/>
          <w:i/>
          <w:snapToGrid w:val="0"/>
          <w:sz w:val="22"/>
          <w:szCs w:val="22"/>
        </w:rPr>
        <w:t xml:space="preserve">  </w:t>
      </w:r>
    </w:p>
    <w:p w:rsidR="00186923" w:rsidRPr="003365D6" w:rsidRDefault="00186923" w:rsidP="00186923">
      <w:pPr>
        <w:widowControl w:val="0"/>
        <w:ind w:left="720"/>
        <w:contextualSpacing/>
        <w:jc w:val="both"/>
        <w:rPr>
          <w:rFonts w:ascii="Arial" w:hAnsi="Arial" w:cs="Arial"/>
          <w:bCs/>
          <w:snapToGrid w:val="0"/>
          <w:sz w:val="22"/>
          <w:szCs w:val="22"/>
        </w:rPr>
      </w:pPr>
    </w:p>
    <w:p w:rsidR="00186923" w:rsidRPr="00626C74" w:rsidRDefault="00186923" w:rsidP="00EC4EEB">
      <w:pPr>
        <w:widowControl w:val="0"/>
        <w:numPr>
          <w:ilvl w:val="1"/>
          <w:numId w:val="2"/>
        </w:numPr>
        <w:contextualSpacing/>
        <w:jc w:val="both"/>
        <w:rPr>
          <w:rFonts w:ascii="Arial" w:hAnsi="Arial" w:cs="Arial"/>
          <w:bCs/>
          <w:snapToGrid w:val="0"/>
          <w:sz w:val="22"/>
          <w:szCs w:val="22"/>
        </w:rPr>
      </w:pPr>
      <w:r w:rsidRPr="00626C74">
        <w:rPr>
          <w:rFonts w:ascii="Arial" w:hAnsi="Arial" w:cs="Arial"/>
          <w:bCs/>
          <w:snapToGrid w:val="0"/>
          <w:sz w:val="22"/>
          <w:szCs w:val="22"/>
        </w:rPr>
        <w:t>The PBAC also acknowledged the numerous correspondence</w:t>
      </w:r>
      <w:r w:rsidR="00C437AE" w:rsidRPr="00626C74">
        <w:rPr>
          <w:rFonts w:ascii="Arial" w:hAnsi="Arial" w:cs="Arial"/>
          <w:bCs/>
          <w:snapToGrid w:val="0"/>
          <w:sz w:val="22"/>
          <w:szCs w:val="22"/>
        </w:rPr>
        <w:t>s</w:t>
      </w:r>
      <w:r w:rsidRPr="00626C74">
        <w:rPr>
          <w:rFonts w:ascii="Arial" w:hAnsi="Arial" w:cs="Arial"/>
          <w:bCs/>
          <w:snapToGrid w:val="0"/>
          <w:sz w:val="22"/>
          <w:szCs w:val="22"/>
        </w:rPr>
        <w:t xml:space="preserve"> received, separate to the Consumer Comments facility, </w:t>
      </w:r>
      <w:r w:rsidR="00A12E88" w:rsidRPr="00626C74">
        <w:rPr>
          <w:rFonts w:ascii="Arial" w:hAnsi="Arial" w:cs="Arial"/>
          <w:bCs/>
          <w:snapToGrid w:val="0"/>
          <w:sz w:val="22"/>
          <w:szCs w:val="22"/>
        </w:rPr>
        <w:t xml:space="preserve">concerning the PBAC’s position on the “a” flagging of biosimilars (as outlined at its April 2015 Special Meeting). </w:t>
      </w:r>
      <w:r w:rsidR="00EC4EEB" w:rsidRPr="00EC4EEB">
        <w:rPr>
          <w:rFonts w:ascii="Arial" w:hAnsi="Arial" w:cs="Arial"/>
          <w:bCs/>
          <w:snapToGrid w:val="0"/>
          <w:sz w:val="22"/>
          <w:szCs w:val="22"/>
        </w:rPr>
        <w:t>The PBAC further noted the comments made by various patient and clinician groups at the PBAC hearing on biosimilar medicines particularly in relation to pharmacy level substitution</w:t>
      </w:r>
      <w:r w:rsidR="00EC4EEB">
        <w:rPr>
          <w:rFonts w:ascii="Arial" w:hAnsi="Arial" w:cs="Arial"/>
          <w:bCs/>
          <w:snapToGrid w:val="0"/>
          <w:sz w:val="22"/>
          <w:szCs w:val="22"/>
        </w:rPr>
        <w:t xml:space="preserve">. </w:t>
      </w:r>
    </w:p>
    <w:p w:rsidR="007A553F" w:rsidRPr="00626C74" w:rsidRDefault="007A553F" w:rsidP="007A553F">
      <w:pPr>
        <w:contextualSpacing/>
        <w:jc w:val="both"/>
        <w:rPr>
          <w:rFonts w:ascii="Arial" w:hAnsi="Arial" w:cs="Arial"/>
          <w:bCs/>
          <w:snapToGrid w:val="0"/>
          <w:sz w:val="22"/>
          <w:szCs w:val="22"/>
        </w:rPr>
      </w:pPr>
    </w:p>
    <w:p w:rsidR="0049659D" w:rsidRPr="0015219D" w:rsidRDefault="0049659D" w:rsidP="002E19FD">
      <w:pPr>
        <w:pStyle w:val="ListParagraph"/>
        <w:numPr>
          <w:ilvl w:val="1"/>
          <w:numId w:val="2"/>
        </w:numPr>
        <w:jc w:val="both"/>
        <w:rPr>
          <w:rFonts w:ascii="Arial" w:hAnsi="Arial"/>
          <w:sz w:val="22"/>
          <w:szCs w:val="22"/>
        </w:rPr>
      </w:pPr>
      <w:r w:rsidRPr="003365D6">
        <w:rPr>
          <w:rFonts w:ascii="Arial" w:hAnsi="Arial"/>
          <w:sz w:val="22"/>
          <w:szCs w:val="22"/>
        </w:rPr>
        <w:t>This section addresse</w:t>
      </w:r>
      <w:r w:rsidRPr="0015219D">
        <w:rPr>
          <w:rFonts w:ascii="Arial" w:hAnsi="Arial"/>
          <w:sz w:val="22"/>
          <w:szCs w:val="22"/>
        </w:rPr>
        <w:t>s the following:</w:t>
      </w:r>
    </w:p>
    <w:p w:rsidR="0049659D" w:rsidRPr="003365D6" w:rsidRDefault="0049659D" w:rsidP="000B6FEF">
      <w:pPr>
        <w:pStyle w:val="ListParagraph"/>
        <w:numPr>
          <w:ilvl w:val="0"/>
          <w:numId w:val="34"/>
        </w:numPr>
        <w:ind w:left="1134" w:hanging="425"/>
        <w:jc w:val="both"/>
        <w:rPr>
          <w:rFonts w:ascii="Arial" w:hAnsi="Arial"/>
          <w:sz w:val="22"/>
          <w:szCs w:val="22"/>
        </w:rPr>
      </w:pPr>
      <w:r w:rsidRPr="003365D6">
        <w:rPr>
          <w:rFonts w:ascii="Arial" w:hAnsi="Arial"/>
          <w:sz w:val="22"/>
          <w:szCs w:val="22"/>
        </w:rPr>
        <w:t>Clinical trials provided to support the proposed listing</w:t>
      </w:r>
    </w:p>
    <w:p w:rsidR="0049659D" w:rsidRPr="003365D6" w:rsidRDefault="0049659D" w:rsidP="000B6FEF">
      <w:pPr>
        <w:pStyle w:val="ListParagraph"/>
        <w:numPr>
          <w:ilvl w:val="1"/>
          <w:numId w:val="34"/>
        </w:numPr>
        <w:ind w:left="1418" w:hanging="284"/>
        <w:jc w:val="both"/>
        <w:rPr>
          <w:rFonts w:ascii="Arial" w:hAnsi="Arial"/>
          <w:sz w:val="22"/>
          <w:szCs w:val="22"/>
        </w:rPr>
      </w:pPr>
      <w:r w:rsidRPr="003365D6">
        <w:rPr>
          <w:rFonts w:ascii="Arial" w:hAnsi="Arial"/>
          <w:sz w:val="22"/>
          <w:szCs w:val="22"/>
        </w:rPr>
        <w:t>Comparative effectiveness in patients with rheumatoid arthritis</w:t>
      </w:r>
    </w:p>
    <w:p w:rsidR="0049659D" w:rsidRPr="003365D6" w:rsidRDefault="0049659D" w:rsidP="000B6FEF">
      <w:pPr>
        <w:pStyle w:val="ListParagraph"/>
        <w:numPr>
          <w:ilvl w:val="1"/>
          <w:numId w:val="34"/>
        </w:numPr>
        <w:ind w:left="1418" w:hanging="284"/>
        <w:jc w:val="both"/>
        <w:rPr>
          <w:rFonts w:ascii="Arial" w:hAnsi="Arial"/>
          <w:sz w:val="22"/>
          <w:szCs w:val="22"/>
        </w:rPr>
      </w:pPr>
      <w:r w:rsidRPr="003365D6">
        <w:rPr>
          <w:rFonts w:ascii="Arial" w:hAnsi="Arial"/>
          <w:sz w:val="22"/>
          <w:szCs w:val="22"/>
        </w:rPr>
        <w:t>Comparative effectiveness in patients with ankylosing spondylitis</w:t>
      </w:r>
    </w:p>
    <w:p w:rsidR="0049659D" w:rsidRPr="003365D6" w:rsidRDefault="0049659D" w:rsidP="000B6FEF">
      <w:pPr>
        <w:pStyle w:val="ListParagraph"/>
        <w:numPr>
          <w:ilvl w:val="1"/>
          <w:numId w:val="34"/>
        </w:numPr>
        <w:ind w:left="1418" w:hanging="284"/>
        <w:jc w:val="both"/>
        <w:rPr>
          <w:rFonts w:ascii="Arial" w:hAnsi="Arial"/>
          <w:sz w:val="22"/>
          <w:szCs w:val="22"/>
        </w:rPr>
      </w:pPr>
      <w:r w:rsidRPr="003365D6">
        <w:rPr>
          <w:rFonts w:ascii="Arial" w:hAnsi="Arial"/>
          <w:sz w:val="22"/>
          <w:szCs w:val="22"/>
        </w:rPr>
        <w:t>Pharmacokinetic analyses</w:t>
      </w:r>
    </w:p>
    <w:p w:rsidR="0049659D" w:rsidRPr="003365D6" w:rsidRDefault="0049659D" w:rsidP="000B6FEF">
      <w:pPr>
        <w:pStyle w:val="ListParagraph"/>
        <w:numPr>
          <w:ilvl w:val="1"/>
          <w:numId w:val="34"/>
        </w:numPr>
        <w:ind w:left="1418" w:hanging="284"/>
        <w:jc w:val="both"/>
        <w:rPr>
          <w:rFonts w:ascii="Arial" w:hAnsi="Arial"/>
          <w:sz w:val="22"/>
          <w:szCs w:val="22"/>
        </w:rPr>
      </w:pPr>
      <w:r w:rsidRPr="003365D6">
        <w:rPr>
          <w:rFonts w:ascii="Arial" w:hAnsi="Arial"/>
          <w:sz w:val="22"/>
          <w:szCs w:val="22"/>
        </w:rPr>
        <w:t>Comparative effectiveness in patients with psoriatic arthritis</w:t>
      </w:r>
    </w:p>
    <w:p w:rsidR="0049659D" w:rsidRPr="003365D6" w:rsidRDefault="0049659D" w:rsidP="000B6FEF">
      <w:pPr>
        <w:pStyle w:val="ListParagraph"/>
        <w:numPr>
          <w:ilvl w:val="1"/>
          <w:numId w:val="34"/>
        </w:numPr>
        <w:ind w:left="1418" w:hanging="284"/>
        <w:jc w:val="both"/>
        <w:rPr>
          <w:rFonts w:ascii="Arial" w:hAnsi="Arial"/>
          <w:sz w:val="22"/>
          <w:szCs w:val="22"/>
        </w:rPr>
      </w:pPr>
      <w:r w:rsidRPr="003365D6">
        <w:rPr>
          <w:rFonts w:ascii="Arial" w:hAnsi="Arial"/>
          <w:sz w:val="22"/>
          <w:szCs w:val="22"/>
        </w:rPr>
        <w:t>Comparative effectiveness in patients with psoriasis</w:t>
      </w:r>
    </w:p>
    <w:p w:rsidR="0049659D" w:rsidRPr="003365D6" w:rsidRDefault="0049659D" w:rsidP="000B6FEF">
      <w:pPr>
        <w:pStyle w:val="ListParagraph"/>
        <w:numPr>
          <w:ilvl w:val="1"/>
          <w:numId w:val="34"/>
        </w:numPr>
        <w:ind w:left="1418" w:hanging="284"/>
        <w:jc w:val="both"/>
        <w:rPr>
          <w:rFonts w:ascii="Arial" w:hAnsi="Arial"/>
          <w:sz w:val="22"/>
          <w:szCs w:val="22"/>
        </w:rPr>
      </w:pPr>
      <w:r w:rsidRPr="003365D6">
        <w:rPr>
          <w:rFonts w:ascii="Arial" w:hAnsi="Arial"/>
          <w:sz w:val="22"/>
          <w:szCs w:val="22"/>
        </w:rPr>
        <w:t>Comparative effectiveness in patients with Crohn’s disease and ulcerative colitis</w:t>
      </w:r>
    </w:p>
    <w:p w:rsidR="0049659D" w:rsidRPr="003365D6" w:rsidRDefault="0049659D" w:rsidP="000B6FEF">
      <w:pPr>
        <w:pStyle w:val="ListParagraph"/>
        <w:numPr>
          <w:ilvl w:val="1"/>
          <w:numId w:val="34"/>
        </w:numPr>
        <w:ind w:left="1418" w:hanging="284"/>
        <w:jc w:val="both"/>
        <w:rPr>
          <w:rFonts w:ascii="Arial" w:hAnsi="Arial"/>
          <w:sz w:val="22"/>
          <w:szCs w:val="22"/>
        </w:rPr>
      </w:pPr>
      <w:r w:rsidRPr="003365D6">
        <w:rPr>
          <w:rFonts w:ascii="Arial" w:hAnsi="Arial"/>
          <w:sz w:val="22"/>
          <w:szCs w:val="22"/>
        </w:rPr>
        <w:t>Comparative Harms</w:t>
      </w:r>
    </w:p>
    <w:p w:rsidR="0049659D" w:rsidRPr="003365D6" w:rsidRDefault="0049659D" w:rsidP="000B6FEF">
      <w:pPr>
        <w:pStyle w:val="ListParagraph"/>
        <w:numPr>
          <w:ilvl w:val="0"/>
          <w:numId w:val="34"/>
        </w:numPr>
        <w:ind w:left="1134" w:hanging="425"/>
        <w:jc w:val="both"/>
        <w:rPr>
          <w:rFonts w:ascii="Arial" w:hAnsi="Arial"/>
          <w:sz w:val="22"/>
          <w:szCs w:val="22"/>
        </w:rPr>
      </w:pPr>
      <w:r w:rsidRPr="003365D6">
        <w:rPr>
          <w:rFonts w:ascii="Arial" w:hAnsi="Arial"/>
          <w:sz w:val="22"/>
          <w:szCs w:val="22"/>
        </w:rPr>
        <w:t>Pharmacovigilance</w:t>
      </w:r>
    </w:p>
    <w:p w:rsidR="0049659D" w:rsidRPr="003365D6" w:rsidRDefault="0049659D" w:rsidP="000B6FEF">
      <w:pPr>
        <w:pStyle w:val="ListParagraph"/>
        <w:numPr>
          <w:ilvl w:val="0"/>
          <w:numId w:val="34"/>
        </w:numPr>
        <w:ind w:left="1134" w:hanging="425"/>
        <w:jc w:val="both"/>
        <w:rPr>
          <w:rFonts w:ascii="Arial" w:hAnsi="Arial"/>
          <w:sz w:val="22"/>
          <w:szCs w:val="22"/>
        </w:rPr>
      </w:pPr>
      <w:r w:rsidRPr="003365D6">
        <w:rPr>
          <w:rFonts w:ascii="Arial" w:hAnsi="Arial"/>
          <w:sz w:val="22"/>
          <w:szCs w:val="22"/>
        </w:rPr>
        <w:t>Clinical Claim</w:t>
      </w:r>
    </w:p>
    <w:p w:rsidR="000B6FEF" w:rsidRPr="003365D6" w:rsidRDefault="000B6FEF" w:rsidP="00D7777A">
      <w:pPr>
        <w:pStyle w:val="ListParagraph"/>
        <w:numPr>
          <w:ilvl w:val="0"/>
          <w:numId w:val="34"/>
        </w:numPr>
        <w:ind w:left="1134" w:hanging="425"/>
        <w:rPr>
          <w:rFonts w:ascii="Arial" w:hAnsi="Arial"/>
          <w:sz w:val="22"/>
          <w:szCs w:val="22"/>
        </w:rPr>
      </w:pPr>
      <w:r w:rsidRPr="003365D6">
        <w:rPr>
          <w:rFonts w:ascii="Arial" w:hAnsi="Arial"/>
          <w:sz w:val="22"/>
          <w:szCs w:val="22"/>
        </w:rPr>
        <w:t>Substitution</w:t>
      </w:r>
      <w:r w:rsidR="00BE6309" w:rsidRPr="003365D6">
        <w:rPr>
          <w:rFonts w:ascii="Arial" w:hAnsi="Arial"/>
          <w:sz w:val="22"/>
          <w:szCs w:val="22"/>
        </w:rPr>
        <w:t xml:space="preserve"> between the biosimilar and the reference biologic</w:t>
      </w:r>
    </w:p>
    <w:p w:rsidR="0049659D" w:rsidRPr="003365D6" w:rsidRDefault="0049659D" w:rsidP="00F9629A">
      <w:pPr>
        <w:jc w:val="both"/>
        <w:rPr>
          <w:rFonts w:ascii="Arial" w:hAnsi="Arial"/>
          <w:sz w:val="22"/>
          <w:szCs w:val="22"/>
        </w:rPr>
      </w:pPr>
    </w:p>
    <w:p w:rsidR="00D84934" w:rsidRPr="003365D6" w:rsidRDefault="00D84934" w:rsidP="00D84934">
      <w:pPr>
        <w:jc w:val="both"/>
        <w:rPr>
          <w:rFonts w:ascii="Arial" w:hAnsi="Arial"/>
          <w:b/>
          <w:i/>
          <w:sz w:val="22"/>
          <w:szCs w:val="22"/>
        </w:rPr>
      </w:pPr>
      <w:r w:rsidRPr="003365D6">
        <w:rPr>
          <w:rFonts w:ascii="Arial" w:hAnsi="Arial"/>
          <w:b/>
          <w:i/>
          <w:sz w:val="22"/>
          <w:szCs w:val="22"/>
        </w:rPr>
        <w:t>Clinical trials</w:t>
      </w:r>
    </w:p>
    <w:p w:rsidR="00D84934" w:rsidRPr="003365D6" w:rsidRDefault="00D84934" w:rsidP="00F9629A">
      <w:pPr>
        <w:jc w:val="both"/>
        <w:rPr>
          <w:rFonts w:ascii="Arial" w:hAnsi="Arial"/>
          <w:sz w:val="22"/>
          <w:szCs w:val="22"/>
        </w:rPr>
      </w:pPr>
    </w:p>
    <w:p w:rsidR="00C35B5E" w:rsidRPr="0015219D" w:rsidRDefault="00FE157F" w:rsidP="00526CD0">
      <w:pPr>
        <w:pStyle w:val="ListParagraph"/>
        <w:numPr>
          <w:ilvl w:val="1"/>
          <w:numId w:val="2"/>
        </w:numPr>
        <w:jc w:val="both"/>
        <w:rPr>
          <w:rFonts w:ascii="Arial" w:hAnsi="Arial"/>
          <w:sz w:val="22"/>
          <w:szCs w:val="22"/>
        </w:rPr>
      </w:pPr>
      <w:r w:rsidRPr="003365D6">
        <w:rPr>
          <w:rFonts w:ascii="Arial" w:hAnsi="Arial"/>
          <w:sz w:val="22"/>
          <w:szCs w:val="22"/>
        </w:rPr>
        <w:t xml:space="preserve">The clinical evidence provided in the submission was based on </w:t>
      </w:r>
      <w:r w:rsidR="00AF5A81" w:rsidRPr="003365D6">
        <w:rPr>
          <w:rFonts w:ascii="Arial" w:hAnsi="Arial"/>
          <w:sz w:val="22"/>
          <w:szCs w:val="22"/>
        </w:rPr>
        <w:t xml:space="preserve">three studies: (1) </w:t>
      </w:r>
      <w:r w:rsidRPr="003365D6">
        <w:rPr>
          <w:rFonts w:ascii="Arial" w:hAnsi="Arial"/>
          <w:sz w:val="22"/>
          <w:szCs w:val="22"/>
        </w:rPr>
        <w:t>a randomised phase III study in patients with rheumatoid arthritis</w:t>
      </w:r>
      <w:r w:rsidR="00AE683A" w:rsidRPr="003365D6">
        <w:rPr>
          <w:rFonts w:ascii="Arial" w:hAnsi="Arial"/>
          <w:sz w:val="22"/>
          <w:szCs w:val="22"/>
        </w:rPr>
        <w:t xml:space="preserve">, Study </w:t>
      </w:r>
      <w:r w:rsidRPr="003365D6">
        <w:rPr>
          <w:rFonts w:ascii="Arial" w:hAnsi="Arial"/>
          <w:sz w:val="22"/>
          <w:szCs w:val="22"/>
        </w:rPr>
        <w:t>CT-P13 3.1</w:t>
      </w:r>
      <w:r w:rsidR="00AE683A" w:rsidRPr="003365D6">
        <w:rPr>
          <w:rFonts w:ascii="Arial" w:hAnsi="Arial"/>
          <w:sz w:val="22"/>
          <w:szCs w:val="22"/>
        </w:rPr>
        <w:t xml:space="preserve"> (Study 3.1)</w:t>
      </w:r>
      <w:r w:rsidR="00AF5A81" w:rsidRPr="003365D6">
        <w:rPr>
          <w:rFonts w:ascii="Arial" w:hAnsi="Arial"/>
          <w:sz w:val="22"/>
          <w:szCs w:val="22"/>
        </w:rPr>
        <w:t>; (2)</w:t>
      </w:r>
      <w:r w:rsidRPr="003365D6">
        <w:rPr>
          <w:rFonts w:ascii="Arial" w:hAnsi="Arial"/>
          <w:sz w:val="22"/>
          <w:szCs w:val="22"/>
        </w:rPr>
        <w:t xml:space="preserve"> a randomised phase I pharmacokinetic study in patients with ankylosing spondylitis </w:t>
      </w:r>
      <w:r w:rsidR="00AE683A" w:rsidRPr="003365D6">
        <w:rPr>
          <w:rFonts w:ascii="Arial" w:hAnsi="Arial"/>
          <w:sz w:val="22"/>
          <w:szCs w:val="22"/>
        </w:rPr>
        <w:t xml:space="preserve">Study </w:t>
      </w:r>
      <w:r w:rsidRPr="003365D6">
        <w:rPr>
          <w:rFonts w:ascii="Arial" w:hAnsi="Arial"/>
          <w:sz w:val="22"/>
          <w:szCs w:val="22"/>
        </w:rPr>
        <w:t>CT-P13 1.1</w:t>
      </w:r>
      <w:r w:rsidR="00AE683A" w:rsidRPr="003365D6">
        <w:rPr>
          <w:rFonts w:ascii="Arial" w:hAnsi="Arial"/>
          <w:sz w:val="22"/>
          <w:szCs w:val="22"/>
        </w:rPr>
        <w:t xml:space="preserve"> (Study 1.1)</w:t>
      </w:r>
      <w:r w:rsidR="00AF5A81" w:rsidRPr="003365D6">
        <w:rPr>
          <w:rFonts w:ascii="Arial" w:hAnsi="Arial"/>
          <w:sz w:val="22"/>
          <w:szCs w:val="22"/>
        </w:rPr>
        <w:t xml:space="preserve">; </w:t>
      </w:r>
      <w:r w:rsidRPr="003365D6">
        <w:rPr>
          <w:rFonts w:ascii="Arial" w:hAnsi="Arial"/>
          <w:sz w:val="22"/>
          <w:szCs w:val="22"/>
        </w:rPr>
        <w:t>and</w:t>
      </w:r>
      <w:r w:rsidR="00AF5A81" w:rsidRPr="003365D6">
        <w:rPr>
          <w:rFonts w:ascii="Arial" w:hAnsi="Arial"/>
          <w:sz w:val="22"/>
          <w:szCs w:val="22"/>
        </w:rPr>
        <w:t xml:space="preserve"> (3)</w:t>
      </w:r>
      <w:r w:rsidRPr="003365D6">
        <w:rPr>
          <w:rFonts w:ascii="Arial" w:hAnsi="Arial"/>
          <w:sz w:val="22"/>
          <w:szCs w:val="22"/>
        </w:rPr>
        <w:t xml:space="preserve"> a small phase I pharmacokinetic study in pati</w:t>
      </w:r>
      <w:r w:rsidR="00AE683A" w:rsidRPr="003365D6">
        <w:rPr>
          <w:rFonts w:ascii="Arial" w:hAnsi="Arial"/>
          <w:sz w:val="22"/>
          <w:szCs w:val="22"/>
        </w:rPr>
        <w:t xml:space="preserve">ents with rheumatoid arthritis Study </w:t>
      </w:r>
      <w:r w:rsidRPr="003365D6">
        <w:rPr>
          <w:rFonts w:ascii="Arial" w:hAnsi="Arial"/>
          <w:sz w:val="22"/>
          <w:szCs w:val="22"/>
        </w:rPr>
        <w:t>CT-P13 1.2</w:t>
      </w:r>
      <w:r w:rsidR="00AE683A" w:rsidRPr="003365D6">
        <w:rPr>
          <w:rFonts w:ascii="Arial" w:hAnsi="Arial"/>
          <w:sz w:val="22"/>
          <w:szCs w:val="22"/>
        </w:rPr>
        <w:t xml:space="preserve"> (Study 1.2)</w:t>
      </w:r>
      <w:r w:rsidRPr="003365D6">
        <w:rPr>
          <w:rFonts w:ascii="Arial" w:hAnsi="Arial"/>
          <w:sz w:val="22"/>
          <w:szCs w:val="22"/>
        </w:rPr>
        <w:t>.</w:t>
      </w:r>
      <w:r w:rsidR="00AF5A81" w:rsidRPr="003365D6">
        <w:rPr>
          <w:rFonts w:ascii="Arial" w:hAnsi="Arial"/>
          <w:sz w:val="22"/>
          <w:szCs w:val="22"/>
        </w:rPr>
        <w:t xml:space="preserve">  The publication details on these studies are given in</w:t>
      </w:r>
      <w:r w:rsidR="00EF56FA" w:rsidRPr="003365D6">
        <w:rPr>
          <w:rFonts w:ascii="Arial" w:hAnsi="Arial"/>
          <w:sz w:val="22"/>
          <w:szCs w:val="22"/>
        </w:rPr>
        <w:t xml:space="preserve"> </w:t>
      </w:r>
      <w:r w:rsidR="00B9612D" w:rsidRPr="0015219D">
        <w:rPr>
          <w:rFonts w:ascii="Arial" w:hAnsi="Arial"/>
          <w:sz w:val="22"/>
          <w:szCs w:val="22"/>
        </w:rPr>
        <w:t xml:space="preserve">Table </w:t>
      </w:r>
      <w:r w:rsidR="009346CC" w:rsidRPr="0015219D">
        <w:rPr>
          <w:rFonts w:ascii="Arial" w:hAnsi="Arial"/>
          <w:sz w:val="22"/>
          <w:szCs w:val="22"/>
        </w:rPr>
        <w:t>1</w:t>
      </w:r>
      <w:r w:rsidR="00AF5A81" w:rsidRPr="0015219D">
        <w:rPr>
          <w:rFonts w:ascii="Arial" w:hAnsi="Arial"/>
          <w:sz w:val="22"/>
          <w:szCs w:val="22"/>
        </w:rPr>
        <w:t>.</w:t>
      </w:r>
      <w:r w:rsidR="00EF56FA" w:rsidRPr="0015219D">
        <w:rPr>
          <w:rFonts w:ascii="Arial" w:hAnsi="Arial"/>
          <w:sz w:val="22"/>
          <w:szCs w:val="22"/>
        </w:rPr>
        <w:t xml:space="preserve">  </w:t>
      </w:r>
    </w:p>
    <w:p w:rsidR="0049659D" w:rsidRPr="003365D6" w:rsidRDefault="0049659D" w:rsidP="0049659D">
      <w:pPr>
        <w:pStyle w:val="ListParagraph"/>
        <w:jc w:val="both"/>
        <w:rPr>
          <w:rFonts w:ascii="Arial" w:hAnsi="Arial"/>
          <w:sz w:val="22"/>
          <w:szCs w:val="22"/>
        </w:rPr>
      </w:pPr>
    </w:p>
    <w:p w:rsidR="008C4C2F" w:rsidRPr="003365D6" w:rsidRDefault="008C4C2F" w:rsidP="00526CD0">
      <w:pPr>
        <w:pStyle w:val="ListParagraph"/>
        <w:numPr>
          <w:ilvl w:val="1"/>
          <w:numId w:val="2"/>
        </w:numPr>
        <w:jc w:val="both"/>
        <w:rPr>
          <w:rFonts w:ascii="Arial" w:hAnsi="Arial"/>
          <w:sz w:val="22"/>
          <w:szCs w:val="22"/>
        </w:rPr>
      </w:pPr>
      <w:r w:rsidRPr="003365D6">
        <w:rPr>
          <w:rFonts w:ascii="Arial" w:hAnsi="Arial"/>
          <w:sz w:val="22"/>
          <w:szCs w:val="22"/>
        </w:rPr>
        <w:t xml:space="preserve">In addition, the sponsor provided evidence relating to substitution of Remicade with Inflectra consisting of efficacy, safety and immunogenicity results from Study CT-P13 3.2 (extension of Study 3.1 in rheumatoid arthritis) and Study CT-P13 1.3 (extension of Study 1.1 in ankylosing spondylitis).  </w:t>
      </w:r>
      <w:r w:rsidR="00742977" w:rsidRPr="003365D6">
        <w:rPr>
          <w:rFonts w:ascii="Arial" w:hAnsi="Arial"/>
          <w:sz w:val="22"/>
          <w:szCs w:val="22"/>
        </w:rPr>
        <w:t>Patients enrolled into the extension studies who were previously randomised to Remicade were switched to Inflectra.</w:t>
      </w:r>
    </w:p>
    <w:p w:rsidR="00C35B5E" w:rsidRPr="003365D6" w:rsidRDefault="00C35B5E" w:rsidP="00C35B5E">
      <w:pPr>
        <w:pStyle w:val="ListParagraph"/>
        <w:jc w:val="both"/>
        <w:rPr>
          <w:rFonts w:ascii="Arial" w:hAnsi="Arial"/>
          <w:sz w:val="22"/>
          <w:szCs w:val="22"/>
        </w:rPr>
      </w:pPr>
    </w:p>
    <w:p w:rsidR="00C35B5E" w:rsidRPr="003365D6" w:rsidRDefault="00C35B5E" w:rsidP="00526CD0">
      <w:pPr>
        <w:pStyle w:val="ListParagraph"/>
        <w:numPr>
          <w:ilvl w:val="1"/>
          <w:numId w:val="2"/>
        </w:numPr>
        <w:jc w:val="both"/>
        <w:rPr>
          <w:rFonts w:ascii="Arial" w:hAnsi="Arial"/>
          <w:sz w:val="22"/>
          <w:szCs w:val="22"/>
        </w:rPr>
      </w:pPr>
      <w:r w:rsidRPr="003365D6">
        <w:rPr>
          <w:rFonts w:ascii="Arial" w:hAnsi="Arial"/>
          <w:sz w:val="22"/>
          <w:szCs w:val="22"/>
        </w:rPr>
        <w:t>A search of clinical trial registries found the following studies:</w:t>
      </w:r>
    </w:p>
    <w:p w:rsidR="00C35B5E" w:rsidRPr="003365D6" w:rsidRDefault="00C35B5E" w:rsidP="00A23869">
      <w:pPr>
        <w:pStyle w:val="ListParagraph"/>
        <w:numPr>
          <w:ilvl w:val="2"/>
          <w:numId w:val="28"/>
        </w:numPr>
        <w:jc w:val="both"/>
        <w:rPr>
          <w:rFonts w:ascii="Arial" w:hAnsi="Arial"/>
          <w:sz w:val="22"/>
          <w:szCs w:val="22"/>
        </w:rPr>
      </w:pPr>
      <w:r w:rsidRPr="003365D6">
        <w:rPr>
          <w:rFonts w:ascii="Arial" w:hAnsi="Arial"/>
          <w:sz w:val="22"/>
          <w:szCs w:val="22"/>
        </w:rPr>
        <w:t xml:space="preserve">NCT02452151 – a </w:t>
      </w:r>
      <w:r w:rsidR="00EF56FA" w:rsidRPr="003365D6">
        <w:rPr>
          <w:rFonts w:ascii="Arial" w:hAnsi="Arial"/>
          <w:sz w:val="22"/>
          <w:szCs w:val="22"/>
        </w:rPr>
        <w:t xml:space="preserve">randomised phase IV study </w:t>
      </w:r>
      <w:r w:rsidRPr="003365D6">
        <w:rPr>
          <w:rFonts w:ascii="Arial" w:hAnsi="Arial"/>
          <w:sz w:val="22"/>
          <w:szCs w:val="22"/>
        </w:rPr>
        <w:t>comparing</w:t>
      </w:r>
      <w:r w:rsidR="00EF56FA" w:rsidRPr="003365D6">
        <w:rPr>
          <w:rFonts w:ascii="Arial" w:hAnsi="Arial"/>
          <w:sz w:val="22"/>
          <w:szCs w:val="22"/>
        </w:rPr>
        <w:t xml:space="preserve"> Inflectra </w:t>
      </w:r>
      <w:r w:rsidRPr="003365D6">
        <w:rPr>
          <w:rFonts w:ascii="Arial" w:hAnsi="Arial"/>
          <w:sz w:val="22"/>
          <w:szCs w:val="22"/>
        </w:rPr>
        <w:t>with</w:t>
      </w:r>
      <w:r w:rsidR="00EF56FA" w:rsidRPr="003365D6">
        <w:rPr>
          <w:rFonts w:ascii="Arial" w:hAnsi="Arial"/>
          <w:sz w:val="22"/>
          <w:szCs w:val="22"/>
        </w:rPr>
        <w:t xml:space="preserve"> Remicade in patients with ulcerative colitis or Crohn’s disease</w:t>
      </w:r>
      <w:r w:rsidRPr="003365D6">
        <w:rPr>
          <w:rFonts w:ascii="Arial" w:hAnsi="Arial"/>
          <w:sz w:val="22"/>
          <w:szCs w:val="22"/>
        </w:rPr>
        <w:t xml:space="preserve"> (yet to begin recruitment).</w:t>
      </w:r>
    </w:p>
    <w:p w:rsidR="0076420C" w:rsidRPr="003365D6" w:rsidRDefault="00C35B5E" w:rsidP="00A23869">
      <w:pPr>
        <w:pStyle w:val="ListParagraph"/>
        <w:numPr>
          <w:ilvl w:val="2"/>
          <w:numId w:val="28"/>
        </w:numPr>
        <w:jc w:val="both"/>
        <w:rPr>
          <w:rFonts w:ascii="Arial" w:hAnsi="Arial"/>
          <w:sz w:val="22"/>
          <w:szCs w:val="22"/>
        </w:rPr>
      </w:pPr>
      <w:r w:rsidRPr="003365D6">
        <w:rPr>
          <w:rFonts w:ascii="Arial" w:hAnsi="Arial"/>
          <w:sz w:val="22"/>
          <w:szCs w:val="22"/>
        </w:rPr>
        <w:t xml:space="preserve">NCT02096861 – a </w:t>
      </w:r>
      <w:r w:rsidR="00EF56FA" w:rsidRPr="003365D6">
        <w:rPr>
          <w:rFonts w:ascii="Arial" w:hAnsi="Arial"/>
          <w:sz w:val="22"/>
          <w:szCs w:val="22"/>
        </w:rPr>
        <w:t xml:space="preserve">randomised phase III study </w:t>
      </w:r>
      <w:r w:rsidRPr="003365D6">
        <w:rPr>
          <w:rFonts w:ascii="Arial" w:hAnsi="Arial"/>
          <w:sz w:val="22"/>
          <w:szCs w:val="22"/>
        </w:rPr>
        <w:t>comparing</w:t>
      </w:r>
      <w:r w:rsidR="00EF56FA" w:rsidRPr="003365D6">
        <w:rPr>
          <w:rFonts w:ascii="Arial" w:hAnsi="Arial"/>
          <w:sz w:val="22"/>
          <w:szCs w:val="22"/>
        </w:rPr>
        <w:t xml:space="preserve"> Inflectra with </w:t>
      </w:r>
      <w:r w:rsidRPr="003365D6">
        <w:rPr>
          <w:rFonts w:ascii="Arial" w:hAnsi="Arial"/>
          <w:sz w:val="22"/>
          <w:szCs w:val="22"/>
        </w:rPr>
        <w:t>Remicade</w:t>
      </w:r>
      <w:r w:rsidR="00EF56FA" w:rsidRPr="003365D6">
        <w:rPr>
          <w:rFonts w:ascii="Arial" w:hAnsi="Arial"/>
          <w:sz w:val="22"/>
          <w:szCs w:val="22"/>
        </w:rPr>
        <w:t xml:space="preserve"> in patients with Crohn’s disease </w:t>
      </w:r>
      <w:r w:rsidRPr="003365D6">
        <w:rPr>
          <w:rFonts w:ascii="Arial" w:hAnsi="Arial"/>
          <w:sz w:val="22"/>
          <w:szCs w:val="22"/>
        </w:rPr>
        <w:t>(</w:t>
      </w:r>
      <w:r w:rsidR="00EF56FA" w:rsidRPr="003365D6">
        <w:rPr>
          <w:rFonts w:ascii="Arial" w:hAnsi="Arial"/>
          <w:sz w:val="22"/>
          <w:szCs w:val="22"/>
        </w:rPr>
        <w:t>expected completion date of March 2017</w:t>
      </w:r>
      <w:r w:rsidRPr="003365D6">
        <w:rPr>
          <w:rFonts w:ascii="Arial" w:hAnsi="Arial"/>
          <w:sz w:val="22"/>
          <w:szCs w:val="22"/>
        </w:rPr>
        <w:t>)</w:t>
      </w:r>
      <w:r w:rsidR="00EF56FA" w:rsidRPr="003365D6">
        <w:rPr>
          <w:rFonts w:ascii="Arial" w:hAnsi="Arial"/>
          <w:sz w:val="22"/>
          <w:szCs w:val="22"/>
        </w:rPr>
        <w:t>.</w:t>
      </w:r>
    </w:p>
    <w:p w:rsidR="00C35B5E" w:rsidRPr="003365D6" w:rsidRDefault="00C35B5E" w:rsidP="00A23869">
      <w:pPr>
        <w:pStyle w:val="ListParagraph"/>
        <w:numPr>
          <w:ilvl w:val="2"/>
          <w:numId w:val="28"/>
        </w:numPr>
        <w:jc w:val="both"/>
        <w:rPr>
          <w:rFonts w:ascii="Arial" w:hAnsi="Arial"/>
          <w:sz w:val="22"/>
          <w:szCs w:val="22"/>
        </w:rPr>
      </w:pPr>
      <w:r w:rsidRPr="003365D6">
        <w:rPr>
          <w:rFonts w:ascii="Arial" w:hAnsi="Arial"/>
          <w:sz w:val="22"/>
          <w:szCs w:val="22"/>
        </w:rPr>
        <w:t xml:space="preserve">NCT02148640 – a randomised, double blind study to evaluate the switching from Remicade to Inflectra in patients with rheumatoid arthritis, spondyloarthritis, psoriatic arthritis, ulcerative colitis, Crohn’s </w:t>
      </w:r>
      <w:r w:rsidR="00981EEA" w:rsidRPr="003365D6">
        <w:rPr>
          <w:rFonts w:ascii="Arial" w:hAnsi="Arial"/>
          <w:sz w:val="22"/>
          <w:szCs w:val="22"/>
        </w:rPr>
        <w:t>disease</w:t>
      </w:r>
      <w:r w:rsidRPr="003365D6">
        <w:rPr>
          <w:rFonts w:ascii="Arial" w:hAnsi="Arial"/>
          <w:sz w:val="22"/>
          <w:szCs w:val="22"/>
        </w:rPr>
        <w:t xml:space="preserve"> and psoriasis (NOR-SWITCH study). The estimated completion date for this study is May 2016.</w:t>
      </w:r>
    </w:p>
    <w:p w:rsidR="0076420C" w:rsidRPr="003365D6" w:rsidRDefault="0076420C" w:rsidP="0076420C">
      <w:pPr>
        <w:ind w:left="709"/>
        <w:jc w:val="both"/>
        <w:rPr>
          <w:rFonts w:ascii="Arial" w:hAnsi="Arial"/>
          <w:sz w:val="22"/>
          <w:szCs w:val="22"/>
        </w:rPr>
      </w:pPr>
    </w:p>
    <w:p w:rsidR="005A0A06" w:rsidRPr="003365D6" w:rsidRDefault="005A0A06" w:rsidP="004230F5">
      <w:pPr>
        <w:pStyle w:val="NoSpacing"/>
        <w:keepNext/>
        <w:ind w:left="709"/>
        <w:rPr>
          <w:rFonts w:ascii="Arial Narrow" w:hAnsi="Arial Narrow"/>
          <w:b/>
          <w:sz w:val="20"/>
        </w:rPr>
      </w:pPr>
      <w:bookmarkStart w:id="1" w:name="_Ref421119839"/>
      <w:r w:rsidRPr="003365D6">
        <w:rPr>
          <w:rFonts w:ascii="Arial Narrow" w:hAnsi="Arial Narrow"/>
          <w:b/>
          <w:sz w:val="20"/>
        </w:rPr>
        <w:t xml:space="preserve">Table </w:t>
      </w:r>
      <w:bookmarkEnd w:id="1"/>
      <w:r w:rsidR="009346CC" w:rsidRPr="003365D6">
        <w:rPr>
          <w:rFonts w:ascii="Arial Narrow" w:hAnsi="Arial Narrow"/>
          <w:b/>
          <w:sz w:val="20"/>
        </w:rPr>
        <w:t>1</w:t>
      </w:r>
      <w:r w:rsidR="00DA1992">
        <w:rPr>
          <w:rFonts w:ascii="Arial Narrow" w:hAnsi="Arial Narrow"/>
          <w:b/>
          <w:sz w:val="20"/>
        </w:rPr>
        <w:t>:</w:t>
      </w:r>
      <w:r w:rsidRPr="003365D6">
        <w:rPr>
          <w:rFonts w:ascii="Arial Narrow" w:hAnsi="Arial Narrow"/>
          <w:b/>
          <w:sz w:val="20"/>
        </w:rPr>
        <w:tab/>
        <w:t xml:space="preserve">Trials and </w:t>
      </w:r>
      <w:r w:rsidRPr="003365D6">
        <w:rPr>
          <w:rStyle w:val="CommentReference"/>
        </w:rPr>
        <w:t>associated</w:t>
      </w:r>
      <w:r w:rsidRPr="003365D6">
        <w:rPr>
          <w:rFonts w:ascii="Arial Narrow" w:hAnsi="Arial Narrow"/>
          <w:b/>
          <w:sz w:val="20"/>
        </w:rPr>
        <w:t xml:space="preserve"> reports presented in the minor </w:t>
      </w:r>
      <w:r w:rsidRPr="003365D6">
        <w:rPr>
          <w:rStyle w:val="CommentReference"/>
        </w:rPr>
        <w:t>submission</w:t>
      </w:r>
    </w:p>
    <w:tbl>
      <w:tblPr>
        <w:tblW w:w="4525"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76420C" w:rsidRPr="003365D6" w:rsidTr="00EA6FDA">
        <w:trPr>
          <w:cantSplit/>
          <w:tblHeader/>
        </w:trPr>
        <w:tc>
          <w:tcPr>
            <w:tcW w:w="1701" w:type="dxa"/>
          </w:tcPr>
          <w:p w:rsidR="0076420C" w:rsidRPr="003365D6" w:rsidRDefault="0076420C" w:rsidP="00D84934">
            <w:pPr>
              <w:pStyle w:val="NoSpacing"/>
              <w:rPr>
                <w:rFonts w:ascii="Arial Narrow" w:hAnsi="Arial Narrow"/>
                <w:b/>
                <w:sz w:val="20"/>
                <w:szCs w:val="20"/>
              </w:rPr>
            </w:pPr>
            <w:r w:rsidRPr="003365D6">
              <w:rPr>
                <w:rFonts w:ascii="Arial Narrow" w:hAnsi="Arial Narrow"/>
                <w:b/>
                <w:sz w:val="20"/>
                <w:szCs w:val="20"/>
              </w:rPr>
              <w:t>Trial ID</w:t>
            </w:r>
          </w:p>
        </w:tc>
        <w:tc>
          <w:tcPr>
            <w:tcW w:w="4820" w:type="dxa"/>
          </w:tcPr>
          <w:p w:rsidR="0076420C" w:rsidRPr="003365D6" w:rsidRDefault="0076420C" w:rsidP="0062748A">
            <w:pPr>
              <w:keepNext/>
              <w:jc w:val="center"/>
              <w:rPr>
                <w:rFonts w:ascii="Arial Narrow" w:hAnsi="Arial Narrow"/>
                <w:b/>
                <w:sz w:val="20"/>
                <w:szCs w:val="20"/>
              </w:rPr>
            </w:pPr>
            <w:r w:rsidRPr="003365D6">
              <w:rPr>
                <w:rFonts w:ascii="Arial Narrow" w:hAnsi="Arial Narrow"/>
                <w:b/>
                <w:sz w:val="20"/>
                <w:szCs w:val="20"/>
              </w:rPr>
              <w:t>Protocol title/ Publication title</w:t>
            </w:r>
          </w:p>
        </w:tc>
        <w:tc>
          <w:tcPr>
            <w:tcW w:w="1843" w:type="dxa"/>
          </w:tcPr>
          <w:p w:rsidR="0076420C" w:rsidRPr="003365D6" w:rsidRDefault="0076420C" w:rsidP="0062748A">
            <w:pPr>
              <w:keepNext/>
              <w:rPr>
                <w:rFonts w:ascii="Arial Narrow" w:hAnsi="Arial Narrow"/>
                <w:b/>
                <w:sz w:val="20"/>
                <w:szCs w:val="20"/>
              </w:rPr>
            </w:pPr>
            <w:r w:rsidRPr="003365D6">
              <w:rPr>
                <w:rFonts w:ascii="Arial Narrow" w:hAnsi="Arial Narrow"/>
                <w:b/>
                <w:sz w:val="20"/>
                <w:szCs w:val="20"/>
              </w:rPr>
              <w:t>Publication citation</w:t>
            </w:r>
          </w:p>
        </w:tc>
      </w:tr>
      <w:tr w:rsidR="0076420C" w:rsidRPr="003365D6" w:rsidTr="00EA6FDA">
        <w:trPr>
          <w:cantSplit/>
        </w:trPr>
        <w:tc>
          <w:tcPr>
            <w:tcW w:w="8364" w:type="dxa"/>
            <w:gridSpan w:val="3"/>
          </w:tcPr>
          <w:p w:rsidR="0076420C" w:rsidRPr="003365D6" w:rsidRDefault="0076420C" w:rsidP="00D84934">
            <w:pPr>
              <w:pStyle w:val="NoSpacing"/>
              <w:rPr>
                <w:rFonts w:ascii="Arial Narrow" w:hAnsi="Arial Narrow"/>
                <w:b/>
                <w:sz w:val="20"/>
                <w:szCs w:val="20"/>
              </w:rPr>
            </w:pPr>
            <w:r w:rsidRPr="003365D6">
              <w:rPr>
                <w:rFonts w:ascii="Arial Narrow" w:hAnsi="Arial Narrow"/>
                <w:b/>
                <w:sz w:val="20"/>
                <w:szCs w:val="20"/>
              </w:rPr>
              <w:t>Direct randomised trials</w:t>
            </w:r>
          </w:p>
        </w:tc>
      </w:tr>
      <w:tr w:rsidR="005F372E" w:rsidRPr="003365D6" w:rsidTr="00EA6FDA">
        <w:trPr>
          <w:cantSplit/>
        </w:trPr>
        <w:tc>
          <w:tcPr>
            <w:tcW w:w="1701" w:type="dxa"/>
          </w:tcPr>
          <w:p w:rsidR="005F372E" w:rsidRPr="003365D6" w:rsidRDefault="005F372E" w:rsidP="00D84934">
            <w:pPr>
              <w:pStyle w:val="NoSpacing"/>
              <w:rPr>
                <w:rFonts w:ascii="Arial Narrow" w:hAnsi="Arial Narrow"/>
                <w:b/>
                <w:sz w:val="20"/>
                <w:szCs w:val="20"/>
              </w:rPr>
            </w:pPr>
            <w:r w:rsidRPr="003365D6">
              <w:rPr>
                <w:rFonts w:ascii="Arial Narrow" w:hAnsi="Arial Narrow"/>
                <w:b/>
                <w:sz w:val="20"/>
                <w:szCs w:val="20"/>
              </w:rPr>
              <w:t>Study CT-P13 1.2</w:t>
            </w:r>
          </w:p>
          <w:p w:rsidR="005F372E" w:rsidRPr="003365D6" w:rsidRDefault="005F372E" w:rsidP="00D84934">
            <w:pPr>
              <w:pStyle w:val="NoSpacing"/>
              <w:rPr>
                <w:rFonts w:ascii="Arial Narrow" w:hAnsi="Arial Narrow"/>
                <w:sz w:val="20"/>
                <w:szCs w:val="20"/>
              </w:rPr>
            </w:pPr>
            <w:r w:rsidRPr="003365D6">
              <w:rPr>
                <w:rFonts w:ascii="Arial Narrow" w:hAnsi="Arial Narrow"/>
                <w:sz w:val="20"/>
                <w:szCs w:val="20"/>
              </w:rPr>
              <w:t>(no publications)</w:t>
            </w:r>
          </w:p>
          <w:p w:rsidR="00AF5A81" w:rsidRPr="003365D6" w:rsidRDefault="00AF5A81" w:rsidP="00D84934">
            <w:pPr>
              <w:pStyle w:val="NoSpacing"/>
              <w:rPr>
                <w:rFonts w:ascii="Arial Narrow" w:hAnsi="Arial Narrow"/>
                <w:sz w:val="20"/>
                <w:szCs w:val="20"/>
              </w:rPr>
            </w:pPr>
          </w:p>
          <w:p w:rsidR="00AF5A81" w:rsidRPr="003365D6" w:rsidRDefault="00AF5A81" w:rsidP="00D84934">
            <w:pPr>
              <w:pStyle w:val="NoSpacing"/>
              <w:rPr>
                <w:rFonts w:ascii="Arial Narrow" w:hAnsi="Arial Narrow"/>
                <w:sz w:val="20"/>
                <w:szCs w:val="20"/>
              </w:rPr>
            </w:pPr>
            <w:r w:rsidRPr="003365D6">
              <w:rPr>
                <w:rFonts w:ascii="Arial Narrow" w:hAnsi="Arial Narrow"/>
                <w:sz w:val="20"/>
                <w:szCs w:val="20"/>
              </w:rPr>
              <w:t>(Study 1.2)</w:t>
            </w:r>
          </w:p>
          <w:p w:rsidR="00742977" w:rsidRPr="003365D6" w:rsidRDefault="00742977" w:rsidP="00D84934">
            <w:pPr>
              <w:pStyle w:val="NoSpacing"/>
              <w:rPr>
                <w:rFonts w:ascii="Arial Narrow" w:hAnsi="Arial Narrow"/>
                <w:sz w:val="20"/>
                <w:szCs w:val="20"/>
              </w:rPr>
            </w:pPr>
          </w:p>
          <w:p w:rsidR="00742977" w:rsidRPr="003365D6" w:rsidRDefault="00742977" w:rsidP="00D84934">
            <w:pPr>
              <w:pStyle w:val="NoSpacing"/>
              <w:rPr>
                <w:rFonts w:ascii="Arial Narrow" w:hAnsi="Arial Narrow"/>
                <w:sz w:val="20"/>
                <w:szCs w:val="20"/>
              </w:rPr>
            </w:pPr>
            <w:r w:rsidRPr="003365D6">
              <w:rPr>
                <w:rFonts w:ascii="Arial Narrow" w:hAnsi="Arial Narrow"/>
                <w:sz w:val="20"/>
                <w:szCs w:val="20"/>
              </w:rPr>
              <w:t>Rheumatoid arthritis</w:t>
            </w:r>
          </w:p>
        </w:tc>
        <w:tc>
          <w:tcPr>
            <w:tcW w:w="4820" w:type="dxa"/>
          </w:tcPr>
          <w:p w:rsidR="00584A65" w:rsidRPr="00626C74" w:rsidRDefault="00584A65" w:rsidP="00782A39">
            <w:pPr>
              <w:pStyle w:val="Table"/>
              <w:rPr>
                <w:rStyle w:val="SmallBold"/>
                <w:rFonts w:ascii="Arial Narrow" w:hAnsi="Arial Narrow"/>
                <w:b w:val="0"/>
                <w:szCs w:val="20"/>
              </w:rPr>
            </w:pPr>
            <w:r w:rsidRPr="003365D6">
              <w:rPr>
                <w:rStyle w:val="SmallBold"/>
                <w:rFonts w:ascii="Arial Narrow" w:hAnsi="Arial Narrow"/>
                <w:szCs w:val="20"/>
              </w:rPr>
              <w:t>EMA EPAR</w:t>
            </w:r>
          </w:p>
          <w:p w:rsidR="00D8392D" w:rsidRPr="003365D6" w:rsidRDefault="005F372E" w:rsidP="00782A39">
            <w:pPr>
              <w:pStyle w:val="Table"/>
              <w:rPr>
                <w:rStyle w:val="Small"/>
                <w:rFonts w:ascii="Arial Narrow" w:hAnsi="Arial Narrow"/>
                <w:szCs w:val="20"/>
              </w:rPr>
            </w:pPr>
            <w:r w:rsidRPr="003365D6">
              <w:rPr>
                <w:rStyle w:val="Small"/>
                <w:rFonts w:ascii="Arial Narrow" w:hAnsi="Arial Narrow"/>
                <w:szCs w:val="20"/>
              </w:rPr>
              <w:t>A randomized, double-blind, parallel-group, Phase 1 study to evaluate the initial pharmacokinetics, efficacy, and safety of CT-P13 compared with Remicade when co-administered with methotrexate in patients with active rheumatoid arthritis: interim data as reported in EMA EPAR (27 June 2013)</w:t>
            </w:r>
          </w:p>
          <w:p w:rsidR="000717E6" w:rsidRPr="003365D6" w:rsidRDefault="000717E6" w:rsidP="000717E6">
            <w:pPr>
              <w:pStyle w:val="Table"/>
              <w:rPr>
                <w:rStyle w:val="SmallBold"/>
                <w:rFonts w:ascii="Arial Narrow" w:hAnsi="Arial Narrow"/>
                <w:b w:val="0"/>
                <w:szCs w:val="20"/>
              </w:rPr>
            </w:pPr>
            <w:r w:rsidRPr="003365D6">
              <w:rPr>
                <w:rStyle w:val="SmallBold"/>
                <w:rFonts w:ascii="Arial Narrow" w:hAnsi="Arial Narrow"/>
                <w:szCs w:val="20"/>
              </w:rPr>
              <w:t>Clinical Study Report</w:t>
            </w:r>
            <w:r w:rsidRPr="003365D6">
              <w:rPr>
                <w:rStyle w:val="SmallBold"/>
                <w:rFonts w:ascii="Arial Narrow" w:hAnsi="Arial Narrow"/>
                <w:b w:val="0"/>
                <w:szCs w:val="20"/>
              </w:rPr>
              <w:t xml:space="preserve"> (CT-P13 1.2)</w:t>
            </w:r>
          </w:p>
          <w:p w:rsidR="000717E6" w:rsidRPr="003365D6" w:rsidRDefault="000717E6" w:rsidP="000717E6">
            <w:pPr>
              <w:pStyle w:val="Table"/>
              <w:rPr>
                <w:rStyle w:val="Small"/>
                <w:rFonts w:ascii="Arial Narrow" w:hAnsi="Arial Narrow"/>
                <w:szCs w:val="20"/>
              </w:rPr>
            </w:pPr>
            <w:r w:rsidRPr="003365D6">
              <w:rPr>
                <w:rStyle w:val="Small"/>
                <w:rFonts w:ascii="Arial Narrow" w:hAnsi="Arial Narrow"/>
                <w:szCs w:val="20"/>
              </w:rPr>
              <w:t>A Randomized, Double-Blind, Parallel-Group, Phase I Study to</w:t>
            </w:r>
          </w:p>
          <w:p w:rsidR="000717E6" w:rsidRPr="003365D6" w:rsidRDefault="000717E6" w:rsidP="000717E6">
            <w:pPr>
              <w:pStyle w:val="Table"/>
              <w:rPr>
                <w:rStyle w:val="Small"/>
                <w:rFonts w:ascii="Arial Narrow" w:hAnsi="Arial Narrow"/>
                <w:szCs w:val="20"/>
              </w:rPr>
            </w:pPr>
            <w:r w:rsidRPr="003365D6">
              <w:rPr>
                <w:rStyle w:val="Small"/>
                <w:rFonts w:ascii="Arial Narrow" w:hAnsi="Arial Narrow"/>
                <w:szCs w:val="20"/>
              </w:rPr>
              <w:t>Evaluate the Initial Pharmacokinetics, Efficacy, and Safety of CT-P13 Compared With Remicade When Co-administered With Methotrexate in Patients With Active Rheumatoid Arthritis</w:t>
            </w:r>
          </w:p>
        </w:tc>
        <w:tc>
          <w:tcPr>
            <w:tcW w:w="1843" w:type="dxa"/>
          </w:tcPr>
          <w:p w:rsidR="005F372E" w:rsidRPr="003365D6" w:rsidRDefault="00373B39" w:rsidP="0062748A">
            <w:pPr>
              <w:keepNext/>
              <w:rPr>
                <w:rFonts w:ascii="Arial Narrow" w:hAnsi="Arial Narrow"/>
                <w:sz w:val="20"/>
                <w:szCs w:val="20"/>
              </w:rPr>
            </w:pPr>
            <w:r w:rsidRPr="003365D6">
              <w:rPr>
                <w:rFonts w:ascii="Arial Narrow" w:hAnsi="Arial Narrow"/>
                <w:sz w:val="20"/>
                <w:szCs w:val="20"/>
              </w:rPr>
              <w:t xml:space="preserve">EMA EPAR 27 June 2013 - </w:t>
            </w:r>
            <w:r w:rsidR="007C1A04" w:rsidRPr="003365D6">
              <w:rPr>
                <w:rFonts w:ascii="Arial Narrow" w:hAnsi="Arial Narrow"/>
                <w:sz w:val="20"/>
                <w:szCs w:val="20"/>
              </w:rPr>
              <w:t xml:space="preserve">provided with </w:t>
            </w:r>
            <w:r w:rsidR="00AF5A81" w:rsidRPr="003365D6">
              <w:rPr>
                <w:rFonts w:ascii="Arial Narrow" w:hAnsi="Arial Narrow"/>
                <w:sz w:val="20"/>
                <w:szCs w:val="20"/>
              </w:rPr>
              <w:t xml:space="preserve">minor </w:t>
            </w:r>
            <w:r w:rsidR="007C1A04" w:rsidRPr="003365D6">
              <w:rPr>
                <w:rFonts w:ascii="Arial Narrow" w:hAnsi="Arial Narrow"/>
                <w:sz w:val="20"/>
                <w:szCs w:val="20"/>
              </w:rPr>
              <w:t>submission.</w:t>
            </w:r>
          </w:p>
          <w:p w:rsidR="00584A65" w:rsidRPr="003365D6" w:rsidRDefault="00584A65" w:rsidP="00373B39">
            <w:pPr>
              <w:keepNext/>
              <w:rPr>
                <w:rFonts w:ascii="Arial Narrow" w:hAnsi="Arial Narrow"/>
                <w:sz w:val="20"/>
                <w:szCs w:val="20"/>
              </w:rPr>
            </w:pPr>
          </w:p>
          <w:p w:rsidR="007C1A04" w:rsidRPr="003365D6" w:rsidRDefault="00373B39" w:rsidP="0036384E">
            <w:pPr>
              <w:keepNext/>
              <w:rPr>
                <w:rFonts w:ascii="Arial Narrow" w:hAnsi="Arial Narrow"/>
                <w:sz w:val="20"/>
                <w:szCs w:val="20"/>
              </w:rPr>
            </w:pPr>
            <w:r w:rsidRPr="003365D6">
              <w:rPr>
                <w:rFonts w:ascii="Arial Narrow" w:hAnsi="Arial Narrow"/>
                <w:sz w:val="20"/>
                <w:szCs w:val="20"/>
              </w:rPr>
              <w:t xml:space="preserve">CSR 13 December 2013 </w:t>
            </w:r>
          </w:p>
        </w:tc>
      </w:tr>
      <w:tr w:rsidR="007C1A04" w:rsidRPr="003365D6" w:rsidTr="00EA6FDA">
        <w:trPr>
          <w:cantSplit/>
          <w:trHeight w:val="1064"/>
        </w:trPr>
        <w:tc>
          <w:tcPr>
            <w:tcW w:w="1701" w:type="dxa"/>
            <w:vMerge w:val="restart"/>
          </w:tcPr>
          <w:p w:rsidR="007C1A04" w:rsidRPr="003365D6" w:rsidRDefault="007C1A04" w:rsidP="00D84934">
            <w:pPr>
              <w:pStyle w:val="NoSpacing"/>
              <w:rPr>
                <w:rFonts w:ascii="Arial Narrow" w:hAnsi="Arial Narrow"/>
                <w:b/>
                <w:sz w:val="20"/>
                <w:szCs w:val="20"/>
              </w:rPr>
            </w:pPr>
            <w:r w:rsidRPr="003365D6">
              <w:rPr>
                <w:rFonts w:ascii="Arial Narrow" w:hAnsi="Arial Narrow"/>
                <w:b/>
                <w:sz w:val="20"/>
                <w:szCs w:val="20"/>
              </w:rPr>
              <w:t>Study CT-P13 1.1</w:t>
            </w:r>
          </w:p>
          <w:p w:rsidR="007C1A04" w:rsidRPr="003365D6" w:rsidRDefault="007C1A04" w:rsidP="00A0563A">
            <w:pPr>
              <w:pStyle w:val="NoSpacing"/>
              <w:rPr>
                <w:rFonts w:ascii="Arial Narrow" w:hAnsi="Arial Narrow"/>
                <w:sz w:val="20"/>
                <w:szCs w:val="20"/>
              </w:rPr>
            </w:pPr>
            <w:r w:rsidRPr="003365D6">
              <w:rPr>
                <w:rFonts w:ascii="Arial Narrow" w:hAnsi="Arial Narrow"/>
                <w:sz w:val="20"/>
                <w:szCs w:val="20"/>
              </w:rPr>
              <w:t>Yoo et al 2013</w:t>
            </w:r>
            <w:r w:rsidR="00F342E0" w:rsidRPr="003365D6">
              <w:rPr>
                <w:rFonts w:ascii="Arial Narrow" w:hAnsi="Arial Narrow"/>
                <w:noProof/>
                <w:sz w:val="20"/>
                <w:szCs w:val="20"/>
                <w:vertAlign w:val="superscript"/>
              </w:rPr>
              <w:t>4</w:t>
            </w:r>
          </w:p>
          <w:p w:rsidR="00AF5A81" w:rsidRPr="003365D6" w:rsidRDefault="00AF5A81" w:rsidP="00A0563A">
            <w:pPr>
              <w:pStyle w:val="NoSpacing"/>
              <w:rPr>
                <w:rFonts w:ascii="Arial Narrow" w:hAnsi="Arial Narrow"/>
                <w:sz w:val="20"/>
                <w:szCs w:val="20"/>
              </w:rPr>
            </w:pPr>
          </w:p>
          <w:p w:rsidR="00AF5A81" w:rsidRPr="003365D6" w:rsidRDefault="00AF5A81" w:rsidP="00A0563A">
            <w:pPr>
              <w:pStyle w:val="NoSpacing"/>
              <w:rPr>
                <w:rFonts w:ascii="Arial Narrow" w:hAnsi="Arial Narrow"/>
                <w:sz w:val="20"/>
                <w:szCs w:val="20"/>
              </w:rPr>
            </w:pPr>
            <w:r w:rsidRPr="003365D6">
              <w:rPr>
                <w:rFonts w:ascii="Arial Narrow" w:hAnsi="Arial Narrow"/>
                <w:sz w:val="20"/>
                <w:szCs w:val="20"/>
              </w:rPr>
              <w:t>(Study 1.1)</w:t>
            </w:r>
          </w:p>
          <w:p w:rsidR="00742977" w:rsidRPr="003365D6" w:rsidRDefault="00742977" w:rsidP="00A0563A">
            <w:pPr>
              <w:pStyle w:val="NoSpacing"/>
              <w:rPr>
                <w:rFonts w:ascii="Arial Narrow" w:hAnsi="Arial Narrow"/>
                <w:sz w:val="20"/>
                <w:szCs w:val="20"/>
              </w:rPr>
            </w:pPr>
          </w:p>
          <w:p w:rsidR="00742977" w:rsidRPr="003365D6" w:rsidRDefault="00742977" w:rsidP="00A0563A">
            <w:pPr>
              <w:pStyle w:val="NoSpacing"/>
              <w:rPr>
                <w:rFonts w:ascii="Arial Narrow" w:hAnsi="Arial Narrow"/>
                <w:sz w:val="20"/>
                <w:szCs w:val="20"/>
              </w:rPr>
            </w:pPr>
            <w:r w:rsidRPr="003365D6">
              <w:rPr>
                <w:rFonts w:ascii="Arial Narrow" w:hAnsi="Arial Narrow"/>
                <w:sz w:val="20"/>
                <w:szCs w:val="20"/>
              </w:rPr>
              <w:t>Ankylosing spondylitis</w:t>
            </w:r>
          </w:p>
        </w:tc>
        <w:tc>
          <w:tcPr>
            <w:tcW w:w="4820" w:type="dxa"/>
          </w:tcPr>
          <w:p w:rsidR="007C1A04" w:rsidRPr="003365D6" w:rsidRDefault="007C1A04" w:rsidP="007C1A04">
            <w:pPr>
              <w:keepNext/>
              <w:rPr>
                <w:rStyle w:val="SmallBold"/>
                <w:rFonts w:ascii="Arial Narrow" w:hAnsi="Arial Narrow"/>
                <w:b w:val="0"/>
                <w:szCs w:val="20"/>
              </w:rPr>
            </w:pPr>
            <w:r w:rsidRPr="003365D6">
              <w:rPr>
                <w:rStyle w:val="SmallBold"/>
                <w:rFonts w:ascii="Arial Narrow" w:hAnsi="Arial Narrow"/>
                <w:szCs w:val="20"/>
              </w:rPr>
              <w:t>Clinical Study Report</w:t>
            </w:r>
            <w:r w:rsidRPr="003365D6">
              <w:rPr>
                <w:rStyle w:val="SmallBold"/>
                <w:rFonts w:ascii="Arial Narrow" w:hAnsi="Arial Narrow"/>
                <w:b w:val="0"/>
                <w:szCs w:val="20"/>
              </w:rPr>
              <w:t xml:space="preserve"> (CT-P13 1.1)</w:t>
            </w:r>
          </w:p>
          <w:p w:rsidR="007C1A04" w:rsidRPr="003365D6" w:rsidRDefault="007C1A04" w:rsidP="007C1A04">
            <w:pPr>
              <w:keepNext/>
              <w:rPr>
                <w:rFonts w:ascii="Arial Narrow" w:eastAsiaTheme="majorEastAsia" w:hAnsi="Arial Narrow"/>
                <w:sz w:val="20"/>
                <w:szCs w:val="20"/>
              </w:rPr>
            </w:pPr>
            <w:r w:rsidRPr="003365D6">
              <w:rPr>
                <w:rStyle w:val="Small"/>
                <w:rFonts w:ascii="Arial Narrow" w:eastAsiaTheme="majorEastAsia" w:hAnsi="Arial Narrow"/>
                <w:szCs w:val="20"/>
              </w:rPr>
              <w:t>A Randomized, Double-Blind, Parallel-Group, Phase 1 Study to Demonstrate the Equivalence with Respect to the Pharmacokinetic Profile of CT-P13 and Remicade in Patients with Ankylosing Spondylitis.</w:t>
            </w:r>
          </w:p>
        </w:tc>
        <w:tc>
          <w:tcPr>
            <w:tcW w:w="1843" w:type="dxa"/>
          </w:tcPr>
          <w:p w:rsidR="007C1A04" w:rsidRPr="003365D6" w:rsidRDefault="007C1A04" w:rsidP="0062748A">
            <w:pPr>
              <w:keepNext/>
              <w:rPr>
                <w:rFonts w:ascii="Arial Narrow" w:hAnsi="Arial Narrow"/>
                <w:sz w:val="20"/>
                <w:szCs w:val="20"/>
              </w:rPr>
            </w:pPr>
            <w:r w:rsidRPr="003365D6">
              <w:rPr>
                <w:rFonts w:ascii="Arial Narrow" w:hAnsi="Arial Narrow"/>
                <w:sz w:val="20"/>
                <w:szCs w:val="20"/>
              </w:rPr>
              <w:t>CSR 29 August 2013 (amended final report date)</w:t>
            </w:r>
          </w:p>
        </w:tc>
      </w:tr>
      <w:tr w:rsidR="007C1A04" w:rsidRPr="003365D6" w:rsidTr="00EA6FDA">
        <w:trPr>
          <w:cantSplit/>
          <w:trHeight w:val="1051"/>
        </w:trPr>
        <w:tc>
          <w:tcPr>
            <w:tcW w:w="1701" w:type="dxa"/>
            <w:vMerge/>
          </w:tcPr>
          <w:p w:rsidR="007C1A04" w:rsidRPr="003365D6" w:rsidRDefault="007C1A04" w:rsidP="00D84934">
            <w:pPr>
              <w:pStyle w:val="NoSpacing"/>
              <w:rPr>
                <w:rFonts w:ascii="Arial Narrow" w:hAnsi="Arial Narrow"/>
                <w:sz w:val="20"/>
                <w:szCs w:val="20"/>
              </w:rPr>
            </w:pPr>
          </w:p>
        </w:tc>
        <w:tc>
          <w:tcPr>
            <w:tcW w:w="4820" w:type="dxa"/>
          </w:tcPr>
          <w:p w:rsidR="007C1A04" w:rsidRPr="003365D6" w:rsidRDefault="007C1A04" w:rsidP="00D8392D">
            <w:pPr>
              <w:keepNext/>
              <w:rPr>
                <w:rStyle w:val="SmallBold"/>
                <w:rFonts w:ascii="Arial Narrow" w:hAnsi="Arial Narrow"/>
                <w:szCs w:val="20"/>
              </w:rPr>
            </w:pPr>
            <w:r w:rsidRPr="003365D6">
              <w:rPr>
                <w:rStyle w:val="SmallBold"/>
                <w:rFonts w:ascii="Arial Narrow" w:hAnsi="Arial Narrow"/>
                <w:szCs w:val="20"/>
              </w:rPr>
              <w:t>Primary publication</w:t>
            </w:r>
          </w:p>
          <w:p w:rsidR="007C1A04" w:rsidRPr="003365D6" w:rsidRDefault="007C1A04" w:rsidP="00D8392D">
            <w:pPr>
              <w:keepNext/>
              <w:rPr>
                <w:rStyle w:val="SmallBold"/>
                <w:rFonts w:ascii="Arial Narrow" w:hAnsi="Arial Narrow"/>
                <w:b w:val="0"/>
                <w:szCs w:val="20"/>
              </w:rPr>
            </w:pPr>
            <w:r w:rsidRPr="003365D6">
              <w:rPr>
                <w:rStyle w:val="SmallBold"/>
                <w:rFonts w:ascii="Arial Narrow" w:hAnsi="Arial Narrow"/>
                <w:b w:val="0"/>
                <w:szCs w:val="20"/>
              </w:rPr>
              <w:t>Yoo D, Miranda P, Piotrowski M et al. A randomised, double-blind, parallel-group study to demonstrate equivalence in efficacy and safety of CT-P13 compared with innovator infliximab when coadministered with methotrexate in patients with active rheumatoid arthritis: the PLANETRA study.</w:t>
            </w:r>
          </w:p>
        </w:tc>
        <w:tc>
          <w:tcPr>
            <w:tcW w:w="1843" w:type="dxa"/>
          </w:tcPr>
          <w:p w:rsidR="007C1A04" w:rsidRPr="003365D6" w:rsidRDefault="007C1A04" w:rsidP="0062748A">
            <w:pPr>
              <w:keepNext/>
              <w:rPr>
                <w:rFonts w:ascii="Arial Narrow" w:hAnsi="Arial Narrow"/>
                <w:sz w:val="20"/>
                <w:szCs w:val="20"/>
              </w:rPr>
            </w:pPr>
            <w:r w:rsidRPr="003365D6">
              <w:rPr>
                <w:rFonts w:ascii="Arial Narrow" w:hAnsi="Arial Narrow"/>
                <w:sz w:val="20"/>
                <w:szCs w:val="20"/>
              </w:rPr>
              <w:t>2013</w:t>
            </w:r>
          </w:p>
          <w:p w:rsidR="007C1A04" w:rsidRPr="003365D6" w:rsidRDefault="007C1A04" w:rsidP="00D8392D">
            <w:pPr>
              <w:keepNext/>
              <w:rPr>
                <w:rFonts w:ascii="Arial Narrow" w:hAnsi="Arial Narrow"/>
                <w:sz w:val="20"/>
                <w:szCs w:val="20"/>
              </w:rPr>
            </w:pPr>
            <w:r w:rsidRPr="003365D6">
              <w:rPr>
                <w:rStyle w:val="SmallBold"/>
                <w:rFonts w:ascii="Arial Narrow" w:hAnsi="Arial Narrow"/>
                <w:b w:val="0"/>
                <w:szCs w:val="20"/>
              </w:rPr>
              <w:t xml:space="preserve">Annals of Rheumatic Diseases </w:t>
            </w:r>
            <w:r w:rsidRPr="003365D6">
              <w:rPr>
                <w:rFonts w:ascii="Arial Narrow" w:hAnsi="Arial Narrow" w:cs="Segoe UI"/>
                <w:sz w:val="20"/>
                <w:szCs w:val="20"/>
              </w:rPr>
              <w:t>Oct;72(10):1613-20.</w:t>
            </w:r>
          </w:p>
        </w:tc>
      </w:tr>
      <w:tr w:rsidR="007C1A04" w:rsidRPr="003365D6" w:rsidTr="00EA6FDA">
        <w:trPr>
          <w:cantSplit/>
        </w:trPr>
        <w:tc>
          <w:tcPr>
            <w:tcW w:w="1701" w:type="dxa"/>
            <w:vMerge w:val="restart"/>
          </w:tcPr>
          <w:p w:rsidR="007C1A04" w:rsidRPr="003365D6" w:rsidRDefault="007C1A04" w:rsidP="00D84934">
            <w:pPr>
              <w:pStyle w:val="NoSpacing"/>
              <w:rPr>
                <w:rFonts w:ascii="Arial Narrow" w:hAnsi="Arial Narrow"/>
                <w:b/>
                <w:sz w:val="20"/>
                <w:szCs w:val="20"/>
              </w:rPr>
            </w:pPr>
            <w:r w:rsidRPr="003365D6">
              <w:rPr>
                <w:rFonts w:ascii="Arial Narrow" w:hAnsi="Arial Narrow"/>
                <w:b/>
                <w:sz w:val="20"/>
                <w:szCs w:val="20"/>
              </w:rPr>
              <w:t>Study CT-P13 3.1</w:t>
            </w:r>
          </w:p>
          <w:p w:rsidR="007C1A04" w:rsidRPr="003365D6" w:rsidRDefault="007C1A04" w:rsidP="00A0563A">
            <w:pPr>
              <w:pStyle w:val="NoSpacing"/>
              <w:rPr>
                <w:rFonts w:ascii="Arial Narrow" w:hAnsi="Arial Narrow"/>
                <w:sz w:val="20"/>
                <w:szCs w:val="20"/>
              </w:rPr>
            </w:pPr>
            <w:r w:rsidRPr="003365D6">
              <w:rPr>
                <w:rFonts w:ascii="Arial Narrow" w:hAnsi="Arial Narrow"/>
                <w:sz w:val="20"/>
                <w:szCs w:val="20"/>
              </w:rPr>
              <w:t>Park et al 2013</w:t>
            </w:r>
            <w:r w:rsidR="00F342E0" w:rsidRPr="003365D6">
              <w:rPr>
                <w:rFonts w:ascii="Arial Narrow" w:hAnsi="Arial Narrow"/>
                <w:noProof/>
                <w:sz w:val="20"/>
                <w:szCs w:val="20"/>
                <w:vertAlign w:val="superscript"/>
              </w:rPr>
              <w:t>5</w:t>
            </w:r>
          </w:p>
          <w:p w:rsidR="00AF5A81" w:rsidRPr="003365D6" w:rsidRDefault="00AF5A81" w:rsidP="00A0563A">
            <w:pPr>
              <w:pStyle w:val="NoSpacing"/>
              <w:rPr>
                <w:rFonts w:ascii="Arial Narrow" w:hAnsi="Arial Narrow"/>
                <w:sz w:val="20"/>
                <w:szCs w:val="20"/>
              </w:rPr>
            </w:pPr>
          </w:p>
          <w:p w:rsidR="00AF5A81" w:rsidRPr="003365D6" w:rsidRDefault="00AF5A81" w:rsidP="00A0563A">
            <w:pPr>
              <w:pStyle w:val="NoSpacing"/>
              <w:rPr>
                <w:rFonts w:ascii="Arial Narrow" w:hAnsi="Arial Narrow"/>
                <w:sz w:val="20"/>
                <w:szCs w:val="20"/>
              </w:rPr>
            </w:pPr>
            <w:r w:rsidRPr="003365D6">
              <w:rPr>
                <w:rFonts w:ascii="Arial Narrow" w:hAnsi="Arial Narrow"/>
                <w:sz w:val="20"/>
                <w:szCs w:val="20"/>
              </w:rPr>
              <w:t>(Study 3.1)</w:t>
            </w:r>
          </w:p>
          <w:p w:rsidR="00742977" w:rsidRPr="003365D6" w:rsidRDefault="00742977" w:rsidP="00A0563A">
            <w:pPr>
              <w:pStyle w:val="NoSpacing"/>
              <w:rPr>
                <w:rFonts w:ascii="Arial Narrow" w:hAnsi="Arial Narrow"/>
                <w:sz w:val="20"/>
                <w:szCs w:val="20"/>
              </w:rPr>
            </w:pPr>
          </w:p>
          <w:p w:rsidR="00742977" w:rsidRPr="003365D6" w:rsidRDefault="00742977" w:rsidP="00A0563A">
            <w:pPr>
              <w:pStyle w:val="NoSpacing"/>
              <w:rPr>
                <w:rFonts w:ascii="Arial Narrow" w:hAnsi="Arial Narrow"/>
                <w:sz w:val="20"/>
                <w:szCs w:val="20"/>
              </w:rPr>
            </w:pPr>
            <w:r w:rsidRPr="003365D6">
              <w:rPr>
                <w:rFonts w:ascii="Arial Narrow" w:hAnsi="Arial Narrow"/>
                <w:sz w:val="20"/>
                <w:szCs w:val="20"/>
              </w:rPr>
              <w:t>Rheumatoid arthritis</w:t>
            </w:r>
          </w:p>
        </w:tc>
        <w:tc>
          <w:tcPr>
            <w:tcW w:w="4820" w:type="dxa"/>
          </w:tcPr>
          <w:p w:rsidR="007C1A04" w:rsidRPr="003365D6" w:rsidRDefault="007C1A04" w:rsidP="007C1A04">
            <w:pPr>
              <w:keepNext/>
              <w:rPr>
                <w:rFonts w:ascii="Arial Narrow" w:hAnsi="Arial Narrow"/>
                <w:sz w:val="20"/>
                <w:szCs w:val="20"/>
              </w:rPr>
            </w:pPr>
            <w:r w:rsidRPr="003365D6">
              <w:rPr>
                <w:rFonts w:ascii="Arial Narrow" w:hAnsi="Arial Narrow"/>
                <w:b/>
                <w:sz w:val="20"/>
                <w:szCs w:val="20"/>
              </w:rPr>
              <w:t>Clinical Study Report</w:t>
            </w:r>
            <w:r w:rsidRPr="003365D6">
              <w:rPr>
                <w:rFonts w:ascii="Arial Narrow" w:hAnsi="Arial Narrow"/>
                <w:sz w:val="20"/>
                <w:szCs w:val="20"/>
              </w:rPr>
              <w:t xml:space="preserve"> (CT-P13 3.1)</w:t>
            </w:r>
          </w:p>
          <w:p w:rsidR="007C1A04" w:rsidRPr="003365D6" w:rsidRDefault="007C1A04" w:rsidP="007C1A04">
            <w:pPr>
              <w:keepNext/>
              <w:rPr>
                <w:rFonts w:ascii="Arial Narrow" w:hAnsi="Arial Narrow"/>
                <w:sz w:val="20"/>
                <w:szCs w:val="20"/>
              </w:rPr>
            </w:pPr>
            <w:r w:rsidRPr="003365D6">
              <w:rPr>
                <w:rStyle w:val="Small"/>
                <w:rFonts w:ascii="Arial Narrow" w:eastAsiaTheme="majorEastAsia" w:hAnsi="Arial Narrow"/>
                <w:szCs w:val="20"/>
              </w:rPr>
              <w:t>A Randomized, Double-Blind, Parallel-Group, Phase 3 Study to Demonstrate Equivalence in Efficacy and Safety of CT-P13 Compared with Remicade when Co-administered with Methotrexate in Patients with Active Rheumatoid Arthritis</w:t>
            </w:r>
          </w:p>
        </w:tc>
        <w:tc>
          <w:tcPr>
            <w:tcW w:w="1843" w:type="dxa"/>
          </w:tcPr>
          <w:p w:rsidR="007C1A04" w:rsidRPr="003365D6" w:rsidRDefault="007C1A04" w:rsidP="0062748A">
            <w:pPr>
              <w:keepNext/>
              <w:rPr>
                <w:rFonts w:ascii="Arial Narrow" w:hAnsi="Arial Narrow"/>
                <w:sz w:val="20"/>
                <w:szCs w:val="20"/>
              </w:rPr>
            </w:pPr>
            <w:r w:rsidRPr="003365D6">
              <w:rPr>
                <w:rFonts w:ascii="Arial Narrow" w:hAnsi="Arial Narrow"/>
                <w:sz w:val="20"/>
                <w:szCs w:val="20"/>
              </w:rPr>
              <w:t>CSR 29 August 2013 (amended final report date)</w:t>
            </w:r>
          </w:p>
        </w:tc>
      </w:tr>
      <w:tr w:rsidR="007C1A04" w:rsidRPr="003365D6" w:rsidTr="00EA6FDA">
        <w:trPr>
          <w:cantSplit/>
        </w:trPr>
        <w:tc>
          <w:tcPr>
            <w:tcW w:w="1701" w:type="dxa"/>
            <w:vMerge/>
          </w:tcPr>
          <w:p w:rsidR="007C1A04" w:rsidRPr="003365D6" w:rsidRDefault="007C1A04" w:rsidP="00D84934">
            <w:pPr>
              <w:pStyle w:val="NoSpacing"/>
              <w:rPr>
                <w:rFonts w:ascii="Arial Narrow" w:hAnsi="Arial Narrow"/>
                <w:sz w:val="20"/>
                <w:szCs w:val="20"/>
              </w:rPr>
            </w:pPr>
          </w:p>
        </w:tc>
        <w:tc>
          <w:tcPr>
            <w:tcW w:w="4820" w:type="dxa"/>
          </w:tcPr>
          <w:p w:rsidR="007C1A04" w:rsidRPr="003365D6" w:rsidRDefault="007C1A04" w:rsidP="0062748A">
            <w:pPr>
              <w:keepNext/>
              <w:rPr>
                <w:rFonts w:ascii="Arial Narrow" w:hAnsi="Arial Narrow"/>
                <w:b/>
                <w:sz w:val="20"/>
                <w:szCs w:val="20"/>
              </w:rPr>
            </w:pPr>
            <w:r w:rsidRPr="003365D6">
              <w:rPr>
                <w:rFonts w:ascii="Arial Narrow" w:hAnsi="Arial Narrow"/>
                <w:b/>
                <w:sz w:val="20"/>
                <w:szCs w:val="20"/>
              </w:rPr>
              <w:t>Primary publication</w:t>
            </w:r>
          </w:p>
          <w:p w:rsidR="007C1A04" w:rsidRPr="003365D6" w:rsidRDefault="007C1A04" w:rsidP="007C1A04">
            <w:pPr>
              <w:keepNext/>
              <w:rPr>
                <w:rFonts w:ascii="Arial Narrow" w:hAnsi="Arial Narrow"/>
                <w:sz w:val="20"/>
                <w:szCs w:val="20"/>
              </w:rPr>
            </w:pPr>
            <w:r w:rsidRPr="003365D6">
              <w:rPr>
                <w:rStyle w:val="SmallBold"/>
                <w:rFonts w:ascii="Arial Narrow" w:hAnsi="Arial Narrow"/>
                <w:b w:val="0"/>
                <w:szCs w:val="20"/>
              </w:rPr>
              <w:t>Park W, Hrycaj P, Kovalenko V. A randomised, double-blind, multicentre, parallel-group, prospective study comparing the pharmacokinetics, safety, and efficacy of CT-P13 and innovator infliximab in patients with ankylosing spondylitis: the PLANETAS study.</w:t>
            </w:r>
          </w:p>
        </w:tc>
        <w:tc>
          <w:tcPr>
            <w:tcW w:w="1843" w:type="dxa"/>
          </w:tcPr>
          <w:p w:rsidR="007C1A04" w:rsidRPr="003365D6" w:rsidRDefault="007C1A04" w:rsidP="007C1A04">
            <w:pPr>
              <w:keepNext/>
              <w:rPr>
                <w:rFonts w:ascii="Arial Narrow" w:hAnsi="Arial Narrow" w:cs="Segoe UI"/>
                <w:sz w:val="20"/>
                <w:szCs w:val="20"/>
              </w:rPr>
            </w:pPr>
            <w:r w:rsidRPr="003365D6">
              <w:rPr>
                <w:rFonts w:ascii="Arial Narrow" w:hAnsi="Arial Narrow" w:cs="Segoe UI"/>
                <w:sz w:val="20"/>
                <w:szCs w:val="20"/>
              </w:rPr>
              <w:t>2013</w:t>
            </w:r>
          </w:p>
          <w:p w:rsidR="007C1A04" w:rsidRPr="003365D6" w:rsidRDefault="007C1A04" w:rsidP="007C1A04">
            <w:pPr>
              <w:keepNext/>
              <w:rPr>
                <w:rFonts w:ascii="Arial Narrow" w:hAnsi="Arial Narrow" w:cs="Segoe UI"/>
                <w:sz w:val="20"/>
                <w:szCs w:val="20"/>
              </w:rPr>
            </w:pPr>
            <w:r w:rsidRPr="003365D6">
              <w:rPr>
                <w:rFonts w:ascii="Arial Narrow" w:hAnsi="Arial Narrow" w:cs="Segoe UI"/>
                <w:sz w:val="20"/>
                <w:szCs w:val="20"/>
              </w:rPr>
              <w:t>Annals of Rheumatic Diseases</w:t>
            </w:r>
          </w:p>
          <w:p w:rsidR="007C1A04" w:rsidRPr="003365D6" w:rsidRDefault="007C1A04" w:rsidP="007C1A04">
            <w:pPr>
              <w:keepNext/>
              <w:rPr>
                <w:rFonts w:ascii="Arial Narrow" w:hAnsi="Arial Narrow"/>
                <w:sz w:val="20"/>
                <w:szCs w:val="20"/>
              </w:rPr>
            </w:pPr>
            <w:r w:rsidRPr="003365D6">
              <w:rPr>
                <w:rFonts w:ascii="Arial Narrow" w:hAnsi="Arial Narrow" w:cs="Segoe UI"/>
                <w:sz w:val="20"/>
                <w:szCs w:val="20"/>
              </w:rPr>
              <w:t>Oct;72(10):1605-12.</w:t>
            </w:r>
          </w:p>
        </w:tc>
      </w:tr>
    </w:tbl>
    <w:p w:rsidR="0076420C" w:rsidRPr="003365D6" w:rsidRDefault="0076420C" w:rsidP="0076420C">
      <w:pPr>
        <w:pStyle w:val="ListParagraph"/>
        <w:ind w:left="709"/>
        <w:jc w:val="both"/>
        <w:rPr>
          <w:rFonts w:ascii="Arial" w:hAnsi="Arial"/>
          <w:sz w:val="22"/>
          <w:szCs w:val="22"/>
        </w:rPr>
      </w:pPr>
    </w:p>
    <w:p w:rsidR="00531605" w:rsidRPr="003365D6" w:rsidRDefault="00AE683A" w:rsidP="00F74FF9">
      <w:pPr>
        <w:pStyle w:val="ListParagraph"/>
        <w:numPr>
          <w:ilvl w:val="1"/>
          <w:numId w:val="2"/>
        </w:numPr>
        <w:jc w:val="both"/>
        <w:rPr>
          <w:rFonts w:ascii="Arial" w:hAnsi="Arial"/>
          <w:sz w:val="22"/>
          <w:szCs w:val="22"/>
        </w:rPr>
      </w:pPr>
      <w:r w:rsidRPr="003365D6">
        <w:rPr>
          <w:rFonts w:ascii="Arial" w:hAnsi="Arial"/>
          <w:sz w:val="22"/>
          <w:szCs w:val="22"/>
        </w:rPr>
        <w:t>The key features of Study 1.2</w:t>
      </w:r>
      <w:r w:rsidR="00840882" w:rsidRPr="003365D6">
        <w:rPr>
          <w:rFonts w:ascii="Arial" w:hAnsi="Arial"/>
          <w:sz w:val="22"/>
          <w:szCs w:val="22"/>
        </w:rPr>
        <w:t xml:space="preserve">, </w:t>
      </w:r>
      <w:r w:rsidRPr="003365D6">
        <w:rPr>
          <w:rFonts w:ascii="Arial" w:hAnsi="Arial"/>
          <w:sz w:val="22"/>
          <w:szCs w:val="22"/>
        </w:rPr>
        <w:t>Study</w:t>
      </w:r>
      <w:r w:rsidR="00840882" w:rsidRPr="003365D6">
        <w:rPr>
          <w:rFonts w:ascii="Arial" w:hAnsi="Arial"/>
          <w:sz w:val="22"/>
          <w:szCs w:val="22"/>
        </w:rPr>
        <w:t xml:space="preserve"> 1.1 and </w:t>
      </w:r>
      <w:r w:rsidRPr="003365D6">
        <w:rPr>
          <w:rFonts w:ascii="Arial" w:hAnsi="Arial"/>
          <w:sz w:val="22"/>
          <w:szCs w:val="22"/>
        </w:rPr>
        <w:t>Study</w:t>
      </w:r>
      <w:r w:rsidR="00840882" w:rsidRPr="003365D6">
        <w:rPr>
          <w:rFonts w:ascii="Arial" w:hAnsi="Arial"/>
          <w:sz w:val="22"/>
          <w:szCs w:val="22"/>
        </w:rPr>
        <w:t xml:space="preserve"> 3.1 are presented in</w:t>
      </w:r>
      <w:r w:rsidR="004012E1" w:rsidRPr="003365D6">
        <w:rPr>
          <w:rFonts w:ascii="Arial" w:hAnsi="Arial"/>
          <w:sz w:val="22"/>
          <w:szCs w:val="22"/>
        </w:rPr>
        <w:t xml:space="preserve"> </w:t>
      </w:r>
      <w:r w:rsidR="0036384E" w:rsidRPr="003365D6">
        <w:rPr>
          <w:rFonts w:ascii="Arial" w:hAnsi="Arial"/>
          <w:sz w:val="22"/>
          <w:szCs w:val="22"/>
        </w:rPr>
        <w:t xml:space="preserve"> </w:t>
      </w:r>
      <w:r w:rsidR="00B9612D" w:rsidRPr="003365D6">
        <w:rPr>
          <w:rFonts w:ascii="Arial" w:hAnsi="Arial"/>
          <w:sz w:val="22"/>
          <w:szCs w:val="22"/>
        </w:rPr>
        <w:t xml:space="preserve">Table </w:t>
      </w:r>
      <w:r w:rsidR="009346CC" w:rsidRPr="003365D6">
        <w:rPr>
          <w:rFonts w:ascii="Arial" w:hAnsi="Arial"/>
          <w:sz w:val="22"/>
          <w:szCs w:val="22"/>
        </w:rPr>
        <w:t>2</w:t>
      </w:r>
      <w:r w:rsidR="00840882" w:rsidRPr="003365D6">
        <w:rPr>
          <w:rFonts w:ascii="Arial" w:hAnsi="Arial"/>
          <w:sz w:val="22"/>
          <w:szCs w:val="22"/>
        </w:rPr>
        <w:t xml:space="preserve">.  </w:t>
      </w:r>
      <w:r w:rsidR="002D1B61" w:rsidRPr="003365D6">
        <w:rPr>
          <w:rFonts w:ascii="Arial" w:hAnsi="Arial"/>
          <w:sz w:val="22"/>
          <w:szCs w:val="22"/>
        </w:rPr>
        <w:t>Of particular note:</w:t>
      </w:r>
    </w:p>
    <w:p w:rsidR="002D1B61" w:rsidRPr="003365D6" w:rsidRDefault="002D1B61" w:rsidP="002D1B61">
      <w:pPr>
        <w:jc w:val="both"/>
        <w:rPr>
          <w:rFonts w:ascii="Arial" w:hAnsi="Arial"/>
          <w:sz w:val="22"/>
          <w:szCs w:val="22"/>
        </w:rPr>
      </w:pPr>
    </w:p>
    <w:p w:rsidR="002D1B61" w:rsidRPr="003365D6" w:rsidRDefault="002D1B61" w:rsidP="008B0EC1">
      <w:pPr>
        <w:pStyle w:val="ListParagraph"/>
        <w:jc w:val="both"/>
        <w:rPr>
          <w:rFonts w:ascii="Arial" w:hAnsi="Arial"/>
          <w:sz w:val="22"/>
          <w:szCs w:val="22"/>
        </w:rPr>
      </w:pPr>
      <w:r w:rsidRPr="003365D6">
        <w:rPr>
          <w:rFonts w:ascii="Arial" w:hAnsi="Arial"/>
          <w:sz w:val="22"/>
          <w:szCs w:val="22"/>
        </w:rPr>
        <w:t xml:space="preserve">Study 1.2 and Study 3.1 were conducted in adult patients with active rheumatoid arthritis who were not receiving adequate response </w:t>
      </w:r>
      <w:r w:rsidR="00AF5A81" w:rsidRPr="003365D6">
        <w:rPr>
          <w:rFonts w:ascii="Arial" w:hAnsi="Arial"/>
          <w:sz w:val="22"/>
          <w:szCs w:val="22"/>
        </w:rPr>
        <w:t xml:space="preserve">over at least 3 months </w:t>
      </w:r>
      <w:r w:rsidRPr="003365D6">
        <w:rPr>
          <w:rFonts w:ascii="Arial" w:hAnsi="Arial"/>
          <w:sz w:val="22"/>
          <w:szCs w:val="22"/>
        </w:rPr>
        <w:t>from methotrexate alone.</w:t>
      </w:r>
    </w:p>
    <w:p w:rsidR="00131C39" w:rsidRPr="003365D6" w:rsidRDefault="00131C39" w:rsidP="00131C39">
      <w:pPr>
        <w:ind w:left="720"/>
        <w:jc w:val="both"/>
        <w:rPr>
          <w:rFonts w:ascii="Arial" w:hAnsi="Arial"/>
          <w:sz w:val="22"/>
          <w:szCs w:val="22"/>
        </w:rPr>
      </w:pPr>
    </w:p>
    <w:p w:rsidR="002D1B61" w:rsidRPr="003365D6" w:rsidRDefault="00AF5A81" w:rsidP="00131C39">
      <w:pPr>
        <w:ind w:left="720"/>
        <w:jc w:val="both"/>
        <w:rPr>
          <w:rFonts w:ascii="Arial" w:hAnsi="Arial"/>
          <w:sz w:val="22"/>
          <w:szCs w:val="22"/>
        </w:rPr>
      </w:pPr>
      <w:r w:rsidRPr="003365D6">
        <w:rPr>
          <w:rFonts w:ascii="Arial" w:hAnsi="Arial"/>
          <w:sz w:val="22"/>
          <w:szCs w:val="22"/>
        </w:rPr>
        <w:t xml:space="preserve">With regard to the applicability of the presented evidence </w:t>
      </w:r>
      <w:r w:rsidR="00036872" w:rsidRPr="003365D6">
        <w:rPr>
          <w:rFonts w:ascii="Arial" w:hAnsi="Arial"/>
          <w:sz w:val="22"/>
          <w:szCs w:val="22"/>
        </w:rPr>
        <w:t xml:space="preserve">in patients with rheumatoid arthritis </w:t>
      </w:r>
      <w:r w:rsidRPr="003365D6">
        <w:rPr>
          <w:rFonts w:ascii="Arial" w:hAnsi="Arial"/>
          <w:sz w:val="22"/>
          <w:szCs w:val="22"/>
        </w:rPr>
        <w:t xml:space="preserve">to the current PBS listing of </w:t>
      </w:r>
      <w:r w:rsidR="00036872" w:rsidRPr="003365D6">
        <w:rPr>
          <w:rFonts w:ascii="Arial" w:hAnsi="Arial"/>
          <w:sz w:val="22"/>
          <w:szCs w:val="22"/>
        </w:rPr>
        <w:t>i</w:t>
      </w:r>
      <w:r w:rsidRPr="003365D6">
        <w:rPr>
          <w:rFonts w:ascii="Arial" w:hAnsi="Arial"/>
          <w:sz w:val="22"/>
          <w:szCs w:val="22"/>
        </w:rPr>
        <w:t>nfliximab</w:t>
      </w:r>
      <w:r w:rsidR="005E05FF" w:rsidRPr="003365D6">
        <w:rPr>
          <w:rFonts w:ascii="Arial" w:hAnsi="Arial"/>
          <w:sz w:val="22"/>
          <w:szCs w:val="22"/>
        </w:rPr>
        <w:t>:</w:t>
      </w:r>
    </w:p>
    <w:p w:rsidR="002D1B61" w:rsidRPr="003365D6" w:rsidRDefault="002D1B61" w:rsidP="00526CD0">
      <w:pPr>
        <w:pStyle w:val="ListParagraph"/>
        <w:numPr>
          <w:ilvl w:val="0"/>
          <w:numId w:val="6"/>
        </w:numPr>
        <w:jc w:val="both"/>
        <w:rPr>
          <w:rFonts w:ascii="Arial" w:hAnsi="Arial"/>
          <w:sz w:val="22"/>
          <w:szCs w:val="22"/>
        </w:rPr>
      </w:pPr>
      <w:r w:rsidRPr="003365D6">
        <w:rPr>
          <w:rFonts w:ascii="Arial" w:hAnsi="Arial"/>
          <w:sz w:val="22"/>
          <w:szCs w:val="22"/>
        </w:rPr>
        <w:t>Prior treatment with biologics for RA was an exclusion criterion</w:t>
      </w:r>
      <w:r w:rsidR="001C4284" w:rsidRPr="003365D6">
        <w:rPr>
          <w:rFonts w:ascii="Arial" w:hAnsi="Arial"/>
          <w:sz w:val="22"/>
          <w:szCs w:val="22"/>
        </w:rPr>
        <w:t xml:space="preserve">. </w:t>
      </w:r>
      <w:r w:rsidRPr="003365D6">
        <w:rPr>
          <w:rFonts w:ascii="Arial" w:hAnsi="Arial"/>
          <w:sz w:val="22"/>
          <w:szCs w:val="22"/>
        </w:rPr>
        <w:t xml:space="preserve">The current PBS listing for Remicade </w:t>
      </w:r>
      <w:r w:rsidR="00F25EA6" w:rsidRPr="003365D6">
        <w:rPr>
          <w:rFonts w:ascii="Arial" w:hAnsi="Arial"/>
          <w:sz w:val="22"/>
          <w:szCs w:val="22"/>
        </w:rPr>
        <w:t xml:space="preserve">permits prior use of </w:t>
      </w:r>
      <w:r w:rsidR="004D3E96" w:rsidRPr="003365D6">
        <w:rPr>
          <w:rFonts w:ascii="Arial" w:hAnsi="Arial"/>
          <w:sz w:val="22"/>
          <w:szCs w:val="22"/>
        </w:rPr>
        <w:t>biological disease modifying anti-rheumatic drugs (</w:t>
      </w:r>
      <w:r w:rsidR="00F25EA6" w:rsidRPr="003365D6">
        <w:rPr>
          <w:rFonts w:ascii="Arial" w:hAnsi="Arial"/>
          <w:sz w:val="22"/>
          <w:szCs w:val="22"/>
        </w:rPr>
        <w:t>bDMARDs</w:t>
      </w:r>
      <w:r w:rsidR="004D3E96" w:rsidRPr="003365D6">
        <w:rPr>
          <w:rFonts w:ascii="Arial" w:hAnsi="Arial"/>
          <w:sz w:val="22"/>
          <w:szCs w:val="22"/>
        </w:rPr>
        <w:t>)</w:t>
      </w:r>
      <w:r w:rsidRPr="003365D6">
        <w:rPr>
          <w:rFonts w:ascii="Arial" w:hAnsi="Arial"/>
          <w:sz w:val="22"/>
          <w:szCs w:val="22"/>
        </w:rPr>
        <w:t>.</w:t>
      </w:r>
    </w:p>
    <w:p w:rsidR="002D1B61" w:rsidRPr="003365D6" w:rsidRDefault="002D1B61" w:rsidP="00526CD0">
      <w:pPr>
        <w:pStyle w:val="ListParagraph"/>
        <w:numPr>
          <w:ilvl w:val="0"/>
          <w:numId w:val="6"/>
        </w:numPr>
        <w:jc w:val="both"/>
        <w:rPr>
          <w:rFonts w:ascii="Arial" w:hAnsi="Arial"/>
          <w:sz w:val="22"/>
          <w:szCs w:val="22"/>
        </w:rPr>
      </w:pPr>
      <w:r w:rsidRPr="003365D6">
        <w:rPr>
          <w:rFonts w:ascii="Arial" w:hAnsi="Arial"/>
          <w:sz w:val="22"/>
          <w:szCs w:val="22"/>
        </w:rPr>
        <w:t>Prior treatment with DMARDs in the preceding 6 months (except methotrexate or sulfasalazine) was an exclusion criterion.</w:t>
      </w:r>
      <w:r w:rsidR="00F94FD9" w:rsidRPr="003365D6">
        <w:rPr>
          <w:rFonts w:ascii="Arial" w:hAnsi="Arial"/>
          <w:sz w:val="22"/>
          <w:szCs w:val="22"/>
        </w:rPr>
        <w:t xml:space="preserve"> The current PBS listing for Remicade </w:t>
      </w:r>
      <w:r w:rsidR="00AF5A81" w:rsidRPr="003365D6">
        <w:rPr>
          <w:rFonts w:ascii="Arial" w:hAnsi="Arial"/>
          <w:sz w:val="22"/>
          <w:szCs w:val="22"/>
        </w:rPr>
        <w:t xml:space="preserve">indicates </w:t>
      </w:r>
      <w:r w:rsidR="00F94FD9" w:rsidRPr="003365D6">
        <w:rPr>
          <w:rFonts w:ascii="Arial" w:hAnsi="Arial"/>
          <w:sz w:val="22"/>
          <w:szCs w:val="22"/>
        </w:rPr>
        <w:t xml:space="preserve">that patients </w:t>
      </w:r>
      <w:r w:rsidR="00AF5A81" w:rsidRPr="003365D6">
        <w:rPr>
          <w:rFonts w:ascii="Arial" w:hAnsi="Arial"/>
          <w:sz w:val="22"/>
          <w:szCs w:val="22"/>
        </w:rPr>
        <w:t xml:space="preserve">must </w:t>
      </w:r>
      <w:r w:rsidR="00F94FD9" w:rsidRPr="003365D6">
        <w:rPr>
          <w:rFonts w:ascii="Arial" w:hAnsi="Arial"/>
          <w:sz w:val="22"/>
          <w:szCs w:val="22"/>
        </w:rPr>
        <w:t>have failed to achieve an adequate response to a trial of at least 6 months of at least 2 DMARDs</w:t>
      </w:r>
      <w:r w:rsidR="00131C39" w:rsidRPr="003365D6">
        <w:rPr>
          <w:rFonts w:ascii="Arial" w:hAnsi="Arial"/>
          <w:sz w:val="22"/>
          <w:szCs w:val="22"/>
        </w:rPr>
        <w:t xml:space="preserve"> for 3 months each</w:t>
      </w:r>
      <w:r w:rsidR="00F94FD9" w:rsidRPr="003365D6">
        <w:rPr>
          <w:rFonts w:ascii="Arial" w:hAnsi="Arial"/>
          <w:sz w:val="22"/>
          <w:szCs w:val="22"/>
        </w:rPr>
        <w:t>, used either sequentially or in combination</w:t>
      </w:r>
      <w:r w:rsidR="00131C39" w:rsidRPr="003365D6">
        <w:rPr>
          <w:rFonts w:ascii="Arial" w:hAnsi="Arial"/>
          <w:sz w:val="22"/>
          <w:szCs w:val="22"/>
        </w:rPr>
        <w:t>,</w:t>
      </w:r>
      <w:r w:rsidR="00F94FD9" w:rsidRPr="003365D6">
        <w:rPr>
          <w:rFonts w:ascii="Arial" w:hAnsi="Arial"/>
          <w:sz w:val="22"/>
          <w:szCs w:val="22"/>
        </w:rPr>
        <w:t xml:space="preserve"> with specific combinations and doses required to achieve eligibility.</w:t>
      </w:r>
      <w:r w:rsidR="00174F72" w:rsidRPr="003365D6">
        <w:rPr>
          <w:rFonts w:ascii="Arial" w:hAnsi="Arial"/>
          <w:sz w:val="22"/>
          <w:szCs w:val="22"/>
        </w:rPr>
        <w:t xml:space="preserve">  </w:t>
      </w:r>
    </w:p>
    <w:p w:rsidR="00F94FD9" w:rsidRPr="003365D6" w:rsidRDefault="00F94FD9" w:rsidP="00526CD0">
      <w:pPr>
        <w:pStyle w:val="ListParagraph"/>
        <w:numPr>
          <w:ilvl w:val="0"/>
          <w:numId w:val="6"/>
        </w:numPr>
        <w:jc w:val="both"/>
        <w:rPr>
          <w:rFonts w:ascii="Arial" w:hAnsi="Arial"/>
          <w:sz w:val="22"/>
          <w:szCs w:val="22"/>
        </w:rPr>
      </w:pPr>
      <w:r w:rsidRPr="003365D6">
        <w:rPr>
          <w:rFonts w:ascii="Arial" w:hAnsi="Arial"/>
          <w:sz w:val="22"/>
          <w:szCs w:val="22"/>
        </w:rPr>
        <w:t>Methotrexate</w:t>
      </w:r>
      <w:r w:rsidR="00AF5A81" w:rsidRPr="003365D6">
        <w:rPr>
          <w:rFonts w:ascii="Arial" w:hAnsi="Arial"/>
          <w:sz w:val="22"/>
          <w:szCs w:val="22"/>
        </w:rPr>
        <w:t xml:space="preserve"> had to be</w:t>
      </w:r>
      <w:r w:rsidRPr="003365D6">
        <w:rPr>
          <w:rFonts w:ascii="Arial" w:hAnsi="Arial"/>
          <w:sz w:val="22"/>
          <w:szCs w:val="22"/>
        </w:rPr>
        <w:t xml:space="preserve"> dosed between 12.5mg to 25mg/week in the preceding 3 months</w:t>
      </w:r>
      <w:r w:rsidR="00AF5A81" w:rsidRPr="003365D6">
        <w:rPr>
          <w:rFonts w:ascii="Arial" w:hAnsi="Arial"/>
          <w:sz w:val="22"/>
          <w:szCs w:val="22"/>
        </w:rPr>
        <w:t xml:space="preserve"> for a patient</w:t>
      </w:r>
      <w:r w:rsidRPr="003365D6">
        <w:rPr>
          <w:rFonts w:ascii="Arial" w:hAnsi="Arial"/>
          <w:sz w:val="22"/>
          <w:szCs w:val="22"/>
        </w:rPr>
        <w:t xml:space="preserve"> to be eligible</w:t>
      </w:r>
      <w:r w:rsidR="00AF5A81" w:rsidRPr="003365D6">
        <w:rPr>
          <w:rFonts w:ascii="Arial" w:hAnsi="Arial"/>
          <w:sz w:val="22"/>
          <w:szCs w:val="22"/>
        </w:rPr>
        <w:t xml:space="preserve"> for the studies</w:t>
      </w:r>
      <w:r w:rsidRPr="003365D6">
        <w:rPr>
          <w:rFonts w:ascii="Arial" w:hAnsi="Arial"/>
          <w:sz w:val="22"/>
          <w:szCs w:val="22"/>
        </w:rPr>
        <w:t xml:space="preserve">. The current PBS listing of Remicade requires that patients are receiving </w:t>
      </w:r>
      <w:r w:rsidR="00A856F2" w:rsidRPr="003365D6">
        <w:rPr>
          <w:rFonts w:ascii="Arial" w:hAnsi="Arial"/>
          <w:sz w:val="22"/>
          <w:szCs w:val="22"/>
        </w:rPr>
        <w:t xml:space="preserve">inadequate response to </w:t>
      </w:r>
      <w:r w:rsidRPr="003365D6">
        <w:rPr>
          <w:rFonts w:ascii="Arial" w:hAnsi="Arial"/>
          <w:sz w:val="22"/>
          <w:szCs w:val="22"/>
        </w:rPr>
        <w:t>at least 20mg/week of methotrexate if tolerated, and in combination with other DMARDs</w:t>
      </w:r>
      <w:r w:rsidR="000A5B75" w:rsidRPr="003365D6">
        <w:rPr>
          <w:rFonts w:ascii="Arial" w:hAnsi="Arial"/>
          <w:sz w:val="22"/>
          <w:szCs w:val="22"/>
        </w:rPr>
        <w:t>,</w:t>
      </w:r>
      <w:r w:rsidRPr="003365D6">
        <w:rPr>
          <w:rFonts w:ascii="Arial" w:hAnsi="Arial"/>
          <w:sz w:val="22"/>
          <w:szCs w:val="22"/>
        </w:rPr>
        <w:t xml:space="preserve"> to be eligible.</w:t>
      </w:r>
    </w:p>
    <w:p w:rsidR="00131C39" w:rsidRPr="003365D6" w:rsidRDefault="00131C39" w:rsidP="00526CD0">
      <w:pPr>
        <w:pStyle w:val="ListParagraph"/>
        <w:numPr>
          <w:ilvl w:val="0"/>
          <w:numId w:val="7"/>
        </w:numPr>
        <w:jc w:val="both"/>
        <w:rPr>
          <w:rFonts w:ascii="Arial" w:hAnsi="Arial"/>
          <w:sz w:val="22"/>
          <w:szCs w:val="22"/>
        </w:rPr>
      </w:pPr>
      <w:r w:rsidRPr="003365D6">
        <w:rPr>
          <w:rFonts w:ascii="Arial" w:hAnsi="Arial"/>
          <w:sz w:val="22"/>
          <w:szCs w:val="22"/>
        </w:rPr>
        <w:t xml:space="preserve">Patients were required to take </w:t>
      </w:r>
      <w:r w:rsidR="00AF5A81" w:rsidRPr="003365D6">
        <w:rPr>
          <w:rFonts w:ascii="Arial" w:hAnsi="Arial"/>
          <w:sz w:val="22"/>
          <w:szCs w:val="22"/>
        </w:rPr>
        <w:t xml:space="preserve">methotrexate </w:t>
      </w:r>
      <w:r w:rsidRPr="003365D6">
        <w:rPr>
          <w:rFonts w:ascii="Arial" w:hAnsi="Arial"/>
          <w:sz w:val="22"/>
          <w:szCs w:val="22"/>
        </w:rPr>
        <w:t xml:space="preserve">in combination with either Inflectra or Remicade. This is consistent with the current </w:t>
      </w:r>
      <w:r w:rsidR="00577DF4" w:rsidRPr="003365D6">
        <w:rPr>
          <w:rFonts w:ascii="Arial" w:hAnsi="Arial"/>
          <w:sz w:val="22"/>
          <w:szCs w:val="22"/>
        </w:rPr>
        <w:t xml:space="preserve">PBS </w:t>
      </w:r>
      <w:r w:rsidRPr="003365D6">
        <w:rPr>
          <w:rFonts w:ascii="Arial" w:hAnsi="Arial"/>
          <w:sz w:val="22"/>
          <w:szCs w:val="22"/>
        </w:rPr>
        <w:t xml:space="preserve">listing of </w:t>
      </w:r>
      <w:r w:rsidR="00AF5A81" w:rsidRPr="003365D6">
        <w:rPr>
          <w:rFonts w:ascii="Arial" w:hAnsi="Arial"/>
          <w:sz w:val="22"/>
          <w:szCs w:val="22"/>
        </w:rPr>
        <w:t>infliximab</w:t>
      </w:r>
      <w:r w:rsidRPr="003365D6">
        <w:rPr>
          <w:rFonts w:ascii="Arial" w:hAnsi="Arial"/>
          <w:sz w:val="22"/>
          <w:szCs w:val="22"/>
        </w:rPr>
        <w:t>.</w:t>
      </w:r>
    </w:p>
    <w:p w:rsidR="000A5B75" w:rsidRPr="003365D6" w:rsidRDefault="000A5B75" w:rsidP="000A5B75">
      <w:pPr>
        <w:pStyle w:val="ListParagraph"/>
        <w:numPr>
          <w:ilvl w:val="0"/>
          <w:numId w:val="7"/>
        </w:numPr>
        <w:jc w:val="both"/>
        <w:rPr>
          <w:rFonts w:ascii="Arial" w:hAnsi="Arial"/>
          <w:sz w:val="22"/>
          <w:szCs w:val="22"/>
        </w:rPr>
      </w:pPr>
      <w:r w:rsidRPr="003365D6">
        <w:rPr>
          <w:rFonts w:ascii="Arial" w:hAnsi="Arial"/>
          <w:sz w:val="22"/>
          <w:szCs w:val="22"/>
        </w:rPr>
        <w:t>The prior therapies in Study 1.2 and Study 1.3 in patients with rheumatoid arthritis differ from those required in the PBS listing for Remicade.  The patients in these studies may have been responsive to standard DMARD therapy and would therefore not have required a biologic in the Australian setting.</w:t>
      </w:r>
    </w:p>
    <w:p w:rsidR="002D1B61" w:rsidRPr="003365D6" w:rsidRDefault="002D1B61" w:rsidP="002D1B61">
      <w:pPr>
        <w:jc w:val="both"/>
        <w:rPr>
          <w:rFonts w:ascii="Arial" w:hAnsi="Arial"/>
          <w:sz w:val="22"/>
          <w:szCs w:val="22"/>
        </w:rPr>
      </w:pPr>
    </w:p>
    <w:p w:rsidR="00577DF4" w:rsidRPr="003365D6" w:rsidRDefault="00577DF4" w:rsidP="008B0EC1">
      <w:pPr>
        <w:pStyle w:val="ListParagraph"/>
        <w:jc w:val="both"/>
        <w:rPr>
          <w:rFonts w:ascii="Arial" w:hAnsi="Arial"/>
          <w:sz w:val="22"/>
          <w:szCs w:val="22"/>
        </w:rPr>
      </w:pPr>
      <w:r w:rsidRPr="003365D6">
        <w:rPr>
          <w:rFonts w:ascii="Arial" w:hAnsi="Arial"/>
          <w:sz w:val="22"/>
          <w:szCs w:val="22"/>
        </w:rPr>
        <w:t>Study 1.1 was conducted in adult patie</w:t>
      </w:r>
      <w:r w:rsidR="00F25EA6" w:rsidRPr="003365D6">
        <w:rPr>
          <w:rFonts w:ascii="Arial" w:hAnsi="Arial"/>
          <w:sz w:val="22"/>
          <w:szCs w:val="22"/>
        </w:rPr>
        <w:t>nts with ankylosing spondylitis</w:t>
      </w:r>
      <w:r w:rsidR="00BA4B64" w:rsidRPr="003365D6">
        <w:rPr>
          <w:rFonts w:ascii="Arial" w:hAnsi="Arial"/>
          <w:sz w:val="22"/>
          <w:szCs w:val="22"/>
        </w:rPr>
        <w:t xml:space="preserve"> </w:t>
      </w:r>
      <w:r w:rsidR="001A5C84" w:rsidRPr="003365D6">
        <w:rPr>
          <w:rFonts w:ascii="Arial" w:hAnsi="Arial"/>
          <w:sz w:val="22"/>
          <w:szCs w:val="22"/>
        </w:rPr>
        <w:t xml:space="preserve">with a </w:t>
      </w:r>
      <w:r w:rsidR="00BA4B64" w:rsidRPr="003365D6">
        <w:rPr>
          <w:rFonts w:ascii="Arial" w:hAnsi="Arial"/>
          <w:sz w:val="22"/>
          <w:szCs w:val="22"/>
        </w:rPr>
        <w:t xml:space="preserve">BASDAI score </w:t>
      </w:r>
      <w:r w:rsidR="00BA4B64" w:rsidRPr="003365D6">
        <w:rPr>
          <w:rFonts w:ascii="Arial" w:hAnsi="Arial" w:cs="Arial"/>
          <w:sz w:val="22"/>
          <w:szCs w:val="22"/>
        </w:rPr>
        <w:t>≥</w:t>
      </w:r>
      <w:r w:rsidR="00BA4B64" w:rsidRPr="003365D6">
        <w:rPr>
          <w:rFonts w:ascii="Arial" w:hAnsi="Arial"/>
          <w:sz w:val="22"/>
          <w:szCs w:val="22"/>
        </w:rPr>
        <w:t xml:space="preserve"> 4 despite conventional treatment for at least 3 months.</w:t>
      </w:r>
    </w:p>
    <w:p w:rsidR="00BA4B64" w:rsidRPr="003365D6" w:rsidRDefault="00BA4B64" w:rsidP="00BA4B64">
      <w:pPr>
        <w:ind w:left="720"/>
        <w:jc w:val="both"/>
        <w:rPr>
          <w:rFonts w:ascii="Arial" w:hAnsi="Arial"/>
          <w:sz w:val="22"/>
          <w:szCs w:val="22"/>
        </w:rPr>
      </w:pPr>
    </w:p>
    <w:p w:rsidR="000A5B75" w:rsidRPr="003365D6" w:rsidRDefault="000A5B75" w:rsidP="000A5B75">
      <w:pPr>
        <w:ind w:left="720"/>
        <w:jc w:val="both"/>
        <w:rPr>
          <w:rFonts w:ascii="Arial" w:hAnsi="Arial"/>
          <w:sz w:val="22"/>
          <w:szCs w:val="22"/>
        </w:rPr>
      </w:pPr>
      <w:r w:rsidRPr="003365D6">
        <w:rPr>
          <w:rFonts w:ascii="Arial" w:hAnsi="Arial"/>
          <w:sz w:val="22"/>
          <w:szCs w:val="22"/>
        </w:rPr>
        <w:t>With regard to the applicability of the presented evidence in patients with ankylosing spondylitis to the current PBS listing of infliximab:</w:t>
      </w:r>
    </w:p>
    <w:p w:rsidR="00BA4B64" w:rsidRPr="003365D6" w:rsidRDefault="00BA4B64" w:rsidP="00526CD0">
      <w:pPr>
        <w:pStyle w:val="ListParagraph"/>
        <w:numPr>
          <w:ilvl w:val="0"/>
          <w:numId w:val="7"/>
        </w:numPr>
        <w:jc w:val="both"/>
        <w:rPr>
          <w:rFonts w:ascii="Arial" w:hAnsi="Arial"/>
          <w:sz w:val="22"/>
          <w:szCs w:val="22"/>
        </w:rPr>
      </w:pPr>
      <w:r w:rsidRPr="003365D6">
        <w:rPr>
          <w:rFonts w:ascii="Arial" w:hAnsi="Arial"/>
          <w:sz w:val="22"/>
          <w:szCs w:val="22"/>
        </w:rPr>
        <w:t xml:space="preserve">Prior treatment with biologics for </w:t>
      </w:r>
      <w:r w:rsidR="001A5C84" w:rsidRPr="003365D6">
        <w:rPr>
          <w:rFonts w:ascii="Arial" w:hAnsi="Arial"/>
          <w:sz w:val="22"/>
          <w:szCs w:val="22"/>
        </w:rPr>
        <w:t>ankylosing spondylitis</w:t>
      </w:r>
      <w:r w:rsidRPr="003365D6">
        <w:rPr>
          <w:rFonts w:ascii="Arial" w:hAnsi="Arial"/>
          <w:sz w:val="22"/>
          <w:szCs w:val="22"/>
        </w:rPr>
        <w:t xml:space="preserve"> was an exclusion criteri</w:t>
      </w:r>
      <w:r w:rsidR="001A5C84" w:rsidRPr="003365D6">
        <w:rPr>
          <w:rFonts w:ascii="Arial" w:hAnsi="Arial"/>
          <w:sz w:val="22"/>
          <w:szCs w:val="22"/>
        </w:rPr>
        <w:t>on</w:t>
      </w:r>
      <w:r w:rsidRPr="003365D6">
        <w:rPr>
          <w:rFonts w:ascii="Arial" w:hAnsi="Arial"/>
          <w:sz w:val="22"/>
          <w:szCs w:val="22"/>
        </w:rPr>
        <w:t xml:space="preserve">. The current PBS listing for Remicade permits </w:t>
      </w:r>
      <w:r w:rsidR="001A5C84" w:rsidRPr="003365D6">
        <w:rPr>
          <w:rFonts w:ascii="Arial" w:hAnsi="Arial"/>
          <w:sz w:val="22"/>
          <w:szCs w:val="22"/>
        </w:rPr>
        <w:t xml:space="preserve">the </w:t>
      </w:r>
      <w:r w:rsidRPr="003365D6">
        <w:rPr>
          <w:rFonts w:ascii="Arial" w:hAnsi="Arial"/>
          <w:sz w:val="22"/>
          <w:szCs w:val="22"/>
        </w:rPr>
        <w:t>prior use of bDMARDs.</w:t>
      </w:r>
    </w:p>
    <w:p w:rsidR="00577DF4" w:rsidRPr="003365D6" w:rsidRDefault="00577DF4" w:rsidP="002D1B61">
      <w:pPr>
        <w:jc w:val="both"/>
        <w:rPr>
          <w:rFonts w:ascii="Arial" w:hAnsi="Arial"/>
          <w:sz w:val="22"/>
          <w:szCs w:val="22"/>
        </w:rPr>
      </w:pPr>
    </w:p>
    <w:p w:rsidR="00531605" w:rsidRPr="003365D6" w:rsidRDefault="0049659D" w:rsidP="00626C74">
      <w:pPr>
        <w:pStyle w:val="ListParagraph"/>
        <w:numPr>
          <w:ilvl w:val="1"/>
          <w:numId w:val="2"/>
        </w:numPr>
        <w:jc w:val="both"/>
        <w:rPr>
          <w:rFonts w:ascii="Arial" w:hAnsi="Arial"/>
          <w:sz w:val="22"/>
          <w:szCs w:val="22"/>
        </w:rPr>
      </w:pPr>
      <w:r w:rsidRPr="003365D6">
        <w:rPr>
          <w:rFonts w:ascii="Arial" w:hAnsi="Arial"/>
          <w:sz w:val="22"/>
          <w:szCs w:val="22"/>
        </w:rPr>
        <w:t xml:space="preserve">As stated above, </w:t>
      </w:r>
      <w:r w:rsidR="00DC6B27" w:rsidRPr="003365D6">
        <w:rPr>
          <w:rFonts w:ascii="Arial" w:hAnsi="Arial"/>
          <w:sz w:val="22"/>
          <w:szCs w:val="22"/>
        </w:rPr>
        <w:t>Study 1.2 and Study 3.1 both have extension studies (Study 1.3-NCT01571219 and Study 3.2-</w:t>
      </w:r>
      <w:r w:rsidR="00F440C8" w:rsidRPr="003365D6">
        <w:rPr>
          <w:rFonts w:ascii="Arial" w:hAnsi="Arial"/>
          <w:sz w:val="22"/>
          <w:szCs w:val="22"/>
        </w:rPr>
        <w:t>NCT01571206</w:t>
      </w:r>
      <w:r w:rsidR="00DC6B27" w:rsidRPr="003365D6">
        <w:rPr>
          <w:rFonts w:ascii="Arial" w:hAnsi="Arial"/>
          <w:sz w:val="22"/>
          <w:szCs w:val="22"/>
        </w:rPr>
        <w:t>)</w:t>
      </w:r>
      <w:r w:rsidR="00C535D6" w:rsidRPr="003365D6">
        <w:rPr>
          <w:rFonts w:ascii="Arial" w:hAnsi="Arial"/>
          <w:sz w:val="22"/>
          <w:szCs w:val="22"/>
        </w:rPr>
        <w:t>.</w:t>
      </w:r>
      <w:r w:rsidR="007B2E5F">
        <w:rPr>
          <w:rFonts w:ascii="Arial" w:hAnsi="Arial"/>
          <w:sz w:val="22"/>
          <w:szCs w:val="22"/>
        </w:rPr>
        <w:t xml:space="preserve"> </w:t>
      </w:r>
      <w:r w:rsidR="00AE683A" w:rsidRPr="003365D6">
        <w:rPr>
          <w:rFonts w:ascii="Arial" w:hAnsi="Arial"/>
          <w:sz w:val="22"/>
          <w:szCs w:val="22"/>
        </w:rPr>
        <w:t xml:space="preserve">Results from these studies were presented as additional evidence to support </w:t>
      </w:r>
      <w:r w:rsidR="001A5C84" w:rsidRPr="003365D6">
        <w:rPr>
          <w:rFonts w:ascii="Arial" w:hAnsi="Arial"/>
          <w:sz w:val="22"/>
          <w:szCs w:val="22"/>
        </w:rPr>
        <w:t xml:space="preserve">the </w:t>
      </w:r>
      <w:r w:rsidR="00AE683A" w:rsidRPr="003365D6">
        <w:rPr>
          <w:rFonts w:ascii="Arial" w:hAnsi="Arial"/>
          <w:sz w:val="22"/>
          <w:szCs w:val="22"/>
        </w:rPr>
        <w:t>substitution of Remicade with Inflectra</w:t>
      </w:r>
      <w:r w:rsidRPr="003365D6">
        <w:rPr>
          <w:rFonts w:ascii="Arial" w:hAnsi="Arial"/>
          <w:sz w:val="22"/>
          <w:szCs w:val="22"/>
        </w:rPr>
        <w:t xml:space="preserve">. The extension studies switched patients after 54 weeks of Remicade to Inflectra and continued treatment up to week 102.  </w:t>
      </w:r>
    </w:p>
    <w:p w:rsidR="007B2E5F" w:rsidRDefault="007B2E5F" w:rsidP="00C12699">
      <w:pPr>
        <w:pStyle w:val="Caption"/>
        <w:widowControl w:val="0"/>
        <w:ind w:left="720"/>
        <w:rPr>
          <w:rStyle w:val="CommentReference"/>
          <w:b/>
        </w:rPr>
      </w:pPr>
      <w:bookmarkStart w:id="2" w:name="_Ref420959036"/>
      <w:bookmarkStart w:id="3" w:name="_Ref420959032"/>
    </w:p>
    <w:p w:rsidR="005A0A06" w:rsidRPr="00F233E4" w:rsidRDefault="005A0A06" w:rsidP="004230F5">
      <w:pPr>
        <w:pStyle w:val="Caption"/>
        <w:widowControl w:val="0"/>
        <w:spacing w:after="0"/>
        <w:ind w:left="720"/>
        <w:rPr>
          <w:rStyle w:val="CommentReference"/>
          <w:b/>
        </w:rPr>
      </w:pPr>
      <w:r w:rsidRPr="003365D6">
        <w:rPr>
          <w:rStyle w:val="CommentReference"/>
          <w:b/>
        </w:rPr>
        <w:t xml:space="preserve">Table </w:t>
      </w:r>
      <w:bookmarkEnd w:id="2"/>
      <w:r w:rsidR="009346CC" w:rsidRPr="003365D6">
        <w:rPr>
          <w:rStyle w:val="CommentReference"/>
          <w:b/>
        </w:rPr>
        <w:t>2</w:t>
      </w:r>
      <w:r w:rsidR="00DA1992">
        <w:rPr>
          <w:rStyle w:val="CommentReference"/>
          <w:b/>
        </w:rPr>
        <w:t>:</w:t>
      </w:r>
      <w:r w:rsidRPr="003365D6">
        <w:rPr>
          <w:rStyle w:val="CommentReference"/>
          <w:b/>
        </w:rPr>
        <w:tab/>
        <w:t>Trial characteristics of the studies included in the minor submission</w:t>
      </w:r>
      <w:bookmarkEnd w:id="3"/>
    </w:p>
    <w:tbl>
      <w:tblPr>
        <w:tblStyle w:val="TableGrid"/>
        <w:tblW w:w="0" w:type="auto"/>
        <w:tblInd w:w="709" w:type="dxa"/>
        <w:tblLook w:val="04A0" w:firstRow="1" w:lastRow="0" w:firstColumn="1" w:lastColumn="0" w:noHBand="0" w:noVBand="1"/>
        <w:tblCaption w:val="Table 2: Trial characteristics of the studies included in the minor submission"/>
        <w:tblDescription w:val="This table summarises the trial characteristics in the studies included in the minor submission. "/>
      </w:tblPr>
      <w:tblGrid>
        <w:gridCol w:w="1465"/>
        <w:gridCol w:w="2356"/>
        <w:gridCol w:w="2356"/>
        <w:gridCol w:w="2356"/>
      </w:tblGrid>
      <w:tr w:rsidR="00AA74FC" w:rsidRPr="003365D6" w:rsidTr="008A4849">
        <w:trPr>
          <w:tblHeader/>
        </w:trPr>
        <w:tc>
          <w:tcPr>
            <w:tcW w:w="1465" w:type="dxa"/>
          </w:tcPr>
          <w:p w:rsidR="00AA74FC" w:rsidRPr="003365D6" w:rsidRDefault="00AA74FC" w:rsidP="00C12699">
            <w:pPr>
              <w:pStyle w:val="ListParagraph"/>
              <w:widowControl w:val="0"/>
              <w:ind w:left="0"/>
              <w:rPr>
                <w:rFonts w:ascii="Arial Narrow" w:hAnsi="Arial Narrow"/>
                <w:b/>
                <w:sz w:val="20"/>
                <w:szCs w:val="20"/>
              </w:rPr>
            </w:pPr>
          </w:p>
        </w:tc>
        <w:tc>
          <w:tcPr>
            <w:tcW w:w="2356" w:type="dxa"/>
          </w:tcPr>
          <w:p w:rsidR="00AA74FC" w:rsidRPr="003365D6" w:rsidRDefault="002D1B61" w:rsidP="00C12699">
            <w:pPr>
              <w:pStyle w:val="ListParagraph"/>
              <w:widowControl w:val="0"/>
              <w:ind w:left="0"/>
              <w:rPr>
                <w:rFonts w:ascii="Arial Narrow" w:hAnsi="Arial Narrow"/>
                <w:b/>
                <w:sz w:val="20"/>
                <w:szCs w:val="20"/>
              </w:rPr>
            </w:pPr>
            <w:r w:rsidRPr="003365D6">
              <w:rPr>
                <w:rFonts w:ascii="Arial Narrow" w:hAnsi="Arial Narrow"/>
                <w:b/>
                <w:sz w:val="20"/>
                <w:szCs w:val="20"/>
              </w:rPr>
              <w:t xml:space="preserve">Study </w:t>
            </w:r>
            <w:r w:rsidR="00AA74FC" w:rsidRPr="003365D6">
              <w:rPr>
                <w:rFonts w:ascii="Arial Narrow" w:hAnsi="Arial Narrow"/>
                <w:b/>
                <w:sz w:val="20"/>
                <w:szCs w:val="20"/>
              </w:rPr>
              <w:t>1.2</w:t>
            </w:r>
          </w:p>
        </w:tc>
        <w:tc>
          <w:tcPr>
            <w:tcW w:w="2356" w:type="dxa"/>
          </w:tcPr>
          <w:p w:rsidR="00AA74FC" w:rsidRPr="003365D6" w:rsidRDefault="002D1B61" w:rsidP="00C12699">
            <w:pPr>
              <w:pStyle w:val="ListParagraph"/>
              <w:widowControl w:val="0"/>
              <w:ind w:left="0"/>
              <w:rPr>
                <w:rFonts w:ascii="Arial Narrow" w:hAnsi="Arial Narrow"/>
                <w:b/>
                <w:sz w:val="20"/>
                <w:szCs w:val="20"/>
              </w:rPr>
            </w:pPr>
            <w:r w:rsidRPr="003365D6">
              <w:rPr>
                <w:rFonts w:ascii="Arial Narrow" w:hAnsi="Arial Narrow"/>
                <w:b/>
                <w:sz w:val="20"/>
                <w:szCs w:val="20"/>
              </w:rPr>
              <w:t xml:space="preserve">Study </w:t>
            </w:r>
            <w:r w:rsidR="00AA74FC" w:rsidRPr="003365D6">
              <w:rPr>
                <w:rFonts w:ascii="Arial Narrow" w:hAnsi="Arial Narrow"/>
                <w:b/>
                <w:sz w:val="20"/>
                <w:szCs w:val="20"/>
              </w:rPr>
              <w:t>1.1</w:t>
            </w:r>
          </w:p>
        </w:tc>
        <w:tc>
          <w:tcPr>
            <w:tcW w:w="2356" w:type="dxa"/>
          </w:tcPr>
          <w:p w:rsidR="00AA74FC" w:rsidRPr="003365D6" w:rsidRDefault="002D1B61" w:rsidP="00C12699">
            <w:pPr>
              <w:pStyle w:val="ListParagraph"/>
              <w:widowControl w:val="0"/>
              <w:ind w:left="0"/>
              <w:rPr>
                <w:rFonts w:ascii="Arial Narrow" w:hAnsi="Arial Narrow"/>
                <w:b/>
                <w:sz w:val="20"/>
                <w:szCs w:val="20"/>
              </w:rPr>
            </w:pPr>
            <w:r w:rsidRPr="003365D6">
              <w:rPr>
                <w:rFonts w:ascii="Arial Narrow" w:hAnsi="Arial Narrow"/>
                <w:b/>
                <w:sz w:val="20"/>
                <w:szCs w:val="20"/>
              </w:rPr>
              <w:t xml:space="preserve">Study </w:t>
            </w:r>
            <w:r w:rsidR="00AA74FC" w:rsidRPr="003365D6">
              <w:rPr>
                <w:rFonts w:ascii="Arial Narrow" w:hAnsi="Arial Narrow"/>
                <w:b/>
                <w:sz w:val="20"/>
                <w:szCs w:val="20"/>
              </w:rPr>
              <w:t>3.1</w:t>
            </w:r>
          </w:p>
        </w:tc>
      </w:tr>
      <w:tr w:rsidR="00840882" w:rsidRPr="003365D6" w:rsidTr="00840882">
        <w:tc>
          <w:tcPr>
            <w:tcW w:w="1465" w:type="dxa"/>
          </w:tcPr>
          <w:p w:rsidR="00840882" w:rsidRPr="003365D6" w:rsidRDefault="00840882" w:rsidP="00C12699">
            <w:pPr>
              <w:pStyle w:val="ListParagraph"/>
              <w:widowControl w:val="0"/>
              <w:ind w:left="0"/>
              <w:rPr>
                <w:rFonts w:ascii="Arial Narrow" w:hAnsi="Arial Narrow"/>
                <w:b/>
                <w:sz w:val="20"/>
                <w:szCs w:val="20"/>
              </w:rPr>
            </w:pPr>
            <w:r w:rsidRPr="003365D6">
              <w:rPr>
                <w:rFonts w:ascii="Arial Narrow" w:hAnsi="Arial Narrow"/>
                <w:b/>
                <w:sz w:val="20"/>
                <w:szCs w:val="20"/>
              </w:rPr>
              <w:t>Patient population</w:t>
            </w:r>
          </w:p>
        </w:tc>
        <w:tc>
          <w:tcPr>
            <w:tcW w:w="2356" w:type="dxa"/>
          </w:tcPr>
          <w:p w:rsidR="00840882" w:rsidRPr="003365D6" w:rsidRDefault="00840882" w:rsidP="00C12699">
            <w:pPr>
              <w:pStyle w:val="ListParagraph"/>
              <w:widowControl w:val="0"/>
              <w:ind w:left="0"/>
              <w:rPr>
                <w:rFonts w:ascii="Arial Narrow" w:hAnsi="Arial Narrow"/>
                <w:sz w:val="20"/>
                <w:szCs w:val="20"/>
              </w:rPr>
            </w:pPr>
            <w:r w:rsidRPr="003365D6">
              <w:rPr>
                <w:rFonts w:ascii="Arial Narrow" w:hAnsi="Arial Narrow"/>
                <w:sz w:val="20"/>
                <w:szCs w:val="20"/>
              </w:rPr>
              <w:t>Active rheumatoid arthritis not receiving adequate response to methotrexate</w:t>
            </w:r>
          </w:p>
        </w:tc>
        <w:tc>
          <w:tcPr>
            <w:tcW w:w="2356" w:type="dxa"/>
          </w:tcPr>
          <w:p w:rsidR="00840882" w:rsidRPr="003365D6" w:rsidRDefault="00840882" w:rsidP="00C12699">
            <w:pPr>
              <w:pStyle w:val="ListParagraph"/>
              <w:widowControl w:val="0"/>
              <w:ind w:left="0"/>
              <w:rPr>
                <w:rFonts w:ascii="Arial Narrow" w:hAnsi="Arial Narrow"/>
                <w:sz w:val="20"/>
                <w:szCs w:val="20"/>
              </w:rPr>
            </w:pPr>
            <w:r w:rsidRPr="003365D6">
              <w:rPr>
                <w:rFonts w:ascii="Arial Narrow" w:hAnsi="Arial Narrow"/>
                <w:sz w:val="20"/>
                <w:szCs w:val="20"/>
              </w:rPr>
              <w:t>Active ankylosing spondylitis</w:t>
            </w:r>
          </w:p>
        </w:tc>
        <w:tc>
          <w:tcPr>
            <w:tcW w:w="2356" w:type="dxa"/>
          </w:tcPr>
          <w:p w:rsidR="00840882" w:rsidRPr="003365D6" w:rsidRDefault="00840882" w:rsidP="00C12699">
            <w:pPr>
              <w:pStyle w:val="ListParagraph"/>
              <w:widowControl w:val="0"/>
              <w:ind w:left="0"/>
              <w:rPr>
                <w:rFonts w:ascii="Arial Narrow" w:hAnsi="Arial Narrow"/>
                <w:sz w:val="20"/>
                <w:szCs w:val="20"/>
              </w:rPr>
            </w:pPr>
            <w:r w:rsidRPr="003365D6">
              <w:rPr>
                <w:rFonts w:ascii="Arial Narrow" w:hAnsi="Arial Narrow"/>
                <w:sz w:val="20"/>
                <w:szCs w:val="20"/>
              </w:rPr>
              <w:t>Active rheumatoid arthritis not receiving adequate response to methotrexate</w:t>
            </w:r>
          </w:p>
        </w:tc>
      </w:tr>
      <w:tr w:rsidR="00AA74FC" w:rsidRPr="003365D6" w:rsidTr="00840882">
        <w:tc>
          <w:tcPr>
            <w:tcW w:w="1465" w:type="dxa"/>
          </w:tcPr>
          <w:p w:rsidR="00AA74FC" w:rsidRPr="003365D6" w:rsidRDefault="00AA74FC" w:rsidP="00C12699">
            <w:pPr>
              <w:pStyle w:val="ListParagraph"/>
              <w:widowControl w:val="0"/>
              <w:ind w:left="0"/>
              <w:rPr>
                <w:rFonts w:ascii="Arial Narrow" w:hAnsi="Arial Narrow"/>
                <w:b/>
                <w:sz w:val="20"/>
                <w:szCs w:val="20"/>
              </w:rPr>
            </w:pPr>
            <w:r w:rsidRPr="003365D6">
              <w:rPr>
                <w:rFonts w:ascii="Arial Narrow" w:hAnsi="Arial Narrow"/>
                <w:b/>
                <w:sz w:val="20"/>
                <w:szCs w:val="20"/>
              </w:rPr>
              <w:t>Number of participants</w:t>
            </w:r>
          </w:p>
        </w:tc>
        <w:tc>
          <w:tcPr>
            <w:tcW w:w="2356" w:type="dxa"/>
          </w:tcPr>
          <w:p w:rsidR="00AA74FC" w:rsidRPr="003365D6" w:rsidRDefault="00AA74FC" w:rsidP="00C12699">
            <w:pPr>
              <w:pStyle w:val="ListParagraph"/>
              <w:widowControl w:val="0"/>
              <w:ind w:left="0"/>
              <w:rPr>
                <w:rFonts w:ascii="Arial Narrow" w:hAnsi="Arial Narrow"/>
                <w:sz w:val="20"/>
                <w:szCs w:val="20"/>
              </w:rPr>
            </w:pPr>
            <w:r w:rsidRPr="003365D6">
              <w:rPr>
                <w:rFonts w:ascii="Arial Narrow" w:hAnsi="Arial Narrow"/>
                <w:sz w:val="20"/>
                <w:szCs w:val="20"/>
              </w:rPr>
              <w:t>19</w:t>
            </w:r>
          </w:p>
        </w:tc>
        <w:tc>
          <w:tcPr>
            <w:tcW w:w="2356" w:type="dxa"/>
          </w:tcPr>
          <w:p w:rsidR="00AA74FC" w:rsidRPr="003365D6" w:rsidRDefault="00F15442" w:rsidP="00C12699">
            <w:pPr>
              <w:pStyle w:val="ListParagraph"/>
              <w:widowControl w:val="0"/>
              <w:ind w:left="0"/>
              <w:rPr>
                <w:rFonts w:ascii="Arial Narrow" w:hAnsi="Arial Narrow"/>
                <w:sz w:val="20"/>
                <w:szCs w:val="20"/>
              </w:rPr>
            </w:pPr>
            <w:r w:rsidRPr="003365D6">
              <w:rPr>
                <w:rFonts w:ascii="Arial Narrow" w:hAnsi="Arial Narrow"/>
                <w:sz w:val="20"/>
                <w:szCs w:val="20"/>
              </w:rPr>
              <w:t>250</w:t>
            </w:r>
          </w:p>
        </w:tc>
        <w:tc>
          <w:tcPr>
            <w:tcW w:w="2356" w:type="dxa"/>
          </w:tcPr>
          <w:p w:rsidR="00AA74FC" w:rsidRPr="003365D6" w:rsidRDefault="00BA4B64" w:rsidP="00C12699">
            <w:pPr>
              <w:pStyle w:val="ListParagraph"/>
              <w:widowControl w:val="0"/>
              <w:ind w:left="0"/>
              <w:rPr>
                <w:rFonts w:ascii="Arial Narrow" w:hAnsi="Arial Narrow"/>
                <w:sz w:val="20"/>
                <w:szCs w:val="20"/>
              </w:rPr>
            </w:pPr>
            <w:r w:rsidRPr="003365D6">
              <w:rPr>
                <w:rFonts w:ascii="Arial Narrow" w:hAnsi="Arial Narrow"/>
                <w:sz w:val="20"/>
                <w:szCs w:val="20"/>
              </w:rPr>
              <w:t>606</w:t>
            </w:r>
          </w:p>
        </w:tc>
      </w:tr>
      <w:tr w:rsidR="00AA74FC" w:rsidRPr="003365D6" w:rsidTr="00840882">
        <w:tc>
          <w:tcPr>
            <w:tcW w:w="1465" w:type="dxa"/>
          </w:tcPr>
          <w:p w:rsidR="00AA74FC" w:rsidRPr="003365D6" w:rsidRDefault="00AA74FC" w:rsidP="00C12699">
            <w:pPr>
              <w:pStyle w:val="ListParagraph"/>
              <w:widowControl w:val="0"/>
              <w:ind w:left="0"/>
              <w:rPr>
                <w:rFonts w:ascii="Arial Narrow" w:hAnsi="Arial Narrow"/>
                <w:b/>
                <w:sz w:val="20"/>
                <w:szCs w:val="20"/>
              </w:rPr>
            </w:pPr>
            <w:r w:rsidRPr="003365D6">
              <w:rPr>
                <w:rFonts w:ascii="Arial Narrow" w:hAnsi="Arial Narrow"/>
                <w:b/>
                <w:sz w:val="20"/>
                <w:szCs w:val="20"/>
              </w:rPr>
              <w:t>Study design</w:t>
            </w:r>
          </w:p>
        </w:tc>
        <w:tc>
          <w:tcPr>
            <w:tcW w:w="2356" w:type="dxa"/>
          </w:tcPr>
          <w:p w:rsidR="00AA74FC" w:rsidRPr="003365D6" w:rsidRDefault="00AA74FC" w:rsidP="00C12699">
            <w:pPr>
              <w:pStyle w:val="ListParagraph"/>
              <w:widowControl w:val="0"/>
              <w:ind w:left="0"/>
              <w:rPr>
                <w:rFonts w:ascii="Arial Narrow" w:hAnsi="Arial Narrow"/>
                <w:sz w:val="20"/>
                <w:szCs w:val="20"/>
              </w:rPr>
            </w:pPr>
            <w:r w:rsidRPr="003365D6">
              <w:rPr>
                <w:rFonts w:ascii="Arial Narrow" w:hAnsi="Arial Narrow"/>
                <w:sz w:val="20"/>
                <w:szCs w:val="20"/>
              </w:rPr>
              <w:t>Randomised, phase I</w:t>
            </w:r>
          </w:p>
        </w:tc>
        <w:tc>
          <w:tcPr>
            <w:tcW w:w="2356" w:type="dxa"/>
          </w:tcPr>
          <w:p w:rsidR="00AA74FC" w:rsidRPr="003365D6" w:rsidRDefault="00F15442" w:rsidP="00C12699">
            <w:pPr>
              <w:pStyle w:val="ListParagraph"/>
              <w:widowControl w:val="0"/>
              <w:ind w:left="0"/>
              <w:rPr>
                <w:rFonts w:ascii="Arial Narrow" w:hAnsi="Arial Narrow"/>
                <w:sz w:val="20"/>
                <w:szCs w:val="20"/>
              </w:rPr>
            </w:pPr>
            <w:r w:rsidRPr="003365D6">
              <w:rPr>
                <w:rFonts w:ascii="Arial Narrow" w:hAnsi="Arial Narrow"/>
                <w:sz w:val="20"/>
                <w:szCs w:val="20"/>
              </w:rPr>
              <w:t>Randomised, phase I</w:t>
            </w:r>
          </w:p>
        </w:tc>
        <w:tc>
          <w:tcPr>
            <w:tcW w:w="2356" w:type="dxa"/>
          </w:tcPr>
          <w:p w:rsidR="00AA74FC" w:rsidRPr="003365D6" w:rsidRDefault="00B7530F" w:rsidP="00C12699">
            <w:pPr>
              <w:pStyle w:val="ListParagraph"/>
              <w:widowControl w:val="0"/>
              <w:ind w:left="0"/>
              <w:rPr>
                <w:rFonts w:ascii="Arial Narrow" w:hAnsi="Arial Narrow"/>
                <w:sz w:val="20"/>
                <w:szCs w:val="20"/>
              </w:rPr>
            </w:pPr>
            <w:r w:rsidRPr="003365D6">
              <w:rPr>
                <w:rFonts w:ascii="Arial Narrow" w:hAnsi="Arial Narrow"/>
                <w:sz w:val="20"/>
                <w:szCs w:val="20"/>
              </w:rPr>
              <w:t>Randomised, phase III</w:t>
            </w:r>
          </w:p>
        </w:tc>
      </w:tr>
      <w:tr w:rsidR="00BA4B64" w:rsidRPr="003365D6" w:rsidTr="00840882">
        <w:tc>
          <w:tcPr>
            <w:tcW w:w="1465" w:type="dxa"/>
          </w:tcPr>
          <w:p w:rsidR="00BA4B64" w:rsidRPr="003365D6" w:rsidRDefault="00BA4B64" w:rsidP="00C12699">
            <w:pPr>
              <w:pStyle w:val="ListParagraph"/>
              <w:widowControl w:val="0"/>
              <w:ind w:left="0"/>
              <w:rPr>
                <w:rFonts w:ascii="Arial Narrow" w:hAnsi="Arial Narrow"/>
                <w:b/>
                <w:sz w:val="20"/>
                <w:szCs w:val="20"/>
              </w:rPr>
            </w:pPr>
            <w:r w:rsidRPr="003365D6">
              <w:rPr>
                <w:rFonts w:ascii="Arial Narrow" w:hAnsi="Arial Narrow"/>
                <w:b/>
                <w:sz w:val="20"/>
                <w:szCs w:val="20"/>
              </w:rPr>
              <w:t>Objective</w:t>
            </w:r>
          </w:p>
        </w:tc>
        <w:tc>
          <w:tcPr>
            <w:tcW w:w="2356" w:type="dxa"/>
          </w:tcPr>
          <w:p w:rsidR="00BA4B64" w:rsidRPr="003365D6" w:rsidRDefault="00DF63DC" w:rsidP="00C12699">
            <w:pPr>
              <w:pStyle w:val="ListParagraph"/>
              <w:widowControl w:val="0"/>
              <w:ind w:left="0"/>
              <w:rPr>
                <w:rFonts w:ascii="Arial Narrow" w:hAnsi="Arial Narrow"/>
                <w:sz w:val="20"/>
                <w:szCs w:val="20"/>
              </w:rPr>
            </w:pPr>
            <w:r w:rsidRPr="003365D6">
              <w:rPr>
                <w:rFonts w:ascii="Arial Narrow" w:hAnsi="Arial Narrow"/>
                <w:sz w:val="20"/>
                <w:szCs w:val="20"/>
              </w:rPr>
              <w:t>Pilot study</w:t>
            </w:r>
          </w:p>
        </w:tc>
        <w:tc>
          <w:tcPr>
            <w:tcW w:w="2356" w:type="dxa"/>
          </w:tcPr>
          <w:p w:rsidR="00BA4B64" w:rsidRPr="003365D6" w:rsidRDefault="00BA4B64" w:rsidP="00C12699">
            <w:pPr>
              <w:pStyle w:val="ListParagraph"/>
              <w:widowControl w:val="0"/>
              <w:ind w:left="0"/>
              <w:rPr>
                <w:rFonts w:ascii="Arial Narrow" w:hAnsi="Arial Narrow"/>
                <w:sz w:val="20"/>
                <w:szCs w:val="20"/>
              </w:rPr>
            </w:pPr>
            <w:r w:rsidRPr="003365D6">
              <w:rPr>
                <w:rFonts w:ascii="Arial Narrow" w:hAnsi="Arial Narrow"/>
                <w:sz w:val="20"/>
                <w:szCs w:val="20"/>
              </w:rPr>
              <w:t>PK equivalence</w:t>
            </w:r>
          </w:p>
        </w:tc>
        <w:tc>
          <w:tcPr>
            <w:tcW w:w="2356" w:type="dxa"/>
          </w:tcPr>
          <w:p w:rsidR="00BA4B64" w:rsidRPr="003365D6" w:rsidRDefault="00BA4B64" w:rsidP="00C12699">
            <w:pPr>
              <w:pStyle w:val="ListParagraph"/>
              <w:widowControl w:val="0"/>
              <w:ind w:left="0"/>
              <w:rPr>
                <w:rFonts w:ascii="Arial Narrow" w:hAnsi="Arial Narrow"/>
                <w:sz w:val="20"/>
                <w:szCs w:val="20"/>
              </w:rPr>
            </w:pPr>
            <w:r w:rsidRPr="003365D6">
              <w:rPr>
                <w:rFonts w:ascii="Arial Narrow" w:hAnsi="Arial Narrow"/>
                <w:sz w:val="20"/>
                <w:szCs w:val="20"/>
              </w:rPr>
              <w:t>Therapeutic equivalence</w:t>
            </w:r>
          </w:p>
        </w:tc>
      </w:tr>
      <w:tr w:rsidR="00BA4B64" w:rsidRPr="003365D6" w:rsidTr="00840882">
        <w:tc>
          <w:tcPr>
            <w:tcW w:w="1465" w:type="dxa"/>
          </w:tcPr>
          <w:p w:rsidR="00BA4B64" w:rsidRPr="003365D6" w:rsidRDefault="00BA4B64" w:rsidP="00C12699">
            <w:pPr>
              <w:pStyle w:val="ListParagraph"/>
              <w:widowControl w:val="0"/>
              <w:ind w:left="0"/>
              <w:rPr>
                <w:rFonts w:ascii="Arial Narrow" w:hAnsi="Arial Narrow"/>
                <w:b/>
                <w:sz w:val="20"/>
                <w:szCs w:val="20"/>
              </w:rPr>
            </w:pPr>
            <w:r w:rsidRPr="003365D6">
              <w:rPr>
                <w:rFonts w:ascii="Arial Narrow" w:hAnsi="Arial Narrow"/>
                <w:b/>
                <w:sz w:val="20"/>
                <w:szCs w:val="20"/>
              </w:rPr>
              <w:t>Intervention</w:t>
            </w:r>
          </w:p>
        </w:tc>
        <w:tc>
          <w:tcPr>
            <w:tcW w:w="2356" w:type="dxa"/>
          </w:tcPr>
          <w:p w:rsidR="00BA4B64" w:rsidRPr="003365D6" w:rsidRDefault="00DF63DC" w:rsidP="00C12699">
            <w:pPr>
              <w:pStyle w:val="ListParagraph"/>
              <w:widowControl w:val="0"/>
              <w:ind w:left="0"/>
              <w:rPr>
                <w:rFonts w:ascii="Arial Narrow" w:hAnsi="Arial Narrow"/>
                <w:sz w:val="20"/>
                <w:szCs w:val="20"/>
              </w:rPr>
            </w:pPr>
            <w:r w:rsidRPr="003365D6">
              <w:rPr>
                <w:rFonts w:ascii="Arial Narrow" w:hAnsi="Arial Narrow"/>
                <w:sz w:val="20"/>
                <w:szCs w:val="20"/>
              </w:rPr>
              <w:t>Inflectra 3mg/kg at week 0, 2, 6 then 8 weekly until week 102</w:t>
            </w:r>
          </w:p>
        </w:tc>
        <w:tc>
          <w:tcPr>
            <w:tcW w:w="2356" w:type="dxa"/>
          </w:tcPr>
          <w:p w:rsidR="00BA4B64" w:rsidRPr="003365D6" w:rsidRDefault="00BA4B64" w:rsidP="00C12699">
            <w:pPr>
              <w:pStyle w:val="ListParagraph"/>
              <w:widowControl w:val="0"/>
              <w:ind w:left="0"/>
              <w:rPr>
                <w:rFonts w:ascii="Arial Narrow" w:hAnsi="Arial Narrow"/>
                <w:sz w:val="20"/>
                <w:szCs w:val="20"/>
              </w:rPr>
            </w:pPr>
            <w:r w:rsidRPr="003365D6">
              <w:rPr>
                <w:rFonts w:ascii="Arial Narrow" w:hAnsi="Arial Narrow"/>
                <w:sz w:val="20"/>
                <w:szCs w:val="20"/>
              </w:rPr>
              <w:t>Inflectra 5mg/kg at week 0, 2, 6 then 8 weekly until week 54.</w:t>
            </w:r>
          </w:p>
        </w:tc>
        <w:tc>
          <w:tcPr>
            <w:tcW w:w="2356" w:type="dxa"/>
          </w:tcPr>
          <w:p w:rsidR="00BA4B64" w:rsidRPr="003365D6" w:rsidRDefault="00BA4B64" w:rsidP="00C12699">
            <w:pPr>
              <w:pStyle w:val="ListParagraph"/>
              <w:widowControl w:val="0"/>
              <w:ind w:left="0"/>
              <w:rPr>
                <w:rFonts w:ascii="Arial Narrow" w:hAnsi="Arial Narrow"/>
                <w:sz w:val="20"/>
                <w:szCs w:val="20"/>
              </w:rPr>
            </w:pPr>
            <w:r w:rsidRPr="003365D6">
              <w:rPr>
                <w:rFonts w:ascii="Arial Narrow" w:hAnsi="Arial Narrow"/>
                <w:sz w:val="20"/>
                <w:szCs w:val="20"/>
              </w:rPr>
              <w:t>Inflectra 3mg/kg at week 0, 2, 6 then 8weekly until week 54.</w:t>
            </w:r>
          </w:p>
        </w:tc>
      </w:tr>
      <w:tr w:rsidR="00BA4B64" w:rsidRPr="003365D6" w:rsidTr="00840882">
        <w:tc>
          <w:tcPr>
            <w:tcW w:w="1465" w:type="dxa"/>
          </w:tcPr>
          <w:p w:rsidR="00BA4B64" w:rsidRPr="003365D6" w:rsidRDefault="00BA4B64" w:rsidP="00C12699">
            <w:pPr>
              <w:pStyle w:val="ListParagraph"/>
              <w:widowControl w:val="0"/>
              <w:ind w:left="0"/>
              <w:rPr>
                <w:rFonts w:ascii="Arial Narrow" w:hAnsi="Arial Narrow"/>
                <w:b/>
                <w:sz w:val="20"/>
                <w:szCs w:val="20"/>
              </w:rPr>
            </w:pPr>
            <w:r w:rsidRPr="003365D6">
              <w:rPr>
                <w:rFonts w:ascii="Arial Narrow" w:hAnsi="Arial Narrow"/>
                <w:b/>
                <w:sz w:val="20"/>
                <w:szCs w:val="20"/>
              </w:rPr>
              <w:t>Comparator</w:t>
            </w:r>
          </w:p>
        </w:tc>
        <w:tc>
          <w:tcPr>
            <w:tcW w:w="2356" w:type="dxa"/>
          </w:tcPr>
          <w:p w:rsidR="00BA4B64" w:rsidRPr="003365D6" w:rsidRDefault="00DF63DC" w:rsidP="00C12699">
            <w:pPr>
              <w:pStyle w:val="ListParagraph"/>
              <w:widowControl w:val="0"/>
              <w:ind w:left="0"/>
              <w:rPr>
                <w:rFonts w:ascii="Arial Narrow" w:hAnsi="Arial Narrow"/>
                <w:sz w:val="20"/>
                <w:szCs w:val="20"/>
              </w:rPr>
            </w:pPr>
            <w:r w:rsidRPr="003365D6">
              <w:rPr>
                <w:rFonts w:ascii="Arial Narrow" w:hAnsi="Arial Narrow"/>
                <w:sz w:val="20"/>
                <w:szCs w:val="20"/>
              </w:rPr>
              <w:t>Remicade 3mg/kg to week 54 then switch to Inflectra to week 102</w:t>
            </w:r>
          </w:p>
        </w:tc>
        <w:tc>
          <w:tcPr>
            <w:tcW w:w="2356" w:type="dxa"/>
          </w:tcPr>
          <w:p w:rsidR="00BA4B64" w:rsidRPr="003365D6" w:rsidRDefault="00BA4B64" w:rsidP="00C12699">
            <w:pPr>
              <w:pStyle w:val="ListParagraph"/>
              <w:widowControl w:val="0"/>
              <w:ind w:left="0"/>
              <w:rPr>
                <w:rFonts w:ascii="Arial Narrow" w:hAnsi="Arial Narrow"/>
                <w:sz w:val="20"/>
                <w:szCs w:val="20"/>
              </w:rPr>
            </w:pPr>
            <w:r w:rsidRPr="003365D6">
              <w:rPr>
                <w:rFonts w:ascii="Arial Narrow" w:hAnsi="Arial Narrow"/>
                <w:sz w:val="20"/>
                <w:szCs w:val="20"/>
              </w:rPr>
              <w:t xml:space="preserve">Remicade </w:t>
            </w:r>
            <w:r w:rsidR="00DF63DC" w:rsidRPr="003365D6">
              <w:rPr>
                <w:rFonts w:ascii="Arial Narrow" w:hAnsi="Arial Narrow"/>
                <w:sz w:val="20"/>
                <w:szCs w:val="20"/>
              </w:rPr>
              <w:t>dosing as for Inflectra</w:t>
            </w:r>
          </w:p>
        </w:tc>
        <w:tc>
          <w:tcPr>
            <w:tcW w:w="2356" w:type="dxa"/>
          </w:tcPr>
          <w:p w:rsidR="00BA4B64" w:rsidRPr="003365D6" w:rsidRDefault="00BA4B64" w:rsidP="00C12699">
            <w:pPr>
              <w:pStyle w:val="ListParagraph"/>
              <w:widowControl w:val="0"/>
              <w:ind w:left="0"/>
              <w:rPr>
                <w:rFonts w:ascii="Arial Narrow" w:hAnsi="Arial Narrow"/>
                <w:sz w:val="20"/>
                <w:szCs w:val="20"/>
              </w:rPr>
            </w:pPr>
            <w:r w:rsidRPr="003365D6">
              <w:rPr>
                <w:rFonts w:ascii="Arial Narrow" w:hAnsi="Arial Narrow"/>
                <w:sz w:val="20"/>
                <w:szCs w:val="20"/>
              </w:rPr>
              <w:t xml:space="preserve">Remicade </w:t>
            </w:r>
            <w:r w:rsidR="00DF63DC" w:rsidRPr="003365D6">
              <w:rPr>
                <w:rFonts w:ascii="Arial Narrow" w:hAnsi="Arial Narrow"/>
                <w:sz w:val="20"/>
                <w:szCs w:val="20"/>
              </w:rPr>
              <w:t>dosing as for Inflectra</w:t>
            </w:r>
          </w:p>
        </w:tc>
      </w:tr>
      <w:tr w:rsidR="00AA74FC" w:rsidRPr="003365D6" w:rsidTr="00840882">
        <w:tc>
          <w:tcPr>
            <w:tcW w:w="1465" w:type="dxa"/>
          </w:tcPr>
          <w:p w:rsidR="00AA74FC" w:rsidRPr="003365D6" w:rsidRDefault="00AA74FC" w:rsidP="00C12699">
            <w:pPr>
              <w:pStyle w:val="ListParagraph"/>
              <w:widowControl w:val="0"/>
              <w:ind w:left="0"/>
              <w:rPr>
                <w:rFonts w:ascii="Arial Narrow" w:hAnsi="Arial Narrow"/>
                <w:b/>
                <w:sz w:val="20"/>
                <w:szCs w:val="20"/>
              </w:rPr>
            </w:pPr>
            <w:r w:rsidRPr="003365D6">
              <w:rPr>
                <w:rFonts w:ascii="Arial Narrow" w:hAnsi="Arial Narrow"/>
                <w:b/>
                <w:sz w:val="20"/>
                <w:szCs w:val="20"/>
              </w:rPr>
              <w:t>Primary outcome</w:t>
            </w:r>
          </w:p>
        </w:tc>
        <w:tc>
          <w:tcPr>
            <w:tcW w:w="2356" w:type="dxa"/>
          </w:tcPr>
          <w:p w:rsidR="00AA74FC" w:rsidRPr="003365D6" w:rsidRDefault="00AA74FC" w:rsidP="00C12699">
            <w:pPr>
              <w:pStyle w:val="ListParagraph"/>
              <w:widowControl w:val="0"/>
              <w:ind w:left="0"/>
              <w:rPr>
                <w:rFonts w:ascii="Arial Narrow" w:hAnsi="Arial Narrow"/>
                <w:sz w:val="20"/>
                <w:szCs w:val="20"/>
              </w:rPr>
            </w:pPr>
            <w:r w:rsidRPr="003365D6">
              <w:rPr>
                <w:rFonts w:ascii="Arial Narrow" w:hAnsi="Arial Narrow"/>
                <w:sz w:val="20"/>
                <w:szCs w:val="20"/>
              </w:rPr>
              <w:t>Peak serum concentration (C</w:t>
            </w:r>
            <w:r w:rsidRPr="003365D6">
              <w:rPr>
                <w:rFonts w:ascii="Arial Narrow" w:hAnsi="Arial Narrow"/>
                <w:sz w:val="20"/>
                <w:szCs w:val="20"/>
                <w:vertAlign w:val="subscript"/>
              </w:rPr>
              <w:t>max</w:t>
            </w:r>
            <w:r w:rsidRPr="003365D6">
              <w:rPr>
                <w:rFonts w:ascii="Arial Narrow" w:hAnsi="Arial Narrow"/>
                <w:sz w:val="20"/>
                <w:szCs w:val="20"/>
              </w:rPr>
              <w:t>)</w:t>
            </w:r>
            <w:r w:rsidR="00181C51" w:rsidRPr="003365D6">
              <w:rPr>
                <w:rFonts w:ascii="Arial Narrow" w:hAnsi="Arial Narrow"/>
                <w:sz w:val="20"/>
                <w:szCs w:val="20"/>
              </w:rPr>
              <w:t xml:space="preserve"> at weeks 0, 2 and 6.</w:t>
            </w:r>
          </w:p>
        </w:tc>
        <w:tc>
          <w:tcPr>
            <w:tcW w:w="2356" w:type="dxa"/>
          </w:tcPr>
          <w:p w:rsidR="00AA74FC" w:rsidRPr="003365D6" w:rsidRDefault="00F15442" w:rsidP="00C12699">
            <w:pPr>
              <w:pStyle w:val="ListParagraph"/>
              <w:widowControl w:val="0"/>
              <w:ind w:left="0"/>
              <w:rPr>
                <w:rFonts w:ascii="Arial Narrow" w:hAnsi="Arial Narrow"/>
                <w:sz w:val="20"/>
                <w:szCs w:val="20"/>
              </w:rPr>
            </w:pPr>
            <w:r w:rsidRPr="003365D6">
              <w:rPr>
                <w:rFonts w:ascii="Arial Narrow" w:hAnsi="Arial Narrow"/>
                <w:sz w:val="20"/>
                <w:szCs w:val="20"/>
              </w:rPr>
              <w:t>C</w:t>
            </w:r>
            <w:r w:rsidRPr="003365D6">
              <w:rPr>
                <w:rFonts w:ascii="Arial Narrow" w:hAnsi="Arial Narrow"/>
                <w:sz w:val="20"/>
                <w:szCs w:val="20"/>
                <w:vertAlign w:val="subscript"/>
              </w:rPr>
              <w:t>max</w:t>
            </w:r>
            <w:r w:rsidRPr="003365D6">
              <w:rPr>
                <w:rFonts w:ascii="Arial Narrow" w:hAnsi="Arial Narrow"/>
                <w:sz w:val="20"/>
                <w:szCs w:val="20"/>
              </w:rPr>
              <w:t xml:space="preserve"> and AUC after dose 5 (week 22 – 30)</w:t>
            </w:r>
          </w:p>
        </w:tc>
        <w:tc>
          <w:tcPr>
            <w:tcW w:w="2356" w:type="dxa"/>
          </w:tcPr>
          <w:p w:rsidR="00AA74FC" w:rsidRPr="003365D6" w:rsidRDefault="00B7530F" w:rsidP="00C12699">
            <w:pPr>
              <w:pStyle w:val="ListParagraph"/>
              <w:widowControl w:val="0"/>
              <w:ind w:left="0"/>
              <w:rPr>
                <w:rFonts w:ascii="Arial Narrow" w:hAnsi="Arial Narrow"/>
                <w:sz w:val="20"/>
                <w:szCs w:val="20"/>
              </w:rPr>
            </w:pPr>
            <w:r w:rsidRPr="003365D6">
              <w:rPr>
                <w:rFonts w:ascii="Arial Narrow" w:hAnsi="Arial Narrow"/>
                <w:sz w:val="20"/>
                <w:szCs w:val="20"/>
              </w:rPr>
              <w:t>ACR20 at week 30</w:t>
            </w:r>
          </w:p>
        </w:tc>
      </w:tr>
      <w:tr w:rsidR="00AA74FC" w:rsidRPr="003365D6" w:rsidTr="00840882">
        <w:tc>
          <w:tcPr>
            <w:tcW w:w="1465" w:type="dxa"/>
          </w:tcPr>
          <w:p w:rsidR="00AA74FC" w:rsidRPr="003365D6" w:rsidRDefault="00AA74FC" w:rsidP="00C12699">
            <w:pPr>
              <w:pStyle w:val="ListParagraph"/>
              <w:widowControl w:val="0"/>
              <w:ind w:left="0"/>
              <w:rPr>
                <w:rFonts w:ascii="Arial Narrow" w:hAnsi="Arial Narrow"/>
                <w:b/>
                <w:sz w:val="20"/>
                <w:szCs w:val="20"/>
              </w:rPr>
            </w:pPr>
            <w:r w:rsidRPr="003365D6">
              <w:rPr>
                <w:rFonts w:ascii="Arial Narrow" w:hAnsi="Arial Narrow"/>
                <w:b/>
                <w:sz w:val="20"/>
                <w:szCs w:val="20"/>
              </w:rPr>
              <w:t>Secondary outcomes</w:t>
            </w:r>
          </w:p>
        </w:tc>
        <w:tc>
          <w:tcPr>
            <w:tcW w:w="2356" w:type="dxa"/>
          </w:tcPr>
          <w:p w:rsidR="00AA74FC" w:rsidRPr="003365D6" w:rsidRDefault="00AA74FC" w:rsidP="00C12699">
            <w:pPr>
              <w:pStyle w:val="ListParagraph"/>
              <w:widowControl w:val="0"/>
              <w:ind w:left="0"/>
              <w:rPr>
                <w:rFonts w:ascii="Arial Narrow" w:hAnsi="Arial Narrow"/>
                <w:sz w:val="20"/>
                <w:szCs w:val="20"/>
              </w:rPr>
            </w:pPr>
            <w:r w:rsidRPr="003365D6">
              <w:rPr>
                <w:rFonts w:ascii="Arial Narrow" w:hAnsi="Arial Narrow"/>
                <w:sz w:val="20"/>
                <w:szCs w:val="20"/>
              </w:rPr>
              <w:t>PK, PD, efficacy and safety</w:t>
            </w:r>
          </w:p>
        </w:tc>
        <w:tc>
          <w:tcPr>
            <w:tcW w:w="2356" w:type="dxa"/>
          </w:tcPr>
          <w:p w:rsidR="00AA74FC" w:rsidRPr="003365D6" w:rsidRDefault="00F15442" w:rsidP="00C12699">
            <w:pPr>
              <w:pStyle w:val="ListParagraph"/>
              <w:widowControl w:val="0"/>
              <w:ind w:left="0"/>
              <w:rPr>
                <w:rFonts w:ascii="Arial Narrow" w:hAnsi="Arial Narrow"/>
                <w:sz w:val="20"/>
                <w:szCs w:val="20"/>
              </w:rPr>
            </w:pPr>
            <w:r w:rsidRPr="003365D6">
              <w:rPr>
                <w:rFonts w:ascii="Arial Narrow" w:hAnsi="Arial Narrow"/>
                <w:sz w:val="20"/>
                <w:szCs w:val="20"/>
              </w:rPr>
              <w:t>ASA20 and ASA40, BASDAI, BASFAI, BASMI, chest expansion and SF-36 at week</w:t>
            </w:r>
            <w:r w:rsidR="00B7530F" w:rsidRPr="003365D6">
              <w:rPr>
                <w:rFonts w:ascii="Arial Narrow" w:hAnsi="Arial Narrow"/>
                <w:sz w:val="20"/>
                <w:szCs w:val="20"/>
              </w:rPr>
              <w:t>s</w:t>
            </w:r>
            <w:r w:rsidRPr="003365D6">
              <w:rPr>
                <w:rFonts w:ascii="Arial Narrow" w:hAnsi="Arial Narrow"/>
                <w:sz w:val="20"/>
                <w:szCs w:val="20"/>
              </w:rPr>
              <w:t xml:space="preserve"> 14</w:t>
            </w:r>
            <w:r w:rsidR="00A30C8D" w:rsidRPr="003365D6">
              <w:rPr>
                <w:rFonts w:ascii="Arial Narrow" w:hAnsi="Arial Narrow"/>
                <w:sz w:val="20"/>
                <w:szCs w:val="20"/>
              </w:rPr>
              <w:t>, 30 and 54.</w:t>
            </w:r>
          </w:p>
        </w:tc>
        <w:tc>
          <w:tcPr>
            <w:tcW w:w="2356" w:type="dxa"/>
          </w:tcPr>
          <w:p w:rsidR="00AA74FC" w:rsidRPr="003365D6" w:rsidRDefault="005F0E8F" w:rsidP="00C12699">
            <w:pPr>
              <w:pStyle w:val="ListParagraph"/>
              <w:widowControl w:val="0"/>
              <w:ind w:left="0"/>
              <w:rPr>
                <w:rFonts w:ascii="Arial Narrow" w:hAnsi="Arial Narrow"/>
                <w:sz w:val="20"/>
                <w:szCs w:val="20"/>
              </w:rPr>
            </w:pPr>
            <w:r w:rsidRPr="003365D6">
              <w:rPr>
                <w:rFonts w:ascii="Arial Narrow" w:hAnsi="Arial Narrow"/>
                <w:sz w:val="20"/>
                <w:szCs w:val="20"/>
              </w:rPr>
              <w:t>ACR50, ACR70, time to ACR20, DAS28, EULAR response criteria, CDAI, SDAI, SF-36 at weeks 14, 30 and 54</w:t>
            </w:r>
          </w:p>
        </w:tc>
      </w:tr>
      <w:tr w:rsidR="00F15442" w:rsidRPr="003365D6" w:rsidTr="00840882">
        <w:tc>
          <w:tcPr>
            <w:tcW w:w="1465" w:type="dxa"/>
          </w:tcPr>
          <w:p w:rsidR="00F15442" w:rsidRPr="003365D6" w:rsidRDefault="00F15442" w:rsidP="00C12699">
            <w:pPr>
              <w:pStyle w:val="ListParagraph"/>
              <w:widowControl w:val="0"/>
              <w:ind w:left="0"/>
              <w:rPr>
                <w:rFonts w:ascii="Arial Narrow" w:hAnsi="Arial Narrow"/>
                <w:b/>
                <w:sz w:val="20"/>
                <w:szCs w:val="20"/>
              </w:rPr>
            </w:pPr>
            <w:r w:rsidRPr="003365D6">
              <w:rPr>
                <w:rFonts w:ascii="Arial Narrow" w:hAnsi="Arial Narrow"/>
                <w:b/>
                <w:sz w:val="20"/>
                <w:szCs w:val="20"/>
              </w:rPr>
              <w:t>Additional PK outcomes</w:t>
            </w:r>
          </w:p>
        </w:tc>
        <w:tc>
          <w:tcPr>
            <w:tcW w:w="2356" w:type="dxa"/>
          </w:tcPr>
          <w:p w:rsidR="00F15442" w:rsidRPr="003365D6" w:rsidRDefault="00F15442" w:rsidP="00C12699">
            <w:pPr>
              <w:pStyle w:val="ListParagraph"/>
              <w:widowControl w:val="0"/>
              <w:ind w:left="0"/>
              <w:rPr>
                <w:rFonts w:ascii="Arial Narrow" w:hAnsi="Arial Narrow"/>
                <w:sz w:val="20"/>
                <w:szCs w:val="20"/>
              </w:rPr>
            </w:pPr>
          </w:p>
        </w:tc>
        <w:tc>
          <w:tcPr>
            <w:tcW w:w="2356" w:type="dxa"/>
          </w:tcPr>
          <w:p w:rsidR="00F15442" w:rsidRPr="003365D6" w:rsidRDefault="00F15442" w:rsidP="00C12699">
            <w:pPr>
              <w:pStyle w:val="ListParagraph"/>
              <w:widowControl w:val="0"/>
              <w:ind w:left="0"/>
              <w:rPr>
                <w:rFonts w:ascii="Arial Narrow" w:hAnsi="Arial Narrow"/>
                <w:sz w:val="20"/>
                <w:szCs w:val="20"/>
              </w:rPr>
            </w:pPr>
            <w:r w:rsidRPr="003365D6">
              <w:rPr>
                <w:rFonts w:ascii="Arial Narrow" w:hAnsi="Arial Narrow"/>
                <w:sz w:val="20"/>
                <w:szCs w:val="20"/>
              </w:rPr>
              <w:t>C</w:t>
            </w:r>
            <w:r w:rsidRPr="003365D6">
              <w:rPr>
                <w:rFonts w:ascii="Arial Narrow" w:hAnsi="Arial Narrow"/>
                <w:sz w:val="20"/>
                <w:szCs w:val="20"/>
                <w:vertAlign w:val="subscript"/>
              </w:rPr>
              <w:t>av</w:t>
            </w:r>
            <w:r w:rsidRPr="003365D6">
              <w:rPr>
                <w:rFonts w:ascii="Arial Narrow" w:hAnsi="Arial Narrow"/>
                <w:sz w:val="20"/>
                <w:szCs w:val="20"/>
              </w:rPr>
              <w:t>, C</w:t>
            </w:r>
            <w:r w:rsidRPr="003365D6">
              <w:rPr>
                <w:rFonts w:ascii="Arial Narrow" w:hAnsi="Arial Narrow"/>
                <w:sz w:val="20"/>
                <w:szCs w:val="20"/>
                <w:vertAlign w:val="subscript"/>
              </w:rPr>
              <w:t>min</w:t>
            </w:r>
            <w:r w:rsidRPr="003365D6">
              <w:rPr>
                <w:rFonts w:ascii="Arial Narrow" w:hAnsi="Arial Narrow"/>
                <w:sz w:val="20"/>
                <w:szCs w:val="20"/>
              </w:rPr>
              <w:t>, half-life, C</w:t>
            </w:r>
            <w:r w:rsidRPr="003365D6">
              <w:rPr>
                <w:rFonts w:ascii="Arial Narrow" w:hAnsi="Arial Narrow"/>
                <w:sz w:val="20"/>
                <w:szCs w:val="20"/>
                <w:vertAlign w:val="subscript"/>
              </w:rPr>
              <w:t>L</w:t>
            </w:r>
            <w:r w:rsidRPr="003365D6">
              <w:rPr>
                <w:rFonts w:ascii="Arial Narrow" w:hAnsi="Arial Narrow"/>
                <w:sz w:val="20"/>
                <w:szCs w:val="20"/>
              </w:rPr>
              <w:t xml:space="preserve"> and V</w:t>
            </w:r>
            <w:r w:rsidRPr="003365D6">
              <w:rPr>
                <w:rFonts w:ascii="Arial Narrow" w:hAnsi="Arial Narrow"/>
                <w:sz w:val="20"/>
                <w:szCs w:val="20"/>
                <w:vertAlign w:val="subscript"/>
              </w:rPr>
              <w:t>d</w:t>
            </w:r>
            <w:r w:rsidRPr="003365D6">
              <w:rPr>
                <w:rFonts w:ascii="Arial Narrow" w:hAnsi="Arial Narrow"/>
                <w:sz w:val="20"/>
                <w:szCs w:val="20"/>
              </w:rPr>
              <w:t xml:space="preserve"> measured after dose 5.</w:t>
            </w:r>
          </w:p>
        </w:tc>
        <w:tc>
          <w:tcPr>
            <w:tcW w:w="2356" w:type="dxa"/>
          </w:tcPr>
          <w:p w:rsidR="00F15442" w:rsidRPr="003365D6" w:rsidRDefault="005F0E8F" w:rsidP="00C12699">
            <w:pPr>
              <w:pStyle w:val="ListParagraph"/>
              <w:widowControl w:val="0"/>
              <w:ind w:left="0"/>
              <w:rPr>
                <w:rFonts w:ascii="Arial Narrow" w:hAnsi="Arial Narrow"/>
                <w:sz w:val="20"/>
                <w:szCs w:val="20"/>
              </w:rPr>
            </w:pPr>
            <w:r w:rsidRPr="003365D6">
              <w:rPr>
                <w:rFonts w:ascii="Arial Narrow" w:hAnsi="Arial Narrow"/>
                <w:sz w:val="20"/>
                <w:szCs w:val="20"/>
              </w:rPr>
              <w:t>C</w:t>
            </w:r>
            <w:r w:rsidRPr="003365D6">
              <w:rPr>
                <w:rFonts w:ascii="Arial Narrow" w:hAnsi="Arial Narrow"/>
                <w:sz w:val="20"/>
                <w:szCs w:val="20"/>
                <w:vertAlign w:val="subscript"/>
              </w:rPr>
              <w:t>max</w:t>
            </w:r>
            <w:r w:rsidRPr="003365D6">
              <w:rPr>
                <w:rFonts w:ascii="Arial Narrow" w:hAnsi="Arial Narrow"/>
                <w:sz w:val="20"/>
                <w:szCs w:val="20"/>
              </w:rPr>
              <w:t>, C</w:t>
            </w:r>
            <w:r w:rsidRPr="003365D6">
              <w:rPr>
                <w:rFonts w:ascii="Arial Narrow" w:hAnsi="Arial Narrow"/>
                <w:sz w:val="20"/>
                <w:szCs w:val="20"/>
                <w:vertAlign w:val="subscript"/>
              </w:rPr>
              <w:t>min</w:t>
            </w:r>
            <w:r w:rsidRPr="003365D6">
              <w:rPr>
                <w:rFonts w:ascii="Arial Narrow" w:hAnsi="Arial Narrow"/>
                <w:sz w:val="20"/>
                <w:szCs w:val="20"/>
              </w:rPr>
              <w:t>, Cav and T</w:t>
            </w:r>
            <w:r w:rsidRPr="003365D6">
              <w:rPr>
                <w:rFonts w:ascii="Arial Narrow" w:hAnsi="Arial Narrow"/>
                <w:sz w:val="20"/>
                <w:szCs w:val="20"/>
                <w:vertAlign w:val="subscript"/>
              </w:rPr>
              <w:t>max</w:t>
            </w:r>
          </w:p>
        </w:tc>
      </w:tr>
      <w:tr w:rsidR="00F15442" w:rsidRPr="003365D6" w:rsidTr="00840882">
        <w:tc>
          <w:tcPr>
            <w:tcW w:w="1465" w:type="dxa"/>
          </w:tcPr>
          <w:p w:rsidR="00F15442" w:rsidRPr="003365D6" w:rsidRDefault="00F15442" w:rsidP="00C12699">
            <w:pPr>
              <w:pStyle w:val="ListParagraph"/>
              <w:widowControl w:val="0"/>
              <w:ind w:left="0"/>
              <w:rPr>
                <w:rFonts w:ascii="Arial Narrow" w:hAnsi="Arial Narrow"/>
                <w:b/>
                <w:sz w:val="20"/>
                <w:szCs w:val="20"/>
              </w:rPr>
            </w:pPr>
            <w:r w:rsidRPr="003365D6">
              <w:rPr>
                <w:rFonts w:ascii="Arial Narrow" w:hAnsi="Arial Narrow"/>
                <w:b/>
                <w:sz w:val="20"/>
                <w:szCs w:val="20"/>
              </w:rPr>
              <w:t>Other outcomes</w:t>
            </w:r>
          </w:p>
        </w:tc>
        <w:tc>
          <w:tcPr>
            <w:tcW w:w="2356" w:type="dxa"/>
          </w:tcPr>
          <w:p w:rsidR="00F15442" w:rsidRPr="003365D6" w:rsidRDefault="00F15442" w:rsidP="00C12699">
            <w:pPr>
              <w:pStyle w:val="ListParagraph"/>
              <w:widowControl w:val="0"/>
              <w:ind w:left="0"/>
              <w:rPr>
                <w:rFonts w:ascii="Arial Narrow" w:hAnsi="Arial Narrow"/>
                <w:sz w:val="20"/>
                <w:szCs w:val="20"/>
              </w:rPr>
            </w:pPr>
          </w:p>
        </w:tc>
        <w:tc>
          <w:tcPr>
            <w:tcW w:w="2356" w:type="dxa"/>
          </w:tcPr>
          <w:p w:rsidR="00F15442" w:rsidRPr="003365D6" w:rsidRDefault="00F15442" w:rsidP="00C12699">
            <w:pPr>
              <w:pStyle w:val="ListParagraph"/>
              <w:widowControl w:val="0"/>
              <w:ind w:left="0"/>
              <w:rPr>
                <w:rFonts w:ascii="Arial Narrow" w:hAnsi="Arial Narrow"/>
                <w:sz w:val="20"/>
                <w:szCs w:val="20"/>
              </w:rPr>
            </w:pPr>
            <w:r w:rsidRPr="003365D6">
              <w:rPr>
                <w:rFonts w:ascii="Arial Narrow" w:hAnsi="Arial Narrow"/>
                <w:sz w:val="20"/>
                <w:szCs w:val="20"/>
              </w:rPr>
              <w:t>Immunogenicity and AEs</w:t>
            </w:r>
          </w:p>
        </w:tc>
        <w:tc>
          <w:tcPr>
            <w:tcW w:w="2356" w:type="dxa"/>
          </w:tcPr>
          <w:p w:rsidR="00F15442" w:rsidRPr="003365D6" w:rsidRDefault="005F0E8F" w:rsidP="00C12699">
            <w:pPr>
              <w:pStyle w:val="ListParagraph"/>
              <w:widowControl w:val="0"/>
              <w:ind w:left="0"/>
              <w:rPr>
                <w:rFonts w:ascii="Arial Narrow" w:hAnsi="Arial Narrow"/>
                <w:sz w:val="20"/>
                <w:szCs w:val="20"/>
              </w:rPr>
            </w:pPr>
            <w:r w:rsidRPr="003365D6">
              <w:rPr>
                <w:rFonts w:ascii="Arial Narrow" w:hAnsi="Arial Narrow"/>
                <w:sz w:val="20"/>
                <w:szCs w:val="20"/>
              </w:rPr>
              <w:t>Immunogenicity, pharmacodynamic assessments and AEs</w:t>
            </w:r>
          </w:p>
        </w:tc>
      </w:tr>
      <w:tr w:rsidR="00AA74FC" w:rsidRPr="003365D6" w:rsidTr="00840882">
        <w:tc>
          <w:tcPr>
            <w:tcW w:w="1465" w:type="dxa"/>
          </w:tcPr>
          <w:p w:rsidR="00AA74FC" w:rsidRPr="003365D6" w:rsidRDefault="00AA74FC" w:rsidP="00C12699">
            <w:pPr>
              <w:pStyle w:val="ListParagraph"/>
              <w:widowControl w:val="0"/>
              <w:ind w:left="0"/>
              <w:rPr>
                <w:rFonts w:ascii="Arial Narrow" w:hAnsi="Arial Narrow"/>
                <w:b/>
                <w:sz w:val="20"/>
                <w:szCs w:val="20"/>
              </w:rPr>
            </w:pPr>
            <w:r w:rsidRPr="003365D6">
              <w:rPr>
                <w:rFonts w:ascii="Arial Narrow" w:hAnsi="Arial Narrow"/>
                <w:b/>
                <w:sz w:val="20"/>
                <w:szCs w:val="20"/>
              </w:rPr>
              <w:t xml:space="preserve">Concomitant </w:t>
            </w:r>
            <w:r w:rsidR="00F15442" w:rsidRPr="003365D6">
              <w:rPr>
                <w:rFonts w:ascii="Arial Narrow" w:hAnsi="Arial Narrow"/>
                <w:b/>
                <w:sz w:val="20"/>
                <w:szCs w:val="20"/>
              </w:rPr>
              <w:t xml:space="preserve">study </w:t>
            </w:r>
            <w:r w:rsidRPr="003365D6">
              <w:rPr>
                <w:rFonts w:ascii="Arial Narrow" w:hAnsi="Arial Narrow"/>
                <w:b/>
                <w:sz w:val="20"/>
                <w:szCs w:val="20"/>
              </w:rPr>
              <w:t>medicines</w:t>
            </w:r>
          </w:p>
        </w:tc>
        <w:tc>
          <w:tcPr>
            <w:tcW w:w="2356" w:type="dxa"/>
          </w:tcPr>
          <w:p w:rsidR="00AA74FC" w:rsidRPr="003365D6" w:rsidRDefault="00AA74FC" w:rsidP="00C12699">
            <w:pPr>
              <w:pStyle w:val="ListParagraph"/>
              <w:widowControl w:val="0"/>
              <w:ind w:left="0"/>
              <w:rPr>
                <w:rFonts w:ascii="Arial Narrow" w:hAnsi="Arial Narrow"/>
                <w:sz w:val="20"/>
                <w:szCs w:val="20"/>
              </w:rPr>
            </w:pPr>
            <w:r w:rsidRPr="003365D6">
              <w:rPr>
                <w:rFonts w:ascii="Arial Narrow" w:hAnsi="Arial Narrow"/>
                <w:sz w:val="20"/>
                <w:szCs w:val="20"/>
              </w:rPr>
              <w:t>Methotrexate and folic acid</w:t>
            </w:r>
          </w:p>
        </w:tc>
        <w:tc>
          <w:tcPr>
            <w:tcW w:w="2356" w:type="dxa"/>
          </w:tcPr>
          <w:p w:rsidR="00AA74FC" w:rsidRPr="003365D6" w:rsidRDefault="00F15442" w:rsidP="00C12699">
            <w:pPr>
              <w:pStyle w:val="ListParagraph"/>
              <w:widowControl w:val="0"/>
              <w:ind w:left="0"/>
              <w:rPr>
                <w:rFonts w:ascii="Arial Narrow" w:hAnsi="Arial Narrow"/>
                <w:sz w:val="20"/>
                <w:szCs w:val="20"/>
              </w:rPr>
            </w:pPr>
            <w:r w:rsidRPr="003365D6">
              <w:rPr>
                <w:rFonts w:ascii="Arial Narrow" w:hAnsi="Arial Narrow"/>
                <w:sz w:val="20"/>
                <w:szCs w:val="20"/>
              </w:rPr>
              <w:t>Nil</w:t>
            </w:r>
          </w:p>
        </w:tc>
        <w:tc>
          <w:tcPr>
            <w:tcW w:w="2356" w:type="dxa"/>
          </w:tcPr>
          <w:p w:rsidR="00AA74FC" w:rsidRPr="003365D6" w:rsidRDefault="00B7530F" w:rsidP="00C12699">
            <w:pPr>
              <w:pStyle w:val="ListParagraph"/>
              <w:widowControl w:val="0"/>
              <w:ind w:left="0"/>
              <w:rPr>
                <w:rFonts w:ascii="Arial Narrow" w:hAnsi="Arial Narrow"/>
                <w:sz w:val="20"/>
                <w:szCs w:val="20"/>
              </w:rPr>
            </w:pPr>
            <w:r w:rsidRPr="003365D6">
              <w:rPr>
                <w:rFonts w:ascii="Arial Narrow" w:hAnsi="Arial Narrow"/>
                <w:sz w:val="20"/>
                <w:szCs w:val="20"/>
              </w:rPr>
              <w:t>Methotrexate and folic acid</w:t>
            </w:r>
          </w:p>
        </w:tc>
      </w:tr>
      <w:tr w:rsidR="00AA74FC" w:rsidRPr="003365D6" w:rsidTr="00840882">
        <w:tc>
          <w:tcPr>
            <w:tcW w:w="1465" w:type="dxa"/>
          </w:tcPr>
          <w:p w:rsidR="00AA74FC" w:rsidRPr="003365D6" w:rsidRDefault="00AA74FC" w:rsidP="00C12699">
            <w:pPr>
              <w:pStyle w:val="ListParagraph"/>
              <w:widowControl w:val="0"/>
              <w:ind w:left="0"/>
              <w:rPr>
                <w:rFonts w:ascii="Arial Narrow" w:hAnsi="Arial Narrow"/>
                <w:b/>
                <w:sz w:val="20"/>
                <w:szCs w:val="20"/>
              </w:rPr>
            </w:pPr>
            <w:r w:rsidRPr="003365D6">
              <w:rPr>
                <w:rFonts w:ascii="Arial Narrow" w:hAnsi="Arial Narrow"/>
                <w:b/>
                <w:sz w:val="20"/>
                <w:szCs w:val="20"/>
              </w:rPr>
              <w:t>Prior treatment with biologic</w:t>
            </w:r>
          </w:p>
        </w:tc>
        <w:tc>
          <w:tcPr>
            <w:tcW w:w="2356" w:type="dxa"/>
          </w:tcPr>
          <w:p w:rsidR="00AA74FC" w:rsidRPr="003365D6" w:rsidRDefault="00AA74FC" w:rsidP="00C12699">
            <w:pPr>
              <w:pStyle w:val="ListParagraph"/>
              <w:widowControl w:val="0"/>
              <w:ind w:left="0"/>
              <w:rPr>
                <w:rFonts w:ascii="Arial Narrow" w:hAnsi="Arial Narrow"/>
                <w:sz w:val="20"/>
                <w:szCs w:val="20"/>
              </w:rPr>
            </w:pPr>
            <w:r w:rsidRPr="003365D6">
              <w:rPr>
                <w:rFonts w:ascii="Arial Narrow" w:hAnsi="Arial Narrow"/>
                <w:sz w:val="20"/>
                <w:szCs w:val="20"/>
              </w:rPr>
              <w:t>Not permitted</w:t>
            </w:r>
          </w:p>
        </w:tc>
        <w:tc>
          <w:tcPr>
            <w:tcW w:w="2356" w:type="dxa"/>
          </w:tcPr>
          <w:p w:rsidR="00AA74FC" w:rsidRPr="003365D6" w:rsidRDefault="00F15442" w:rsidP="00C12699">
            <w:pPr>
              <w:widowControl w:val="0"/>
              <w:rPr>
                <w:rFonts w:ascii="Arial Narrow" w:hAnsi="Arial Narrow"/>
                <w:sz w:val="20"/>
                <w:szCs w:val="20"/>
              </w:rPr>
            </w:pPr>
            <w:r w:rsidRPr="003365D6">
              <w:rPr>
                <w:rFonts w:ascii="Arial Narrow" w:hAnsi="Arial Narrow"/>
                <w:sz w:val="20"/>
                <w:szCs w:val="20"/>
              </w:rPr>
              <w:t>Not permitted</w:t>
            </w:r>
          </w:p>
        </w:tc>
        <w:tc>
          <w:tcPr>
            <w:tcW w:w="2356" w:type="dxa"/>
          </w:tcPr>
          <w:p w:rsidR="00AA74FC" w:rsidRPr="003365D6" w:rsidRDefault="00B7530F" w:rsidP="00C12699">
            <w:pPr>
              <w:pStyle w:val="ListParagraph"/>
              <w:widowControl w:val="0"/>
              <w:ind w:left="0"/>
              <w:rPr>
                <w:rFonts w:ascii="Arial Narrow" w:hAnsi="Arial Narrow"/>
                <w:sz w:val="20"/>
                <w:szCs w:val="20"/>
              </w:rPr>
            </w:pPr>
            <w:r w:rsidRPr="003365D6">
              <w:rPr>
                <w:rFonts w:ascii="Arial Narrow" w:hAnsi="Arial Narrow"/>
                <w:sz w:val="20"/>
                <w:szCs w:val="20"/>
              </w:rPr>
              <w:t>Not permitted</w:t>
            </w:r>
          </w:p>
        </w:tc>
      </w:tr>
      <w:tr w:rsidR="00AA74FC" w:rsidRPr="003365D6" w:rsidTr="00840882">
        <w:tc>
          <w:tcPr>
            <w:tcW w:w="1465" w:type="dxa"/>
          </w:tcPr>
          <w:p w:rsidR="00AA74FC" w:rsidRPr="003365D6" w:rsidRDefault="00AA74FC" w:rsidP="00C12699">
            <w:pPr>
              <w:pStyle w:val="ListParagraph"/>
              <w:widowControl w:val="0"/>
              <w:ind w:left="0"/>
              <w:rPr>
                <w:rFonts w:ascii="Arial Narrow" w:hAnsi="Arial Narrow"/>
                <w:b/>
                <w:sz w:val="20"/>
                <w:szCs w:val="20"/>
              </w:rPr>
            </w:pPr>
            <w:r w:rsidRPr="003365D6">
              <w:rPr>
                <w:rFonts w:ascii="Arial Narrow" w:hAnsi="Arial Narrow"/>
                <w:b/>
                <w:sz w:val="20"/>
                <w:szCs w:val="20"/>
              </w:rPr>
              <w:t>Study blinding</w:t>
            </w:r>
          </w:p>
        </w:tc>
        <w:tc>
          <w:tcPr>
            <w:tcW w:w="2356" w:type="dxa"/>
          </w:tcPr>
          <w:p w:rsidR="00AA74FC" w:rsidRPr="003365D6" w:rsidRDefault="00AA74FC" w:rsidP="00C12699">
            <w:pPr>
              <w:pStyle w:val="ListParagraph"/>
              <w:widowControl w:val="0"/>
              <w:ind w:left="0"/>
              <w:rPr>
                <w:rFonts w:ascii="Arial Narrow" w:hAnsi="Arial Narrow"/>
                <w:sz w:val="20"/>
                <w:szCs w:val="20"/>
              </w:rPr>
            </w:pPr>
            <w:r w:rsidRPr="003365D6">
              <w:rPr>
                <w:rFonts w:ascii="Arial Narrow" w:hAnsi="Arial Narrow"/>
                <w:sz w:val="20"/>
                <w:szCs w:val="20"/>
              </w:rPr>
              <w:t>Double blind</w:t>
            </w:r>
            <w:r w:rsidR="00DF63DC" w:rsidRPr="003365D6">
              <w:rPr>
                <w:rFonts w:ascii="Arial Narrow" w:hAnsi="Arial Narrow"/>
                <w:sz w:val="20"/>
                <w:szCs w:val="20"/>
              </w:rPr>
              <w:t xml:space="preserve"> (unblinded after week 54)</w:t>
            </w:r>
          </w:p>
        </w:tc>
        <w:tc>
          <w:tcPr>
            <w:tcW w:w="2356" w:type="dxa"/>
          </w:tcPr>
          <w:p w:rsidR="00AA74FC" w:rsidRPr="003365D6" w:rsidRDefault="00F15442" w:rsidP="00C12699">
            <w:pPr>
              <w:pStyle w:val="ListParagraph"/>
              <w:widowControl w:val="0"/>
              <w:ind w:left="0"/>
              <w:rPr>
                <w:rFonts w:ascii="Arial Narrow" w:hAnsi="Arial Narrow"/>
                <w:sz w:val="20"/>
                <w:szCs w:val="20"/>
              </w:rPr>
            </w:pPr>
            <w:r w:rsidRPr="003365D6">
              <w:rPr>
                <w:rFonts w:ascii="Arial Narrow" w:hAnsi="Arial Narrow"/>
                <w:sz w:val="20"/>
                <w:szCs w:val="20"/>
              </w:rPr>
              <w:t>Double blind</w:t>
            </w:r>
          </w:p>
        </w:tc>
        <w:tc>
          <w:tcPr>
            <w:tcW w:w="2356" w:type="dxa"/>
          </w:tcPr>
          <w:p w:rsidR="00AA74FC" w:rsidRPr="003365D6" w:rsidRDefault="00B7530F" w:rsidP="00C12699">
            <w:pPr>
              <w:pStyle w:val="ListParagraph"/>
              <w:widowControl w:val="0"/>
              <w:ind w:left="0"/>
              <w:rPr>
                <w:rFonts w:ascii="Arial Narrow" w:hAnsi="Arial Narrow"/>
                <w:sz w:val="20"/>
                <w:szCs w:val="20"/>
              </w:rPr>
            </w:pPr>
            <w:r w:rsidRPr="003365D6">
              <w:rPr>
                <w:rFonts w:ascii="Arial Narrow" w:hAnsi="Arial Narrow"/>
                <w:sz w:val="20"/>
                <w:szCs w:val="20"/>
              </w:rPr>
              <w:t>Double blind (unblinded after efficacy evaluation at week 30)</w:t>
            </w:r>
          </w:p>
        </w:tc>
      </w:tr>
      <w:tr w:rsidR="00AA74FC" w:rsidRPr="003365D6" w:rsidTr="00840882">
        <w:tc>
          <w:tcPr>
            <w:tcW w:w="1465" w:type="dxa"/>
          </w:tcPr>
          <w:p w:rsidR="00AA74FC" w:rsidRPr="003365D6" w:rsidRDefault="00AA74FC" w:rsidP="00C12699">
            <w:pPr>
              <w:pStyle w:val="ListParagraph"/>
              <w:widowControl w:val="0"/>
              <w:ind w:left="0"/>
              <w:rPr>
                <w:rFonts w:ascii="Arial Narrow" w:hAnsi="Arial Narrow"/>
                <w:b/>
                <w:sz w:val="20"/>
                <w:szCs w:val="20"/>
              </w:rPr>
            </w:pPr>
            <w:r w:rsidRPr="003365D6">
              <w:rPr>
                <w:rFonts w:ascii="Arial Narrow" w:hAnsi="Arial Narrow"/>
                <w:b/>
                <w:sz w:val="20"/>
                <w:szCs w:val="20"/>
              </w:rPr>
              <w:t>Duration of treatment</w:t>
            </w:r>
          </w:p>
        </w:tc>
        <w:tc>
          <w:tcPr>
            <w:tcW w:w="2356" w:type="dxa"/>
          </w:tcPr>
          <w:p w:rsidR="00AA74FC" w:rsidRPr="003365D6" w:rsidRDefault="00A30C8D" w:rsidP="00C12699">
            <w:pPr>
              <w:pStyle w:val="ListParagraph"/>
              <w:widowControl w:val="0"/>
              <w:ind w:left="0"/>
              <w:rPr>
                <w:rFonts w:ascii="Arial Narrow" w:hAnsi="Arial Narrow"/>
                <w:sz w:val="20"/>
                <w:szCs w:val="20"/>
              </w:rPr>
            </w:pPr>
            <w:r w:rsidRPr="003365D6">
              <w:rPr>
                <w:rFonts w:ascii="Arial Narrow" w:hAnsi="Arial Narrow"/>
                <w:sz w:val="20"/>
                <w:szCs w:val="20"/>
              </w:rPr>
              <w:t>102</w:t>
            </w:r>
            <w:r w:rsidR="00AA74FC" w:rsidRPr="003365D6">
              <w:rPr>
                <w:rFonts w:ascii="Arial Narrow" w:hAnsi="Arial Narrow"/>
                <w:sz w:val="20"/>
                <w:szCs w:val="20"/>
              </w:rPr>
              <w:t xml:space="preserve"> weeks</w:t>
            </w:r>
            <w:r w:rsidR="00181C51" w:rsidRPr="003365D6">
              <w:rPr>
                <w:rFonts w:ascii="Arial Narrow" w:hAnsi="Arial Narrow"/>
                <w:sz w:val="20"/>
                <w:szCs w:val="20"/>
              </w:rPr>
              <w:t xml:space="preserve"> (patients receiving Remicade switched to Inflectra at week 54</w:t>
            </w:r>
            <w:r w:rsidRPr="003365D6">
              <w:rPr>
                <w:rFonts w:ascii="Arial Narrow" w:hAnsi="Arial Narrow"/>
                <w:sz w:val="20"/>
                <w:szCs w:val="20"/>
              </w:rPr>
              <w:t>)</w:t>
            </w:r>
          </w:p>
        </w:tc>
        <w:tc>
          <w:tcPr>
            <w:tcW w:w="2356" w:type="dxa"/>
          </w:tcPr>
          <w:p w:rsidR="00AA74FC" w:rsidRPr="003365D6" w:rsidRDefault="00B7530F" w:rsidP="00C12699">
            <w:pPr>
              <w:pStyle w:val="ListParagraph"/>
              <w:widowControl w:val="0"/>
              <w:ind w:left="0"/>
              <w:rPr>
                <w:rFonts w:ascii="Arial Narrow" w:hAnsi="Arial Narrow"/>
                <w:sz w:val="20"/>
                <w:szCs w:val="20"/>
              </w:rPr>
            </w:pPr>
            <w:r w:rsidRPr="003365D6">
              <w:rPr>
                <w:rFonts w:ascii="Arial Narrow" w:hAnsi="Arial Narrow"/>
                <w:sz w:val="20"/>
                <w:szCs w:val="20"/>
              </w:rPr>
              <w:t>Up to 54 weeks</w:t>
            </w:r>
            <w:r w:rsidR="00CD39B1" w:rsidRPr="003365D6">
              <w:rPr>
                <w:rFonts w:ascii="Arial Narrow" w:hAnsi="Arial Narrow"/>
                <w:sz w:val="20"/>
                <w:szCs w:val="20"/>
              </w:rPr>
              <w:t xml:space="preserve"> (primary study)</w:t>
            </w:r>
          </w:p>
        </w:tc>
        <w:tc>
          <w:tcPr>
            <w:tcW w:w="2356" w:type="dxa"/>
          </w:tcPr>
          <w:p w:rsidR="00AA74FC" w:rsidRPr="003365D6" w:rsidRDefault="00B7530F" w:rsidP="00C12699">
            <w:pPr>
              <w:pStyle w:val="ListParagraph"/>
              <w:widowControl w:val="0"/>
              <w:ind w:left="0"/>
              <w:rPr>
                <w:rFonts w:ascii="Arial Narrow" w:hAnsi="Arial Narrow"/>
                <w:sz w:val="20"/>
                <w:szCs w:val="20"/>
              </w:rPr>
            </w:pPr>
            <w:r w:rsidRPr="003365D6">
              <w:rPr>
                <w:rFonts w:ascii="Arial Narrow" w:hAnsi="Arial Narrow"/>
                <w:sz w:val="20"/>
                <w:szCs w:val="20"/>
              </w:rPr>
              <w:t>Up to 54 weeks</w:t>
            </w:r>
            <w:r w:rsidR="00CD39B1" w:rsidRPr="003365D6">
              <w:rPr>
                <w:rFonts w:ascii="Arial Narrow" w:hAnsi="Arial Narrow"/>
                <w:sz w:val="20"/>
                <w:szCs w:val="20"/>
              </w:rPr>
              <w:t xml:space="preserve"> (primary study)</w:t>
            </w:r>
          </w:p>
        </w:tc>
      </w:tr>
      <w:tr w:rsidR="00B7530F" w:rsidRPr="003365D6" w:rsidTr="00840882">
        <w:tc>
          <w:tcPr>
            <w:tcW w:w="1465" w:type="dxa"/>
          </w:tcPr>
          <w:p w:rsidR="00B7530F" w:rsidRPr="003365D6" w:rsidRDefault="00B7530F" w:rsidP="00C12699">
            <w:pPr>
              <w:pStyle w:val="ListParagraph"/>
              <w:widowControl w:val="0"/>
              <w:ind w:left="0"/>
              <w:rPr>
                <w:rFonts w:ascii="Arial Narrow" w:hAnsi="Arial Narrow"/>
                <w:b/>
                <w:sz w:val="20"/>
                <w:szCs w:val="20"/>
              </w:rPr>
            </w:pPr>
            <w:r w:rsidRPr="003365D6">
              <w:rPr>
                <w:rFonts w:ascii="Arial Narrow" w:hAnsi="Arial Narrow"/>
                <w:b/>
                <w:sz w:val="20"/>
                <w:szCs w:val="20"/>
              </w:rPr>
              <w:t>Duration of follow-up</w:t>
            </w:r>
          </w:p>
        </w:tc>
        <w:tc>
          <w:tcPr>
            <w:tcW w:w="2356" w:type="dxa"/>
          </w:tcPr>
          <w:p w:rsidR="00B7530F" w:rsidRPr="003365D6" w:rsidRDefault="00A30C8D" w:rsidP="00C12699">
            <w:pPr>
              <w:pStyle w:val="ListParagraph"/>
              <w:widowControl w:val="0"/>
              <w:ind w:left="0"/>
              <w:rPr>
                <w:rFonts w:ascii="Arial Narrow" w:hAnsi="Arial Narrow"/>
                <w:sz w:val="20"/>
                <w:szCs w:val="20"/>
              </w:rPr>
            </w:pPr>
            <w:r w:rsidRPr="003365D6">
              <w:rPr>
                <w:rFonts w:ascii="Arial Narrow" w:hAnsi="Arial Narrow"/>
                <w:sz w:val="20"/>
                <w:szCs w:val="20"/>
              </w:rPr>
              <w:t>110 weeks</w:t>
            </w:r>
          </w:p>
        </w:tc>
        <w:tc>
          <w:tcPr>
            <w:tcW w:w="2356" w:type="dxa"/>
          </w:tcPr>
          <w:p w:rsidR="00B7530F" w:rsidRPr="003365D6" w:rsidRDefault="00B7530F" w:rsidP="00C12699">
            <w:pPr>
              <w:pStyle w:val="ListParagraph"/>
              <w:widowControl w:val="0"/>
              <w:ind w:left="0"/>
              <w:rPr>
                <w:rFonts w:ascii="Arial Narrow" w:hAnsi="Arial Narrow"/>
                <w:sz w:val="20"/>
                <w:szCs w:val="20"/>
              </w:rPr>
            </w:pPr>
            <w:r w:rsidRPr="003365D6">
              <w:rPr>
                <w:rFonts w:ascii="Arial Narrow" w:hAnsi="Arial Narrow"/>
                <w:sz w:val="20"/>
                <w:szCs w:val="20"/>
              </w:rPr>
              <w:t>Up to 62 weeks (8 weeks after last dose)</w:t>
            </w:r>
          </w:p>
        </w:tc>
        <w:tc>
          <w:tcPr>
            <w:tcW w:w="2356" w:type="dxa"/>
          </w:tcPr>
          <w:p w:rsidR="00B7530F" w:rsidRPr="003365D6" w:rsidRDefault="00B7530F" w:rsidP="00C12699">
            <w:pPr>
              <w:pStyle w:val="ListParagraph"/>
              <w:widowControl w:val="0"/>
              <w:ind w:left="0"/>
              <w:rPr>
                <w:rFonts w:ascii="Arial Narrow" w:hAnsi="Arial Narrow"/>
                <w:sz w:val="20"/>
                <w:szCs w:val="20"/>
              </w:rPr>
            </w:pPr>
            <w:r w:rsidRPr="003365D6">
              <w:rPr>
                <w:rFonts w:ascii="Arial Narrow" w:hAnsi="Arial Narrow"/>
                <w:sz w:val="20"/>
                <w:szCs w:val="20"/>
              </w:rPr>
              <w:t>Up to 62 weeks (8 weeks after last dose)</w:t>
            </w:r>
          </w:p>
        </w:tc>
      </w:tr>
      <w:tr w:rsidR="009B180D" w:rsidRPr="003365D6" w:rsidTr="00840882">
        <w:tc>
          <w:tcPr>
            <w:tcW w:w="1465" w:type="dxa"/>
          </w:tcPr>
          <w:p w:rsidR="009B180D" w:rsidRPr="003365D6" w:rsidRDefault="009B180D" w:rsidP="00C12699">
            <w:pPr>
              <w:pStyle w:val="ListParagraph"/>
              <w:widowControl w:val="0"/>
              <w:ind w:left="0"/>
              <w:rPr>
                <w:rFonts w:ascii="Arial Narrow" w:hAnsi="Arial Narrow"/>
                <w:b/>
                <w:sz w:val="20"/>
                <w:szCs w:val="20"/>
              </w:rPr>
            </w:pPr>
            <w:r w:rsidRPr="003365D6">
              <w:rPr>
                <w:rFonts w:ascii="Arial Narrow" w:hAnsi="Arial Narrow"/>
                <w:b/>
                <w:sz w:val="20"/>
                <w:szCs w:val="20"/>
              </w:rPr>
              <w:t>Crossover</w:t>
            </w:r>
          </w:p>
        </w:tc>
        <w:tc>
          <w:tcPr>
            <w:tcW w:w="2356" w:type="dxa"/>
          </w:tcPr>
          <w:p w:rsidR="009B180D" w:rsidRPr="003365D6" w:rsidRDefault="009B180D" w:rsidP="00C12699">
            <w:pPr>
              <w:pStyle w:val="ListParagraph"/>
              <w:widowControl w:val="0"/>
              <w:ind w:left="0"/>
              <w:rPr>
                <w:rFonts w:ascii="Arial Narrow" w:hAnsi="Arial Narrow"/>
                <w:sz w:val="20"/>
                <w:szCs w:val="20"/>
              </w:rPr>
            </w:pPr>
            <w:r w:rsidRPr="003365D6">
              <w:rPr>
                <w:rFonts w:ascii="Arial Narrow" w:hAnsi="Arial Narrow"/>
                <w:sz w:val="20"/>
                <w:szCs w:val="20"/>
              </w:rPr>
              <w:t>All Remicade patients were switched to Inflectra after week 54.</w:t>
            </w:r>
          </w:p>
        </w:tc>
        <w:tc>
          <w:tcPr>
            <w:tcW w:w="2356" w:type="dxa"/>
          </w:tcPr>
          <w:p w:rsidR="009B180D" w:rsidRPr="003365D6" w:rsidRDefault="009B180D" w:rsidP="00C12699">
            <w:pPr>
              <w:pStyle w:val="ListParagraph"/>
              <w:widowControl w:val="0"/>
              <w:ind w:left="0"/>
              <w:rPr>
                <w:rFonts w:ascii="Arial Narrow" w:hAnsi="Arial Narrow"/>
                <w:sz w:val="20"/>
                <w:szCs w:val="20"/>
              </w:rPr>
            </w:pPr>
            <w:r w:rsidRPr="003365D6">
              <w:rPr>
                <w:rFonts w:ascii="Arial Narrow" w:hAnsi="Arial Narrow"/>
                <w:sz w:val="20"/>
                <w:szCs w:val="20"/>
              </w:rPr>
              <w:t>Patients enrolled into extension study (after week 54) were switched from Remicade to Inflectra</w:t>
            </w:r>
          </w:p>
        </w:tc>
        <w:tc>
          <w:tcPr>
            <w:tcW w:w="2356" w:type="dxa"/>
          </w:tcPr>
          <w:p w:rsidR="009B180D" w:rsidRPr="003365D6" w:rsidRDefault="009B180D" w:rsidP="00C12699">
            <w:pPr>
              <w:pStyle w:val="ListParagraph"/>
              <w:widowControl w:val="0"/>
              <w:ind w:left="0"/>
              <w:rPr>
                <w:rFonts w:ascii="Arial Narrow" w:hAnsi="Arial Narrow"/>
                <w:sz w:val="20"/>
                <w:szCs w:val="20"/>
              </w:rPr>
            </w:pPr>
            <w:r w:rsidRPr="003365D6">
              <w:rPr>
                <w:rFonts w:ascii="Arial Narrow" w:hAnsi="Arial Narrow"/>
                <w:sz w:val="20"/>
                <w:szCs w:val="20"/>
              </w:rPr>
              <w:t>Patients enrolled into extension study (after week 54) were switched from Remicade to Inflectra</w:t>
            </w:r>
          </w:p>
        </w:tc>
      </w:tr>
      <w:tr w:rsidR="00CD39B1" w:rsidRPr="003365D6" w:rsidTr="00840882">
        <w:tc>
          <w:tcPr>
            <w:tcW w:w="1465" w:type="dxa"/>
          </w:tcPr>
          <w:p w:rsidR="00CD39B1" w:rsidRPr="003365D6" w:rsidRDefault="00CD39B1" w:rsidP="00C12699">
            <w:pPr>
              <w:pStyle w:val="ListParagraph"/>
              <w:widowControl w:val="0"/>
              <w:ind w:left="0"/>
              <w:rPr>
                <w:rFonts w:ascii="Arial Narrow" w:hAnsi="Arial Narrow"/>
                <w:b/>
                <w:sz w:val="20"/>
                <w:szCs w:val="20"/>
              </w:rPr>
            </w:pPr>
            <w:r w:rsidRPr="003365D6">
              <w:rPr>
                <w:rFonts w:ascii="Arial Narrow" w:hAnsi="Arial Narrow"/>
                <w:b/>
                <w:sz w:val="20"/>
                <w:szCs w:val="20"/>
              </w:rPr>
              <w:t>Data following crossover</w:t>
            </w:r>
          </w:p>
        </w:tc>
        <w:tc>
          <w:tcPr>
            <w:tcW w:w="2356" w:type="dxa"/>
          </w:tcPr>
          <w:p w:rsidR="00CD39B1" w:rsidRPr="003365D6" w:rsidRDefault="00CD39B1" w:rsidP="00C12699">
            <w:pPr>
              <w:pStyle w:val="ListParagraph"/>
              <w:widowControl w:val="0"/>
              <w:ind w:left="0"/>
              <w:rPr>
                <w:rFonts w:ascii="Arial Narrow" w:hAnsi="Arial Narrow"/>
                <w:sz w:val="20"/>
                <w:szCs w:val="20"/>
              </w:rPr>
            </w:pPr>
            <w:r w:rsidRPr="003365D6">
              <w:rPr>
                <w:rFonts w:ascii="Arial Narrow" w:hAnsi="Arial Narrow"/>
                <w:sz w:val="20"/>
                <w:szCs w:val="20"/>
              </w:rPr>
              <w:t>Safety</w:t>
            </w:r>
          </w:p>
        </w:tc>
        <w:tc>
          <w:tcPr>
            <w:tcW w:w="2356" w:type="dxa"/>
          </w:tcPr>
          <w:p w:rsidR="00CD39B1" w:rsidRPr="003365D6" w:rsidRDefault="00CD39B1" w:rsidP="00C12699">
            <w:pPr>
              <w:pStyle w:val="ListParagraph"/>
              <w:widowControl w:val="0"/>
              <w:ind w:left="0"/>
              <w:rPr>
                <w:rFonts w:ascii="Arial Narrow" w:hAnsi="Arial Narrow"/>
                <w:sz w:val="20"/>
                <w:szCs w:val="20"/>
              </w:rPr>
            </w:pPr>
            <w:r w:rsidRPr="003365D6">
              <w:rPr>
                <w:rFonts w:ascii="Arial Narrow" w:hAnsi="Arial Narrow"/>
                <w:sz w:val="20"/>
                <w:szCs w:val="20"/>
              </w:rPr>
              <w:t>Safety, efficacy, immunogenicity</w:t>
            </w:r>
          </w:p>
        </w:tc>
        <w:tc>
          <w:tcPr>
            <w:tcW w:w="2356" w:type="dxa"/>
          </w:tcPr>
          <w:p w:rsidR="00CD39B1" w:rsidRPr="003365D6" w:rsidRDefault="00CD39B1" w:rsidP="00C12699">
            <w:pPr>
              <w:pStyle w:val="ListParagraph"/>
              <w:widowControl w:val="0"/>
              <w:ind w:left="0"/>
              <w:rPr>
                <w:rFonts w:ascii="Arial Narrow" w:hAnsi="Arial Narrow"/>
                <w:sz w:val="20"/>
                <w:szCs w:val="20"/>
              </w:rPr>
            </w:pPr>
            <w:r w:rsidRPr="003365D6">
              <w:rPr>
                <w:rFonts w:ascii="Arial Narrow" w:hAnsi="Arial Narrow"/>
                <w:sz w:val="20"/>
                <w:szCs w:val="20"/>
              </w:rPr>
              <w:t>Safety, efficacy, immunogenicity</w:t>
            </w:r>
          </w:p>
        </w:tc>
      </w:tr>
    </w:tbl>
    <w:p w:rsidR="00A30C8D" w:rsidRPr="003365D6" w:rsidRDefault="00074DB3" w:rsidP="00C12699">
      <w:pPr>
        <w:widowControl w:val="0"/>
        <w:ind w:left="720"/>
        <w:jc w:val="both"/>
        <w:rPr>
          <w:rFonts w:ascii="Arial Narrow" w:hAnsi="Arial Narrow"/>
          <w:sz w:val="20"/>
          <w:szCs w:val="20"/>
        </w:rPr>
      </w:pPr>
      <w:r w:rsidRPr="003365D6">
        <w:rPr>
          <w:rFonts w:ascii="Arial Narrow" w:hAnsi="Arial Narrow"/>
          <w:sz w:val="20"/>
          <w:szCs w:val="20"/>
        </w:rPr>
        <w:t xml:space="preserve">AE = adverse events; ACR = American College of Rheumatology; ACR20 / 50 / 70 = 20% / 50% / 70% improvement according to the ACR criteria; ASAS = Assessment of Spondyloarthritis International Society; BASDAI / FAI / MI = Bath Ankylosing Spondylitis Disease Activity Index / Functional Index / Metrology Index; CDAI = Clinical disease activity index; </w:t>
      </w:r>
      <w:r w:rsidR="00566823" w:rsidRPr="003365D6">
        <w:rPr>
          <w:rFonts w:ascii="Arial Narrow" w:hAnsi="Arial Narrow"/>
          <w:sz w:val="20"/>
          <w:szCs w:val="20"/>
        </w:rPr>
        <w:t>DAS = Disease Activity Score</w:t>
      </w:r>
      <w:r w:rsidRPr="003365D6">
        <w:rPr>
          <w:rFonts w:ascii="Arial Narrow" w:hAnsi="Arial Narrow"/>
          <w:sz w:val="20"/>
          <w:szCs w:val="20"/>
        </w:rPr>
        <w:t xml:space="preserve">; EULAR = The European League Against Rheumatism; </w:t>
      </w:r>
      <w:r w:rsidR="00566823" w:rsidRPr="003365D6">
        <w:rPr>
          <w:rFonts w:ascii="Arial Narrow" w:hAnsi="Arial Narrow"/>
          <w:sz w:val="20"/>
          <w:szCs w:val="20"/>
        </w:rPr>
        <w:t>PD = pharmacodynamics; PK = pharmacokinetics;</w:t>
      </w:r>
      <w:r w:rsidRPr="003365D6">
        <w:rPr>
          <w:rFonts w:ascii="Arial Narrow" w:hAnsi="Arial Narrow"/>
          <w:sz w:val="20"/>
          <w:szCs w:val="20"/>
        </w:rPr>
        <w:t xml:space="preserve"> AUC = area under the concentration-time curve; C</w:t>
      </w:r>
      <w:r w:rsidRPr="003365D6">
        <w:rPr>
          <w:rFonts w:ascii="Arial Narrow" w:hAnsi="Arial Narrow"/>
          <w:sz w:val="20"/>
          <w:szCs w:val="20"/>
          <w:vertAlign w:val="subscript"/>
        </w:rPr>
        <w:t>av</w:t>
      </w:r>
      <w:r w:rsidRPr="003365D6">
        <w:rPr>
          <w:rFonts w:ascii="Arial Narrow" w:hAnsi="Arial Narrow"/>
          <w:sz w:val="20"/>
          <w:szCs w:val="20"/>
        </w:rPr>
        <w:t xml:space="preserve"> = average steady-state plasma drug concentration; C</w:t>
      </w:r>
      <w:r w:rsidRPr="003365D6">
        <w:rPr>
          <w:rFonts w:ascii="Arial Narrow" w:hAnsi="Arial Narrow"/>
          <w:sz w:val="20"/>
          <w:szCs w:val="20"/>
          <w:vertAlign w:val="subscript"/>
        </w:rPr>
        <w:t>L</w:t>
      </w:r>
      <w:r w:rsidRPr="003365D6">
        <w:rPr>
          <w:rFonts w:ascii="Arial Narrow" w:hAnsi="Arial Narrow"/>
          <w:sz w:val="20"/>
          <w:szCs w:val="20"/>
        </w:rPr>
        <w:t xml:space="preserve"> = apparent total body clearance of the drug; C</w:t>
      </w:r>
      <w:r w:rsidRPr="003365D6">
        <w:rPr>
          <w:rFonts w:ascii="Arial Narrow" w:hAnsi="Arial Narrow"/>
          <w:sz w:val="20"/>
          <w:szCs w:val="20"/>
          <w:vertAlign w:val="subscript"/>
        </w:rPr>
        <w:t>max</w:t>
      </w:r>
      <w:r w:rsidRPr="003365D6">
        <w:rPr>
          <w:rFonts w:ascii="Arial Narrow" w:hAnsi="Arial Narrow"/>
          <w:sz w:val="20"/>
          <w:szCs w:val="20"/>
        </w:rPr>
        <w:t xml:space="preserve"> = peak plasma drug concentration; C</w:t>
      </w:r>
      <w:r w:rsidRPr="003365D6">
        <w:rPr>
          <w:rFonts w:ascii="Arial Narrow" w:hAnsi="Arial Narrow"/>
          <w:sz w:val="20"/>
          <w:szCs w:val="20"/>
          <w:vertAlign w:val="subscript"/>
        </w:rPr>
        <w:t>min</w:t>
      </w:r>
      <w:r w:rsidRPr="003365D6">
        <w:rPr>
          <w:rFonts w:ascii="Arial Narrow" w:hAnsi="Arial Narrow"/>
          <w:sz w:val="20"/>
          <w:szCs w:val="20"/>
        </w:rPr>
        <w:t xml:space="preserve"> = minimum plasma drug concentration; T</w:t>
      </w:r>
      <w:r w:rsidRPr="003365D6">
        <w:rPr>
          <w:rFonts w:ascii="Arial Narrow" w:hAnsi="Arial Narrow"/>
          <w:sz w:val="20"/>
          <w:szCs w:val="20"/>
          <w:vertAlign w:val="subscript"/>
        </w:rPr>
        <w:t>max</w:t>
      </w:r>
      <w:r w:rsidRPr="003365D6">
        <w:rPr>
          <w:rFonts w:ascii="Arial Narrow" w:hAnsi="Arial Narrow"/>
          <w:sz w:val="20"/>
          <w:szCs w:val="20"/>
        </w:rPr>
        <w:t xml:space="preserve"> = time to maximum plasma concentration; V</w:t>
      </w:r>
      <w:r w:rsidRPr="003365D6">
        <w:rPr>
          <w:rFonts w:ascii="Arial Narrow" w:hAnsi="Arial Narrow"/>
          <w:sz w:val="20"/>
          <w:szCs w:val="20"/>
          <w:vertAlign w:val="subscript"/>
        </w:rPr>
        <w:t>d</w:t>
      </w:r>
      <w:r w:rsidRPr="003365D6">
        <w:rPr>
          <w:rFonts w:ascii="Arial Narrow" w:hAnsi="Arial Narrow"/>
          <w:sz w:val="20"/>
          <w:szCs w:val="20"/>
        </w:rPr>
        <w:t xml:space="preserve"> = apparent volume of distribution; T </w:t>
      </w:r>
    </w:p>
    <w:p w:rsidR="00390750" w:rsidRPr="003365D6" w:rsidRDefault="00390750" w:rsidP="005F0E8F">
      <w:pPr>
        <w:jc w:val="both"/>
        <w:rPr>
          <w:rFonts w:ascii="Arial" w:hAnsi="Arial"/>
          <w:sz w:val="22"/>
          <w:szCs w:val="22"/>
        </w:rPr>
      </w:pPr>
    </w:p>
    <w:p w:rsidR="00DF63DC" w:rsidRPr="003365D6" w:rsidRDefault="00DF63DC" w:rsidP="00526CD0">
      <w:pPr>
        <w:pStyle w:val="ListParagraph"/>
        <w:numPr>
          <w:ilvl w:val="1"/>
          <w:numId w:val="2"/>
        </w:numPr>
        <w:jc w:val="both"/>
        <w:rPr>
          <w:rFonts w:ascii="Arial" w:hAnsi="Arial"/>
          <w:sz w:val="22"/>
          <w:szCs w:val="22"/>
        </w:rPr>
      </w:pPr>
      <w:r w:rsidRPr="003365D6">
        <w:rPr>
          <w:rFonts w:ascii="Arial" w:hAnsi="Arial"/>
          <w:sz w:val="22"/>
          <w:szCs w:val="22"/>
        </w:rPr>
        <w:t>Enrolled patient population and disposition in the studies</w:t>
      </w:r>
      <w:r w:rsidR="00F74FF9" w:rsidRPr="003365D6">
        <w:rPr>
          <w:rFonts w:ascii="Arial" w:hAnsi="Arial"/>
          <w:sz w:val="22"/>
          <w:szCs w:val="22"/>
        </w:rPr>
        <w:t xml:space="preserve"> is presented </w:t>
      </w:r>
      <w:r w:rsidR="007C3DBE" w:rsidRPr="003365D6">
        <w:rPr>
          <w:rFonts w:ascii="Arial" w:hAnsi="Arial"/>
          <w:sz w:val="22"/>
          <w:szCs w:val="22"/>
        </w:rPr>
        <w:t xml:space="preserve">in the table </w:t>
      </w:r>
      <w:r w:rsidR="00F74FF9" w:rsidRPr="003365D6">
        <w:rPr>
          <w:rFonts w:ascii="Arial" w:hAnsi="Arial"/>
          <w:sz w:val="22"/>
          <w:szCs w:val="22"/>
        </w:rPr>
        <w:t>below.</w:t>
      </w:r>
    </w:p>
    <w:p w:rsidR="00DF63DC" w:rsidRPr="003365D6" w:rsidRDefault="00DF63DC" w:rsidP="005F0E8F">
      <w:pPr>
        <w:jc w:val="both"/>
        <w:rPr>
          <w:rFonts w:ascii="Arial" w:hAnsi="Arial"/>
          <w:sz w:val="22"/>
          <w:szCs w:val="22"/>
        </w:rPr>
      </w:pPr>
    </w:p>
    <w:p w:rsidR="00EA6FDA" w:rsidRPr="00F233E4" w:rsidRDefault="00EA6FDA" w:rsidP="00ED652C">
      <w:pPr>
        <w:pStyle w:val="Caption"/>
        <w:keepNext/>
        <w:spacing w:after="0"/>
        <w:ind w:left="720"/>
        <w:rPr>
          <w:rStyle w:val="CommentReference"/>
          <w:b/>
        </w:rPr>
      </w:pPr>
      <w:r w:rsidRPr="003365D6">
        <w:rPr>
          <w:rStyle w:val="CommentReference"/>
          <w:b/>
        </w:rPr>
        <w:t xml:space="preserve">Table </w:t>
      </w:r>
      <w:r w:rsidR="009346CC" w:rsidRPr="003365D6">
        <w:rPr>
          <w:rStyle w:val="CommentReference"/>
          <w:b/>
        </w:rPr>
        <w:t>3</w:t>
      </w:r>
      <w:r w:rsidR="00DA1992">
        <w:rPr>
          <w:rStyle w:val="CommentReference"/>
          <w:b/>
        </w:rPr>
        <w:t>:</w:t>
      </w:r>
      <w:r w:rsidRPr="003365D6">
        <w:rPr>
          <w:rStyle w:val="CommentReference"/>
          <w:b/>
        </w:rPr>
        <w:tab/>
        <w:t>Discontinuations and baseline characteristics of the studies included in the minor submission</w:t>
      </w:r>
    </w:p>
    <w:tbl>
      <w:tblPr>
        <w:tblStyle w:val="TableGrid"/>
        <w:tblW w:w="0" w:type="auto"/>
        <w:tblInd w:w="709" w:type="dxa"/>
        <w:tblLook w:val="04A0" w:firstRow="1" w:lastRow="0" w:firstColumn="1" w:lastColumn="0" w:noHBand="0" w:noVBand="1"/>
        <w:tblCaption w:val="Table 3: Discontinuations and baseline characteristics of the studies included in the minor submission"/>
        <w:tblDescription w:val="This table summarises the discontinuations and baseline characteristics of the studies included in the minor submission. "/>
      </w:tblPr>
      <w:tblGrid>
        <w:gridCol w:w="1239"/>
        <w:gridCol w:w="1208"/>
        <w:gridCol w:w="1232"/>
        <w:gridCol w:w="1194"/>
        <w:gridCol w:w="1232"/>
        <w:gridCol w:w="1195"/>
        <w:gridCol w:w="1233"/>
      </w:tblGrid>
      <w:tr w:rsidR="00821022" w:rsidRPr="003365D6" w:rsidTr="008A4849">
        <w:trPr>
          <w:tblHeader/>
        </w:trPr>
        <w:tc>
          <w:tcPr>
            <w:tcW w:w="1239" w:type="dxa"/>
          </w:tcPr>
          <w:p w:rsidR="00821022" w:rsidRPr="003365D6" w:rsidRDefault="00821022" w:rsidP="00ED652C">
            <w:pPr>
              <w:keepNext/>
              <w:jc w:val="both"/>
              <w:rPr>
                <w:rFonts w:ascii="Arial Narrow" w:hAnsi="Arial Narrow"/>
                <w:sz w:val="20"/>
                <w:szCs w:val="20"/>
              </w:rPr>
            </w:pPr>
          </w:p>
        </w:tc>
        <w:tc>
          <w:tcPr>
            <w:tcW w:w="2440" w:type="dxa"/>
            <w:gridSpan w:val="2"/>
          </w:tcPr>
          <w:p w:rsidR="00821022" w:rsidRPr="003365D6" w:rsidRDefault="00821022" w:rsidP="00ED652C">
            <w:pPr>
              <w:keepNext/>
              <w:jc w:val="center"/>
              <w:rPr>
                <w:rFonts w:ascii="Arial Narrow" w:hAnsi="Arial Narrow"/>
                <w:b/>
                <w:sz w:val="20"/>
                <w:szCs w:val="20"/>
              </w:rPr>
            </w:pPr>
            <w:r w:rsidRPr="003365D6">
              <w:rPr>
                <w:rFonts w:ascii="Arial Narrow" w:hAnsi="Arial Narrow"/>
                <w:b/>
                <w:sz w:val="20"/>
                <w:szCs w:val="20"/>
              </w:rPr>
              <w:t>Study 1.2</w:t>
            </w:r>
          </w:p>
        </w:tc>
        <w:tc>
          <w:tcPr>
            <w:tcW w:w="2426" w:type="dxa"/>
            <w:gridSpan w:val="2"/>
          </w:tcPr>
          <w:p w:rsidR="00821022" w:rsidRPr="003365D6" w:rsidRDefault="00821022" w:rsidP="00ED652C">
            <w:pPr>
              <w:keepNext/>
              <w:jc w:val="center"/>
              <w:rPr>
                <w:rFonts w:ascii="Arial Narrow" w:hAnsi="Arial Narrow"/>
                <w:b/>
                <w:sz w:val="20"/>
                <w:szCs w:val="20"/>
              </w:rPr>
            </w:pPr>
            <w:r w:rsidRPr="003365D6">
              <w:rPr>
                <w:rFonts w:ascii="Arial Narrow" w:hAnsi="Arial Narrow"/>
                <w:b/>
                <w:sz w:val="20"/>
                <w:szCs w:val="20"/>
              </w:rPr>
              <w:t>Study 1.1</w:t>
            </w:r>
          </w:p>
        </w:tc>
        <w:tc>
          <w:tcPr>
            <w:tcW w:w="2428" w:type="dxa"/>
            <w:gridSpan w:val="2"/>
          </w:tcPr>
          <w:p w:rsidR="00821022" w:rsidRPr="003365D6" w:rsidRDefault="00821022" w:rsidP="00ED652C">
            <w:pPr>
              <w:keepNext/>
              <w:jc w:val="center"/>
              <w:rPr>
                <w:rFonts w:ascii="Arial Narrow" w:hAnsi="Arial Narrow"/>
                <w:b/>
                <w:sz w:val="20"/>
                <w:szCs w:val="20"/>
              </w:rPr>
            </w:pPr>
            <w:r w:rsidRPr="003365D6">
              <w:rPr>
                <w:rFonts w:ascii="Arial Narrow" w:hAnsi="Arial Narrow"/>
                <w:b/>
                <w:sz w:val="20"/>
                <w:szCs w:val="20"/>
              </w:rPr>
              <w:t>Study 3.1</w:t>
            </w:r>
          </w:p>
        </w:tc>
      </w:tr>
      <w:tr w:rsidR="001712CF" w:rsidRPr="003365D6" w:rsidTr="00EA6FDA">
        <w:tc>
          <w:tcPr>
            <w:tcW w:w="1239" w:type="dxa"/>
          </w:tcPr>
          <w:p w:rsidR="00DF63DC" w:rsidRPr="003365D6" w:rsidRDefault="00DF63DC" w:rsidP="00ED652C">
            <w:pPr>
              <w:keepNext/>
              <w:jc w:val="both"/>
              <w:rPr>
                <w:rFonts w:ascii="Arial Narrow" w:hAnsi="Arial Narrow"/>
                <w:sz w:val="20"/>
                <w:szCs w:val="20"/>
              </w:rPr>
            </w:pPr>
          </w:p>
        </w:tc>
        <w:tc>
          <w:tcPr>
            <w:tcW w:w="1208" w:type="dxa"/>
          </w:tcPr>
          <w:p w:rsidR="00DF63DC" w:rsidRPr="003365D6" w:rsidRDefault="00DF63DC" w:rsidP="00ED652C">
            <w:pPr>
              <w:keepNext/>
              <w:jc w:val="both"/>
              <w:rPr>
                <w:rFonts w:ascii="Arial Narrow" w:hAnsi="Arial Narrow"/>
                <w:sz w:val="20"/>
                <w:szCs w:val="20"/>
              </w:rPr>
            </w:pPr>
            <w:r w:rsidRPr="003365D6">
              <w:rPr>
                <w:rFonts w:ascii="Arial Narrow" w:hAnsi="Arial Narrow"/>
                <w:sz w:val="20"/>
                <w:szCs w:val="20"/>
              </w:rPr>
              <w:t>Inflectra</w:t>
            </w:r>
          </w:p>
          <w:p w:rsidR="00DF63DC" w:rsidRPr="003365D6" w:rsidRDefault="00DF63DC" w:rsidP="00ED652C">
            <w:pPr>
              <w:keepNext/>
              <w:jc w:val="both"/>
              <w:rPr>
                <w:rFonts w:ascii="Arial Narrow" w:hAnsi="Arial Narrow"/>
                <w:sz w:val="20"/>
                <w:szCs w:val="20"/>
              </w:rPr>
            </w:pPr>
            <w:r w:rsidRPr="003365D6">
              <w:rPr>
                <w:rFonts w:ascii="Arial Narrow" w:hAnsi="Arial Narrow"/>
                <w:sz w:val="20"/>
                <w:szCs w:val="20"/>
              </w:rPr>
              <w:t>(n=</w:t>
            </w:r>
            <w:r w:rsidR="00B9112B" w:rsidRPr="003365D6">
              <w:rPr>
                <w:rFonts w:ascii="Arial Narrow" w:hAnsi="Arial Narrow"/>
                <w:sz w:val="20"/>
                <w:szCs w:val="20"/>
              </w:rPr>
              <w:t>9)</w:t>
            </w:r>
          </w:p>
        </w:tc>
        <w:tc>
          <w:tcPr>
            <w:tcW w:w="1232" w:type="dxa"/>
          </w:tcPr>
          <w:p w:rsidR="00DF63DC" w:rsidRPr="003365D6" w:rsidRDefault="00DF63DC" w:rsidP="00ED652C">
            <w:pPr>
              <w:keepNext/>
              <w:jc w:val="both"/>
              <w:rPr>
                <w:rFonts w:ascii="Arial Narrow" w:hAnsi="Arial Narrow"/>
                <w:sz w:val="20"/>
                <w:szCs w:val="20"/>
              </w:rPr>
            </w:pPr>
            <w:r w:rsidRPr="003365D6">
              <w:rPr>
                <w:rFonts w:ascii="Arial Narrow" w:hAnsi="Arial Narrow"/>
                <w:sz w:val="20"/>
                <w:szCs w:val="20"/>
              </w:rPr>
              <w:t>Remicade</w:t>
            </w:r>
          </w:p>
          <w:p w:rsidR="00B9112B" w:rsidRPr="003365D6" w:rsidRDefault="00B9112B" w:rsidP="00ED652C">
            <w:pPr>
              <w:keepNext/>
              <w:jc w:val="both"/>
              <w:rPr>
                <w:rFonts w:ascii="Arial Narrow" w:hAnsi="Arial Narrow"/>
                <w:sz w:val="20"/>
                <w:szCs w:val="20"/>
              </w:rPr>
            </w:pPr>
            <w:r w:rsidRPr="003365D6">
              <w:rPr>
                <w:rFonts w:ascii="Arial Narrow" w:hAnsi="Arial Narrow"/>
                <w:sz w:val="20"/>
                <w:szCs w:val="20"/>
              </w:rPr>
              <w:t>(n=9)</w:t>
            </w:r>
            <w:r w:rsidRPr="003365D6">
              <w:rPr>
                <w:rFonts w:ascii="Arial Narrow" w:hAnsi="Arial Narrow"/>
                <w:sz w:val="20"/>
                <w:szCs w:val="20"/>
                <w:vertAlign w:val="superscript"/>
              </w:rPr>
              <w:t>a</w:t>
            </w:r>
          </w:p>
        </w:tc>
        <w:tc>
          <w:tcPr>
            <w:tcW w:w="1194" w:type="dxa"/>
          </w:tcPr>
          <w:p w:rsidR="00DF63DC" w:rsidRPr="003365D6" w:rsidRDefault="00DF63DC" w:rsidP="00ED652C">
            <w:pPr>
              <w:keepNext/>
              <w:jc w:val="both"/>
              <w:rPr>
                <w:rFonts w:ascii="Arial Narrow" w:hAnsi="Arial Narrow"/>
                <w:sz w:val="20"/>
                <w:szCs w:val="20"/>
              </w:rPr>
            </w:pPr>
            <w:r w:rsidRPr="003365D6">
              <w:rPr>
                <w:rFonts w:ascii="Arial Narrow" w:hAnsi="Arial Narrow"/>
                <w:sz w:val="20"/>
                <w:szCs w:val="20"/>
              </w:rPr>
              <w:t>Inflectra</w:t>
            </w:r>
          </w:p>
          <w:p w:rsidR="00E6758E" w:rsidRPr="003365D6" w:rsidRDefault="00E6758E" w:rsidP="00ED652C">
            <w:pPr>
              <w:keepNext/>
              <w:jc w:val="both"/>
              <w:rPr>
                <w:rFonts w:ascii="Arial Narrow" w:hAnsi="Arial Narrow"/>
                <w:sz w:val="20"/>
                <w:szCs w:val="20"/>
              </w:rPr>
            </w:pPr>
            <w:r w:rsidRPr="003365D6">
              <w:rPr>
                <w:rFonts w:ascii="Arial Narrow" w:hAnsi="Arial Narrow"/>
                <w:sz w:val="20"/>
                <w:szCs w:val="20"/>
              </w:rPr>
              <w:t>(n=125)</w:t>
            </w:r>
          </w:p>
        </w:tc>
        <w:tc>
          <w:tcPr>
            <w:tcW w:w="1232" w:type="dxa"/>
          </w:tcPr>
          <w:p w:rsidR="00DF63DC" w:rsidRPr="003365D6" w:rsidRDefault="00DF63DC" w:rsidP="00ED652C">
            <w:pPr>
              <w:keepNext/>
              <w:jc w:val="both"/>
              <w:rPr>
                <w:rFonts w:ascii="Arial Narrow" w:hAnsi="Arial Narrow"/>
                <w:sz w:val="20"/>
                <w:szCs w:val="20"/>
              </w:rPr>
            </w:pPr>
            <w:r w:rsidRPr="003365D6">
              <w:rPr>
                <w:rFonts w:ascii="Arial Narrow" w:hAnsi="Arial Narrow"/>
                <w:sz w:val="20"/>
                <w:szCs w:val="20"/>
              </w:rPr>
              <w:t>Remicade</w:t>
            </w:r>
          </w:p>
          <w:p w:rsidR="00E6758E" w:rsidRPr="003365D6" w:rsidRDefault="00E6758E" w:rsidP="00ED652C">
            <w:pPr>
              <w:keepNext/>
              <w:jc w:val="both"/>
              <w:rPr>
                <w:rFonts w:ascii="Arial Narrow" w:hAnsi="Arial Narrow"/>
                <w:sz w:val="20"/>
                <w:szCs w:val="20"/>
              </w:rPr>
            </w:pPr>
            <w:r w:rsidRPr="003365D6">
              <w:rPr>
                <w:rFonts w:ascii="Arial Narrow" w:hAnsi="Arial Narrow"/>
                <w:sz w:val="20"/>
                <w:szCs w:val="20"/>
              </w:rPr>
              <w:t>(n=125)</w:t>
            </w:r>
          </w:p>
        </w:tc>
        <w:tc>
          <w:tcPr>
            <w:tcW w:w="1195" w:type="dxa"/>
          </w:tcPr>
          <w:p w:rsidR="00DF63DC" w:rsidRPr="003365D6" w:rsidRDefault="00DF63DC" w:rsidP="00ED652C">
            <w:pPr>
              <w:keepNext/>
              <w:jc w:val="both"/>
              <w:rPr>
                <w:rFonts w:ascii="Arial Narrow" w:hAnsi="Arial Narrow"/>
                <w:sz w:val="20"/>
                <w:szCs w:val="20"/>
              </w:rPr>
            </w:pPr>
            <w:r w:rsidRPr="003365D6">
              <w:rPr>
                <w:rFonts w:ascii="Arial Narrow" w:hAnsi="Arial Narrow"/>
                <w:sz w:val="20"/>
                <w:szCs w:val="20"/>
              </w:rPr>
              <w:t>Inflectra</w:t>
            </w:r>
          </w:p>
          <w:p w:rsidR="00637A9A" w:rsidRPr="003365D6" w:rsidRDefault="00637A9A" w:rsidP="00ED652C">
            <w:pPr>
              <w:keepNext/>
              <w:jc w:val="both"/>
              <w:rPr>
                <w:rFonts w:ascii="Arial Narrow" w:hAnsi="Arial Narrow"/>
                <w:sz w:val="20"/>
                <w:szCs w:val="20"/>
              </w:rPr>
            </w:pPr>
            <w:r w:rsidRPr="003365D6">
              <w:rPr>
                <w:rFonts w:ascii="Arial Narrow" w:hAnsi="Arial Narrow"/>
                <w:sz w:val="20"/>
                <w:szCs w:val="20"/>
              </w:rPr>
              <w:t>(n=302)</w:t>
            </w:r>
          </w:p>
        </w:tc>
        <w:tc>
          <w:tcPr>
            <w:tcW w:w="1233" w:type="dxa"/>
          </w:tcPr>
          <w:p w:rsidR="00DF63DC" w:rsidRPr="003365D6" w:rsidRDefault="00DF63DC" w:rsidP="00ED652C">
            <w:pPr>
              <w:keepNext/>
              <w:jc w:val="both"/>
              <w:rPr>
                <w:rFonts w:ascii="Arial Narrow" w:hAnsi="Arial Narrow"/>
                <w:sz w:val="20"/>
                <w:szCs w:val="20"/>
              </w:rPr>
            </w:pPr>
            <w:r w:rsidRPr="003365D6">
              <w:rPr>
                <w:rFonts w:ascii="Arial Narrow" w:hAnsi="Arial Narrow"/>
                <w:sz w:val="20"/>
                <w:szCs w:val="20"/>
              </w:rPr>
              <w:t>Remicade</w:t>
            </w:r>
          </w:p>
          <w:p w:rsidR="00637A9A" w:rsidRPr="003365D6" w:rsidRDefault="00637A9A" w:rsidP="00ED652C">
            <w:pPr>
              <w:keepNext/>
              <w:jc w:val="both"/>
              <w:rPr>
                <w:rFonts w:ascii="Arial Narrow" w:hAnsi="Arial Narrow"/>
                <w:sz w:val="20"/>
                <w:szCs w:val="20"/>
              </w:rPr>
            </w:pPr>
            <w:r w:rsidRPr="003365D6">
              <w:rPr>
                <w:rFonts w:ascii="Arial Narrow" w:hAnsi="Arial Narrow"/>
                <w:sz w:val="20"/>
                <w:szCs w:val="20"/>
              </w:rPr>
              <w:t>(n=304)</w:t>
            </w:r>
          </w:p>
        </w:tc>
      </w:tr>
      <w:tr w:rsidR="00E6758E" w:rsidRPr="003365D6" w:rsidTr="00EA6FDA">
        <w:tc>
          <w:tcPr>
            <w:tcW w:w="8533" w:type="dxa"/>
            <w:gridSpan w:val="7"/>
            <w:shd w:val="clear" w:color="auto" w:fill="BFBFBF" w:themeFill="background1" w:themeFillShade="BF"/>
          </w:tcPr>
          <w:p w:rsidR="00E6758E" w:rsidRPr="003365D6" w:rsidRDefault="00E6758E" w:rsidP="00ED652C">
            <w:pPr>
              <w:keepNext/>
              <w:jc w:val="both"/>
              <w:rPr>
                <w:rFonts w:ascii="Arial Narrow" w:hAnsi="Arial Narrow"/>
                <w:b/>
                <w:sz w:val="20"/>
                <w:szCs w:val="20"/>
              </w:rPr>
            </w:pPr>
            <w:r w:rsidRPr="003365D6">
              <w:rPr>
                <w:rFonts w:ascii="Arial Narrow" w:hAnsi="Arial Narrow"/>
                <w:b/>
                <w:sz w:val="20"/>
                <w:szCs w:val="20"/>
              </w:rPr>
              <w:t>Disposition</w:t>
            </w:r>
          </w:p>
        </w:tc>
      </w:tr>
      <w:tr w:rsidR="00E6758E" w:rsidRPr="003365D6" w:rsidTr="00EA6FDA">
        <w:tc>
          <w:tcPr>
            <w:tcW w:w="8533" w:type="dxa"/>
            <w:gridSpan w:val="7"/>
          </w:tcPr>
          <w:p w:rsidR="00E6758E" w:rsidRPr="003365D6" w:rsidRDefault="00E6758E" w:rsidP="00ED652C">
            <w:pPr>
              <w:keepNext/>
              <w:jc w:val="both"/>
              <w:rPr>
                <w:rFonts w:ascii="Arial Narrow" w:hAnsi="Arial Narrow"/>
                <w:b/>
                <w:sz w:val="20"/>
                <w:szCs w:val="20"/>
              </w:rPr>
            </w:pPr>
            <w:r w:rsidRPr="003365D6">
              <w:rPr>
                <w:rFonts w:ascii="Arial Narrow" w:hAnsi="Arial Narrow"/>
                <w:b/>
                <w:sz w:val="20"/>
                <w:szCs w:val="20"/>
              </w:rPr>
              <w:t>Discontinuation due to:</w:t>
            </w:r>
          </w:p>
        </w:tc>
      </w:tr>
      <w:tr w:rsidR="001712CF" w:rsidRPr="003365D6" w:rsidTr="00EA6FDA">
        <w:tc>
          <w:tcPr>
            <w:tcW w:w="1239" w:type="dxa"/>
          </w:tcPr>
          <w:p w:rsidR="00DF63DC" w:rsidRPr="003365D6" w:rsidRDefault="00B9112B" w:rsidP="00ED652C">
            <w:pPr>
              <w:keepNext/>
              <w:jc w:val="both"/>
              <w:rPr>
                <w:rFonts w:ascii="Arial Narrow" w:hAnsi="Arial Narrow"/>
                <w:sz w:val="20"/>
                <w:szCs w:val="20"/>
              </w:rPr>
            </w:pPr>
            <w:r w:rsidRPr="003365D6">
              <w:rPr>
                <w:rFonts w:ascii="Arial Narrow" w:hAnsi="Arial Narrow"/>
                <w:sz w:val="20"/>
                <w:szCs w:val="20"/>
              </w:rPr>
              <w:t>AE</w:t>
            </w:r>
            <w:r w:rsidR="00E6758E" w:rsidRPr="003365D6">
              <w:rPr>
                <w:rFonts w:ascii="Arial Narrow" w:hAnsi="Arial Narrow"/>
                <w:sz w:val="20"/>
                <w:szCs w:val="20"/>
              </w:rPr>
              <w:t xml:space="preserve"> </w:t>
            </w:r>
            <w:r w:rsidR="001712CF" w:rsidRPr="003365D6">
              <w:rPr>
                <w:rFonts w:ascii="Arial Narrow" w:hAnsi="Arial Narrow"/>
                <w:sz w:val="20"/>
                <w:szCs w:val="20"/>
              </w:rPr>
              <w:t xml:space="preserve">n </w:t>
            </w:r>
            <w:r w:rsidR="00E6758E" w:rsidRPr="003365D6">
              <w:rPr>
                <w:rFonts w:ascii="Arial Narrow" w:hAnsi="Arial Narrow"/>
                <w:sz w:val="20"/>
                <w:szCs w:val="20"/>
              </w:rPr>
              <w:t>(%)</w:t>
            </w:r>
          </w:p>
        </w:tc>
        <w:tc>
          <w:tcPr>
            <w:tcW w:w="1208" w:type="dxa"/>
          </w:tcPr>
          <w:p w:rsidR="00DF63DC" w:rsidRPr="003365D6" w:rsidRDefault="00B9112B" w:rsidP="00ED652C">
            <w:pPr>
              <w:keepNext/>
              <w:jc w:val="both"/>
              <w:rPr>
                <w:rFonts w:ascii="Arial Narrow" w:hAnsi="Arial Narrow"/>
                <w:sz w:val="20"/>
                <w:szCs w:val="20"/>
              </w:rPr>
            </w:pPr>
            <w:r w:rsidRPr="003365D6">
              <w:rPr>
                <w:rFonts w:ascii="Arial Narrow" w:hAnsi="Arial Narrow"/>
                <w:sz w:val="20"/>
                <w:szCs w:val="20"/>
              </w:rPr>
              <w:t>3</w:t>
            </w:r>
            <w:r w:rsidR="00E6758E" w:rsidRPr="003365D6">
              <w:rPr>
                <w:rFonts w:ascii="Arial Narrow" w:hAnsi="Arial Narrow"/>
                <w:sz w:val="20"/>
                <w:szCs w:val="20"/>
              </w:rPr>
              <w:t xml:space="preserve"> (33.3)</w:t>
            </w:r>
          </w:p>
        </w:tc>
        <w:tc>
          <w:tcPr>
            <w:tcW w:w="1232" w:type="dxa"/>
          </w:tcPr>
          <w:p w:rsidR="00DF63DC" w:rsidRPr="003365D6" w:rsidRDefault="00B9112B" w:rsidP="00ED652C">
            <w:pPr>
              <w:keepNext/>
              <w:jc w:val="both"/>
              <w:rPr>
                <w:rFonts w:ascii="Arial Narrow" w:hAnsi="Arial Narrow"/>
                <w:sz w:val="20"/>
                <w:szCs w:val="20"/>
              </w:rPr>
            </w:pPr>
            <w:r w:rsidRPr="003365D6">
              <w:rPr>
                <w:rFonts w:ascii="Arial Narrow" w:hAnsi="Arial Narrow"/>
                <w:sz w:val="20"/>
                <w:szCs w:val="20"/>
              </w:rPr>
              <w:t>1</w:t>
            </w:r>
            <w:r w:rsidR="001712CF" w:rsidRPr="003365D6">
              <w:rPr>
                <w:rFonts w:ascii="Arial Narrow" w:hAnsi="Arial Narrow"/>
                <w:sz w:val="20"/>
                <w:szCs w:val="20"/>
              </w:rPr>
              <w:t xml:space="preserve"> (11.1</w:t>
            </w:r>
            <w:r w:rsidR="00E6758E" w:rsidRPr="003365D6">
              <w:rPr>
                <w:rFonts w:ascii="Arial Narrow" w:hAnsi="Arial Narrow"/>
                <w:sz w:val="20"/>
                <w:szCs w:val="20"/>
              </w:rPr>
              <w:t>)</w:t>
            </w:r>
          </w:p>
        </w:tc>
        <w:tc>
          <w:tcPr>
            <w:tcW w:w="1194" w:type="dxa"/>
          </w:tcPr>
          <w:p w:rsidR="00DF63DC" w:rsidRPr="003365D6" w:rsidRDefault="001712CF" w:rsidP="00ED652C">
            <w:pPr>
              <w:keepNext/>
              <w:jc w:val="both"/>
              <w:rPr>
                <w:rFonts w:ascii="Arial Narrow" w:hAnsi="Arial Narrow"/>
                <w:sz w:val="20"/>
                <w:szCs w:val="20"/>
              </w:rPr>
            </w:pPr>
            <w:r w:rsidRPr="003365D6">
              <w:rPr>
                <w:rFonts w:ascii="Arial Narrow" w:hAnsi="Arial Narrow"/>
                <w:sz w:val="20"/>
                <w:szCs w:val="20"/>
              </w:rPr>
              <w:t>10 (8.0</w:t>
            </w:r>
            <w:r w:rsidR="00E6758E" w:rsidRPr="003365D6">
              <w:rPr>
                <w:rFonts w:ascii="Arial Narrow" w:hAnsi="Arial Narrow"/>
                <w:sz w:val="20"/>
                <w:szCs w:val="20"/>
              </w:rPr>
              <w:t>)</w:t>
            </w:r>
          </w:p>
        </w:tc>
        <w:tc>
          <w:tcPr>
            <w:tcW w:w="1232" w:type="dxa"/>
          </w:tcPr>
          <w:p w:rsidR="00DF63DC" w:rsidRPr="003365D6" w:rsidRDefault="001712CF" w:rsidP="00ED652C">
            <w:pPr>
              <w:keepNext/>
              <w:jc w:val="both"/>
              <w:rPr>
                <w:rFonts w:ascii="Arial Narrow" w:hAnsi="Arial Narrow"/>
                <w:sz w:val="20"/>
                <w:szCs w:val="20"/>
              </w:rPr>
            </w:pPr>
            <w:r w:rsidRPr="003365D6">
              <w:rPr>
                <w:rFonts w:ascii="Arial Narrow" w:hAnsi="Arial Narrow"/>
                <w:sz w:val="20"/>
                <w:szCs w:val="20"/>
              </w:rPr>
              <w:t>8 (6.4</w:t>
            </w:r>
            <w:r w:rsidR="00E6758E" w:rsidRPr="003365D6">
              <w:rPr>
                <w:rFonts w:ascii="Arial Narrow" w:hAnsi="Arial Narrow"/>
                <w:sz w:val="20"/>
                <w:szCs w:val="20"/>
              </w:rPr>
              <w:t>)</w:t>
            </w:r>
          </w:p>
        </w:tc>
        <w:tc>
          <w:tcPr>
            <w:tcW w:w="1195" w:type="dxa"/>
          </w:tcPr>
          <w:p w:rsidR="00DF63DC" w:rsidRPr="003365D6" w:rsidRDefault="00637A9A" w:rsidP="00ED652C">
            <w:pPr>
              <w:keepNext/>
              <w:jc w:val="both"/>
              <w:rPr>
                <w:rFonts w:ascii="Arial Narrow" w:hAnsi="Arial Narrow"/>
                <w:sz w:val="20"/>
                <w:szCs w:val="20"/>
              </w:rPr>
            </w:pPr>
            <w:r w:rsidRPr="003365D6">
              <w:rPr>
                <w:rFonts w:ascii="Arial Narrow" w:hAnsi="Arial Narrow"/>
                <w:sz w:val="20"/>
                <w:szCs w:val="20"/>
              </w:rPr>
              <w:t>31 (10.3)</w:t>
            </w:r>
          </w:p>
        </w:tc>
        <w:tc>
          <w:tcPr>
            <w:tcW w:w="1233" w:type="dxa"/>
          </w:tcPr>
          <w:p w:rsidR="00DF63DC" w:rsidRPr="003365D6" w:rsidRDefault="00637A9A" w:rsidP="00ED652C">
            <w:pPr>
              <w:keepNext/>
              <w:jc w:val="both"/>
              <w:rPr>
                <w:rFonts w:ascii="Arial Narrow" w:hAnsi="Arial Narrow"/>
                <w:sz w:val="20"/>
                <w:szCs w:val="20"/>
              </w:rPr>
            </w:pPr>
            <w:r w:rsidRPr="003365D6">
              <w:rPr>
                <w:rFonts w:ascii="Arial Narrow" w:hAnsi="Arial Narrow"/>
                <w:sz w:val="20"/>
                <w:szCs w:val="20"/>
              </w:rPr>
              <w:t>41 (13.5)</w:t>
            </w:r>
          </w:p>
        </w:tc>
      </w:tr>
      <w:tr w:rsidR="00E6758E" w:rsidRPr="003365D6" w:rsidTr="00EA6FDA">
        <w:tc>
          <w:tcPr>
            <w:tcW w:w="1239" w:type="dxa"/>
          </w:tcPr>
          <w:p w:rsidR="00E6758E" w:rsidRPr="003365D6" w:rsidRDefault="00E6758E" w:rsidP="00ED652C">
            <w:pPr>
              <w:keepNext/>
              <w:jc w:val="both"/>
              <w:rPr>
                <w:rFonts w:ascii="Arial Narrow" w:hAnsi="Arial Narrow"/>
                <w:sz w:val="20"/>
                <w:szCs w:val="20"/>
              </w:rPr>
            </w:pPr>
            <w:r w:rsidRPr="003365D6">
              <w:rPr>
                <w:rFonts w:ascii="Arial Narrow" w:hAnsi="Arial Narrow"/>
                <w:sz w:val="20"/>
                <w:szCs w:val="20"/>
              </w:rPr>
              <w:t>Any reason (%)</w:t>
            </w:r>
          </w:p>
        </w:tc>
        <w:tc>
          <w:tcPr>
            <w:tcW w:w="1208" w:type="dxa"/>
          </w:tcPr>
          <w:p w:rsidR="00E6758E" w:rsidRPr="003365D6" w:rsidRDefault="00E6758E" w:rsidP="00ED652C">
            <w:pPr>
              <w:keepNext/>
              <w:jc w:val="both"/>
              <w:rPr>
                <w:rFonts w:ascii="Arial Narrow" w:hAnsi="Arial Narrow"/>
                <w:sz w:val="20"/>
                <w:szCs w:val="20"/>
              </w:rPr>
            </w:pPr>
            <w:r w:rsidRPr="003365D6">
              <w:rPr>
                <w:rFonts w:ascii="Arial Narrow" w:hAnsi="Arial Narrow"/>
                <w:sz w:val="20"/>
                <w:szCs w:val="20"/>
              </w:rPr>
              <w:t>5</w:t>
            </w:r>
            <w:r w:rsidR="001712CF" w:rsidRPr="003365D6">
              <w:rPr>
                <w:rFonts w:ascii="Arial Narrow" w:hAnsi="Arial Narrow"/>
                <w:sz w:val="20"/>
                <w:szCs w:val="20"/>
              </w:rPr>
              <w:t xml:space="preserve"> (55.6</w:t>
            </w:r>
            <w:r w:rsidRPr="003365D6">
              <w:rPr>
                <w:rFonts w:ascii="Arial Narrow" w:hAnsi="Arial Narrow"/>
                <w:sz w:val="20"/>
                <w:szCs w:val="20"/>
              </w:rPr>
              <w:t>)</w:t>
            </w:r>
          </w:p>
        </w:tc>
        <w:tc>
          <w:tcPr>
            <w:tcW w:w="1232" w:type="dxa"/>
          </w:tcPr>
          <w:p w:rsidR="00E6758E" w:rsidRPr="003365D6" w:rsidRDefault="00E6758E" w:rsidP="00ED652C">
            <w:pPr>
              <w:keepNext/>
              <w:jc w:val="both"/>
              <w:rPr>
                <w:rFonts w:ascii="Arial Narrow" w:hAnsi="Arial Narrow"/>
                <w:sz w:val="20"/>
                <w:szCs w:val="20"/>
              </w:rPr>
            </w:pPr>
            <w:r w:rsidRPr="003365D6">
              <w:rPr>
                <w:rFonts w:ascii="Arial Narrow" w:hAnsi="Arial Narrow"/>
                <w:sz w:val="20"/>
                <w:szCs w:val="20"/>
              </w:rPr>
              <w:t>4</w:t>
            </w:r>
            <w:r w:rsidR="001712CF" w:rsidRPr="003365D6">
              <w:rPr>
                <w:rFonts w:ascii="Arial Narrow" w:hAnsi="Arial Narrow"/>
                <w:sz w:val="20"/>
                <w:szCs w:val="20"/>
              </w:rPr>
              <w:t xml:space="preserve"> (44.4</w:t>
            </w:r>
            <w:r w:rsidRPr="003365D6">
              <w:rPr>
                <w:rFonts w:ascii="Arial Narrow" w:hAnsi="Arial Narrow"/>
                <w:sz w:val="20"/>
                <w:szCs w:val="20"/>
              </w:rPr>
              <w:t>)</w:t>
            </w:r>
          </w:p>
        </w:tc>
        <w:tc>
          <w:tcPr>
            <w:tcW w:w="1194" w:type="dxa"/>
          </w:tcPr>
          <w:p w:rsidR="00E6758E" w:rsidRPr="003365D6" w:rsidRDefault="00E6758E" w:rsidP="00ED652C">
            <w:pPr>
              <w:keepNext/>
              <w:jc w:val="both"/>
              <w:rPr>
                <w:rFonts w:ascii="Arial Narrow" w:hAnsi="Arial Narrow"/>
                <w:sz w:val="20"/>
                <w:szCs w:val="20"/>
              </w:rPr>
            </w:pPr>
            <w:r w:rsidRPr="003365D6">
              <w:rPr>
                <w:rFonts w:ascii="Arial Narrow" w:hAnsi="Arial Narrow"/>
                <w:sz w:val="20"/>
                <w:szCs w:val="20"/>
              </w:rPr>
              <w:t>19 (15.</w:t>
            </w:r>
            <w:r w:rsidR="001712CF" w:rsidRPr="003365D6">
              <w:rPr>
                <w:rFonts w:ascii="Arial Narrow" w:hAnsi="Arial Narrow"/>
                <w:sz w:val="20"/>
                <w:szCs w:val="20"/>
              </w:rPr>
              <w:t>2</w:t>
            </w:r>
            <w:r w:rsidRPr="003365D6">
              <w:rPr>
                <w:rFonts w:ascii="Arial Narrow" w:hAnsi="Arial Narrow"/>
                <w:sz w:val="20"/>
                <w:szCs w:val="20"/>
              </w:rPr>
              <w:t>)</w:t>
            </w:r>
          </w:p>
        </w:tc>
        <w:tc>
          <w:tcPr>
            <w:tcW w:w="1232" w:type="dxa"/>
          </w:tcPr>
          <w:p w:rsidR="00E6758E" w:rsidRPr="003365D6" w:rsidRDefault="001712CF" w:rsidP="00ED652C">
            <w:pPr>
              <w:keepNext/>
              <w:jc w:val="both"/>
              <w:rPr>
                <w:rFonts w:ascii="Arial Narrow" w:hAnsi="Arial Narrow"/>
                <w:sz w:val="20"/>
                <w:szCs w:val="20"/>
              </w:rPr>
            </w:pPr>
            <w:r w:rsidRPr="003365D6">
              <w:rPr>
                <w:rFonts w:ascii="Arial Narrow" w:hAnsi="Arial Narrow"/>
                <w:sz w:val="20"/>
                <w:szCs w:val="20"/>
              </w:rPr>
              <w:t>21 (16.8</w:t>
            </w:r>
            <w:r w:rsidR="00E6758E" w:rsidRPr="003365D6">
              <w:rPr>
                <w:rFonts w:ascii="Arial Narrow" w:hAnsi="Arial Narrow"/>
                <w:sz w:val="20"/>
                <w:szCs w:val="20"/>
              </w:rPr>
              <w:t>)</w:t>
            </w:r>
          </w:p>
        </w:tc>
        <w:tc>
          <w:tcPr>
            <w:tcW w:w="1195" w:type="dxa"/>
          </w:tcPr>
          <w:p w:rsidR="00E6758E" w:rsidRPr="003365D6" w:rsidRDefault="00637A9A" w:rsidP="00ED652C">
            <w:pPr>
              <w:keepNext/>
              <w:jc w:val="both"/>
              <w:rPr>
                <w:rFonts w:ascii="Arial Narrow" w:hAnsi="Arial Narrow"/>
                <w:sz w:val="20"/>
                <w:szCs w:val="20"/>
              </w:rPr>
            </w:pPr>
            <w:r w:rsidRPr="003365D6">
              <w:rPr>
                <w:rFonts w:ascii="Arial Narrow" w:hAnsi="Arial Narrow"/>
                <w:sz w:val="20"/>
                <w:szCs w:val="20"/>
              </w:rPr>
              <w:t>69 (22.8)</w:t>
            </w:r>
          </w:p>
        </w:tc>
        <w:tc>
          <w:tcPr>
            <w:tcW w:w="1233" w:type="dxa"/>
          </w:tcPr>
          <w:p w:rsidR="00E6758E" w:rsidRPr="003365D6" w:rsidRDefault="00637A9A" w:rsidP="00ED652C">
            <w:pPr>
              <w:keepNext/>
              <w:jc w:val="both"/>
              <w:rPr>
                <w:rFonts w:ascii="Arial Narrow" w:hAnsi="Arial Narrow"/>
                <w:sz w:val="20"/>
                <w:szCs w:val="20"/>
              </w:rPr>
            </w:pPr>
            <w:r w:rsidRPr="003365D6">
              <w:rPr>
                <w:rFonts w:ascii="Arial Narrow" w:hAnsi="Arial Narrow"/>
                <w:sz w:val="20"/>
                <w:szCs w:val="20"/>
              </w:rPr>
              <w:t>82 (27.0)</w:t>
            </w:r>
          </w:p>
        </w:tc>
      </w:tr>
      <w:tr w:rsidR="00E6758E" w:rsidRPr="003365D6" w:rsidTr="00EA6FDA">
        <w:tc>
          <w:tcPr>
            <w:tcW w:w="8533" w:type="dxa"/>
            <w:gridSpan w:val="7"/>
            <w:shd w:val="clear" w:color="auto" w:fill="BFBFBF" w:themeFill="background1" w:themeFillShade="BF"/>
          </w:tcPr>
          <w:p w:rsidR="00E6758E" w:rsidRPr="003365D6" w:rsidRDefault="00E6758E" w:rsidP="00ED652C">
            <w:pPr>
              <w:keepNext/>
              <w:jc w:val="both"/>
              <w:rPr>
                <w:rFonts w:ascii="Arial Narrow" w:hAnsi="Arial Narrow"/>
                <w:b/>
                <w:sz w:val="20"/>
                <w:szCs w:val="20"/>
              </w:rPr>
            </w:pPr>
            <w:r w:rsidRPr="003365D6">
              <w:rPr>
                <w:rFonts w:ascii="Arial Narrow" w:hAnsi="Arial Narrow"/>
                <w:b/>
                <w:sz w:val="20"/>
                <w:szCs w:val="20"/>
              </w:rPr>
              <w:t>Characteristics</w:t>
            </w:r>
          </w:p>
        </w:tc>
      </w:tr>
      <w:tr w:rsidR="00E6758E" w:rsidRPr="003365D6" w:rsidTr="00EA6FDA">
        <w:tc>
          <w:tcPr>
            <w:tcW w:w="8533" w:type="dxa"/>
            <w:gridSpan w:val="7"/>
          </w:tcPr>
          <w:p w:rsidR="00E6758E" w:rsidRPr="003365D6" w:rsidRDefault="00E6758E" w:rsidP="00ED652C">
            <w:pPr>
              <w:keepNext/>
              <w:jc w:val="both"/>
              <w:rPr>
                <w:rFonts w:ascii="Arial Narrow" w:hAnsi="Arial Narrow"/>
                <w:b/>
                <w:sz w:val="20"/>
                <w:szCs w:val="20"/>
              </w:rPr>
            </w:pPr>
            <w:r w:rsidRPr="003365D6">
              <w:rPr>
                <w:rFonts w:ascii="Arial Narrow" w:hAnsi="Arial Narrow"/>
                <w:b/>
                <w:sz w:val="20"/>
                <w:szCs w:val="20"/>
              </w:rPr>
              <w:t>Age (years)</w:t>
            </w:r>
          </w:p>
        </w:tc>
      </w:tr>
      <w:tr w:rsidR="001712CF" w:rsidRPr="003365D6" w:rsidTr="00EA6FDA">
        <w:tc>
          <w:tcPr>
            <w:tcW w:w="1239" w:type="dxa"/>
          </w:tcPr>
          <w:p w:rsidR="00DF63DC" w:rsidRPr="003365D6" w:rsidRDefault="00B9112B" w:rsidP="00ED652C">
            <w:pPr>
              <w:keepNext/>
              <w:jc w:val="both"/>
              <w:rPr>
                <w:rFonts w:ascii="Arial Narrow" w:hAnsi="Arial Narrow"/>
                <w:sz w:val="20"/>
                <w:szCs w:val="20"/>
              </w:rPr>
            </w:pPr>
            <w:r w:rsidRPr="003365D6">
              <w:rPr>
                <w:rFonts w:ascii="Arial Narrow" w:hAnsi="Arial Narrow"/>
                <w:sz w:val="20"/>
                <w:szCs w:val="20"/>
              </w:rPr>
              <w:t>Mean (SD)</w:t>
            </w:r>
          </w:p>
        </w:tc>
        <w:tc>
          <w:tcPr>
            <w:tcW w:w="1208" w:type="dxa"/>
          </w:tcPr>
          <w:p w:rsidR="00DF63DC" w:rsidRPr="003365D6" w:rsidRDefault="00B9112B" w:rsidP="00ED652C">
            <w:pPr>
              <w:keepNext/>
              <w:jc w:val="both"/>
              <w:rPr>
                <w:rFonts w:ascii="Arial Narrow" w:hAnsi="Arial Narrow"/>
                <w:sz w:val="20"/>
                <w:szCs w:val="20"/>
              </w:rPr>
            </w:pPr>
            <w:r w:rsidRPr="003365D6">
              <w:rPr>
                <w:rFonts w:ascii="Arial Narrow" w:hAnsi="Arial Narrow"/>
                <w:sz w:val="20"/>
                <w:szCs w:val="20"/>
              </w:rPr>
              <w:t>51.6 (13.3)</w:t>
            </w:r>
          </w:p>
        </w:tc>
        <w:tc>
          <w:tcPr>
            <w:tcW w:w="1232" w:type="dxa"/>
          </w:tcPr>
          <w:p w:rsidR="00DF63DC" w:rsidRPr="003365D6" w:rsidRDefault="00B9112B" w:rsidP="00ED652C">
            <w:pPr>
              <w:keepNext/>
              <w:jc w:val="both"/>
              <w:rPr>
                <w:rFonts w:ascii="Arial Narrow" w:hAnsi="Arial Narrow"/>
                <w:sz w:val="20"/>
                <w:szCs w:val="20"/>
              </w:rPr>
            </w:pPr>
            <w:r w:rsidRPr="003365D6">
              <w:rPr>
                <w:rFonts w:ascii="Arial Narrow" w:hAnsi="Arial Narrow"/>
                <w:sz w:val="20"/>
                <w:szCs w:val="20"/>
              </w:rPr>
              <w:t>47.1 (14.8)</w:t>
            </w:r>
          </w:p>
        </w:tc>
        <w:tc>
          <w:tcPr>
            <w:tcW w:w="1194" w:type="dxa"/>
          </w:tcPr>
          <w:p w:rsidR="00DF63DC" w:rsidRPr="003365D6" w:rsidRDefault="001712CF" w:rsidP="00ED652C">
            <w:pPr>
              <w:keepNext/>
              <w:jc w:val="both"/>
              <w:rPr>
                <w:rFonts w:ascii="Arial Narrow" w:hAnsi="Arial Narrow"/>
                <w:sz w:val="20"/>
                <w:szCs w:val="20"/>
              </w:rPr>
            </w:pPr>
            <w:r w:rsidRPr="003365D6">
              <w:rPr>
                <w:rFonts w:ascii="Arial Narrow" w:hAnsi="Arial Narrow"/>
                <w:sz w:val="20"/>
                <w:szCs w:val="20"/>
              </w:rPr>
              <w:t>39.2 (12.1)</w:t>
            </w:r>
          </w:p>
        </w:tc>
        <w:tc>
          <w:tcPr>
            <w:tcW w:w="1232" w:type="dxa"/>
          </w:tcPr>
          <w:p w:rsidR="00DF63DC" w:rsidRPr="003365D6" w:rsidRDefault="001712CF" w:rsidP="00ED652C">
            <w:pPr>
              <w:keepNext/>
              <w:jc w:val="both"/>
              <w:rPr>
                <w:rFonts w:ascii="Arial Narrow" w:hAnsi="Arial Narrow"/>
                <w:sz w:val="20"/>
                <w:szCs w:val="20"/>
              </w:rPr>
            </w:pPr>
            <w:r w:rsidRPr="003365D6">
              <w:rPr>
                <w:rFonts w:ascii="Arial Narrow" w:hAnsi="Arial Narrow"/>
                <w:sz w:val="20"/>
                <w:szCs w:val="20"/>
              </w:rPr>
              <w:t>38.7 (10.5)</w:t>
            </w:r>
          </w:p>
        </w:tc>
        <w:tc>
          <w:tcPr>
            <w:tcW w:w="1195" w:type="dxa"/>
          </w:tcPr>
          <w:p w:rsidR="00DF63DC" w:rsidRPr="003365D6" w:rsidRDefault="009E2C3F" w:rsidP="00ED652C">
            <w:pPr>
              <w:keepNext/>
              <w:jc w:val="both"/>
              <w:rPr>
                <w:rFonts w:ascii="Arial Narrow" w:hAnsi="Arial Narrow"/>
                <w:sz w:val="20"/>
                <w:szCs w:val="20"/>
              </w:rPr>
            </w:pPr>
            <w:r w:rsidRPr="003365D6">
              <w:rPr>
                <w:rFonts w:ascii="Arial Narrow" w:hAnsi="Arial Narrow"/>
                <w:sz w:val="20"/>
                <w:szCs w:val="20"/>
              </w:rPr>
              <w:t>49.0 (12.18)</w:t>
            </w:r>
          </w:p>
        </w:tc>
        <w:tc>
          <w:tcPr>
            <w:tcW w:w="1233" w:type="dxa"/>
          </w:tcPr>
          <w:p w:rsidR="00DF63DC" w:rsidRPr="003365D6" w:rsidRDefault="009E2C3F" w:rsidP="00ED652C">
            <w:pPr>
              <w:keepNext/>
              <w:jc w:val="both"/>
              <w:rPr>
                <w:rFonts w:ascii="Arial Narrow" w:hAnsi="Arial Narrow"/>
                <w:sz w:val="20"/>
                <w:szCs w:val="20"/>
              </w:rPr>
            </w:pPr>
            <w:r w:rsidRPr="003365D6">
              <w:rPr>
                <w:rFonts w:ascii="Arial Narrow" w:hAnsi="Arial Narrow"/>
                <w:sz w:val="20"/>
                <w:szCs w:val="20"/>
              </w:rPr>
              <w:t>48.6 (11.49)</w:t>
            </w:r>
          </w:p>
        </w:tc>
      </w:tr>
      <w:tr w:rsidR="00E6758E" w:rsidRPr="003365D6" w:rsidTr="00EA6FDA">
        <w:tc>
          <w:tcPr>
            <w:tcW w:w="8533" w:type="dxa"/>
            <w:gridSpan w:val="7"/>
          </w:tcPr>
          <w:p w:rsidR="00E6758E" w:rsidRPr="003365D6" w:rsidRDefault="00E6758E" w:rsidP="00ED652C">
            <w:pPr>
              <w:keepNext/>
              <w:jc w:val="both"/>
              <w:rPr>
                <w:rFonts w:ascii="Arial Narrow" w:hAnsi="Arial Narrow"/>
                <w:b/>
                <w:sz w:val="20"/>
                <w:szCs w:val="20"/>
              </w:rPr>
            </w:pPr>
            <w:r w:rsidRPr="003365D6">
              <w:rPr>
                <w:rFonts w:ascii="Arial Narrow" w:hAnsi="Arial Narrow"/>
                <w:b/>
                <w:sz w:val="20"/>
                <w:szCs w:val="20"/>
              </w:rPr>
              <w:t>Race</w:t>
            </w:r>
            <w:r w:rsidR="001712CF" w:rsidRPr="003365D6">
              <w:rPr>
                <w:rFonts w:ascii="Arial Narrow" w:hAnsi="Arial Narrow"/>
                <w:b/>
                <w:sz w:val="20"/>
                <w:szCs w:val="20"/>
              </w:rPr>
              <w:t xml:space="preserve"> n (%)</w:t>
            </w:r>
          </w:p>
        </w:tc>
      </w:tr>
      <w:tr w:rsidR="001712CF" w:rsidRPr="003365D6" w:rsidTr="00EA6FDA">
        <w:tc>
          <w:tcPr>
            <w:tcW w:w="1239" w:type="dxa"/>
          </w:tcPr>
          <w:p w:rsidR="001712CF" w:rsidRPr="003365D6" w:rsidRDefault="001712CF" w:rsidP="00ED652C">
            <w:pPr>
              <w:keepNext/>
              <w:jc w:val="both"/>
              <w:rPr>
                <w:rFonts w:ascii="Arial Narrow" w:hAnsi="Arial Narrow"/>
                <w:sz w:val="20"/>
                <w:szCs w:val="20"/>
              </w:rPr>
            </w:pPr>
            <w:r w:rsidRPr="003365D6">
              <w:rPr>
                <w:rFonts w:ascii="Arial Narrow" w:hAnsi="Arial Narrow"/>
                <w:sz w:val="20"/>
                <w:szCs w:val="20"/>
              </w:rPr>
              <w:t>White</w:t>
            </w:r>
          </w:p>
        </w:tc>
        <w:tc>
          <w:tcPr>
            <w:tcW w:w="1208" w:type="dxa"/>
          </w:tcPr>
          <w:p w:rsidR="001712CF" w:rsidRPr="003365D6" w:rsidRDefault="001712CF" w:rsidP="00ED652C">
            <w:pPr>
              <w:keepNext/>
              <w:jc w:val="both"/>
              <w:rPr>
                <w:rFonts w:ascii="Arial Narrow" w:hAnsi="Arial Narrow"/>
                <w:sz w:val="20"/>
                <w:szCs w:val="20"/>
              </w:rPr>
            </w:pPr>
            <w:r w:rsidRPr="003365D6">
              <w:rPr>
                <w:rFonts w:ascii="Arial Narrow" w:hAnsi="Arial Narrow"/>
                <w:sz w:val="20"/>
                <w:szCs w:val="20"/>
              </w:rPr>
              <w:t>0</w:t>
            </w:r>
          </w:p>
        </w:tc>
        <w:tc>
          <w:tcPr>
            <w:tcW w:w="1232" w:type="dxa"/>
          </w:tcPr>
          <w:p w:rsidR="001712CF" w:rsidRPr="003365D6" w:rsidRDefault="001712CF" w:rsidP="00ED652C">
            <w:pPr>
              <w:keepNext/>
              <w:jc w:val="both"/>
              <w:rPr>
                <w:rFonts w:ascii="Arial Narrow" w:hAnsi="Arial Narrow"/>
                <w:sz w:val="20"/>
                <w:szCs w:val="20"/>
              </w:rPr>
            </w:pPr>
            <w:r w:rsidRPr="003365D6">
              <w:rPr>
                <w:rFonts w:ascii="Arial Narrow" w:hAnsi="Arial Narrow"/>
                <w:sz w:val="20"/>
                <w:szCs w:val="20"/>
              </w:rPr>
              <w:t>0</w:t>
            </w:r>
          </w:p>
        </w:tc>
        <w:tc>
          <w:tcPr>
            <w:tcW w:w="1194" w:type="dxa"/>
          </w:tcPr>
          <w:p w:rsidR="001712CF" w:rsidRPr="003365D6" w:rsidRDefault="001712CF" w:rsidP="00ED652C">
            <w:pPr>
              <w:keepNext/>
              <w:jc w:val="both"/>
              <w:rPr>
                <w:rFonts w:ascii="Arial Narrow" w:hAnsi="Arial Narrow"/>
                <w:sz w:val="20"/>
                <w:szCs w:val="20"/>
              </w:rPr>
            </w:pPr>
            <w:r w:rsidRPr="003365D6">
              <w:rPr>
                <w:rFonts w:ascii="Arial Narrow" w:hAnsi="Arial Narrow"/>
                <w:sz w:val="20"/>
                <w:szCs w:val="20"/>
              </w:rPr>
              <w:t>97 (77.6)</w:t>
            </w:r>
          </w:p>
        </w:tc>
        <w:tc>
          <w:tcPr>
            <w:tcW w:w="1232" w:type="dxa"/>
          </w:tcPr>
          <w:p w:rsidR="001712CF" w:rsidRPr="003365D6" w:rsidRDefault="001712CF" w:rsidP="00ED652C">
            <w:pPr>
              <w:keepNext/>
              <w:jc w:val="both"/>
              <w:rPr>
                <w:rFonts w:ascii="Arial Narrow" w:hAnsi="Arial Narrow"/>
                <w:sz w:val="20"/>
                <w:szCs w:val="20"/>
              </w:rPr>
            </w:pPr>
            <w:r w:rsidRPr="003365D6">
              <w:rPr>
                <w:rFonts w:ascii="Arial Narrow" w:hAnsi="Arial Narrow"/>
                <w:sz w:val="20"/>
                <w:szCs w:val="20"/>
              </w:rPr>
              <w:t>92 (73.6)</w:t>
            </w:r>
          </w:p>
        </w:tc>
        <w:tc>
          <w:tcPr>
            <w:tcW w:w="1195" w:type="dxa"/>
          </w:tcPr>
          <w:p w:rsidR="001712CF" w:rsidRPr="003365D6" w:rsidRDefault="009E2C3F" w:rsidP="00ED652C">
            <w:pPr>
              <w:keepNext/>
              <w:jc w:val="both"/>
              <w:rPr>
                <w:rFonts w:ascii="Arial Narrow" w:hAnsi="Arial Narrow"/>
                <w:sz w:val="20"/>
                <w:szCs w:val="20"/>
              </w:rPr>
            </w:pPr>
            <w:r w:rsidRPr="003365D6">
              <w:rPr>
                <w:rFonts w:ascii="Arial Narrow" w:hAnsi="Arial Narrow"/>
                <w:sz w:val="20"/>
                <w:szCs w:val="20"/>
              </w:rPr>
              <w:t>220 (72.8)</w:t>
            </w:r>
          </w:p>
        </w:tc>
        <w:tc>
          <w:tcPr>
            <w:tcW w:w="1233" w:type="dxa"/>
          </w:tcPr>
          <w:p w:rsidR="001712CF" w:rsidRPr="003365D6" w:rsidRDefault="009E2C3F" w:rsidP="00ED652C">
            <w:pPr>
              <w:keepNext/>
              <w:jc w:val="both"/>
              <w:rPr>
                <w:rFonts w:ascii="Arial Narrow" w:hAnsi="Arial Narrow"/>
                <w:sz w:val="20"/>
                <w:szCs w:val="20"/>
              </w:rPr>
            </w:pPr>
            <w:r w:rsidRPr="003365D6">
              <w:rPr>
                <w:rFonts w:ascii="Arial Narrow" w:hAnsi="Arial Narrow"/>
                <w:sz w:val="20"/>
                <w:szCs w:val="20"/>
              </w:rPr>
              <w:t>222 (73.0)</w:t>
            </w:r>
          </w:p>
        </w:tc>
      </w:tr>
      <w:tr w:rsidR="001712CF" w:rsidRPr="003365D6" w:rsidTr="00EA6FDA">
        <w:tc>
          <w:tcPr>
            <w:tcW w:w="1239" w:type="dxa"/>
          </w:tcPr>
          <w:p w:rsidR="00DF63DC" w:rsidRPr="003365D6" w:rsidRDefault="00B9112B" w:rsidP="001712CF">
            <w:pPr>
              <w:jc w:val="both"/>
              <w:rPr>
                <w:rFonts w:ascii="Arial Narrow" w:hAnsi="Arial Narrow"/>
                <w:sz w:val="20"/>
                <w:szCs w:val="20"/>
              </w:rPr>
            </w:pPr>
            <w:r w:rsidRPr="003365D6">
              <w:rPr>
                <w:rFonts w:ascii="Arial Narrow" w:hAnsi="Arial Narrow"/>
                <w:sz w:val="20"/>
                <w:szCs w:val="20"/>
              </w:rPr>
              <w:t>Asian</w:t>
            </w:r>
          </w:p>
        </w:tc>
        <w:tc>
          <w:tcPr>
            <w:tcW w:w="1208" w:type="dxa"/>
          </w:tcPr>
          <w:p w:rsidR="00DF63DC" w:rsidRPr="003365D6" w:rsidRDefault="00B9112B" w:rsidP="005F0E8F">
            <w:pPr>
              <w:jc w:val="both"/>
              <w:rPr>
                <w:rFonts w:ascii="Arial Narrow" w:hAnsi="Arial Narrow"/>
                <w:sz w:val="20"/>
                <w:szCs w:val="20"/>
              </w:rPr>
            </w:pPr>
            <w:r w:rsidRPr="003365D6">
              <w:rPr>
                <w:rFonts w:ascii="Arial Narrow" w:hAnsi="Arial Narrow"/>
                <w:sz w:val="20"/>
                <w:szCs w:val="20"/>
              </w:rPr>
              <w:t>9 (100%)</w:t>
            </w:r>
          </w:p>
        </w:tc>
        <w:tc>
          <w:tcPr>
            <w:tcW w:w="1232" w:type="dxa"/>
          </w:tcPr>
          <w:p w:rsidR="00DF63DC" w:rsidRPr="003365D6" w:rsidRDefault="00B9112B" w:rsidP="001712CF">
            <w:pPr>
              <w:jc w:val="both"/>
              <w:rPr>
                <w:rFonts w:ascii="Arial Narrow" w:hAnsi="Arial Narrow"/>
                <w:sz w:val="20"/>
                <w:szCs w:val="20"/>
              </w:rPr>
            </w:pPr>
            <w:r w:rsidRPr="003365D6">
              <w:rPr>
                <w:rFonts w:ascii="Arial Narrow" w:hAnsi="Arial Narrow"/>
                <w:sz w:val="20"/>
                <w:szCs w:val="20"/>
              </w:rPr>
              <w:t>9 (100)</w:t>
            </w:r>
          </w:p>
        </w:tc>
        <w:tc>
          <w:tcPr>
            <w:tcW w:w="1194" w:type="dxa"/>
          </w:tcPr>
          <w:p w:rsidR="00DF63DC" w:rsidRPr="003365D6" w:rsidRDefault="001712CF" w:rsidP="005F0E8F">
            <w:pPr>
              <w:jc w:val="both"/>
              <w:rPr>
                <w:rFonts w:ascii="Arial Narrow" w:hAnsi="Arial Narrow"/>
                <w:sz w:val="20"/>
                <w:szCs w:val="20"/>
              </w:rPr>
            </w:pPr>
            <w:r w:rsidRPr="003365D6">
              <w:rPr>
                <w:rFonts w:ascii="Arial Narrow" w:hAnsi="Arial Narrow"/>
                <w:sz w:val="20"/>
                <w:szCs w:val="20"/>
              </w:rPr>
              <w:t>16 (12.8)</w:t>
            </w:r>
          </w:p>
        </w:tc>
        <w:tc>
          <w:tcPr>
            <w:tcW w:w="1232" w:type="dxa"/>
          </w:tcPr>
          <w:p w:rsidR="00DF63DC" w:rsidRPr="003365D6" w:rsidRDefault="001712CF" w:rsidP="001712CF">
            <w:pPr>
              <w:jc w:val="both"/>
              <w:rPr>
                <w:rFonts w:ascii="Arial Narrow" w:hAnsi="Arial Narrow"/>
                <w:sz w:val="20"/>
                <w:szCs w:val="20"/>
              </w:rPr>
            </w:pPr>
            <w:r w:rsidRPr="003365D6">
              <w:rPr>
                <w:rFonts w:ascii="Arial Narrow" w:hAnsi="Arial Narrow"/>
                <w:sz w:val="20"/>
                <w:szCs w:val="20"/>
              </w:rPr>
              <w:t>13 (10.4)</w:t>
            </w:r>
          </w:p>
        </w:tc>
        <w:tc>
          <w:tcPr>
            <w:tcW w:w="1195" w:type="dxa"/>
          </w:tcPr>
          <w:p w:rsidR="00DF63DC" w:rsidRPr="003365D6" w:rsidRDefault="009E2C3F" w:rsidP="005F0E8F">
            <w:pPr>
              <w:jc w:val="both"/>
              <w:rPr>
                <w:rFonts w:ascii="Arial Narrow" w:hAnsi="Arial Narrow"/>
                <w:sz w:val="20"/>
                <w:szCs w:val="20"/>
              </w:rPr>
            </w:pPr>
            <w:r w:rsidRPr="003365D6">
              <w:rPr>
                <w:rFonts w:ascii="Arial Narrow" w:hAnsi="Arial Narrow"/>
                <w:sz w:val="20"/>
                <w:szCs w:val="20"/>
              </w:rPr>
              <w:t>34 (11.3)</w:t>
            </w:r>
          </w:p>
        </w:tc>
        <w:tc>
          <w:tcPr>
            <w:tcW w:w="1233" w:type="dxa"/>
          </w:tcPr>
          <w:p w:rsidR="00DF63DC" w:rsidRPr="003365D6" w:rsidRDefault="009E2C3F" w:rsidP="005F0E8F">
            <w:pPr>
              <w:jc w:val="both"/>
              <w:rPr>
                <w:rFonts w:ascii="Arial Narrow" w:hAnsi="Arial Narrow"/>
                <w:sz w:val="20"/>
                <w:szCs w:val="20"/>
              </w:rPr>
            </w:pPr>
            <w:r w:rsidRPr="003365D6">
              <w:rPr>
                <w:rFonts w:ascii="Arial Narrow" w:hAnsi="Arial Narrow"/>
                <w:sz w:val="20"/>
                <w:szCs w:val="20"/>
              </w:rPr>
              <w:t>37 (12.2)</w:t>
            </w:r>
          </w:p>
        </w:tc>
      </w:tr>
      <w:tr w:rsidR="00E6758E" w:rsidRPr="003365D6" w:rsidTr="00EA6FDA">
        <w:tc>
          <w:tcPr>
            <w:tcW w:w="8533" w:type="dxa"/>
            <w:gridSpan w:val="7"/>
          </w:tcPr>
          <w:p w:rsidR="00E6758E" w:rsidRPr="003365D6" w:rsidRDefault="00E6758E" w:rsidP="005F0E8F">
            <w:pPr>
              <w:jc w:val="both"/>
              <w:rPr>
                <w:rFonts w:ascii="Arial Narrow" w:hAnsi="Arial Narrow"/>
                <w:b/>
                <w:sz w:val="20"/>
                <w:szCs w:val="20"/>
              </w:rPr>
            </w:pPr>
            <w:r w:rsidRPr="003365D6">
              <w:rPr>
                <w:rFonts w:ascii="Arial Narrow" w:hAnsi="Arial Narrow"/>
                <w:b/>
                <w:sz w:val="20"/>
                <w:szCs w:val="20"/>
              </w:rPr>
              <w:t>C-reactive Protein (mg/L)</w:t>
            </w:r>
          </w:p>
        </w:tc>
      </w:tr>
      <w:tr w:rsidR="00B9112B" w:rsidRPr="003365D6" w:rsidTr="00EA6FDA">
        <w:tc>
          <w:tcPr>
            <w:tcW w:w="1239" w:type="dxa"/>
          </w:tcPr>
          <w:p w:rsidR="00B9112B" w:rsidRPr="003365D6" w:rsidRDefault="00B9112B" w:rsidP="005F0E8F">
            <w:pPr>
              <w:jc w:val="both"/>
              <w:rPr>
                <w:rFonts w:ascii="Arial Narrow" w:hAnsi="Arial Narrow"/>
                <w:sz w:val="20"/>
                <w:szCs w:val="20"/>
              </w:rPr>
            </w:pPr>
            <w:r w:rsidRPr="003365D6">
              <w:rPr>
                <w:rFonts w:ascii="Arial Narrow" w:hAnsi="Arial Narrow"/>
                <w:sz w:val="20"/>
                <w:szCs w:val="20"/>
              </w:rPr>
              <w:t>Mean (SD)</w:t>
            </w:r>
          </w:p>
        </w:tc>
        <w:tc>
          <w:tcPr>
            <w:tcW w:w="1208" w:type="dxa"/>
          </w:tcPr>
          <w:p w:rsidR="00B9112B" w:rsidRPr="003365D6" w:rsidRDefault="00E6758E" w:rsidP="005F0E8F">
            <w:pPr>
              <w:jc w:val="both"/>
              <w:rPr>
                <w:rFonts w:ascii="Arial Narrow" w:hAnsi="Arial Narrow"/>
                <w:sz w:val="20"/>
                <w:szCs w:val="20"/>
              </w:rPr>
            </w:pPr>
            <w:r w:rsidRPr="003365D6">
              <w:rPr>
                <w:rFonts w:ascii="Arial Narrow" w:hAnsi="Arial Narrow"/>
                <w:sz w:val="20"/>
                <w:szCs w:val="20"/>
              </w:rPr>
              <w:t>33.2 (38.2)</w:t>
            </w:r>
          </w:p>
        </w:tc>
        <w:tc>
          <w:tcPr>
            <w:tcW w:w="1232" w:type="dxa"/>
          </w:tcPr>
          <w:p w:rsidR="00B9112B" w:rsidRPr="003365D6" w:rsidRDefault="00E6758E" w:rsidP="005F0E8F">
            <w:pPr>
              <w:jc w:val="both"/>
              <w:rPr>
                <w:rFonts w:ascii="Arial Narrow" w:hAnsi="Arial Narrow"/>
                <w:sz w:val="20"/>
                <w:szCs w:val="20"/>
              </w:rPr>
            </w:pPr>
            <w:r w:rsidRPr="003365D6">
              <w:rPr>
                <w:rFonts w:ascii="Arial Narrow" w:hAnsi="Arial Narrow"/>
                <w:sz w:val="20"/>
                <w:szCs w:val="20"/>
              </w:rPr>
              <w:t>56.8 (41.5)</w:t>
            </w:r>
          </w:p>
        </w:tc>
        <w:tc>
          <w:tcPr>
            <w:tcW w:w="1194" w:type="dxa"/>
          </w:tcPr>
          <w:p w:rsidR="00B9112B" w:rsidRPr="003365D6" w:rsidRDefault="001712CF" w:rsidP="005F0E8F">
            <w:pPr>
              <w:jc w:val="both"/>
              <w:rPr>
                <w:rFonts w:ascii="Arial Narrow" w:hAnsi="Arial Narrow"/>
                <w:sz w:val="20"/>
                <w:szCs w:val="20"/>
              </w:rPr>
            </w:pPr>
            <w:r w:rsidRPr="003365D6">
              <w:rPr>
                <w:rFonts w:ascii="Arial Narrow" w:hAnsi="Arial Narrow"/>
                <w:sz w:val="20"/>
                <w:szCs w:val="20"/>
              </w:rPr>
              <w:t>189.7 (237.4)</w:t>
            </w:r>
          </w:p>
        </w:tc>
        <w:tc>
          <w:tcPr>
            <w:tcW w:w="1232" w:type="dxa"/>
          </w:tcPr>
          <w:p w:rsidR="00B9112B" w:rsidRPr="003365D6" w:rsidRDefault="001712CF" w:rsidP="005F0E8F">
            <w:pPr>
              <w:jc w:val="both"/>
              <w:rPr>
                <w:rFonts w:ascii="Arial Narrow" w:hAnsi="Arial Narrow"/>
                <w:sz w:val="20"/>
                <w:szCs w:val="20"/>
              </w:rPr>
            </w:pPr>
            <w:r w:rsidRPr="003365D6">
              <w:rPr>
                <w:rFonts w:ascii="Arial Narrow" w:hAnsi="Arial Narrow"/>
                <w:sz w:val="20"/>
                <w:szCs w:val="20"/>
              </w:rPr>
              <w:t>242.5 (307.1)</w:t>
            </w:r>
          </w:p>
        </w:tc>
        <w:tc>
          <w:tcPr>
            <w:tcW w:w="1195" w:type="dxa"/>
          </w:tcPr>
          <w:p w:rsidR="00B9112B" w:rsidRPr="003365D6" w:rsidRDefault="009E2C3F" w:rsidP="005F0E8F">
            <w:pPr>
              <w:jc w:val="both"/>
              <w:rPr>
                <w:rFonts w:ascii="Arial Narrow" w:hAnsi="Arial Narrow"/>
                <w:sz w:val="20"/>
                <w:szCs w:val="20"/>
              </w:rPr>
            </w:pPr>
            <w:r w:rsidRPr="003365D6">
              <w:rPr>
                <w:rFonts w:ascii="Arial Narrow" w:hAnsi="Arial Narrow"/>
                <w:sz w:val="20"/>
                <w:szCs w:val="20"/>
              </w:rPr>
              <w:t>19.0 (25.1)</w:t>
            </w:r>
          </w:p>
        </w:tc>
        <w:tc>
          <w:tcPr>
            <w:tcW w:w="1233" w:type="dxa"/>
          </w:tcPr>
          <w:p w:rsidR="00B9112B" w:rsidRPr="003365D6" w:rsidRDefault="009E2C3F" w:rsidP="005F0E8F">
            <w:pPr>
              <w:jc w:val="both"/>
              <w:rPr>
                <w:rFonts w:ascii="Arial Narrow" w:hAnsi="Arial Narrow"/>
                <w:sz w:val="20"/>
                <w:szCs w:val="20"/>
              </w:rPr>
            </w:pPr>
            <w:r w:rsidRPr="003365D6">
              <w:rPr>
                <w:rFonts w:ascii="Arial Narrow" w:hAnsi="Arial Narrow"/>
                <w:sz w:val="20"/>
                <w:szCs w:val="20"/>
              </w:rPr>
              <w:t>18.9 (21.9)</w:t>
            </w:r>
          </w:p>
        </w:tc>
      </w:tr>
      <w:tr w:rsidR="00E6758E" w:rsidRPr="003365D6" w:rsidTr="00EA6FDA">
        <w:tc>
          <w:tcPr>
            <w:tcW w:w="8533" w:type="dxa"/>
            <w:gridSpan w:val="7"/>
          </w:tcPr>
          <w:p w:rsidR="00E6758E" w:rsidRPr="003365D6" w:rsidRDefault="00E6758E" w:rsidP="005F0E8F">
            <w:pPr>
              <w:jc w:val="both"/>
              <w:rPr>
                <w:rFonts w:ascii="Arial Narrow" w:hAnsi="Arial Narrow"/>
                <w:b/>
                <w:sz w:val="20"/>
                <w:szCs w:val="20"/>
              </w:rPr>
            </w:pPr>
            <w:r w:rsidRPr="003365D6">
              <w:rPr>
                <w:rFonts w:ascii="Arial Narrow" w:hAnsi="Arial Narrow"/>
                <w:b/>
                <w:sz w:val="20"/>
                <w:szCs w:val="20"/>
              </w:rPr>
              <w:t>Erythrocyte Sedimentation Rate (mm/hour)</w:t>
            </w:r>
          </w:p>
        </w:tc>
      </w:tr>
      <w:tr w:rsidR="00B9112B" w:rsidRPr="003365D6" w:rsidTr="00EA6FDA">
        <w:tc>
          <w:tcPr>
            <w:tcW w:w="1239" w:type="dxa"/>
          </w:tcPr>
          <w:p w:rsidR="00B9112B" w:rsidRPr="003365D6" w:rsidRDefault="00B9112B" w:rsidP="005F0E8F">
            <w:pPr>
              <w:jc w:val="both"/>
              <w:rPr>
                <w:rFonts w:ascii="Arial Narrow" w:hAnsi="Arial Narrow"/>
                <w:sz w:val="20"/>
                <w:szCs w:val="20"/>
              </w:rPr>
            </w:pPr>
            <w:r w:rsidRPr="003365D6">
              <w:rPr>
                <w:rFonts w:ascii="Arial Narrow" w:hAnsi="Arial Narrow"/>
                <w:sz w:val="20"/>
                <w:szCs w:val="20"/>
              </w:rPr>
              <w:t>Mean (SD)</w:t>
            </w:r>
          </w:p>
        </w:tc>
        <w:tc>
          <w:tcPr>
            <w:tcW w:w="1208" w:type="dxa"/>
          </w:tcPr>
          <w:p w:rsidR="00B9112B" w:rsidRPr="003365D6" w:rsidRDefault="00E6758E" w:rsidP="005F0E8F">
            <w:pPr>
              <w:jc w:val="both"/>
              <w:rPr>
                <w:rFonts w:ascii="Arial Narrow" w:hAnsi="Arial Narrow"/>
                <w:sz w:val="20"/>
                <w:szCs w:val="20"/>
              </w:rPr>
            </w:pPr>
            <w:r w:rsidRPr="003365D6">
              <w:rPr>
                <w:rFonts w:ascii="Arial Narrow" w:hAnsi="Arial Narrow"/>
                <w:sz w:val="20"/>
                <w:szCs w:val="20"/>
              </w:rPr>
              <w:t>65.0 (22.2)</w:t>
            </w:r>
          </w:p>
        </w:tc>
        <w:tc>
          <w:tcPr>
            <w:tcW w:w="1232" w:type="dxa"/>
          </w:tcPr>
          <w:p w:rsidR="00B9112B" w:rsidRPr="003365D6" w:rsidRDefault="00E6758E" w:rsidP="005F0E8F">
            <w:pPr>
              <w:jc w:val="both"/>
              <w:rPr>
                <w:rFonts w:ascii="Arial Narrow" w:hAnsi="Arial Narrow"/>
                <w:sz w:val="20"/>
                <w:szCs w:val="20"/>
              </w:rPr>
            </w:pPr>
            <w:r w:rsidRPr="003365D6">
              <w:rPr>
                <w:rFonts w:ascii="Arial Narrow" w:hAnsi="Arial Narrow"/>
                <w:sz w:val="20"/>
                <w:szCs w:val="20"/>
              </w:rPr>
              <w:t>83.4 (34.3)</w:t>
            </w:r>
          </w:p>
        </w:tc>
        <w:tc>
          <w:tcPr>
            <w:tcW w:w="1194" w:type="dxa"/>
          </w:tcPr>
          <w:p w:rsidR="00B9112B" w:rsidRPr="003365D6" w:rsidRDefault="001712CF" w:rsidP="005F0E8F">
            <w:pPr>
              <w:jc w:val="both"/>
              <w:rPr>
                <w:rFonts w:ascii="Arial Narrow" w:hAnsi="Arial Narrow"/>
                <w:sz w:val="20"/>
                <w:szCs w:val="20"/>
              </w:rPr>
            </w:pPr>
            <w:r w:rsidRPr="003365D6">
              <w:rPr>
                <w:rFonts w:ascii="Arial Narrow" w:hAnsi="Arial Narrow"/>
                <w:sz w:val="20"/>
                <w:szCs w:val="20"/>
              </w:rPr>
              <w:t>35.5 (19.6)</w:t>
            </w:r>
          </w:p>
        </w:tc>
        <w:tc>
          <w:tcPr>
            <w:tcW w:w="1232" w:type="dxa"/>
          </w:tcPr>
          <w:p w:rsidR="00B9112B" w:rsidRPr="003365D6" w:rsidRDefault="001712CF" w:rsidP="005F0E8F">
            <w:pPr>
              <w:jc w:val="both"/>
              <w:rPr>
                <w:rFonts w:ascii="Arial Narrow" w:hAnsi="Arial Narrow"/>
                <w:sz w:val="20"/>
                <w:szCs w:val="20"/>
              </w:rPr>
            </w:pPr>
            <w:r w:rsidRPr="003365D6">
              <w:rPr>
                <w:rFonts w:ascii="Arial Narrow" w:hAnsi="Arial Narrow"/>
                <w:sz w:val="20"/>
                <w:szCs w:val="20"/>
              </w:rPr>
              <w:t>37.1 (23.8)</w:t>
            </w:r>
          </w:p>
        </w:tc>
        <w:tc>
          <w:tcPr>
            <w:tcW w:w="1195" w:type="dxa"/>
          </w:tcPr>
          <w:p w:rsidR="00B9112B" w:rsidRPr="003365D6" w:rsidRDefault="009E2C3F" w:rsidP="005F0E8F">
            <w:pPr>
              <w:jc w:val="both"/>
              <w:rPr>
                <w:rFonts w:ascii="Arial Narrow" w:hAnsi="Arial Narrow"/>
                <w:sz w:val="20"/>
                <w:szCs w:val="20"/>
              </w:rPr>
            </w:pPr>
            <w:r w:rsidRPr="003365D6">
              <w:rPr>
                <w:rFonts w:ascii="Arial Narrow" w:hAnsi="Arial Narrow"/>
                <w:sz w:val="20"/>
                <w:szCs w:val="20"/>
              </w:rPr>
              <w:t>46.5 (22.3)</w:t>
            </w:r>
          </w:p>
        </w:tc>
        <w:tc>
          <w:tcPr>
            <w:tcW w:w="1233" w:type="dxa"/>
          </w:tcPr>
          <w:p w:rsidR="00B9112B" w:rsidRPr="003365D6" w:rsidRDefault="009E2C3F" w:rsidP="005F0E8F">
            <w:pPr>
              <w:jc w:val="both"/>
              <w:rPr>
                <w:rFonts w:ascii="Arial Narrow" w:hAnsi="Arial Narrow"/>
                <w:sz w:val="20"/>
                <w:szCs w:val="20"/>
              </w:rPr>
            </w:pPr>
            <w:r w:rsidRPr="003365D6">
              <w:rPr>
                <w:rFonts w:ascii="Arial Narrow" w:hAnsi="Arial Narrow"/>
                <w:sz w:val="20"/>
                <w:szCs w:val="20"/>
              </w:rPr>
              <w:t>48.5 (22.6)</w:t>
            </w:r>
          </w:p>
        </w:tc>
      </w:tr>
      <w:tr w:rsidR="00E6758E" w:rsidRPr="003365D6" w:rsidTr="00EA6FDA">
        <w:tc>
          <w:tcPr>
            <w:tcW w:w="8533" w:type="dxa"/>
            <w:gridSpan w:val="7"/>
          </w:tcPr>
          <w:p w:rsidR="00E6758E" w:rsidRPr="003365D6" w:rsidRDefault="00E6758E" w:rsidP="005F0E8F">
            <w:pPr>
              <w:jc w:val="both"/>
              <w:rPr>
                <w:rFonts w:ascii="Arial Narrow" w:hAnsi="Arial Narrow"/>
                <w:b/>
                <w:sz w:val="20"/>
                <w:szCs w:val="20"/>
              </w:rPr>
            </w:pPr>
            <w:r w:rsidRPr="003365D6">
              <w:rPr>
                <w:rFonts w:ascii="Arial Narrow" w:hAnsi="Arial Narrow"/>
                <w:b/>
                <w:sz w:val="20"/>
                <w:szCs w:val="20"/>
              </w:rPr>
              <w:t>Swollen Joint Count</w:t>
            </w:r>
          </w:p>
        </w:tc>
      </w:tr>
      <w:tr w:rsidR="00E6758E" w:rsidRPr="003365D6" w:rsidTr="00EA6FDA">
        <w:tc>
          <w:tcPr>
            <w:tcW w:w="1239" w:type="dxa"/>
          </w:tcPr>
          <w:p w:rsidR="00E6758E" w:rsidRPr="003365D6" w:rsidRDefault="00E6758E" w:rsidP="005F0E8F">
            <w:pPr>
              <w:jc w:val="both"/>
              <w:rPr>
                <w:rFonts w:ascii="Arial Narrow" w:hAnsi="Arial Narrow"/>
                <w:sz w:val="20"/>
                <w:szCs w:val="20"/>
              </w:rPr>
            </w:pPr>
            <w:r w:rsidRPr="003365D6">
              <w:rPr>
                <w:rFonts w:ascii="Arial Narrow" w:hAnsi="Arial Narrow"/>
                <w:sz w:val="20"/>
                <w:szCs w:val="20"/>
              </w:rPr>
              <w:t>Mean (SD)</w:t>
            </w:r>
          </w:p>
        </w:tc>
        <w:tc>
          <w:tcPr>
            <w:tcW w:w="1208" w:type="dxa"/>
          </w:tcPr>
          <w:p w:rsidR="00E6758E" w:rsidRPr="003365D6" w:rsidRDefault="00E6758E" w:rsidP="005F0E8F">
            <w:pPr>
              <w:jc w:val="both"/>
              <w:rPr>
                <w:rFonts w:ascii="Arial Narrow" w:hAnsi="Arial Narrow"/>
                <w:sz w:val="20"/>
                <w:szCs w:val="20"/>
              </w:rPr>
            </w:pPr>
            <w:r w:rsidRPr="003365D6">
              <w:rPr>
                <w:rFonts w:ascii="Arial Narrow" w:hAnsi="Arial Narrow"/>
                <w:sz w:val="20"/>
                <w:szCs w:val="20"/>
              </w:rPr>
              <w:t>10.8 (4.8)</w:t>
            </w:r>
          </w:p>
        </w:tc>
        <w:tc>
          <w:tcPr>
            <w:tcW w:w="1232" w:type="dxa"/>
          </w:tcPr>
          <w:p w:rsidR="00E6758E" w:rsidRPr="003365D6" w:rsidRDefault="00E6758E" w:rsidP="005F0E8F">
            <w:pPr>
              <w:jc w:val="both"/>
              <w:rPr>
                <w:rFonts w:ascii="Arial Narrow" w:hAnsi="Arial Narrow"/>
                <w:sz w:val="20"/>
                <w:szCs w:val="20"/>
              </w:rPr>
            </w:pPr>
            <w:r w:rsidRPr="003365D6">
              <w:rPr>
                <w:rFonts w:ascii="Arial Narrow" w:hAnsi="Arial Narrow"/>
                <w:sz w:val="20"/>
                <w:szCs w:val="20"/>
              </w:rPr>
              <w:t>15.1 (5.4)</w:t>
            </w:r>
          </w:p>
        </w:tc>
        <w:tc>
          <w:tcPr>
            <w:tcW w:w="1194" w:type="dxa"/>
          </w:tcPr>
          <w:p w:rsidR="00E6758E" w:rsidRPr="003365D6" w:rsidRDefault="001712CF" w:rsidP="005F0E8F">
            <w:pPr>
              <w:jc w:val="both"/>
              <w:rPr>
                <w:rFonts w:ascii="Arial Narrow" w:hAnsi="Arial Narrow"/>
                <w:sz w:val="20"/>
                <w:szCs w:val="20"/>
              </w:rPr>
            </w:pPr>
            <w:r w:rsidRPr="003365D6">
              <w:rPr>
                <w:rFonts w:ascii="Arial Narrow" w:hAnsi="Arial Narrow"/>
                <w:sz w:val="20"/>
                <w:szCs w:val="20"/>
              </w:rPr>
              <w:t>na</w:t>
            </w:r>
          </w:p>
        </w:tc>
        <w:tc>
          <w:tcPr>
            <w:tcW w:w="1232" w:type="dxa"/>
          </w:tcPr>
          <w:p w:rsidR="00E6758E" w:rsidRPr="003365D6" w:rsidRDefault="001712CF" w:rsidP="005F0E8F">
            <w:pPr>
              <w:jc w:val="both"/>
              <w:rPr>
                <w:rFonts w:ascii="Arial Narrow" w:hAnsi="Arial Narrow"/>
                <w:sz w:val="20"/>
                <w:szCs w:val="20"/>
              </w:rPr>
            </w:pPr>
            <w:r w:rsidRPr="003365D6">
              <w:rPr>
                <w:rFonts w:ascii="Arial Narrow" w:hAnsi="Arial Narrow"/>
                <w:sz w:val="20"/>
                <w:szCs w:val="20"/>
              </w:rPr>
              <w:t>na</w:t>
            </w:r>
          </w:p>
        </w:tc>
        <w:tc>
          <w:tcPr>
            <w:tcW w:w="1195" w:type="dxa"/>
          </w:tcPr>
          <w:p w:rsidR="00E6758E" w:rsidRPr="003365D6" w:rsidRDefault="009E2C3F" w:rsidP="005F0E8F">
            <w:pPr>
              <w:jc w:val="both"/>
              <w:rPr>
                <w:rFonts w:ascii="Arial Narrow" w:hAnsi="Arial Narrow"/>
                <w:sz w:val="20"/>
                <w:szCs w:val="20"/>
              </w:rPr>
            </w:pPr>
            <w:r w:rsidRPr="003365D6">
              <w:rPr>
                <w:rFonts w:ascii="Arial Narrow" w:hAnsi="Arial Narrow"/>
                <w:sz w:val="20"/>
                <w:szCs w:val="20"/>
              </w:rPr>
              <w:t>16.2 (8.7)</w:t>
            </w:r>
          </w:p>
        </w:tc>
        <w:tc>
          <w:tcPr>
            <w:tcW w:w="1233" w:type="dxa"/>
          </w:tcPr>
          <w:p w:rsidR="00E6758E" w:rsidRPr="003365D6" w:rsidRDefault="009E2C3F" w:rsidP="005F0E8F">
            <w:pPr>
              <w:jc w:val="both"/>
              <w:rPr>
                <w:rFonts w:ascii="Arial Narrow" w:hAnsi="Arial Narrow"/>
                <w:sz w:val="20"/>
                <w:szCs w:val="20"/>
              </w:rPr>
            </w:pPr>
            <w:r w:rsidRPr="003365D6">
              <w:rPr>
                <w:rFonts w:ascii="Arial Narrow" w:hAnsi="Arial Narrow"/>
                <w:sz w:val="20"/>
                <w:szCs w:val="20"/>
              </w:rPr>
              <w:t>15.2 (8.3)</w:t>
            </w:r>
          </w:p>
        </w:tc>
      </w:tr>
      <w:tr w:rsidR="00E6758E" w:rsidRPr="003365D6" w:rsidTr="00EA6FDA">
        <w:tc>
          <w:tcPr>
            <w:tcW w:w="8533" w:type="dxa"/>
            <w:gridSpan w:val="7"/>
          </w:tcPr>
          <w:p w:rsidR="00E6758E" w:rsidRPr="003365D6" w:rsidRDefault="00E6758E" w:rsidP="005F0E8F">
            <w:pPr>
              <w:jc w:val="both"/>
              <w:rPr>
                <w:rFonts w:ascii="Arial Narrow" w:hAnsi="Arial Narrow"/>
                <w:b/>
                <w:sz w:val="20"/>
                <w:szCs w:val="20"/>
              </w:rPr>
            </w:pPr>
            <w:r w:rsidRPr="003365D6">
              <w:rPr>
                <w:rFonts w:ascii="Arial Narrow" w:hAnsi="Arial Narrow"/>
                <w:b/>
                <w:sz w:val="20"/>
                <w:szCs w:val="20"/>
              </w:rPr>
              <w:t>Tender Joint Count</w:t>
            </w:r>
          </w:p>
        </w:tc>
      </w:tr>
      <w:tr w:rsidR="00E6758E" w:rsidRPr="003365D6" w:rsidTr="00EA6FDA">
        <w:tc>
          <w:tcPr>
            <w:tcW w:w="1239" w:type="dxa"/>
          </w:tcPr>
          <w:p w:rsidR="00E6758E" w:rsidRPr="003365D6" w:rsidRDefault="00E6758E" w:rsidP="005F0E8F">
            <w:pPr>
              <w:jc w:val="both"/>
              <w:rPr>
                <w:rFonts w:ascii="Arial Narrow" w:hAnsi="Arial Narrow"/>
                <w:sz w:val="20"/>
                <w:szCs w:val="20"/>
              </w:rPr>
            </w:pPr>
            <w:r w:rsidRPr="003365D6">
              <w:rPr>
                <w:rFonts w:ascii="Arial Narrow" w:hAnsi="Arial Narrow"/>
                <w:sz w:val="20"/>
                <w:szCs w:val="20"/>
              </w:rPr>
              <w:t>Mean (SD)</w:t>
            </w:r>
          </w:p>
        </w:tc>
        <w:tc>
          <w:tcPr>
            <w:tcW w:w="1208" w:type="dxa"/>
          </w:tcPr>
          <w:p w:rsidR="00E6758E" w:rsidRPr="003365D6" w:rsidRDefault="00E6758E" w:rsidP="005F0E8F">
            <w:pPr>
              <w:jc w:val="both"/>
              <w:rPr>
                <w:rFonts w:ascii="Arial Narrow" w:hAnsi="Arial Narrow"/>
                <w:sz w:val="20"/>
                <w:szCs w:val="20"/>
              </w:rPr>
            </w:pPr>
            <w:r w:rsidRPr="003365D6">
              <w:rPr>
                <w:rFonts w:ascii="Arial Narrow" w:hAnsi="Arial Narrow"/>
                <w:sz w:val="20"/>
                <w:szCs w:val="20"/>
              </w:rPr>
              <w:t>11.6 (3.4)</w:t>
            </w:r>
          </w:p>
        </w:tc>
        <w:tc>
          <w:tcPr>
            <w:tcW w:w="1232" w:type="dxa"/>
          </w:tcPr>
          <w:p w:rsidR="00E6758E" w:rsidRPr="003365D6" w:rsidRDefault="00E6758E" w:rsidP="005F0E8F">
            <w:pPr>
              <w:jc w:val="both"/>
              <w:rPr>
                <w:rFonts w:ascii="Arial Narrow" w:hAnsi="Arial Narrow"/>
                <w:sz w:val="20"/>
                <w:szCs w:val="20"/>
              </w:rPr>
            </w:pPr>
            <w:r w:rsidRPr="003365D6">
              <w:rPr>
                <w:rFonts w:ascii="Arial Narrow" w:hAnsi="Arial Narrow"/>
                <w:sz w:val="20"/>
                <w:szCs w:val="20"/>
              </w:rPr>
              <w:t>19.3 (9.3)</w:t>
            </w:r>
          </w:p>
        </w:tc>
        <w:tc>
          <w:tcPr>
            <w:tcW w:w="1194" w:type="dxa"/>
          </w:tcPr>
          <w:p w:rsidR="00E6758E" w:rsidRPr="003365D6" w:rsidRDefault="001712CF" w:rsidP="005F0E8F">
            <w:pPr>
              <w:jc w:val="both"/>
              <w:rPr>
                <w:rFonts w:ascii="Arial Narrow" w:hAnsi="Arial Narrow"/>
                <w:sz w:val="20"/>
                <w:szCs w:val="20"/>
              </w:rPr>
            </w:pPr>
            <w:r w:rsidRPr="003365D6">
              <w:rPr>
                <w:rFonts w:ascii="Arial Narrow" w:hAnsi="Arial Narrow"/>
                <w:sz w:val="20"/>
                <w:szCs w:val="20"/>
              </w:rPr>
              <w:t>na</w:t>
            </w:r>
          </w:p>
        </w:tc>
        <w:tc>
          <w:tcPr>
            <w:tcW w:w="1232" w:type="dxa"/>
          </w:tcPr>
          <w:p w:rsidR="00E6758E" w:rsidRPr="003365D6" w:rsidRDefault="001712CF" w:rsidP="005F0E8F">
            <w:pPr>
              <w:jc w:val="both"/>
              <w:rPr>
                <w:rFonts w:ascii="Arial Narrow" w:hAnsi="Arial Narrow"/>
                <w:sz w:val="20"/>
                <w:szCs w:val="20"/>
              </w:rPr>
            </w:pPr>
            <w:r w:rsidRPr="003365D6">
              <w:rPr>
                <w:rFonts w:ascii="Arial Narrow" w:hAnsi="Arial Narrow"/>
                <w:sz w:val="20"/>
                <w:szCs w:val="20"/>
              </w:rPr>
              <w:t>na</w:t>
            </w:r>
          </w:p>
        </w:tc>
        <w:tc>
          <w:tcPr>
            <w:tcW w:w="1195" w:type="dxa"/>
          </w:tcPr>
          <w:p w:rsidR="00E6758E" w:rsidRPr="003365D6" w:rsidRDefault="009E2C3F" w:rsidP="005F0E8F">
            <w:pPr>
              <w:jc w:val="both"/>
              <w:rPr>
                <w:rFonts w:ascii="Arial Narrow" w:hAnsi="Arial Narrow"/>
                <w:sz w:val="20"/>
                <w:szCs w:val="20"/>
              </w:rPr>
            </w:pPr>
            <w:r w:rsidRPr="003365D6">
              <w:rPr>
                <w:rFonts w:ascii="Arial Narrow" w:hAnsi="Arial Narrow"/>
                <w:sz w:val="20"/>
                <w:szCs w:val="20"/>
              </w:rPr>
              <w:t>25.4 (13.4)</w:t>
            </w:r>
          </w:p>
        </w:tc>
        <w:tc>
          <w:tcPr>
            <w:tcW w:w="1233" w:type="dxa"/>
          </w:tcPr>
          <w:p w:rsidR="00E6758E" w:rsidRPr="003365D6" w:rsidRDefault="009E2C3F" w:rsidP="005F0E8F">
            <w:pPr>
              <w:jc w:val="both"/>
              <w:rPr>
                <w:rFonts w:ascii="Arial Narrow" w:hAnsi="Arial Narrow"/>
                <w:sz w:val="20"/>
                <w:szCs w:val="20"/>
              </w:rPr>
            </w:pPr>
            <w:r w:rsidRPr="003365D6">
              <w:rPr>
                <w:rFonts w:ascii="Arial Narrow" w:hAnsi="Arial Narrow"/>
                <w:sz w:val="20"/>
                <w:szCs w:val="20"/>
              </w:rPr>
              <w:t>23.9 (13.0)</w:t>
            </w:r>
          </w:p>
        </w:tc>
      </w:tr>
      <w:tr w:rsidR="001712CF" w:rsidRPr="003365D6" w:rsidTr="00EA6FDA">
        <w:tc>
          <w:tcPr>
            <w:tcW w:w="8533" w:type="dxa"/>
            <w:gridSpan w:val="7"/>
          </w:tcPr>
          <w:p w:rsidR="001712CF" w:rsidRPr="003365D6" w:rsidRDefault="001712CF" w:rsidP="005F0E8F">
            <w:pPr>
              <w:jc w:val="both"/>
              <w:rPr>
                <w:rFonts w:ascii="Arial Narrow" w:hAnsi="Arial Narrow"/>
                <w:b/>
                <w:sz w:val="20"/>
                <w:szCs w:val="20"/>
              </w:rPr>
            </w:pPr>
            <w:r w:rsidRPr="003365D6">
              <w:rPr>
                <w:rFonts w:ascii="Arial Narrow" w:hAnsi="Arial Narrow"/>
                <w:b/>
                <w:sz w:val="20"/>
                <w:szCs w:val="20"/>
              </w:rPr>
              <w:t>Baseline BASDAI score n (%)</w:t>
            </w:r>
          </w:p>
        </w:tc>
      </w:tr>
      <w:tr w:rsidR="001712CF" w:rsidRPr="003365D6" w:rsidTr="00EA6FDA">
        <w:tc>
          <w:tcPr>
            <w:tcW w:w="1239" w:type="dxa"/>
          </w:tcPr>
          <w:p w:rsidR="001712CF" w:rsidRPr="003365D6" w:rsidRDefault="001712CF" w:rsidP="005F0E8F">
            <w:pPr>
              <w:jc w:val="both"/>
              <w:rPr>
                <w:rFonts w:ascii="Arial Narrow" w:hAnsi="Arial Narrow"/>
                <w:sz w:val="20"/>
                <w:szCs w:val="20"/>
              </w:rPr>
            </w:pPr>
            <w:r w:rsidRPr="003365D6">
              <w:rPr>
                <w:rFonts w:ascii="Arial Narrow" w:hAnsi="Arial Narrow"/>
                <w:sz w:val="20"/>
                <w:szCs w:val="20"/>
              </w:rPr>
              <w:t>≥8</w:t>
            </w:r>
          </w:p>
        </w:tc>
        <w:tc>
          <w:tcPr>
            <w:tcW w:w="1208" w:type="dxa"/>
          </w:tcPr>
          <w:p w:rsidR="001712CF" w:rsidRPr="003365D6" w:rsidRDefault="001712CF" w:rsidP="005F0E8F">
            <w:pPr>
              <w:jc w:val="both"/>
              <w:rPr>
                <w:rFonts w:ascii="Arial Narrow" w:hAnsi="Arial Narrow"/>
                <w:sz w:val="20"/>
                <w:szCs w:val="20"/>
              </w:rPr>
            </w:pPr>
            <w:r w:rsidRPr="003365D6">
              <w:rPr>
                <w:rFonts w:ascii="Arial Narrow" w:hAnsi="Arial Narrow"/>
                <w:sz w:val="20"/>
                <w:szCs w:val="20"/>
              </w:rPr>
              <w:t>na</w:t>
            </w:r>
          </w:p>
        </w:tc>
        <w:tc>
          <w:tcPr>
            <w:tcW w:w="1232" w:type="dxa"/>
          </w:tcPr>
          <w:p w:rsidR="001712CF" w:rsidRPr="003365D6" w:rsidRDefault="001712CF" w:rsidP="005F0E8F">
            <w:pPr>
              <w:jc w:val="both"/>
              <w:rPr>
                <w:rFonts w:ascii="Arial Narrow" w:hAnsi="Arial Narrow"/>
                <w:sz w:val="20"/>
                <w:szCs w:val="20"/>
              </w:rPr>
            </w:pPr>
            <w:r w:rsidRPr="003365D6">
              <w:rPr>
                <w:rFonts w:ascii="Arial Narrow" w:hAnsi="Arial Narrow"/>
                <w:sz w:val="20"/>
                <w:szCs w:val="20"/>
              </w:rPr>
              <w:t>na</w:t>
            </w:r>
          </w:p>
        </w:tc>
        <w:tc>
          <w:tcPr>
            <w:tcW w:w="1194" w:type="dxa"/>
          </w:tcPr>
          <w:p w:rsidR="001712CF" w:rsidRPr="003365D6" w:rsidRDefault="001712CF" w:rsidP="005F0E8F">
            <w:pPr>
              <w:jc w:val="both"/>
              <w:rPr>
                <w:rFonts w:ascii="Arial Narrow" w:hAnsi="Arial Narrow"/>
                <w:sz w:val="20"/>
                <w:szCs w:val="20"/>
              </w:rPr>
            </w:pPr>
            <w:r w:rsidRPr="003365D6">
              <w:rPr>
                <w:rFonts w:ascii="Arial Narrow" w:hAnsi="Arial Narrow"/>
                <w:sz w:val="20"/>
                <w:szCs w:val="20"/>
              </w:rPr>
              <w:t>33 (26.4)</w:t>
            </w:r>
          </w:p>
        </w:tc>
        <w:tc>
          <w:tcPr>
            <w:tcW w:w="1232" w:type="dxa"/>
          </w:tcPr>
          <w:p w:rsidR="001712CF" w:rsidRPr="003365D6" w:rsidRDefault="001712CF" w:rsidP="005F0E8F">
            <w:pPr>
              <w:jc w:val="both"/>
              <w:rPr>
                <w:rFonts w:ascii="Arial Narrow" w:hAnsi="Arial Narrow"/>
                <w:sz w:val="20"/>
                <w:szCs w:val="20"/>
              </w:rPr>
            </w:pPr>
            <w:r w:rsidRPr="003365D6">
              <w:rPr>
                <w:rFonts w:ascii="Arial Narrow" w:hAnsi="Arial Narrow"/>
                <w:sz w:val="20"/>
                <w:szCs w:val="20"/>
              </w:rPr>
              <w:t>30 (24.0)</w:t>
            </w:r>
          </w:p>
        </w:tc>
        <w:tc>
          <w:tcPr>
            <w:tcW w:w="1195" w:type="dxa"/>
          </w:tcPr>
          <w:p w:rsidR="001712CF" w:rsidRPr="003365D6" w:rsidRDefault="00FE1692" w:rsidP="005F0E8F">
            <w:pPr>
              <w:jc w:val="both"/>
              <w:rPr>
                <w:rFonts w:ascii="Arial Narrow" w:hAnsi="Arial Narrow"/>
                <w:sz w:val="20"/>
                <w:szCs w:val="20"/>
              </w:rPr>
            </w:pPr>
            <w:r w:rsidRPr="003365D6">
              <w:rPr>
                <w:rFonts w:ascii="Arial Narrow" w:hAnsi="Arial Narrow"/>
                <w:sz w:val="20"/>
                <w:szCs w:val="20"/>
              </w:rPr>
              <w:t>na</w:t>
            </w:r>
          </w:p>
        </w:tc>
        <w:tc>
          <w:tcPr>
            <w:tcW w:w="1233" w:type="dxa"/>
          </w:tcPr>
          <w:p w:rsidR="001712CF" w:rsidRPr="003365D6" w:rsidRDefault="00FE1692" w:rsidP="005F0E8F">
            <w:pPr>
              <w:jc w:val="both"/>
              <w:rPr>
                <w:rFonts w:ascii="Arial Narrow" w:hAnsi="Arial Narrow"/>
                <w:sz w:val="20"/>
                <w:szCs w:val="20"/>
              </w:rPr>
            </w:pPr>
            <w:r w:rsidRPr="003365D6">
              <w:rPr>
                <w:rFonts w:ascii="Arial Narrow" w:hAnsi="Arial Narrow"/>
                <w:sz w:val="20"/>
                <w:szCs w:val="20"/>
              </w:rPr>
              <w:t>na</w:t>
            </w:r>
          </w:p>
        </w:tc>
      </w:tr>
    </w:tbl>
    <w:p w:rsidR="00DF63DC" w:rsidRPr="003365D6" w:rsidRDefault="00B9112B" w:rsidP="007421DF">
      <w:pPr>
        <w:ind w:left="720"/>
        <w:jc w:val="both"/>
        <w:rPr>
          <w:rFonts w:ascii="Arial Narrow" w:hAnsi="Arial Narrow"/>
          <w:sz w:val="20"/>
          <w:szCs w:val="20"/>
        </w:rPr>
      </w:pPr>
      <w:r w:rsidRPr="003365D6">
        <w:rPr>
          <w:rFonts w:ascii="Arial Narrow" w:hAnsi="Arial Narrow"/>
          <w:sz w:val="20"/>
          <w:szCs w:val="20"/>
          <w:vertAlign w:val="superscript"/>
        </w:rPr>
        <w:t>a</w:t>
      </w:r>
      <w:r w:rsidRPr="003365D6">
        <w:rPr>
          <w:rFonts w:ascii="Arial Narrow" w:hAnsi="Arial Narrow"/>
          <w:sz w:val="20"/>
          <w:szCs w:val="20"/>
        </w:rPr>
        <w:t xml:space="preserve">10 patients were randomised to Remicade in Study </w:t>
      </w:r>
      <w:r w:rsidR="00981EEA" w:rsidRPr="003365D6">
        <w:rPr>
          <w:rFonts w:ascii="Arial Narrow" w:hAnsi="Arial Narrow"/>
          <w:sz w:val="20"/>
          <w:szCs w:val="20"/>
        </w:rPr>
        <w:t>1.2;</w:t>
      </w:r>
      <w:r w:rsidRPr="003365D6">
        <w:rPr>
          <w:rFonts w:ascii="Arial Narrow" w:hAnsi="Arial Narrow"/>
          <w:sz w:val="20"/>
          <w:szCs w:val="20"/>
        </w:rPr>
        <w:t xml:space="preserve"> however one patient was dosed with Inflectra at Dose 2 and has been excluded from the statistical analyses.</w:t>
      </w:r>
    </w:p>
    <w:p w:rsidR="00821022" w:rsidRPr="003365D6" w:rsidRDefault="00821022" w:rsidP="007421DF">
      <w:pPr>
        <w:ind w:left="720"/>
        <w:jc w:val="both"/>
        <w:rPr>
          <w:rFonts w:ascii="Arial Narrow" w:hAnsi="Arial Narrow"/>
          <w:sz w:val="20"/>
          <w:szCs w:val="20"/>
        </w:rPr>
      </w:pPr>
      <w:r w:rsidRPr="003365D6">
        <w:rPr>
          <w:rFonts w:ascii="Arial Narrow" w:hAnsi="Arial Narrow"/>
          <w:sz w:val="20"/>
          <w:szCs w:val="20"/>
        </w:rPr>
        <w:t>AE = adverse events; BASDAI = Bath Ankylosing Spondylitis Disease Activity Index; SD = standard deviation.</w:t>
      </w:r>
    </w:p>
    <w:p w:rsidR="00DF63DC" w:rsidRPr="003365D6" w:rsidRDefault="00DF63DC" w:rsidP="005F0E8F">
      <w:pPr>
        <w:jc w:val="both"/>
        <w:rPr>
          <w:rFonts w:ascii="Arial" w:hAnsi="Arial"/>
          <w:sz w:val="22"/>
          <w:szCs w:val="22"/>
        </w:rPr>
      </w:pPr>
    </w:p>
    <w:p w:rsidR="00206DCA" w:rsidRPr="003365D6" w:rsidRDefault="00390750" w:rsidP="00526CD0">
      <w:pPr>
        <w:pStyle w:val="ListParagraph"/>
        <w:numPr>
          <w:ilvl w:val="1"/>
          <w:numId w:val="2"/>
        </w:numPr>
        <w:jc w:val="both"/>
        <w:rPr>
          <w:rFonts w:ascii="Arial" w:hAnsi="Arial"/>
          <w:sz w:val="22"/>
          <w:szCs w:val="22"/>
        </w:rPr>
      </w:pPr>
      <w:r w:rsidRPr="003365D6">
        <w:rPr>
          <w:rFonts w:ascii="Arial" w:hAnsi="Arial"/>
          <w:sz w:val="22"/>
          <w:szCs w:val="22"/>
        </w:rPr>
        <w:t xml:space="preserve">Baseline characteristics are similar across arms in the two large randomised studies (Study 1.1 and Study 3.1).  </w:t>
      </w:r>
    </w:p>
    <w:p w:rsidR="00206DCA" w:rsidRPr="003365D6" w:rsidRDefault="00206DCA" w:rsidP="005F0E8F">
      <w:pPr>
        <w:jc w:val="both"/>
        <w:rPr>
          <w:rFonts w:ascii="Arial" w:hAnsi="Arial"/>
          <w:sz w:val="22"/>
          <w:szCs w:val="22"/>
        </w:rPr>
      </w:pPr>
    </w:p>
    <w:p w:rsidR="00112011" w:rsidRPr="003365D6" w:rsidRDefault="00390750" w:rsidP="00526CD0">
      <w:pPr>
        <w:pStyle w:val="ListParagraph"/>
        <w:numPr>
          <w:ilvl w:val="1"/>
          <w:numId w:val="2"/>
        </w:numPr>
        <w:jc w:val="both"/>
        <w:rPr>
          <w:rFonts w:ascii="Arial" w:hAnsi="Arial"/>
          <w:sz w:val="22"/>
          <w:szCs w:val="22"/>
        </w:rPr>
      </w:pPr>
      <w:r w:rsidRPr="003365D6">
        <w:rPr>
          <w:rFonts w:ascii="Arial" w:hAnsi="Arial"/>
          <w:sz w:val="22"/>
          <w:szCs w:val="22"/>
        </w:rPr>
        <w:t xml:space="preserve">The mean number of tender joints are greater in the Remicade arm of Study 1.2, </w:t>
      </w:r>
      <w:r w:rsidR="001A5C84" w:rsidRPr="003365D6">
        <w:rPr>
          <w:rFonts w:ascii="Arial" w:hAnsi="Arial"/>
          <w:sz w:val="22"/>
          <w:szCs w:val="22"/>
        </w:rPr>
        <w:t xml:space="preserve">but </w:t>
      </w:r>
      <w:r w:rsidRPr="003365D6">
        <w:rPr>
          <w:rFonts w:ascii="Arial" w:hAnsi="Arial"/>
          <w:sz w:val="22"/>
          <w:szCs w:val="22"/>
        </w:rPr>
        <w:t>the small number of patients (n=18) make</w:t>
      </w:r>
      <w:r w:rsidR="008E17C5" w:rsidRPr="003365D6">
        <w:rPr>
          <w:rFonts w:ascii="Arial" w:hAnsi="Arial"/>
          <w:sz w:val="22"/>
          <w:szCs w:val="22"/>
        </w:rPr>
        <w:t>s</w:t>
      </w:r>
      <w:r w:rsidRPr="003365D6">
        <w:rPr>
          <w:rFonts w:ascii="Arial" w:hAnsi="Arial"/>
          <w:sz w:val="22"/>
          <w:szCs w:val="22"/>
        </w:rPr>
        <w:t xml:space="preserve"> this </w:t>
      </w:r>
      <w:r w:rsidR="00206DCA" w:rsidRPr="003365D6">
        <w:rPr>
          <w:rFonts w:ascii="Arial" w:hAnsi="Arial"/>
          <w:sz w:val="22"/>
          <w:szCs w:val="22"/>
        </w:rPr>
        <w:t>difficult to interpret.</w:t>
      </w:r>
      <w:r w:rsidR="005D1DA8" w:rsidRPr="003365D6">
        <w:rPr>
          <w:rFonts w:ascii="Arial" w:hAnsi="Arial"/>
          <w:sz w:val="22"/>
          <w:szCs w:val="22"/>
        </w:rPr>
        <w:t xml:space="preserve">  </w:t>
      </w:r>
    </w:p>
    <w:p w:rsidR="00112011" w:rsidRPr="003365D6" w:rsidRDefault="00112011" w:rsidP="00112011">
      <w:pPr>
        <w:pStyle w:val="ListParagraph"/>
        <w:rPr>
          <w:rFonts w:ascii="Arial" w:hAnsi="Arial"/>
          <w:sz w:val="22"/>
          <w:szCs w:val="22"/>
        </w:rPr>
      </w:pPr>
    </w:p>
    <w:p w:rsidR="00112011" w:rsidRPr="003365D6" w:rsidRDefault="00112011" w:rsidP="00526CD0">
      <w:pPr>
        <w:pStyle w:val="ListParagraph"/>
        <w:numPr>
          <w:ilvl w:val="1"/>
          <w:numId w:val="2"/>
        </w:numPr>
        <w:jc w:val="both"/>
        <w:rPr>
          <w:rFonts w:ascii="Arial" w:hAnsi="Arial"/>
          <w:sz w:val="22"/>
          <w:szCs w:val="22"/>
        </w:rPr>
      </w:pPr>
      <w:r w:rsidRPr="003365D6">
        <w:rPr>
          <w:rFonts w:ascii="Arial" w:hAnsi="Arial"/>
          <w:sz w:val="22"/>
          <w:szCs w:val="22"/>
        </w:rPr>
        <w:t xml:space="preserve">In Study 3.1 in rheumatoid arthritis, methotrexate and folic acid were taken by all patients concurrently with either Inflectra or Remicade.  The dose of methotrexate in each arm was similar </w:t>
      </w:r>
      <w:r w:rsidR="001A5C84" w:rsidRPr="003365D6">
        <w:rPr>
          <w:rFonts w:ascii="Arial" w:hAnsi="Arial"/>
          <w:sz w:val="22"/>
          <w:szCs w:val="22"/>
        </w:rPr>
        <w:t xml:space="preserve">for </w:t>
      </w:r>
      <w:r w:rsidRPr="003365D6">
        <w:rPr>
          <w:rFonts w:ascii="Arial" w:hAnsi="Arial"/>
          <w:sz w:val="22"/>
          <w:szCs w:val="22"/>
        </w:rPr>
        <w:t>the duration of the study.</w:t>
      </w:r>
    </w:p>
    <w:p w:rsidR="008F577A" w:rsidRPr="003365D6" w:rsidRDefault="008F577A" w:rsidP="008F577A">
      <w:pPr>
        <w:pStyle w:val="ListParagraph"/>
        <w:rPr>
          <w:rFonts w:ascii="Arial" w:hAnsi="Arial"/>
          <w:sz w:val="22"/>
          <w:szCs w:val="22"/>
        </w:rPr>
      </w:pPr>
    </w:p>
    <w:p w:rsidR="008F577A" w:rsidRPr="003365D6" w:rsidRDefault="004D3E96" w:rsidP="00526CD0">
      <w:pPr>
        <w:pStyle w:val="ListParagraph"/>
        <w:numPr>
          <w:ilvl w:val="1"/>
          <w:numId w:val="2"/>
        </w:numPr>
        <w:jc w:val="both"/>
        <w:rPr>
          <w:rFonts w:ascii="Arial" w:hAnsi="Arial"/>
          <w:sz w:val="22"/>
          <w:szCs w:val="22"/>
        </w:rPr>
      </w:pPr>
      <w:r w:rsidRPr="003365D6">
        <w:rPr>
          <w:rFonts w:ascii="Arial" w:hAnsi="Arial"/>
          <w:sz w:val="22"/>
          <w:szCs w:val="22"/>
        </w:rPr>
        <w:t xml:space="preserve">The </w:t>
      </w:r>
      <w:r w:rsidR="008F577A" w:rsidRPr="003365D6">
        <w:rPr>
          <w:rFonts w:ascii="Arial" w:hAnsi="Arial"/>
          <w:sz w:val="22"/>
          <w:szCs w:val="22"/>
        </w:rPr>
        <w:t>Supplementary Clinical Section</w:t>
      </w:r>
      <w:r w:rsidR="007B2E5F">
        <w:rPr>
          <w:rFonts w:ascii="Arial" w:hAnsi="Arial"/>
          <w:sz w:val="22"/>
          <w:szCs w:val="22"/>
        </w:rPr>
        <w:t xml:space="preserve"> to the submission</w:t>
      </w:r>
      <w:r w:rsidR="008F577A" w:rsidRPr="003365D6">
        <w:rPr>
          <w:rFonts w:ascii="Arial" w:hAnsi="Arial"/>
          <w:sz w:val="22"/>
          <w:szCs w:val="22"/>
        </w:rPr>
        <w:t xml:space="preserve"> included a list of uncontrolled studies involving </w:t>
      </w:r>
      <w:r w:rsidR="001A5C84" w:rsidRPr="003365D6">
        <w:rPr>
          <w:rFonts w:ascii="Arial" w:hAnsi="Arial"/>
          <w:sz w:val="22"/>
          <w:szCs w:val="22"/>
        </w:rPr>
        <w:t xml:space="preserve">the use of </w:t>
      </w:r>
      <w:r w:rsidR="008F577A" w:rsidRPr="003365D6">
        <w:rPr>
          <w:rFonts w:ascii="Arial" w:hAnsi="Arial"/>
          <w:sz w:val="22"/>
          <w:szCs w:val="22"/>
        </w:rPr>
        <w:t>Inflectra</w:t>
      </w:r>
      <w:r w:rsidR="004B0D55" w:rsidRPr="003365D6">
        <w:rPr>
          <w:rFonts w:ascii="Arial" w:hAnsi="Arial"/>
          <w:sz w:val="22"/>
          <w:szCs w:val="22"/>
        </w:rPr>
        <w:t xml:space="preserve"> in patients with Crohn’s disease and ulcerative colitis.</w:t>
      </w:r>
      <w:r w:rsidR="008F577A" w:rsidRPr="003365D6">
        <w:rPr>
          <w:rFonts w:ascii="Arial" w:hAnsi="Arial"/>
          <w:sz w:val="22"/>
          <w:szCs w:val="22"/>
        </w:rPr>
        <w:t xml:space="preserve">  </w:t>
      </w:r>
      <w:r w:rsidR="000717E6" w:rsidRPr="003365D6">
        <w:rPr>
          <w:rFonts w:ascii="Arial" w:hAnsi="Arial"/>
          <w:sz w:val="22"/>
          <w:szCs w:val="22"/>
        </w:rPr>
        <w:t xml:space="preserve">These studies are presented </w:t>
      </w:r>
      <w:r w:rsidR="001A5C84" w:rsidRPr="003365D6">
        <w:rPr>
          <w:rFonts w:ascii="Arial" w:hAnsi="Arial"/>
          <w:sz w:val="22"/>
          <w:szCs w:val="22"/>
        </w:rPr>
        <w:t xml:space="preserve">in </w:t>
      </w:r>
      <w:r w:rsidR="00B9612D" w:rsidRPr="003365D6">
        <w:rPr>
          <w:rFonts w:ascii="Arial" w:hAnsi="Arial"/>
          <w:sz w:val="22"/>
          <w:szCs w:val="22"/>
        </w:rPr>
        <w:t xml:space="preserve">Table </w:t>
      </w:r>
      <w:r w:rsidR="009346CC" w:rsidRPr="003365D6">
        <w:rPr>
          <w:rFonts w:ascii="Arial" w:hAnsi="Arial"/>
          <w:sz w:val="22"/>
          <w:szCs w:val="22"/>
        </w:rPr>
        <w:t>4</w:t>
      </w:r>
      <w:r w:rsidR="000717E6" w:rsidRPr="003365D6">
        <w:rPr>
          <w:rFonts w:ascii="Arial" w:hAnsi="Arial"/>
          <w:sz w:val="22"/>
          <w:szCs w:val="22"/>
        </w:rPr>
        <w:t>:</w:t>
      </w:r>
    </w:p>
    <w:p w:rsidR="000717E6" w:rsidRPr="003365D6" w:rsidRDefault="000717E6" w:rsidP="000717E6">
      <w:pPr>
        <w:pStyle w:val="ListParagraph"/>
        <w:rPr>
          <w:rFonts w:ascii="Arial" w:hAnsi="Arial"/>
          <w:sz w:val="22"/>
          <w:szCs w:val="22"/>
        </w:rPr>
      </w:pPr>
    </w:p>
    <w:p w:rsidR="000717E6" w:rsidRPr="003365D6" w:rsidRDefault="000717E6" w:rsidP="00ED652C">
      <w:pPr>
        <w:pStyle w:val="NoSpacing"/>
        <w:keepNext/>
        <w:ind w:left="720"/>
        <w:rPr>
          <w:rFonts w:ascii="Arial Narrow" w:hAnsi="Arial Narrow"/>
          <w:b/>
          <w:sz w:val="20"/>
        </w:rPr>
      </w:pPr>
      <w:bookmarkStart w:id="4" w:name="_Ref421107765"/>
      <w:r w:rsidRPr="003365D6">
        <w:rPr>
          <w:rFonts w:ascii="Arial Narrow" w:hAnsi="Arial Narrow"/>
          <w:b/>
          <w:sz w:val="20"/>
        </w:rPr>
        <w:t xml:space="preserve">Table </w:t>
      </w:r>
      <w:bookmarkEnd w:id="4"/>
      <w:r w:rsidR="009346CC" w:rsidRPr="003365D6">
        <w:rPr>
          <w:rFonts w:ascii="Arial Narrow" w:hAnsi="Arial Narrow"/>
          <w:b/>
          <w:sz w:val="20"/>
        </w:rPr>
        <w:t>4</w:t>
      </w:r>
      <w:r w:rsidR="00DA1992">
        <w:rPr>
          <w:rFonts w:ascii="Arial Narrow" w:hAnsi="Arial Narrow"/>
          <w:b/>
          <w:sz w:val="20"/>
        </w:rPr>
        <w:t>:</w:t>
      </w:r>
      <w:r w:rsidRPr="003365D6">
        <w:rPr>
          <w:rFonts w:ascii="Arial Narrow" w:hAnsi="Arial Narrow"/>
          <w:b/>
          <w:sz w:val="20"/>
        </w:rPr>
        <w:tab/>
        <w:t xml:space="preserve">Trials and </w:t>
      </w:r>
      <w:r w:rsidRPr="003365D6">
        <w:rPr>
          <w:rStyle w:val="CommentReference"/>
        </w:rPr>
        <w:t>associated</w:t>
      </w:r>
      <w:r w:rsidRPr="003365D6">
        <w:rPr>
          <w:rFonts w:ascii="Arial Narrow" w:hAnsi="Arial Narrow"/>
          <w:b/>
          <w:sz w:val="20"/>
        </w:rPr>
        <w:t xml:space="preserve"> reports presented in the supplementary clinical section to the minor </w:t>
      </w:r>
      <w:r w:rsidRPr="003365D6">
        <w:rPr>
          <w:rStyle w:val="CommentReference"/>
        </w:rPr>
        <w:t>submission</w:t>
      </w:r>
    </w:p>
    <w:tbl>
      <w:tblPr>
        <w:tblW w:w="4525"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0717E6" w:rsidRPr="003365D6" w:rsidTr="009B180D">
        <w:trPr>
          <w:cantSplit/>
          <w:tblHeader/>
        </w:trPr>
        <w:tc>
          <w:tcPr>
            <w:tcW w:w="1701" w:type="dxa"/>
          </w:tcPr>
          <w:p w:rsidR="000717E6" w:rsidRPr="003365D6" w:rsidRDefault="000717E6" w:rsidP="00ED652C">
            <w:pPr>
              <w:pStyle w:val="NoSpacing"/>
              <w:keepNext/>
              <w:rPr>
                <w:rFonts w:ascii="Arial Narrow" w:hAnsi="Arial Narrow"/>
                <w:b/>
                <w:sz w:val="20"/>
                <w:szCs w:val="20"/>
              </w:rPr>
            </w:pPr>
            <w:r w:rsidRPr="003365D6">
              <w:rPr>
                <w:rFonts w:ascii="Arial Narrow" w:hAnsi="Arial Narrow"/>
                <w:b/>
                <w:sz w:val="20"/>
                <w:szCs w:val="20"/>
              </w:rPr>
              <w:t>Trial ID</w:t>
            </w:r>
          </w:p>
        </w:tc>
        <w:tc>
          <w:tcPr>
            <w:tcW w:w="4820" w:type="dxa"/>
          </w:tcPr>
          <w:p w:rsidR="000717E6" w:rsidRPr="003365D6" w:rsidRDefault="000717E6" w:rsidP="00ED652C">
            <w:pPr>
              <w:keepNext/>
              <w:jc w:val="center"/>
              <w:rPr>
                <w:rFonts w:ascii="Arial Narrow" w:hAnsi="Arial Narrow"/>
                <w:b/>
                <w:sz w:val="20"/>
                <w:szCs w:val="20"/>
              </w:rPr>
            </w:pPr>
            <w:r w:rsidRPr="003365D6">
              <w:rPr>
                <w:rFonts w:ascii="Arial Narrow" w:hAnsi="Arial Narrow"/>
                <w:b/>
                <w:sz w:val="20"/>
                <w:szCs w:val="20"/>
              </w:rPr>
              <w:t>Protocol title/ Publication title</w:t>
            </w:r>
          </w:p>
        </w:tc>
        <w:tc>
          <w:tcPr>
            <w:tcW w:w="1843" w:type="dxa"/>
          </w:tcPr>
          <w:p w:rsidR="000717E6" w:rsidRPr="003365D6" w:rsidRDefault="000717E6" w:rsidP="00ED652C">
            <w:pPr>
              <w:keepNext/>
              <w:rPr>
                <w:rFonts w:ascii="Arial Narrow" w:hAnsi="Arial Narrow"/>
                <w:b/>
                <w:sz w:val="20"/>
                <w:szCs w:val="20"/>
              </w:rPr>
            </w:pPr>
            <w:r w:rsidRPr="003365D6">
              <w:rPr>
                <w:rFonts w:ascii="Arial Narrow" w:hAnsi="Arial Narrow"/>
                <w:b/>
                <w:sz w:val="20"/>
                <w:szCs w:val="20"/>
              </w:rPr>
              <w:t>Publication citation</w:t>
            </w:r>
          </w:p>
        </w:tc>
      </w:tr>
      <w:tr w:rsidR="000717E6" w:rsidRPr="003365D6" w:rsidTr="009B180D">
        <w:trPr>
          <w:cantSplit/>
        </w:trPr>
        <w:tc>
          <w:tcPr>
            <w:tcW w:w="1701" w:type="dxa"/>
          </w:tcPr>
          <w:p w:rsidR="000717E6" w:rsidRPr="003365D6" w:rsidRDefault="000717E6" w:rsidP="00ED652C">
            <w:pPr>
              <w:pStyle w:val="NoSpacing"/>
              <w:keepNext/>
              <w:jc w:val="left"/>
              <w:rPr>
                <w:rFonts w:ascii="Arial Narrow" w:hAnsi="Arial Narrow"/>
                <w:b/>
                <w:sz w:val="20"/>
                <w:szCs w:val="20"/>
              </w:rPr>
            </w:pPr>
            <w:r w:rsidRPr="003365D6">
              <w:rPr>
                <w:rFonts w:ascii="Arial Narrow" w:hAnsi="Arial Narrow"/>
                <w:b/>
                <w:sz w:val="20"/>
                <w:szCs w:val="20"/>
              </w:rPr>
              <w:t>Study CT-P13 PMS Study Korea</w:t>
            </w:r>
          </w:p>
          <w:p w:rsidR="000717E6" w:rsidRPr="003365D6" w:rsidRDefault="000717E6" w:rsidP="00ED652C">
            <w:pPr>
              <w:pStyle w:val="NoSpacing"/>
              <w:keepNext/>
              <w:jc w:val="left"/>
              <w:rPr>
                <w:rFonts w:ascii="Arial Narrow" w:hAnsi="Arial Narrow"/>
                <w:sz w:val="20"/>
                <w:szCs w:val="20"/>
              </w:rPr>
            </w:pPr>
            <w:r w:rsidRPr="003365D6">
              <w:rPr>
                <w:rFonts w:ascii="Arial Narrow" w:hAnsi="Arial Narrow"/>
                <w:sz w:val="20"/>
                <w:szCs w:val="20"/>
              </w:rPr>
              <w:t>(no publications)</w:t>
            </w:r>
          </w:p>
        </w:tc>
        <w:tc>
          <w:tcPr>
            <w:tcW w:w="4820" w:type="dxa"/>
          </w:tcPr>
          <w:p w:rsidR="00584A65" w:rsidRPr="003365D6" w:rsidRDefault="00584A65" w:rsidP="00ED652C">
            <w:pPr>
              <w:keepNext/>
              <w:rPr>
                <w:rFonts w:ascii="Arial Narrow" w:hAnsi="Arial Narrow"/>
                <w:b/>
                <w:sz w:val="20"/>
                <w:szCs w:val="20"/>
              </w:rPr>
            </w:pPr>
            <w:r w:rsidRPr="003365D6">
              <w:rPr>
                <w:rFonts w:ascii="Arial Narrow" w:hAnsi="Arial Narrow"/>
                <w:b/>
                <w:sz w:val="20"/>
                <w:szCs w:val="20"/>
              </w:rPr>
              <w:t>Interim Clinical Study Report</w:t>
            </w:r>
          </w:p>
          <w:p w:rsidR="000717E6" w:rsidRPr="003365D6" w:rsidRDefault="00584A65" w:rsidP="00ED652C">
            <w:pPr>
              <w:keepNext/>
              <w:rPr>
                <w:rStyle w:val="Small"/>
                <w:rFonts w:ascii="Times New Roman" w:hAnsi="Times New Roman"/>
                <w:szCs w:val="20"/>
              </w:rPr>
            </w:pPr>
            <w:r w:rsidRPr="003365D6">
              <w:rPr>
                <w:rFonts w:ascii="Arial Narrow" w:hAnsi="Arial Narrow"/>
                <w:sz w:val="20"/>
                <w:szCs w:val="20"/>
              </w:rPr>
              <w:t>Post-Marketing Surveillance of REMSIMA</w:t>
            </w:r>
            <w:r w:rsidRPr="003365D6">
              <w:rPr>
                <w:rFonts w:ascii="Arial Narrow" w:hAnsi="Arial Narrow"/>
                <w:sz w:val="20"/>
                <w:szCs w:val="20"/>
                <w:vertAlign w:val="superscript"/>
              </w:rPr>
              <w:t>TM</w:t>
            </w:r>
            <w:r w:rsidRPr="003365D6">
              <w:rPr>
                <w:rFonts w:ascii="Arial Narrow" w:hAnsi="Arial Narrow"/>
                <w:sz w:val="20"/>
                <w:szCs w:val="20"/>
              </w:rPr>
              <w:t xml:space="preserve"> 100 mg (Infliximab) (monoclonal antibody, recombinant) to Evaluate Its Safety and Efficacy in Korea. Interim report, 30 Jan 2015</w:t>
            </w:r>
            <w:r w:rsidRPr="003365D6">
              <w:rPr>
                <w:sz w:val="20"/>
                <w:szCs w:val="20"/>
              </w:rPr>
              <w:t xml:space="preserve"> </w:t>
            </w:r>
          </w:p>
        </w:tc>
        <w:tc>
          <w:tcPr>
            <w:tcW w:w="1843" w:type="dxa"/>
          </w:tcPr>
          <w:p w:rsidR="000717E6" w:rsidRPr="003365D6" w:rsidRDefault="00584A65" w:rsidP="00ED652C">
            <w:pPr>
              <w:keepNext/>
              <w:rPr>
                <w:rFonts w:ascii="Arial Narrow" w:hAnsi="Arial Narrow"/>
                <w:sz w:val="20"/>
                <w:szCs w:val="20"/>
              </w:rPr>
            </w:pPr>
            <w:r w:rsidRPr="003365D6">
              <w:rPr>
                <w:rFonts w:ascii="Arial Narrow" w:hAnsi="Arial Narrow"/>
                <w:sz w:val="20"/>
                <w:szCs w:val="20"/>
              </w:rPr>
              <w:t>Interim CSR 30 January 2015</w:t>
            </w:r>
          </w:p>
          <w:p w:rsidR="00584A65" w:rsidRPr="003365D6" w:rsidRDefault="00584A65" w:rsidP="00ED652C">
            <w:pPr>
              <w:keepNext/>
              <w:rPr>
                <w:rFonts w:ascii="Arial Narrow" w:hAnsi="Arial Narrow"/>
                <w:sz w:val="20"/>
                <w:szCs w:val="20"/>
              </w:rPr>
            </w:pPr>
            <w:r w:rsidRPr="003365D6">
              <w:rPr>
                <w:rFonts w:ascii="Arial Narrow" w:hAnsi="Arial Narrow"/>
                <w:sz w:val="20"/>
                <w:szCs w:val="20"/>
              </w:rPr>
              <w:t>(provided as appendix 3 to the supplementary clinical section)</w:t>
            </w:r>
          </w:p>
        </w:tc>
      </w:tr>
      <w:tr w:rsidR="00584A65" w:rsidRPr="003365D6" w:rsidTr="00584A65">
        <w:trPr>
          <w:cantSplit/>
          <w:trHeight w:val="1084"/>
        </w:trPr>
        <w:tc>
          <w:tcPr>
            <w:tcW w:w="1701" w:type="dxa"/>
          </w:tcPr>
          <w:p w:rsidR="00584A65" w:rsidRPr="003365D6" w:rsidRDefault="00584A65" w:rsidP="002614FA">
            <w:pPr>
              <w:pStyle w:val="NoSpacing"/>
              <w:jc w:val="left"/>
              <w:rPr>
                <w:rFonts w:ascii="Arial Narrow" w:hAnsi="Arial Narrow"/>
                <w:b/>
                <w:sz w:val="20"/>
                <w:szCs w:val="20"/>
              </w:rPr>
            </w:pPr>
            <w:r w:rsidRPr="003365D6">
              <w:rPr>
                <w:rFonts w:ascii="Arial Narrow" w:hAnsi="Arial Narrow"/>
                <w:b/>
                <w:sz w:val="20"/>
                <w:szCs w:val="20"/>
              </w:rPr>
              <w:t>Norway Hospital Study</w:t>
            </w:r>
          </w:p>
          <w:p w:rsidR="00584A65" w:rsidRPr="003365D6" w:rsidRDefault="00584A65" w:rsidP="002614FA">
            <w:pPr>
              <w:pStyle w:val="NoSpacing"/>
              <w:jc w:val="left"/>
              <w:rPr>
                <w:rFonts w:ascii="Arial Narrow" w:hAnsi="Arial Narrow"/>
                <w:sz w:val="20"/>
                <w:szCs w:val="20"/>
              </w:rPr>
            </w:pPr>
            <w:r w:rsidRPr="003365D6">
              <w:rPr>
                <w:rFonts w:ascii="Arial Narrow" w:hAnsi="Arial Narrow"/>
                <w:sz w:val="20"/>
                <w:szCs w:val="20"/>
              </w:rPr>
              <w:t>(no publications)</w:t>
            </w:r>
          </w:p>
        </w:tc>
        <w:tc>
          <w:tcPr>
            <w:tcW w:w="4820" w:type="dxa"/>
          </w:tcPr>
          <w:p w:rsidR="00584A65" w:rsidRPr="003365D6" w:rsidRDefault="00584A65" w:rsidP="009B180D">
            <w:pPr>
              <w:keepNext/>
              <w:rPr>
                <w:rStyle w:val="SmallBold"/>
                <w:rFonts w:ascii="Arial Narrow" w:hAnsi="Arial Narrow"/>
                <w:szCs w:val="20"/>
              </w:rPr>
            </w:pPr>
            <w:r w:rsidRPr="003365D6">
              <w:rPr>
                <w:rStyle w:val="SmallBold"/>
                <w:rFonts w:ascii="Arial Narrow" w:hAnsi="Arial Narrow"/>
                <w:szCs w:val="20"/>
              </w:rPr>
              <w:t>Interim Report:</w:t>
            </w:r>
          </w:p>
          <w:p w:rsidR="00584A65" w:rsidRPr="003365D6" w:rsidRDefault="00584A65" w:rsidP="009B180D">
            <w:pPr>
              <w:keepNext/>
              <w:rPr>
                <w:rFonts w:ascii="Arial Narrow" w:hAnsi="Arial Narrow"/>
                <w:sz w:val="20"/>
                <w:szCs w:val="20"/>
              </w:rPr>
            </w:pPr>
            <w:r w:rsidRPr="003365D6">
              <w:rPr>
                <w:rFonts w:ascii="Arial Narrow" w:hAnsi="Arial Narrow"/>
                <w:sz w:val="20"/>
                <w:szCs w:val="20"/>
              </w:rPr>
              <w:t>Post-marketing real-world clinical experience with REMSIMA</w:t>
            </w:r>
            <w:r w:rsidRPr="003365D6">
              <w:rPr>
                <w:rFonts w:ascii="Arial Narrow" w:hAnsi="Arial Narrow"/>
                <w:sz w:val="20"/>
                <w:szCs w:val="20"/>
                <w:vertAlign w:val="superscript"/>
              </w:rPr>
              <w:t>TM</w:t>
            </w:r>
            <w:r w:rsidRPr="003365D6">
              <w:rPr>
                <w:rFonts w:ascii="Arial Narrow" w:hAnsi="Arial Narrow"/>
                <w:sz w:val="20"/>
                <w:szCs w:val="20"/>
              </w:rPr>
              <w:t xml:space="preserve"> 100 mg (infliximab) (monoclonal antibody, recombinant) in patients with inflammatory bowel disease at Akershus University Hospital, Norway. </w:t>
            </w:r>
          </w:p>
        </w:tc>
        <w:tc>
          <w:tcPr>
            <w:tcW w:w="1843" w:type="dxa"/>
          </w:tcPr>
          <w:p w:rsidR="00584A65" w:rsidRPr="003365D6" w:rsidRDefault="00584A65" w:rsidP="009B180D">
            <w:pPr>
              <w:keepNext/>
              <w:rPr>
                <w:rFonts w:ascii="Arial Narrow" w:hAnsi="Arial Narrow"/>
                <w:sz w:val="20"/>
                <w:szCs w:val="20"/>
              </w:rPr>
            </w:pPr>
            <w:r w:rsidRPr="003365D6">
              <w:rPr>
                <w:rFonts w:ascii="Arial Narrow" w:hAnsi="Arial Narrow"/>
                <w:sz w:val="20"/>
                <w:szCs w:val="20"/>
              </w:rPr>
              <w:t>Interim Report 2 April 2015</w:t>
            </w:r>
          </w:p>
          <w:p w:rsidR="00584A65" w:rsidRPr="003365D6" w:rsidRDefault="00584A65" w:rsidP="009B180D">
            <w:pPr>
              <w:keepNext/>
              <w:rPr>
                <w:rFonts w:ascii="Arial Narrow" w:hAnsi="Arial Narrow"/>
                <w:sz w:val="20"/>
                <w:szCs w:val="20"/>
              </w:rPr>
            </w:pPr>
            <w:r w:rsidRPr="003365D6">
              <w:rPr>
                <w:rFonts w:ascii="Arial Narrow" w:hAnsi="Arial Narrow"/>
                <w:sz w:val="20"/>
                <w:szCs w:val="20"/>
              </w:rPr>
              <w:t>(provided as appendix 4 to the supplementary clinical section)</w:t>
            </w:r>
          </w:p>
        </w:tc>
      </w:tr>
      <w:tr w:rsidR="00584A65" w:rsidRPr="003365D6" w:rsidTr="00584A65">
        <w:trPr>
          <w:cantSplit/>
          <w:trHeight w:val="1415"/>
        </w:trPr>
        <w:tc>
          <w:tcPr>
            <w:tcW w:w="1701" w:type="dxa"/>
          </w:tcPr>
          <w:p w:rsidR="00584A65" w:rsidRPr="003365D6" w:rsidRDefault="00584A65" w:rsidP="002614FA">
            <w:pPr>
              <w:pStyle w:val="NoSpacing"/>
              <w:jc w:val="left"/>
              <w:rPr>
                <w:rFonts w:ascii="Arial Narrow" w:hAnsi="Arial Narrow"/>
                <w:b/>
                <w:sz w:val="20"/>
                <w:szCs w:val="20"/>
              </w:rPr>
            </w:pPr>
            <w:r w:rsidRPr="003365D6">
              <w:rPr>
                <w:rFonts w:ascii="Arial Narrow" w:hAnsi="Arial Narrow"/>
                <w:b/>
                <w:sz w:val="20"/>
                <w:szCs w:val="20"/>
              </w:rPr>
              <w:t>Czech Rep. Clinical Study</w:t>
            </w:r>
          </w:p>
          <w:p w:rsidR="00584A65" w:rsidRPr="003365D6" w:rsidRDefault="00584A65" w:rsidP="002614FA">
            <w:pPr>
              <w:pStyle w:val="NoSpacing"/>
              <w:jc w:val="left"/>
              <w:rPr>
                <w:rFonts w:ascii="Arial Narrow" w:hAnsi="Arial Narrow"/>
                <w:sz w:val="20"/>
                <w:szCs w:val="20"/>
              </w:rPr>
            </w:pPr>
            <w:r w:rsidRPr="003365D6">
              <w:rPr>
                <w:rFonts w:ascii="Arial Narrow" w:hAnsi="Arial Narrow"/>
                <w:sz w:val="20"/>
                <w:szCs w:val="20"/>
              </w:rPr>
              <w:t>(no publications)</w:t>
            </w:r>
          </w:p>
        </w:tc>
        <w:tc>
          <w:tcPr>
            <w:tcW w:w="4820" w:type="dxa"/>
          </w:tcPr>
          <w:p w:rsidR="00584A65" w:rsidRPr="003365D6" w:rsidRDefault="00584A65" w:rsidP="00584A65">
            <w:pPr>
              <w:keepNext/>
              <w:rPr>
                <w:rFonts w:ascii="Arial Narrow" w:hAnsi="Arial Narrow"/>
                <w:b/>
                <w:sz w:val="20"/>
                <w:szCs w:val="20"/>
              </w:rPr>
            </w:pPr>
            <w:r w:rsidRPr="003365D6">
              <w:rPr>
                <w:rFonts w:ascii="Arial Narrow" w:hAnsi="Arial Narrow"/>
                <w:b/>
                <w:sz w:val="20"/>
                <w:szCs w:val="20"/>
              </w:rPr>
              <w:t>Interim Report:</w:t>
            </w:r>
          </w:p>
          <w:p w:rsidR="00584A65" w:rsidRPr="003365D6" w:rsidRDefault="00584A65" w:rsidP="009B180D">
            <w:pPr>
              <w:keepNext/>
              <w:rPr>
                <w:rFonts w:ascii="Arial Narrow" w:hAnsi="Arial Narrow"/>
                <w:sz w:val="20"/>
                <w:szCs w:val="20"/>
              </w:rPr>
            </w:pPr>
            <w:r w:rsidRPr="003365D6">
              <w:rPr>
                <w:rFonts w:ascii="Arial Narrow" w:hAnsi="Arial Narrow"/>
                <w:sz w:val="20"/>
                <w:szCs w:val="20"/>
              </w:rPr>
              <w:t>Post-marketing real-world clinical experience with REMSIMA</w:t>
            </w:r>
            <w:r w:rsidRPr="003365D6">
              <w:rPr>
                <w:rFonts w:ascii="Arial Narrow" w:hAnsi="Arial Narrow"/>
                <w:sz w:val="20"/>
                <w:szCs w:val="20"/>
                <w:vertAlign w:val="superscript"/>
              </w:rPr>
              <w:t>TM</w:t>
            </w:r>
            <w:r w:rsidRPr="003365D6">
              <w:rPr>
                <w:rFonts w:ascii="Arial Narrow" w:hAnsi="Arial Narrow"/>
                <w:sz w:val="20"/>
                <w:szCs w:val="20"/>
              </w:rPr>
              <w:t xml:space="preserve"> 100 mg (infliximab) (monoclonal antibody, recombinant) in patients with inflammatory bowel disease at IBD Clinical and Research Centre, ISCARE Lighthouse and Charles University, Prague, Czech Republic. </w:t>
            </w:r>
          </w:p>
        </w:tc>
        <w:tc>
          <w:tcPr>
            <w:tcW w:w="1843" w:type="dxa"/>
          </w:tcPr>
          <w:p w:rsidR="00584A65" w:rsidRPr="003365D6" w:rsidRDefault="00584A65" w:rsidP="009B180D">
            <w:pPr>
              <w:keepNext/>
              <w:rPr>
                <w:rFonts w:ascii="Arial Narrow" w:hAnsi="Arial Narrow"/>
                <w:sz w:val="20"/>
                <w:szCs w:val="20"/>
              </w:rPr>
            </w:pPr>
            <w:r w:rsidRPr="003365D6">
              <w:rPr>
                <w:rFonts w:ascii="Arial Narrow" w:hAnsi="Arial Narrow"/>
                <w:sz w:val="20"/>
                <w:szCs w:val="20"/>
              </w:rPr>
              <w:t>Interim Report 24 April 2015.</w:t>
            </w:r>
          </w:p>
          <w:p w:rsidR="00584A65" w:rsidRPr="003365D6" w:rsidRDefault="00584A65" w:rsidP="009B180D">
            <w:pPr>
              <w:keepNext/>
              <w:rPr>
                <w:rFonts w:ascii="Arial Narrow" w:hAnsi="Arial Narrow"/>
                <w:sz w:val="20"/>
                <w:szCs w:val="20"/>
              </w:rPr>
            </w:pPr>
            <w:r w:rsidRPr="003365D6">
              <w:rPr>
                <w:rFonts w:ascii="Arial Narrow" w:hAnsi="Arial Narrow"/>
                <w:sz w:val="20"/>
                <w:szCs w:val="20"/>
              </w:rPr>
              <w:t>(provided as appendix 5 to the supplementary clinical section)</w:t>
            </w:r>
          </w:p>
        </w:tc>
      </w:tr>
      <w:tr w:rsidR="00584A65" w:rsidRPr="003365D6" w:rsidTr="009B180D">
        <w:trPr>
          <w:cantSplit/>
        </w:trPr>
        <w:tc>
          <w:tcPr>
            <w:tcW w:w="1701" w:type="dxa"/>
          </w:tcPr>
          <w:p w:rsidR="00584A65" w:rsidRPr="003365D6" w:rsidRDefault="00584A65" w:rsidP="002614FA">
            <w:pPr>
              <w:pStyle w:val="NoSpacing"/>
              <w:jc w:val="left"/>
              <w:rPr>
                <w:rFonts w:ascii="Arial Narrow" w:hAnsi="Arial Narrow"/>
                <w:b/>
                <w:sz w:val="20"/>
                <w:szCs w:val="20"/>
              </w:rPr>
            </w:pPr>
            <w:r w:rsidRPr="003365D6">
              <w:rPr>
                <w:rFonts w:ascii="Arial Narrow" w:hAnsi="Arial Narrow"/>
                <w:b/>
                <w:sz w:val="20"/>
                <w:szCs w:val="20"/>
              </w:rPr>
              <w:t>Hungary Multicentre Study</w:t>
            </w:r>
          </w:p>
          <w:p w:rsidR="002614FA" w:rsidRPr="003365D6" w:rsidRDefault="002614FA" w:rsidP="002614FA">
            <w:pPr>
              <w:pStyle w:val="NoSpacing"/>
              <w:jc w:val="left"/>
              <w:rPr>
                <w:rFonts w:ascii="Arial Narrow" w:hAnsi="Arial Narrow"/>
                <w:sz w:val="20"/>
                <w:szCs w:val="20"/>
              </w:rPr>
            </w:pPr>
            <w:r w:rsidRPr="003365D6">
              <w:rPr>
                <w:rFonts w:ascii="Arial Narrow" w:hAnsi="Arial Narrow"/>
                <w:sz w:val="20"/>
                <w:szCs w:val="20"/>
              </w:rPr>
              <w:t>(no publications)</w:t>
            </w:r>
          </w:p>
        </w:tc>
        <w:tc>
          <w:tcPr>
            <w:tcW w:w="4820" w:type="dxa"/>
          </w:tcPr>
          <w:p w:rsidR="00584A65" w:rsidRPr="003365D6" w:rsidRDefault="00584A65" w:rsidP="00584A65">
            <w:pPr>
              <w:keepNext/>
              <w:rPr>
                <w:rFonts w:ascii="Arial Narrow" w:hAnsi="Arial Narrow"/>
                <w:b/>
                <w:sz w:val="20"/>
                <w:szCs w:val="20"/>
              </w:rPr>
            </w:pPr>
            <w:r w:rsidRPr="003365D6">
              <w:rPr>
                <w:rFonts w:ascii="Arial Narrow" w:hAnsi="Arial Narrow"/>
                <w:b/>
                <w:sz w:val="20"/>
                <w:szCs w:val="20"/>
              </w:rPr>
              <w:t>Clinical Study Report:</w:t>
            </w:r>
          </w:p>
          <w:p w:rsidR="00584A65" w:rsidRPr="003365D6" w:rsidRDefault="00584A65" w:rsidP="00584A65">
            <w:pPr>
              <w:keepNext/>
              <w:rPr>
                <w:sz w:val="20"/>
                <w:szCs w:val="20"/>
              </w:rPr>
            </w:pPr>
            <w:r w:rsidRPr="003365D6">
              <w:rPr>
                <w:rFonts w:ascii="Arial Narrow" w:hAnsi="Arial Narrow"/>
                <w:sz w:val="20"/>
                <w:szCs w:val="20"/>
              </w:rPr>
              <w:t xml:space="preserve">The investigation of disease outcome in patients with inflammatory bowel diseases on biological therapy with measurement of anti-TNF and anti-TNF-antibodies serum levels: a multi-center, prospective clinical study. </w:t>
            </w:r>
          </w:p>
        </w:tc>
        <w:tc>
          <w:tcPr>
            <w:tcW w:w="1843" w:type="dxa"/>
          </w:tcPr>
          <w:p w:rsidR="00584A65" w:rsidRPr="003365D6" w:rsidRDefault="00584A65" w:rsidP="00584A65">
            <w:pPr>
              <w:keepNext/>
              <w:rPr>
                <w:rFonts w:ascii="Arial Narrow" w:hAnsi="Arial Narrow"/>
                <w:sz w:val="20"/>
                <w:szCs w:val="20"/>
              </w:rPr>
            </w:pPr>
            <w:r w:rsidRPr="003365D6">
              <w:rPr>
                <w:rFonts w:ascii="Arial Narrow" w:hAnsi="Arial Narrow" w:cs="Segoe UI"/>
                <w:sz w:val="20"/>
                <w:szCs w:val="20"/>
              </w:rPr>
              <w:t xml:space="preserve">CSR </w:t>
            </w:r>
            <w:r w:rsidRPr="003365D6">
              <w:rPr>
                <w:rFonts w:ascii="Arial Narrow" w:hAnsi="Arial Narrow"/>
                <w:sz w:val="20"/>
                <w:szCs w:val="20"/>
              </w:rPr>
              <w:t>1 April 2015</w:t>
            </w:r>
          </w:p>
          <w:p w:rsidR="00584A65" w:rsidRPr="003365D6" w:rsidRDefault="00584A65" w:rsidP="00584A65">
            <w:pPr>
              <w:keepNext/>
              <w:rPr>
                <w:rFonts w:ascii="Arial Narrow" w:hAnsi="Arial Narrow" w:cs="Segoe UI"/>
                <w:sz w:val="20"/>
                <w:szCs w:val="20"/>
              </w:rPr>
            </w:pPr>
            <w:r w:rsidRPr="003365D6">
              <w:rPr>
                <w:rFonts w:ascii="Arial Narrow" w:hAnsi="Arial Narrow"/>
                <w:sz w:val="20"/>
                <w:szCs w:val="20"/>
              </w:rPr>
              <w:t>(provided as appendix 6 to the supplementary clinical section)</w:t>
            </w:r>
          </w:p>
        </w:tc>
      </w:tr>
      <w:tr w:rsidR="00584A65" w:rsidRPr="003365D6" w:rsidTr="009B180D">
        <w:trPr>
          <w:cantSplit/>
        </w:trPr>
        <w:tc>
          <w:tcPr>
            <w:tcW w:w="1701" w:type="dxa"/>
          </w:tcPr>
          <w:p w:rsidR="00584A65" w:rsidRPr="003365D6" w:rsidRDefault="00584A65" w:rsidP="002614FA">
            <w:pPr>
              <w:pStyle w:val="NoSpacing"/>
              <w:jc w:val="left"/>
              <w:rPr>
                <w:rFonts w:ascii="Arial Narrow" w:hAnsi="Arial Narrow"/>
                <w:b/>
                <w:sz w:val="20"/>
                <w:szCs w:val="20"/>
              </w:rPr>
            </w:pPr>
            <w:r w:rsidRPr="003365D6">
              <w:rPr>
                <w:rFonts w:ascii="Arial Narrow" w:hAnsi="Arial Narrow"/>
                <w:b/>
                <w:sz w:val="20"/>
                <w:szCs w:val="20"/>
              </w:rPr>
              <w:t>Paediatric poster data</w:t>
            </w:r>
          </w:p>
          <w:p w:rsidR="002614FA" w:rsidRPr="003365D6" w:rsidRDefault="002614FA" w:rsidP="002614FA">
            <w:pPr>
              <w:pStyle w:val="NoSpacing"/>
              <w:jc w:val="left"/>
              <w:rPr>
                <w:rFonts w:ascii="Arial Narrow" w:hAnsi="Arial Narrow"/>
                <w:sz w:val="20"/>
                <w:szCs w:val="20"/>
              </w:rPr>
            </w:pPr>
            <w:r w:rsidRPr="003365D6">
              <w:rPr>
                <w:rFonts w:ascii="Arial Narrow" w:hAnsi="Arial Narrow"/>
                <w:sz w:val="20"/>
                <w:szCs w:val="20"/>
              </w:rPr>
              <w:t>(3 posters presented at ECCO, Spain)</w:t>
            </w:r>
          </w:p>
        </w:tc>
        <w:tc>
          <w:tcPr>
            <w:tcW w:w="4820" w:type="dxa"/>
          </w:tcPr>
          <w:p w:rsidR="002614FA" w:rsidRPr="003365D6" w:rsidRDefault="002614FA" w:rsidP="002614FA">
            <w:pPr>
              <w:keepNext/>
              <w:rPr>
                <w:rFonts w:ascii="Arial Narrow" w:hAnsi="Arial Narrow"/>
                <w:sz w:val="20"/>
                <w:szCs w:val="20"/>
              </w:rPr>
            </w:pPr>
            <w:r w:rsidRPr="003365D6">
              <w:rPr>
                <w:rFonts w:ascii="Arial Narrow" w:hAnsi="Arial Narrow"/>
                <w:b/>
                <w:sz w:val="20"/>
                <w:szCs w:val="20"/>
              </w:rPr>
              <w:t>Reports</w:t>
            </w:r>
            <w:r w:rsidRPr="003365D6">
              <w:rPr>
                <w:rFonts w:ascii="Arial Narrow" w:hAnsi="Arial Narrow"/>
                <w:sz w:val="20"/>
                <w:szCs w:val="20"/>
              </w:rPr>
              <w:t>:</w:t>
            </w:r>
          </w:p>
          <w:p w:rsidR="002614FA" w:rsidRPr="003365D6" w:rsidRDefault="002614FA" w:rsidP="002614FA">
            <w:pPr>
              <w:keepNext/>
              <w:rPr>
                <w:rFonts w:ascii="Arial Narrow" w:hAnsi="Arial Narrow"/>
                <w:sz w:val="20"/>
                <w:szCs w:val="20"/>
              </w:rPr>
            </w:pPr>
            <w:r w:rsidRPr="003365D6">
              <w:rPr>
                <w:rFonts w:ascii="Arial Narrow" w:hAnsi="Arial Narrow"/>
                <w:sz w:val="20"/>
                <w:szCs w:val="20"/>
              </w:rPr>
              <w:t>Jarzebicka D, et al, Preliminary assessment of efficacy and safety of switching between originator and biosimilar infliximab in paediatric Crohn disease patients. (Poster No. 295)</w:t>
            </w:r>
          </w:p>
          <w:p w:rsidR="002614FA" w:rsidRPr="003365D6" w:rsidRDefault="002614FA" w:rsidP="002614FA">
            <w:pPr>
              <w:keepNext/>
              <w:rPr>
                <w:rFonts w:ascii="Arial Narrow" w:hAnsi="Arial Narrow"/>
                <w:sz w:val="20"/>
                <w:szCs w:val="20"/>
              </w:rPr>
            </w:pPr>
            <w:r w:rsidRPr="003365D6">
              <w:rPr>
                <w:rFonts w:ascii="Arial Narrow" w:hAnsi="Arial Narrow"/>
                <w:sz w:val="20"/>
                <w:szCs w:val="20"/>
              </w:rPr>
              <w:t xml:space="preserve">Sieczkowska, J et al, Assessment of safety and efficacy of biosimilar infliximab in children with Crohn disease: a preliminary report. (Poster No.430) </w:t>
            </w:r>
          </w:p>
          <w:p w:rsidR="00584A65" w:rsidRPr="003365D6" w:rsidRDefault="002614FA" w:rsidP="002614FA">
            <w:pPr>
              <w:keepNext/>
              <w:rPr>
                <w:rFonts w:ascii="Arial Narrow" w:hAnsi="Arial Narrow"/>
                <w:b/>
                <w:sz w:val="20"/>
                <w:szCs w:val="20"/>
              </w:rPr>
            </w:pPr>
            <w:r w:rsidRPr="003365D6">
              <w:rPr>
                <w:rFonts w:ascii="Arial Narrow" w:hAnsi="Arial Narrow"/>
                <w:sz w:val="20"/>
                <w:szCs w:val="20"/>
              </w:rPr>
              <w:t xml:space="preserve">Jarzebicka, D et al, First observations of the use of biosimilar infliximab for treatment of ulcerative colitis in paediatric population. (Poster No.456) </w:t>
            </w:r>
          </w:p>
        </w:tc>
        <w:tc>
          <w:tcPr>
            <w:tcW w:w="1843" w:type="dxa"/>
          </w:tcPr>
          <w:p w:rsidR="00584A65" w:rsidRPr="003365D6" w:rsidRDefault="002614FA" w:rsidP="002614FA">
            <w:pPr>
              <w:keepNext/>
              <w:rPr>
                <w:rFonts w:ascii="Arial Narrow" w:hAnsi="Arial Narrow" w:cs="Segoe UI"/>
                <w:sz w:val="20"/>
                <w:szCs w:val="20"/>
              </w:rPr>
            </w:pPr>
            <w:r w:rsidRPr="003365D6">
              <w:rPr>
                <w:rFonts w:ascii="Arial Narrow" w:hAnsi="Arial Narrow"/>
                <w:sz w:val="20"/>
                <w:szCs w:val="20"/>
              </w:rPr>
              <w:t>Presented at the 10th Congress of ECCO Spain.</w:t>
            </w:r>
          </w:p>
        </w:tc>
      </w:tr>
    </w:tbl>
    <w:p w:rsidR="001A5C84" w:rsidRPr="003365D6" w:rsidRDefault="001A5C84" w:rsidP="002614FA">
      <w:pPr>
        <w:pStyle w:val="tablenotes"/>
        <w:ind w:left="720"/>
        <w:rPr>
          <w:rFonts w:ascii="Arial Narrow" w:hAnsi="Arial Narrow"/>
        </w:rPr>
      </w:pPr>
      <w:r w:rsidRPr="003365D6">
        <w:rPr>
          <w:rFonts w:ascii="Arial Narrow" w:hAnsi="Arial Narrow"/>
        </w:rPr>
        <w:t>CSR = clinical study report; ECCO = European Crohn</w:t>
      </w:r>
      <w:r w:rsidR="00083912" w:rsidRPr="003365D6">
        <w:rPr>
          <w:rFonts w:ascii="Arial Narrow" w:hAnsi="Arial Narrow"/>
        </w:rPr>
        <w:t>’</w:t>
      </w:r>
      <w:r w:rsidRPr="003365D6">
        <w:rPr>
          <w:rFonts w:ascii="Arial Narrow" w:hAnsi="Arial Narrow"/>
        </w:rPr>
        <w:t xml:space="preserve">s and Colitis Organisation; IBD = inflammatory bowel disease; </w:t>
      </w:r>
      <w:r w:rsidR="00105991" w:rsidRPr="003365D6">
        <w:rPr>
          <w:rFonts w:ascii="Arial Narrow" w:hAnsi="Arial Narrow"/>
        </w:rPr>
        <w:t>TNF = tumour necrosis factor.</w:t>
      </w:r>
    </w:p>
    <w:p w:rsidR="00390750" w:rsidRPr="003365D6" w:rsidRDefault="00390750" w:rsidP="005F0E8F">
      <w:pPr>
        <w:jc w:val="both"/>
        <w:rPr>
          <w:rFonts w:ascii="Arial" w:hAnsi="Arial"/>
          <w:sz w:val="22"/>
          <w:szCs w:val="22"/>
        </w:rPr>
      </w:pPr>
    </w:p>
    <w:p w:rsidR="004B0D55" w:rsidRPr="003365D6" w:rsidRDefault="004D3E96" w:rsidP="00821022">
      <w:pPr>
        <w:pStyle w:val="ListParagraph"/>
        <w:numPr>
          <w:ilvl w:val="1"/>
          <w:numId w:val="2"/>
        </w:numPr>
        <w:jc w:val="both"/>
        <w:rPr>
          <w:rFonts w:ascii="Arial" w:hAnsi="Arial"/>
          <w:sz w:val="22"/>
          <w:szCs w:val="22"/>
        </w:rPr>
      </w:pPr>
      <w:r w:rsidRPr="003365D6">
        <w:rPr>
          <w:rFonts w:ascii="Arial" w:hAnsi="Arial"/>
          <w:sz w:val="22"/>
          <w:szCs w:val="22"/>
        </w:rPr>
        <w:t xml:space="preserve">Interim reports or clinical study reports have been provided for the four post-market studies referenced by the </w:t>
      </w:r>
      <w:r w:rsidR="004B0D55" w:rsidRPr="003365D6">
        <w:rPr>
          <w:rFonts w:ascii="Arial" w:hAnsi="Arial"/>
          <w:sz w:val="22"/>
          <w:szCs w:val="22"/>
        </w:rPr>
        <w:t>supplementary clinical section</w:t>
      </w:r>
      <w:r w:rsidRPr="003365D6">
        <w:rPr>
          <w:rFonts w:ascii="Arial" w:hAnsi="Arial"/>
          <w:sz w:val="22"/>
          <w:szCs w:val="22"/>
        </w:rPr>
        <w:t>.</w:t>
      </w:r>
      <w:r w:rsidR="004B0D55" w:rsidRPr="003365D6">
        <w:rPr>
          <w:rFonts w:ascii="Arial" w:hAnsi="Arial"/>
          <w:sz w:val="22"/>
          <w:szCs w:val="22"/>
        </w:rPr>
        <w:t xml:space="preserve">  The sponsor has stated: </w:t>
      </w:r>
      <w:r w:rsidR="009B180D" w:rsidRPr="003365D6">
        <w:rPr>
          <w:rFonts w:ascii="Arial" w:hAnsi="Arial"/>
          <w:sz w:val="22"/>
          <w:szCs w:val="22"/>
        </w:rPr>
        <w:t>“The demographics and baseline characteristics reported show that patients had active moderate-severe IBD, consistent with the intende</w:t>
      </w:r>
      <w:r w:rsidR="00A616ED" w:rsidRPr="003365D6">
        <w:rPr>
          <w:rFonts w:ascii="Arial" w:hAnsi="Arial"/>
          <w:sz w:val="22"/>
          <w:szCs w:val="22"/>
        </w:rPr>
        <w:t>d PBS population for Inflectra”.</w:t>
      </w:r>
      <w:r w:rsidRPr="003365D6">
        <w:rPr>
          <w:rFonts w:ascii="Arial" w:hAnsi="Arial"/>
          <w:sz w:val="22"/>
          <w:szCs w:val="22"/>
        </w:rPr>
        <w:t xml:space="preserve">  </w:t>
      </w:r>
    </w:p>
    <w:p w:rsidR="00BA0D82" w:rsidRPr="003365D6" w:rsidRDefault="00BA0D82" w:rsidP="005F0E8F">
      <w:pPr>
        <w:jc w:val="both"/>
        <w:rPr>
          <w:rFonts w:ascii="Arial" w:hAnsi="Arial"/>
          <w:sz w:val="22"/>
          <w:szCs w:val="22"/>
        </w:rPr>
      </w:pPr>
    </w:p>
    <w:p w:rsidR="009B180D" w:rsidRPr="003365D6" w:rsidRDefault="00821022" w:rsidP="00821022">
      <w:pPr>
        <w:pStyle w:val="ListParagraph"/>
        <w:numPr>
          <w:ilvl w:val="1"/>
          <w:numId w:val="2"/>
        </w:numPr>
        <w:jc w:val="both"/>
        <w:rPr>
          <w:rFonts w:ascii="Arial" w:hAnsi="Arial"/>
          <w:sz w:val="22"/>
          <w:szCs w:val="22"/>
        </w:rPr>
      </w:pPr>
      <w:r w:rsidRPr="003365D6">
        <w:rPr>
          <w:rFonts w:ascii="Arial" w:hAnsi="Arial"/>
          <w:sz w:val="22"/>
          <w:szCs w:val="22"/>
        </w:rPr>
        <w:t>The n</w:t>
      </w:r>
      <w:r w:rsidR="00F7218B" w:rsidRPr="003365D6">
        <w:rPr>
          <w:rFonts w:ascii="Arial" w:hAnsi="Arial"/>
          <w:sz w:val="22"/>
          <w:szCs w:val="22"/>
        </w:rPr>
        <w:t xml:space="preserve">umber of patients and exposure to Inflectra </w:t>
      </w:r>
      <w:r w:rsidR="00A616ED" w:rsidRPr="003365D6">
        <w:rPr>
          <w:rFonts w:ascii="Arial" w:hAnsi="Arial"/>
          <w:sz w:val="22"/>
          <w:szCs w:val="22"/>
        </w:rPr>
        <w:t xml:space="preserve">in the </w:t>
      </w:r>
      <w:r w:rsidR="00105991" w:rsidRPr="003365D6">
        <w:rPr>
          <w:rFonts w:ascii="Arial" w:hAnsi="Arial"/>
          <w:sz w:val="22"/>
          <w:szCs w:val="22"/>
        </w:rPr>
        <w:t>p</w:t>
      </w:r>
      <w:r w:rsidR="00A616ED" w:rsidRPr="003365D6">
        <w:rPr>
          <w:rFonts w:ascii="Arial" w:hAnsi="Arial"/>
          <w:sz w:val="22"/>
          <w:szCs w:val="22"/>
        </w:rPr>
        <w:t>ost-</w:t>
      </w:r>
      <w:r w:rsidR="00105991" w:rsidRPr="003365D6">
        <w:rPr>
          <w:rFonts w:ascii="Arial" w:hAnsi="Arial"/>
          <w:sz w:val="22"/>
          <w:szCs w:val="22"/>
        </w:rPr>
        <w:t>m</w:t>
      </w:r>
      <w:r w:rsidR="00A616ED" w:rsidRPr="003365D6">
        <w:rPr>
          <w:rFonts w:ascii="Arial" w:hAnsi="Arial"/>
          <w:sz w:val="22"/>
          <w:szCs w:val="22"/>
        </w:rPr>
        <w:t xml:space="preserve">arket </w:t>
      </w:r>
      <w:r w:rsidR="00105991" w:rsidRPr="003365D6">
        <w:rPr>
          <w:rFonts w:ascii="Arial" w:hAnsi="Arial"/>
          <w:sz w:val="22"/>
          <w:szCs w:val="22"/>
        </w:rPr>
        <w:t>s</w:t>
      </w:r>
      <w:r w:rsidR="00A616ED" w:rsidRPr="003365D6">
        <w:rPr>
          <w:rFonts w:ascii="Arial" w:hAnsi="Arial"/>
          <w:sz w:val="22"/>
          <w:szCs w:val="22"/>
        </w:rPr>
        <w:t xml:space="preserve">tudies </w:t>
      </w:r>
      <w:r w:rsidR="00105991" w:rsidRPr="003365D6">
        <w:rPr>
          <w:rFonts w:ascii="Arial" w:hAnsi="Arial"/>
          <w:sz w:val="22"/>
          <w:szCs w:val="22"/>
        </w:rPr>
        <w:t xml:space="preserve">are given in </w:t>
      </w:r>
      <w:r w:rsidR="00B9612D" w:rsidRPr="003365D6">
        <w:rPr>
          <w:rFonts w:ascii="Arial" w:hAnsi="Arial"/>
          <w:sz w:val="22"/>
          <w:szCs w:val="22"/>
        </w:rPr>
        <w:t xml:space="preserve">Table </w:t>
      </w:r>
      <w:r w:rsidR="009346CC" w:rsidRPr="003365D6">
        <w:rPr>
          <w:rFonts w:ascii="Arial" w:hAnsi="Arial"/>
          <w:sz w:val="22"/>
          <w:szCs w:val="22"/>
        </w:rPr>
        <w:t>5</w:t>
      </w:r>
      <w:r w:rsidR="00105991" w:rsidRPr="003365D6">
        <w:rPr>
          <w:rFonts w:ascii="Arial" w:hAnsi="Arial"/>
          <w:sz w:val="22"/>
          <w:szCs w:val="22"/>
        </w:rPr>
        <w:t>.</w:t>
      </w:r>
    </w:p>
    <w:p w:rsidR="009B180D" w:rsidRPr="003365D6" w:rsidRDefault="009B180D" w:rsidP="005F0E8F">
      <w:pPr>
        <w:jc w:val="both"/>
        <w:rPr>
          <w:rFonts w:ascii="Arial" w:hAnsi="Arial"/>
          <w:sz w:val="22"/>
          <w:szCs w:val="22"/>
        </w:rPr>
      </w:pPr>
    </w:p>
    <w:p w:rsidR="00821022" w:rsidRPr="003365D6" w:rsidRDefault="00821022" w:rsidP="00ED652C">
      <w:pPr>
        <w:pStyle w:val="NoSpacing"/>
        <w:keepNext/>
        <w:ind w:left="720"/>
        <w:rPr>
          <w:rFonts w:ascii="Arial Narrow" w:hAnsi="Arial Narrow"/>
          <w:b/>
          <w:sz w:val="20"/>
        </w:rPr>
      </w:pPr>
      <w:bookmarkStart w:id="5" w:name="_Ref421108305"/>
      <w:r w:rsidRPr="003365D6">
        <w:rPr>
          <w:rFonts w:ascii="Arial Narrow" w:hAnsi="Arial Narrow"/>
          <w:b/>
          <w:sz w:val="20"/>
        </w:rPr>
        <w:t xml:space="preserve">Table </w:t>
      </w:r>
      <w:bookmarkEnd w:id="5"/>
      <w:r w:rsidR="009346CC" w:rsidRPr="003365D6">
        <w:rPr>
          <w:rFonts w:ascii="Arial Narrow" w:hAnsi="Arial Narrow"/>
          <w:b/>
          <w:sz w:val="20"/>
        </w:rPr>
        <w:t>5</w:t>
      </w:r>
      <w:r w:rsidR="00DA1992">
        <w:rPr>
          <w:rFonts w:ascii="Arial Narrow" w:hAnsi="Arial Narrow"/>
          <w:b/>
          <w:sz w:val="20"/>
        </w:rPr>
        <w:t>:</w:t>
      </w:r>
      <w:r w:rsidRPr="003365D6">
        <w:rPr>
          <w:rFonts w:ascii="Arial Narrow" w:hAnsi="Arial Narrow"/>
          <w:b/>
          <w:sz w:val="20"/>
        </w:rPr>
        <w:tab/>
        <w:t xml:space="preserve">Number of patients enrolled in the Inflectra </w:t>
      </w:r>
      <w:r w:rsidR="00105991" w:rsidRPr="003365D6">
        <w:rPr>
          <w:rFonts w:ascii="Arial Narrow" w:hAnsi="Arial Narrow"/>
          <w:b/>
          <w:sz w:val="20"/>
        </w:rPr>
        <w:t>post-market studies (PMS)</w:t>
      </w:r>
      <w:r w:rsidRPr="003365D6">
        <w:rPr>
          <w:rFonts w:ascii="Arial Narrow" w:hAnsi="Arial Narrow"/>
          <w:b/>
          <w:sz w:val="20"/>
        </w:rPr>
        <w:t xml:space="preserve"> for </w:t>
      </w:r>
      <w:r w:rsidR="00C12699" w:rsidRPr="003365D6">
        <w:rPr>
          <w:rFonts w:ascii="Arial Narrow" w:hAnsi="Arial Narrow"/>
          <w:b/>
          <w:sz w:val="20"/>
        </w:rPr>
        <w:t>inflammatory</w:t>
      </w:r>
      <w:r w:rsidR="00105991" w:rsidRPr="003365D6">
        <w:rPr>
          <w:rFonts w:ascii="Arial Narrow" w:hAnsi="Arial Narrow"/>
          <w:b/>
          <w:sz w:val="20"/>
        </w:rPr>
        <w:t xml:space="preserve"> bowel disease</w:t>
      </w:r>
      <w:r w:rsidRPr="003365D6">
        <w:rPr>
          <w:rFonts w:ascii="Arial Narrow" w:hAnsi="Arial Narrow"/>
          <w:b/>
          <w:sz w:val="20"/>
        </w:rPr>
        <w:t xml:space="preserve"> indications and the median number of doses received</w:t>
      </w:r>
    </w:p>
    <w:tbl>
      <w:tblPr>
        <w:tblStyle w:val="TableGrid"/>
        <w:tblW w:w="4615" w:type="pct"/>
        <w:tblInd w:w="709" w:type="dxa"/>
        <w:tblLook w:val="04A0" w:firstRow="1" w:lastRow="0" w:firstColumn="1" w:lastColumn="0" w:noHBand="0" w:noVBand="1"/>
        <w:tblCaption w:val="Table 5: Number of patients enrolled in the Inflectra post-market studies (PMS) for inflammatory bowel disease indications and the median number of doses received"/>
        <w:tblDescription w:val="This table summarises the number of patients enrolled in the Inflectra post-market studies (PMS) for inflammatory bowel disease indications and the median number of doses received. "/>
      </w:tblPr>
      <w:tblGrid>
        <w:gridCol w:w="3935"/>
        <w:gridCol w:w="1148"/>
        <w:gridCol w:w="1149"/>
        <w:gridCol w:w="1149"/>
        <w:gridCol w:w="1149"/>
      </w:tblGrid>
      <w:tr w:rsidR="009B180D" w:rsidRPr="003365D6" w:rsidTr="008A4849">
        <w:trPr>
          <w:tblHeader/>
        </w:trPr>
        <w:tc>
          <w:tcPr>
            <w:tcW w:w="3935" w:type="dxa"/>
            <w:vAlign w:val="center"/>
          </w:tcPr>
          <w:p w:rsidR="009B180D" w:rsidRPr="003365D6" w:rsidRDefault="009B180D" w:rsidP="00ED652C">
            <w:pPr>
              <w:keepNext/>
              <w:jc w:val="both"/>
              <w:rPr>
                <w:rFonts w:ascii="Arial Narrow" w:hAnsi="Arial Narrow"/>
                <w:sz w:val="20"/>
                <w:szCs w:val="20"/>
              </w:rPr>
            </w:pPr>
          </w:p>
        </w:tc>
        <w:tc>
          <w:tcPr>
            <w:tcW w:w="1148" w:type="dxa"/>
            <w:vAlign w:val="center"/>
          </w:tcPr>
          <w:p w:rsidR="009B180D" w:rsidRPr="003365D6" w:rsidRDefault="009B180D" w:rsidP="00ED652C">
            <w:pPr>
              <w:keepNext/>
              <w:jc w:val="both"/>
              <w:rPr>
                <w:rFonts w:ascii="Arial Narrow" w:hAnsi="Arial Narrow"/>
                <w:b/>
                <w:sz w:val="20"/>
                <w:szCs w:val="20"/>
              </w:rPr>
            </w:pPr>
            <w:r w:rsidRPr="003365D6">
              <w:rPr>
                <w:rFonts w:ascii="Arial Narrow" w:hAnsi="Arial Narrow"/>
                <w:b/>
                <w:sz w:val="20"/>
                <w:szCs w:val="20"/>
              </w:rPr>
              <w:t>Korea</w:t>
            </w:r>
          </w:p>
        </w:tc>
        <w:tc>
          <w:tcPr>
            <w:tcW w:w="1149" w:type="dxa"/>
            <w:vAlign w:val="center"/>
          </w:tcPr>
          <w:p w:rsidR="009B180D" w:rsidRPr="003365D6" w:rsidRDefault="009F5E1F" w:rsidP="00ED652C">
            <w:pPr>
              <w:keepNext/>
              <w:jc w:val="both"/>
              <w:rPr>
                <w:rFonts w:ascii="Arial Narrow" w:hAnsi="Arial Narrow"/>
                <w:b/>
                <w:sz w:val="20"/>
                <w:szCs w:val="20"/>
              </w:rPr>
            </w:pPr>
            <w:r w:rsidRPr="003365D6">
              <w:rPr>
                <w:rFonts w:ascii="Arial Narrow" w:hAnsi="Arial Narrow"/>
                <w:b/>
                <w:sz w:val="20"/>
                <w:szCs w:val="20"/>
              </w:rPr>
              <w:t>Hungary</w:t>
            </w:r>
          </w:p>
        </w:tc>
        <w:tc>
          <w:tcPr>
            <w:tcW w:w="1149" w:type="dxa"/>
            <w:vAlign w:val="center"/>
          </w:tcPr>
          <w:p w:rsidR="009B180D" w:rsidRPr="003365D6" w:rsidRDefault="009F5E1F" w:rsidP="00ED652C">
            <w:pPr>
              <w:keepNext/>
              <w:jc w:val="both"/>
              <w:rPr>
                <w:rFonts w:ascii="Arial Narrow" w:hAnsi="Arial Narrow"/>
                <w:b/>
                <w:sz w:val="20"/>
                <w:szCs w:val="20"/>
              </w:rPr>
            </w:pPr>
            <w:r w:rsidRPr="003365D6">
              <w:rPr>
                <w:rFonts w:ascii="Arial Narrow" w:hAnsi="Arial Narrow"/>
                <w:b/>
                <w:sz w:val="20"/>
                <w:szCs w:val="20"/>
              </w:rPr>
              <w:t>Norway</w:t>
            </w:r>
          </w:p>
        </w:tc>
        <w:tc>
          <w:tcPr>
            <w:tcW w:w="1149" w:type="dxa"/>
            <w:vAlign w:val="center"/>
          </w:tcPr>
          <w:p w:rsidR="009B180D" w:rsidRPr="003365D6" w:rsidRDefault="009F5E1F" w:rsidP="00ED652C">
            <w:pPr>
              <w:keepNext/>
              <w:jc w:val="both"/>
              <w:rPr>
                <w:rFonts w:ascii="Arial Narrow" w:hAnsi="Arial Narrow"/>
                <w:b/>
                <w:sz w:val="20"/>
                <w:szCs w:val="20"/>
              </w:rPr>
            </w:pPr>
            <w:r w:rsidRPr="003365D6">
              <w:rPr>
                <w:rFonts w:ascii="Arial Narrow" w:hAnsi="Arial Narrow"/>
                <w:b/>
                <w:sz w:val="20"/>
                <w:szCs w:val="20"/>
              </w:rPr>
              <w:t>Czech Rep</w:t>
            </w:r>
            <w:r w:rsidR="00A616ED" w:rsidRPr="003365D6">
              <w:rPr>
                <w:rFonts w:ascii="Arial Narrow" w:hAnsi="Arial Narrow"/>
                <w:b/>
                <w:sz w:val="20"/>
                <w:szCs w:val="20"/>
              </w:rPr>
              <w:t>.</w:t>
            </w:r>
          </w:p>
        </w:tc>
      </w:tr>
      <w:tr w:rsidR="00A616ED" w:rsidRPr="003365D6" w:rsidTr="002244CD">
        <w:tc>
          <w:tcPr>
            <w:tcW w:w="8530" w:type="dxa"/>
            <w:gridSpan w:val="5"/>
            <w:vAlign w:val="center"/>
          </w:tcPr>
          <w:p w:rsidR="00A616ED" w:rsidRPr="003365D6" w:rsidRDefault="00A616ED" w:rsidP="00ED652C">
            <w:pPr>
              <w:keepNext/>
              <w:jc w:val="both"/>
              <w:rPr>
                <w:rFonts w:ascii="Arial Narrow" w:hAnsi="Arial Narrow"/>
                <w:sz w:val="20"/>
                <w:szCs w:val="20"/>
              </w:rPr>
            </w:pPr>
            <w:r w:rsidRPr="003365D6">
              <w:rPr>
                <w:rFonts w:ascii="Arial Narrow" w:hAnsi="Arial Narrow"/>
                <w:b/>
                <w:sz w:val="20"/>
                <w:szCs w:val="20"/>
              </w:rPr>
              <w:t>Number of patients</w:t>
            </w:r>
          </w:p>
        </w:tc>
      </w:tr>
      <w:tr w:rsidR="009B180D" w:rsidRPr="003365D6" w:rsidTr="00A616ED">
        <w:tc>
          <w:tcPr>
            <w:tcW w:w="3935" w:type="dxa"/>
            <w:vAlign w:val="center"/>
          </w:tcPr>
          <w:p w:rsidR="009B180D" w:rsidRPr="003365D6" w:rsidRDefault="00A616ED" w:rsidP="00ED652C">
            <w:pPr>
              <w:keepNext/>
              <w:jc w:val="both"/>
              <w:rPr>
                <w:rFonts w:ascii="Arial Narrow" w:hAnsi="Arial Narrow"/>
                <w:sz w:val="20"/>
                <w:szCs w:val="20"/>
              </w:rPr>
            </w:pPr>
            <w:r w:rsidRPr="003365D6">
              <w:rPr>
                <w:rFonts w:ascii="Arial Narrow" w:hAnsi="Arial Narrow"/>
                <w:sz w:val="20"/>
                <w:szCs w:val="20"/>
              </w:rPr>
              <w:tab/>
            </w:r>
            <w:r w:rsidR="009B180D" w:rsidRPr="003365D6">
              <w:rPr>
                <w:rFonts w:ascii="Arial Narrow" w:hAnsi="Arial Narrow"/>
                <w:sz w:val="20"/>
                <w:szCs w:val="20"/>
              </w:rPr>
              <w:t>C</w:t>
            </w:r>
            <w:r w:rsidR="00105991" w:rsidRPr="003365D6">
              <w:rPr>
                <w:rFonts w:ascii="Arial Narrow" w:hAnsi="Arial Narrow"/>
                <w:sz w:val="20"/>
                <w:szCs w:val="20"/>
              </w:rPr>
              <w:t xml:space="preserve">rohn’s </w:t>
            </w:r>
            <w:r w:rsidR="009B180D" w:rsidRPr="003365D6">
              <w:rPr>
                <w:rFonts w:ascii="Arial Narrow" w:hAnsi="Arial Narrow"/>
                <w:sz w:val="20"/>
                <w:szCs w:val="20"/>
              </w:rPr>
              <w:t>D</w:t>
            </w:r>
            <w:r w:rsidR="00105991" w:rsidRPr="003365D6">
              <w:rPr>
                <w:rFonts w:ascii="Arial Narrow" w:hAnsi="Arial Narrow"/>
                <w:sz w:val="20"/>
                <w:szCs w:val="20"/>
              </w:rPr>
              <w:t>isease</w:t>
            </w:r>
          </w:p>
        </w:tc>
        <w:tc>
          <w:tcPr>
            <w:tcW w:w="1148" w:type="dxa"/>
            <w:vAlign w:val="center"/>
          </w:tcPr>
          <w:p w:rsidR="009B180D" w:rsidRPr="003365D6" w:rsidRDefault="00CD39B1" w:rsidP="00ED652C">
            <w:pPr>
              <w:keepNext/>
              <w:jc w:val="both"/>
              <w:rPr>
                <w:rFonts w:ascii="Arial Narrow" w:hAnsi="Arial Narrow"/>
                <w:sz w:val="20"/>
                <w:szCs w:val="20"/>
              </w:rPr>
            </w:pPr>
            <w:r w:rsidRPr="003365D6">
              <w:rPr>
                <w:rFonts w:ascii="Arial Narrow" w:hAnsi="Arial Narrow"/>
                <w:sz w:val="20"/>
                <w:szCs w:val="20"/>
              </w:rPr>
              <w:t>83</w:t>
            </w:r>
          </w:p>
        </w:tc>
        <w:tc>
          <w:tcPr>
            <w:tcW w:w="1149" w:type="dxa"/>
            <w:vAlign w:val="center"/>
          </w:tcPr>
          <w:p w:rsidR="009B180D" w:rsidRPr="003365D6" w:rsidRDefault="00CD39B1" w:rsidP="00ED652C">
            <w:pPr>
              <w:keepNext/>
              <w:jc w:val="both"/>
              <w:rPr>
                <w:rFonts w:ascii="Arial Narrow" w:hAnsi="Arial Narrow"/>
                <w:sz w:val="20"/>
                <w:szCs w:val="20"/>
              </w:rPr>
            </w:pPr>
            <w:r w:rsidRPr="003365D6">
              <w:rPr>
                <w:rFonts w:ascii="Arial Narrow" w:hAnsi="Arial Narrow"/>
                <w:sz w:val="20"/>
                <w:szCs w:val="20"/>
              </w:rPr>
              <w:t>90</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41</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78</w:t>
            </w:r>
          </w:p>
        </w:tc>
      </w:tr>
      <w:tr w:rsidR="009B180D" w:rsidRPr="003365D6" w:rsidTr="00A616ED">
        <w:tc>
          <w:tcPr>
            <w:tcW w:w="3935" w:type="dxa"/>
            <w:vAlign w:val="center"/>
          </w:tcPr>
          <w:p w:rsidR="009B180D" w:rsidRPr="003365D6" w:rsidRDefault="00A616ED" w:rsidP="00ED652C">
            <w:pPr>
              <w:keepNext/>
              <w:jc w:val="both"/>
              <w:rPr>
                <w:rFonts w:ascii="Arial Narrow" w:hAnsi="Arial Narrow"/>
                <w:sz w:val="20"/>
                <w:szCs w:val="20"/>
              </w:rPr>
            </w:pPr>
            <w:r w:rsidRPr="003365D6">
              <w:rPr>
                <w:rFonts w:ascii="Arial Narrow" w:hAnsi="Arial Narrow"/>
                <w:sz w:val="20"/>
                <w:szCs w:val="20"/>
              </w:rPr>
              <w:tab/>
            </w:r>
            <w:r w:rsidR="009B180D" w:rsidRPr="003365D6">
              <w:rPr>
                <w:rFonts w:ascii="Arial Narrow" w:hAnsi="Arial Narrow"/>
                <w:sz w:val="20"/>
                <w:szCs w:val="20"/>
              </w:rPr>
              <w:t>U</w:t>
            </w:r>
            <w:r w:rsidR="00105991" w:rsidRPr="003365D6">
              <w:rPr>
                <w:rFonts w:ascii="Arial Narrow" w:hAnsi="Arial Narrow"/>
                <w:sz w:val="20"/>
                <w:szCs w:val="20"/>
              </w:rPr>
              <w:t>lcerative Colitis</w:t>
            </w:r>
          </w:p>
        </w:tc>
        <w:tc>
          <w:tcPr>
            <w:tcW w:w="1148" w:type="dxa"/>
            <w:vAlign w:val="center"/>
          </w:tcPr>
          <w:p w:rsidR="009B180D" w:rsidRPr="003365D6" w:rsidRDefault="00CD39B1" w:rsidP="00ED652C">
            <w:pPr>
              <w:keepNext/>
              <w:jc w:val="both"/>
              <w:rPr>
                <w:rFonts w:ascii="Arial Narrow" w:hAnsi="Arial Narrow"/>
                <w:sz w:val="20"/>
                <w:szCs w:val="20"/>
              </w:rPr>
            </w:pPr>
            <w:r w:rsidRPr="003365D6">
              <w:rPr>
                <w:rFonts w:ascii="Arial Narrow" w:hAnsi="Arial Narrow"/>
                <w:sz w:val="20"/>
                <w:szCs w:val="20"/>
              </w:rPr>
              <w:t>78</w:t>
            </w:r>
          </w:p>
        </w:tc>
        <w:tc>
          <w:tcPr>
            <w:tcW w:w="1149" w:type="dxa"/>
            <w:vAlign w:val="center"/>
          </w:tcPr>
          <w:p w:rsidR="009B180D" w:rsidRPr="003365D6" w:rsidRDefault="00CD39B1" w:rsidP="00ED652C">
            <w:pPr>
              <w:keepNext/>
              <w:jc w:val="both"/>
              <w:rPr>
                <w:rFonts w:ascii="Arial Narrow" w:hAnsi="Arial Narrow"/>
                <w:sz w:val="20"/>
                <w:szCs w:val="20"/>
              </w:rPr>
            </w:pPr>
            <w:r w:rsidRPr="003365D6">
              <w:rPr>
                <w:rFonts w:ascii="Arial Narrow" w:hAnsi="Arial Narrow"/>
                <w:sz w:val="20"/>
                <w:szCs w:val="20"/>
              </w:rPr>
              <w:t>51</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30</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33</w:t>
            </w:r>
          </w:p>
        </w:tc>
      </w:tr>
      <w:tr w:rsidR="009B180D" w:rsidRPr="003365D6" w:rsidTr="00A616ED">
        <w:tc>
          <w:tcPr>
            <w:tcW w:w="3935" w:type="dxa"/>
            <w:vAlign w:val="center"/>
          </w:tcPr>
          <w:p w:rsidR="009B180D" w:rsidRPr="003365D6" w:rsidRDefault="00A616ED" w:rsidP="00ED652C">
            <w:pPr>
              <w:keepNext/>
              <w:jc w:val="both"/>
              <w:rPr>
                <w:rFonts w:ascii="Arial Narrow" w:hAnsi="Arial Narrow"/>
                <w:sz w:val="20"/>
                <w:szCs w:val="20"/>
              </w:rPr>
            </w:pPr>
            <w:r w:rsidRPr="003365D6">
              <w:rPr>
                <w:rFonts w:ascii="Arial Narrow" w:hAnsi="Arial Narrow"/>
                <w:sz w:val="20"/>
                <w:szCs w:val="20"/>
              </w:rPr>
              <w:tab/>
            </w:r>
            <w:r w:rsidR="009B180D" w:rsidRPr="003365D6">
              <w:rPr>
                <w:rFonts w:ascii="Arial Narrow" w:hAnsi="Arial Narrow"/>
                <w:sz w:val="20"/>
                <w:szCs w:val="20"/>
              </w:rPr>
              <w:t>F</w:t>
            </w:r>
            <w:r w:rsidR="00C12699" w:rsidRPr="003365D6">
              <w:rPr>
                <w:rFonts w:ascii="Arial Narrow" w:hAnsi="Arial Narrow"/>
                <w:sz w:val="20"/>
                <w:szCs w:val="20"/>
              </w:rPr>
              <w:t>istul</w:t>
            </w:r>
            <w:r w:rsidR="00105991" w:rsidRPr="003365D6">
              <w:rPr>
                <w:rFonts w:ascii="Arial Narrow" w:hAnsi="Arial Narrow"/>
                <w:sz w:val="20"/>
                <w:szCs w:val="20"/>
              </w:rPr>
              <w:t>ising Crohn’s Disease</w:t>
            </w:r>
          </w:p>
        </w:tc>
        <w:tc>
          <w:tcPr>
            <w:tcW w:w="1148" w:type="dxa"/>
            <w:vAlign w:val="center"/>
          </w:tcPr>
          <w:p w:rsidR="009B180D" w:rsidRPr="003365D6" w:rsidRDefault="00CD39B1" w:rsidP="00ED652C">
            <w:pPr>
              <w:keepNext/>
              <w:jc w:val="both"/>
              <w:rPr>
                <w:rFonts w:ascii="Arial Narrow" w:hAnsi="Arial Narrow"/>
                <w:sz w:val="20"/>
                <w:szCs w:val="20"/>
              </w:rPr>
            </w:pPr>
            <w:r w:rsidRPr="003365D6">
              <w:rPr>
                <w:rFonts w:ascii="Arial Narrow" w:hAnsi="Arial Narrow"/>
                <w:sz w:val="20"/>
                <w:szCs w:val="20"/>
              </w:rPr>
              <w:t>12</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0</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3</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29</w:t>
            </w:r>
          </w:p>
        </w:tc>
      </w:tr>
      <w:tr w:rsidR="00A616ED" w:rsidRPr="003365D6" w:rsidTr="00A616ED">
        <w:tc>
          <w:tcPr>
            <w:tcW w:w="3935" w:type="dxa"/>
            <w:vAlign w:val="center"/>
          </w:tcPr>
          <w:p w:rsidR="00A616ED" w:rsidRPr="003365D6" w:rsidRDefault="00A616ED" w:rsidP="00ED652C">
            <w:pPr>
              <w:keepNext/>
              <w:jc w:val="both"/>
              <w:rPr>
                <w:rFonts w:ascii="Arial Narrow" w:hAnsi="Arial Narrow"/>
                <w:sz w:val="20"/>
                <w:szCs w:val="20"/>
              </w:rPr>
            </w:pPr>
            <w:r w:rsidRPr="003365D6">
              <w:rPr>
                <w:rFonts w:ascii="Arial Narrow" w:hAnsi="Arial Narrow"/>
                <w:sz w:val="20"/>
                <w:szCs w:val="20"/>
              </w:rPr>
              <w:tab/>
              <w:t>Total</w:t>
            </w:r>
          </w:p>
        </w:tc>
        <w:tc>
          <w:tcPr>
            <w:tcW w:w="1148" w:type="dxa"/>
            <w:vAlign w:val="center"/>
          </w:tcPr>
          <w:p w:rsidR="00A616ED" w:rsidRPr="003365D6" w:rsidRDefault="00A616ED" w:rsidP="00ED652C">
            <w:pPr>
              <w:keepNext/>
              <w:jc w:val="both"/>
              <w:rPr>
                <w:rFonts w:ascii="Arial Narrow" w:hAnsi="Arial Narrow"/>
                <w:sz w:val="20"/>
                <w:szCs w:val="20"/>
              </w:rPr>
            </w:pPr>
            <w:r w:rsidRPr="003365D6">
              <w:rPr>
                <w:rFonts w:ascii="Arial Narrow" w:hAnsi="Arial Narrow"/>
                <w:sz w:val="20"/>
                <w:szCs w:val="20"/>
              </w:rPr>
              <w:t>173</w:t>
            </w:r>
          </w:p>
        </w:tc>
        <w:tc>
          <w:tcPr>
            <w:tcW w:w="1149" w:type="dxa"/>
            <w:vAlign w:val="center"/>
          </w:tcPr>
          <w:p w:rsidR="00A616ED" w:rsidRPr="003365D6" w:rsidRDefault="00A616ED" w:rsidP="00ED652C">
            <w:pPr>
              <w:keepNext/>
              <w:jc w:val="both"/>
              <w:rPr>
                <w:rFonts w:ascii="Arial Narrow" w:hAnsi="Arial Narrow"/>
                <w:sz w:val="20"/>
                <w:szCs w:val="20"/>
              </w:rPr>
            </w:pPr>
            <w:r w:rsidRPr="003365D6">
              <w:rPr>
                <w:rFonts w:ascii="Arial Narrow" w:hAnsi="Arial Narrow"/>
                <w:sz w:val="20"/>
                <w:szCs w:val="20"/>
              </w:rPr>
              <w:t>141</w:t>
            </w:r>
          </w:p>
        </w:tc>
        <w:tc>
          <w:tcPr>
            <w:tcW w:w="1149" w:type="dxa"/>
            <w:vAlign w:val="center"/>
          </w:tcPr>
          <w:p w:rsidR="00A616ED" w:rsidRPr="003365D6" w:rsidRDefault="00A616ED" w:rsidP="00ED652C">
            <w:pPr>
              <w:keepNext/>
              <w:jc w:val="both"/>
              <w:rPr>
                <w:rFonts w:ascii="Arial Narrow" w:hAnsi="Arial Narrow"/>
                <w:sz w:val="20"/>
                <w:szCs w:val="20"/>
              </w:rPr>
            </w:pPr>
            <w:r w:rsidRPr="003365D6">
              <w:rPr>
                <w:rFonts w:ascii="Arial Narrow" w:hAnsi="Arial Narrow"/>
                <w:sz w:val="20"/>
                <w:szCs w:val="20"/>
              </w:rPr>
              <w:t>74</w:t>
            </w:r>
          </w:p>
        </w:tc>
        <w:tc>
          <w:tcPr>
            <w:tcW w:w="1149" w:type="dxa"/>
            <w:vAlign w:val="center"/>
          </w:tcPr>
          <w:p w:rsidR="00A616ED" w:rsidRPr="003365D6" w:rsidRDefault="00A616ED" w:rsidP="00ED652C">
            <w:pPr>
              <w:keepNext/>
              <w:jc w:val="both"/>
              <w:rPr>
                <w:rFonts w:ascii="Arial Narrow" w:hAnsi="Arial Narrow"/>
                <w:sz w:val="20"/>
                <w:szCs w:val="20"/>
              </w:rPr>
            </w:pPr>
            <w:r w:rsidRPr="003365D6">
              <w:rPr>
                <w:rFonts w:ascii="Arial Narrow" w:hAnsi="Arial Narrow"/>
                <w:sz w:val="20"/>
                <w:szCs w:val="20"/>
              </w:rPr>
              <w:t>140</w:t>
            </w:r>
          </w:p>
        </w:tc>
      </w:tr>
      <w:tr w:rsidR="009B180D" w:rsidRPr="003365D6" w:rsidTr="00A616ED">
        <w:tc>
          <w:tcPr>
            <w:tcW w:w="3935" w:type="dxa"/>
            <w:vAlign w:val="center"/>
          </w:tcPr>
          <w:p w:rsidR="009B180D" w:rsidRPr="003365D6" w:rsidRDefault="00CD39B1" w:rsidP="00ED652C">
            <w:pPr>
              <w:keepNext/>
              <w:jc w:val="both"/>
              <w:rPr>
                <w:rFonts w:ascii="Arial Narrow" w:hAnsi="Arial Narrow"/>
                <w:b/>
                <w:sz w:val="20"/>
                <w:szCs w:val="20"/>
              </w:rPr>
            </w:pPr>
            <w:r w:rsidRPr="003365D6">
              <w:rPr>
                <w:rFonts w:ascii="Arial Narrow" w:hAnsi="Arial Narrow"/>
                <w:b/>
                <w:sz w:val="20"/>
                <w:szCs w:val="20"/>
              </w:rPr>
              <w:t>Proportion with prior Remicade</w:t>
            </w:r>
            <w:r w:rsidR="008E17C5" w:rsidRPr="003365D6">
              <w:rPr>
                <w:rFonts w:ascii="Arial Narrow" w:hAnsi="Arial Narrow"/>
                <w:b/>
                <w:sz w:val="20"/>
                <w:szCs w:val="20"/>
              </w:rPr>
              <w:t xml:space="preserve"> use</w:t>
            </w:r>
          </w:p>
        </w:tc>
        <w:tc>
          <w:tcPr>
            <w:tcW w:w="1148" w:type="dxa"/>
            <w:vAlign w:val="center"/>
          </w:tcPr>
          <w:p w:rsidR="009B180D" w:rsidRPr="003365D6" w:rsidRDefault="00CD39B1" w:rsidP="00ED652C">
            <w:pPr>
              <w:keepNext/>
              <w:jc w:val="both"/>
              <w:rPr>
                <w:rFonts w:ascii="Arial Narrow" w:hAnsi="Arial Narrow"/>
                <w:sz w:val="20"/>
                <w:szCs w:val="20"/>
              </w:rPr>
            </w:pPr>
            <w:r w:rsidRPr="003365D6">
              <w:rPr>
                <w:rFonts w:ascii="Arial Narrow" w:hAnsi="Arial Narrow"/>
                <w:sz w:val="20"/>
                <w:szCs w:val="20"/>
              </w:rPr>
              <w:t>35%</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NR</w:t>
            </w:r>
          </w:p>
        </w:tc>
        <w:tc>
          <w:tcPr>
            <w:tcW w:w="1149" w:type="dxa"/>
            <w:vAlign w:val="center"/>
          </w:tcPr>
          <w:p w:rsidR="009B180D" w:rsidRPr="003365D6" w:rsidRDefault="00F7218B" w:rsidP="00ED652C">
            <w:pPr>
              <w:keepNext/>
              <w:jc w:val="both"/>
              <w:rPr>
                <w:rFonts w:ascii="Arial Narrow" w:hAnsi="Arial Narrow"/>
                <w:sz w:val="20"/>
                <w:szCs w:val="20"/>
              </w:rPr>
            </w:pPr>
            <w:r w:rsidRPr="003365D6">
              <w:rPr>
                <w:rFonts w:ascii="Arial Narrow" w:hAnsi="Arial Narrow"/>
                <w:sz w:val="20"/>
                <w:szCs w:val="20"/>
              </w:rPr>
              <w:t>8%</w:t>
            </w:r>
          </w:p>
        </w:tc>
        <w:tc>
          <w:tcPr>
            <w:tcW w:w="1149" w:type="dxa"/>
            <w:vAlign w:val="center"/>
          </w:tcPr>
          <w:p w:rsidR="009B180D" w:rsidRPr="003365D6" w:rsidRDefault="00BA0D82" w:rsidP="00ED652C">
            <w:pPr>
              <w:keepNext/>
              <w:jc w:val="both"/>
              <w:rPr>
                <w:rFonts w:ascii="Arial Narrow" w:hAnsi="Arial Narrow"/>
                <w:sz w:val="20"/>
                <w:szCs w:val="20"/>
              </w:rPr>
            </w:pPr>
            <w:r w:rsidRPr="003365D6">
              <w:rPr>
                <w:rFonts w:ascii="Arial Narrow" w:hAnsi="Arial Narrow"/>
                <w:sz w:val="20"/>
                <w:szCs w:val="20"/>
              </w:rPr>
              <w:t>11%</w:t>
            </w:r>
            <w:r w:rsidRPr="003365D6">
              <w:rPr>
                <w:rFonts w:ascii="Arial Narrow" w:hAnsi="Arial Narrow"/>
                <w:sz w:val="20"/>
                <w:szCs w:val="20"/>
                <w:vertAlign w:val="superscript"/>
              </w:rPr>
              <w:t>a</w:t>
            </w:r>
          </w:p>
        </w:tc>
      </w:tr>
      <w:tr w:rsidR="009B180D" w:rsidRPr="003365D6" w:rsidTr="00A616ED">
        <w:tc>
          <w:tcPr>
            <w:tcW w:w="3935" w:type="dxa"/>
            <w:vAlign w:val="center"/>
          </w:tcPr>
          <w:p w:rsidR="009B180D" w:rsidRPr="003365D6" w:rsidRDefault="00CD39B1" w:rsidP="00ED652C">
            <w:pPr>
              <w:keepNext/>
              <w:jc w:val="both"/>
              <w:rPr>
                <w:rFonts w:ascii="Arial Narrow" w:hAnsi="Arial Narrow"/>
                <w:b/>
                <w:sz w:val="20"/>
                <w:szCs w:val="20"/>
              </w:rPr>
            </w:pPr>
            <w:r w:rsidRPr="003365D6">
              <w:rPr>
                <w:rFonts w:ascii="Arial Narrow" w:hAnsi="Arial Narrow"/>
                <w:b/>
                <w:sz w:val="20"/>
                <w:szCs w:val="20"/>
              </w:rPr>
              <w:t xml:space="preserve">Proportion with prior bDMARD </w:t>
            </w:r>
            <w:r w:rsidR="00105991" w:rsidRPr="003365D6">
              <w:rPr>
                <w:rFonts w:ascii="Arial Narrow" w:hAnsi="Arial Narrow"/>
                <w:b/>
                <w:sz w:val="20"/>
                <w:szCs w:val="20"/>
              </w:rPr>
              <w:t xml:space="preserve">use </w:t>
            </w:r>
            <w:r w:rsidRPr="003365D6">
              <w:rPr>
                <w:rFonts w:ascii="Arial Narrow" w:hAnsi="Arial Narrow"/>
                <w:b/>
                <w:sz w:val="20"/>
                <w:szCs w:val="20"/>
              </w:rPr>
              <w:t>(inc</w:t>
            </w:r>
            <w:r w:rsidR="00105991" w:rsidRPr="003365D6">
              <w:rPr>
                <w:rFonts w:ascii="Arial Narrow" w:hAnsi="Arial Narrow"/>
                <w:b/>
                <w:sz w:val="20"/>
                <w:szCs w:val="20"/>
              </w:rPr>
              <w:t>l</w:t>
            </w:r>
            <w:r w:rsidRPr="003365D6">
              <w:rPr>
                <w:rFonts w:ascii="Arial Narrow" w:hAnsi="Arial Narrow"/>
                <w:b/>
                <w:sz w:val="20"/>
                <w:szCs w:val="20"/>
              </w:rPr>
              <w:t>. Remicade)</w:t>
            </w:r>
          </w:p>
        </w:tc>
        <w:tc>
          <w:tcPr>
            <w:tcW w:w="1148" w:type="dxa"/>
            <w:vAlign w:val="center"/>
          </w:tcPr>
          <w:p w:rsidR="009B180D" w:rsidRPr="003365D6" w:rsidRDefault="00CD39B1" w:rsidP="00ED652C">
            <w:pPr>
              <w:keepNext/>
              <w:jc w:val="both"/>
              <w:rPr>
                <w:rFonts w:ascii="Arial Narrow" w:hAnsi="Arial Narrow"/>
                <w:sz w:val="20"/>
                <w:szCs w:val="20"/>
              </w:rPr>
            </w:pPr>
            <w:r w:rsidRPr="003365D6">
              <w:rPr>
                <w:rFonts w:ascii="Arial Narrow" w:hAnsi="Arial Narrow"/>
                <w:sz w:val="20"/>
                <w:szCs w:val="20"/>
              </w:rPr>
              <w:t>35%</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26%</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24%</w:t>
            </w:r>
          </w:p>
        </w:tc>
        <w:tc>
          <w:tcPr>
            <w:tcW w:w="1149" w:type="dxa"/>
            <w:vAlign w:val="center"/>
          </w:tcPr>
          <w:p w:rsidR="009B180D" w:rsidRPr="003365D6" w:rsidRDefault="009F5E1F" w:rsidP="00ED652C">
            <w:pPr>
              <w:keepNext/>
              <w:jc w:val="both"/>
              <w:rPr>
                <w:rFonts w:ascii="Arial Narrow" w:hAnsi="Arial Narrow"/>
                <w:sz w:val="20"/>
                <w:szCs w:val="20"/>
              </w:rPr>
            </w:pPr>
            <w:r w:rsidRPr="003365D6">
              <w:rPr>
                <w:rFonts w:ascii="Arial Narrow" w:hAnsi="Arial Narrow"/>
                <w:sz w:val="20"/>
                <w:szCs w:val="20"/>
              </w:rPr>
              <w:t>74%</w:t>
            </w:r>
          </w:p>
        </w:tc>
      </w:tr>
      <w:tr w:rsidR="00A616ED" w:rsidRPr="003365D6" w:rsidTr="002244CD">
        <w:tc>
          <w:tcPr>
            <w:tcW w:w="8530" w:type="dxa"/>
            <w:gridSpan w:val="5"/>
            <w:vAlign w:val="center"/>
          </w:tcPr>
          <w:p w:rsidR="00A616ED" w:rsidRPr="003365D6" w:rsidRDefault="00A616ED" w:rsidP="00ED652C">
            <w:pPr>
              <w:keepNext/>
              <w:jc w:val="both"/>
              <w:rPr>
                <w:rFonts w:ascii="Arial Narrow" w:hAnsi="Arial Narrow"/>
                <w:sz w:val="20"/>
                <w:szCs w:val="20"/>
              </w:rPr>
            </w:pPr>
            <w:r w:rsidRPr="003365D6">
              <w:rPr>
                <w:rFonts w:ascii="Arial Narrow" w:hAnsi="Arial Narrow"/>
                <w:b/>
                <w:sz w:val="20"/>
                <w:szCs w:val="20"/>
              </w:rPr>
              <w:t>Median number of doses of Inflectra</w:t>
            </w:r>
          </w:p>
        </w:tc>
      </w:tr>
      <w:tr w:rsidR="00BA0D82" w:rsidRPr="003365D6" w:rsidTr="00A616ED">
        <w:tc>
          <w:tcPr>
            <w:tcW w:w="3935" w:type="dxa"/>
            <w:vAlign w:val="center"/>
          </w:tcPr>
          <w:p w:rsidR="00BA0D82" w:rsidRPr="003365D6" w:rsidRDefault="00A616ED" w:rsidP="00ED652C">
            <w:pPr>
              <w:keepNext/>
              <w:jc w:val="both"/>
              <w:rPr>
                <w:rFonts w:ascii="Arial Narrow" w:hAnsi="Arial Narrow"/>
                <w:sz w:val="20"/>
                <w:szCs w:val="20"/>
              </w:rPr>
            </w:pPr>
            <w:r w:rsidRPr="003365D6">
              <w:rPr>
                <w:rFonts w:ascii="Arial Narrow" w:hAnsi="Arial Narrow"/>
                <w:sz w:val="20"/>
                <w:szCs w:val="20"/>
              </w:rPr>
              <w:tab/>
              <w:t>C</w:t>
            </w:r>
            <w:r w:rsidR="00105991" w:rsidRPr="003365D6">
              <w:rPr>
                <w:rFonts w:ascii="Arial Narrow" w:hAnsi="Arial Narrow"/>
                <w:sz w:val="20"/>
                <w:szCs w:val="20"/>
              </w:rPr>
              <w:t>rohn’s Disease</w:t>
            </w:r>
          </w:p>
        </w:tc>
        <w:tc>
          <w:tcPr>
            <w:tcW w:w="1148" w:type="dxa"/>
            <w:vAlign w:val="center"/>
          </w:tcPr>
          <w:p w:rsidR="00BA0D82" w:rsidRPr="003365D6" w:rsidRDefault="00BA0D82" w:rsidP="00ED652C">
            <w:pPr>
              <w:keepNext/>
              <w:jc w:val="both"/>
              <w:rPr>
                <w:rFonts w:ascii="Arial Narrow" w:hAnsi="Arial Narrow"/>
                <w:sz w:val="20"/>
                <w:szCs w:val="20"/>
              </w:rPr>
            </w:pPr>
            <w:r w:rsidRPr="003365D6">
              <w:rPr>
                <w:rFonts w:ascii="Arial Narrow" w:hAnsi="Arial Narrow"/>
                <w:sz w:val="20"/>
                <w:szCs w:val="20"/>
              </w:rPr>
              <w:t>5</w:t>
            </w:r>
          </w:p>
        </w:tc>
        <w:tc>
          <w:tcPr>
            <w:tcW w:w="1149" w:type="dxa"/>
            <w:vAlign w:val="center"/>
          </w:tcPr>
          <w:p w:rsidR="00BA0D82" w:rsidRPr="003365D6" w:rsidRDefault="00BA0D82" w:rsidP="00ED652C">
            <w:pPr>
              <w:keepNext/>
              <w:jc w:val="both"/>
              <w:rPr>
                <w:rFonts w:ascii="Arial Narrow" w:hAnsi="Arial Narrow"/>
                <w:sz w:val="20"/>
                <w:szCs w:val="20"/>
              </w:rPr>
            </w:pPr>
            <w:r w:rsidRPr="003365D6">
              <w:rPr>
                <w:rFonts w:ascii="Arial Narrow" w:hAnsi="Arial Narrow"/>
                <w:sz w:val="20"/>
                <w:szCs w:val="20"/>
              </w:rPr>
              <w:t>3</w:t>
            </w:r>
          </w:p>
        </w:tc>
        <w:tc>
          <w:tcPr>
            <w:tcW w:w="1149" w:type="dxa"/>
            <w:vMerge w:val="restart"/>
            <w:vAlign w:val="center"/>
          </w:tcPr>
          <w:p w:rsidR="00BA0D82" w:rsidRPr="003365D6" w:rsidRDefault="00BA0D82" w:rsidP="00ED652C">
            <w:pPr>
              <w:keepNext/>
              <w:jc w:val="both"/>
              <w:rPr>
                <w:rFonts w:ascii="Arial Narrow" w:hAnsi="Arial Narrow"/>
                <w:sz w:val="20"/>
                <w:szCs w:val="20"/>
              </w:rPr>
            </w:pPr>
            <w:r w:rsidRPr="003365D6">
              <w:rPr>
                <w:rFonts w:ascii="Arial Narrow" w:hAnsi="Arial Narrow"/>
                <w:sz w:val="20"/>
                <w:szCs w:val="20"/>
              </w:rPr>
              <w:t>3</w:t>
            </w:r>
          </w:p>
        </w:tc>
        <w:tc>
          <w:tcPr>
            <w:tcW w:w="1149" w:type="dxa"/>
            <w:vMerge w:val="restart"/>
            <w:vAlign w:val="center"/>
          </w:tcPr>
          <w:p w:rsidR="00BA0D82" w:rsidRPr="003365D6" w:rsidRDefault="00BA0D82" w:rsidP="00ED652C">
            <w:pPr>
              <w:keepNext/>
              <w:jc w:val="both"/>
              <w:rPr>
                <w:rFonts w:ascii="Arial Narrow" w:hAnsi="Arial Narrow"/>
                <w:sz w:val="20"/>
                <w:szCs w:val="20"/>
              </w:rPr>
            </w:pPr>
            <w:r w:rsidRPr="003365D6">
              <w:rPr>
                <w:rFonts w:ascii="Arial Narrow" w:hAnsi="Arial Narrow"/>
                <w:sz w:val="20"/>
                <w:szCs w:val="20"/>
              </w:rPr>
              <w:t>3</w:t>
            </w:r>
          </w:p>
        </w:tc>
      </w:tr>
      <w:tr w:rsidR="00BA0D82" w:rsidRPr="003365D6" w:rsidTr="00A616ED">
        <w:tc>
          <w:tcPr>
            <w:tcW w:w="3935" w:type="dxa"/>
            <w:vAlign w:val="center"/>
          </w:tcPr>
          <w:p w:rsidR="00BA0D82" w:rsidRPr="003365D6" w:rsidRDefault="00A616ED" w:rsidP="00ED652C">
            <w:pPr>
              <w:keepNext/>
              <w:jc w:val="both"/>
              <w:rPr>
                <w:rFonts w:ascii="Arial Narrow" w:hAnsi="Arial Narrow"/>
                <w:sz w:val="20"/>
                <w:szCs w:val="20"/>
              </w:rPr>
            </w:pPr>
            <w:r w:rsidRPr="003365D6">
              <w:rPr>
                <w:rFonts w:ascii="Arial Narrow" w:hAnsi="Arial Narrow"/>
                <w:sz w:val="20"/>
                <w:szCs w:val="20"/>
              </w:rPr>
              <w:tab/>
            </w:r>
            <w:r w:rsidR="00BA0D82" w:rsidRPr="003365D6">
              <w:rPr>
                <w:rFonts w:ascii="Arial Narrow" w:hAnsi="Arial Narrow"/>
                <w:sz w:val="20"/>
                <w:szCs w:val="20"/>
              </w:rPr>
              <w:t>U</w:t>
            </w:r>
            <w:r w:rsidR="00105991" w:rsidRPr="003365D6">
              <w:rPr>
                <w:rFonts w:ascii="Arial Narrow" w:hAnsi="Arial Narrow"/>
                <w:sz w:val="20"/>
                <w:szCs w:val="20"/>
              </w:rPr>
              <w:t>lcerative Colitis</w:t>
            </w:r>
          </w:p>
        </w:tc>
        <w:tc>
          <w:tcPr>
            <w:tcW w:w="1148" w:type="dxa"/>
            <w:vAlign w:val="center"/>
          </w:tcPr>
          <w:p w:rsidR="00BA0D82" w:rsidRPr="003365D6" w:rsidRDefault="00BA0D82" w:rsidP="00ED652C">
            <w:pPr>
              <w:keepNext/>
              <w:jc w:val="both"/>
              <w:rPr>
                <w:rFonts w:ascii="Arial Narrow" w:hAnsi="Arial Narrow"/>
                <w:sz w:val="20"/>
                <w:szCs w:val="20"/>
              </w:rPr>
            </w:pPr>
            <w:r w:rsidRPr="003365D6">
              <w:rPr>
                <w:rFonts w:ascii="Arial Narrow" w:hAnsi="Arial Narrow"/>
                <w:sz w:val="20"/>
                <w:szCs w:val="20"/>
              </w:rPr>
              <w:t>5</w:t>
            </w:r>
          </w:p>
        </w:tc>
        <w:tc>
          <w:tcPr>
            <w:tcW w:w="1149" w:type="dxa"/>
            <w:vAlign w:val="center"/>
          </w:tcPr>
          <w:p w:rsidR="00BA0D82" w:rsidRPr="003365D6" w:rsidRDefault="00BA0D82" w:rsidP="00ED652C">
            <w:pPr>
              <w:keepNext/>
              <w:jc w:val="both"/>
              <w:rPr>
                <w:rFonts w:ascii="Arial Narrow" w:hAnsi="Arial Narrow"/>
                <w:sz w:val="20"/>
                <w:szCs w:val="20"/>
              </w:rPr>
            </w:pPr>
            <w:r w:rsidRPr="003365D6">
              <w:rPr>
                <w:rFonts w:ascii="Arial Narrow" w:hAnsi="Arial Narrow"/>
                <w:sz w:val="20"/>
                <w:szCs w:val="20"/>
              </w:rPr>
              <w:t>3</w:t>
            </w:r>
          </w:p>
        </w:tc>
        <w:tc>
          <w:tcPr>
            <w:tcW w:w="1149" w:type="dxa"/>
            <w:vMerge/>
            <w:vAlign w:val="center"/>
          </w:tcPr>
          <w:p w:rsidR="00BA0D82" w:rsidRPr="003365D6" w:rsidRDefault="00BA0D82" w:rsidP="00ED652C">
            <w:pPr>
              <w:keepNext/>
              <w:jc w:val="both"/>
              <w:rPr>
                <w:rFonts w:ascii="Arial Narrow" w:hAnsi="Arial Narrow"/>
                <w:sz w:val="20"/>
                <w:szCs w:val="20"/>
              </w:rPr>
            </w:pPr>
          </w:p>
        </w:tc>
        <w:tc>
          <w:tcPr>
            <w:tcW w:w="1149" w:type="dxa"/>
            <w:vMerge/>
            <w:vAlign w:val="center"/>
          </w:tcPr>
          <w:p w:rsidR="00BA0D82" w:rsidRPr="003365D6" w:rsidRDefault="00BA0D82" w:rsidP="00ED652C">
            <w:pPr>
              <w:keepNext/>
              <w:jc w:val="both"/>
              <w:rPr>
                <w:rFonts w:ascii="Arial Narrow" w:hAnsi="Arial Narrow"/>
                <w:sz w:val="20"/>
                <w:szCs w:val="20"/>
              </w:rPr>
            </w:pPr>
          </w:p>
        </w:tc>
      </w:tr>
      <w:tr w:rsidR="00BA0D82" w:rsidRPr="003365D6" w:rsidTr="00A616ED">
        <w:tc>
          <w:tcPr>
            <w:tcW w:w="3935" w:type="dxa"/>
            <w:vAlign w:val="center"/>
          </w:tcPr>
          <w:p w:rsidR="00BA0D82" w:rsidRPr="003365D6" w:rsidRDefault="00A616ED" w:rsidP="00ED652C">
            <w:pPr>
              <w:keepNext/>
              <w:jc w:val="both"/>
              <w:rPr>
                <w:rFonts w:ascii="Arial Narrow" w:hAnsi="Arial Narrow"/>
                <w:sz w:val="20"/>
                <w:szCs w:val="20"/>
              </w:rPr>
            </w:pPr>
            <w:r w:rsidRPr="003365D6">
              <w:rPr>
                <w:rFonts w:ascii="Arial Narrow" w:hAnsi="Arial Narrow"/>
                <w:sz w:val="20"/>
                <w:szCs w:val="20"/>
              </w:rPr>
              <w:tab/>
            </w:r>
            <w:r w:rsidR="00BA0D82" w:rsidRPr="003365D6">
              <w:rPr>
                <w:rFonts w:ascii="Arial Narrow" w:hAnsi="Arial Narrow"/>
                <w:sz w:val="20"/>
                <w:szCs w:val="20"/>
              </w:rPr>
              <w:t>F</w:t>
            </w:r>
            <w:r w:rsidR="00105991" w:rsidRPr="003365D6">
              <w:rPr>
                <w:rFonts w:ascii="Arial Narrow" w:hAnsi="Arial Narrow"/>
                <w:sz w:val="20"/>
                <w:szCs w:val="20"/>
              </w:rPr>
              <w:t>istulising Crohn’s Disease</w:t>
            </w:r>
          </w:p>
        </w:tc>
        <w:tc>
          <w:tcPr>
            <w:tcW w:w="1148" w:type="dxa"/>
            <w:vAlign w:val="center"/>
          </w:tcPr>
          <w:p w:rsidR="00BA0D82" w:rsidRPr="003365D6" w:rsidRDefault="00BA0D82" w:rsidP="00ED652C">
            <w:pPr>
              <w:keepNext/>
              <w:jc w:val="both"/>
              <w:rPr>
                <w:rFonts w:ascii="Arial Narrow" w:hAnsi="Arial Narrow"/>
                <w:sz w:val="20"/>
                <w:szCs w:val="20"/>
              </w:rPr>
            </w:pPr>
            <w:r w:rsidRPr="003365D6">
              <w:rPr>
                <w:rFonts w:ascii="Arial Narrow" w:hAnsi="Arial Narrow"/>
                <w:sz w:val="20"/>
                <w:szCs w:val="20"/>
              </w:rPr>
              <w:t>5</w:t>
            </w:r>
          </w:p>
        </w:tc>
        <w:tc>
          <w:tcPr>
            <w:tcW w:w="1149" w:type="dxa"/>
            <w:vAlign w:val="center"/>
          </w:tcPr>
          <w:p w:rsidR="00BA0D82" w:rsidRPr="003365D6" w:rsidRDefault="00BA0D82" w:rsidP="00ED652C">
            <w:pPr>
              <w:keepNext/>
              <w:jc w:val="both"/>
              <w:rPr>
                <w:rFonts w:ascii="Arial Narrow" w:hAnsi="Arial Narrow"/>
                <w:sz w:val="20"/>
                <w:szCs w:val="20"/>
              </w:rPr>
            </w:pPr>
            <w:r w:rsidRPr="003365D6">
              <w:rPr>
                <w:rFonts w:ascii="Arial Narrow" w:hAnsi="Arial Narrow"/>
                <w:sz w:val="20"/>
                <w:szCs w:val="20"/>
              </w:rPr>
              <w:t>3</w:t>
            </w:r>
          </w:p>
        </w:tc>
        <w:tc>
          <w:tcPr>
            <w:tcW w:w="1149" w:type="dxa"/>
            <w:vMerge/>
            <w:vAlign w:val="center"/>
          </w:tcPr>
          <w:p w:rsidR="00BA0D82" w:rsidRPr="003365D6" w:rsidRDefault="00BA0D82" w:rsidP="00ED652C">
            <w:pPr>
              <w:keepNext/>
              <w:jc w:val="both"/>
              <w:rPr>
                <w:rFonts w:ascii="Arial Narrow" w:hAnsi="Arial Narrow"/>
                <w:sz w:val="20"/>
                <w:szCs w:val="20"/>
              </w:rPr>
            </w:pPr>
          </w:p>
        </w:tc>
        <w:tc>
          <w:tcPr>
            <w:tcW w:w="1149" w:type="dxa"/>
            <w:vMerge/>
            <w:vAlign w:val="center"/>
          </w:tcPr>
          <w:p w:rsidR="00BA0D82" w:rsidRPr="003365D6" w:rsidRDefault="00BA0D82" w:rsidP="00ED652C">
            <w:pPr>
              <w:keepNext/>
              <w:jc w:val="both"/>
              <w:rPr>
                <w:rFonts w:ascii="Arial Narrow" w:hAnsi="Arial Narrow"/>
                <w:sz w:val="20"/>
                <w:szCs w:val="20"/>
              </w:rPr>
            </w:pPr>
          </w:p>
        </w:tc>
      </w:tr>
    </w:tbl>
    <w:p w:rsidR="00821022" w:rsidRPr="003365D6" w:rsidRDefault="00821022" w:rsidP="00821022">
      <w:pPr>
        <w:ind w:left="720"/>
        <w:jc w:val="both"/>
        <w:rPr>
          <w:rFonts w:ascii="Arial Narrow" w:hAnsi="Arial Narrow"/>
          <w:sz w:val="20"/>
          <w:szCs w:val="20"/>
        </w:rPr>
      </w:pPr>
      <w:r w:rsidRPr="003365D6">
        <w:rPr>
          <w:rFonts w:ascii="Arial Narrow" w:hAnsi="Arial Narrow"/>
          <w:sz w:val="20"/>
          <w:szCs w:val="20"/>
          <w:vertAlign w:val="superscript"/>
        </w:rPr>
        <w:t>a</w:t>
      </w:r>
      <w:r w:rsidRPr="003365D6">
        <w:rPr>
          <w:rFonts w:ascii="Arial Narrow" w:hAnsi="Arial Narrow"/>
          <w:sz w:val="20"/>
          <w:szCs w:val="20"/>
        </w:rPr>
        <w:t xml:space="preserve">At least 11% of patients in </w:t>
      </w:r>
      <w:r w:rsidR="00105991" w:rsidRPr="003365D6">
        <w:rPr>
          <w:rFonts w:ascii="Arial Narrow" w:hAnsi="Arial Narrow"/>
          <w:sz w:val="20"/>
          <w:szCs w:val="20"/>
        </w:rPr>
        <w:t>this</w:t>
      </w:r>
      <w:r w:rsidRPr="003365D6">
        <w:rPr>
          <w:rFonts w:ascii="Arial Narrow" w:hAnsi="Arial Narrow"/>
          <w:sz w:val="20"/>
          <w:szCs w:val="20"/>
        </w:rPr>
        <w:t xml:space="preserve"> study had prior exposure to Remicade.  </w:t>
      </w:r>
      <w:r w:rsidR="00105991" w:rsidRPr="003365D6">
        <w:rPr>
          <w:rFonts w:ascii="Arial Narrow" w:hAnsi="Arial Narrow"/>
          <w:sz w:val="20"/>
          <w:szCs w:val="20"/>
        </w:rPr>
        <w:t>Eight</w:t>
      </w:r>
      <w:r w:rsidRPr="003365D6">
        <w:rPr>
          <w:rFonts w:ascii="Arial Narrow" w:hAnsi="Arial Narrow"/>
          <w:sz w:val="20"/>
          <w:szCs w:val="20"/>
        </w:rPr>
        <w:t xml:space="preserve"> patients with fistulising C</w:t>
      </w:r>
      <w:r w:rsidR="00105991" w:rsidRPr="003365D6">
        <w:rPr>
          <w:rFonts w:ascii="Arial Narrow" w:hAnsi="Arial Narrow"/>
          <w:sz w:val="20"/>
          <w:szCs w:val="20"/>
        </w:rPr>
        <w:t>rohn’s Disease</w:t>
      </w:r>
      <w:r w:rsidRPr="003365D6">
        <w:rPr>
          <w:rFonts w:ascii="Arial Narrow" w:hAnsi="Arial Narrow"/>
          <w:sz w:val="20"/>
          <w:szCs w:val="20"/>
        </w:rPr>
        <w:t xml:space="preserve"> </w:t>
      </w:r>
      <w:r w:rsidR="00105991" w:rsidRPr="003365D6">
        <w:rPr>
          <w:rFonts w:ascii="Arial Narrow" w:hAnsi="Arial Narrow"/>
          <w:sz w:val="20"/>
          <w:szCs w:val="20"/>
        </w:rPr>
        <w:t>did have</w:t>
      </w:r>
      <w:r w:rsidRPr="003365D6">
        <w:rPr>
          <w:rFonts w:ascii="Arial Narrow" w:hAnsi="Arial Narrow"/>
          <w:sz w:val="20"/>
          <w:szCs w:val="20"/>
        </w:rPr>
        <w:t xml:space="preserve"> prior exposure to anti-TNF agents</w:t>
      </w:r>
      <w:r w:rsidR="00105991" w:rsidRPr="003365D6">
        <w:rPr>
          <w:rFonts w:ascii="Arial Narrow" w:hAnsi="Arial Narrow"/>
          <w:sz w:val="20"/>
          <w:szCs w:val="20"/>
        </w:rPr>
        <w:t xml:space="preserve"> but the</w:t>
      </w:r>
      <w:r w:rsidRPr="003365D6">
        <w:rPr>
          <w:rFonts w:ascii="Arial Narrow" w:hAnsi="Arial Narrow"/>
          <w:sz w:val="20"/>
          <w:szCs w:val="20"/>
        </w:rPr>
        <w:t xml:space="preserve"> agent was not recorded.</w:t>
      </w:r>
    </w:p>
    <w:p w:rsidR="00EA5676" w:rsidRPr="003365D6" w:rsidRDefault="00EA5676" w:rsidP="005F0E8F">
      <w:pPr>
        <w:jc w:val="both"/>
        <w:rPr>
          <w:rFonts w:ascii="Arial" w:hAnsi="Arial"/>
          <w:sz w:val="22"/>
          <w:szCs w:val="22"/>
        </w:rPr>
      </w:pPr>
    </w:p>
    <w:p w:rsidR="00EA5676" w:rsidRPr="003365D6" w:rsidRDefault="00EA5676" w:rsidP="00821022">
      <w:pPr>
        <w:pStyle w:val="ListParagraph"/>
        <w:numPr>
          <w:ilvl w:val="1"/>
          <w:numId w:val="2"/>
        </w:numPr>
        <w:jc w:val="both"/>
        <w:rPr>
          <w:rFonts w:ascii="Arial" w:hAnsi="Arial"/>
          <w:sz w:val="22"/>
          <w:szCs w:val="22"/>
        </w:rPr>
      </w:pPr>
      <w:r w:rsidRPr="003365D6">
        <w:rPr>
          <w:rFonts w:ascii="Arial" w:hAnsi="Arial"/>
          <w:sz w:val="22"/>
          <w:szCs w:val="22"/>
        </w:rPr>
        <w:t>The efficacy endpoints for the</w:t>
      </w:r>
      <w:r w:rsidR="00105991" w:rsidRPr="003365D6">
        <w:rPr>
          <w:rFonts w:ascii="Arial" w:hAnsi="Arial"/>
          <w:sz w:val="22"/>
          <w:szCs w:val="22"/>
        </w:rPr>
        <w:t>se post-market studies include</w:t>
      </w:r>
      <w:r w:rsidR="00821022" w:rsidRPr="003365D6">
        <w:rPr>
          <w:rFonts w:ascii="Arial" w:hAnsi="Arial"/>
          <w:sz w:val="22"/>
          <w:szCs w:val="22"/>
        </w:rPr>
        <w:t xml:space="preserve"> the proportion of patients achieving a response and/or remission.</w:t>
      </w:r>
    </w:p>
    <w:p w:rsidR="004B0D55" w:rsidRPr="003365D6" w:rsidRDefault="004B0D55" w:rsidP="005F0E8F">
      <w:pPr>
        <w:jc w:val="both"/>
        <w:rPr>
          <w:rFonts w:ascii="Arial" w:hAnsi="Arial"/>
          <w:sz w:val="22"/>
          <w:szCs w:val="22"/>
        </w:rPr>
      </w:pPr>
    </w:p>
    <w:p w:rsidR="00206DCA" w:rsidRPr="003365D6" w:rsidRDefault="00206DCA" w:rsidP="001216FE">
      <w:pPr>
        <w:ind w:firstLine="720"/>
        <w:jc w:val="both"/>
        <w:rPr>
          <w:rFonts w:ascii="Arial" w:hAnsi="Arial"/>
          <w:b/>
          <w:sz w:val="22"/>
          <w:szCs w:val="22"/>
          <w:u w:val="single"/>
        </w:rPr>
      </w:pPr>
      <w:r w:rsidRPr="003365D6">
        <w:rPr>
          <w:rFonts w:ascii="Arial" w:hAnsi="Arial"/>
          <w:b/>
          <w:sz w:val="22"/>
          <w:szCs w:val="22"/>
          <w:u w:val="single"/>
        </w:rPr>
        <w:t>Comparative effectiveness</w:t>
      </w:r>
      <w:r w:rsidR="00275486" w:rsidRPr="003365D6">
        <w:rPr>
          <w:rFonts w:ascii="Arial" w:hAnsi="Arial"/>
          <w:b/>
          <w:sz w:val="22"/>
          <w:szCs w:val="22"/>
          <w:u w:val="single"/>
        </w:rPr>
        <w:t xml:space="preserve"> </w:t>
      </w:r>
      <w:r w:rsidR="00105991" w:rsidRPr="003365D6">
        <w:rPr>
          <w:rFonts w:ascii="Arial" w:hAnsi="Arial"/>
          <w:b/>
          <w:sz w:val="22"/>
          <w:szCs w:val="22"/>
          <w:u w:val="single"/>
        </w:rPr>
        <w:t>in patients with</w:t>
      </w:r>
      <w:r w:rsidR="008B0EC1" w:rsidRPr="003365D6">
        <w:rPr>
          <w:rFonts w:ascii="Arial" w:hAnsi="Arial"/>
          <w:b/>
          <w:sz w:val="22"/>
          <w:szCs w:val="22"/>
          <w:u w:val="single"/>
        </w:rPr>
        <w:t xml:space="preserve"> </w:t>
      </w:r>
      <w:r w:rsidR="00105991" w:rsidRPr="003365D6">
        <w:rPr>
          <w:rFonts w:ascii="Arial" w:hAnsi="Arial"/>
          <w:b/>
          <w:sz w:val="22"/>
          <w:szCs w:val="22"/>
          <w:u w:val="single"/>
        </w:rPr>
        <w:t>r</w:t>
      </w:r>
      <w:r w:rsidR="00275486" w:rsidRPr="003365D6">
        <w:rPr>
          <w:rFonts w:ascii="Arial" w:hAnsi="Arial"/>
          <w:b/>
          <w:sz w:val="22"/>
          <w:szCs w:val="22"/>
          <w:u w:val="single"/>
        </w:rPr>
        <w:t xml:space="preserve">heumatoid </w:t>
      </w:r>
      <w:r w:rsidR="00105991" w:rsidRPr="003365D6">
        <w:rPr>
          <w:rFonts w:ascii="Arial" w:hAnsi="Arial"/>
          <w:b/>
          <w:sz w:val="22"/>
          <w:szCs w:val="22"/>
          <w:u w:val="single"/>
        </w:rPr>
        <w:t>a</w:t>
      </w:r>
      <w:r w:rsidR="00275486" w:rsidRPr="003365D6">
        <w:rPr>
          <w:rFonts w:ascii="Arial" w:hAnsi="Arial"/>
          <w:b/>
          <w:sz w:val="22"/>
          <w:szCs w:val="22"/>
          <w:u w:val="single"/>
        </w:rPr>
        <w:t>rthritis</w:t>
      </w:r>
    </w:p>
    <w:p w:rsidR="005D1DA8" w:rsidRPr="003365D6" w:rsidRDefault="005D1DA8" w:rsidP="00526CD0">
      <w:pPr>
        <w:pStyle w:val="ListParagraph"/>
        <w:numPr>
          <w:ilvl w:val="1"/>
          <w:numId w:val="2"/>
        </w:numPr>
        <w:jc w:val="both"/>
        <w:rPr>
          <w:rFonts w:ascii="Arial" w:hAnsi="Arial"/>
          <w:sz w:val="22"/>
          <w:szCs w:val="22"/>
        </w:rPr>
      </w:pPr>
      <w:r w:rsidRPr="003365D6">
        <w:rPr>
          <w:rFonts w:ascii="Arial" w:hAnsi="Arial"/>
          <w:sz w:val="22"/>
          <w:szCs w:val="22"/>
        </w:rPr>
        <w:t>Study 1.2 is based on 19 enrolled patients with rheumatoid arthritis.  One patient was excluded from the analysis due to a major protocol violation.  No formal sample size calculation was performed as this study was primarily designed to inform the larger Phase III Study 3.1.  With the exception of implications of switching from Remicade to Inflectra after week 54, the results of this study are not discussed</w:t>
      </w:r>
      <w:r w:rsidR="00105991" w:rsidRPr="003365D6">
        <w:rPr>
          <w:rFonts w:ascii="Arial" w:hAnsi="Arial"/>
          <w:sz w:val="22"/>
          <w:szCs w:val="22"/>
        </w:rPr>
        <w:t xml:space="preserve"> further</w:t>
      </w:r>
      <w:r w:rsidRPr="003365D6">
        <w:rPr>
          <w:rFonts w:ascii="Arial" w:hAnsi="Arial"/>
          <w:sz w:val="22"/>
          <w:szCs w:val="22"/>
        </w:rPr>
        <w:t>.</w:t>
      </w:r>
    </w:p>
    <w:p w:rsidR="005D1DA8" w:rsidRPr="003365D6" w:rsidRDefault="005D1DA8" w:rsidP="005F0E8F">
      <w:pPr>
        <w:jc w:val="both"/>
        <w:rPr>
          <w:rFonts w:ascii="Arial" w:hAnsi="Arial"/>
          <w:sz w:val="22"/>
          <w:szCs w:val="22"/>
        </w:rPr>
      </w:pPr>
    </w:p>
    <w:p w:rsidR="00206DCA" w:rsidRPr="003365D6" w:rsidRDefault="005D1DA8" w:rsidP="00526CD0">
      <w:pPr>
        <w:pStyle w:val="ListParagraph"/>
        <w:numPr>
          <w:ilvl w:val="1"/>
          <w:numId w:val="2"/>
        </w:numPr>
        <w:jc w:val="both"/>
        <w:rPr>
          <w:rFonts w:ascii="Arial" w:hAnsi="Arial"/>
          <w:sz w:val="22"/>
          <w:szCs w:val="22"/>
        </w:rPr>
      </w:pPr>
      <w:r w:rsidRPr="003365D6">
        <w:rPr>
          <w:rFonts w:ascii="Arial" w:hAnsi="Arial"/>
          <w:sz w:val="22"/>
          <w:szCs w:val="22"/>
        </w:rPr>
        <w:t>Study 3.1 was powered (80%) to detect a 2-sided equivalence margin of 15</w:t>
      </w:r>
      <w:r w:rsidR="00113377" w:rsidRPr="003365D6">
        <w:rPr>
          <w:rFonts w:ascii="Arial" w:hAnsi="Arial"/>
          <w:sz w:val="22"/>
          <w:szCs w:val="22"/>
        </w:rPr>
        <w:t xml:space="preserve"> percentage points in the proportion of patients achieving ACR20</w:t>
      </w:r>
      <w:r w:rsidRPr="003365D6">
        <w:rPr>
          <w:rFonts w:ascii="Arial" w:hAnsi="Arial"/>
          <w:sz w:val="22"/>
          <w:szCs w:val="22"/>
        </w:rPr>
        <w:t xml:space="preserve">, assuming a responder rate of 50% and the exclusion of 20% of patients from the per-protocol population.  </w:t>
      </w:r>
    </w:p>
    <w:p w:rsidR="00DB5D80" w:rsidRPr="003365D6" w:rsidRDefault="00DB5D80" w:rsidP="005F0E8F">
      <w:pPr>
        <w:jc w:val="both"/>
        <w:rPr>
          <w:rFonts w:ascii="Arial" w:hAnsi="Arial"/>
          <w:sz w:val="22"/>
          <w:szCs w:val="22"/>
        </w:rPr>
      </w:pPr>
    </w:p>
    <w:p w:rsidR="00DB5D80" w:rsidRPr="003365D6" w:rsidRDefault="00DB5D80" w:rsidP="00526CD0">
      <w:pPr>
        <w:pStyle w:val="ListParagraph"/>
        <w:numPr>
          <w:ilvl w:val="1"/>
          <w:numId w:val="2"/>
        </w:numPr>
        <w:jc w:val="both"/>
        <w:rPr>
          <w:rFonts w:ascii="Arial" w:hAnsi="Arial"/>
          <w:sz w:val="22"/>
          <w:szCs w:val="22"/>
        </w:rPr>
      </w:pPr>
      <w:r w:rsidRPr="003365D6">
        <w:rPr>
          <w:rFonts w:ascii="Arial" w:hAnsi="Arial"/>
          <w:sz w:val="22"/>
          <w:szCs w:val="22"/>
        </w:rPr>
        <w:t>The trial results for the ACR20 (primary outcome), ACR50, ACR70</w:t>
      </w:r>
      <w:r w:rsidR="00BD4BD9" w:rsidRPr="003365D6">
        <w:rPr>
          <w:rFonts w:ascii="Arial" w:hAnsi="Arial"/>
          <w:sz w:val="22"/>
          <w:szCs w:val="22"/>
        </w:rPr>
        <w:t xml:space="preserve"> and DAS28 f</w:t>
      </w:r>
      <w:r w:rsidRPr="003365D6">
        <w:rPr>
          <w:rFonts w:ascii="Arial" w:hAnsi="Arial"/>
          <w:sz w:val="22"/>
          <w:szCs w:val="22"/>
        </w:rPr>
        <w:t>or Study 3.1 are summarised in</w:t>
      </w:r>
      <w:r w:rsidR="00B21CCB" w:rsidRPr="003365D6">
        <w:rPr>
          <w:rFonts w:ascii="Arial" w:hAnsi="Arial"/>
          <w:sz w:val="22"/>
          <w:szCs w:val="22"/>
        </w:rPr>
        <w:t xml:space="preserve"> </w:t>
      </w:r>
      <w:r w:rsidR="004012E1" w:rsidRPr="003365D6">
        <w:rPr>
          <w:rFonts w:ascii="Arial" w:hAnsi="Arial"/>
          <w:sz w:val="22"/>
          <w:szCs w:val="22"/>
        </w:rPr>
        <w:t>the table below</w:t>
      </w:r>
      <w:r w:rsidRPr="003365D6">
        <w:rPr>
          <w:rFonts w:ascii="Arial" w:hAnsi="Arial"/>
          <w:sz w:val="22"/>
          <w:szCs w:val="22"/>
        </w:rPr>
        <w:t>.</w:t>
      </w:r>
    </w:p>
    <w:p w:rsidR="00DB5D80" w:rsidRPr="003365D6" w:rsidRDefault="00DB5D80" w:rsidP="005F0E8F">
      <w:pPr>
        <w:jc w:val="both"/>
        <w:rPr>
          <w:rFonts w:ascii="Arial" w:hAnsi="Arial"/>
          <w:sz w:val="22"/>
          <w:szCs w:val="22"/>
        </w:rPr>
      </w:pPr>
    </w:p>
    <w:p w:rsidR="00EA6FDA" w:rsidRPr="00F233E4" w:rsidRDefault="00EA6FDA" w:rsidP="00ED652C">
      <w:pPr>
        <w:pStyle w:val="Caption"/>
        <w:keepNext/>
        <w:spacing w:after="0"/>
        <w:ind w:left="720"/>
        <w:rPr>
          <w:rStyle w:val="CommentReference"/>
          <w:b/>
        </w:rPr>
      </w:pPr>
      <w:bookmarkStart w:id="6" w:name="_Ref421109304"/>
      <w:r w:rsidRPr="003365D6">
        <w:rPr>
          <w:rStyle w:val="CommentReference"/>
          <w:b/>
        </w:rPr>
        <w:t xml:space="preserve">Table </w:t>
      </w:r>
      <w:bookmarkEnd w:id="6"/>
      <w:r w:rsidR="009346CC" w:rsidRPr="003365D6">
        <w:rPr>
          <w:rStyle w:val="CommentReference"/>
          <w:b/>
        </w:rPr>
        <w:t>6</w:t>
      </w:r>
      <w:r w:rsidR="00DA1992">
        <w:rPr>
          <w:rStyle w:val="CommentReference"/>
          <w:b/>
        </w:rPr>
        <w:t>:</w:t>
      </w:r>
      <w:r w:rsidRPr="003365D6">
        <w:rPr>
          <w:rStyle w:val="CommentReference"/>
          <w:b/>
        </w:rPr>
        <w:tab/>
        <w:t>Clinical efficacy outcomes for Study 3.1 in rheumatoid arthritis</w:t>
      </w:r>
    </w:p>
    <w:tbl>
      <w:tblPr>
        <w:tblStyle w:val="TableGrid"/>
        <w:tblW w:w="0" w:type="auto"/>
        <w:tblInd w:w="709" w:type="dxa"/>
        <w:tblLook w:val="04A0" w:firstRow="1" w:lastRow="0" w:firstColumn="1" w:lastColumn="0" w:noHBand="0" w:noVBand="1"/>
        <w:tblCaption w:val="Table 6: Clinical efficacy outcomes for Study 3.1 in rheumatoid arthritis"/>
        <w:tblDescription w:val="This table summarises the clinical efficacy outcomes for Study 3.1 in rheumatoid arthritis. "/>
      </w:tblPr>
      <w:tblGrid>
        <w:gridCol w:w="1274"/>
        <w:gridCol w:w="695"/>
        <w:gridCol w:w="992"/>
        <w:gridCol w:w="1479"/>
        <w:gridCol w:w="1480"/>
        <w:gridCol w:w="1134"/>
        <w:gridCol w:w="1479"/>
      </w:tblGrid>
      <w:tr w:rsidR="008875DA" w:rsidRPr="003365D6" w:rsidTr="008A4849">
        <w:trPr>
          <w:tblHeader/>
        </w:trPr>
        <w:tc>
          <w:tcPr>
            <w:tcW w:w="1274" w:type="dxa"/>
            <w:vAlign w:val="center"/>
          </w:tcPr>
          <w:p w:rsidR="008875DA" w:rsidRPr="003365D6" w:rsidRDefault="008875DA" w:rsidP="00ED652C">
            <w:pPr>
              <w:keepNext/>
              <w:jc w:val="both"/>
              <w:rPr>
                <w:rFonts w:ascii="Arial Narrow" w:hAnsi="Arial Narrow"/>
                <w:sz w:val="20"/>
                <w:szCs w:val="20"/>
              </w:rPr>
            </w:pPr>
          </w:p>
        </w:tc>
        <w:tc>
          <w:tcPr>
            <w:tcW w:w="695"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Week</w:t>
            </w:r>
            <w:r w:rsidRPr="003365D6">
              <w:rPr>
                <w:rFonts w:ascii="Arial Narrow" w:hAnsi="Arial Narrow"/>
                <w:sz w:val="20"/>
                <w:szCs w:val="20"/>
                <w:vertAlign w:val="superscript"/>
              </w:rPr>
              <w:t>b</w:t>
            </w:r>
          </w:p>
        </w:tc>
        <w:tc>
          <w:tcPr>
            <w:tcW w:w="992"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Population</w:t>
            </w:r>
          </w:p>
        </w:tc>
        <w:tc>
          <w:tcPr>
            <w:tcW w:w="1479"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Inflectra</w:t>
            </w:r>
          </w:p>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n/N (%)</w:t>
            </w:r>
          </w:p>
        </w:tc>
        <w:tc>
          <w:tcPr>
            <w:tcW w:w="1480"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Remicade</w:t>
            </w:r>
          </w:p>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n/N (%)</w:t>
            </w:r>
          </w:p>
        </w:tc>
        <w:tc>
          <w:tcPr>
            <w:tcW w:w="1134"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Estimate of Treatment Difference</w:t>
            </w:r>
            <w:r w:rsidRPr="003365D6">
              <w:rPr>
                <w:rFonts w:ascii="Arial Narrow" w:hAnsi="Arial Narrow"/>
                <w:sz w:val="20"/>
                <w:szCs w:val="20"/>
                <w:vertAlign w:val="superscript"/>
              </w:rPr>
              <w:t>a</w:t>
            </w:r>
          </w:p>
        </w:tc>
        <w:tc>
          <w:tcPr>
            <w:tcW w:w="1479"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95% CI of the treatment difference</w:t>
            </w:r>
          </w:p>
        </w:tc>
      </w:tr>
      <w:tr w:rsidR="00A30FA8" w:rsidRPr="003365D6" w:rsidTr="00A30FA8">
        <w:tc>
          <w:tcPr>
            <w:tcW w:w="8533" w:type="dxa"/>
            <w:gridSpan w:val="7"/>
            <w:shd w:val="clear" w:color="auto" w:fill="D9D9D9" w:themeFill="background1" w:themeFillShade="D9"/>
            <w:vAlign w:val="center"/>
          </w:tcPr>
          <w:p w:rsidR="00A30FA8" w:rsidRPr="003365D6" w:rsidRDefault="00A30FA8" w:rsidP="00ED652C">
            <w:pPr>
              <w:keepNext/>
              <w:jc w:val="both"/>
              <w:rPr>
                <w:rFonts w:ascii="Arial Narrow" w:hAnsi="Arial Narrow"/>
                <w:sz w:val="20"/>
                <w:szCs w:val="20"/>
              </w:rPr>
            </w:pPr>
            <w:r w:rsidRPr="003365D6">
              <w:rPr>
                <w:rFonts w:ascii="Arial Narrow" w:hAnsi="Arial Narrow"/>
                <w:sz w:val="20"/>
                <w:szCs w:val="20"/>
              </w:rPr>
              <w:t>American College of Rheumatology definition of a 20% improvement</w:t>
            </w:r>
          </w:p>
        </w:tc>
      </w:tr>
      <w:tr w:rsidR="00A30FA8" w:rsidRPr="003365D6" w:rsidTr="00BD4BD9">
        <w:tc>
          <w:tcPr>
            <w:tcW w:w="1274" w:type="dxa"/>
            <w:vMerge w:val="restart"/>
            <w:vAlign w:val="center"/>
          </w:tcPr>
          <w:p w:rsidR="00A30FA8" w:rsidRPr="003365D6" w:rsidRDefault="00A30FA8" w:rsidP="00ED652C">
            <w:pPr>
              <w:keepNext/>
              <w:jc w:val="both"/>
              <w:rPr>
                <w:rFonts w:ascii="Arial Narrow" w:hAnsi="Arial Narrow"/>
                <w:sz w:val="20"/>
                <w:szCs w:val="20"/>
              </w:rPr>
            </w:pPr>
            <w:r w:rsidRPr="003365D6">
              <w:rPr>
                <w:rFonts w:ascii="Arial Narrow" w:hAnsi="Arial Narrow"/>
                <w:sz w:val="20"/>
                <w:szCs w:val="20"/>
              </w:rPr>
              <w:t>ACR20</w:t>
            </w:r>
          </w:p>
        </w:tc>
        <w:tc>
          <w:tcPr>
            <w:tcW w:w="695" w:type="dxa"/>
            <w:vMerge w:val="restart"/>
            <w:vAlign w:val="center"/>
          </w:tcPr>
          <w:p w:rsidR="00A30FA8" w:rsidRPr="003365D6" w:rsidRDefault="00A30FA8" w:rsidP="00ED652C">
            <w:pPr>
              <w:keepNext/>
              <w:jc w:val="both"/>
              <w:rPr>
                <w:rFonts w:ascii="Arial Narrow" w:hAnsi="Arial Narrow"/>
                <w:sz w:val="20"/>
                <w:szCs w:val="20"/>
              </w:rPr>
            </w:pPr>
            <w:r w:rsidRPr="003365D6">
              <w:rPr>
                <w:rFonts w:ascii="Arial Narrow" w:hAnsi="Arial Narrow"/>
                <w:sz w:val="20"/>
                <w:szCs w:val="20"/>
              </w:rPr>
              <w:t>30</w:t>
            </w:r>
          </w:p>
        </w:tc>
        <w:tc>
          <w:tcPr>
            <w:tcW w:w="992" w:type="dxa"/>
            <w:vAlign w:val="center"/>
          </w:tcPr>
          <w:p w:rsidR="00A30FA8" w:rsidRPr="003365D6" w:rsidRDefault="00A30FA8" w:rsidP="00ED652C">
            <w:pPr>
              <w:keepNext/>
              <w:jc w:val="both"/>
              <w:rPr>
                <w:rFonts w:ascii="Arial Narrow" w:hAnsi="Arial Narrow"/>
                <w:sz w:val="20"/>
                <w:szCs w:val="20"/>
              </w:rPr>
            </w:pPr>
            <w:r w:rsidRPr="003365D6">
              <w:rPr>
                <w:rFonts w:ascii="Arial Narrow" w:hAnsi="Arial Narrow"/>
                <w:sz w:val="20"/>
                <w:szCs w:val="20"/>
              </w:rPr>
              <w:t>ITT</w:t>
            </w:r>
          </w:p>
        </w:tc>
        <w:tc>
          <w:tcPr>
            <w:tcW w:w="1479" w:type="dxa"/>
            <w:vAlign w:val="center"/>
          </w:tcPr>
          <w:p w:rsidR="00A30FA8" w:rsidRPr="003365D6" w:rsidRDefault="00A30FA8" w:rsidP="00ED652C">
            <w:pPr>
              <w:keepNext/>
              <w:jc w:val="both"/>
              <w:rPr>
                <w:rFonts w:ascii="Arial Narrow" w:hAnsi="Arial Narrow"/>
                <w:sz w:val="20"/>
                <w:szCs w:val="20"/>
              </w:rPr>
            </w:pPr>
            <w:r w:rsidRPr="003365D6">
              <w:rPr>
                <w:rFonts w:ascii="Arial Narrow" w:hAnsi="Arial Narrow"/>
                <w:sz w:val="20"/>
                <w:szCs w:val="20"/>
              </w:rPr>
              <w:t>184/302 (60.9)</w:t>
            </w:r>
          </w:p>
        </w:tc>
        <w:tc>
          <w:tcPr>
            <w:tcW w:w="1480" w:type="dxa"/>
            <w:vAlign w:val="center"/>
          </w:tcPr>
          <w:p w:rsidR="00A30FA8" w:rsidRPr="003365D6" w:rsidRDefault="00A30FA8" w:rsidP="00ED652C">
            <w:pPr>
              <w:keepNext/>
              <w:jc w:val="both"/>
              <w:rPr>
                <w:rFonts w:ascii="Arial Narrow" w:hAnsi="Arial Narrow"/>
                <w:sz w:val="20"/>
                <w:szCs w:val="20"/>
              </w:rPr>
            </w:pPr>
            <w:r w:rsidRPr="003365D6">
              <w:rPr>
                <w:rFonts w:ascii="Arial Narrow" w:hAnsi="Arial Narrow"/>
                <w:sz w:val="20"/>
                <w:szCs w:val="20"/>
              </w:rPr>
              <w:t>178/304 (58.6)</w:t>
            </w:r>
          </w:p>
        </w:tc>
        <w:tc>
          <w:tcPr>
            <w:tcW w:w="1134" w:type="dxa"/>
            <w:vAlign w:val="center"/>
          </w:tcPr>
          <w:p w:rsidR="00A30FA8" w:rsidRPr="003365D6" w:rsidRDefault="00A30FA8" w:rsidP="00ED652C">
            <w:pPr>
              <w:keepNext/>
              <w:jc w:val="center"/>
              <w:rPr>
                <w:rFonts w:ascii="Arial Narrow" w:hAnsi="Arial Narrow"/>
                <w:sz w:val="20"/>
                <w:szCs w:val="20"/>
              </w:rPr>
            </w:pPr>
            <w:r w:rsidRPr="003365D6">
              <w:rPr>
                <w:rFonts w:ascii="Arial Narrow" w:hAnsi="Arial Narrow"/>
                <w:sz w:val="20"/>
                <w:szCs w:val="20"/>
              </w:rPr>
              <w:t>0.02</w:t>
            </w:r>
          </w:p>
        </w:tc>
        <w:tc>
          <w:tcPr>
            <w:tcW w:w="1479" w:type="dxa"/>
            <w:vAlign w:val="center"/>
          </w:tcPr>
          <w:p w:rsidR="00A30FA8" w:rsidRPr="003365D6" w:rsidRDefault="00A30FA8" w:rsidP="00ED652C">
            <w:pPr>
              <w:keepNext/>
              <w:jc w:val="center"/>
              <w:rPr>
                <w:rFonts w:ascii="Arial Narrow" w:hAnsi="Arial Narrow"/>
                <w:sz w:val="20"/>
                <w:szCs w:val="20"/>
              </w:rPr>
            </w:pPr>
            <w:r w:rsidRPr="003365D6">
              <w:rPr>
                <w:rFonts w:ascii="Arial Narrow" w:hAnsi="Arial Narrow"/>
                <w:sz w:val="20"/>
                <w:szCs w:val="20"/>
              </w:rPr>
              <w:t>-0.06, 0.10</w:t>
            </w:r>
          </w:p>
        </w:tc>
      </w:tr>
      <w:tr w:rsidR="00A30FA8" w:rsidRPr="003365D6" w:rsidTr="00BD4BD9">
        <w:tc>
          <w:tcPr>
            <w:tcW w:w="1274" w:type="dxa"/>
            <w:vMerge/>
            <w:vAlign w:val="center"/>
          </w:tcPr>
          <w:p w:rsidR="00A30FA8" w:rsidRPr="003365D6" w:rsidRDefault="00A30FA8" w:rsidP="00ED652C">
            <w:pPr>
              <w:keepNext/>
              <w:jc w:val="both"/>
              <w:rPr>
                <w:rFonts w:ascii="Arial Narrow" w:hAnsi="Arial Narrow"/>
                <w:sz w:val="20"/>
                <w:szCs w:val="20"/>
              </w:rPr>
            </w:pPr>
          </w:p>
        </w:tc>
        <w:tc>
          <w:tcPr>
            <w:tcW w:w="695" w:type="dxa"/>
            <w:vMerge/>
            <w:vAlign w:val="center"/>
          </w:tcPr>
          <w:p w:rsidR="00A30FA8" w:rsidRPr="003365D6" w:rsidRDefault="00A30FA8" w:rsidP="00ED652C">
            <w:pPr>
              <w:keepNext/>
              <w:jc w:val="both"/>
              <w:rPr>
                <w:rFonts w:ascii="Arial Narrow" w:hAnsi="Arial Narrow"/>
                <w:sz w:val="20"/>
                <w:szCs w:val="20"/>
              </w:rPr>
            </w:pPr>
          </w:p>
        </w:tc>
        <w:tc>
          <w:tcPr>
            <w:tcW w:w="992" w:type="dxa"/>
            <w:vAlign w:val="center"/>
          </w:tcPr>
          <w:p w:rsidR="00A30FA8" w:rsidRPr="003365D6" w:rsidRDefault="00A30FA8" w:rsidP="00ED652C">
            <w:pPr>
              <w:keepNext/>
              <w:jc w:val="both"/>
              <w:rPr>
                <w:rFonts w:ascii="Arial Narrow" w:hAnsi="Arial Narrow"/>
                <w:sz w:val="20"/>
                <w:szCs w:val="20"/>
              </w:rPr>
            </w:pPr>
            <w:r w:rsidRPr="003365D6">
              <w:rPr>
                <w:rFonts w:ascii="Arial Narrow" w:hAnsi="Arial Narrow"/>
                <w:sz w:val="20"/>
                <w:szCs w:val="20"/>
              </w:rPr>
              <w:t>PP</w:t>
            </w:r>
          </w:p>
        </w:tc>
        <w:tc>
          <w:tcPr>
            <w:tcW w:w="1479" w:type="dxa"/>
            <w:vAlign w:val="center"/>
          </w:tcPr>
          <w:p w:rsidR="00A30FA8" w:rsidRPr="003365D6" w:rsidRDefault="00A30FA8" w:rsidP="00ED652C">
            <w:pPr>
              <w:keepNext/>
              <w:jc w:val="both"/>
              <w:rPr>
                <w:rFonts w:ascii="Arial Narrow" w:hAnsi="Arial Narrow"/>
                <w:sz w:val="20"/>
                <w:szCs w:val="20"/>
              </w:rPr>
            </w:pPr>
            <w:r w:rsidRPr="003365D6">
              <w:rPr>
                <w:rFonts w:ascii="Arial Narrow" w:hAnsi="Arial Narrow"/>
                <w:sz w:val="20"/>
                <w:szCs w:val="20"/>
              </w:rPr>
              <w:t>180/246 (73.2)</w:t>
            </w:r>
          </w:p>
        </w:tc>
        <w:tc>
          <w:tcPr>
            <w:tcW w:w="1480" w:type="dxa"/>
            <w:vAlign w:val="center"/>
          </w:tcPr>
          <w:p w:rsidR="00A30FA8" w:rsidRPr="003365D6" w:rsidRDefault="00A30FA8" w:rsidP="00ED652C">
            <w:pPr>
              <w:keepNext/>
              <w:jc w:val="both"/>
              <w:rPr>
                <w:rFonts w:ascii="Arial Narrow" w:hAnsi="Arial Narrow"/>
                <w:sz w:val="20"/>
                <w:szCs w:val="20"/>
              </w:rPr>
            </w:pPr>
            <w:r w:rsidRPr="003365D6">
              <w:rPr>
                <w:rFonts w:ascii="Arial Narrow" w:hAnsi="Arial Narrow"/>
                <w:sz w:val="20"/>
                <w:szCs w:val="20"/>
              </w:rPr>
              <w:t>174/250 (69.6)</w:t>
            </w:r>
          </w:p>
        </w:tc>
        <w:tc>
          <w:tcPr>
            <w:tcW w:w="1134" w:type="dxa"/>
            <w:vAlign w:val="center"/>
          </w:tcPr>
          <w:p w:rsidR="00A30FA8" w:rsidRPr="003365D6" w:rsidRDefault="00A30FA8" w:rsidP="00ED652C">
            <w:pPr>
              <w:keepNext/>
              <w:jc w:val="center"/>
              <w:rPr>
                <w:rFonts w:ascii="Arial Narrow" w:hAnsi="Arial Narrow"/>
                <w:sz w:val="20"/>
                <w:szCs w:val="20"/>
              </w:rPr>
            </w:pPr>
            <w:r w:rsidRPr="003365D6">
              <w:rPr>
                <w:rFonts w:ascii="Arial Narrow" w:hAnsi="Arial Narrow"/>
                <w:sz w:val="20"/>
                <w:szCs w:val="20"/>
              </w:rPr>
              <w:t>0.04</w:t>
            </w:r>
          </w:p>
        </w:tc>
        <w:tc>
          <w:tcPr>
            <w:tcW w:w="1479" w:type="dxa"/>
            <w:vAlign w:val="center"/>
          </w:tcPr>
          <w:p w:rsidR="00A30FA8" w:rsidRPr="003365D6" w:rsidRDefault="00A30FA8" w:rsidP="00ED652C">
            <w:pPr>
              <w:keepNext/>
              <w:jc w:val="center"/>
              <w:rPr>
                <w:rFonts w:ascii="Arial Narrow" w:hAnsi="Arial Narrow"/>
                <w:sz w:val="20"/>
                <w:szCs w:val="20"/>
              </w:rPr>
            </w:pPr>
            <w:r w:rsidRPr="003365D6">
              <w:rPr>
                <w:rFonts w:ascii="Arial Narrow" w:hAnsi="Arial Narrow"/>
                <w:sz w:val="20"/>
                <w:szCs w:val="20"/>
              </w:rPr>
              <w:t>-0.04, 0.12</w:t>
            </w:r>
          </w:p>
        </w:tc>
      </w:tr>
      <w:tr w:rsidR="008875DA" w:rsidRPr="003365D6" w:rsidTr="00BD4BD9">
        <w:tc>
          <w:tcPr>
            <w:tcW w:w="1274"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ACR20</w:t>
            </w:r>
          </w:p>
        </w:tc>
        <w:tc>
          <w:tcPr>
            <w:tcW w:w="695"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14</w:t>
            </w:r>
          </w:p>
        </w:tc>
        <w:tc>
          <w:tcPr>
            <w:tcW w:w="992"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PP</w:t>
            </w:r>
          </w:p>
        </w:tc>
        <w:tc>
          <w:tcPr>
            <w:tcW w:w="1479"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179/246 (72.8)</w:t>
            </w:r>
          </w:p>
        </w:tc>
        <w:tc>
          <w:tcPr>
            <w:tcW w:w="1480"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161/250 (64.4)</w:t>
            </w:r>
          </w:p>
        </w:tc>
        <w:tc>
          <w:tcPr>
            <w:tcW w:w="1134"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0.08</w:t>
            </w:r>
          </w:p>
        </w:tc>
        <w:tc>
          <w:tcPr>
            <w:tcW w:w="1479"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0.00, 0.17</w:t>
            </w:r>
          </w:p>
        </w:tc>
      </w:tr>
      <w:tr w:rsidR="008875DA" w:rsidRPr="003365D6" w:rsidTr="00BD4BD9">
        <w:tc>
          <w:tcPr>
            <w:tcW w:w="1274"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ACR20</w:t>
            </w:r>
          </w:p>
        </w:tc>
        <w:tc>
          <w:tcPr>
            <w:tcW w:w="695"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54</w:t>
            </w:r>
          </w:p>
        </w:tc>
        <w:tc>
          <w:tcPr>
            <w:tcW w:w="992"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PP</w:t>
            </w:r>
          </w:p>
        </w:tc>
        <w:tc>
          <w:tcPr>
            <w:tcW w:w="1479"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168/246 (68.3)</w:t>
            </w:r>
          </w:p>
        </w:tc>
        <w:tc>
          <w:tcPr>
            <w:tcW w:w="1480"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155/250 (62.0)</w:t>
            </w:r>
          </w:p>
        </w:tc>
        <w:tc>
          <w:tcPr>
            <w:tcW w:w="1134"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0.06</w:t>
            </w:r>
          </w:p>
        </w:tc>
        <w:tc>
          <w:tcPr>
            <w:tcW w:w="1479"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-0.02, 0.15</w:t>
            </w:r>
          </w:p>
        </w:tc>
      </w:tr>
      <w:tr w:rsidR="008875DA" w:rsidRPr="003365D6" w:rsidTr="00BD4BD9">
        <w:tc>
          <w:tcPr>
            <w:tcW w:w="1274"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ACR50</w:t>
            </w:r>
          </w:p>
        </w:tc>
        <w:tc>
          <w:tcPr>
            <w:tcW w:w="695"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30</w:t>
            </w:r>
          </w:p>
        </w:tc>
        <w:tc>
          <w:tcPr>
            <w:tcW w:w="992"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PP</w:t>
            </w:r>
          </w:p>
        </w:tc>
        <w:tc>
          <w:tcPr>
            <w:tcW w:w="1479"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106/246 (43.1)</w:t>
            </w:r>
          </w:p>
        </w:tc>
        <w:tc>
          <w:tcPr>
            <w:tcW w:w="1480"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100/250 (40.0)</w:t>
            </w:r>
          </w:p>
        </w:tc>
        <w:tc>
          <w:tcPr>
            <w:tcW w:w="1134"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0.03</w:t>
            </w:r>
          </w:p>
        </w:tc>
        <w:tc>
          <w:tcPr>
            <w:tcW w:w="1479"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-0.06, 0.12</w:t>
            </w:r>
          </w:p>
        </w:tc>
      </w:tr>
      <w:tr w:rsidR="008875DA" w:rsidRPr="003365D6" w:rsidTr="00BD4BD9">
        <w:tc>
          <w:tcPr>
            <w:tcW w:w="1274"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ACR70</w:t>
            </w:r>
          </w:p>
        </w:tc>
        <w:tc>
          <w:tcPr>
            <w:tcW w:w="695"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30</w:t>
            </w:r>
          </w:p>
        </w:tc>
        <w:tc>
          <w:tcPr>
            <w:tcW w:w="992"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PP</w:t>
            </w:r>
          </w:p>
        </w:tc>
        <w:tc>
          <w:tcPr>
            <w:tcW w:w="1479"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50/246 (20.3)</w:t>
            </w:r>
          </w:p>
        </w:tc>
        <w:tc>
          <w:tcPr>
            <w:tcW w:w="1480" w:type="dxa"/>
            <w:vAlign w:val="center"/>
          </w:tcPr>
          <w:p w:rsidR="008875DA" w:rsidRPr="003365D6" w:rsidRDefault="008875DA" w:rsidP="00ED652C">
            <w:pPr>
              <w:keepNext/>
              <w:jc w:val="both"/>
              <w:rPr>
                <w:rFonts w:ascii="Arial Narrow" w:hAnsi="Arial Narrow"/>
                <w:sz w:val="20"/>
                <w:szCs w:val="20"/>
              </w:rPr>
            </w:pPr>
            <w:r w:rsidRPr="003365D6">
              <w:rPr>
                <w:rFonts w:ascii="Arial Narrow" w:hAnsi="Arial Narrow"/>
                <w:sz w:val="20"/>
                <w:szCs w:val="20"/>
              </w:rPr>
              <w:t>45/250 (18.0)</w:t>
            </w:r>
          </w:p>
        </w:tc>
        <w:tc>
          <w:tcPr>
            <w:tcW w:w="1134"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0.02</w:t>
            </w:r>
          </w:p>
        </w:tc>
        <w:tc>
          <w:tcPr>
            <w:tcW w:w="1479" w:type="dxa"/>
            <w:vAlign w:val="center"/>
          </w:tcPr>
          <w:p w:rsidR="008875DA" w:rsidRPr="003365D6" w:rsidRDefault="008875DA" w:rsidP="00ED652C">
            <w:pPr>
              <w:keepNext/>
              <w:jc w:val="center"/>
              <w:rPr>
                <w:rFonts w:ascii="Arial Narrow" w:hAnsi="Arial Narrow"/>
                <w:sz w:val="20"/>
                <w:szCs w:val="20"/>
              </w:rPr>
            </w:pPr>
            <w:r w:rsidRPr="003365D6">
              <w:rPr>
                <w:rFonts w:ascii="Arial Narrow" w:hAnsi="Arial Narrow"/>
                <w:sz w:val="20"/>
                <w:szCs w:val="20"/>
              </w:rPr>
              <w:t>-0.05, 0.09</w:t>
            </w:r>
          </w:p>
        </w:tc>
      </w:tr>
      <w:tr w:rsidR="00A30FA8" w:rsidRPr="003365D6" w:rsidTr="00A30FA8">
        <w:tc>
          <w:tcPr>
            <w:tcW w:w="8533" w:type="dxa"/>
            <w:gridSpan w:val="7"/>
            <w:shd w:val="clear" w:color="auto" w:fill="D9D9D9" w:themeFill="background1" w:themeFillShade="D9"/>
            <w:vAlign w:val="center"/>
          </w:tcPr>
          <w:p w:rsidR="00A30FA8" w:rsidRPr="003365D6" w:rsidRDefault="00A30FA8" w:rsidP="00ED652C">
            <w:pPr>
              <w:keepNext/>
              <w:rPr>
                <w:rFonts w:ascii="Arial Narrow" w:hAnsi="Arial Narrow"/>
                <w:sz w:val="20"/>
                <w:szCs w:val="20"/>
              </w:rPr>
            </w:pPr>
            <w:r w:rsidRPr="003365D6">
              <w:rPr>
                <w:rFonts w:ascii="Arial Narrow" w:hAnsi="Arial Narrow"/>
                <w:sz w:val="20"/>
                <w:szCs w:val="20"/>
              </w:rPr>
              <w:t>Disease Activity Score</w:t>
            </w:r>
            <w:r w:rsidRPr="003365D6">
              <w:rPr>
                <w:rFonts w:ascii="Arial Narrow" w:hAnsi="Arial Narrow"/>
                <w:sz w:val="20"/>
                <w:szCs w:val="20"/>
                <w:vertAlign w:val="superscript"/>
              </w:rPr>
              <w:t>c</w:t>
            </w:r>
            <w:r w:rsidR="00BD4BD9" w:rsidRPr="003365D6">
              <w:rPr>
                <w:rFonts w:ascii="Arial Narrow" w:hAnsi="Arial Narrow"/>
                <w:sz w:val="20"/>
                <w:szCs w:val="20"/>
                <w:vertAlign w:val="superscript"/>
              </w:rPr>
              <w:t>d</w:t>
            </w:r>
          </w:p>
        </w:tc>
      </w:tr>
      <w:tr w:rsidR="00BD4BD9" w:rsidRPr="003365D6" w:rsidTr="00BD4BD9">
        <w:tc>
          <w:tcPr>
            <w:tcW w:w="1274" w:type="dxa"/>
            <w:vAlign w:val="center"/>
          </w:tcPr>
          <w:p w:rsidR="00BD4BD9" w:rsidRPr="003365D6" w:rsidRDefault="00BD4BD9" w:rsidP="00ED652C">
            <w:pPr>
              <w:keepNext/>
              <w:jc w:val="center"/>
              <w:rPr>
                <w:rFonts w:ascii="Arial Narrow" w:hAnsi="Arial Narrow"/>
                <w:sz w:val="20"/>
                <w:szCs w:val="20"/>
              </w:rPr>
            </w:pPr>
          </w:p>
        </w:tc>
        <w:tc>
          <w:tcPr>
            <w:tcW w:w="695" w:type="dxa"/>
            <w:vAlign w:val="center"/>
          </w:tcPr>
          <w:p w:rsidR="00BD4BD9" w:rsidRPr="003365D6" w:rsidRDefault="00BD4BD9" w:rsidP="00ED652C">
            <w:pPr>
              <w:keepNext/>
              <w:jc w:val="center"/>
              <w:rPr>
                <w:rFonts w:ascii="Arial Narrow" w:hAnsi="Arial Narrow"/>
                <w:sz w:val="20"/>
                <w:szCs w:val="20"/>
              </w:rPr>
            </w:pPr>
          </w:p>
        </w:tc>
        <w:tc>
          <w:tcPr>
            <w:tcW w:w="992" w:type="dxa"/>
            <w:vAlign w:val="center"/>
          </w:tcPr>
          <w:p w:rsidR="00BD4BD9" w:rsidRPr="003365D6" w:rsidRDefault="00BD4BD9" w:rsidP="00ED652C">
            <w:pPr>
              <w:keepNext/>
              <w:jc w:val="center"/>
              <w:rPr>
                <w:rFonts w:ascii="Arial Narrow" w:hAnsi="Arial Narrow"/>
                <w:sz w:val="20"/>
                <w:szCs w:val="20"/>
              </w:rPr>
            </w:pPr>
          </w:p>
        </w:tc>
        <w:tc>
          <w:tcPr>
            <w:tcW w:w="1479" w:type="dxa"/>
            <w:vAlign w:val="center"/>
          </w:tcPr>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N</w:t>
            </w:r>
          </w:p>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Mean (SE)</w:t>
            </w:r>
          </w:p>
        </w:tc>
        <w:tc>
          <w:tcPr>
            <w:tcW w:w="1480" w:type="dxa"/>
            <w:vAlign w:val="center"/>
          </w:tcPr>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N</w:t>
            </w:r>
          </w:p>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Mean (SE)</w:t>
            </w:r>
          </w:p>
        </w:tc>
        <w:tc>
          <w:tcPr>
            <w:tcW w:w="1134" w:type="dxa"/>
            <w:vAlign w:val="center"/>
          </w:tcPr>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Estimate of Treatment Difference</w:t>
            </w:r>
          </w:p>
        </w:tc>
        <w:tc>
          <w:tcPr>
            <w:tcW w:w="1479" w:type="dxa"/>
            <w:vAlign w:val="center"/>
          </w:tcPr>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95% CI of the treatment difference</w:t>
            </w:r>
          </w:p>
        </w:tc>
      </w:tr>
      <w:tr w:rsidR="00BD4BD9" w:rsidRPr="003365D6" w:rsidTr="00BD4BD9">
        <w:tc>
          <w:tcPr>
            <w:tcW w:w="1274"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DAS28 (ESR)</w:t>
            </w:r>
          </w:p>
        </w:tc>
        <w:tc>
          <w:tcPr>
            <w:tcW w:w="695"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30</w:t>
            </w:r>
          </w:p>
        </w:tc>
        <w:tc>
          <w:tcPr>
            <w:tcW w:w="992"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PP</w:t>
            </w:r>
          </w:p>
        </w:tc>
        <w:tc>
          <w:tcPr>
            <w:tcW w:w="1479"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243</w:t>
            </w:r>
          </w:p>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4.2 (0.08)</w:t>
            </w:r>
          </w:p>
        </w:tc>
        <w:tc>
          <w:tcPr>
            <w:tcW w:w="1480"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248</w:t>
            </w:r>
          </w:p>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4.31 (0.08)</w:t>
            </w:r>
          </w:p>
        </w:tc>
        <w:tc>
          <w:tcPr>
            <w:tcW w:w="1134" w:type="dxa"/>
            <w:vAlign w:val="center"/>
          </w:tcPr>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-0.11</w:t>
            </w:r>
          </w:p>
        </w:tc>
        <w:tc>
          <w:tcPr>
            <w:tcW w:w="1479" w:type="dxa"/>
            <w:vAlign w:val="center"/>
          </w:tcPr>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-0.34, 0.12</w:t>
            </w:r>
          </w:p>
        </w:tc>
      </w:tr>
      <w:tr w:rsidR="00BD4BD9" w:rsidRPr="003365D6" w:rsidTr="00BD4BD9">
        <w:tc>
          <w:tcPr>
            <w:tcW w:w="1274"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DAS28 (CRP)</w:t>
            </w:r>
          </w:p>
        </w:tc>
        <w:tc>
          <w:tcPr>
            <w:tcW w:w="695"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30</w:t>
            </w:r>
          </w:p>
        </w:tc>
        <w:tc>
          <w:tcPr>
            <w:tcW w:w="992"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PP</w:t>
            </w:r>
          </w:p>
        </w:tc>
        <w:tc>
          <w:tcPr>
            <w:tcW w:w="1479"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244</w:t>
            </w:r>
          </w:p>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3.6 (0.08)</w:t>
            </w:r>
          </w:p>
        </w:tc>
        <w:tc>
          <w:tcPr>
            <w:tcW w:w="1480" w:type="dxa"/>
            <w:vAlign w:val="center"/>
          </w:tcPr>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248</w:t>
            </w:r>
          </w:p>
          <w:p w:rsidR="00BD4BD9" w:rsidRPr="003365D6" w:rsidRDefault="00BD4BD9" w:rsidP="00ED652C">
            <w:pPr>
              <w:keepNext/>
              <w:jc w:val="both"/>
              <w:rPr>
                <w:rFonts w:ascii="Arial Narrow" w:hAnsi="Arial Narrow"/>
                <w:sz w:val="20"/>
                <w:szCs w:val="20"/>
              </w:rPr>
            </w:pPr>
            <w:r w:rsidRPr="003365D6">
              <w:rPr>
                <w:rFonts w:ascii="Arial Narrow" w:hAnsi="Arial Narrow"/>
                <w:sz w:val="20"/>
                <w:szCs w:val="20"/>
              </w:rPr>
              <w:t>3.66 (0.08)</w:t>
            </w:r>
          </w:p>
        </w:tc>
        <w:tc>
          <w:tcPr>
            <w:tcW w:w="1134" w:type="dxa"/>
            <w:vAlign w:val="center"/>
          </w:tcPr>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-0.06</w:t>
            </w:r>
          </w:p>
        </w:tc>
        <w:tc>
          <w:tcPr>
            <w:tcW w:w="1479" w:type="dxa"/>
            <w:vAlign w:val="center"/>
          </w:tcPr>
          <w:p w:rsidR="00BD4BD9" w:rsidRPr="003365D6" w:rsidRDefault="00BD4BD9" w:rsidP="00ED652C">
            <w:pPr>
              <w:keepNext/>
              <w:jc w:val="center"/>
              <w:rPr>
                <w:rFonts w:ascii="Arial Narrow" w:hAnsi="Arial Narrow"/>
                <w:sz w:val="20"/>
                <w:szCs w:val="20"/>
              </w:rPr>
            </w:pPr>
            <w:r w:rsidRPr="003365D6">
              <w:rPr>
                <w:rFonts w:ascii="Arial Narrow" w:hAnsi="Arial Narrow"/>
                <w:sz w:val="20"/>
                <w:szCs w:val="20"/>
              </w:rPr>
              <w:t>-0.30, 0.17</w:t>
            </w:r>
          </w:p>
        </w:tc>
      </w:tr>
    </w:tbl>
    <w:p w:rsidR="00DB5D80" w:rsidRPr="003365D6" w:rsidRDefault="00C83046" w:rsidP="00ED652C">
      <w:pPr>
        <w:keepNext/>
        <w:ind w:left="720"/>
        <w:jc w:val="both"/>
        <w:rPr>
          <w:rFonts w:ascii="Arial Narrow" w:hAnsi="Arial Narrow"/>
          <w:sz w:val="20"/>
          <w:szCs w:val="20"/>
        </w:rPr>
      </w:pPr>
      <w:r w:rsidRPr="003365D6">
        <w:rPr>
          <w:rFonts w:ascii="Arial Narrow" w:hAnsi="Arial Narrow"/>
          <w:sz w:val="20"/>
          <w:szCs w:val="20"/>
        </w:rPr>
        <w:t xml:space="preserve">ACR20 = American College of Rheumatology definition of a 20% improvement; </w:t>
      </w:r>
      <w:r w:rsidR="00F11E1D" w:rsidRPr="003365D6">
        <w:rPr>
          <w:rFonts w:ascii="Arial Narrow" w:hAnsi="Arial Narrow"/>
          <w:sz w:val="20"/>
          <w:szCs w:val="20"/>
        </w:rPr>
        <w:t xml:space="preserve">CI = confidence interval; </w:t>
      </w:r>
      <w:r w:rsidR="00821022" w:rsidRPr="003365D6">
        <w:rPr>
          <w:rFonts w:ascii="Arial Narrow" w:hAnsi="Arial Narrow"/>
          <w:sz w:val="20"/>
          <w:szCs w:val="20"/>
        </w:rPr>
        <w:t xml:space="preserve">CRP = c-reactive protein; DAS = Disease Activity Score; ESR = erythrocyte sedimentation rate; </w:t>
      </w:r>
      <w:r w:rsidR="007421DF" w:rsidRPr="003365D6">
        <w:rPr>
          <w:rFonts w:ascii="Arial Narrow" w:hAnsi="Arial Narrow"/>
          <w:sz w:val="20"/>
          <w:szCs w:val="20"/>
        </w:rPr>
        <w:t>ITT = all randomised population; PP = per protocol population</w:t>
      </w:r>
      <w:r w:rsidR="00F11E1D" w:rsidRPr="003365D6">
        <w:rPr>
          <w:rFonts w:ascii="Arial Narrow" w:hAnsi="Arial Narrow"/>
          <w:sz w:val="20"/>
          <w:szCs w:val="20"/>
        </w:rPr>
        <w:t>; SE = standard error</w:t>
      </w:r>
      <w:r w:rsidR="007421DF" w:rsidRPr="003365D6">
        <w:rPr>
          <w:rFonts w:ascii="Arial Narrow" w:hAnsi="Arial Narrow"/>
          <w:sz w:val="20"/>
          <w:szCs w:val="20"/>
        </w:rPr>
        <w:t>.</w:t>
      </w:r>
    </w:p>
    <w:p w:rsidR="00DB5D80" w:rsidRPr="003365D6" w:rsidRDefault="007421DF" w:rsidP="00ED652C">
      <w:pPr>
        <w:keepNext/>
        <w:ind w:left="720"/>
        <w:jc w:val="both"/>
        <w:rPr>
          <w:rFonts w:ascii="Arial Narrow" w:hAnsi="Arial Narrow"/>
          <w:sz w:val="20"/>
          <w:szCs w:val="20"/>
        </w:rPr>
      </w:pPr>
      <w:r w:rsidRPr="003365D6">
        <w:rPr>
          <w:rFonts w:ascii="Arial Narrow" w:hAnsi="Arial Narrow"/>
          <w:sz w:val="20"/>
          <w:szCs w:val="20"/>
          <w:vertAlign w:val="superscript"/>
        </w:rPr>
        <w:t>a</w:t>
      </w:r>
      <w:r w:rsidRPr="003365D6">
        <w:rPr>
          <w:rFonts w:ascii="Arial Narrow" w:hAnsi="Arial Narrow"/>
          <w:sz w:val="20"/>
          <w:szCs w:val="20"/>
        </w:rPr>
        <w:t xml:space="preserve">Estimate of the difference in proportions between Inflectra and Remicade using the exact binomial test.  </w:t>
      </w:r>
    </w:p>
    <w:p w:rsidR="003B13AF" w:rsidRPr="003365D6" w:rsidRDefault="003B13AF" w:rsidP="00ED652C">
      <w:pPr>
        <w:keepNext/>
        <w:ind w:left="720"/>
        <w:jc w:val="both"/>
        <w:rPr>
          <w:rFonts w:ascii="Arial Narrow" w:hAnsi="Arial Narrow"/>
          <w:sz w:val="20"/>
          <w:szCs w:val="20"/>
        </w:rPr>
      </w:pPr>
      <w:r w:rsidRPr="003365D6">
        <w:rPr>
          <w:rFonts w:ascii="Arial Narrow" w:hAnsi="Arial Narrow"/>
          <w:sz w:val="20"/>
          <w:szCs w:val="20"/>
          <w:vertAlign w:val="superscript"/>
        </w:rPr>
        <w:t>b</w:t>
      </w:r>
      <w:r w:rsidRPr="003365D6">
        <w:rPr>
          <w:rFonts w:ascii="Arial Narrow" w:hAnsi="Arial Narrow"/>
          <w:sz w:val="20"/>
          <w:szCs w:val="20"/>
        </w:rPr>
        <w:t xml:space="preserve">Patients have received 6 doses of study drug by Week 30.  </w:t>
      </w:r>
    </w:p>
    <w:p w:rsidR="00BD4BD9" w:rsidRPr="0015219D" w:rsidRDefault="0061773E" w:rsidP="00ED652C">
      <w:pPr>
        <w:keepNext/>
        <w:ind w:left="720"/>
        <w:jc w:val="both"/>
        <w:rPr>
          <w:rFonts w:ascii="Arial Narrow" w:hAnsi="Arial Narrow"/>
          <w:sz w:val="20"/>
          <w:szCs w:val="20"/>
        </w:rPr>
      </w:pPr>
      <w:r w:rsidRPr="003365D6">
        <w:rPr>
          <w:rFonts w:ascii="Arial Narrow" w:hAnsi="Arial Narrow"/>
          <w:sz w:val="20"/>
          <w:szCs w:val="20"/>
          <w:vertAlign w:val="superscript"/>
        </w:rPr>
        <w:t>c</w:t>
      </w:r>
      <w:r w:rsidR="002A64EA" w:rsidRPr="003365D6">
        <w:rPr>
          <w:rFonts w:ascii="Arial Narrow" w:hAnsi="Arial Narrow"/>
          <w:sz w:val="20"/>
          <w:szCs w:val="20"/>
        </w:rPr>
        <w:t xml:space="preserve">The calculation of DAS28 (ESR), and DAS (CRP) is presented on p72, Study 3.1 CSR.  DAS28 is a </w:t>
      </w:r>
      <w:r w:rsidRPr="003365D6">
        <w:rPr>
          <w:rFonts w:ascii="Arial Narrow" w:hAnsi="Arial Narrow"/>
          <w:sz w:val="20"/>
          <w:szCs w:val="20"/>
        </w:rPr>
        <w:t xml:space="preserve">combined index that incorporates the number of tender and swollen joints, ESR and a measure of general health using a visual analogue scale.  An alternative DAS28 formula incorporates CRP rather than ESR.  See </w:t>
      </w:r>
      <w:r w:rsidR="00ED652C">
        <w:rPr>
          <w:rFonts w:ascii="Arial Narrow" w:hAnsi="Arial Narrow"/>
          <w:sz w:val="20"/>
          <w:szCs w:val="20"/>
        </w:rPr>
        <w:t xml:space="preserve">the </w:t>
      </w:r>
      <w:r w:rsidR="00ED652C" w:rsidRPr="00D16AF1">
        <w:rPr>
          <w:rFonts w:ascii="Arial Narrow" w:hAnsi="Arial Narrow"/>
          <w:sz w:val="20"/>
          <w:szCs w:val="20"/>
        </w:rPr>
        <w:t>DAS-score website</w:t>
      </w:r>
      <w:r w:rsidRPr="003365D6">
        <w:rPr>
          <w:rFonts w:ascii="Arial Narrow" w:hAnsi="Arial Narrow"/>
          <w:sz w:val="20"/>
          <w:szCs w:val="20"/>
        </w:rPr>
        <w:t xml:space="preserve"> (accessed 19/05/2015).</w:t>
      </w:r>
    </w:p>
    <w:p w:rsidR="002A64EA" w:rsidRPr="003365D6" w:rsidRDefault="00BD4BD9" w:rsidP="00C83046">
      <w:pPr>
        <w:ind w:left="720"/>
        <w:jc w:val="both"/>
        <w:rPr>
          <w:rFonts w:ascii="Arial Narrow" w:hAnsi="Arial Narrow"/>
          <w:sz w:val="20"/>
          <w:szCs w:val="20"/>
        </w:rPr>
      </w:pPr>
      <w:r w:rsidRPr="003365D6">
        <w:rPr>
          <w:rFonts w:ascii="Arial Narrow" w:hAnsi="Arial Narrow"/>
          <w:sz w:val="20"/>
          <w:szCs w:val="20"/>
          <w:vertAlign w:val="superscript"/>
        </w:rPr>
        <w:t>d</w:t>
      </w:r>
      <w:r w:rsidR="0061773E" w:rsidRPr="003365D6">
        <w:rPr>
          <w:rFonts w:ascii="Arial Narrow" w:hAnsi="Arial Narrow"/>
          <w:sz w:val="20"/>
          <w:szCs w:val="20"/>
        </w:rPr>
        <w:t xml:space="preserve">DAS28 adjusted least squares mean, SE and difference of means are calculated using an </w:t>
      </w:r>
      <w:r w:rsidR="00A30FA8" w:rsidRPr="003365D6">
        <w:rPr>
          <w:rFonts w:ascii="Arial Narrow" w:hAnsi="Arial Narrow"/>
          <w:sz w:val="20"/>
          <w:szCs w:val="20"/>
        </w:rPr>
        <w:t xml:space="preserve">ANCOVA model with baseline DAS28, geographic region and CRP category as covariates.  </w:t>
      </w:r>
    </w:p>
    <w:p w:rsidR="00DB5D80" w:rsidRPr="003365D6" w:rsidRDefault="00DB5D80" w:rsidP="005F0E8F">
      <w:pPr>
        <w:jc w:val="both"/>
        <w:rPr>
          <w:rFonts w:ascii="Arial" w:hAnsi="Arial"/>
          <w:i/>
          <w:sz w:val="22"/>
          <w:szCs w:val="22"/>
        </w:rPr>
      </w:pPr>
    </w:p>
    <w:p w:rsidR="007421DF" w:rsidRPr="003365D6" w:rsidRDefault="007421DF" w:rsidP="00526CD0">
      <w:pPr>
        <w:pStyle w:val="ListParagraph"/>
        <w:numPr>
          <w:ilvl w:val="1"/>
          <w:numId w:val="2"/>
        </w:numPr>
        <w:jc w:val="both"/>
        <w:rPr>
          <w:rFonts w:ascii="Arial" w:hAnsi="Arial"/>
          <w:sz w:val="22"/>
          <w:szCs w:val="22"/>
        </w:rPr>
      </w:pPr>
      <w:r w:rsidRPr="003365D6">
        <w:rPr>
          <w:rFonts w:ascii="Arial" w:hAnsi="Arial"/>
          <w:sz w:val="22"/>
          <w:szCs w:val="22"/>
        </w:rPr>
        <w:t xml:space="preserve">Approximately 60% of </w:t>
      </w:r>
      <w:r w:rsidR="003B13AF" w:rsidRPr="003365D6">
        <w:rPr>
          <w:rFonts w:ascii="Arial" w:hAnsi="Arial"/>
          <w:sz w:val="22"/>
          <w:szCs w:val="22"/>
        </w:rPr>
        <w:t xml:space="preserve">randomised </w:t>
      </w:r>
      <w:r w:rsidRPr="003365D6">
        <w:rPr>
          <w:rFonts w:ascii="Arial" w:hAnsi="Arial"/>
          <w:sz w:val="22"/>
          <w:szCs w:val="22"/>
        </w:rPr>
        <w:t>patients achieved ACR20 in both the Inflectra and Remic</w:t>
      </w:r>
      <w:r w:rsidR="003B13AF" w:rsidRPr="003365D6">
        <w:rPr>
          <w:rFonts w:ascii="Arial" w:hAnsi="Arial"/>
          <w:sz w:val="22"/>
          <w:szCs w:val="22"/>
        </w:rPr>
        <w:t>ade arms</w:t>
      </w:r>
      <w:r w:rsidR="00B21CCB" w:rsidRPr="003365D6">
        <w:rPr>
          <w:rFonts w:ascii="Arial" w:hAnsi="Arial"/>
          <w:sz w:val="22"/>
          <w:szCs w:val="22"/>
        </w:rPr>
        <w:t xml:space="preserve"> in Study 3.1</w:t>
      </w:r>
      <w:r w:rsidR="003B13AF" w:rsidRPr="003365D6">
        <w:rPr>
          <w:rFonts w:ascii="Arial" w:hAnsi="Arial"/>
          <w:sz w:val="22"/>
          <w:szCs w:val="22"/>
        </w:rPr>
        <w:t xml:space="preserve">. The 95% confidence interval for the difference in treatment effect </w:t>
      </w:r>
      <w:r w:rsidR="00226FBE">
        <w:rPr>
          <w:rFonts w:ascii="Arial" w:hAnsi="Arial"/>
          <w:sz w:val="22"/>
          <w:szCs w:val="22"/>
        </w:rPr>
        <w:t xml:space="preserve">at week 30 </w:t>
      </w:r>
      <w:r w:rsidR="003B13AF" w:rsidRPr="003365D6">
        <w:rPr>
          <w:rFonts w:ascii="Arial" w:hAnsi="Arial"/>
          <w:sz w:val="22"/>
          <w:szCs w:val="22"/>
        </w:rPr>
        <w:t xml:space="preserve">between the groups was contained within the pre-specified 15% equivalence margin. </w:t>
      </w:r>
      <w:r w:rsidR="00DA02D2" w:rsidRPr="003365D6">
        <w:rPr>
          <w:rFonts w:ascii="Arial" w:hAnsi="Arial"/>
          <w:sz w:val="22"/>
          <w:szCs w:val="22"/>
        </w:rPr>
        <w:t>A sensitivity analysis using</w:t>
      </w:r>
      <w:r w:rsidR="003B13AF" w:rsidRPr="003365D6">
        <w:rPr>
          <w:rFonts w:ascii="Arial" w:hAnsi="Arial"/>
          <w:sz w:val="22"/>
          <w:szCs w:val="22"/>
        </w:rPr>
        <w:t xml:space="preserve"> logistic regression controlling for geographical region and categorised baseline CRP</w:t>
      </w:r>
      <w:r w:rsidR="00DA02D2" w:rsidRPr="003365D6">
        <w:rPr>
          <w:rFonts w:ascii="Arial" w:hAnsi="Arial"/>
          <w:sz w:val="22"/>
          <w:szCs w:val="22"/>
        </w:rPr>
        <w:t xml:space="preserve"> reported similar results (95% CI for the ITT population: -0.05, 0.10)</w:t>
      </w:r>
      <w:r w:rsidR="003B13AF" w:rsidRPr="003365D6">
        <w:rPr>
          <w:rFonts w:ascii="Arial" w:hAnsi="Arial"/>
          <w:sz w:val="22"/>
          <w:szCs w:val="22"/>
        </w:rPr>
        <w:t>.</w:t>
      </w:r>
    </w:p>
    <w:p w:rsidR="00A30FA8" w:rsidRPr="003365D6" w:rsidRDefault="00A30FA8" w:rsidP="005F0E8F">
      <w:pPr>
        <w:jc w:val="both"/>
        <w:rPr>
          <w:rFonts w:ascii="Arial" w:hAnsi="Arial"/>
          <w:sz w:val="22"/>
          <w:szCs w:val="22"/>
        </w:rPr>
      </w:pPr>
    </w:p>
    <w:p w:rsidR="00A30FA8" w:rsidRPr="003365D6" w:rsidRDefault="00095DF5" w:rsidP="00526CD0">
      <w:pPr>
        <w:pStyle w:val="ListParagraph"/>
        <w:numPr>
          <w:ilvl w:val="1"/>
          <w:numId w:val="2"/>
        </w:numPr>
        <w:jc w:val="both"/>
        <w:rPr>
          <w:rFonts w:ascii="Arial" w:hAnsi="Arial"/>
          <w:sz w:val="22"/>
          <w:szCs w:val="22"/>
        </w:rPr>
      </w:pPr>
      <w:r w:rsidRPr="003365D6">
        <w:rPr>
          <w:rFonts w:ascii="Arial" w:hAnsi="Arial"/>
          <w:sz w:val="22"/>
          <w:szCs w:val="22"/>
        </w:rPr>
        <w:t>Patients receiving Inflectra</w:t>
      </w:r>
      <w:r w:rsidR="00A8785F" w:rsidRPr="003365D6">
        <w:rPr>
          <w:rFonts w:ascii="Arial" w:hAnsi="Arial"/>
          <w:sz w:val="22"/>
          <w:szCs w:val="22"/>
        </w:rPr>
        <w:t xml:space="preserve"> and Remicade had </w:t>
      </w:r>
      <w:r w:rsidR="00B21CCB" w:rsidRPr="003365D6">
        <w:rPr>
          <w:rFonts w:ascii="Arial" w:hAnsi="Arial"/>
          <w:sz w:val="22"/>
          <w:szCs w:val="22"/>
        </w:rPr>
        <w:t xml:space="preserve">a </w:t>
      </w:r>
      <w:r w:rsidR="00A8785F" w:rsidRPr="003365D6">
        <w:rPr>
          <w:rFonts w:ascii="Arial" w:hAnsi="Arial"/>
          <w:sz w:val="22"/>
          <w:szCs w:val="22"/>
        </w:rPr>
        <w:t xml:space="preserve">similar mean DAS28 at week 30 after controlling for baseline DAS28, geographic region and baseline CRP. </w:t>
      </w:r>
      <w:r w:rsidR="00BD4BD9" w:rsidRPr="003365D6">
        <w:rPr>
          <w:rFonts w:ascii="Arial" w:hAnsi="Arial"/>
          <w:sz w:val="22"/>
          <w:szCs w:val="22"/>
        </w:rPr>
        <w:t xml:space="preserve">A clinically important improvement for DAS28 (ESR) is approximately -1.2 and for DAS28 (CRP) is -1.0. </w:t>
      </w:r>
      <w:r w:rsidR="00A8785F" w:rsidRPr="003365D6">
        <w:rPr>
          <w:rFonts w:ascii="Arial" w:hAnsi="Arial"/>
          <w:sz w:val="22"/>
          <w:szCs w:val="22"/>
        </w:rPr>
        <w:t xml:space="preserve">The 95% CI limits of difference between Inflectra and Remicade </w:t>
      </w:r>
      <w:r w:rsidR="00BD4BD9" w:rsidRPr="003365D6">
        <w:rPr>
          <w:rFonts w:ascii="Arial" w:hAnsi="Arial"/>
          <w:sz w:val="22"/>
          <w:szCs w:val="22"/>
        </w:rPr>
        <w:t xml:space="preserve">are smaller than a clinically important change. </w:t>
      </w:r>
      <w:r w:rsidR="00A30FA8" w:rsidRPr="003365D6">
        <w:rPr>
          <w:rFonts w:ascii="Arial" w:hAnsi="Arial"/>
          <w:sz w:val="22"/>
          <w:szCs w:val="22"/>
        </w:rPr>
        <w:t>DAS28 is a combined index derived from the count of tender and swollen joints, a measure of general health and either ESR or CRP</w:t>
      </w:r>
      <w:r w:rsidR="00A8785F" w:rsidRPr="003365D6">
        <w:rPr>
          <w:rFonts w:ascii="Arial" w:hAnsi="Arial"/>
          <w:sz w:val="22"/>
          <w:szCs w:val="22"/>
        </w:rPr>
        <w:t>, with lower scores indicating lower disease activity</w:t>
      </w:r>
      <w:r w:rsidR="00A30FA8" w:rsidRPr="003365D6">
        <w:rPr>
          <w:rFonts w:ascii="Arial" w:hAnsi="Arial"/>
          <w:sz w:val="22"/>
          <w:szCs w:val="22"/>
        </w:rPr>
        <w:t xml:space="preserve">. </w:t>
      </w:r>
      <w:r w:rsidRPr="003365D6">
        <w:rPr>
          <w:rFonts w:ascii="Arial" w:hAnsi="Arial"/>
          <w:sz w:val="22"/>
          <w:szCs w:val="22"/>
        </w:rPr>
        <w:t xml:space="preserve">The index has been widely used and validated in patients with </w:t>
      </w:r>
      <w:r w:rsidR="00B21CCB" w:rsidRPr="003365D6">
        <w:rPr>
          <w:rFonts w:ascii="Arial" w:hAnsi="Arial"/>
          <w:sz w:val="22"/>
          <w:szCs w:val="22"/>
        </w:rPr>
        <w:t>rheumatoid arthritis</w:t>
      </w:r>
      <w:r w:rsidR="00A8785F" w:rsidRPr="003365D6">
        <w:rPr>
          <w:rFonts w:ascii="Arial" w:hAnsi="Arial"/>
          <w:sz w:val="22"/>
          <w:szCs w:val="22"/>
        </w:rPr>
        <w:t xml:space="preserve"> and in patients receiving </w:t>
      </w:r>
      <w:r w:rsidR="00B21CCB" w:rsidRPr="003365D6">
        <w:rPr>
          <w:rFonts w:ascii="Arial" w:hAnsi="Arial"/>
          <w:sz w:val="22"/>
          <w:szCs w:val="22"/>
        </w:rPr>
        <w:t>infliximab</w:t>
      </w:r>
      <w:r w:rsidRPr="003365D6">
        <w:rPr>
          <w:rFonts w:ascii="Arial" w:hAnsi="Arial"/>
          <w:sz w:val="22"/>
          <w:szCs w:val="22"/>
        </w:rPr>
        <w:t xml:space="preserve">.  </w:t>
      </w:r>
    </w:p>
    <w:p w:rsidR="00112011" w:rsidRPr="003365D6" w:rsidRDefault="00112011" w:rsidP="00112011">
      <w:pPr>
        <w:pStyle w:val="ListParagraph"/>
        <w:rPr>
          <w:rFonts w:ascii="Arial" w:hAnsi="Arial"/>
          <w:sz w:val="22"/>
          <w:szCs w:val="22"/>
        </w:rPr>
      </w:pPr>
    </w:p>
    <w:p w:rsidR="00DB5665" w:rsidRPr="00834661" w:rsidRDefault="009076DA" w:rsidP="00DB5665">
      <w:pPr>
        <w:pStyle w:val="ListParagraph"/>
        <w:numPr>
          <w:ilvl w:val="1"/>
          <w:numId w:val="2"/>
        </w:numPr>
        <w:jc w:val="both"/>
        <w:rPr>
          <w:rFonts w:ascii="Arial" w:hAnsi="Arial"/>
          <w:i/>
          <w:sz w:val="22"/>
          <w:szCs w:val="22"/>
        </w:rPr>
      </w:pPr>
      <w:r w:rsidRPr="00834661">
        <w:rPr>
          <w:rFonts w:ascii="Arial" w:hAnsi="Arial"/>
          <w:sz w:val="22"/>
          <w:szCs w:val="22"/>
        </w:rPr>
        <w:t>Inflectra and Remicade were similar i</w:t>
      </w:r>
      <w:r w:rsidR="00112011" w:rsidRPr="00834661">
        <w:rPr>
          <w:rFonts w:ascii="Arial" w:hAnsi="Arial"/>
          <w:sz w:val="22"/>
          <w:szCs w:val="22"/>
        </w:rPr>
        <w:t xml:space="preserve">n terms of other clinical efficacy </w:t>
      </w:r>
      <w:r w:rsidRPr="00834661">
        <w:rPr>
          <w:rFonts w:ascii="Arial" w:hAnsi="Arial"/>
          <w:sz w:val="22"/>
          <w:szCs w:val="22"/>
        </w:rPr>
        <w:t>outcomes</w:t>
      </w:r>
      <w:r w:rsidR="00865BD0" w:rsidRPr="00834661">
        <w:rPr>
          <w:rFonts w:ascii="Arial" w:hAnsi="Arial"/>
          <w:sz w:val="22"/>
          <w:szCs w:val="22"/>
        </w:rPr>
        <w:t xml:space="preserve"> presented in the </w:t>
      </w:r>
      <w:r w:rsidR="00B21CCB" w:rsidRPr="00834661">
        <w:rPr>
          <w:rFonts w:ascii="Arial" w:hAnsi="Arial"/>
          <w:sz w:val="22"/>
          <w:szCs w:val="22"/>
        </w:rPr>
        <w:t xml:space="preserve">CSR for </w:t>
      </w:r>
      <w:r w:rsidR="00865BD0" w:rsidRPr="00834661">
        <w:rPr>
          <w:rFonts w:ascii="Arial" w:hAnsi="Arial"/>
          <w:sz w:val="22"/>
          <w:szCs w:val="22"/>
        </w:rPr>
        <w:t xml:space="preserve">Study 3.1: </w:t>
      </w:r>
      <w:r w:rsidR="00112011" w:rsidRPr="00834661">
        <w:rPr>
          <w:rFonts w:ascii="Arial" w:hAnsi="Arial"/>
          <w:sz w:val="22"/>
          <w:szCs w:val="22"/>
        </w:rPr>
        <w:t>patient pain, global assessment of disease activity, physical ability</w:t>
      </w:r>
      <w:r w:rsidR="00865BD0" w:rsidRPr="00834661">
        <w:rPr>
          <w:rFonts w:ascii="Arial" w:hAnsi="Arial"/>
          <w:sz w:val="22"/>
          <w:szCs w:val="22"/>
        </w:rPr>
        <w:t xml:space="preserve">, change from baseline in ESR and CRP and quality of life </w:t>
      </w:r>
      <w:r w:rsidR="00B21CCB" w:rsidRPr="00834661">
        <w:rPr>
          <w:rFonts w:ascii="Arial" w:hAnsi="Arial"/>
          <w:sz w:val="22"/>
          <w:szCs w:val="22"/>
        </w:rPr>
        <w:t>(measured using SF-36)</w:t>
      </w:r>
      <w:r w:rsidRPr="00834661">
        <w:rPr>
          <w:rFonts w:ascii="Arial" w:hAnsi="Arial"/>
          <w:sz w:val="22"/>
          <w:szCs w:val="22"/>
        </w:rPr>
        <w:t xml:space="preserve">.  </w:t>
      </w:r>
    </w:p>
    <w:p w:rsidR="00865BD0" w:rsidRPr="003365D6" w:rsidRDefault="00865BD0" w:rsidP="00865BD0">
      <w:pPr>
        <w:pStyle w:val="ListParagraph"/>
        <w:rPr>
          <w:rFonts w:ascii="Arial" w:hAnsi="Arial"/>
          <w:i/>
          <w:sz w:val="22"/>
          <w:szCs w:val="22"/>
        </w:rPr>
      </w:pPr>
    </w:p>
    <w:p w:rsidR="003635C2" w:rsidRPr="003365D6" w:rsidRDefault="003635C2" w:rsidP="001216FE">
      <w:pPr>
        <w:ind w:firstLine="720"/>
        <w:rPr>
          <w:rFonts w:ascii="Arial" w:hAnsi="Arial"/>
          <w:b/>
          <w:sz w:val="22"/>
          <w:szCs w:val="22"/>
          <w:u w:val="single"/>
        </w:rPr>
      </w:pPr>
      <w:r w:rsidRPr="003365D6">
        <w:rPr>
          <w:rFonts w:ascii="Arial" w:hAnsi="Arial"/>
          <w:b/>
          <w:sz w:val="22"/>
          <w:szCs w:val="22"/>
          <w:u w:val="single"/>
        </w:rPr>
        <w:t xml:space="preserve">Comparative </w:t>
      </w:r>
      <w:r w:rsidR="00B21CCB" w:rsidRPr="003365D6">
        <w:rPr>
          <w:rFonts w:ascii="Arial" w:hAnsi="Arial"/>
          <w:b/>
          <w:sz w:val="22"/>
          <w:szCs w:val="22"/>
          <w:u w:val="single"/>
        </w:rPr>
        <w:t>e</w:t>
      </w:r>
      <w:r w:rsidRPr="003365D6">
        <w:rPr>
          <w:rFonts w:ascii="Arial" w:hAnsi="Arial"/>
          <w:b/>
          <w:sz w:val="22"/>
          <w:szCs w:val="22"/>
          <w:u w:val="single"/>
        </w:rPr>
        <w:t>ffectiveness</w:t>
      </w:r>
      <w:r w:rsidR="00B21CCB" w:rsidRPr="003365D6">
        <w:rPr>
          <w:rFonts w:ascii="Arial" w:hAnsi="Arial"/>
          <w:b/>
          <w:sz w:val="22"/>
          <w:szCs w:val="22"/>
          <w:u w:val="single"/>
        </w:rPr>
        <w:t xml:space="preserve"> in patients with</w:t>
      </w:r>
      <w:r w:rsidRPr="003365D6">
        <w:rPr>
          <w:rFonts w:ascii="Arial" w:hAnsi="Arial"/>
          <w:b/>
          <w:sz w:val="22"/>
          <w:szCs w:val="22"/>
          <w:u w:val="single"/>
        </w:rPr>
        <w:t xml:space="preserve"> </w:t>
      </w:r>
      <w:r w:rsidR="00B21CCB" w:rsidRPr="003365D6">
        <w:rPr>
          <w:rFonts w:ascii="Arial" w:hAnsi="Arial"/>
          <w:b/>
          <w:sz w:val="22"/>
          <w:szCs w:val="22"/>
          <w:u w:val="single"/>
        </w:rPr>
        <w:t>a</w:t>
      </w:r>
      <w:r w:rsidRPr="003365D6">
        <w:rPr>
          <w:rFonts w:ascii="Arial" w:hAnsi="Arial"/>
          <w:b/>
          <w:sz w:val="22"/>
          <w:szCs w:val="22"/>
          <w:u w:val="single"/>
        </w:rPr>
        <w:t xml:space="preserve">nkylosing </w:t>
      </w:r>
      <w:r w:rsidR="00B21CCB" w:rsidRPr="003365D6">
        <w:rPr>
          <w:rFonts w:ascii="Arial" w:hAnsi="Arial"/>
          <w:b/>
          <w:sz w:val="22"/>
          <w:szCs w:val="22"/>
          <w:u w:val="single"/>
        </w:rPr>
        <w:t>s</w:t>
      </w:r>
      <w:r w:rsidRPr="003365D6">
        <w:rPr>
          <w:rFonts w:ascii="Arial" w:hAnsi="Arial"/>
          <w:b/>
          <w:sz w:val="22"/>
          <w:szCs w:val="22"/>
          <w:u w:val="single"/>
        </w:rPr>
        <w:t>pondylitis</w:t>
      </w:r>
    </w:p>
    <w:p w:rsidR="003635C2" w:rsidRPr="003365D6" w:rsidRDefault="003635C2" w:rsidP="00195C2C">
      <w:pPr>
        <w:pStyle w:val="ListParagraph"/>
        <w:numPr>
          <w:ilvl w:val="1"/>
          <w:numId w:val="2"/>
        </w:numPr>
        <w:jc w:val="both"/>
        <w:rPr>
          <w:rFonts w:ascii="Arial" w:hAnsi="Arial"/>
          <w:sz w:val="22"/>
          <w:szCs w:val="22"/>
        </w:rPr>
      </w:pPr>
      <w:r w:rsidRPr="003365D6">
        <w:rPr>
          <w:rFonts w:ascii="Arial" w:hAnsi="Arial"/>
          <w:sz w:val="22"/>
          <w:szCs w:val="22"/>
        </w:rPr>
        <w:t xml:space="preserve">Study 1.1 was </w:t>
      </w:r>
      <w:r w:rsidR="00B21CCB" w:rsidRPr="003365D6">
        <w:rPr>
          <w:rFonts w:ascii="Arial" w:hAnsi="Arial"/>
          <w:sz w:val="22"/>
          <w:szCs w:val="22"/>
        </w:rPr>
        <w:t xml:space="preserve">a pharmacokinetic study </w:t>
      </w:r>
      <w:r w:rsidRPr="003365D6">
        <w:rPr>
          <w:rFonts w:ascii="Arial" w:hAnsi="Arial"/>
          <w:sz w:val="22"/>
          <w:szCs w:val="22"/>
        </w:rPr>
        <w:t>powered (90%) to detect a 2 sided equivalence margin of 80% to 125% for AUC</w:t>
      </w:r>
      <w:r w:rsidRPr="003365D6">
        <w:rPr>
          <w:sz w:val="22"/>
          <w:szCs w:val="22"/>
          <w:vertAlign w:val="subscript"/>
        </w:rPr>
        <w:t>τ</w:t>
      </w:r>
      <w:r w:rsidRPr="003365D6">
        <w:rPr>
          <w:rFonts w:ascii="Arial" w:hAnsi="Arial"/>
          <w:sz w:val="22"/>
          <w:szCs w:val="22"/>
        </w:rPr>
        <w:t xml:space="preserve"> and C</w:t>
      </w:r>
      <w:r w:rsidRPr="003365D6">
        <w:rPr>
          <w:rFonts w:ascii="Arial" w:hAnsi="Arial"/>
          <w:sz w:val="22"/>
          <w:szCs w:val="22"/>
          <w:vertAlign w:val="subscript"/>
        </w:rPr>
        <w:t>max,ss</w:t>
      </w:r>
      <w:r w:rsidRPr="003365D6">
        <w:rPr>
          <w:rFonts w:ascii="Arial" w:hAnsi="Arial"/>
          <w:sz w:val="22"/>
          <w:szCs w:val="22"/>
        </w:rPr>
        <w:t>, allowing for a dropout rate of 20%.</w:t>
      </w:r>
      <w:r w:rsidR="00290D32" w:rsidRPr="003365D6">
        <w:rPr>
          <w:rFonts w:ascii="Arial" w:hAnsi="Arial"/>
          <w:sz w:val="22"/>
          <w:szCs w:val="22"/>
        </w:rPr>
        <w:t xml:space="preserve">  </w:t>
      </w:r>
      <w:r w:rsidR="0057758A" w:rsidRPr="003365D6">
        <w:rPr>
          <w:rFonts w:ascii="Arial" w:hAnsi="Arial"/>
          <w:sz w:val="22"/>
          <w:szCs w:val="22"/>
        </w:rPr>
        <w:t>As well as pharmacokinetic outcomes,</w:t>
      </w:r>
      <w:r w:rsidR="00290D32" w:rsidRPr="003365D6">
        <w:rPr>
          <w:rFonts w:ascii="Arial" w:hAnsi="Arial"/>
          <w:sz w:val="22"/>
          <w:szCs w:val="22"/>
        </w:rPr>
        <w:t xml:space="preserve"> Study 1.1 reported on the proportion of patients achieving a 20% improvement on </w:t>
      </w:r>
      <w:r w:rsidR="0057758A" w:rsidRPr="003365D6">
        <w:rPr>
          <w:rFonts w:ascii="Arial" w:hAnsi="Arial"/>
          <w:sz w:val="22"/>
          <w:szCs w:val="22"/>
        </w:rPr>
        <w:t xml:space="preserve">the </w:t>
      </w:r>
      <w:r w:rsidR="00290D32" w:rsidRPr="003365D6">
        <w:rPr>
          <w:rFonts w:ascii="Arial" w:hAnsi="Arial"/>
          <w:sz w:val="22"/>
          <w:szCs w:val="22"/>
        </w:rPr>
        <w:t>Assessment of Spondylo</w:t>
      </w:r>
      <w:r w:rsidR="00981EEA" w:rsidRPr="003365D6">
        <w:rPr>
          <w:rFonts w:ascii="Arial" w:hAnsi="Arial"/>
          <w:sz w:val="22"/>
          <w:szCs w:val="22"/>
        </w:rPr>
        <w:t>A</w:t>
      </w:r>
      <w:r w:rsidR="00290D32" w:rsidRPr="003365D6">
        <w:rPr>
          <w:rFonts w:ascii="Arial" w:hAnsi="Arial"/>
          <w:sz w:val="22"/>
          <w:szCs w:val="22"/>
        </w:rPr>
        <w:t>rthritis International Society (ASAS) scale (ASAS20),</w:t>
      </w:r>
      <w:r w:rsidR="0057758A" w:rsidRPr="003365D6">
        <w:rPr>
          <w:rFonts w:ascii="Arial" w:hAnsi="Arial"/>
          <w:sz w:val="22"/>
          <w:szCs w:val="22"/>
        </w:rPr>
        <w:t xml:space="preserve"> a 40% improvement on the same scale</w:t>
      </w:r>
      <w:r w:rsidR="00290D32" w:rsidRPr="003365D6">
        <w:rPr>
          <w:rFonts w:ascii="Arial" w:hAnsi="Arial"/>
          <w:sz w:val="22"/>
          <w:szCs w:val="22"/>
        </w:rPr>
        <w:t xml:space="preserve"> </w:t>
      </w:r>
      <w:r w:rsidR="0057758A" w:rsidRPr="003365D6">
        <w:rPr>
          <w:rFonts w:ascii="Arial" w:hAnsi="Arial"/>
          <w:sz w:val="22"/>
          <w:szCs w:val="22"/>
        </w:rPr>
        <w:t>(</w:t>
      </w:r>
      <w:r w:rsidR="00290D32" w:rsidRPr="003365D6">
        <w:rPr>
          <w:rFonts w:ascii="Arial" w:hAnsi="Arial"/>
          <w:sz w:val="22"/>
          <w:szCs w:val="22"/>
        </w:rPr>
        <w:t>ASAS40</w:t>
      </w:r>
      <w:r w:rsidR="0057758A" w:rsidRPr="003365D6">
        <w:rPr>
          <w:rFonts w:ascii="Arial" w:hAnsi="Arial"/>
          <w:sz w:val="22"/>
          <w:szCs w:val="22"/>
        </w:rPr>
        <w:t>)</w:t>
      </w:r>
      <w:r w:rsidR="00290D32" w:rsidRPr="003365D6">
        <w:rPr>
          <w:rFonts w:ascii="Arial" w:hAnsi="Arial"/>
          <w:sz w:val="22"/>
          <w:szCs w:val="22"/>
        </w:rPr>
        <w:t>, mean change from baseline in BASDAI</w:t>
      </w:r>
      <w:r w:rsidR="00290D32" w:rsidRPr="003365D6">
        <w:rPr>
          <w:rStyle w:val="FootnoteReference"/>
          <w:rFonts w:ascii="Arial" w:hAnsi="Arial"/>
          <w:sz w:val="22"/>
          <w:szCs w:val="22"/>
        </w:rPr>
        <w:footnoteReference w:id="2"/>
      </w:r>
      <w:r w:rsidR="00290D32" w:rsidRPr="003365D6">
        <w:rPr>
          <w:rFonts w:ascii="Arial" w:hAnsi="Arial"/>
          <w:sz w:val="22"/>
          <w:szCs w:val="22"/>
        </w:rPr>
        <w:t>, BASFI and BASMI and mean change from baseline in chest expansion.</w:t>
      </w:r>
      <w:r w:rsidR="0057758A" w:rsidRPr="003365D6">
        <w:rPr>
          <w:rFonts w:ascii="Arial" w:hAnsi="Arial"/>
          <w:sz w:val="22"/>
          <w:szCs w:val="22"/>
        </w:rPr>
        <w:t xml:space="preserve"> </w:t>
      </w:r>
      <w:r w:rsidR="0036384E" w:rsidRPr="003365D6">
        <w:rPr>
          <w:rStyle w:val="CommentReference"/>
        </w:rPr>
        <w:t xml:space="preserve"> </w:t>
      </w:r>
      <w:r w:rsidR="00B9612D" w:rsidRPr="003365D6">
        <w:rPr>
          <w:rFonts w:ascii="Arial" w:hAnsi="Arial"/>
          <w:sz w:val="22"/>
          <w:szCs w:val="22"/>
        </w:rPr>
        <w:t xml:space="preserve">Table </w:t>
      </w:r>
      <w:r w:rsidR="009346CC" w:rsidRPr="003365D6">
        <w:rPr>
          <w:rFonts w:ascii="Arial" w:hAnsi="Arial"/>
          <w:sz w:val="22"/>
          <w:szCs w:val="22"/>
        </w:rPr>
        <w:t>7</w:t>
      </w:r>
      <w:r w:rsidR="0057758A" w:rsidRPr="003365D6">
        <w:rPr>
          <w:rFonts w:ascii="Arial" w:hAnsi="Arial"/>
          <w:sz w:val="22"/>
          <w:szCs w:val="22"/>
        </w:rPr>
        <w:t xml:space="preserve"> provides the equivalency results at weeks 14, 30 and 54 as measured using ASAS20 and ASAS40.</w:t>
      </w:r>
    </w:p>
    <w:p w:rsidR="003635C2" w:rsidRPr="003365D6" w:rsidRDefault="003635C2" w:rsidP="00275486">
      <w:pPr>
        <w:rPr>
          <w:rFonts w:ascii="Arial" w:hAnsi="Arial"/>
          <w:b/>
          <w:i/>
          <w:sz w:val="22"/>
          <w:szCs w:val="22"/>
        </w:rPr>
      </w:pPr>
    </w:p>
    <w:p w:rsidR="00D17646" w:rsidRPr="00F233E4" w:rsidRDefault="00D17646" w:rsidP="004230F5">
      <w:pPr>
        <w:pStyle w:val="Caption"/>
        <w:keepNext/>
        <w:spacing w:after="0"/>
        <w:ind w:left="720"/>
        <w:rPr>
          <w:rStyle w:val="CommentReference"/>
          <w:b/>
        </w:rPr>
      </w:pPr>
      <w:bookmarkStart w:id="7" w:name="_Ref421109712"/>
      <w:r w:rsidRPr="003365D6">
        <w:rPr>
          <w:rStyle w:val="CommentReference"/>
          <w:b/>
        </w:rPr>
        <w:t xml:space="preserve">Table </w:t>
      </w:r>
      <w:bookmarkEnd w:id="7"/>
      <w:r w:rsidR="009346CC" w:rsidRPr="003365D6">
        <w:rPr>
          <w:rStyle w:val="CommentReference"/>
          <w:b/>
        </w:rPr>
        <w:t>7</w:t>
      </w:r>
      <w:r w:rsidR="00DA1992">
        <w:rPr>
          <w:rStyle w:val="CommentReference"/>
          <w:b/>
        </w:rPr>
        <w:t>:</w:t>
      </w:r>
      <w:r w:rsidRPr="003365D6">
        <w:rPr>
          <w:rStyle w:val="CommentReference"/>
          <w:b/>
        </w:rPr>
        <w:tab/>
        <w:t>ASAS20 and ASAS40 at weeks 14, 30 and 54 in patients taking Inflectra compared with Remicade</w:t>
      </w:r>
    </w:p>
    <w:tbl>
      <w:tblPr>
        <w:tblStyle w:val="TableGrid"/>
        <w:tblW w:w="0" w:type="auto"/>
        <w:tblInd w:w="709" w:type="dxa"/>
        <w:tblLook w:val="04A0" w:firstRow="1" w:lastRow="0" w:firstColumn="1" w:lastColumn="0" w:noHBand="0" w:noVBand="1"/>
        <w:tblCaption w:val="Table 7: ASAS20 and ASAS40 at weeks 14, 30 and 54 in patients taking Inflectra compared with Remicade"/>
        <w:tblDescription w:val="This table summarises the Assessment of SpondyloArthritis International Society Scale results (20% improvementand 40% improvement)  at weeks 14, 30 and 54 in patients taking Inflectra compared with Remicade. "/>
      </w:tblPr>
      <w:tblGrid>
        <w:gridCol w:w="1274"/>
        <w:gridCol w:w="695"/>
        <w:gridCol w:w="992"/>
        <w:gridCol w:w="1479"/>
        <w:gridCol w:w="1480"/>
        <w:gridCol w:w="1134"/>
        <w:gridCol w:w="1479"/>
      </w:tblGrid>
      <w:tr w:rsidR="00290D32" w:rsidRPr="003365D6" w:rsidTr="008A4849">
        <w:trPr>
          <w:tblHeader/>
        </w:trPr>
        <w:tc>
          <w:tcPr>
            <w:tcW w:w="1274" w:type="dxa"/>
            <w:vAlign w:val="center"/>
          </w:tcPr>
          <w:p w:rsidR="00290D32" w:rsidRPr="003365D6" w:rsidRDefault="00290D32" w:rsidP="005532AF">
            <w:pPr>
              <w:jc w:val="both"/>
              <w:rPr>
                <w:rFonts w:ascii="Arial Narrow" w:hAnsi="Arial Narrow"/>
                <w:sz w:val="20"/>
                <w:szCs w:val="20"/>
              </w:rPr>
            </w:pPr>
          </w:p>
        </w:tc>
        <w:tc>
          <w:tcPr>
            <w:tcW w:w="695" w:type="dxa"/>
            <w:vAlign w:val="center"/>
          </w:tcPr>
          <w:p w:rsidR="00290D32" w:rsidRPr="003365D6" w:rsidRDefault="00290D32" w:rsidP="005532AF">
            <w:pPr>
              <w:jc w:val="center"/>
              <w:rPr>
                <w:rFonts w:ascii="Arial Narrow" w:hAnsi="Arial Narrow"/>
                <w:sz w:val="20"/>
                <w:szCs w:val="20"/>
              </w:rPr>
            </w:pPr>
            <w:r w:rsidRPr="003365D6">
              <w:rPr>
                <w:rFonts w:ascii="Arial Narrow" w:hAnsi="Arial Narrow"/>
                <w:sz w:val="20"/>
                <w:szCs w:val="20"/>
              </w:rPr>
              <w:t>Week</w:t>
            </w:r>
            <w:r w:rsidRPr="003365D6">
              <w:rPr>
                <w:rFonts w:ascii="Arial Narrow" w:hAnsi="Arial Narrow"/>
                <w:sz w:val="20"/>
                <w:szCs w:val="20"/>
                <w:vertAlign w:val="superscript"/>
              </w:rPr>
              <w:t>b</w:t>
            </w:r>
          </w:p>
        </w:tc>
        <w:tc>
          <w:tcPr>
            <w:tcW w:w="992" w:type="dxa"/>
            <w:vAlign w:val="center"/>
          </w:tcPr>
          <w:p w:rsidR="00290D32" w:rsidRPr="003365D6" w:rsidRDefault="00290D32" w:rsidP="005532AF">
            <w:pPr>
              <w:jc w:val="center"/>
              <w:rPr>
                <w:rFonts w:ascii="Arial Narrow" w:hAnsi="Arial Narrow"/>
                <w:sz w:val="20"/>
                <w:szCs w:val="20"/>
              </w:rPr>
            </w:pPr>
            <w:r w:rsidRPr="003365D6">
              <w:rPr>
                <w:rFonts w:ascii="Arial Narrow" w:hAnsi="Arial Narrow"/>
                <w:sz w:val="20"/>
                <w:szCs w:val="20"/>
              </w:rPr>
              <w:t>Population</w:t>
            </w:r>
          </w:p>
        </w:tc>
        <w:tc>
          <w:tcPr>
            <w:tcW w:w="1479" w:type="dxa"/>
            <w:vAlign w:val="center"/>
          </w:tcPr>
          <w:p w:rsidR="00290D32" w:rsidRPr="003365D6" w:rsidRDefault="00290D32" w:rsidP="005532AF">
            <w:pPr>
              <w:jc w:val="center"/>
              <w:rPr>
                <w:rFonts w:ascii="Arial Narrow" w:hAnsi="Arial Narrow"/>
                <w:sz w:val="20"/>
                <w:szCs w:val="20"/>
              </w:rPr>
            </w:pPr>
            <w:r w:rsidRPr="003365D6">
              <w:rPr>
                <w:rFonts w:ascii="Arial Narrow" w:hAnsi="Arial Narrow"/>
                <w:sz w:val="20"/>
                <w:szCs w:val="20"/>
              </w:rPr>
              <w:t>Inflectra</w:t>
            </w:r>
          </w:p>
          <w:p w:rsidR="00290D32" w:rsidRPr="003365D6" w:rsidRDefault="00290D32" w:rsidP="005532AF">
            <w:pPr>
              <w:jc w:val="center"/>
              <w:rPr>
                <w:rFonts w:ascii="Arial Narrow" w:hAnsi="Arial Narrow"/>
                <w:sz w:val="20"/>
                <w:szCs w:val="20"/>
              </w:rPr>
            </w:pPr>
            <w:r w:rsidRPr="003365D6">
              <w:rPr>
                <w:rFonts w:ascii="Arial Narrow" w:hAnsi="Arial Narrow"/>
                <w:sz w:val="20"/>
                <w:szCs w:val="20"/>
              </w:rPr>
              <w:t>n/N (%)</w:t>
            </w:r>
          </w:p>
        </w:tc>
        <w:tc>
          <w:tcPr>
            <w:tcW w:w="1480" w:type="dxa"/>
            <w:vAlign w:val="center"/>
          </w:tcPr>
          <w:p w:rsidR="00290D32" w:rsidRPr="003365D6" w:rsidRDefault="00290D32" w:rsidP="005532AF">
            <w:pPr>
              <w:jc w:val="center"/>
              <w:rPr>
                <w:rFonts w:ascii="Arial Narrow" w:hAnsi="Arial Narrow"/>
                <w:sz w:val="20"/>
                <w:szCs w:val="20"/>
              </w:rPr>
            </w:pPr>
            <w:r w:rsidRPr="003365D6">
              <w:rPr>
                <w:rFonts w:ascii="Arial Narrow" w:hAnsi="Arial Narrow"/>
                <w:sz w:val="20"/>
                <w:szCs w:val="20"/>
              </w:rPr>
              <w:t>Remicade</w:t>
            </w:r>
          </w:p>
          <w:p w:rsidR="00290D32" w:rsidRPr="003365D6" w:rsidRDefault="00290D32" w:rsidP="005532AF">
            <w:pPr>
              <w:jc w:val="center"/>
              <w:rPr>
                <w:rFonts w:ascii="Arial Narrow" w:hAnsi="Arial Narrow"/>
                <w:sz w:val="20"/>
                <w:szCs w:val="20"/>
              </w:rPr>
            </w:pPr>
            <w:r w:rsidRPr="003365D6">
              <w:rPr>
                <w:rFonts w:ascii="Arial Narrow" w:hAnsi="Arial Narrow"/>
                <w:sz w:val="20"/>
                <w:szCs w:val="20"/>
              </w:rPr>
              <w:t>n/N (%)</w:t>
            </w:r>
          </w:p>
        </w:tc>
        <w:tc>
          <w:tcPr>
            <w:tcW w:w="1134" w:type="dxa"/>
            <w:vAlign w:val="center"/>
          </w:tcPr>
          <w:p w:rsidR="00290D32" w:rsidRPr="003365D6" w:rsidRDefault="00290D32" w:rsidP="005532AF">
            <w:pPr>
              <w:jc w:val="center"/>
              <w:rPr>
                <w:rFonts w:ascii="Arial Narrow" w:hAnsi="Arial Narrow"/>
                <w:sz w:val="20"/>
                <w:szCs w:val="20"/>
              </w:rPr>
            </w:pPr>
            <w:r w:rsidRPr="003365D6">
              <w:rPr>
                <w:rFonts w:ascii="Arial Narrow" w:hAnsi="Arial Narrow"/>
                <w:sz w:val="20"/>
                <w:szCs w:val="20"/>
              </w:rPr>
              <w:t>Estimate of Treatment Difference</w:t>
            </w:r>
            <w:r w:rsidRPr="003365D6">
              <w:rPr>
                <w:rFonts w:ascii="Arial Narrow" w:hAnsi="Arial Narrow"/>
                <w:sz w:val="20"/>
                <w:szCs w:val="20"/>
                <w:vertAlign w:val="superscript"/>
              </w:rPr>
              <w:t>a</w:t>
            </w:r>
          </w:p>
        </w:tc>
        <w:tc>
          <w:tcPr>
            <w:tcW w:w="1479" w:type="dxa"/>
            <w:vAlign w:val="center"/>
          </w:tcPr>
          <w:p w:rsidR="00290D32" w:rsidRPr="003365D6" w:rsidRDefault="00290D32" w:rsidP="005532AF">
            <w:pPr>
              <w:jc w:val="center"/>
              <w:rPr>
                <w:rFonts w:ascii="Arial Narrow" w:hAnsi="Arial Narrow"/>
                <w:sz w:val="20"/>
                <w:szCs w:val="20"/>
              </w:rPr>
            </w:pPr>
            <w:r w:rsidRPr="003365D6">
              <w:rPr>
                <w:rFonts w:ascii="Arial Narrow" w:hAnsi="Arial Narrow"/>
                <w:sz w:val="20"/>
                <w:szCs w:val="20"/>
              </w:rPr>
              <w:t>95% CI of the treatment difference</w:t>
            </w:r>
          </w:p>
        </w:tc>
      </w:tr>
      <w:tr w:rsidR="00290D32" w:rsidRPr="003365D6" w:rsidTr="005532AF">
        <w:tc>
          <w:tcPr>
            <w:tcW w:w="8533" w:type="dxa"/>
            <w:gridSpan w:val="7"/>
            <w:shd w:val="clear" w:color="auto" w:fill="D9D9D9" w:themeFill="background1" w:themeFillShade="D9"/>
            <w:vAlign w:val="center"/>
          </w:tcPr>
          <w:p w:rsidR="00290D32" w:rsidRPr="003365D6" w:rsidRDefault="00290D32" w:rsidP="00BA3928">
            <w:pPr>
              <w:jc w:val="both"/>
              <w:rPr>
                <w:rFonts w:ascii="Arial Narrow" w:hAnsi="Arial Narrow"/>
                <w:sz w:val="20"/>
                <w:szCs w:val="20"/>
              </w:rPr>
            </w:pPr>
            <w:r w:rsidRPr="003365D6">
              <w:rPr>
                <w:rFonts w:ascii="Arial Narrow" w:hAnsi="Arial Narrow"/>
                <w:sz w:val="20"/>
                <w:szCs w:val="20"/>
              </w:rPr>
              <w:t>A</w:t>
            </w:r>
            <w:r w:rsidR="00BA3928" w:rsidRPr="003365D6">
              <w:rPr>
                <w:rFonts w:ascii="Arial Narrow" w:hAnsi="Arial Narrow"/>
                <w:sz w:val="20"/>
                <w:szCs w:val="20"/>
              </w:rPr>
              <w:t>ssessment of SpondyloArthritis International Society 20% and 40% improvement scale</w:t>
            </w:r>
          </w:p>
        </w:tc>
      </w:tr>
      <w:tr w:rsidR="00290D32" w:rsidRPr="003365D6" w:rsidTr="005532AF">
        <w:tc>
          <w:tcPr>
            <w:tcW w:w="1274" w:type="dxa"/>
            <w:vAlign w:val="center"/>
          </w:tcPr>
          <w:p w:rsidR="00290D32" w:rsidRPr="003365D6" w:rsidRDefault="00290D32" w:rsidP="00290D32">
            <w:pPr>
              <w:jc w:val="both"/>
              <w:rPr>
                <w:rFonts w:ascii="Arial Narrow" w:hAnsi="Arial Narrow"/>
                <w:sz w:val="20"/>
                <w:szCs w:val="20"/>
              </w:rPr>
            </w:pPr>
            <w:r w:rsidRPr="003365D6">
              <w:rPr>
                <w:rFonts w:ascii="Arial Narrow" w:hAnsi="Arial Narrow"/>
                <w:sz w:val="20"/>
                <w:szCs w:val="20"/>
              </w:rPr>
              <w:t>ASAS20</w:t>
            </w:r>
          </w:p>
        </w:tc>
        <w:tc>
          <w:tcPr>
            <w:tcW w:w="695" w:type="dxa"/>
            <w:vAlign w:val="center"/>
          </w:tcPr>
          <w:p w:rsidR="00290D32" w:rsidRPr="003365D6" w:rsidRDefault="00290D32" w:rsidP="005532AF">
            <w:pPr>
              <w:jc w:val="both"/>
              <w:rPr>
                <w:rFonts w:ascii="Arial Narrow" w:hAnsi="Arial Narrow"/>
                <w:sz w:val="20"/>
                <w:szCs w:val="20"/>
              </w:rPr>
            </w:pPr>
            <w:r w:rsidRPr="003365D6">
              <w:rPr>
                <w:rFonts w:ascii="Arial Narrow" w:hAnsi="Arial Narrow"/>
                <w:sz w:val="20"/>
                <w:szCs w:val="20"/>
              </w:rPr>
              <w:t>14</w:t>
            </w:r>
          </w:p>
        </w:tc>
        <w:tc>
          <w:tcPr>
            <w:tcW w:w="992" w:type="dxa"/>
            <w:vAlign w:val="center"/>
          </w:tcPr>
          <w:p w:rsidR="00290D32" w:rsidRPr="003365D6" w:rsidRDefault="00290D32" w:rsidP="005532AF">
            <w:pPr>
              <w:jc w:val="both"/>
              <w:rPr>
                <w:rFonts w:ascii="Arial Narrow" w:hAnsi="Arial Narrow"/>
                <w:sz w:val="20"/>
                <w:szCs w:val="20"/>
              </w:rPr>
            </w:pPr>
            <w:r w:rsidRPr="003365D6">
              <w:rPr>
                <w:rFonts w:ascii="Arial Narrow" w:hAnsi="Arial Narrow"/>
                <w:sz w:val="20"/>
                <w:szCs w:val="20"/>
              </w:rPr>
              <w:t>ITT</w:t>
            </w:r>
          </w:p>
        </w:tc>
        <w:tc>
          <w:tcPr>
            <w:tcW w:w="1479"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72/115 (62.6)</w:t>
            </w:r>
          </w:p>
        </w:tc>
        <w:tc>
          <w:tcPr>
            <w:tcW w:w="1480"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79/122 (64.8)</w:t>
            </w:r>
          </w:p>
        </w:tc>
        <w:tc>
          <w:tcPr>
            <w:tcW w:w="1134"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-0.02</w:t>
            </w:r>
          </w:p>
        </w:tc>
        <w:tc>
          <w:tcPr>
            <w:tcW w:w="1479"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-0.14, 0.10</w:t>
            </w:r>
          </w:p>
        </w:tc>
      </w:tr>
      <w:tr w:rsidR="00290D32" w:rsidRPr="003365D6" w:rsidTr="005532AF">
        <w:tc>
          <w:tcPr>
            <w:tcW w:w="1274" w:type="dxa"/>
            <w:vAlign w:val="center"/>
          </w:tcPr>
          <w:p w:rsidR="00290D32" w:rsidRPr="003365D6" w:rsidRDefault="00290D32" w:rsidP="005532AF">
            <w:pPr>
              <w:jc w:val="both"/>
              <w:rPr>
                <w:rFonts w:ascii="Arial Narrow" w:hAnsi="Arial Narrow"/>
                <w:sz w:val="20"/>
                <w:szCs w:val="20"/>
              </w:rPr>
            </w:pPr>
          </w:p>
        </w:tc>
        <w:tc>
          <w:tcPr>
            <w:tcW w:w="695" w:type="dxa"/>
            <w:vAlign w:val="center"/>
          </w:tcPr>
          <w:p w:rsidR="00290D32" w:rsidRPr="003365D6" w:rsidRDefault="00290D32" w:rsidP="005532AF">
            <w:pPr>
              <w:jc w:val="both"/>
              <w:rPr>
                <w:rFonts w:ascii="Arial Narrow" w:hAnsi="Arial Narrow"/>
                <w:sz w:val="20"/>
                <w:szCs w:val="20"/>
              </w:rPr>
            </w:pPr>
            <w:r w:rsidRPr="003365D6">
              <w:rPr>
                <w:rFonts w:ascii="Arial Narrow" w:hAnsi="Arial Narrow"/>
                <w:sz w:val="20"/>
                <w:szCs w:val="20"/>
              </w:rPr>
              <w:t>30</w:t>
            </w:r>
          </w:p>
        </w:tc>
        <w:tc>
          <w:tcPr>
            <w:tcW w:w="992" w:type="dxa"/>
            <w:vAlign w:val="center"/>
          </w:tcPr>
          <w:p w:rsidR="00290D32" w:rsidRPr="003365D6" w:rsidRDefault="00F11E1D" w:rsidP="005532AF">
            <w:pPr>
              <w:jc w:val="both"/>
              <w:rPr>
                <w:rFonts w:ascii="Arial Narrow" w:hAnsi="Arial Narrow"/>
                <w:sz w:val="20"/>
                <w:szCs w:val="20"/>
              </w:rPr>
            </w:pPr>
            <w:r w:rsidRPr="003365D6">
              <w:rPr>
                <w:rFonts w:ascii="Arial Narrow" w:hAnsi="Arial Narrow"/>
                <w:sz w:val="20"/>
                <w:szCs w:val="20"/>
              </w:rPr>
              <w:t>ITT</w:t>
            </w:r>
          </w:p>
        </w:tc>
        <w:tc>
          <w:tcPr>
            <w:tcW w:w="1479"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79/112 (70.5)</w:t>
            </w:r>
          </w:p>
        </w:tc>
        <w:tc>
          <w:tcPr>
            <w:tcW w:w="1480"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84/116 (72.4)</w:t>
            </w:r>
          </w:p>
        </w:tc>
        <w:tc>
          <w:tcPr>
            <w:tcW w:w="1134"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-0.02</w:t>
            </w:r>
          </w:p>
        </w:tc>
        <w:tc>
          <w:tcPr>
            <w:tcW w:w="1479"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-0.14, 0.10</w:t>
            </w:r>
          </w:p>
        </w:tc>
      </w:tr>
      <w:tr w:rsidR="00290D32" w:rsidRPr="003365D6" w:rsidTr="005532AF">
        <w:tc>
          <w:tcPr>
            <w:tcW w:w="1274" w:type="dxa"/>
            <w:vAlign w:val="center"/>
          </w:tcPr>
          <w:p w:rsidR="00290D32" w:rsidRPr="003365D6" w:rsidRDefault="00290D32" w:rsidP="005532AF">
            <w:pPr>
              <w:jc w:val="both"/>
              <w:rPr>
                <w:rFonts w:ascii="Arial Narrow" w:hAnsi="Arial Narrow"/>
                <w:sz w:val="20"/>
                <w:szCs w:val="20"/>
              </w:rPr>
            </w:pPr>
          </w:p>
        </w:tc>
        <w:tc>
          <w:tcPr>
            <w:tcW w:w="695" w:type="dxa"/>
            <w:vAlign w:val="center"/>
          </w:tcPr>
          <w:p w:rsidR="00290D32" w:rsidRPr="003365D6" w:rsidRDefault="00290D32" w:rsidP="005532AF">
            <w:pPr>
              <w:jc w:val="both"/>
              <w:rPr>
                <w:rFonts w:ascii="Arial Narrow" w:hAnsi="Arial Narrow"/>
                <w:sz w:val="20"/>
                <w:szCs w:val="20"/>
              </w:rPr>
            </w:pPr>
            <w:r w:rsidRPr="003365D6">
              <w:rPr>
                <w:rFonts w:ascii="Arial Narrow" w:hAnsi="Arial Narrow"/>
                <w:sz w:val="20"/>
                <w:szCs w:val="20"/>
              </w:rPr>
              <w:t>54</w:t>
            </w:r>
          </w:p>
        </w:tc>
        <w:tc>
          <w:tcPr>
            <w:tcW w:w="992" w:type="dxa"/>
            <w:vAlign w:val="center"/>
          </w:tcPr>
          <w:p w:rsidR="00290D32" w:rsidRPr="003365D6" w:rsidRDefault="00F11E1D" w:rsidP="005532AF">
            <w:pPr>
              <w:jc w:val="both"/>
              <w:rPr>
                <w:rFonts w:ascii="Arial Narrow" w:hAnsi="Arial Narrow"/>
                <w:sz w:val="20"/>
                <w:szCs w:val="20"/>
              </w:rPr>
            </w:pPr>
            <w:r w:rsidRPr="003365D6">
              <w:rPr>
                <w:rFonts w:ascii="Arial Narrow" w:hAnsi="Arial Narrow"/>
                <w:sz w:val="20"/>
                <w:szCs w:val="20"/>
              </w:rPr>
              <w:t>ITT</w:t>
            </w:r>
          </w:p>
        </w:tc>
        <w:tc>
          <w:tcPr>
            <w:tcW w:w="1479"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71/106 (67.0)</w:t>
            </w:r>
          </w:p>
        </w:tc>
        <w:tc>
          <w:tcPr>
            <w:tcW w:w="1480"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75/108 (69.4)</w:t>
            </w:r>
          </w:p>
        </w:tc>
        <w:tc>
          <w:tcPr>
            <w:tcW w:w="1134"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-0.02</w:t>
            </w:r>
          </w:p>
        </w:tc>
        <w:tc>
          <w:tcPr>
            <w:tcW w:w="1479"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-0.15, 0.10</w:t>
            </w:r>
          </w:p>
        </w:tc>
      </w:tr>
      <w:tr w:rsidR="00290D32" w:rsidRPr="003365D6" w:rsidTr="005532AF">
        <w:tc>
          <w:tcPr>
            <w:tcW w:w="1274" w:type="dxa"/>
            <w:vAlign w:val="center"/>
          </w:tcPr>
          <w:p w:rsidR="00290D32" w:rsidRPr="003365D6" w:rsidRDefault="00290D32" w:rsidP="005532AF">
            <w:pPr>
              <w:jc w:val="both"/>
              <w:rPr>
                <w:rFonts w:ascii="Arial Narrow" w:hAnsi="Arial Narrow"/>
                <w:sz w:val="20"/>
                <w:szCs w:val="20"/>
              </w:rPr>
            </w:pPr>
            <w:r w:rsidRPr="003365D6">
              <w:rPr>
                <w:rFonts w:ascii="Arial Narrow" w:hAnsi="Arial Narrow"/>
                <w:sz w:val="20"/>
                <w:szCs w:val="20"/>
              </w:rPr>
              <w:t>ASAS40</w:t>
            </w:r>
          </w:p>
        </w:tc>
        <w:tc>
          <w:tcPr>
            <w:tcW w:w="695" w:type="dxa"/>
            <w:vAlign w:val="center"/>
          </w:tcPr>
          <w:p w:rsidR="00290D32" w:rsidRPr="003365D6" w:rsidRDefault="00290D32" w:rsidP="005532AF">
            <w:pPr>
              <w:jc w:val="both"/>
              <w:rPr>
                <w:rFonts w:ascii="Arial Narrow" w:hAnsi="Arial Narrow"/>
                <w:sz w:val="20"/>
                <w:szCs w:val="20"/>
              </w:rPr>
            </w:pPr>
            <w:r w:rsidRPr="003365D6">
              <w:rPr>
                <w:rFonts w:ascii="Arial Narrow" w:hAnsi="Arial Narrow"/>
                <w:sz w:val="20"/>
                <w:szCs w:val="20"/>
              </w:rPr>
              <w:t>14</w:t>
            </w:r>
          </w:p>
        </w:tc>
        <w:tc>
          <w:tcPr>
            <w:tcW w:w="992" w:type="dxa"/>
            <w:vAlign w:val="center"/>
          </w:tcPr>
          <w:p w:rsidR="00290D32" w:rsidRPr="003365D6" w:rsidRDefault="00F11E1D" w:rsidP="005532AF">
            <w:pPr>
              <w:jc w:val="both"/>
              <w:rPr>
                <w:rFonts w:ascii="Arial Narrow" w:hAnsi="Arial Narrow"/>
                <w:sz w:val="20"/>
                <w:szCs w:val="20"/>
              </w:rPr>
            </w:pPr>
            <w:r w:rsidRPr="003365D6">
              <w:rPr>
                <w:rFonts w:ascii="Arial Narrow" w:hAnsi="Arial Narrow"/>
                <w:sz w:val="20"/>
                <w:szCs w:val="20"/>
              </w:rPr>
              <w:t>ITT</w:t>
            </w:r>
          </w:p>
        </w:tc>
        <w:tc>
          <w:tcPr>
            <w:tcW w:w="1479"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48/115 (41.7)</w:t>
            </w:r>
          </w:p>
        </w:tc>
        <w:tc>
          <w:tcPr>
            <w:tcW w:w="1480"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56/122 (45.9)</w:t>
            </w:r>
          </w:p>
        </w:tc>
        <w:tc>
          <w:tcPr>
            <w:tcW w:w="1134"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-0.04</w:t>
            </w:r>
          </w:p>
        </w:tc>
        <w:tc>
          <w:tcPr>
            <w:tcW w:w="1479"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-0.17, 0.08</w:t>
            </w:r>
          </w:p>
        </w:tc>
      </w:tr>
      <w:tr w:rsidR="00290D32" w:rsidRPr="003365D6" w:rsidTr="005532AF">
        <w:tc>
          <w:tcPr>
            <w:tcW w:w="1274" w:type="dxa"/>
            <w:vAlign w:val="center"/>
          </w:tcPr>
          <w:p w:rsidR="00290D32" w:rsidRPr="003365D6" w:rsidRDefault="00290D32" w:rsidP="005532AF">
            <w:pPr>
              <w:jc w:val="both"/>
              <w:rPr>
                <w:rFonts w:ascii="Arial Narrow" w:hAnsi="Arial Narrow"/>
                <w:sz w:val="20"/>
                <w:szCs w:val="20"/>
              </w:rPr>
            </w:pPr>
          </w:p>
        </w:tc>
        <w:tc>
          <w:tcPr>
            <w:tcW w:w="695" w:type="dxa"/>
            <w:vAlign w:val="center"/>
          </w:tcPr>
          <w:p w:rsidR="00290D32" w:rsidRPr="003365D6" w:rsidRDefault="00290D32" w:rsidP="005532AF">
            <w:pPr>
              <w:jc w:val="both"/>
              <w:rPr>
                <w:rFonts w:ascii="Arial Narrow" w:hAnsi="Arial Narrow"/>
                <w:sz w:val="20"/>
                <w:szCs w:val="20"/>
              </w:rPr>
            </w:pPr>
            <w:r w:rsidRPr="003365D6">
              <w:rPr>
                <w:rFonts w:ascii="Arial Narrow" w:hAnsi="Arial Narrow"/>
                <w:sz w:val="20"/>
                <w:szCs w:val="20"/>
              </w:rPr>
              <w:t>30</w:t>
            </w:r>
          </w:p>
        </w:tc>
        <w:tc>
          <w:tcPr>
            <w:tcW w:w="992" w:type="dxa"/>
            <w:vAlign w:val="center"/>
          </w:tcPr>
          <w:p w:rsidR="00290D32" w:rsidRPr="003365D6" w:rsidRDefault="00F11E1D" w:rsidP="005532AF">
            <w:pPr>
              <w:jc w:val="both"/>
              <w:rPr>
                <w:rFonts w:ascii="Arial Narrow" w:hAnsi="Arial Narrow"/>
                <w:sz w:val="20"/>
                <w:szCs w:val="20"/>
              </w:rPr>
            </w:pPr>
            <w:r w:rsidRPr="003365D6">
              <w:rPr>
                <w:rFonts w:ascii="Arial Narrow" w:hAnsi="Arial Narrow"/>
                <w:sz w:val="20"/>
                <w:szCs w:val="20"/>
              </w:rPr>
              <w:t>ITT</w:t>
            </w:r>
          </w:p>
        </w:tc>
        <w:tc>
          <w:tcPr>
            <w:tcW w:w="1479"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58/112 (51.8)</w:t>
            </w:r>
          </w:p>
        </w:tc>
        <w:tc>
          <w:tcPr>
            <w:tcW w:w="1480"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55/116 (47.4)</w:t>
            </w:r>
          </w:p>
        </w:tc>
        <w:tc>
          <w:tcPr>
            <w:tcW w:w="1134"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0.04</w:t>
            </w:r>
          </w:p>
        </w:tc>
        <w:tc>
          <w:tcPr>
            <w:tcW w:w="1479"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-0.09, 0.17</w:t>
            </w:r>
          </w:p>
        </w:tc>
      </w:tr>
      <w:tr w:rsidR="00290D32" w:rsidRPr="003365D6" w:rsidTr="005532AF">
        <w:tc>
          <w:tcPr>
            <w:tcW w:w="1274" w:type="dxa"/>
            <w:vAlign w:val="center"/>
          </w:tcPr>
          <w:p w:rsidR="00290D32" w:rsidRPr="003365D6" w:rsidRDefault="00290D32" w:rsidP="005532AF">
            <w:pPr>
              <w:jc w:val="both"/>
              <w:rPr>
                <w:rFonts w:ascii="Arial Narrow" w:hAnsi="Arial Narrow"/>
                <w:sz w:val="20"/>
                <w:szCs w:val="20"/>
              </w:rPr>
            </w:pPr>
          </w:p>
        </w:tc>
        <w:tc>
          <w:tcPr>
            <w:tcW w:w="695" w:type="dxa"/>
            <w:vAlign w:val="center"/>
          </w:tcPr>
          <w:p w:rsidR="00290D32" w:rsidRPr="003365D6" w:rsidRDefault="00290D32" w:rsidP="005532AF">
            <w:pPr>
              <w:jc w:val="both"/>
              <w:rPr>
                <w:rFonts w:ascii="Arial Narrow" w:hAnsi="Arial Narrow"/>
                <w:sz w:val="20"/>
                <w:szCs w:val="20"/>
              </w:rPr>
            </w:pPr>
            <w:r w:rsidRPr="003365D6">
              <w:rPr>
                <w:rFonts w:ascii="Arial Narrow" w:hAnsi="Arial Narrow"/>
                <w:sz w:val="20"/>
                <w:szCs w:val="20"/>
              </w:rPr>
              <w:t>54</w:t>
            </w:r>
          </w:p>
        </w:tc>
        <w:tc>
          <w:tcPr>
            <w:tcW w:w="992" w:type="dxa"/>
            <w:vAlign w:val="center"/>
          </w:tcPr>
          <w:p w:rsidR="00290D32" w:rsidRPr="003365D6" w:rsidRDefault="00F11E1D" w:rsidP="005532AF">
            <w:pPr>
              <w:jc w:val="both"/>
              <w:rPr>
                <w:rFonts w:ascii="Arial Narrow" w:hAnsi="Arial Narrow"/>
                <w:sz w:val="20"/>
                <w:szCs w:val="20"/>
              </w:rPr>
            </w:pPr>
            <w:r w:rsidRPr="003365D6">
              <w:rPr>
                <w:rFonts w:ascii="Arial Narrow" w:hAnsi="Arial Narrow"/>
                <w:sz w:val="20"/>
                <w:szCs w:val="20"/>
              </w:rPr>
              <w:t>ITT</w:t>
            </w:r>
          </w:p>
        </w:tc>
        <w:tc>
          <w:tcPr>
            <w:tcW w:w="1479"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58/106 (54.7)</w:t>
            </w:r>
          </w:p>
        </w:tc>
        <w:tc>
          <w:tcPr>
            <w:tcW w:w="1480" w:type="dxa"/>
            <w:vAlign w:val="center"/>
          </w:tcPr>
          <w:p w:rsidR="00290D32" w:rsidRPr="003365D6" w:rsidRDefault="00E62F1A" w:rsidP="005532AF">
            <w:pPr>
              <w:jc w:val="both"/>
              <w:rPr>
                <w:rFonts w:ascii="Arial Narrow" w:hAnsi="Arial Narrow"/>
                <w:sz w:val="20"/>
                <w:szCs w:val="20"/>
              </w:rPr>
            </w:pPr>
            <w:r w:rsidRPr="003365D6">
              <w:rPr>
                <w:rFonts w:ascii="Arial Narrow" w:hAnsi="Arial Narrow"/>
                <w:sz w:val="20"/>
                <w:szCs w:val="20"/>
              </w:rPr>
              <w:t>53/108 (49.1)</w:t>
            </w:r>
          </w:p>
        </w:tc>
        <w:tc>
          <w:tcPr>
            <w:tcW w:w="1134"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0.06</w:t>
            </w:r>
          </w:p>
        </w:tc>
        <w:tc>
          <w:tcPr>
            <w:tcW w:w="1479" w:type="dxa"/>
            <w:vAlign w:val="center"/>
          </w:tcPr>
          <w:p w:rsidR="00290D32" w:rsidRPr="003365D6" w:rsidRDefault="00E62F1A" w:rsidP="005532AF">
            <w:pPr>
              <w:jc w:val="center"/>
              <w:rPr>
                <w:rFonts w:ascii="Arial Narrow" w:hAnsi="Arial Narrow"/>
                <w:i/>
                <w:sz w:val="20"/>
                <w:szCs w:val="20"/>
              </w:rPr>
            </w:pPr>
            <w:r w:rsidRPr="003365D6">
              <w:rPr>
                <w:rFonts w:ascii="Arial Narrow" w:hAnsi="Arial Narrow"/>
                <w:i/>
                <w:sz w:val="20"/>
                <w:szCs w:val="20"/>
              </w:rPr>
              <w:t>-0.08, 0.19</w:t>
            </w:r>
          </w:p>
        </w:tc>
      </w:tr>
    </w:tbl>
    <w:p w:rsidR="00195C2C" w:rsidRPr="003365D6" w:rsidRDefault="00195C2C" w:rsidP="00F11E1D">
      <w:pPr>
        <w:ind w:left="720"/>
        <w:rPr>
          <w:rFonts w:ascii="Arial Narrow" w:hAnsi="Arial Narrow"/>
          <w:sz w:val="20"/>
          <w:szCs w:val="20"/>
        </w:rPr>
      </w:pPr>
      <w:r w:rsidRPr="003365D6">
        <w:rPr>
          <w:rFonts w:ascii="Arial Narrow" w:hAnsi="Arial Narrow"/>
          <w:sz w:val="20"/>
          <w:szCs w:val="20"/>
          <w:vertAlign w:val="superscript"/>
        </w:rPr>
        <w:t>a</w:t>
      </w:r>
      <w:r w:rsidRPr="003365D6">
        <w:rPr>
          <w:rFonts w:ascii="Arial Narrow" w:hAnsi="Arial Narrow"/>
          <w:sz w:val="20"/>
          <w:szCs w:val="20"/>
        </w:rPr>
        <w:t xml:space="preserve">Treatment difference (absolute difference in percentage of patients achieving ASAS20 or ASAS40) was calculated during the evaluation using the cohort study risk-ratio calculator in Stata® 13.1.  </w:t>
      </w:r>
    </w:p>
    <w:p w:rsidR="00195C2C" w:rsidRPr="003365D6" w:rsidRDefault="00195C2C" w:rsidP="00275486">
      <w:pPr>
        <w:rPr>
          <w:rFonts w:ascii="Arial" w:hAnsi="Arial"/>
          <w:b/>
          <w:i/>
          <w:sz w:val="22"/>
          <w:szCs w:val="22"/>
        </w:rPr>
      </w:pPr>
    </w:p>
    <w:p w:rsidR="00195C2C" w:rsidRPr="003365D6" w:rsidRDefault="00BA3928" w:rsidP="00D17646">
      <w:pPr>
        <w:pStyle w:val="ListParagraph"/>
        <w:numPr>
          <w:ilvl w:val="1"/>
          <w:numId w:val="2"/>
        </w:numPr>
        <w:jc w:val="both"/>
        <w:rPr>
          <w:rFonts w:ascii="Arial" w:hAnsi="Arial"/>
          <w:sz w:val="22"/>
          <w:szCs w:val="22"/>
        </w:rPr>
      </w:pPr>
      <w:r w:rsidRPr="003365D6">
        <w:rPr>
          <w:rFonts w:ascii="Arial" w:hAnsi="Arial"/>
          <w:sz w:val="22"/>
          <w:szCs w:val="22"/>
        </w:rPr>
        <w:t xml:space="preserve">No difference in the rates of patients achieving ASAS20 or ASAS40 were observed in Study 1.1.  </w:t>
      </w:r>
      <w:r w:rsidR="00195C2C" w:rsidRPr="003365D6">
        <w:rPr>
          <w:rFonts w:ascii="Arial" w:hAnsi="Arial"/>
          <w:sz w:val="22"/>
          <w:szCs w:val="22"/>
        </w:rPr>
        <w:t xml:space="preserve">However, the calculated confidence intervals for the absolute difference between the groups includes differences of up to 19%.  As stated above, Study 1.1 was powered to detect differences in </w:t>
      </w:r>
      <w:r w:rsidR="0057758A" w:rsidRPr="003365D6">
        <w:rPr>
          <w:rFonts w:ascii="Arial" w:hAnsi="Arial"/>
          <w:sz w:val="22"/>
          <w:szCs w:val="22"/>
        </w:rPr>
        <w:t>pharmacokinetic</w:t>
      </w:r>
      <w:r w:rsidR="00195C2C" w:rsidRPr="003365D6">
        <w:rPr>
          <w:rFonts w:ascii="Arial" w:hAnsi="Arial"/>
          <w:sz w:val="22"/>
          <w:szCs w:val="22"/>
        </w:rPr>
        <w:t xml:space="preserve"> rather than eff</w:t>
      </w:r>
      <w:r w:rsidR="0057758A" w:rsidRPr="003365D6">
        <w:rPr>
          <w:rFonts w:ascii="Arial" w:hAnsi="Arial"/>
          <w:sz w:val="22"/>
          <w:szCs w:val="22"/>
        </w:rPr>
        <w:t>ectiveness</w:t>
      </w:r>
      <w:r w:rsidR="00195C2C" w:rsidRPr="003365D6">
        <w:rPr>
          <w:rFonts w:ascii="Arial" w:hAnsi="Arial"/>
          <w:sz w:val="22"/>
          <w:szCs w:val="22"/>
        </w:rPr>
        <w:t xml:space="preserve"> outcomes.</w:t>
      </w:r>
    </w:p>
    <w:p w:rsidR="00195C2C" w:rsidRPr="003365D6" w:rsidRDefault="00195C2C" w:rsidP="00195C2C">
      <w:pPr>
        <w:pStyle w:val="ListParagraph"/>
        <w:jc w:val="both"/>
        <w:rPr>
          <w:rFonts w:ascii="Arial" w:hAnsi="Arial"/>
          <w:sz w:val="22"/>
          <w:szCs w:val="22"/>
        </w:rPr>
      </w:pPr>
    </w:p>
    <w:p w:rsidR="00290D32" w:rsidRPr="003365D6" w:rsidRDefault="00BA3928" w:rsidP="00D17646">
      <w:pPr>
        <w:pStyle w:val="ListParagraph"/>
        <w:numPr>
          <w:ilvl w:val="1"/>
          <w:numId w:val="2"/>
        </w:numPr>
        <w:jc w:val="both"/>
        <w:rPr>
          <w:rFonts w:ascii="Arial" w:hAnsi="Arial"/>
          <w:sz w:val="22"/>
          <w:szCs w:val="22"/>
        </w:rPr>
      </w:pPr>
      <w:r w:rsidRPr="003365D6">
        <w:rPr>
          <w:rFonts w:ascii="Arial" w:hAnsi="Arial"/>
          <w:sz w:val="22"/>
          <w:szCs w:val="22"/>
        </w:rPr>
        <w:t>The CSR reported the odds ratio for achieving ASAS20 or ASAS40 with Inflectra compared with Remicade derived from a logistic model controlling for geographical region and baseline BASDAI</w:t>
      </w:r>
      <w:r w:rsidR="003824F2">
        <w:rPr>
          <w:rFonts w:ascii="Arial" w:hAnsi="Arial"/>
          <w:sz w:val="22"/>
          <w:szCs w:val="22"/>
        </w:rPr>
        <w:t xml:space="preserve">.  </w:t>
      </w:r>
      <w:r w:rsidRPr="003365D6">
        <w:rPr>
          <w:rFonts w:ascii="Arial" w:hAnsi="Arial"/>
          <w:sz w:val="22"/>
          <w:szCs w:val="22"/>
        </w:rPr>
        <w:t>The confidence intervals for the odds ratio included 1 (</w:t>
      </w:r>
      <w:r w:rsidR="0057758A" w:rsidRPr="003365D6">
        <w:rPr>
          <w:rFonts w:ascii="Arial" w:hAnsi="Arial"/>
          <w:sz w:val="22"/>
          <w:szCs w:val="22"/>
        </w:rPr>
        <w:t>no statistically significant difference</w:t>
      </w:r>
      <w:r w:rsidRPr="003365D6">
        <w:rPr>
          <w:rFonts w:ascii="Arial" w:hAnsi="Arial"/>
          <w:sz w:val="22"/>
          <w:szCs w:val="22"/>
        </w:rPr>
        <w:t>).</w:t>
      </w:r>
    </w:p>
    <w:p w:rsidR="00BA3928" w:rsidRPr="003365D6" w:rsidRDefault="00BA3928" w:rsidP="00275486">
      <w:pPr>
        <w:rPr>
          <w:rFonts w:ascii="Arial" w:hAnsi="Arial"/>
          <w:sz w:val="22"/>
          <w:szCs w:val="22"/>
        </w:rPr>
      </w:pPr>
    </w:p>
    <w:p w:rsidR="00C2531D" w:rsidRPr="003365D6" w:rsidRDefault="00C2531D" w:rsidP="001216FE">
      <w:pPr>
        <w:ind w:firstLine="720"/>
        <w:jc w:val="both"/>
        <w:rPr>
          <w:rFonts w:ascii="Arial" w:hAnsi="Arial"/>
          <w:b/>
          <w:sz w:val="22"/>
          <w:szCs w:val="22"/>
          <w:u w:val="single"/>
        </w:rPr>
      </w:pPr>
      <w:r w:rsidRPr="003365D6">
        <w:rPr>
          <w:rFonts w:ascii="Arial" w:hAnsi="Arial"/>
          <w:b/>
          <w:sz w:val="22"/>
          <w:szCs w:val="22"/>
          <w:u w:val="single"/>
        </w:rPr>
        <w:t>Pharmacokinetic analyses</w:t>
      </w:r>
    </w:p>
    <w:p w:rsidR="00C2531D" w:rsidRPr="003365D6" w:rsidRDefault="00C2531D" w:rsidP="00D7777A">
      <w:pPr>
        <w:ind w:firstLine="720"/>
        <w:jc w:val="both"/>
        <w:rPr>
          <w:rFonts w:ascii="Arial" w:hAnsi="Arial"/>
          <w:sz w:val="22"/>
          <w:szCs w:val="22"/>
          <w:u w:val="single"/>
        </w:rPr>
      </w:pPr>
      <w:r w:rsidRPr="003365D6">
        <w:rPr>
          <w:rFonts w:ascii="Arial" w:hAnsi="Arial"/>
          <w:sz w:val="22"/>
          <w:szCs w:val="22"/>
          <w:u w:val="single"/>
        </w:rPr>
        <w:t>Pharmacokinetic analyses of Study 1.1 (AS) and Study 3.1 (RA)</w:t>
      </w:r>
    </w:p>
    <w:p w:rsidR="00C2531D" w:rsidRPr="003365D6" w:rsidRDefault="00C2531D" w:rsidP="00C2531D">
      <w:pPr>
        <w:pStyle w:val="ListParagraph"/>
        <w:numPr>
          <w:ilvl w:val="1"/>
          <w:numId w:val="2"/>
        </w:numPr>
        <w:jc w:val="both"/>
        <w:rPr>
          <w:rFonts w:ascii="Arial" w:hAnsi="Arial"/>
          <w:sz w:val="22"/>
          <w:szCs w:val="22"/>
        </w:rPr>
      </w:pPr>
      <w:r w:rsidRPr="003365D6">
        <w:rPr>
          <w:rFonts w:ascii="Arial" w:hAnsi="Arial"/>
          <w:sz w:val="22"/>
          <w:szCs w:val="22"/>
        </w:rPr>
        <w:t>Study 3.1: Mean serum concentration of Inflectra over time was similar to Infliximab in both the pharmacokinetic population and the antibody negative subgroup.  No differences in pharmacokinetics between Inflectra and Infliximab in Study 3.1 were highlighted during the TGA evaluation.</w:t>
      </w:r>
    </w:p>
    <w:p w:rsidR="00C2531D" w:rsidRPr="003365D6" w:rsidRDefault="00C2531D" w:rsidP="00C2531D">
      <w:pPr>
        <w:jc w:val="both"/>
        <w:rPr>
          <w:rFonts w:ascii="Arial" w:hAnsi="Arial"/>
          <w:sz w:val="22"/>
          <w:szCs w:val="22"/>
        </w:rPr>
      </w:pPr>
    </w:p>
    <w:p w:rsidR="00C2531D" w:rsidRPr="003365D6" w:rsidRDefault="00C2531D" w:rsidP="00C2531D">
      <w:pPr>
        <w:pStyle w:val="ListParagraph"/>
        <w:numPr>
          <w:ilvl w:val="1"/>
          <w:numId w:val="2"/>
        </w:numPr>
        <w:jc w:val="both"/>
        <w:rPr>
          <w:rFonts w:ascii="Arial" w:hAnsi="Arial"/>
          <w:sz w:val="22"/>
          <w:szCs w:val="22"/>
        </w:rPr>
      </w:pPr>
      <w:r w:rsidRPr="003365D6">
        <w:rPr>
          <w:rFonts w:ascii="Arial" w:hAnsi="Arial"/>
          <w:sz w:val="22"/>
          <w:szCs w:val="22"/>
        </w:rPr>
        <w:t>Study 1.1: Mean serum concentration of Inflectra over time was similar to Infliximab in both the pharmacokinetic population and the antibody negative subgroup.  AUC</w:t>
      </w:r>
      <w:r w:rsidRPr="003365D6">
        <w:rPr>
          <w:sz w:val="22"/>
          <w:szCs w:val="22"/>
          <w:vertAlign w:val="subscript"/>
        </w:rPr>
        <w:t>τ</w:t>
      </w:r>
      <w:r w:rsidRPr="003365D6">
        <w:rPr>
          <w:rFonts w:ascii="Arial" w:hAnsi="Arial"/>
          <w:sz w:val="22"/>
          <w:szCs w:val="22"/>
        </w:rPr>
        <w:t xml:space="preserve"> and C</w:t>
      </w:r>
      <w:r w:rsidRPr="003365D6">
        <w:rPr>
          <w:rFonts w:ascii="Arial" w:hAnsi="Arial"/>
          <w:sz w:val="22"/>
          <w:szCs w:val="22"/>
          <w:vertAlign w:val="subscript"/>
        </w:rPr>
        <w:t>max,ss</w:t>
      </w:r>
      <w:r w:rsidRPr="003365D6">
        <w:rPr>
          <w:rFonts w:ascii="Arial" w:hAnsi="Arial"/>
          <w:sz w:val="22"/>
          <w:szCs w:val="22"/>
        </w:rPr>
        <w:t xml:space="preserve"> were similar for Inflectra and Infliximab in both the pharmacokinetic population and the antibody negative subgroup.  The Delegate’s overview indicated that the AUC results for the antibody positive subgroup were outside the normal bioequivalence limits of 80-125% but were within the bioequivalence limits for C</w:t>
      </w:r>
      <w:r w:rsidRPr="003365D6">
        <w:rPr>
          <w:rFonts w:ascii="Arial" w:hAnsi="Arial"/>
          <w:sz w:val="22"/>
          <w:szCs w:val="22"/>
          <w:vertAlign w:val="subscript"/>
        </w:rPr>
        <w:t>max</w:t>
      </w:r>
      <w:r w:rsidR="003824F2">
        <w:rPr>
          <w:rFonts w:ascii="Arial" w:hAnsi="Arial"/>
          <w:sz w:val="22"/>
          <w:szCs w:val="22"/>
          <w:vertAlign w:val="subscript"/>
        </w:rPr>
        <w:t>.</w:t>
      </w:r>
      <w:r w:rsidRPr="003365D6">
        <w:rPr>
          <w:rFonts w:ascii="Arial" w:hAnsi="Arial"/>
          <w:sz w:val="22"/>
          <w:szCs w:val="22"/>
        </w:rPr>
        <w:t xml:space="preserve"> The antibody positive population was small (32 patients in the Inflectra arm and 34 patients in the Infliximab arm) so there was unlikely to be sufficient power to determine bioequivalence between the groups.  This subgroup was defined by an outcome of treatment, so randomisation could not be stratified and imbalances in other (possibly confounding) characteristics between the groups cannot be ruled out.  The sponsor has confirmed that Study 1.1 was not powered to detect a difference in AUC</w:t>
      </w:r>
      <w:r w:rsidRPr="003365D6">
        <w:rPr>
          <w:sz w:val="22"/>
          <w:szCs w:val="22"/>
        </w:rPr>
        <w:t>τ</w:t>
      </w:r>
      <w:r w:rsidRPr="003365D6">
        <w:rPr>
          <w:rFonts w:ascii="Arial" w:hAnsi="Arial"/>
          <w:sz w:val="22"/>
          <w:szCs w:val="22"/>
        </w:rPr>
        <w:t xml:space="preserve"> in the antibody positive population.</w:t>
      </w:r>
    </w:p>
    <w:p w:rsidR="00C2531D" w:rsidRPr="003365D6" w:rsidRDefault="00C2531D" w:rsidP="00C2531D">
      <w:pPr>
        <w:jc w:val="both"/>
        <w:rPr>
          <w:rFonts w:ascii="Arial" w:hAnsi="Arial"/>
          <w:sz w:val="22"/>
          <w:szCs w:val="22"/>
        </w:rPr>
      </w:pPr>
    </w:p>
    <w:p w:rsidR="003824F2" w:rsidRDefault="00C2531D" w:rsidP="00626C74">
      <w:pPr>
        <w:pStyle w:val="ListParagraph"/>
        <w:numPr>
          <w:ilvl w:val="1"/>
          <w:numId w:val="2"/>
        </w:numPr>
        <w:jc w:val="both"/>
        <w:rPr>
          <w:rFonts w:ascii="Arial" w:hAnsi="Arial"/>
          <w:sz w:val="22"/>
          <w:szCs w:val="22"/>
        </w:rPr>
      </w:pPr>
      <w:r w:rsidRPr="003824F2">
        <w:rPr>
          <w:rFonts w:ascii="Arial" w:hAnsi="Arial"/>
          <w:sz w:val="22"/>
          <w:szCs w:val="22"/>
        </w:rPr>
        <w:t>The ACPM advised that “The PK data on comparison of the biosimilar to the innovator support the premise that PK characteristics were comparable in the studies and that there was no difference in the rate of formation of anti-drug antibodies</w:t>
      </w:r>
      <w:r w:rsidR="006D50C9" w:rsidRPr="003824F2">
        <w:rPr>
          <w:rFonts w:ascii="Arial" w:hAnsi="Arial"/>
          <w:sz w:val="22"/>
          <w:szCs w:val="22"/>
        </w:rPr>
        <w:t>”</w:t>
      </w:r>
      <w:r w:rsidR="003824F2">
        <w:rPr>
          <w:rFonts w:ascii="Arial" w:hAnsi="Arial"/>
          <w:sz w:val="22"/>
          <w:szCs w:val="22"/>
        </w:rPr>
        <w:t>.</w:t>
      </w:r>
    </w:p>
    <w:p w:rsidR="00C2531D" w:rsidRPr="003824F2" w:rsidRDefault="00C2531D" w:rsidP="00626C74">
      <w:pPr>
        <w:pStyle w:val="ListParagraph"/>
        <w:jc w:val="both"/>
        <w:rPr>
          <w:rFonts w:ascii="Arial" w:hAnsi="Arial"/>
          <w:sz w:val="22"/>
          <w:szCs w:val="22"/>
        </w:rPr>
      </w:pPr>
      <w:r w:rsidRPr="003824F2">
        <w:rPr>
          <w:rFonts w:ascii="Arial" w:hAnsi="Arial"/>
          <w:sz w:val="22"/>
          <w:szCs w:val="22"/>
        </w:rPr>
        <w:t xml:space="preserve"> </w:t>
      </w:r>
    </w:p>
    <w:p w:rsidR="00C2531D" w:rsidRPr="003365D6" w:rsidRDefault="00C2531D" w:rsidP="00C2531D">
      <w:pPr>
        <w:pStyle w:val="ListParagraph"/>
        <w:numPr>
          <w:ilvl w:val="1"/>
          <w:numId w:val="2"/>
        </w:numPr>
        <w:jc w:val="both"/>
        <w:rPr>
          <w:rFonts w:ascii="Arial" w:hAnsi="Arial"/>
          <w:sz w:val="22"/>
          <w:szCs w:val="22"/>
        </w:rPr>
      </w:pPr>
      <w:r w:rsidRPr="003365D6">
        <w:rPr>
          <w:rFonts w:ascii="Arial" w:hAnsi="Arial"/>
          <w:sz w:val="22"/>
          <w:szCs w:val="22"/>
        </w:rPr>
        <w:t xml:space="preserve">The ACPM noted that the PK dataset “had only been obtained over a limited dose range (3-5mg/kg every 8 weeks)” and stated that this dose may be increased to 10mg/kg every 6-8 weeks in IBD conditions.  </w:t>
      </w:r>
      <w:r w:rsidR="00DC4F54" w:rsidRPr="003365D6">
        <w:rPr>
          <w:rFonts w:ascii="Arial" w:hAnsi="Arial"/>
          <w:sz w:val="22"/>
          <w:szCs w:val="22"/>
        </w:rPr>
        <w:t xml:space="preserve">The maximum PBS subsidised dose for Remicade is 5mg/kg for all indications with the exception of rheumatoid arthritis, for which it is 3mg/kg.  </w:t>
      </w:r>
      <w:r w:rsidR="00E45CE6" w:rsidRPr="003365D6">
        <w:rPr>
          <w:rFonts w:ascii="Arial" w:hAnsi="Arial"/>
          <w:sz w:val="22"/>
          <w:szCs w:val="22"/>
        </w:rPr>
        <w:t xml:space="preserve">Therefore, the pharmacokinetic dataset provided to the TGA is relevant to the dose ranges currently reimbursed through the PBS.  </w:t>
      </w:r>
      <w:r w:rsidRPr="003365D6">
        <w:rPr>
          <w:rFonts w:ascii="Arial" w:hAnsi="Arial"/>
          <w:sz w:val="22"/>
          <w:szCs w:val="22"/>
        </w:rPr>
        <w:t xml:space="preserve">The ACPM noted that “the clinical evaluator was satisfied that PK comparability between test and reference had been demonstrated”. </w:t>
      </w:r>
    </w:p>
    <w:p w:rsidR="00C2531D" w:rsidRPr="003365D6" w:rsidRDefault="00C2531D" w:rsidP="00C2531D">
      <w:pPr>
        <w:jc w:val="both"/>
        <w:rPr>
          <w:rFonts w:ascii="Arial" w:hAnsi="Arial"/>
          <w:sz w:val="22"/>
          <w:szCs w:val="22"/>
        </w:rPr>
      </w:pPr>
    </w:p>
    <w:p w:rsidR="00C2531D" w:rsidRPr="003365D6" w:rsidRDefault="00C2531D" w:rsidP="00C2531D">
      <w:pPr>
        <w:pStyle w:val="ListParagraph"/>
        <w:numPr>
          <w:ilvl w:val="1"/>
          <w:numId w:val="2"/>
        </w:numPr>
        <w:jc w:val="both"/>
        <w:rPr>
          <w:rFonts w:ascii="Arial" w:hAnsi="Arial"/>
          <w:sz w:val="22"/>
          <w:szCs w:val="22"/>
        </w:rPr>
      </w:pPr>
      <w:r w:rsidRPr="003365D6">
        <w:rPr>
          <w:rFonts w:ascii="Arial" w:hAnsi="Arial"/>
          <w:sz w:val="22"/>
          <w:szCs w:val="22"/>
        </w:rPr>
        <w:t>The sponsor provided additional evidence regarding pharmacokinetic equivalence between Inflectra and Infliximab at doses greater than 5mg/kg (provided as Appendix 8 to the supplementary clinical section).  The report concluded:</w:t>
      </w:r>
    </w:p>
    <w:p w:rsidR="00C2531D" w:rsidRPr="003365D6" w:rsidRDefault="00C2531D" w:rsidP="00C2531D">
      <w:pPr>
        <w:jc w:val="both"/>
        <w:rPr>
          <w:rFonts w:ascii="Arial" w:hAnsi="Arial"/>
          <w:sz w:val="22"/>
          <w:szCs w:val="22"/>
        </w:rPr>
      </w:pPr>
    </w:p>
    <w:p w:rsidR="00C2531D" w:rsidRPr="003365D6" w:rsidRDefault="00C2531D" w:rsidP="00C2531D">
      <w:pPr>
        <w:ind w:left="709"/>
        <w:jc w:val="both"/>
        <w:rPr>
          <w:rFonts w:ascii="Arial" w:hAnsi="Arial"/>
          <w:sz w:val="22"/>
          <w:szCs w:val="22"/>
        </w:rPr>
      </w:pPr>
      <w:r w:rsidRPr="003365D6">
        <w:rPr>
          <w:rFonts w:ascii="Arial" w:hAnsi="Arial"/>
          <w:sz w:val="22"/>
          <w:szCs w:val="22"/>
        </w:rPr>
        <w:t xml:space="preserve">“no pharmacokinetic differences were observed between Remicade and CT-P13 [Inflectra] and pharmacokinetics of CT-P13 was expected to be linear in the dose range of 3-10mg/kg.” </w:t>
      </w:r>
    </w:p>
    <w:p w:rsidR="00BA3928" w:rsidRPr="003365D6" w:rsidRDefault="00BA3928" w:rsidP="00275486">
      <w:pPr>
        <w:rPr>
          <w:rFonts w:ascii="Arial" w:hAnsi="Arial"/>
          <w:b/>
          <w:i/>
          <w:sz w:val="22"/>
          <w:szCs w:val="22"/>
        </w:rPr>
      </w:pPr>
    </w:p>
    <w:p w:rsidR="0015404E" w:rsidRPr="003365D6" w:rsidRDefault="0015404E" w:rsidP="001216FE">
      <w:pPr>
        <w:ind w:firstLine="709"/>
        <w:rPr>
          <w:rFonts w:ascii="Arial" w:hAnsi="Arial"/>
          <w:b/>
          <w:sz w:val="22"/>
          <w:szCs w:val="22"/>
          <w:u w:val="single"/>
        </w:rPr>
      </w:pPr>
      <w:r w:rsidRPr="003365D6">
        <w:rPr>
          <w:rFonts w:ascii="Arial" w:hAnsi="Arial"/>
          <w:b/>
          <w:sz w:val="22"/>
          <w:szCs w:val="22"/>
          <w:u w:val="single"/>
        </w:rPr>
        <w:t xml:space="preserve">Comparative </w:t>
      </w:r>
      <w:r w:rsidR="0057758A" w:rsidRPr="003365D6">
        <w:rPr>
          <w:rFonts w:ascii="Arial" w:hAnsi="Arial"/>
          <w:b/>
          <w:sz w:val="22"/>
          <w:szCs w:val="22"/>
          <w:u w:val="single"/>
        </w:rPr>
        <w:t>effectiveness in patients with</w:t>
      </w:r>
      <w:r w:rsidRPr="003365D6">
        <w:rPr>
          <w:rFonts w:ascii="Arial" w:hAnsi="Arial"/>
          <w:b/>
          <w:sz w:val="22"/>
          <w:szCs w:val="22"/>
          <w:u w:val="single"/>
        </w:rPr>
        <w:t xml:space="preserve"> </w:t>
      </w:r>
      <w:r w:rsidR="0057758A" w:rsidRPr="003365D6">
        <w:rPr>
          <w:rFonts w:ascii="Arial" w:hAnsi="Arial"/>
          <w:b/>
          <w:sz w:val="22"/>
          <w:szCs w:val="22"/>
          <w:u w:val="single"/>
        </w:rPr>
        <w:t>p</w:t>
      </w:r>
      <w:r w:rsidRPr="003365D6">
        <w:rPr>
          <w:rFonts w:ascii="Arial" w:hAnsi="Arial"/>
          <w:b/>
          <w:sz w:val="22"/>
          <w:szCs w:val="22"/>
          <w:u w:val="single"/>
        </w:rPr>
        <w:t xml:space="preserve">soriatic </w:t>
      </w:r>
      <w:r w:rsidR="0057758A" w:rsidRPr="003365D6">
        <w:rPr>
          <w:rFonts w:ascii="Arial" w:hAnsi="Arial"/>
          <w:b/>
          <w:sz w:val="22"/>
          <w:szCs w:val="22"/>
          <w:u w:val="single"/>
        </w:rPr>
        <w:t>a</w:t>
      </w:r>
      <w:r w:rsidRPr="003365D6">
        <w:rPr>
          <w:rFonts w:ascii="Arial" w:hAnsi="Arial"/>
          <w:b/>
          <w:sz w:val="22"/>
          <w:szCs w:val="22"/>
          <w:u w:val="single"/>
        </w:rPr>
        <w:t>rthritis</w:t>
      </w:r>
    </w:p>
    <w:p w:rsidR="00033BFD" w:rsidRPr="003365D6" w:rsidRDefault="0015404E" w:rsidP="00D17646">
      <w:pPr>
        <w:pStyle w:val="ListParagraph"/>
        <w:numPr>
          <w:ilvl w:val="1"/>
          <w:numId w:val="2"/>
        </w:numPr>
        <w:jc w:val="both"/>
        <w:rPr>
          <w:rFonts w:ascii="Arial" w:hAnsi="Arial"/>
          <w:sz w:val="22"/>
          <w:szCs w:val="22"/>
        </w:rPr>
      </w:pPr>
      <w:r w:rsidRPr="003365D6">
        <w:rPr>
          <w:rFonts w:ascii="Arial" w:hAnsi="Arial"/>
          <w:sz w:val="22"/>
          <w:szCs w:val="22"/>
        </w:rPr>
        <w:t xml:space="preserve">The minor submission </w:t>
      </w:r>
      <w:r w:rsidR="00A12E05" w:rsidRPr="003365D6">
        <w:rPr>
          <w:rFonts w:ascii="Arial" w:hAnsi="Arial"/>
          <w:sz w:val="22"/>
          <w:szCs w:val="22"/>
        </w:rPr>
        <w:t>did</w:t>
      </w:r>
      <w:r w:rsidRPr="003365D6">
        <w:rPr>
          <w:rFonts w:ascii="Arial" w:hAnsi="Arial"/>
          <w:sz w:val="22"/>
          <w:szCs w:val="22"/>
        </w:rPr>
        <w:t xml:space="preserve"> not provide</w:t>
      </w:r>
      <w:r w:rsidR="00A12E05" w:rsidRPr="003365D6">
        <w:rPr>
          <w:rFonts w:ascii="Arial" w:hAnsi="Arial"/>
          <w:sz w:val="22"/>
          <w:szCs w:val="22"/>
        </w:rPr>
        <w:t xml:space="preserve"> evidence addressing the</w:t>
      </w:r>
      <w:r w:rsidRPr="003365D6">
        <w:rPr>
          <w:rFonts w:ascii="Arial" w:hAnsi="Arial"/>
          <w:sz w:val="22"/>
          <w:szCs w:val="22"/>
        </w:rPr>
        <w:t xml:space="preserve"> comparative effectiveness </w:t>
      </w:r>
      <w:r w:rsidR="00A12E05" w:rsidRPr="003365D6">
        <w:rPr>
          <w:rFonts w:ascii="Arial" w:hAnsi="Arial"/>
          <w:sz w:val="22"/>
          <w:szCs w:val="22"/>
        </w:rPr>
        <w:t xml:space="preserve">of Inflectra and Remicade in </w:t>
      </w:r>
      <w:r w:rsidRPr="003365D6">
        <w:rPr>
          <w:rFonts w:ascii="Arial" w:hAnsi="Arial"/>
          <w:sz w:val="22"/>
          <w:szCs w:val="22"/>
        </w:rPr>
        <w:t xml:space="preserve">patients with </w:t>
      </w:r>
      <w:r w:rsidR="00A12E05" w:rsidRPr="003365D6">
        <w:rPr>
          <w:rFonts w:ascii="Arial" w:hAnsi="Arial"/>
          <w:sz w:val="22"/>
          <w:szCs w:val="22"/>
        </w:rPr>
        <w:t xml:space="preserve">severe active </w:t>
      </w:r>
      <w:r w:rsidRPr="003365D6">
        <w:rPr>
          <w:rFonts w:ascii="Arial" w:hAnsi="Arial"/>
          <w:sz w:val="22"/>
          <w:szCs w:val="22"/>
        </w:rPr>
        <w:t>psoriatic arthritis.</w:t>
      </w:r>
    </w:p>
    <w:p w:rsidR="00033BFD" w:rsidRPr="003365D6" w:rsidRDefault="00033BFD" w:rsidP="00275486">
      <w:pPr>
        <w:rPr>
          <w:rFonts w:ascii="Arial" w:hAnsi="Arial"/>
          <w:sz w:val="22"/>
          <w:szCs w:val="22"/>
        </w:rPr>
      </w:pPr>
    </w:p>
    <w:p w:rsidR="0015404E" w:rsidRPr="003365D6" w:rsidRDefault="00510145" w:rsidP="00D17646">
      <w:pPr>
        <w:pStyle w:val="ListParagraph"/>
        <w:numPr>
          <w:ilvl w:val="1"/>
          <w:numId w:val="2"/>
        </w:numPr>
        <w:jc w:val="both"/>
        <w:rPr>
          <w:rFonts w:ascii="Arial" w:hAnsi="Arial"/>
          <w:sz w:val="22"/>
          <w:szCs w:val="22"/>
        </w:rPr>
      </w:pPr>
      <w:r w:rsidRPr="003365D6">
        <w:rPr>
          <w:rFonts w:ascii="Arial" w:hAnsi="Arial"/>
          <w:sz w:val="22"/>
          <w:szCs w:val="22"/>
        </w:rPr>
        <w:t xml:space="preserve">The ACPM noted that while there were some differences between </w:t>
      </w:r>
      <w:r w:rsidR="0057758A" w:rsidRPr="003365D6">
        <w:rPr>
          <w:rFonts w:ascii="Arial" w:hAnsi="Arial"/>
          <w:sz w:val="22"/>
          <w:szCs w:val="22"/>
        </w:rPr>
        <w:t>rheumatoid arthritis</w:t>
      </w:r>
      <w:r w:rsidRPr="003365D6">
        <w:rPr>
          <w:rFonts w:ascii="Arial" w:hAnsi="Arial"/>
          <w:sz w:val="22"/>
          <w:szCs w:val="22"/>
        </w:rPr>
        <w:t xml:space="preserve"> and </w:t>
      </w:r>
      <w:r w:rsidR="0057758A" w:rsidRPr="003365D6">
        <w:rPr>
          <w:rFonts w:ascii="Arial" w:hAnsi="Arial"/>
          <w:sz w:val="22"/>
          <w:szCs w:val="22"/>
        </w:rPr>
        <w:t>psoriatic arthritis</w:t>
      </w:r>
      <w:r w:rsidRPr="003365D6">
        <w:rPr>
          <w:rFonts w:ascii="Arial" w:hAnsi="Arial"/>
          <w:sz w:val="22"/>
          <w:szCs w:val="22"/>
        </w:rPr>
        <w:t>, some therapeutic targets are the same and extrapolation to</w:t>
      </w:r>
      <w:r w:rsidR="00033BFD" w:rsidRPr="003365D6">
        <w:rPr>
          <w:rFonts w:ascii="Arial" w:hAnsi="Arial"/>
          <w:sz w:val="22"/>
          <w:szCs w:val="22"/>
        </w:rPr>
        <w:t xml:space="preserve"> this indication was acceptable</w:t>
      </w:r>
      <w:r w:rsidR="0024596C">
        <w:rPr>
          <w:rFonts w:ascii="Arial" w:hAnsi="Arial"/>
          <w:sz w:val="22"/>
          <w:szCs w:val="22"/>
        </w:rPr>
        <w:t>.</w:t>
      </w:r>
    </w:p>
    <w:p w:rsidR="0015404E" w:rsidRPr="003365D6" w:rsidRDefault="0015404E" w:rsidP="00275486">
      <w:pPr>
        <w:rPr>
          <w:rFonts w:ascii="Arial" w:hAnsi="Arial"/>
          <w:sz w:val="22"/>
          <w:szCs w:val="22"/>
        </w:rPr>
      </w:pPr>
    </w:p>
    <w:p w:rsidR="0015404E" w:rsidRPr="003365D6" w:rsidRDefault="0015404E" w:rsidP="001216FE">
      <w:pPr>
        <w:ind w:firstLine="720"/>
        <w:rPr>
          <w:rFonts w:ascii="Arial" w:hAnsi="Arial"/>
          <w:b/>
          <w:sz w:val="22"/>
          <w:szCs w:val="22"/>
          <w:u w:val="single"/>
        </w:rPr>
      </w:pPr>
      <w:r w:rsidRPr="003365D6">
        <w:rPr>
          <w:rFonts w:ascii="Arial" w:hAnsi="Arial"/>
          <w:b/>
          <w:sz w:val="22"/>
          <w:szCs w:val="22"/>
          <w:u w:val="single"/>
        </w:rPr>
        <w:t xml:space="preserve">Comparative </w:t>
      </w:r>
      <w:r w:rsidR="0057758A" w:rsidRPr="003365D6">
        <w:rPr>
          <w:rFonts w:ascii="Arial" w:hAnsi="Arial"/>
          <w:b/>
          <w:sz w:val="22"/>
          <w:szCs w:val="22"/>
          <w:u w:val="single"/>
        </w:rPr>
        <w:t>effectiveness in patients with</w:t>
      </w:r>
      <w:r w:rsidRPr="003365D6">
        <w:rPr>
          <w:rFonts w:ascii="Arial" w:hAnsi="Arial"/>
          <w:b/>
          <w:sz w:val="22"/>
          <w:szCs w:val="22"/>
          <w:u w:val="single"/>
        </w:rPr>
        <w:t xml:space="preserve"> </w:t>
      </w:r>
      <w:r w:rsidR="0057758A" w:rsidRPr="003365D6">
        <w:rPr>
          <w:rFonts w:ascii="Arial" w:hAnsi="Arial"/>
          <w:b/>
          <w:sz w:val="22"/>
          <w:szCs w:val="22"/>
          <w:u w:val="single"/>
        </w:rPr>
        <w:t>p</w:t>
      </w:r>
      <w:r w:rsidRPr="003365D6">
        <w:rPr>
          <w:rFonts w:ascii="Arial" w:hAnsi="Arial"/>
          <w:b/>
          <w:sz w:val="22"/>
          <w:szCs w:val="22"/>
          <w:u w:val="single"/>
        </w:rPr>
        <w:t>soriasis</w:t>
      </w:r>
    </w:p>
    <w:p w:rsidR="00033BFD" w:rsidRPr="003365D6" w:rsidRDefault="00A12E05" w:rsidP="00D17646">
      <w:pPr>
        <w:pStyle w:val="ListParagraph"/>
        <w:numPr>
          <w:ilvl w:val="1"/>
          <w:numId w:val="2"/>
        </w:numPr>
        <w:jc w:val="both"/>
        <w:rPr>
          <w:rFonts w:ascii="Arial" w:hAnsi="Arial"/>
          <w:sz w:val="22"/>
          <w:szCs w:val="22"/>
        </w:rPr>
      </w:pPr>
      <w:r w:rsidRPr="003365D6">
        <w:rPr>
          <w:rFonts w:ascii="Arial" w:hAnsi="Arial"/>
          <w:sz w:val="22"/>
          <w:szCs w:val="22"/>
        </w:rPr>
        <w:t>The minor submission did not provide evidence addressing the comparative effectiveness of Inflectra and Remicade in patients with severe chronic plaque psoriasis.</w:t>
      </w:r>
    </w:p>
    <w:p w:rsidR="00033BFD" w:rsidRPr="003365D6" w:rsidRDefault="00033BFD" w:rsidP="00275486">
      <w:pPr>
        <w:rPr>
          <w:rFonts w:ascii="Arial" w:hAnsi="Arial"/>
          <w:sz w:val="22"/>
          <w:szCs w:val="22"/>
        </w:rPr>
      </w:pPr>
    </w:p>
    <w:p w:rsidR="0015404E" w:rsidRPr="003365D6" w:rsidRDefault="00510145" w:rsidP="00D17646">
      <w:pPr>
        <w:pStyle w:val="ListParagraph"/>
        <w:numPr>
          <w:ilvl w:val="1"/>
          <w:numId w:val="2"/>
        </w:numPr>
        <w:jc w:val="both"/>
        <w:rPr>
          <w:rFonts w:ascii="Arial" w:hAnsi="Arial"/>
          <w:sz w:val="22"/>
          <w:szCs w:val="22"/>
        </w:rPr>
      </w:pPr>
      <w:r w:rsidRPr="003365D6">
        <w:rPr>
          <w:rFonts w:ascii="Arial" w:hAnsi="Arial"/>
          <w:sz w:val="22"/>
          <w:szCs w:val="22"/>
        </w:rPr>
        <w:t>The ACPM agreed that, “since binding sTNF</w:t>
      </w:r>
      <w:r w:rsidRPr="003365D6">
        <w:rPr>
          <w:rFonts w:ascii="Arial" w:hAnsi="Arial" w:cs="Arial"/>
          <w:sz w:val="22"/>
          <w:szCs w:val="22"/>
        </w:rPr>
        <w:t>α</w:t>
      </w:r>
      <w:r w:rsidRPr="003365D6">
        <w:rPr>
          <w:rFonts w:ascii="Arial" w:hAnsi="Arial"/>
          <w:sz w:val="22"/>
          <w:szCs w:val="22"/>
        </w:rPr>
        <w:t xml:space="preserve"> appears to be a major mode of action of TNF antagonists in </w:t>
      </w:r>
      <w:r w:rsidR="0057758A" w:rsidRPr="003365D6">
        <w:rPr>
          <w:rFonts w:ascii="Arial" w:hAnsi="Arial"/>
          <w:sz w:val="22"/>
          <w:szCs w:val="22"/>
        </w:rPr>
        <w:t>p</w:t>
      </w:r>
      <w:r w:rsidRPr="003365D6">
        <w:rPr>
          <w:rFonts w:ascii="Arial" w:hAnsi="Arial"/>
          <w:sz w:val="22"/>
          <w:szCs w:val="22"/>
        </w:rPr>
        <w:t>soriasis, extrapolation to psoriasis is acceptable”</w:t>
      </w:r>
      <w:r w:rsidR="007B2E5F">
        <w:rPr>
          <w:rFonts w:ascii="Arial" w:hAnsi="Arial"/>
          <w:sz w:val="22"/>
          <w:szCs w:val="22"/>
        </w:rPr>
        <w:t>.</w:t>
      </w:r>
    </w:p>
    <w:p w:rsidR="00A12E05" w:rsidRPr="003365D6" w:rsidRDefault="00A12E05" w:rsidP="00275486">
      <w:pPr>
        <w:rPr>
          <w:rFonts w:ascii="Arial" w:hAnsi="Arial"/>
          <w:sz w:val="22"/>
          <w:szCs w:val="22"/>
        </w:rPr>
      </w:pPr>
    </w:p>
    <w:p w:rsidR="0015404E" w:rsidRPr="003365D6" w:rsidRDefault="0015404E" w:rsidP="00CE2A00">
      <w:pPr>
        <w:keepNext/>
        <w:ind w:left="720"/>
        <w:rPr>
          <w:rFonts w:ascii="Arial" w:hAnsi="Arial"/>
          <w:b/>
          <w:sz w:val="22"/>
          <w:szCs w:val="22"/>
          <w:u w:val="single"/>
        </w:rPr>
      </w:pPr>
      <w:r w:rsidRPr="003365D6">
        <w:rPr>
          <w:rFonts w:ascii="Arial" w:hAnsi="Arial"/>
          <w:b/>
          <w:sz w:val="22"/>
          <w:szCs w:val="22"/>
          <w:u w:val="single"/>
        </w:rPr>
        <w:t xml:space="preserve">Comparative </w:t>
      </w:r>
      <w:r w:rsidR="0057758A" w:rsidRPr="003365D6">
        <w:rPr>
          <w:rFonts w:ascii="Arial" w:hAnsi="Arial"/>
          <w:b/>
          <w:sz w:val="22"/>
          <w:szCs w:val="22"/>
          <w:u w:val="single"/>
        </w:rPr>
        <w:t>effectiveness in patients with</w:t>
      </w:r>
      <w:r w:rsidRPr="003365D6">
        <w:rPr>
          <w:rFonts w:ascii="Arial" w:hAnsi="Arial"/>
          <w:b/>
          <w:sz w:val="22"/>
          <w:szCs w:val="22"/>
          <w:u w:val="single"/>
        </w:rPr>
        <w:t xml:space="preserve"> Crohn’</w:t>
      </w:r>
      <w:r w:rsidR="00A12E05" w:rsidRPr="003365D6">
        <w:rPr>
          <w:rFonts w:ascii="Arial" w:hAnsi="Arial"/>
          <w:b/>
          <w:sz w:val="22"/>
          <w:szCs w:val="22"/>
          <w:u w:val="single"/>
        </w:rPr>
        <w:t xml:space="preserve">s disease and </w:t>
      </w:r>
      <w:r w:rsidR="0057758A" w:rsidRPr="003365D6">
        <w:rPr>
          <w:rFonts w:ascii="Arial" w:hAnsi="Arial"/>
          <w:b/>
          <w:sz w:val="22"/>
          <w:szCs w:val="22"/>
          <w:u w:val="single"/>
        </w:rPr>
        <w:t>u</w:t>
      </w:r>
      <w:r w:rsidR="00A12E05" w:rsidRPr="003365D6">
        <w:rPr>
          <w:rFonts w:ascii="Arial" w:hAnsi="Arial"/>
          <w:b/>
          <w:sz w:val="22"/>
          <w:szCs w:val="22"/>
          <w:u w:val="single"/>
        </w:rPr>
        <w:t xml:space="preserve">lcerative </w:t>
      </w:r>
      <w:r w:rsidR="0057758A" w:rsidRPr="003365D6">
        <w:rPr>
          <w:rFonts w:ascii="Arial" w:hAnsi="Arial"/>
          <w:b/>
          <w:sz w:val="22"/>
          <w:szCs w:val="22"/>
          <w:u w:val="single"/>
        </w:rPr>
        <w:t>c</w:t>
      </w:r>
      <w:r w:rsidR="00A12E05" w:rsidRPr="003365D6">
        <w:rPr>
          <w:rFonts w:ascii="Arial" w:hAnsi="Arial"/>
          <w:b/>
          <w:sz w:val="22"/>
          <w:szCs w:val="22"/>
          <w:u w:val="single"/>
        </w:rPr>
        <w:t>olitis</w:t>
      </w:r>
    </w:p>
    <w:p w:rsidR="00A12E05" w:rsidRPr="003365D6" w:rsidRDefault="00A12E05" w:rsidP="00D17646">
      <w:pPr>
        <w:pStyle w:val="ListParagraph"/>
        <w:numPr>
          <w:ilvl w:val="1"/>
          <w:numId w:val="2"/>
        </w:numPr>
        <w:jc w:val="both"/>
        <w:rPr>
          <w:rFonts w:ascii="Arial" w:hAnsi="Arial"/>
          <w:sz w:val="22"/>
          <w:szCs w:val="22"/>
        </w:rPr>
      </w:pPr>
      <w:r w:rsidRPr="003365D6">
        <w:rPr>
          <w:rFonts w:ascii="Arial" w:hAnsi="Arial"/>
          <w:sz w:val="22"/>
          <w:szCs w:val="22"/>
        </w:rPr>
        <w:t xml:space="preserve">The minor submission did not provide evidence addressing the </w:t>
      </w:r>
      <w:r w:rsidR="005532AF" w:rsidRPr="003365D6">
        <w:rPr>
          <w:rFonts w:ascii="Arial" w:hAnsi="Arial"/>
          <w:sz w:val="22"/>
          <w:szCs w:val="22"/>
        </w:rPr>
        <w:t xml:space="preserve">comparative effectiveness of Inflectra and Remicade in patients with </w:t>
      </w:r>
      <w:r w:rsidR="002D466D" w:rsidRPr="003365D6">
        <w:rPr>
          <w:rFonts w:ascii="Arial" w:hAnsi="Arial"/>
          <w:sz w:val="22"/>
          <w:szCs w:val="22"/>
        </w:rPr>
        <w:t>Crohn’s disease, fistulising Crohn’s disease, Crohn’s disease in paediatric patients or moderate to severe or acute severe ulcerative colitis.</w:t>
      </w:r>
    </w:p>
    <w:p w:rsidR="00397C58" w:rsidRPr="003365D6" w:rsidRDefault="00397C58" w:rsidP="00275486">
      <w:pPr>
        <w:rPr>
          <w:rFonts w:ascii="Arial" w:hAnsi="Arial"/>
          <w:sz w:val="22"/>
          <w:szCs w:val="22"/>
        </w:rPr>
      </w:pPr>
    </w:p>
    <w:p w:rsidR="00397C58" w:rsidRPr="003365D6" w:rsidRDefault="007B2E5F" w:rsidP="00D17646">
      <w:pPr>
        <w:pStyle w:val="ListParagraph"/>
        <w:numPr>
          <w:ilvl w:val="1"/>
          <w:numId w:val="2"/>
        </w:numPr>
        <w:jc w:val="both"/>
        <w:rPr>
          <w:rFonts w:ascii="Arial" w:hAnsi="Arial"/>
          <w:sz w:val="22"/>
          <w:szCs w:val="22"/>
        </w:rPr>
      </w:pPr>
      <w:r>
        <w:rPr>
          <w:rFonts w:ascii="Arial" w:hAnsi="Arial"/>
          <w:sz w:val="22"/>
          <w:szCs w:val="22"/>
        </w:rPr>
        <w:t>T</w:t>
      </w:r>
      <w:r w:rsidR="00397C58" w:rsidRPr="003365D6">
        <w:rPr>
          <w:rFonts w:ascii="Arial" w:hAnsi="Arial"/>
          <w:sz w:val="22"/>
          <w:szCs w:val="22"/>
        </w:rPr>
        <w:t xml:space="preserve">he ACPM </w:t>
      </w:r>
      <w:r>
        <w:rPr>
          <w:rFonts w:ascii="Arial" w:hAnsi="Arial"/>
          <w:sz w:val="22"/>
          <w:szCs w:val="22"/>
        </w:rPr>
        <w:t>initially considered</w:t>
      </w:r>
      <w:r w:rsidR="002A494F" w:rsidRPr="003365D6">
        <w:rPr>
          <w:rFonts w:ascii="Arial" w:hAnsi="Arial"/>
          <w:sz w:val="22"/>
          <w:szCs w:val="22"/>
        </w:rPr>
        <w:t>, based on the provided evidence, that it was difficult to “</w:t>
      </w:r>
      <w:r w:rsidR="00397C58" w:rsidRPr="003365D6">
        <w:rPr>
          <w:rFonts w:ascii="Arial" w:hAnsi="Arial"/>
          <w:sz w:val="22"/>
          <w:szCs w:val="22"/>
        </w:rPr>
        <w:t>justify extrapolation to IBD from the single RA pivotal trial data.”.</w:t>
      </w:r>
      <w:r w:rsidR="002A494F" w:rsidRPr="003365D6">
        <w:rPr>
          <w:rFonts w:ascii="Arial" w:hAnsi="Arial"/>
          <w:sz w:val="22"/>
          <w:szCs w:val="22"/>
        </w:rPr>
        <w:t xml:space="preserve">  The ACPM was concerned about a difference in the binding affinity of Inflectra compared with Remicade at the Fc</w:t>
      </w:r>
      <w:r w:rsidR="002A494F" w:rsidRPr="003365D6">
        <w:rPr>
          <w:rFonts w:ascii="Arial" w:hAnsi="Arial" w:cs="Arial"/>
          <w:sz w:val="22"/>
          <w:szCs w:val="22"/>
        </w:rPr>
        <w:t>γ</w:t>
      </w:r>
      <w:r w:rsidR="002A494F" w:rsidRPr="003365D6">
        <w:rPr>
          <w:rFonts w:ascii="Arial" w:hAnsi="Arial"/>
          <w:sz w:val="22"/>
          <w:szCs w:val="22"/>
        </w:rPr>
        <w:t xml:space="preserve">RIIIa binding site, which may be important in IBD conditions. </w:t>
      </w:r>
    </w:p>
    <w:p w:rsidR="00F62F24" w:rsidRPr="003365D6" w:rsidRDefault="00F62F24" w:rsidP="00387E0B">
      <w:pPr>
        <w:rPr>
          <w:rFonts w:ascii="Arial" w:hAnsi="Arial" w:cs="Arial"/>
          <w:sz w:val="22"/>
          <w:szCs w:val="22"/>
        </w:rPr>
      </w:pPr>
    </w:p>
    <w:p w:rsidR="00A616ED" w:rsidRPr="003365D6" w:rsidRDefault="002A494F" w:rsidP="00BD3023">
      <w:pPr>
        <w:pStyle w:val="ListParagraph"/>
        <w:numPr>
          <w:ilvl w:val="1"/>
          <w:numId w:val="2"/>
        </w:numPr>
        <w:jc w:val="both"/>
        <w:rPr>
          <w:rFonts w:ascii="Arial" w:hAnsi="Arial"/>
          <w:sz w:val="22"/>
          <w:szCs w:val="22"/>
        </w:rPr>
      </w:pPr>
      <w:r w:rsidRPr="003365D6">
        <w:rPr>
          <w:rFonts w:ascii="Arial" w:hAnsi="Arial"/>
          <w:sz w:val="22"/>
          <w:szCs w:val="22"/>
        </w:rPr>
        <w:t>In the response to the ACPM’s concerns, t</w:t>
      </w:r>
      <w:r w:rsidR="00A616ED" w:rsidRPr="003365D6">
        <w:rPr>
          <w:rFonts w:ascii="Arial" w:hAnsi="Arial"/>
          <w:sz w:val="22"/>
          <w:szCs w:val="22"/>
        </w:rPr>
        <w:t xml:space="preserve">he sponsor provided a </w:t>
      </w:r>
      <w:r w:rsidRPr="003365D6">
        <w:rPr>
          <w:rFonts w:ascii="Arial" w:hAnsi="Arial"/>
          <w:sz w:val="22"/>
          <w:szCs w:val="22"/>
        </w:rPr>
        <w:t>discussion of the relevance of Fc</w:t>
      </w:r>
      <w:r w:rsidRPr="003365D6">
        <w:rPr>
          <w:rFonts w:ascii="Arial" w:hAnsi="Arial" w:cs="Arial"/>
          <w:sz w:val="22"/>
          <w:szCs w:val="22"/>
        </w:rPr>
        <w:t>γ</w:t>
      </w:r>
      <w:r w:rsidRPr="003365D6">
        <w:rPr>
          <w:rFonts w:ascii="Arial" w:hAnsi="Arial"/>
          <w:sz w:val="22"/>
          <w:szCs w:val="22"/>
        </w:rPr>
        <w:t xml:space="preserve">RIIIa binding, and whether differences in the affinity of binding would be detected using assays </w:t>
      </w:r>
      <w:r w:rsidR="006C34AC" w:rsidRPr="003365D6">
        <w:rPr>
          <w:rFonts w:ascii="Arial" w:hAnsi="Arial"/>
          <w:sz w:val="22"/>
          <w:szCs w:val="22"/>
        </w:rPr>
        <w:t xml:space="preserve">more representative of an </w:t>
      </w:r>
      <w:r w:rsidR="006C34AC" w:rsidRPr="003365D6">
        <w:rPr>
          <w:rFonts w:ascii="Arial" w:hAnsi="Arial"/>
          <w:i/>
          <w:sz w:val="22"/>
          <w:szCs w:val="22"/>
        </w:rPr>
        <w:t xml:space="preserve">in vivo </w:t>
      </w:r>
      <w:r w:rsidR="006C34AC" w:rsidRPr="003365D6">
        <w:rPr>
          <w:rFonts w:ascii="Arial" w:hAnsi="Arial"/>
          <w:sz w:val="22"/>
          <w:szCs w:val="22"/>
        </w:rPr>
        <w:t>disease model</w:t>
      </w:r>
      <w:r w:rsidRPr="003365D6">
        <w:rPr>
          <w:rFonts w:ascii="Arial" w:hAnsi="Arial"/>
          <w:sz w:val="22"/>
          <w:szCs w:val="22"/>
        </w:rPr>
        <w:t xml:space="preserve">.  In addition, the sponsor provided a </w:t>
      </w:r>
      <w:r w:rsidR="00A616ED" w:rsidRPr="003365D6">
        <w:rPr>
          <w:rFonts w:ascii="Arial" w:hAnsi="Arial"/>
          <w:sz w:val="22"/>
          <w:szCs w:val="22"/>
        </w:rPr>
        <w:t xml:space="preserve">supplementary clinical section to the minor submission that included data from 4 post-marketing studies in patients with Crohn’s disease, fistulising Crohn’s disease and ulcerative colitis.  In total, the reports present data on 528 patients.  </w:t>
      </w:r>
    </w:p>
    <w:p w:rsidR="00EA5676" w:rsidRPr="003365D6" w:rsidRDefault="00EA5676" w:rsidP="00387E0B">
      <w:pPr>
        <w:rPr>
          <w:rFonts w:ascii="Arial" w:hAnsi="Arial"/>
          <w:sz w:val="22"/>
          <w:szCs w:val="22"/>
        </w:rPr>
      </w:pPr>
    </w:p>
    <w:p w:rsidR="00EA5676" w:rsidRPr="003365D6" w:rsidRDefault="00EA5676" w:rsidP="00BD3023">
      <w:pPr>
        <w:pStyle w:val="ListParagraph"/>
        <w:numPr>
          <w:ilvl w:val="1"/>
          <w:numId w:val="2"/>
        </w:numPr>
        <w:jc w:val="both"/>
        <w:rPr>
          <w:rFonts w:ascii="Arial" w:hAnsi="Arial"/>
          <w:sz w:val="22"/>
          <w:szCs w:val="22"/>
        </w:rPr>
      </w:pPr>
      <w:r w:rsidRPr="003365D6">
        <w:rPr>
          <w:rFonts w:ascii="Arial" w:hAnsi="Arial"/>
          <w:sz w:val="22"/>
          <w:szCs w:val="22"/>
        </w:rPr>
        <w:t xml:space="preserve">The results presented in the post marketing studies are </w:t>
      </w:r>
      <w:r w:rsidR="00E81AC1">
        <w:rPr>
          <w:rFonts w:ascii="Arial" w:hAnsi="Arial"/>
          <w:sz w:val="22"/>
          <w:szCs w:val="22"/>
        </w:rPr>
        <w:t>not controlled, and thus do not inform comparisons between Inflectra and Remicade</w:t>
      </w:r>
      <w:r w:rsidRPr="003365D6">
        <w:rPr>
          <w:rFonts w:ascii="Arial" w:hAnsi="Arial"/>
          <w:sz w:val="22"/>
          <w:szCs w:val="22"/>
        </w:rPr>
        <w:t xml:space="preserve">. </w:t>
      </w:r>
      <w:r w:rsidR="00C2531D" w:rsidRPr="003365D6">
        <w:rPr>
          <w:rFonts w:ascii="Arial" w:hAnsi="Arial"/>
          <w:sz w:val="22"/>
          <w:szCs w:val="22"/>
        </w:rPr>
        <w:t>Although a proportion of the patients in these studies had received infliximab or other bDMARDs previously there are no data available that provide an indication of patient response to the reference product relative to the response while receiving the biosimilar.</w:t>
      </w:r>
      <w:r w:rsidR="002A494F" w:rsidRPr="003365D6">
        <w:rPr>
          <w:rFonts w:ascii="Arial" w:hAnsi="Arial"/>
          <w:sz w:val="22"/>
          <w:szCs w:val="22"/>
        </w:rPr>
        <w:t xml:space="preserve">  </w:t>
      </w:r>
      <w:r w:rsidR="00BC1AB5" w:rsidRPr="003365D6">
        <w:rPr>
          <w:rFonts w:ascii="Arial" w:hAnsi="Arial"/>
          <w:sz w:val="22"/>
          <w:szCs w:val="22"/>
        </w:rPr>
        <w:t>P</w:t>
      </w:r>
      <w:r w:rsidR="00C2531D" w:rsidRPr="003365D6">
        <w:rPr>
          <w:rFonts w:ascii="Arial" w:hAnsi="Arial"/>
          <w:sz w:val="22"/>
          <w:szCs w:val="22"/>
        </w:rPr>
        <w:t>atients with Crohn’s disease or ulcerative colitis did respond to treatment with Inflectra, irrespective</w:t>
      </w:r>
      <w:r w:rsidR="00E45CE6" w:rsidRPr="003365D6">
        <w:rPr>
          <w:rFonts w:ascii="Arial" w:hAnsi="Arial"/>
          <w:sz w:val="22"/>
          <w:szCs w:val="22"/>
        </w:rPr>
        <w:t xml:space="preserve"> of prior exposure to bDMARDs.</w:t>
      </w:r>
    </w:p>
    <w:p w:rsidR="0078004B" w:rsidRPr="003365D6" w:rsidRDefault="0078004B" w:rsidP="00387E0B">
      <w:pPr>
        <w:rPr>
          <w:rFonts w:ascii="Arial" w:hAnsi="Arial"/>
          <w:sz w:val="22"/>
          <w:szCs w:val="22"/>
        </w:rPr>
      </w:pPr>
    </w:p>
    <w:p w:rsidR="0078004B" w:rsidRPr="003365D6" w:rsidRDefault="006C34AC" w:rsidP="0078004B">
      <w:pPr>
        <w:pStyle w:val="ListParagraph"/>
        <w:numPr>
          <w:ilvl w:val="1"/>
          <w:numId w:val="2"/>
        </w:numPr>
        <w:jc w:val="both"/>
        <w:rPr>
          <w:rFonts w:ascii="Arial" w:hAnsi="Arial"/>
          <w:sz w:val="22"/>
          <w:szCs w:val="22"/>
        </w:rPr>
      </w:pPr>
      <w:r w:rsidRPr="003365D6">
        <w:rPr>
          <w:rFonts w:ascii="Arial" w:hAnsi="Arial"/>
          <w:sz w:val="22"/>
          <w:szCs w:val="22"/>
        </w:rPr>
        <w:t xml:space="preserve">The ACPM </w:t>
      </w:r>
      <w:r w:rsidR="00EA2F33">
        <w:rPr>
          <w:rFonts w:ascii="Arial" w:hAnsi="Arial"/>
          <w:sz w:val="22"/>
          <w:szCs w:val="22"/>
        </w:rPr>
        <w:t xml:space="preserve">subsequently </w:t>
      </w:r>
      <w:r w:rsidRPr="003365D6">
        <w:rPr>
          <w:rFonts w:ascii="Arial" w:hAnsi="Arial"/>
          <w:sz w:val="22"/>
          <w:szCs w:val="22"/>
        </w:rPr>
        <w:t>recommended that Inflectra has a positive benefit-risk profile for the proposed IBD indications (Crohn’s disease, fistulising Crohn’s disease and ulcerative colitis).</w:t>
      </w:r>
    </w:p>
    <w:p w:rsidR="00BD3023" w:rsidRPr="003365D6" w:rsidRDefault="00BD3023" w:rsidP="006C34AC">
      <w:pPr>
        <w:pStyle w:val="ListParagraph"/>
        <w:jc w:val="both"/>
        <w:rPr>
          <w:rFonts w:ascii="Arial" w:hAnsi="Arial"/>
          <w:sz w:val="22"/>
          <w:szCs w:val="22"/>
        </w:rPr>
      </w:pPr>
    </w:p>
    <w:p w:rsidR="00275486" w:rsidRPr="003365D6" w:rsidRDefault="003635C2" w:rsidP="00275486">
      <w:pPr>
        <w:rPr>
          <w:rFonts w:ascii="Arial" w:hAnsi="Arial"/>
          <w:b/>
          <w:i/>
          <w:sz w:val="22"/>
          <w:szCs w:val="22"/>
        </w:rPr>
      </w:pPr>
      <w:r w:rsidRPr="003365D6">
        <w:rPr>
          <w:rFonts w:ascii="Arial" w:hAnsi="Arial"/>
          <w:b/>
          <w:i/>
          <w:sz w:val="22"/>
          <w:szCs w:val="22"/>
        </w:rPr>
        <w:t>Comparative Harms</w:t>
      </w:r>
    </w:p>
    <w:p w:rsidR="00275486" w:rsidRPr="003365D6" w:rsidRDefault="00275486" w:rsidP="00275486">
      <w:pPr>
        <w:rPr>
          <w:rFonts w:ascii="Arial" w:hAnsi="Arial"/>
          <w:i/>
          <w:sz w:val="22"/>
          <w:szCs w:val="22"/>
        </w:rPr>
      </w:pPr>
    </w:p>
    <w:p w:rsidR="00275486" w:rsidRPr="003365D6" w:rsidRDefault="00275486" w:rsidP="00D17646">
      <w:pPr>
        <w:pStyle w:val="ListParagraph"/>
        <w:numPr>
          <w:ilvl w:val="1"/>
          <w:numId w:val="2"/>
        </w:numPr>
        <w:jc w:val="both"/>
        <w:rPr>
          <w:rFonts w:ascii="Arial" w:hAnsi="Arial"/>
          <w:sz w:val="22"/>
          <w:szCs w:val="22"/>
        </w:rPr>
      </w:pPr>
      <w:r w:rsidRPr="003365D6">
        <w:rPr>
          <w:rFonts w:ascii="Arial" w:hAnsi="Arial"/>
          <w:sz w:val="22"/>
          <w:szCs w:val="22"/>
        </w:rPr>
        <w:t xml:space="preserve">Study 3.1 </w:t>
      </w:r>
      <w:r w:rsidR="00B62734" w:rsidRPr="003365D6">
        <w:rPr>
          <w:rFonts w:ascii="Arial" w:hAnsi="Arial"/>
          <w:sz w:val="22"/>
          <w:szCs w:val="22"/>
        </w:rPr>
        <w:t xml:space="preserve">and Study 1.1 </w:t>
      </w:r>
      <w:r w:rsidRPr="003365D6">
        <w:rPr>
          <w:rFonts w:ascii="Arial" w:hAnsi="Arial"/>
          <w:sz w:val="22"/>
          <w:szCs w:val="22"/>
        </w:rPr>
        <w:t xml:space="preserve">reported a similar number of doses received, and a similar total dose administered for the Inflectra and Remicade arms.  The rates of adverse events were similar across arms.  </w:t>
      </w:r>
    </w:p>
    <w:p w:rsidR="00275486" w:rsidRPr="003365D6" w:rsidRDefault="00275486" w:rsidP="00275486">
      <w:pPr>
        <w:rPr>
          <w:rFonts w:ascii="Arial" w:hAnsi="Arial"/>
          <w:i/>
          <w:sz w:val="22"/>
          <w:szCs w:val="22"/>
        </w:rPr>
      </w:pPr>
    </w:p>
    <w:p w:rsidR="00D17646" w:rsidRPr="00F233E4" w:rsidRDefault="00D17646" w:rsidP="00CE2A00">
      <w:pPr>
        <w:pStyle w:val="Caption"/>
        <w:keepNext/>
        <w:spacing w:after="0"/>
        <w:ind w:left="720"/>
        <w:rPr>
          <w:rStyle w:val="CommentReference"/>
          <w:b/>
        </w:rPr>
      </w:pPr>
      <w:r w:rsidRPr="003365D6">
        <w:rPr>
          <w:rStyle w:val="CommentReference"/>
          <w:b/>
        </w:rPr>
        <w:t xml:space="preserve">Table </w:t>
      </w:r>
      <w:r w:rsidR="009346CC" w:rsidRPr="003365D6">
        <w:rPr>
          <w:rStyle w:val="CommentReference"/>
          <w:b/>
        </w:rPr>
        <w:t>8</w:t>
      </w:r>
      <w:r w:rsidR="00DA1992">
        <w:rPr>
          <w:rStyle w:val="CommentReference"/>
          <w:b/>
        </w:rPr>
        <w:t>:</w:t>
      </w:r>
      <w:r w:rsidRPr="003365D6">
        <w:rPr>
          <w:rStyle w:val="CommentReference"/>
          <w:b/>
        </w:rPr>
        <w:tab/>
        <w:t>Adverse events in Study 3.1 and Study 1.1</w:t>
      </w:r>
    </w:p>
    <w:tbl>
      <w:tblPr>
        <w:tblStyle w:val="TableGrid"/>
        <w:tblW w:w="4616" w:type="pct"/>
        <w:tblInd w:w="709" w:type="dxa"/>
        <w:tblLook w:val="04A0" w:firstRow="1" w:lastRow="0" w:firstColumn="1" w:lastColumn="0" w:noHBand="0" w:noVBand="1"/>
        <w:tblCaption w:val="Table 8: Adverse events in Study 3.1 and Study 1.1"/>
        <w:tblDescription w:val="This table summarises the adverse events in Study 3.1 and Study 1.1. "/>
      </w:tblPr>
      <w:tblGrid>
        <w:gridCol w:w="3103"/>
        <w:gridCol w:w="1357"/>
        <w:gridCol w:w="1357"/>
        <w:gridCol w:w="1357"/>
        <w:gridCol w:w="1358"/>
      </w:tblGrid>
      <w:tr w:rsidR="00D17646" w:rsidRPr="003365D6" w:rsidTr="008A4849">
        <w:trPr>
          <w:tblHeader/>
        </w:trPr>
        <w:tc>
          <w:tcPr>
            <w:tcW w:w="3103" w:type="dxa"/>
            <w:vAlign w:val="center"/>
          </w:tcPr>
          <w:p w:rsidR="00D17646" w:rsidRPr="003365D6" w:rsidRDefault="00D17646" w:rsidP="00CE2A00">
            <w:pPr>
              <w:keepNext/>
              <w:jc w:val="both"/>
              <w:rPr>
                <w:rFonts w:ascii="Arial Narrow" w:hAnsi="Arial Narrow"/>
                <w:b/>
                <w:sz w:val="20"/>
                <w:szCs w:val="20"/>
              </w:rPr>
            </w:pPr>
          </w:p>
        </w:tc>
        <w:tc>
          <w:tcPr>
            <w:tcW w:w="2714" w:type="dxa"/>
            <w:gridSpan w:val="2"/>
            <w:vAlign w:val="center"/>
          </w:tcPr>
          <w:p w:rsidR="00D17646" w:rsidRPr="003365D6" w:rsidRDefault="00D17646" w:rsidP="00CE2A00">
            <w:pPr>
              <w:keepNext/>
              <w:jc w:val="center"/>
              <w:rPr>
                <w:rFonts w:ascii="Arial Narrow" w:hAnsi="Arial Narrow"/>
                <w:b/>
                <w:sz w:val="20"/>
                <w:szCs w:val="20"/>
              </w:rPr>
            </w:pPr>
            <w:r w:rsidRPr="003365D6">
              <w:rPr>
                <w:rFonts w:ascii="Arial Narrow" w:hAnsi="Arial Narrow"/>
                <w:b/>
                <w:sz w:val="20"/>
                <w:szCs w:val="20"/>
              </w:rPr>
              <w:t>Study 3.1</w:t>
            </w:r>
          </w:p>
          <w:p w:rsidR="00C2531D" w:rsidRPr="003365D6" w:rsidRDefault="00C2531D" w:rsidP="00CE2A00">
            <w:pPr>
              <w:keepNext/>
              <w:jc w:val="center"/>
              <w:rPr>
                <w:rFonts w:ascii="Arial Narrow" w:hAnsi="Arial Narrow"/>
                <w:b/>
                <w:sz w:val="20"/>
                <w:szCs w:val="20"/>
              </w:rPr>
            </w:pPr>
            <w:r w:rsidRPr="003365D6">
              <w:rPr>
                <w:rFonts w:ascii="Arial Narrow" w:hAnsi="Arial Narrow"/>
                <w:b/>
                <w:sz w:val="20"/>
                <w:szCs w:val="20"/>
              </w:rPr>
              <w:t>Rheumatoid arthritis</w:t>
            </w:r>
          </w:p>
        </w:tc>
        <w:tc>
          <w:tcPr>
            <w:tcW w:w="2715" w:type="dxa"/>
            <w:gridSpan w:val="2"/>
          </w:tcPr>
          <w:p w:rsidR="00D17646" w:rsidRPr="003365D6" w:rsidRDefault="00D17646" w:rsidP="00CE2A00">
            <w:pPr>
              <w:keepNext/>
              <w:jc w:val="center"/>
              <w:rPr>
                <w:rFonts w:ascii="Arial Narrow" w:hAnsi="Arial Narrow"/>
                <w:b/>
                <w:sz w:val="20"/>
                <w:szCs w:val="20"/>
              </w:rPr>
            </w:pPr>
            <w:r w:rsidRPr="003365D6">
              <w:rPr>
                <w:rFonts w:ascii="Arial Narrow" w:hAnsi="Arial Narrow"/>
                <w:b/>
                <w:sz w:val="20"/>
                <w:szCs w:val="20"/>
              </w:rPr>
              <w:t>Study 1.1</w:t>
            </w:r>
          </w:p>
          <w:p w:rsidR="00C2531D" w:rsidRPr="003365D6" w:rsidRDefault="00C2531D" w:rsidP="00CE2A00">
            <w:pPr>
              <w:keepNext/>
              <w:jc w:val="center"/>
              <w:rPr>
                <w:rFonts w:ascii="Arial Narrow" w:hAnsi="Arial Narrow"/>
                <w:b/>
                <w:sz w:val="20"/>
                <w:szCs w:val="20"/>
              </w:rPr>
            </w:pPr>
            <w:r w:rsidRPr="003365D6">
              <w:rPr>
                <w:rFonts w:ascii="Arial Narrow" w:hAnsi="Arial Narrow"/>
                <w:b/>
                <w:sz w:val="20"/>
                <w:szCs w:val="20"/>
              </w:rPr>
              <w:t>Ankylosing spondylitis</w:t>
            </w:r>
          </w:p>
        </w:tc>
      </w:tr>
      <w:tr w:rsidR="00E8397F" w:rsidRPr="003365D6" w:rsidTr="00D17646">
        <w:tc>
          <w:tcPr>
            <w:tcW w:w="3103" w:type="dxa"/>
            <w:vAlign w:val="center"/>
          </w:tcPr>
          <w:p w:rsidR="00E8397F" w:rsidRPr="003365D6" w:rsidRDefault="00E8397F" w:rsidP="00CE2A00">
            <w:pPr>
              <w:keepNext/>
              <w:jc w:val="both"/>
              <w:rPr>
                <w:rFonts w:ascii="Arial Narrow" w:hAnsi="Arial Narrow"/>
                <w:sz w:val="20"/>
                <w:szCs w:val="20"/>
              </w:rPr>
            </w:pP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Inflectra</w:t>
            </w:r>
          </w:p>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N=302</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Remicade</w:t>
            </w:r>
          </w:p>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N=300</w:t>
            </w:r>
          </w:p>
        </w:tc>
        <w:tc>
          <w:tcPr>
            <w:tcW w:w="1357" w:type="dxa"/>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Inflectra</w:t>
            </w:r>
          </w:p>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N=128</w:t>
            </w:r>
          </w:p>
        </w:tc>
        <w:tc>
          <w:tcPr>
            <w:tcW w:w="1358" w:type="dxa"/>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Remicade</w:t>
            </w:r>
          </w:p>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N=122</w:t>
            </w:r>
          </w:p>
        </w:tc>
      </w:tr>
      <w:tr w:rsidR="00E8397F" w:rsidRPr="003365D6" w:rsidTr="00D17646">
        <w:tc>
          <w:tcPr>
            <w:tcW w:w="3103" w:type="dxa"/>
            <w:vAlign w:val="center"/>
          </w:tcPr>
          <w:p w:rsidR="00E8397F" w:rsidRPr="003365D6" w:rsidRDefault="00E8397F" w:rsidP="00CE2A00">
            <w:pPr>
              <w:keepNext/>
              <w:jc w:val="both"/>
              <w:rPr>
                <w:rFonts w:ascii="Arial Narrow" w:hAnsi="Arial Narrow"/>
                <w:sz w:val="20"/>
                <w:szCs w:val="20"/>
              </w:rPr>
            </w:pPr>
            <w:r w:rsidRPr="003365D6">
              <w:rPr>
                <w:rFonts w:ascii="Arial Narrow" w:hAnsi="Arial Narrow"/>
                <w:sz w:val="20"/>
                <w:szCs w:val="20"/>
              </w:rPr>
              <w:t>Mean number of doses (SD)</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8.0 (2.07)</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7.9 (2.08)</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8.4 (1.69)</w:t>
            </w:r>
          </w:p>
        </w:tc>
        <w:tc>
          <w:tcPr>
            <w:tcW w:w="1358"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8.5 (1.51)</w:t>
            </w:r>
          </w:p>
        </w:tc>
      </w:tr>
      <w:tr w:rsidR="00E8397F" w:rsidRPr="003365D6" w:rsidTr="00D17646">
        <w:tc>
          <w:tcPr>
            <w:tcW w:w="3103" w:type="dxa"/>
            <w:vAlign w:val="center"/>
          </w:tcPr>
          <w:p w:rsidR="00E8397F" w:rsidRPr="003365D6" w:rsidRDefault="00E8397F" w:rsidP="00CE2A00">
            <w:pPr>
              <w:keepNext/>
              <w:jc w:val="both"/>
              <w:rPr>
                <w:rFonts w:ascii="Arial Narrow" w:hAnsi="Arial Narrow"/>
                <w:sz w:val="20"/>
                <w:szCs w:val="20"/>
              </w:rPr>
            </w:pPr>
            <w:r w:rsidRPr="003365D6">
              <w:rPr>
                <w:rFonts w:ascii="Arial Narrow" w:hAnsi="Arial Narrow"/>
                <w:sz w:val="20"/>
                <w:szCs w:val="20"/>
              </w:rPr>
              <w:t>Mean total dose administered mg (SD)</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1712.4 (608.3)</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1672.8 (595.1)</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3186.7 (969.1)</w:t>
            </w:r>
          </w:p>
        </w:tc>
        <w:tc>
          <w:tcPr>
            <w:tcW w:w="1358"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3258.0 (861.5)</w:t>
            </w:r>
          </w:p>
        </w:tc>
      </w:tr>
      <w:tr w:rsidR="00E8397F" w:rsidRPr="003365D6" w:rsidTr="00D17646">
        <w:tc>
          <w:tcPr>
            <w:tcW w:w="3103" w:type="dxa"/>
            <w:vAlign w:val="center"/>
          </w:tcPr>
          <w:p w:rsidR="00E8397F" w:rsidRPr="003365D6" w:rsidRDefault="00E8397F" w:rsidP="00CE2A00">
            <w:pPr>
              <w:keepNext/>
              <w:jc w:val="both"/>
              <w:rPr>
                <w:rFonts w:ascii="Arial Narrow" w:hAnsi="Arial Narrow"/>
                <w:sz w:val="20"/>
                <w:szCs w:val="20"/>
              </w:rPr>
            </w:pPr>
            <w:r w:rsidRPr="003365D6">
              <w:rPr>
                <w:rFonts w:ascii="Arial Narrow" w:hAnsi="Arial Narrow"/>
                <w:sz w:val="20"/>
                <w:szCs w:val="20"/>
              </w:rPr>
              <w:t>Treatment emergent AEs</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732</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738</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362</w:t>
            </w:r>
          </w:p>
        </w:tc>
        <w:tc>
          <w:tcPr>
            <w:tcW w:w="1358"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375</w:t>
            </w:r>
          </w:p>
        </w:tc>
      </w:tr>
      <w:tr w:rsidR="00E8397F" w:rsidRPr="003365D6" w:rsidTr="00D17646">
        <w:tc>
          <w:tcPr>
            <w:tcW w:w="3103" w:type="dxa"/>
            <w:vAlign w:val="center"/>
          </w:tcPr>
          <w:p w:rsidR="00E8397F" w:rsidRPr="003365D6" w:rsidRDefault="00E8397F" w:rsidP="00CE2A00">
            <w:pPr>
              <w:keepNext/>
              <w:jc w:val="both"/>
              <w:rPr>
                <w:rFonts w:ascii="Arial Narrow" w:hAnsi="Arial Narrow"/>
                <w:sz w:val="20"/>
                <w:szCs w:val="20"/>
              </w:rPr>
            </w:pPr>
            <w:r w:rsidRPr="003365D6">
              <w:rPr>
                <w:rFonts w:ascii="Arial Narrow" w:hAnsi="Arial Narrow"/>
                <w:sz w:val="20"/>
                <w:szCs w:val="20"/>
              </w:rPr>
              <w:t>Patients (%) with TEAE</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213 (70.5)</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211 (70.3)</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95 (74.2)</w:t>
            </w:r>
          </w:p>
        </w:tc>
        <w:tc>
          <w:tcPr>
            <w:tcW w:w="1358"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82 (67.2)</w:t>
            </w:r>
          </w:p>
        </w:tc>
      </w:tr>
      <w:tr w:rsidR="00E8397F" w:rsidRPr="003365D6" w:rsidTr="00D17646">
        <w:tc>
          <w:tcPr>
            <w:tcW w:w="3103" w:type="dxa"/>
            <w:vAlign w:val="center"/>
          </w:tcPr>
          <w:p w:rsidR="00E8397F" w:rsidRPr="003365D6" w:rsidRDefault="00E8397F" w:rsidP="00CE2A00">
            <w:pPr>
              <w:keepNext/>
              <w:rPr>
                <w:rFonts w:ascii="Arial Narrow" w:hAnsi="Arial Narrow"/>
                <w:sz w:val="20"/>
                <w:szCs w:val="20"/>
              </w:rPr>
            </w:pPr>
            <w:r w:rsidRPr="003365D6">
              <w:rPr>
                <w:rFonts w:ascii="Arial Narrow" w:hAnsi="Arial Narrow"/>
                <w:sz w:val="20"/>
                <w:szCs w:val="20"/>
              </w:rPr>
              <w:t>Treatment emergent SAE</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49</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39</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12</w:t>
            </w:r>
          </w:p>
        </w:tc>
        <w:tc>
          <w:tcPr>
            <w:tcW w:w="1358"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11</w:t>
            </w:r>
          </w:p>
        </w:tc>
      </w:tr>
      <w:tr w:rsidR="00E8397F" w:rsidRPr="003365D6" w:rsidTr="00D17646">
        <w:tc>
          <w:tcPr>
            <w:tcW w:w="3103" w:type="dxa"/>
            <w:vAlign w:val="center"/>
          </w:tcPr>
          <w:p w:rsidR="00E8397F" w:rsidRPr="003365D6" w:rsidRDefault="00E8397F" w:rsidP="00CE2A00">
            <w:pPr>
              <w:keepNext/>
              <w:jc w:val="both"/>
              <w:rPr>
                <w:rFonts w:ascii="Arial Narrow" w:hAnsi="Arial Narrow"/>
                <w:sz w:val="20"/>
                <w:szCs w:val="20"/>
              </w:rPr>
            </w:pPr>
            <w:r w:rsidRPr="003365D6">
              <w:rPr>
                <w:rFonts w:ascii="Arial Narrow" w:hAnsi="Arial Narrow"/>
                <w:sz w:val="20"/>
                <w:szCs w:val="20"/>
              </w:rPr>
              <w:t>Patients (%) with TE SAE</w:t>
            </w:r>
            <w:r w:rsidRPr="003365D6">
              <w:rPr>
                <w:rFonts w:ascii="Arial Narrow" w:hAnsi="Arial Narrow"/>
                <w:sz w:val="20"/>
                <w:szCs w:val="20"/>
                <w:vertAlign w:val="superscript"/>
              </w:rPr>
              <w:t>a</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42 (13.9)</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31 (10.3)</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10 (7.8)</w:t>
            </w:r>
          </w:p>
        </w:tc>
        <w:tc>
          <w:tcPr>
            <w:tcW w:w="1358"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8 (6.6)</w:t>
            </w:r>
          </w:p>
        </w:tc>
      </w:tr>
      <w:tr w:rsidR="00E8397F" w:rsidRPr="003365D6" w:rsidTr="00D17646">
        <w:tc>
          <w:tcPr>
            <w:tcW w:w="3103" w:type="dxa"/>
            <w:vAlign w:val="center"/>
          </w:tcPr>
          <w:p w:rsidR="00E8397F" w:rsidRPr="003365D6" w:rsidRDefault="00E8397F" w:rsidP="00CE2A00">
            <w:pPr>
              <w:keepNext/>
              <w:jc w:val="both"/>
              <w:rPr>
                <w:rFonts w:ascii="Arial Narrow" w:hAnsi="Arial Narrow"/>
                <w:sz w:val="20"/>
                <w:szCs w:val="20"/>
              </w:rPr>
            </w:pPr>
            <w:r w:rsidRPr="003365D6">
              <w:rPr>
                <w:rFonts w:ascii="Arial Narrow" w:hAnsi="Arial Narrow"/>
                <w:sz w:val="20"/>
                <w:szCs w:val="20"/>
              </w:rPr>
              <w:t>Patients (%) with TEAE leading to discontinuation</w:t>
            </w:r>
            <w:r w:rsidRPr="003365D6">
              <w:rPr>
                <w:rFonts w:ascii="Arial Narrow" w:hAnsi="Arial Narrow"/>
                <w:sz w:val="20"/>
                <w:szCs w:val="20"/>
                <w:vertAlign w:val="superscript"/>
              </w:rPr>
              <w:t>b</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33 (10.9)</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47 (15.7)</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11 (8.6)</w:t>
            </w:r>
          </w:p>
        </w:tc>
        <w:tc>
          <w:tcPr>
            <w:tcW w:w="1358"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9 (7.4)</w:t>
            </w:r>
          </w:p>
        </w:tc>
      </w:tr>
      <w:tr w:rsidR="00E8397F" w:rsidRPr="003365D6" w:rsidTr="00D17646">
        <w:tc>
          <w:tcPr>
            <w:tcW w:w="3103" w:type="dxa"/>
            <w:vAlign w:val="center"/>
          </w:tcPr>
          <w:p w:rsidR="00E8397F" w:rsidRPr="003365D6" w:rsidRDefault="00E8397F" w:rsidP="00CE2A00">
            <w:pPr>
              <w:keepNext/>
              <w:jc w:val="both"/>
              <w:rPr>
                <w:rFonts w:ascii="Arial Narrow" w:hAnsi="Arial Narrow"/>
                <w:sz w:val="20"/>
                <w:szCs w:val="20"/>
              </w:rPr>
            </w:pPr>
            <w:r w:rsidRPr="003365D6">
              <w:rPr>
                <w:rFonts w:ascii="Arial Narrow" w:hAnsi="Arial Narrow"/>
                <w:sz w:val="20"/>
                <w:szCs w:val="20"/>
              </w:rPr>
              <w:t>Patients (%) with TEAE due to infection</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127 (42.1)</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137 (45.7)</w:t>
            </w:r>
          </w:p>
        </w:tc>
        <w:tc>
          <w:tcPr>
            <w:tcW w:w="1357"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55 (43.0)</w:t>
            </w:r>
          </w:p>
        </w:tc>
        <w:tc>
          <w:tcPr>
            <w:tcW w:w="1358" w:type="dxa"/>
            <w:vAlign w:val="center"/>
          </w:tcPr>
          <w:p w:rsidR="00E8397F" w:rsidRPr="003365D6" w:rsidRDefault="00E8397F" w:rsidP="00CE2A00">
            <w:pPr>
              <w:keepNext/>
              <w:jc w:val="center"/>
              <w:rPr>
                <w:rFonts w:ascii="Arial Narrow" w:hAnsi="Arial Narrow"/>
                <w:sz w:val="20"/>
                <w:szCs w:val="20"/>
              </w:rPr>
            </w:pPr>
            <w:r w:rsidRPr="003365D6">
              <w:rPr>
                <w:rFonts w:ascii="Arial Narrow" w:hAnsi="Arial Narrow"/>
                <w:sz w:val="20"/>
                <w:szCs w:val="20"/>
              </w:rPr>
              <w:t>49 (40.2)</w:t>
            </w:r>
          </w:p>
        </w:tc>
      </w:tr>
      <w:tr w:rsidR="007203E5" w:rsidRPr="003365D6" w:rsidTr="00D17646">
        <w:tc>
          <w:tcPr>
            <w:tcW w:w="3103" w:type="dxa"/>
            <w:vAlign w:val="center"/>
          </w:tcPr>
          <w:p w:rsidR="007203E5" w:rsidRPr="003365D6" w:rsidRDefault="007203E5" w:rsidP="00CE2A00">
            <w:pPr>
              <w:keepNext/>
              <w:jc w:val="both"/>
              <w:rPr>
                <w:rFonts w:ascii="Arial Narrow" w:hAnsi="Arial Narrow"/>
                <w:sz w:val="20"/>
                <w:szCs w:val="20"/>
              </w:rPr>
            </w:pPr>
            <w:r w:rsidRPr="003365D6">
              <w:rPr>
                <w:rFonts w:ascii="Arial Narrow" w:hAnsi="Arial Narrow"/>
                <w:sz w:val="20"/>
                <w:szCs w:val="20"/>
              </w:rPr>
              <w:t>Patients (%) with TEAE due to infusion-related reactions</w:t>
            </w:r>
          </w:p>
        </w:tc>
        <w:tc>
          <w:tcPr>
            <w:tcW w:w="1357" w:type="dxa"/>
            <w:vAlign w:val="center"/>
          </w:tcPr>
          <w:p w:rsidR="007203E5" w:rsidRPr="003365D6" w:rsidRDefault="007203E5" w:rsidP="00CE2A00">
            <w:pPr>
              <w:keepNext/>
              <w:jc w:val="center"/>
              <w:rPr>
                <w:rFonts w:ascii="Arial Narrow" w:hAnsi="Arial Narrow"/>
                <w:sz w:val="20"/>
                <w:szCs w:val="20"/>
              </w:rPr>
            </w:pPr>
            <w:r w:rsidRPr="003365D6">
              <w:rPr>
                <w:rFonts w:ascii="Arial Narrow" w:hAnsi="Arial Narrow"/>
                <w:sz w:val="20"/>
                <w:szCs w:val="20"/>
              </w:rPr>
              <w:t>10 (3.3)</w:t>
            </w:r>
          </w:p>
        </w:tc>
        <w:tc>
          <w:tcPr>
            <w:tcW w:w="1357" w:type="dxa"/>
            <w:vAlign w:val="center"/>
          </w:tcPr>
          <w:p w:rsidR="007203E5" w:rsidRPr="003365D6" w:rsidRDefault="007203E5" w:rsidP="00CE2A00">
            <w:pPr>
              <w:keepNext/>
              <w:jc w:val="center"/>
              <w:rPr>
                <w:rFonts w:ascii="Arial Narrow" w:hAnsi="Arial Narrow"/>
                <w:sz w:val="20"/>
                <w:szCs w:val="20"/>
              </w:rPr>
            </w:pPr>
            <w:r w:rsidRPr="003365D6">
              <w:rPr>
                <w:rFonts w:ascii="Arial Narrow" w:hAnsi="Arial Narrow"/>
                <w:sz w:val="20"/>
                <w:szCs w:val="20"/>
              </w:rPr>
              <w:t>11 (3.7)</w:t>
            </w:r>
          </w:p>
        </w:tc>
        <w:tc>
          <w:tcPr>
            <w:tcW w:w="1357" w:type="dxa"/>
            <w:vAlign w:val="center"/>
          </w:tcPr>
          <w:p w:rsidR="007203E5" w:rsidRPr="003365D6" w:rsidRDefault="007203E5" w:rsidP="00CE2A00">
            <w:pPr>
              <w:keepNext/>
              <w:jc w:val="center"/>
              <w:rPr>
                <w:rFonts w:ascii="Arial Narrow" w:hAnsi="Arial Narrow"/>
                <w:sz w:val="20"/>
                <w:szCs w:val="20"/>
              </w:rPr>
            </w:pPr>
            <w:r w:rsidRPr="003365D6">
              <w:rPr>
                <w:rFonts w:ascii="Arial Narrow" w:hAnsi="Arial Narrow"/>
                <w:sz w:val="20"/>
                <w:szCs w:val="20"/>
              </w:rPr>
              <w:t>0</w:t>
            </w:r>
          </w:p>
        </w:tc>
        <w:tc>
          <w:tcPr>
            <w:tcW w:w="1358" w:type="dxa"/>
            <w:vAlign w:val="center"/>
          </w:tcPr>
          <w:p w:rsidR="007203E5" w:rsidRPr="003365D6" w:rsidRDefault="007203E5" w:rsidP="00CE2A00">
            <w:pPr>
              <w:keepNext/>
              <w:jc w:val="center"/>
              <w:rPr>
                <w:rFonts w:ascii="Arial Narrow" w:hAnsi="Arial Narrow"/>
                <w:sz w:val="20"/>
                <w:szCs w:val="20"/>
              </w:rPr>
            </w:pPr>
            <w:r w:rsidRPr="003365D6">
              <w:rPr>
                <w:rFonts w:ascii="Arial Narrow" w:hAnsi="Arial Narrow"/>
                <w:sz w:val="20"/>
                <w:szCs w:val="20"/>
              </w:rPr>
              <w:t>4 (3.3)</w:t>
            </w:r>
          </w:p>
        </w:tc>
      </w:tr>
    </w:tbl>
    <w:p w:rsidR="00AF28ED" w:rsidRPr="003365D6" w:rsidRDefault="00AF28ED" w:rsidP="00CE2A00">
      <w:pPr>
        <w:keepNext/>
        <w:ind w:left="720"/>
        <w:rPr>
          <w:rFonts w:ascii="Arial Narrow" w:hAnsi="Arial Narrow"/>
          <w:sz w:val="20"/>
          <w:szCs w:val="20"/>
        </w:rPr>
      </w:pPr>
      <w:r w:rsidRPr="003365D6">
        <w:rPr>
          <w:rFonts w:ascii="Arial Narrow" w:hAnsi="Arial Narrow"/>
          <w:sz w:val="20"/>
          <w:szCs w:val="20"/>
        </w:rPr>
        <w:t>AE = adverse event; SAE = serious adverse event; SD = standard deviation; TE = treatment emergent.</w:t>
      </w:r>
    </w:p>
    <w:p w:rsidR="00275486" w:rsidRPr="003365D6" w:rsidRDefault="00110110" w:rsidP="00CE2A00">
      <w:pPr>
        <w:keepNext/>
        <w:ind w:left="720"/>
        <w:rPr>
          <w:rFonts w:ascii="Arial Narrow" w:hAnsi="Arial Narrow"/>
          <w:i/>
          <w:sz w:val="20"/>
          <w:szCs w:val="20"/>
        </w:rPr>
      </w:pPr>
      <w:r w:rsidRPr="003365D6">
        <w:rPr>
          <w:rFonts w:ascii="Arial Narrow" w:hAnsi="Arial Narrow"/>
          <w:i/>
          <w:sz w:val="20"/>
          <w:szCs w:val="20"/>
          <w:vertAlign w:val="superscript"/>
        </w:rPr>
        <w:t>a</w:t>
      </w:r>
      <w:r w:rsidRPr="003365D6">
        <w:rPr>
          <w:rFonts w:ascii="Arial Narrow" w:hAnsi="Arial Narrow"/>
          <w:i/>
          <w:sz w:val="20"/>
          <w:szCs w:val="20"/>
        </w:rPr>
        <w:t>Risk difference between Inflectra and Remicade</w:t>
      </w:r>
      <w:r w:rsidR="00C2531D" w:rsidRPr="003365D6">
        <w:rPr>
          <w:rFonts w:ascii="Arial Narrow" w:hAnsi="Arial Narrow"/>
          <w:i/>
          <w:sz w:val="20"/>
          <w:szCs w:val="20"/>
        </w:rPr>
        <w:t xml:space="preserve"> in Study 3.1</w:t>
      </w:r>
      <w:r w:rsidRPr="003365D6">
        <w:rPr>
          <w:rFonts w:ascii="Arial Narrow" w:hAnsi="Arial Narrow"/>
          <w:i/>
          <w:sz w:val="20"/>
          <w:szCs w:val="20"/>
        </w:rPr>
        <w:t xml:space="preserve"> = 3.6% (-1.6%, 8.8%).</w:t>
      </w:r>
    </w:p>
    <w:p w:rsidR="00110110" w:rsidRPr="003365D6" w:rsidRDefault="00110110" w:rsidP="00D17646">
      <w:pPr>
        <w:ind w:left="720"/>
        <w:rPr>
          <w:rFonts w:ascii="Arial Narrow" w:hAnsi="Arial Narrow"/>
          <w:i/>
          <w:sz w:val="20"/>
          <w:szCs w:val="20"/>
        </w:rPr>
      </w:pPr>
      <w:r w:rsidRPr="003365D6">
        <w:rPr>
          <w:rFonts w:ascii="Arial Narrow" w:hAnsi="Arial Narrow"/>
          <w:i/>
          <w:sz w:val="20"/>
          <w:szCs w:val="20"/>
          <w:vertAlign w:val="superscript"/>
        </w:rPr>
        <w:t>b</w:t>
      </w:r>
      <w:r w:rsidRPr="003365D6">
        <w:rPr>
          <w:rFonts w:ascii="Arial Narrow" w:hAnsi="Arial Narrow"/>
          <w:i/>
          <w:sz w:val="20"/>
          <w:szCs w:val="20"/>
        </w:rPr>
        <w:t>Risk difference between Inflectra and Remicade</w:t>
      </w:r>
      <w:r w:rsidR="00C2531D" w:rsidRPr="003365D6">
        <w:rPr>
          <w:rFonts w:ascii="Arial Narrow" w:hAnsi="Arial Narrow"/>
          <w:i/>
          <w:sz w:val="20"/>
          <w:szCs w:val="20"/>
        </w:rPr>
        <w:t xml:space="preserve"> in Study 3.1</w:t>
      </w:r>
      <w:r w:rsidRPr="003365D6">
        <w:rPr>
          <w:rFonts w:ascii="Arial Narrow" w:hAnsi="Arial Narrow"/>
          <w:i/>
          <w:sz w:val="20"/>
          <w:szCs w:val="20"/>
        </w:rPr>
        <w:t xml:space="preserve"> = -4.7% (-10.2%, 0.7%)</w:t>
      </w:r>
    </w:p>
    <w:p w:rsidR="002B062F" w:rsidRPr="003365D6" w:rsidRDefault="002B062F" w:rsidP="00275486">
      <w:pPr>
        <w:rPr>
          <w:rFonts w:ascii="Arial" w:hAnsi="Arial"/>
          <w:i/>
          <w:sz w:val="22"/>
          <w:szCs w:val="22"/>
        </w:rPr>
      </w:pPr>
    </w:p>
    <w:p w:rsidR="006A12F8" w:rsidRPr="003365D6" w:rsidRDefault="0072632E" w:rsidP="006A12F8">
      <w:pPr>
        <w:pStyle w:val="ListParagraph"/>
        <w:numPr>
          <w:ilvl w:val="1"/>
          <w:numId w:val="2"/>
        </w:numPr>
        <w:jc w:val="both"/>
        <w:rPr>
          <w:rFonts w:ascii="Arial" w:hAnsi="Arial"/>
          <w:sz w:val="22"/>
          <w:szCs w:val="22"/>
        </w:rPr>
      </w:pPr>
      <w:r w:rsidRPr="003365D6">
        <w:rPr>
          <w:rFonts w:ascii="Arial" w:hAnsi="Arial"/>
          <w:sz w:val="22"/>
          <w:szCs w:val="22"/>
        </w:rPr>
        <w:t xml:space="preserve">Both the Clinical Evaluation Report and the Delegate’s report identified a differential rate of tuberculosis in patients receiving Inflectra compared with those receiving Remicade.  </w:t>
      </w:r>
      <w:r w:rsidR="00D17646" w:rsidRPr="003365D6">
        <w:rPr>
          <w:rFonts w:ascii="Arial" w:hAnsi="Arial"/>
          <w:sz w:val="22"/>
          <w:szCs w:val="22"/>
        </w:rPr>
        <w:t xml:space="preserve">In the CT-P13 clinical trial program, </w:t>
      </w:r>
      <w:r w:rsidRPr="003365D6">
        <w:rPr>
          <w:rFonts w:ascii="Arial" w:hAnsi="Arial"/>
          <w:sz w:val="22"/>
          <w:szCs w:val="22"/>
        </w:rPr>
        <w:t>1.</w:t>
      </w:r>
      <w:r w:rsidR="00D17646" w:rsidRPr="003365D6">
        <w:rPr>
          <w:rFonts w:ascii="Arial" w:hAnsi="Arial"/>
          <w:sz w:val="22"/>
          <w:szCs w:val="22"/>
        </w:rPr>
        <w:t>6</w:t>
      </w:r>
      <w:r w:rsidRPr="003365D6">
        <w:rPr>
          <w:rFonts w:ascii="Arial" w:hAnsi="Arial"/>
          <w:sz w:val="22"/>
          <w:szCs w:val="22"/>
        </w:rPr>
        <w:t>% (7/4</w:t>
      </w:r>
      <w:r w:rsidR="00D17646" w:rsidRPr="003365D6">
        <w:rPr>
          <w:rFonts w:ascii="Arial" w:hAnsi="Arial"/>
          <w:sz w:val="22"/>
          <w:szCs w:val="22"/>
        </w:rPr>
        <w:t>40</w:t>
      </w:r>
      <w:r w:rsidRPr="003365D6">
        <w:rPr>
          <w:rFonts w:ascii="Arial" w:hAnsi="Arial"/>
          <w:sz w:val="22"/>
          <w:szCs w:val="22"/>
        </w:rPr>
        <w:t>) patients receiving Inflectra compared with 0.2% (1/4</w:t>
      </w:r>
      <w:r w:rsidR="00D17646" w:rsidRPr="003365D6">
        <w:rPr>
          <w:rFonts w:ascii="Arial" w:hAnsi="Arial"/>
          <w:sz w:val="22"/>
          <w:szCs w:val="22"/>
        </w:rPr>
        <w:t>31</w:t>
      </w:r>
      <w:r w:rsidRPr="003365D6">
        <w:rPr>
          <w:rFonts w:ascii="Arial" w:hAnsi="Arial"/>
          <w:sz w:val="22"/>
          <w:szCs w:val="22"/>
        </w:rPr>
        <w:t xml:space="preserve">) patients receiving Remicade reported active tuberculosis.  The sponsor </w:t>
      </w:r>
      <w:r w:rsidR="00D17646" w:rsidRPr="003365D6">
        <w:rPr>
          <w:rFonts w:ascii="Arial" w:hAnsi="Arial"/>
          <w:sz w:val="22"/>
          <w:szCs w:val="22"/>
        </w:rPr>
        <w:t>stated</w:t>
      </w:r>
      <w:r w:rsidRPr="003365D6">
        <w:rPr>
          <w:rFonts w:ascii="Arial" w:hAnsi="Arial"/>
          <w:sz w:val="22"/>
          <w:szCs w:val="22"/>
        </w:rPr>
        <w:t xml:space="preserve"> that </w:t>
      </w:r>
      <w:r w:rsidR="00F92E01" w:rsidRPr="003365D6">
        <w:rPr>
          <w:rFonts w:ascii="Arial" w:hAnsi="Arial"/>
          <w:sz w:val="22"/>
          <w:szCs w:val="22"/>
        </w:rPr>
        <w:t>3 cases were unconfirmed</w:t>
      </w:r>
      <w:r w:rsidR="00D17646" w:rsidRPr="003365D6">
        <w:rPr>
          <w:rFonts w:ascii="Arial" w:hAnsi="Arial"/>
          <w:sz w:val="22"/>
          <w:szCs w:val="22"/>
        </w:rPr>
        <w:t xml:space="preserve"> in patients receiving Inflectra</w:t>
      </w:r>
      <w:r w:rsidR="00F92E01" w:rsidRPr="003365D6">
        <w:rPr>
          <w:rFonts w:ascii="Arial" w:hAnsi="Arial"/>
          <w:sz w:val="22"/>
          <w:szCs w:val="22"/>
        </w:rPr>
        <w:t>, and two of these cases had abnormal chest x-rays, indicative of a history of TB at enrolment, which re</w:t>
      </w:r>
      <w:r w:rsidR="006A12F8" w:rsidRPr="003365D6">
        <w:rPr>
          <w:rFonts w:ascii="Arial" w:hAnsi="Arial"/>
          <w:sz w:val="22"/>
          <w:szCs w:val="22"/>
        </w:rPr>
        <w:t>presents a protocol violation.</w:t>
      </w:r>
    </w:p>
    <w:p w:rsidR="006A12F8" w:rsidRPr="003365D6" w:rsidRDefault="006A12F8" w:rsidP="006A12F8">
      <w:pPr>
        <w:pStyle w:val="ListParagraph"/>
        <w:rPr>
          <w:rFonts w:ascii="Arial" w:hAnsi="Arial"/>
          <w:sz w:val="22"/>
          <w:szCs w:val="22"/>
        </w:rPr>
      </w:pPr>
    </w:p>
    <w:p w:rsidR="0072632E" w:rsidRPr="003365D6" w:rsidRDefault="00F92E01" w:rsidP="006A12F8">
      <w:pPr>
        <w:pStyle w:val="ListParagraph"/>
        <w:numPr>
          <w:ilvl w:val="1"/>
          <w:numId w:val="2"/>
        </w:numPr>
        <w:jc w:val="both"/>
        <w:rPr>
          <w:rFonts w:ascii="Arial" w:hAnsi="Arial"/>
          <w:sz w:val="22"/>
          <w:szCs w:val="22"/>
        </w:rPr>
      </w:pPr>
      <w:r w:rsidRPr="003365D6">
        <w:rPr>
          <w:rFonts w:ascii="Arial" w:hAnsi="Arial"/>
          <w:sz w:val="22"/>
          <w:szCs w:val="22"/>
        </w:rPr>
        <w:t xml:space="preserve">The sponsor states that the incidence of TB in the </w:t>
      </w:r>
      <w:r w:rsidR="00D17646" w:rsidRPr="003365D6">
        <w:rPr>
          <w:rFonts w:ascii="Arial" w:hAnsi="Arial"/>
          <w:sz w:val="22"/>
          <w:szCs w:val="22"/>
        </w:rPr>
        <w:t xml:space="preserve">CT-P13 trial program </w:t>
      </w:r>
      <w:r w:rsidRPr="003365D6">
        <w:rPr>
          <w:rFonts w:ascii="Arial" w:hAnsi="Arial"/>
          <w:sz w:val="22"/>
          <w:szCs w:val="22"/>
        </w:rPr>
        <w:t>was broadly in line with previous Remicade studies (0.9% for confirmed cases and 1.6% for all cases)</w:t>
      </w:r>
      <w:r w:rsidR="00EA2F33">
        <w:rPr>
          <w:rFonts w:ascii="Arial" w:hAnsi="Arial"/>
          <w:sz w:val="22"/>
          <w:szCs w:val="22"/>
        </w:rPr>
        <w:t>.</w:t>
      </w:r>
      <w:r w:rsidR="006A12F8" w:rsidRPr="003365D6">
        <w:rPr>
          <w:rFonts w:ascii="Arial" w:hAnsi="Arial"/>
          <w:sz w:val="22"/>
          <w:szCs w:val="22"/>
        </w:rPr>
        <w:t xml:space="preserve"> </w:t>
      </w:r>
    </w:p>
    <w:p w:rsidR="00F92E01" w:rsidRPr="003365D6" w:rsidRDefault="00F92E01" w:rsidP="00275486">
      <w:pPr>
        <w:rPr>
          <w:rFonts w:ascii="Arial" w:hAnsi="Arial"/>
          <w:i/>
          <w:sz w:val="22"/>
          <w:szCs w:val="22"/>
        </w:rPr>
      </w:pPr>
    </w:p>
    <w:p w:rsidR="00F92E01" w:rsidRPr="003365D6" w:rsidRDefault="00F92E01" w:rsidP="006A12F8">
      <w:pPr>
        <w:pStyle w:val="ListParagraph"/>
        <w:numPr>
          <w:ilvl w:val="1"/>
          <w:numId w:val="2"/>
        </w:numPr>
        <w:jc w:val="both"/>
        <w:rPr>
          <w:rFonts w:ascii="Arial" w:hAnsi="Arial"/>
          <w:sz w:val="22"/>
          <w:szCs w:val="22"/>
        </w:rPr>
      </w:pPr>
      <w:r w:rsidRPr="003365D6">
        <w:rPr>
          <w:rFonts w:ascii="Arial" w:hAnsi="Arial"/>
          <w:sz w:val="22"/>
          <w:szCs w:val="22"/>
        </w:rPr>
        <w:t xml:space="preserve">The ACPM noted the sponsors input and agreed that differences may </w:t>
      </w:r>
      <w:r w:rsidR="00AF28ED" w:rsidRPr="003365D6">
        <w:rPr>
          <w:rFonts w:ascii="Arial" w:hAnsi="Arial"/>
          <w:sz w:val="22"/>
          <w:szCs w:val="22"/>
        </w:rPr>
        <w:t xml:space="preserve">be </w:t>
      </w:r>
      <w:r w:rsidRPr="003365D6">
        <w:rPr>
          <w:rFonts w:ascii="Arial" w:hAnsi="Arial"/>
          <w:sz w:val="22"/>
          <w:szCs w:val="22"/>
        </w:rPr>
        <w:t xml:space="preserve">related to the higher prevalence of TB or </w:t>
      </w:r>
      <w:r w:rsidR="00AF28ED" w:rsidRPr="003365D6">
        <w:rPr>
          <w:rFonts w:ascii="Arial" w:hAnsi="Arial"/>
          <w:sz w:val="22"/>
          <w:szCs w:val="22"/>
        </w:rPr>
        <w:t>variability</w:t>
      </w:r>
      <w:r w:rsidRPr="003365D6">
        <w:rPr>
          <w:rFonts w:ascii="Arial" w:hAnsi="Arial"/>
          <w:sz w:val="22"/>
          <w:szCs w:val="22"/>
        </w:rPr>
        <w:t xml:space="preserve"> in screening of TB in the countries where the trial programme was conducted.  However, the ACPM stated that there is “insufficient evidence to discount the possibility that there are different rates of TB activation for this biosimilar product compared to the incidence with Remicade.”  Despite the </w:t>
      </w:r>
      <w:r w:rsidR="00993239" w:rsidRPr="003365D6">
        <w:rPr>
          <w:rFonts w:ascii="Arial" w:hAnsi="Arial"/>
          <w:sz w:val="22"/>
          <w:szCs w:val="22"/>
        </w:rPr>
        <w:t xml:space="preserve">potential </w:t>
      </w:r>
      <w:r w:rsidRPr="003365D6">
        <w:rPr>
          <w:rFonts w:ascii="Arial" w:hAnsi="Arial"/>
          <w:sz w:val="22"/>
          <w:szCs w:val="22"/>
        </w:rPr>
        <w:t>difference, the ACPM advised that Inflectra had a similar safety profile to Remicade.</w:t>
      </w:r>
    </w:p>
    <w:p w:rsidR="00387E0B" w:rsidRPr="003365D6" w:rsidRDefault="00387E0B" w:rsidP="00275486">
      <w:pPr>
        <w:rPr>
          <w:rFonts w:ascii="Arial" w:hAnsi="Arial"/>
          <w:i/>
          <w:sz w:val="22"/>
          <w:szCs w:val="22"/>
        </w:rPr>
      </w:pPr>
    </w:p>
    <w:p w:rsidR="00BD3023" w:rsidRPr="003365D6" w:rsidRDefault="00BD3023" w:rsidP="007E2B5B">
      <w:pPr>
        <w:pStyle w:val="ListParagraph"/>
        <w:numPr>
          <w:ilvl w:val="1"/>
          <w:numId w:val="2"/>
        </w:numPr>
        <w:jc w:val="both"/>
        <w:rPr>
          <w:rFonts w:ascii="Arial" w:hAnsi="Arial"/>
          <w:sz w:val="22"/>
          <w:szCs w:val="22"/>
        </w:rPr>
      </w:pPr>
      <w:r w:rsidRPr="003365D6">
        <w:rPr>
          <w:rFonts w:ascii="Arial" w:hAnsi="Arial"/>
          <w:sz w:val="22"/>
          <w:szCs w:val="22"/>
        </w:rPr>
        <w:t>In the post-market study data provided with the supplementary clinical section (n=528</w:t>
      </w:r>
      <w:r w:rsidR="007E2B5B" w:rsidRPr="003365D6">
        <w:rPr>
          <w:rFonts w:ascii="Arial" w:hAnsi="Arial"/>
          <w:sz w:val="22"/>
          <w:szCs w:val="22"/>
        </w:rPr>
        <w:t xml:space="preserve"> across 4 studies</w:t>
      </w:r>
      <w:r w:rsidRPr="003365D6">
        <w:rPr>
          <w:rFonts w:ascii="Arial" w:hAnsi="Arial"/>
          <w:sz w:val="22"/>
          <w:szCs w:val="22"/>
        </w:rPr>
        <w:t xml:space="preserve">), only one case of TB was identified (in the Korean PMS).  </w:t>
      </w:r>
    </w:p>
    <w:p w:rsidR="00E45CE6" w:rsidRPr="003365D6" w:rsidRDefault="00E45CE6" w:rsidP="00EA6FDA">
      <w:pPr>
        <w:jc w:val="both"/>
        <w:rPr>
          <w:rFonts w:ascii="Arial" w:hAnsi="Arial"/>
          <w:i/>
          <w:sz w:val="22"/>
          <w:szCs w:val="22"/>
        </w:rPr>
      </w:pPr>
    </w:p>
    <w:p w:rsidR="00AD012C" w:rsidRPr="003365D6" w:rsidRDefault="00C12699" w:rsidP="00EA6FDA">
      <w:pPr>
        <w:jc w:val="both"/>
        <w:rPr>
          <w:rFonts w:ascii="Arial" w:hAnsi="Arial"/>
          <w:b/>
          <w:i/>
          <w:sz w:val="22"/>
          <w:szCs w:val="22"/>
        </w:rPr>
      </w:pPr>
      <w:r w:rsidRPr="003365D6">
        <w:rPr>
          <w:rFonts w:ascii="Arial" w:hAnsi="Arial"/>
          <w:b/>
          <w:i/>
          <w:sz w:val="22"/>
          <w:szCs w:val="22"/>
        </w:rPr>
        <w:t>Pharmacovigilance</w:t>
      </w:r>
    </w:p>
    <w:p w:rsidR="00F63210" w:rsidRPr="003365D6" w:rsidRDefault="00F63210" w:rsidP="00EA6FDA">
      <w:pPr>
        <w:jc w:val="both"/>
        <w:rPr>
          <w:rFonts w:ascii="Arial" w:hAnsi="Arial"/>
          <w:sz w:val="22"/>
          <w:szCs w:val="22"/>
        </w:rPr>
      </w:pPr>
    </w:p>
    <w:p w:rsidR="00C12699" w:rsidRPr="003365D6" w:rsidRDefault="00F63210" w:rsidP="00903342">
      <w:pPr>
        <w:pStyle w:val="ListParagraph"/>
        <w:numPr>
          <w:ilvl w:val="1"/>
          <w:numId w:val="2"/>
        </w:numPr>
        <w:jc w:val="both"/>
        <w:rPr>
          <w:rFonts w:ascii="Arial" w:hAnsi="Arial"/>
          <w:i/>
          <w:sz w:val="22"/>
          <w:szCs w:val="22"/>
        </w:rPr>
      </w:pPr>
      <w:r w:rsidRPr="003365D6">
        <w:rPr>
          <w:rFonts w:ascii="Arial" w:hAnsi="Arial"/>
          <w:sz w:val="22"/>
          <w:szCs w:val="22"/>
        </w:rPr>
        <w:t xml:space="preserve">The </w:t>
      </w:r>
      <w:r w:rsidR="00EB65DE" w:rsidRPr="003365D6">
        <w:rPr>
          <w:rFonts w:ascii="Arial" w:hAnsi="Arial"/>
          <w:sz w:val="22"/>
          <w:szCs w:val="22"/>
        </w:rPr>
        <w:t xml:space="preserve">TGA </w:t>
      </w:r>
      <w:r w:rsidRPr="003365D6">
        <w:rPr>
          <w:rFonts w:ascii="Arial" w:hAnsi="Arial"/>
          <w:sz w:val="22"/>
          <w:szCs w:val="22"/>
        </w:rPr>
        <w:t>has accepted the EU Risk Management Plan Version 4.0 and the Australian Specific Annex Version 1.0.</w:t>
      </w:r>
      <w:r w:rsidR="00E95AAC">
        <w:rPr>
          <w:rFonts w:ascii="Arial" w:hAnsi="Arial"/>
          <w:sz w:val="22"/>
          <w:szCs w:val="22"/>
        </w:rPr>
        <w:t xml:space="preserve"> </w:t>
      </w:r>
      <w:r w:rsidRPr="003365D6">
        <w:rPr>
          <w:rFonts w:ascii="Arial" w:hAnsi="Arial"/>
          <w:sz w:val="22"/>
          <w:szCs w:val="22"/>
        </w:rPr>
        <w:t>In addition to a risk management plan, the sponsor will be required to submit the results of patient registries and ongoing clinical trials to the TGA.</w:t>
      </w:r>
      <w:r w:rsidRPr="003365D6">
        <w:rPr>
          <w:rFonts w:ascii="Arial" w:hAnsi="Arial"/>
          <w:i/>
          <w:sz w:val="22"/>
          <w:szCs w:val="22"/>
        </w:rPr>
        <w:t xml:space="preserve">  </w:t>
      </w:r>
    </w:p>
    <w:p w:rsidR="00C12699" w:rsidRPr="003365D6" w:rsidRDefault="00C12699" w:rsidP="00EA6FDA">
      <w:pPr>
        <w:jc w:val="both"/>
        <w:rPr>
          <w:rFonts w:ascii="Arial" w:hAnsi="Arial"/>
          <w:i/>
          <w:sz w:val="22"/>
          <w:szCs w:val="22"/>
        </w:rPr>
      </w:pPr>
    </w:p>
    <w:p w:rsidR="00387E0B" w:rsidRPr="003365D6" w:rsidRDefault="00387E0B" w:rsidP="00CE2A00">
      <w:pPr>
        <w:keepNext/>
        <w:rPr>
          <w:rFonts w:ascii="Arial" w:hAnsi="Arial"/>
          <w:b/>
          <w:i/>
          <w:sz w:val="22"/>
          <w:szCs w:val="22"/>
        </w:rPr>
      </w:pPr>
      <w:r w:rsidRPr="003365D6">
        <w:rPr>
          <w:rFonts w:ascii="Arial" w:hAnsi="Arial"/>
          <w:b/>
          <w:i/>
          <w:sz w:val="22"/>
          <w:szCs w:val="22"/>
        </w:rPr>
        <w:t>Clinical claim</w:t>
      </w:r>
    </w:p>
    <w:p w:rsidR="00387E0B" w:rsidRPr="003365D6" w:rsidRDefault="00387E0B" w:rsidP="00CE2A00">
      <w:pPr>
        <w:keepNext/>
        <w:rPr>
          <w:rFonts w:ascii="Arial" w:hAnsi="Arial"/>
          <w:sz w:val="22"/>
          <w:szCs w:val="22"/>
        </w:rPr>
      </w:pPr>
    </w:p>
    <w:p w:rsidR="00531F9D" w:rsidRPr="003365D6" w:rsidRDefault="00531F9D" w:rsidP="00531F9D">
      <w:pPr>
        <w:pStyle w:val="ListParagraph"/>
        <w:numPr>
          <w:ilvl w:val="1"/>
          <w:numId w:val="2"/>
        </w:numPr>
        <w:jc w:val="both"/>
        <w:rPr>
          <w:rFonts w:ascii="Arial" w:hAnsi="Arial"/>
          <w:sz w:val="22"/>
          <w:szCs w:val="22"/>
        </w:rPr>
      </w:pPr>
      <w:r w:rsidRPr="003365D6">
        <w:rPr>
          <w:rFonts w:ascii="Arial" w:hAnsi="Arial"/>
          <w:sz w:val="22"/>
          <w:szCs w:val="22"/>
        </w:rPr>
        <w:t>The submission has provided evidence from three randomised controlled trials and two extension studies.  At enrolment into the extension studies, patients were switched from Remicade to Inflectra.</w:t>
      </w:r>
    </w:p>
    <w:p w:rsidR="00531F9D" w:rsidRPr="003365D6" w:rsidRDefault="00531F9D" w:rsidP="002E19FD">
      <w:pPr>
        <w:pStyle w:val="ListParagraph"/>
        <w:jc w:val="both"/>
        <w:rPr>
          <w:rFonts w:ascii="Arial" w:hAnsi="Arial"/>
          <w:i/>
          <w:sz w:val="22"/>
          <w:szCs w:val="22"/>
        </w:rPr>
      </w:pPr>
    </w:p>
    <w:p w:rsidR="00626660" w:rsidRPr="003365D6" w:rsidRDefault="00626660" w:rsidP="00531F9D">
      <w:pPr>
        <w:pStyle w:val="ListParagraph"/>
        <w:numPr>
          <w:ilvl w:val="1"/>
          <w:numId w:val="2"/>
        </w:numPr>
        <w:jc w:val="both"/>
        <w:rPr>
          <w:rFonts w:ascii="Arial" w:hAnsi="Arial"/>
          <w:sz w:val="22"/>
          <w:szCs w:val="22"/>
        </w:rPr>
      </w:pPr>
      <w:r w:rsidRPr="003365D6">
        <w:rPr>
          <w:rFonts w:ascii="Arial" w:hAnsi="Arial"/>
          <w:sz w:val="22"/>
          <w:szCs w:val="22"/>
        </w:rPr>
        <w:t xml:space="preserve">The evidence supports the conclusion that </w:t>
      </w:r>
      <w:r w:rsidR="00531F9D" w:rsidRPr="003365D6">
        <w:rPr>
          <w:rFonts w:ascii="Arial" w:hAnsi="Arial"/>
          <w:sz w:val="22"/>
          <w:szCs w:val="22"/>
        </w:rPr>
        <w:t>Inflectra and Remicade were</w:t>
      </w:r>
      <w:r w:rsidRPr="003365D6">
        <w:rPr>
          <w:rFonts w:ascii="Arial" w:hAnsi="Arial"/>
          <w:sz w:val="22"/>
          <w:szCs w:val="22"/>
        </w:rPr>
        <w:t>:</w:t>
      </w:r>
    </w:p>
    <w:p w:rsidR="00531F9D" w:rsidRPr="003365D6" w:rsidRDefault="00531F9D" w:rsidP="002E19FD">
      <w:pPr>
        <w:pStyle w:val="ListParagraph"/>
        <w:numPr>
          <w:ilvl w:val="1"/>
          <w:numId w:val="26"/>
        </w:numPr>
        <w:jc w:val="both"/>
        <w:rPr>
          <w:rFonts w:ascii="Arial" w:hAnsi="Arial"/>
          <w:sz w:val="22"/>
          <w:szCs w:val="22"/>
        </w:rPr>
      </w:pPr>
      <w:r w:rsidRPr="003365D6">
        <w:rPr>
          <w:rFonts w:ascii="Arial" w:hAnsi="Arial"/>
          <w:sz w:val="22"/>
          <w:szCs w:val="22"/>
        </w:rPr>
        <w:t>similar in terms of efficacy in rheumatoid arthritis (proportion of patients achieving ACR20)</w:t>
      </w:r>
    </w:p>
    <w:p w:rsidR="00F233E4" w:rsidRDefault="00626660" w:rsidP="00F233E4">
      <w:pPr>
        <w:pStyle w:val="ListParagraph"/>
        <w:numPr>
          <w:ilvl w:val="1"/>
          <w:numId w:val="26"/>
        </w:numPr>
        <w:jc w:val="both"/>
        <w:rPr>
          <w:rFonts w:ascii="Arial" w:hAnsi="Arial"/>
          <w:sz w:val="22"/>
          <w:szCs w:val="22"/>
        </w:rPr>
      </w:pPr>
      <w:r w:rsidRPr="00F233E4">
        <w:rPr>
          <w:rFonts w:ascii="Arial" w:hAnsi="Arial"/>
          <w:sz w:val="22"/>
          <w:szCs w:val="22"/>
        </w:rPr>
        <w:t xml:space="preserve">similar in terms of efficacy in ankylosing spondylitis (proportion of patients achieving ASAS20), </w:t>
      </w:r>
    </w:p>
    <w:p w:rsidR="00626660" w:rsidRPr="00F233E4" w:rsidRDefault="00626660" w:rsidP="00F233E4">
      <w:pPr>
        <w:pStyle w:val="ListParagraph"/>
        <w:numPr>
          <w:ilvl w:val="1"/>
          <w:numId w:val="26"/>
        </w:numPr>
        <w:jc w:val="both"/>
        <w:rPr>
          <w:rFonts w:ascii="Arial" w:hAnsi="Arial"/>
          <w:sz w:val="22"/>
          <w:szCs w:val="22"/>
        </w:rPr>
      </w:pPr>
      <w:r w:rsidRPr="00F233E4">
        <w:rPr>
          <w:rFonts w:ascii="Arial" w:hAnsi="Arial"/>
          <w:sz w:val="22"/>
          <w:szCs w:val="22"/>
        </w:rPr>
        <w:t xml:space="preserve">similar in terms of safety as advised in the ACPM outcomes report </w:t>
      </w:r>
    </w:p>
    <w:p w:rsidR="00531F9D" w:rsidRPr="003365D6" w:rsidRDefault="00531F9D" w:rsidP="002E19FD">
      <w:pPr>
        <w:pStyle w:val="ListParagraph"/>
        <w:jc w:val="both"/>
        <w:rPr>
          <w:rFonts w:ascii="Arial" w:hAnsi="Arial"/>
          <w:sz w:val="22"/>
          <w:szCs w:val="22"/>
        </w:rPr>
      </w:pPr>
    </w:p>
    <w:p w:rsidR="00EC3438" w:rsidRPr="003365D6" w:rsidRDefault="00493970" w:rsidP="00F276BC">
      <w:pPr>
        <w:pStyle w:val="ListParagraph"/>
        <w:numPr>
          <w:ilvl w:val="1"/>
          <w:numId w:val="2"/>
        </w:numPr>
        <w:jc w:val="both"/>
        <w:rPr>
          <w:rFonts w:ascii="Arial" w:hAnsi="Arial"/>
          <w:sz w:val="22"/>
          <w:szCs w:val="22"/>
        </w:rPr>
      </w:pPr>
      <w:r w:rsidRPr="003365D6">
        <w:rPr>
          <w:rFonts w:ascii="Arial" w:hAnsi="Arial"/>
          <w:sz w:val="22"/>
          <w:szCs w:val="22"/>
        </w:rPr>
        <w:t xml:space="preserve">A claim of equivalent effectiveness and equivalent safety of Inflectra compared with Remicade is consistent with the </w:t>
      </w:r>
      <w:r w:rsidR="00EB65DE" w:rsidRPr="003365D6">
        <w:rPr>
          <w:rFonts w:ascii="Arial" w:hAnsi="Arial"/>
          <w:sz w:val="22"/>
          <w:szCs w:val="22"/>
        </w:rPr>
        <w:t>submission’s premise of</w:t>
      </w:r>
      <w:r w:rsidRPr="003365D6">
        <w:rPr>
          <w:rFonts w:ascii="Arial" w:hAnsi="Arial"/>
          <w:sz w:val="22"/>
          <w:szCs w:val="22"/>
        </w:rPr>
        <w:t xml:space="preserve"> biosimilarity.</w:t>
      </w:r>
      <w:r w:rsidR="00626660" w:rsidRPr="003365D6">
        <w:rPr>
          <w:rFonts w:ascii="Arial" w:hAnsi="Arial"/>
          <w:sz w:val="22"/>
          <w:szCs w:val="22"/>
        </w:rPr>
        <w:t xml:space="preserve">  </w:t>
      </w:r>
    </w:p>
    <w:p w:rsidR="00EC3438" w:rsidRPr="003365D6" w:rsidRDefault="00EC3438" w:rsidP="00EC3438">
      <w:pPr>
        <w:pStyle w:val="ListParagraph"/>
        <w:jc w:val="both"/>
        <w:rPr>
          <w:rFonts w:ascii="Arial" w:hAnsi="Arial"/>
          <w:sz w:val="22"/>
          <w:szCs w:val="22"/>
        </w:rPr>
      </w:pPr>
    </w:p>
    <w:p w:rsidR="00387E0B" w:rsidRPr="003365D6" w:rsidRDefault="00EC3438" w:rsidP="00EC3438">
      <w:pPr>
        <w:pStyle w:val="ListParagraph"/>
        <w:numPr>
          <w:ilvl w:val="1"/>
          <w:numId w:val="2"/>
        </w:numPr>
        <w:jc w:val="both"/>
        <w:rPr>
          <w:rFonts w:ascii="Arial" w:hAnsi="Arial"/>
          <w:sz w:val="22"/>
          <w:szCs w:val="22"/>
        </w:rPr>
      </w:pPr>
      <w:r w:rsidRPr="003365D6">
        <w:rPr>
          <w:rFonts w:ascii="Arial" w:hAnsi="Arial"/>
          <w:sz w:val="22"/>
          <w:szCs w:val="22"/>
        </w:rPr>
        <w:t>The PBAC noted that the ACPM was satisfied that the submitted data showed that Inflectra is similar to Remicade in terms of efficacy and safety, further noting that the ACPM stated there were sufficient data to declare Inflectra a biosimilar for Remicade. Therefore, t</w:t>
      </w:r>
      <w:r w:rsidR="00626660" w:rsidRPr="003365D6">
        <w:rPr>
          <w:rFonts w:ascii="Arial" w:hAnsi="Arial"/>
          <w:sz w:val="22"/>
          <w:szCs w:val="22"/>
        </w:rPr>
        <w:t>his claim is appropriate</w:t>
      </w:r>
      <w:r w:rsidR="007203E5" w:rsidRPr="003365D6">
        <w:rPr>
          <w:rFonts w:ascii="Arial" w:hAnsi="Arial"/>
          <w:sz w:val="22"/>
          <w:szCs w:val="22"/>
        </w:rPr>
        <w:t>.</w:t>
      </w:r>
    </w:p>
    <w:p w:rsidR="000934C2" w:rsidRPr="003365D6" w:rsidRDefault="000934C2" w:rsidP="000934C2">
      <w:pPr>
        <w:jc w:val="both"/>
        <w:rPr>
          <w:rFonts w:ascii="Arial" w:hAnsi="Arial"/>
          <w:sz w:val="22"/>
          <w:szCs w:val="22"/>
        </w:rPr>
      </w:pPr>
    </w:p>
    <w:p w:rsidR="00026CA6" w:rsidRPr="003365D6" w:rsidRDefault="00026CA6" w:rsidP="00026CA6">
      <w:pPr>
        <w:rPr>
          <w:rFonts w:ascii="Arial" w:hAnsi="Arial"/>
          <w:b/>
          <w:i/>
          <w:sz w:val="22"/>
          <w:szCs w:val="22"/>
        </w:rPr>
      </w:pPr>
      <w:r w:rsidRPr="003365D6">
        <w:rPr>
          <w:rFonts w:ascii="Arial" w:hAnsi="Arial"/>
          <w:b/>
          <w:i/>
          <w:sz w:val="22"/>
          <w:szCs w:val="22"/>
        </w:rPr>
        <w:t>Substitution</w:t>
      </w:r>
      <w:r w:rsidR="00BE6309" w:rsidRPr="003365D6">
        <w:t xml:space="preserve"> </w:t>
      </w:r>
      <w:r w:rsidR="00BE6309" w:rsidRPr="003365D6">
        <w:rPr>
          <w:rFonts w:ascii="Arial" w:hAnsi="Arial"/>
          <w:b/>
          <w:i/>
          <w:sz w:val="22"/>
          <w:szCs w:val="22"/>
        </w:rPr>
        <w:t>between the biosimilar and the reference biologic</w:t>
      </w:r>
    </w:p>
    <w:p w:rsidR="00026CA6" w:rsidRPr="003365D6" w:rsidRDefault="00026CA6" w:rsidP="00026CA6">
      <w:pPr>
        <w:jc w:val="both"/>
        <w:rPr>
          <w:rFonts w:ascii="Arial" w:hAnsi="Arial"/>
          <w:sz w:val="22"/>
          <w:szCs w:val="22"/>
        </w:rPr>
      </w:pPr>
    </w:p>
    <w:p w:rsidR="00026CA6" w:rsidRPr="003365D6" w:rsidRDefault="00026CA6" w:rsidP="00026CA6">
      <w:pPr>
        <w:pStyle w:val="ListParagraph"/>
        <w:numPr>
          <w:ilvl w:val="1"/>
          <w:numId w:val="2"/>
        </w:numPr>
        <w:jc w:val="both"/>
        <w:rPr>
          <w:rFonts w:ascii="Arial" w:hAnsi="Arial"/>
          <w:sz w:val="22"/>
          <w:szCs w:val="22"/>
        </w:rPr>
      </w:pPr>
      <w:r w:rsidRPr="003365D6">
        <w:rPr>
          <w:rFonts w:ascii="Arial" w:hAnsi="Arial"/>
          <w:sz w:val="22"/>
          <w:szCs w:val="22"/>
        </w:rPr>
        <w:t xml:space="preserve">Both Study 3.1 and Study 1.1 had extension studies (after 54 weeks of treatment and up to 102 weeks of treatment).  In both studies, patients originally randomised to Remicade were switched to Inflectra.  For the treatment of RA, 128 patients received Inflectra following Remicade, and for the treatment of AS, 76 patients received Inflectra following Remicade.  Patients and treating physicians remained blinded to the treatment received during the randomised phase of Study 3.1 during the extension study. Whether or not blinding of original treatment allocation is maintained for the extension of Study 1.1 is not reported.  </w:t>
      </w:r>
      <w:r w:rsidR="00EA2F33">
        <w:rPr>
          <w:rFonts w:ascii="Arial" w:hAnsi="Arial"/>
          <w:sz w:val="22"/>
          <w:szCs w:val="22"/>
        </w:rPr>
        <w:t>T</w:t>
      </w:r>
      <w:r w:rsidRPr="003365D6">
        <w:rPr>
          <w:rFonts w:ascii="Arial" w:hAnsi="Arial"/>
          <w:sz w:val="22"/>
          <w:szCs w:val="22"/>
        </w:rPr>
        <w:t>he findings of the extension are:</w:t>
      </w:r>
    </w:p>
    <w:p w:rsidR="00026CA6" w:rsidRPr="003365D6" w:rsidRDefault="00026CA6" w:rsidP="00026CA6">
      <w:pPr>
        <w:pStyle w:val="ListParagraph"/>
        <w:numPr>
          <w:ilvl w:val="2"/>
          <w:numId w:val="2"/>
        </w:numPr>
        <w:jc w:val="both"/>
        <w:rPr>
          <w:rFonts w:ascii="Arial" w:hAnsi="Arial"/>
          <w:sz w:val="22"/>
          <w:szCs w:val="22"/>
        </w:rPr>
      </w:pPr>
      <w:r w:rsidRPr="003365D6">
        <w:rPr>
          <w:rFonts w:ascii="Arial" w:hAnsi="Arial"/>
          <w:sz w:val="22"/>
          <w:szCs w:val="22"/>
        </w:rPr>
        <w:t>No significant loss of efficacy determined by ASAS20 / ASAS40 for ankylosing spondylitis and ACR20, ACR50 and ACR70 for rheumatoid arthritis.</w:t>
      </w:r>
    </w:p>
    <w:p w:rsidR="00026CA6" w:rsidRPr="003365D6" w:rsidRDefault="00026CA6" w:rsidP="00026CA6">
      <w:pPr>
        <w:pStyle w:val="ListParagraph"/>
        <w:numPr>
          <w:ilvl w:val="2"/>
          <w:numId w:val="2"/>
        </w:numPr>
        <w:jc w:val="both"/>
        <w:rPr>
          <w:rFonts w:ascii="Arial" w:hAnsi="Arial"/>
          <w:sz w:val="22"/>
          <w:szCs w:val="22"/>
        </w:rPr>
      </w:pPr>
      <w:r w:rsidRPr="003365D6">
        <w:rPr>
          <w:rFonts w:ascii="Arial" w:hAnsi="Arial"/>
          <w:sz w:val="22"/>
          <w:szCs w:val="22"/>
        </w:rPr>
        <w:t>No notable differences in AEs, SAEs and AEs of special interest.</w:t>
      </w:r>
    </w:p>
    <w:p w:rsidR="00026CA6" w:rsidRPr="003365D6" w:rsidRDefault="00026CA6" w:rsidP="00026CA6">
      <w:pPr>
        <w:pStyle w:val="ListParagraph"/>
        <w:numPr>
          <w:ilvl w:val="2"/>
          <w:numId w:val="2"/>
        </w:numPr>
        <w:jc w:val="both"/>
        <w:rPr>
          <w:rFonts w:ascii="Arial" w:hAnsi="Arial"/>
          <w:sz w:val="22"/>
          <w:szCs w:val="22"/>
        </w:rPr>
      </w:pPr>
      <w:r w:rsidRPr="003365D6">
        <w:rPr>
          <w:rFonts w:ascii="Arial" w:hAnsi="Arial"/>
          <w:sz w:val="22"/>
          <w:szCs w:val="22"/>
        </w:rPr>
        <w:t>No differences in immunogenicity testing</w:t>
      </w:r>
    </w:p>
    <w:p w:rsidR="00026CA6" w:rsidRPr="003365D6" w:rsidRDefault="00026CA6" w:rsidP="00026CA6">
      <w:pPr>
        <w:pStyle w:val="ListParagraph"/>
        <w:numPr>
          <w:ilvl w:val="2"/>
          <w:numId w:val="2"/>
        </w:numPr>
        <w:jc w:val="both"/>
        <w:rPr>
          <w:rFonts w:ascii="Arial" w:hAnsi="Arial"/>
          <w:sz w:val="22"/>
          <w:szCs w:val="22"/>
        </w:rPr>
      </w:pPr>
      <w:r w:rsidRPr="003365D6">
        <w:rPr>
          <w:rFonts w:ascii="Arial" w:hAnsi="Arial"/>
          <w:sz w:val="22"/>
          <w:szCs w:val="22"/>
        </w:rPr>
        <w:t>No special risk in switching from Remicade to Inflectra.</w:t>
      </w:r>
    </w:p>
    <w:p w:rsidR="00026CA6" w:rsidRPr="003365D6" w:rsidRDefault="00026CA6" w:rsidP="00026CA6">
      <w:pPr>
        <w:jc w:val="both"/>
        <w:rPr>
          <w:rFonts w:ascii="Arial" w:hAnsi="Arial"/>
          <w:sz w:val="22"/>
          <w:szCs w:val="22"/>
        </w:rPr>
      </w:pPr>
    </w:p>
    <w:p w:rsidR="00026CA6" w:rsidRPr="003365D6" w:rsidRDefault="00026CA6" w:rsidP="00026CA6">
      <w:pPr>
        <w:pStyle w:val="ListParagraph"/>
        <w:numPr>
          <w:ilvl w:val="1"/>
          <w:numId w:val="2"/>
        </w:numPr>
        <w:jc w:val="both"/>
        <w:rPr>
          <w:rFonts w:ascii="Arial" w:hAnsi="Arial"/>
          <w:sz w:val="22"/>
          <w:szCs w:val="22"/>
        </w:rPr>
      </w:pPr>
      <w:r w:rsidRPr="003365D6">
        <w:rPr>
          <w:rFonts w:ascii="Arial" w:hAnsi="Arial"/>
          <w:sz w:val="22"/>
          <w:szCs w:val="22"/>
        </w:rPr>
        <w:t xml:space="preserve">The </w:t>
      </w:r>
      <w:r w:rsidR="00EA2F33">
        <w:rPr>
          <w:rFonts w:ascii="Arial" w:hAnsi="Arial"/>
          <w:sz w:val="22"/>
          <w:szCs w:val="22"/>
        </w:rPr>
        <w:t>C</w:t>
      </w:r>
      <w:r w:rsidRPr="003365D6">
        <w:rPr>
          <w:rFonts w:ascii="Arial" w:hAnsi="Arial"/>
          <w:sz w:val="22"/>
          <w:szCs w:val="22"/>
        </w:rPr>
        <w:t xml:space="preserve">linical </w:t>
      </w:r>
      <w:r w:rsidR="00EA2F33">
        <w:rPr>
          <w:rFonts w:ascii="Arial" w:hAnsi="Arial"/>
          <w:sz w:val="22"/>
          <w:szCs w:val="22"/>
        </w:rPr>
        <w:t>E</w:t>
      </w:r>
      <w:r w:rsidRPr="003365D6">
        <w:rPr>
          <w:rFonts w:ascii="Arial" w:hAnsi="Arial"/>
          <w:sz w:val="22"/>
          <w:szCs w:val="22"/>
        </w:rPr>
        <w:t xml:space="preserve">valuation </w:t>
      </w:r>
      <w:r w:rsidR="00EA2F33">
        <w:rPr>
          <w:rFonts w:ascii="Arial" w:hAnsi="Arial"/>
          <w:sz w:val="22"/>
          <w:szCs w:val="22"/>
        </w:rPr>
        <w:t>R</w:t>
      </w:r>
      <w:r w:rsidRPr="003365D6">
        <w:rPr>
          <w:rFonts w:ascii="Arial" w:hAnsi="Arial"/>
          <w:sz w:val="22"/>
          <w:szCs w:val="22"/>
        </w:rPr>
        <w:t>eport concluded:</w:t>
      </w:r>
    </w:p>
    <w:p w:rsidR="00026CA6" w:rsidRPr="003365D6" w:rsidRDefault="00026CA6" w:rsidP="00026CA6">
      <w:pPr>
        <w:jc w:val="both"/>
        <w:rPr>
          <w:rFonts w:ascii="Arial" w:hAnsi="Arial"/>
          <w:sz w:val="22"/>
          <w:szCs w:val="22"/>
        </w:rPr>
      </w:pPr>
    </w:p>
    <w:p w:rsidR="00026CA6" w:rsidRPr="003365D6" w:rsidRDefault="00026CA6" w:rsidP="00026CA6">
      <w:pPr>
        <w:ind w:left="720"/>
        <w:jc w:val="both"/>
        <w:rPr>
          <w:rFonts w:ascii="Arial" w:hAnsi="Arial"/>
          <w:sz w:val="22"/>
          <w:szCs w:val="22"/>
        </w:rPr>
      </w:pPr>
      <w:r w:rsidRPr="003365D6">
        <w:rPr>
          <w:rFonts w:ascii="Arial" w:hAnsi="Arial"/>
          <w:sz w:val="22"/>
          <w:szCs w:val="22"/>
        </w:rPr>
        <w:t>“Overall, the results of the 2 extension studies in terms of efficacy, safety and immunogenicity analyses were consistent in all datasets supporting the robustness of the findings in the CT-P13 clinical development program with respect to biosimilarity with Remicade®.”</w:t>
      </w:r>
    </w:p>
    <w:p w:rsidR="00026CA6" w:rsidRPr="003365D6" w:rsidRDefault="00026CA6" w:rsidP="00026CA6">
      <w:pPr>
        <w:jc w:val="both"/>
        <w:rPr>
          <w:rFonts w:ascii="Arial" w:hAnsi="Arial"/>
          <w:sz w:val="22"/>
          <w:szCs w:val="22"/>
        </w:rPr>
      </w:pPr>
    </w:p>
    <w:p w:rsidR="00026CA6" w:rsidRPr="003365D6" w:rsidRDefault="00026CA6" w:rsidP="00026CA6">
      <w:pPr>
        <w:pStyle w:val="ListParagraph"/>
        <w:numPr>
          <w:ilvl w:val="1"/>
          <w:numId w:val="2"/>
        </w:numPr>
        <w:jc w:val="both"/>
        <w:rPr>
          <w:rFonts w:ascii="Arial" w:hAnsi="Arial"/>
          <w:sz w:val="22"/>
          <w:szCs w:val="22"/>
        </w:rPr>
      </w:pPr>
      <w:r w:rsidRPr="003365D6">
        <w:rPr>
          <w:rFonts w:ascii="Arial" w:hAnsi="Arial"/>
          <w:sz w:val="22"/>
          <w:szCs w:val="22"/>
        </w:rPr>
        <w:t xml:space="preserve">The number of patients enrolled in the extension studies was lower than in the initial studies.  </w:t>
      </w:r>
    </w:p>
    <w:p w:rsidR="00026CA6" w:rsidRPr="003365D6" w:rsidRDefault="00026CA6" w:rsidP="00026CA6">
      <w:pPr>
        <w:pStyle w:val="ListParagraph"/>
        <w:jc w:val="both"/>
        <w:rPr>
          <w:rFonts w:ascii="Arial" w:hAnsi="Arial"/>
          <w:sz w:val="22"/>
          <w:szCs w:val="22"/>
        </w:rPr>
      </w:pPr>
    </w:p>
    <w:p w:rsidR="00026CA6" w:rsidRPr="00F233E4" w:rsidRDefault="00026CA6" w:rsidP="00CE2A00">
      <w:pPr>
        <w:pStyle w:val="Caption"/>
        <w:keepNext/>
        <w:spacing w:after="0"/>
        <w:ind w:left="720"/>
        <w:rPr>
          <w:rStyle w:val="CommentReference"/>
          <w:b/>
        </w:rPr>
      </w:pPr>
      <w:r w:rsidRPr="003365D6">
        <w:rPr>
          <w:rStyle w:val="CommentReference"/>
          <w:b/>
        </w:rPr>
        <w:t xml:space="preserve">Table </w:t>
      </w:r>
      <w:r w:rsidR="009346CC" w:rsidRPr="003365D6">
        <w:rPr>
          <w:rStyle w:val="CommentReference"/>
          <w:b/>
        </w:rPr>
        <w:t>9</w:t>
      </w:r>
      <w:r w:rsidR="00DA1992">
        <w:rPr>
          <w:rStyle w:val="CommentReference"/>
          <w:b/>
        </w:rPr>
        <w:t>:</w:t>
      </w:r>
      <w:r w:rsidRPr="003365D6">
        <w:rPr>
          <w:rStyle w:val="CommentReference"/>
          <w:b/>
        </w:rPr>
        <w:tab/>
        <w:t>Number of patients enrolled in the included studies and enrolled in the extension studies.</w:t>
      </w:r>
    </w:p>
    <w:tbl>
      <w:tblPr>
        <w:tblStyle w:val="TableGrid"/>
        <w:tblW w:w="4615" w:type="pct"/>
        <w:tblInd w:w="709" w:type="dxa"/>
        <w:tblLook w:val="04A0" w:firstRow="1" w:lastRow="0" w:firstColumn="1" w:lastColumn="0" w:noHBand="0" w:noVBand="1"/>
        <w:tblCaption w:val="Table 9: Number of patients enrolled in the included studies and enrolled in the extension studies."/>
        <w:tblDescription w:val="This table summarises the number of patients enrolled in the included studies and enrolled in the extension studies."/>
      </w:tblPr>
      <w:tblGrid>
        <w:gridCol w:w="3510"/>
        <w:gridCol w:w="2652"/>
        <w:gridCol w:w="2368"/>
      </w:tblGrid>
      <w:tr w:rsidR="00026CA6" w:rsidRPr="003365D6" w:rsidTr="008A4849">
        <w:trPr>
          <w:tblHeader/>
        </w:trPr>
        <w:tc>
          <w:tcPr>
            <w:tcW w:w="3510" w:type="dxa"/>
            <w:tcBorders>
              <w:bottom w:val="single" w:sz="4" w:space="0" w:color="auto"/>
            </w:tcBorders>
          </w:tcPr>
          <w:p w:rsidR="00026CA6" w:rsidRPr="003365D6" w:rsidRDefault="00026CA6" w:rsidP="00CE2A00">
            <w:pPr>
              <w:keepNext/>
              <w:jc w:val="both"/>
              <w:rPr>
                <w:rFonts w:ascii="Arial Narrow" w:hAnsi="Arial Narrow"/>
                <w:b/>
                <w:sz w:val="20"/>
                <w:szCs w:val="20"/>
              </w:rPr>
            </w:pPr>
            <w:r w:rsidRPr="003365D6">
              <w:rPr>
                <w:rFonts w:ascii="Arial Narrow" w:hAnsi="Arial Narrow"/>
                <w:b/>
                <w:sz w:val="20"/>
                <w:szCs w:val="20"/>
              </w:rPr>
              <w:t>Patients remaining on treatment</w:t>
            </w:r>
          </w:p>
        </w:tc>
        <w:tc>
          <w:tcPr>
            <w:tcW w:w="2652" w:type="dxa"/>
            <w:tcBorders>
              <w:bottom w:val="single" w:sz="4" w:space="0" w:color="auto"/>
            </w:tcBorders>
          </w:tcPr>
          <w:p w:rsidR="00026CA6" w:rsidRPr="003365D6" w:rsidRDefault="00026CA6" w:rsidP="00CE2A00">
            <w:pPr>
              <w:keepNext/>
              <w:jc w:val="both"/>
              <w:rPr>
                <w:rFonts w:ascii="Arial Narrow" w:hAnsi="Arial Narrow"/>
                <w:b/>
                <w:sz w:val="20"/>
                <w:szCs w:val="20"/>
              </w:rPr>
            </w:pPr>
            <w:r w:rsidRPr="003365D6">
              <w:rPr>
                <w:rFonts w:ascii="Arial Narrow" w:hAnsi="Arial Narrow"/>
                <w:b/>
                <w:sz w:val="20"/>
                <w:szCs w:val="20"/>
              </w:rPr>
              <w:t>Initial Inflectra patients</w:t>
            </w:r>
          </w:p>
        </w:tc>
        <w:tc>
          <w:tcPr>
            <w:tcW w:w="2368" w:type="dxa"/>
            <w:tcBorders>
              <w:bottom w:val="single" w:sz="4" w:space="0" w:color="auto"/>
            </w:tcBorders>
          </w:tcPr>
          <w:p w:rsidR="00026CA6" w:rsidRPr="003365D6" w:rsidRDefault="00026CA6" w:rsidP="00CE2A00">
            <w:pPr>
              <w:keepNext/>
              <w:jc w:val="both"/>
              <w:rPr>
                <w:rFonts w:ascii="Arial Narrow" w:hAnsi="Arial Narrow"/>
                <w:b/>
                <w:sz w:val="20"/>
                <w:szCs w:val="20"/>
              </w:rPr>
            </w:pPr>
            <w:r w:rsidRPr="003365D6">
              <w:rPr>
                <w:rFonts w:ascii="Arial Narrow" w:hAnsi="Arial Narrow"/>
                <w:b/>
                <w:sz w:val="20"/>
                <w:szCs w:val="20"/>
              </w:rPr>
              <w:t>Initial Remicade patients</w:t>
            </w:r>
          </w:p>
        </w:tc>
      </w:tr>
      <w:tr w:rsidR="00026CA6" w:rsidRPr="003365D6" w:rsidTr="00CE2A00">
        <w:tc>
          <w:tcPr>
            <w:tcW w:w="3510" w:type="dxa"/>
            <w:tcBorders>
              <w:bottom w:val="nil"/>
              <w:right w:val="single" w:sz="4" w:space="0" w:color="auto"/>
            </w:tcBorders>
          </w:tcPr>
          <w:p w:rsidR="00026CA6" w:rsidRPr="00CE2A00" w:rsidRDefault="00026CA6" w:rsidP="00CE2A00">
            <w:pPr>
              <w:keepNext/>
              <w:jc w:val="both"/>
              <w:rPr>
                <w:rFonts w:ascii="Arial Narrow" w:hAnsi="Arial Narrow"/>
                <w:b/>
                <w:sz w:val="20"/>
                <w:szCs w:val="20"/>
              </w:rPr>
            </w:pPr>
            <w:r w:rsidRPr="003365D6">
              <w:rPr>
                <w:rFonts w:ascii="Arial Narrow" w:hAnsi="Arial Narrow"/>
                <w:b/>
                <w:sz w:val="20"/>
                <w:szCs w:val="20"/>
              </w:rPr>
              <w:t>Study 1.1</w:t>
            </w:r>
          </w:p>
        </w:tc>
        <w:tc>
          <w:tcPr>
            <w:tcW w:w="2652" w:type="dxa"/>
            <w:tcBorders>
              <w:left w:val="single" w:sz="4" w:space="0" w:color="auto"/>
              <w:bottom w:val="nil"/>
              <w:right w:val="single" w:sz="4" w:space="0" w:color="auto"/>
            </w:tcBorders>
          </w:tcPr>
          <w:p w:rsidR="00026CA6" w:rsidRPr="003365D6" w:rsidRDefault="00026CA6" w:rsidP="00CE2A00">
            <w:pPr>
              <w:keepNext/>
              <w:rPr>
                <w:rFonts w:ascii="Arial Narrow" w:hAnsi="Arial Narrow"/>
                <w:sz w:val="20"/>
                <w:szCs w:val="20"/>
              </w:rPr>
            </w:pPr>
          </w:p>
        </w:tc>
        <w:tc>
          <w:tcPr>
            <w:tcW w:w="2368" w:type="dxa"/>
            <w:tcBorders>
              <w:left w:val="single" w:sz="4" w:space="0" w:color="auto"/>
              <w:bottom w:val="nil"/>
            </w:tcBorders>
          </w:tcPr>
          <w:p w:rsidR="00026CA6" w:rsidRPr="003365D6" w:rsidRDefault="00026CA6" w:rsidP="00CE2A00">
            <w:pPr>
              <w:keepNext/>
              <w:rPr>
                <w:rFonts w:ascii="Arial Narrow" w:hAnsi="Arial Narrow"/>
                <w:sz w:val="20"/>
                <w:szCs w:val="20"/>
              </w:rPr>
            </w:pPr>
          </w:p>
        </w:tc>
      </w:tr>
      <w:tr w:rsidR="00CE2A00" w:rsidRPr="003365D6" w:rsidTr="00CE2A00">
        <w:tc>
          <w:tcPr>
            <w:tcW w:w="3510" w:type="dxa"/>
            <w:tcBorders>
              <w:top w:val="nil"/>
              <w:bottom w:val="nil"/>
              <w:right w:val="single" w:sz="4" w:space="0" w:color="auto"/>
            </w:tcBorders>
          </w:tcPr>
          <w:p w:rsidR="00CE2A00" w:rsidRPr="00CE2A00" w:rsidRDefault="00CE2A00" w:rsidP="00CE2A00">
            <w:pPr>
              <w:keepNext/>
              <w:ind w:left="720"/>
              <w:jc w:val="both"/>
              <w:rPr>
                <w:rFonts w:ascii="Arial Narrow" w:hAnsi="Arial Narrow"/>
                <w:sz w:val="20"/>
                <w:szCs w:val="20"/>
              </w:rPr>
            </w:pPr>
            <w:r w:rsidRPr="003365D6">
              <w:rPr>
                <w:rFonts w:ascii="Arial Narrow" w:hAnsi="Arial Narrow"/>
                <w:sz w:val="20"/>
                <w:szCs w:val="20"/>
              </w:rPr>
              <w:t>Week 0 (Dose 1)</w:t>
            </w:r>
          </w:p>
        </w:tc>
        <w:tc>
          <w:tcPr>
            <w:tcW w:w="2652" w:type="dxa"/>
            <w:tcBorders>
              <w:top w:val="nil"/>
              <w:left w:val="single" w:sz="4" w:space="0" w:color="auto"/>
              <w:bottom w:val="nil"/>
              <w:right w:val="single" w:sz="4" w:space="0" w:color="auto"/>
            </w:tcBorders>
          </w:tcPr>
          <w:p w:rsidR="00CE2A00" w:rsidRPr="003365D6" w:rsidRDefault="00CE2A00" w:rsidP="00CE2A00">
            <w:pPr>
              <w:keepNext/>
              <w:jc w:val="center"/>
              <w:rPr>
                <w:rFonts w:ascii="Arial Narrow" w:hAnsi="Arial Narrow"/>
                <w:sz w:val="20"/>
                <w:szCs w:val="20"/>
              </w:rPr>
            </w:pPr>
            <w:r w:rsidRPr="003365D6">
              <w:rPr>
                <w:rFonts w:ascii="Arial Narrow" w:hAnsi="Arial Narrow"/>
                <w:sz w:val="20"/>
                <w:szCs w:val="20"/>
              </w:rPr>
              <w:t>128</w:t>
            </w:r>
          </w:p>
        </w:tc>
        <w:tc>
          <w:tcPr>
            <w:tcW w:w="2368" w:type="dxa"/>
            <w:tcBorders>
              <w:top w:val="nil"/>
              <w:left w:val="single" w:sz="4" w:space="0" w:color="auto"/>
              <w:bottom w:val="nil"/>
            </w:tcBorders>
          </w:tcPr>
          <w:p w:rsidR="00CE2A00" w:rsidRPr="003365D6" w:rsidRDefault="00CE2A00" w:rsidP="00CE2A00">
            <w:pPr>
              <w:keepNext/>
              <w:jc w:val="center"/>
              <w:rPr>
                <w:rFonts w:ascii="Arial Narrow" w:hAnsi="Arial Narrow"/>
                <w:sz w:val="20"/>
                <w:szCs w:val="20"/>
              </w:rPr>
            </w:pPr>
            <w:r w:rsidRPr="003365D6">
              <w:rPr>
                <w:rFonts w:ascii="Arial Narrow" w:hAnsi="Arial Narrow"/>
                <w:sz w:val="20"/>
                <w:szCs w:val="20"/>
              </w:rPr>
              <w:t>122</w:t>
            </w:r>
          </w:p>
        </w:tc>
      </w:tr>
      <w:tr w:rsidR="00CE2A00" w:rsidRPr="003365D6" w:rsidTr="00CE2A00">
        <w:tc>
          <w:tcPr>
            <w:tcW w:w="3510" w:type="dxa"/>
            <w:tcBorders>
              <w:top w:val="nil"/>
              <w:bottom w:val="nil"/>
              <w:right w:val="single" w:sz="4" w:space="0" w:color="auto"/>
            </w:tcBorders>
          </w:tcPr>
          <w:p w:rsidR="00CE2A00" w:rsidRPr="003365D6" w:rsidRDefault="00CE2A00" w:rsidP="00CE2A00">
            <w:pPr>
              <w:keepNext/>
              <w:ind w:left="720"/>
              <w:jc w:val="both"/>
              <w:rPr>
                <w:rFonts w:ascii="Arial Narrow" w:hAnsi="Arial Narrow"/>
                <w:b/>
                <w:sz w:val="20"/>
                <w:szCs w:val="20"/>
              </w:rPr>
            </w:pPr>
            <w:r w:rsidRPr="003365D6">
              <w:rPr>
                <w:rFonts w:ascii="Arial Narrow" w:hAnsi="Arial Narrow"/>
                <w:sz w:val="20"/>
                <w:szCs w:val="20"/>
              </w:rPr>
              <w:t>Week 54 (Dose 9)</w:t>
            </w:r>
          </w:p>
        </w:tc>
        <w:tc>
          <w:tcPr>
            <w:tcW w:w="2652" w:type="dxa"/>
            <w:tcBorders>
              <w:top w:val="nil"/>
              <w:left w:val="single" w:sz="4" w:space="0" w:color="auto"/>
              <w:bottom w:val="nil"/>
              <w:right w:val="single" w:sz="4" w:space="0" w:color="auto"/>
            </w:tcBorders>
          </w:tcPr>
          <w:p w:rsidR="00CE2A00" w:rsidRPr="003365D6" w:rsidRDefault="00CE2A00" w:rsidP="00CE2A00">
            <w:pPr>
              <w:keepNext/>
              <w:jc w:val="center"/>
              <w:rPr>
                <w:rFonts w:ascii="Arial Narrow" w:hAnsi="Arial Narrow"/>
                <w:sz w:val="20"/>
                <w:szCs w:val="20"/>
              </w:rPr>
            </w:pPr>
            <w:r w:rsidRPr="003365D6">
              <w:rPr>
                <w:rFonts w:ascii="Arial Narrow" w:hAnsi="Arial Narrow"/>
                <w:sz w:val="20"/>
                <w:szCs w:val="20"/>
              </w:rPr>
              <w:t>109</w:t>
            </w:r>
          </w:p>
        </w:tc>
        <w:tc>
          <w:tcPr>
            <w:tcW w:w="2368" w:type="dxa"/>
            <w:tcBorders>
              <w:top w:val="nil"/>
              <w:left w:val="single" w:sz="4" w:space="0" w:color="auto"/>
              <w:bottom w:val="nil"/>
            </w:tcBorders>
          </w:tcPr>
          <w:p w:rsidR="00CE2A00" w:rsidRPr="003365D6" w:rsidRDefault="00CE2A00" w:rsidP="00CE2A00">
            <w:pPr>
              <w:keepNext/>
              <w:jc w:val="center"/>
              <w:rPr>
                <w:rFonts w:ascii="Arial Narrow" w:hAnsi="Arial Narrow"/>
                <w:sz w:val="20"/>
                <w:szCs w:val="20"/>
              </w:rPr>
            </w:pPr>
            <w:r w:rsidRPr="003365D6">
              <w:rPr>
                <w:rFonts w:ascii="Arial Narrow" w:hAnsi="Arial Narrow"/>
                <w:sz w:val="20"/>
                <w:szCs w:val="20"/>
              </w:rPr>
              <w:t>104</w:t>
            </w:r>
          </w:p>
        </w:tc>
      </w:tr>
      <w:tr w:rsidR="00CE2A00" w:rsidRPr="003365D6" w:rsidTr="00CE2A00">
        <w:tc>
          <w:tcPr>
            <w:tcW w:w="3510" w:type="dxa"/>
            <w:tcBorders>
              <w:top w:val="nil"/>
              <w:bottom w:val="nil"/>
              <w:right w:val="single" w:sz="4" w:space="0" w:color="auto"/>
            </w:tcBorders>
          </w:tcPr>
          <w:p w:rsidR="00CE2A00" w:rsidRPr="003365D6" w:rsidRDefault="00CE2A00" w:rsidP="00CE2A00">
            <w:pPr>
              <w:keepNext/>
              <w:jc w:val="both"/>
              <w:rPr>
                <w:rFonts w:ascii="Arial Narrow" w:hAnsi="Arial Narrow"/>
                <w:b/>
                <w:sz w:val="20"/>
                <w:szCs w:val="20"/>
              </w:rPr>
            </w:pPr>
            <w:r w:rsidRPr="003365D6">
              <w:rPr>
                <w:rFonts w:ascii="Arial Narrow" w:hAnsi="Arial Narrow"/>
                <w:b/>
                <w:sz w:val="20"/>
                <w:szCs w:val="20"/>
              </w:rPr>
              <w:t>Extension Study 1.3</w:t>
            </w:r>
          </w:p>
        </w:tc>
        <w:tc>
          <w:tcPr>
            <w:tcW w:w="2652" w:type="dxa"/>
            <w:tcBorders>
              <w:top w:val="nil"/>
              <w:left w:val="single" w:sz="4" w:space="0" w:color="auto"/>
              <w:bottom w:val="nil"/>
              <w:right w:val="single" w:sz="4" w:space="0" w:color="auto"/>
            </w:tcBorders>
          </w:tcPr>
          <w:p w:rsidR="00CE2A00" w:rsidRPr="003365D6" w:rsidRDefault="00CE2A00" w:rsidP="00CE2A00">
            <w:pPr>
              <w:keepNext/>
              <w:jc w:val="center"/>
              <w:rPr>
                <w:rFonts w:ascii="Arial Narrow" w:hAnsi="Arial Narrow"/>
                <w:sz w:val="20"/>
                <w:szCs w:val="20"/>
              </w:rPr>
            </w:pPr>
          </w:p>
        </w:tc>
        <w:tc>
          <w:tcPr>
            <w:tcW w:w="2368" w:type="dxa"/>
            <w:tcBorders>
              <w:top w:val="nil"/>
              <w:left w:val="single" w:sz="4" w:space="0" w:color="auto"/>
              <w:bottom w:val="nil"/>
            </w:tcBorders>
          </w:tcPr>
          <w:p w:rsidR="00CE2A00" w:rsidRPr="003365D6" w:rsidRDefault="00CE2A00" w:rsidP="00CE2A00">
            <w:pPr>
              <w:keepNext/>
              <w:jc w:val="center"/>
              <w:rPr>
                <w:rFonts w:ascii="Arial Narrow" w:hAnsi="Arial Narrow"/>
                <w:sz w:val="20"/>
                <w:szCs w:val="20"/>
              </w:rPr>
            </w:pPr>
          </w:p>
        </w:tc>
      </w:tr>
      <w:tr w:rsidR="00CE2A00" w:rsidRPr="003365D6" w:rsidTr="00CE2A00">
        <w:tc>
          <w:tcPr>
            <w:tcW w:w="3510" w:type="dxa"/>
            <w:tcBorders>
              <w:top w:val="nil"/>
              <w:bottom w:val="nil"/>
              <w:right w:val="single" w:sz="4" w:space="0" w:color="auto"/>
            </w:tcBorders>
          </w:tcPr>
          <w:p w:rsidR="00CE2A00" w:rsidRPr="003365D6" w:rsidRDefault="00CE2A00" w:rsidP="00CE2A00">
            <w:pPr>
              <w:keepNext/>
              <w:ind w:left="720"/>
              <w:jc w:val="both"/>
              <w:rPr>
                <w:rFonts w:ascii="Arial Narrow" w:hAnsi="Arial Narrow"/>
                <w:b/>
                <w:sz w:val="20"/>
                <w:szCs w:val="20"/>
              </w:rPr>
            </w:pPr>
            <w:r w:rsidRPr="003365D6">
              <w:rPr>
                <w:rFonts w:ascii="Arial Narrow" w:hAnsi="Arial Narrow"/>
                <w:sz w:val="20"/>
                <w:szCs w:val="20"/>
              </w:rPr>
              <w:t>Week 62 (Dose 10)</w:t>
            </w:r>
          </w:p>
        </w:tc>
        <w:tc>
          <w:tcPr>
            <w:tcW w:w="2652" w:type="dxa"/>
            <w:tcBorders>
              <w:top w:val="nil"/>
              <w:left w:val="single" w:sz="4" w:space="0" w:color="auto"/>
              <w:bottom w:val="nil"/>
              <w:right w:val="single" w:sz="4" w:space="0" w:color="auto"/>
            </w:tcBorders>
          </w:tcPr>
          <w:p w:rsidR="00CE2A00" w:rsidRPr="003365D6" w:rsidRDefault="00CE2A00" w:rsidP="00CE2A00">
            <w:pPr>
              <w:keepNext/>
              <w:jc w:val="center"/>
              <w:rPr>
                <w:rFonts w:ascii="Arial Narrow" w:hAnsi="Arial Narrow"/>
                <w:sz w:val="20"/>
                <w:szCs w:val="20"/>
              </w:rPr>
            </w:pPr>
            <w:r w:rsidRPr="003365D6">
              <w:rPr>
                <w:rFonts w:ascii="Arial Narrow" w:hAnsi="Arial Narrow"/>
                <w:sz w:val="20"/>
                <w:szCs w:val="20"/>
              </w:rPr>
              <w:t>90</w:t>
            </w:r>
          </w:p>
        </w:tc>
        <w:tc>
          <w:tcPr>
            <w:tcW w:w="2368" w:type="dxa"/>
            <w:tcBorders>
              <w:top w:val="nil"/>
              <w:left w:val="single" w:sz="4" w:space="0" w:color="auto"/>
              <w:bottom w:val="nil"/>
            </w:tcBorders>
          </w:tcPr>
          <w:p w:rsidR="00CE2A00" w:rsidRPr="003365D6" w:rsidRDefault="00CE2A00" w:rsidP="00CE2A00">
            <w:pPr>
              <w:keepNext/>
              <w:jc w:val="center"/>
              <w:rPr>
                <w:rFonts w:ascii="Arial Narrow" w:hAnsi="Arial Narrow"/>
                <w:sz w:val="20"/>
                <w:szCs w:val="20"/>
              </w:rPr>
            </w:pPr>
            <w:r w:rsidRPr="003365D6">
              <w:rPr>
                <w:rFonts w:ascii="Arial Narrow" w:hAnsi="Arial Narrow"/>
                <w:sz w:val="20"/>
                <w:szCs w:val="20"/>
              </w:rPr>
              <w:t>84</w:t>
            </w:r>
          </w:p>
        </w:tc>
      </w:tr>
      <w:tr w:rsidR="00CE2A00" w:rsidRPr="003365D6" w:rsidTr="00CE2A00">
        <w:tc>
          <w:tcPr>
            <w:tcW w:w="3510" w:type="dxa"/>
            <w:tcBorders>
              <w:top w:val="nil"/>
              <w:bottom w:val="single" w:sz="4" w:space="0" w:color="auto"/>
              <w:right w:val="single" w:sz="4" w:space="0" w:color="auto"/>
            </w:tcBorders>
          </w:tcPr>
          <w:p w:rsidR="00CE2A00" w:rsidRPr="003365D6" w:rsidRDefault="00CE2A00" w:rsidP="00CE2A00">
            <w:pPr>
              <w:keepNext/>
              <w:ind w:left="720"/>
              <w:jc w:val="both"/>
              <w:rPr>
                <w:rFonts w:ascii="Arial Narrow" w:hAnsi="Arial Narrow"/>
                <w:b/>
                <w:sz w:val="20"/>
                <w:szCs w:val="20"/>
              </w:rPr>
            </w:pPr>
            <w:r w:rsidRPr="003365D6">
              <w:rPr>
                <w:rFonts w:ascii="Arial Narrow" w:hAnsi="Arial Narrow"/>
                <w:sz w:val="20"/>
                <w:szCs w:val="20"/>
              </w:rPr>
              <w:t>Week 102 (Dose 15)</w:t>
            </w:r>
          </w:p>
        </w:tc>
        <w:tc>
          <w:tcPr>
            <w:tcW w:w="2652" w:type="dxa"/>
            <w:tcBorders>
              <w:top w:val="nil"/>
              <w:left w:val="single" w:sz="4" w:space="0" w:color="auto"/>
              <w:bottom w:val="single" w:sz="4" w:space="0" w:color="auto"/>
              <w:right w:val="single" w:sz="4" w:space="0" w:color="auto"/>
            </w:tcBorders>
          </w:tcPr>
          <w:p w:rsidR="00CE2A00" w:rsidRPr="003365D6" w:rsidRDefault="00CE2A00" w:rsidP="00CE2A00">
            <w:pPr>
              <w:keepNext/>
              <w:jc w:val="center"/>
              <w:rPr>
                <w:rFonts w:ascii="Arial Narrow" w:hAnsi="Arial Narrow"/>
                <w:sz w:val="20"/>
                <w:szCs w:val="20"/>
              </w:rPr>
            </w:pPr>
            <w:r w:rsidRPr="003365D6">
              <w:rPr>
                <w:rFonts w:ascii="Arial Narrow" w:hAnsi="Arial Narrow"/>
                <w:sz w:val="20"/>
                <w:szCs w:val="20"/>
              </w:rPr>
              <w:t>84</w:t>
            </w:r>
          </w:p>
        </w:tc>
        <w:tc>
          <w:tcPr>
            <w:tcW w:w="2368" w:type="dxa"/>
            <w:tcBorders>
              <w:top w:val="nil"/>
              <w:left w:val="single" w:sz="4" w:space="0" w:color="auto"/>
              <w:bottom w:val="single" w:sz="4" w:space="0" w:color="auto"/>
            </w:tcBorders>
          </w:tcPr>
          <w:p w:rsidR="00CE2A00" w:rsidRPr="003365D6" w:rsidRDefault="00CE2A00" w:rsidP="00CE2A00">
            <w:pPr>
              <w:keepNext/>
              <w:jc w:val="center"/>
              <w:rPr>
                <w:rFonts w:ascii="Arial Narrow" w:hAnsi="Arial Narrow"/>
                <w:sz w:val="20"/>
                <w:szCs w:val="20"/>
              </w:rPr>
            </w:pPr>
            <w:r w:rsidRPr="003365D6">
              <w:rPr>
                <w:rFonts w:ascii="Arial Narrow" w:hAnsi="Arial Narrow"/>
                <w:sz w:val="20"/>
                <w:szCs w:val="20"/>
              </w:rPr>
              <w:t>76</w:t>
            </w:r>
          </w:p>
        </w:tc>
      </w:tr>
      <w:tr w:rsidR="00026CA6" w:rsidRPr="003365D6" w:rsidTr="00CE2A00">
        <w:tc>
          <w:tcPr>
            <w:tcW w:w="3510" w:type="dxa"/>
            <w:tcBorders>
              <w:bottom w:val="nil"/>
            </w:tcBorders>
          </w:tcPr>
          <w:p w:rsidR="00026CA6" w:rsidRPr="00CE2A00" w:rsidRDefault="00026CA6" w:rsidP="00CE2A00">
            <w:pPr>
              <w:jc w:val="both"/>
              <w:rPr>
                <w:rFonts w:ascii="Arial Narrow" w:hAnsi="Arial Narrow"/>
                <w:b/>
                <w:sz w:val="20"/>
                <w:szCs w:val="20"/>
              </w:rPr>
            </w:pPr>
            <w:r w:rsidRPr="003365D6">
              <w:rPr>
                <w:rFonts w:ascii="Arial Narrow" w:hAnsi="Arial Narrow"/>
                <w:b/>
                <w:sz w:val="20"/>
                <w:szCs w:val="20"/>
              </w:rPr>
              <w:t>Study 3.1</w:t>
            </w:r>
          </w:p>
        </w:tc>
        <w:tc>
          <w:tcPr>
            <w:tcW w:w="2652" w:type="dxa"/>
            <w:tcBorders>
              <w:bottom w:val="nil"/>
            </w:tcBorders>
          </w:tcPr>
          <w:p w:rsidR="00026CA6" w:rsidRPr="003365D6" w:rsidRDefault="00026CA6" w:rsidP="00CE2A00">
            <w:pPr>
              <w:rPr>
                <w:rFonts w:ascii="Arial Narrow" w:hAnsi="Arial Narrow"/>
                <w:sz w:val="20"/>
                <w:szCs w:val="20"/>
              </w:rPr>
            </w:pPr>
          </w:p>
        </w:tc>
        <w:tc>
          <w:tcPr>
            <w:tcW w:w="2368" w:type="dxa"/>
            <w:tcBorders>
              <w:bottom w:val="nil"/>
            </w:tcBorders>
          </w:tcPr>
          <w:p w:rsidR="00026CA6" w:rsidRPr="003365D6" w:rsidRDefault="00026CA6" w:rsidP="00CE2A00">
            <w:pPr>
              <w:rPr>
                <w:rFonts w:ascii="Arial Narrow" w:hAnsi="Arial Narrow"/>
                <w:sz w:val="20"/>
                <w:szCs w:val="20"/>
              </w:rPr>
            </w:pPr>
          </w:p>
        </w:tc>
      </w:tr>
      <w:tr w:rsidR="00CE2A00" w:rsidRPr="003365D6" w:rsidTr="00CE2A00">
        <w:tc>
          <w:tcPr>
            <w:tcW w:w="3510" w:type="dxa"/>
            <w:tcBorders>
              <w:top w:val="nil"/>
              <w:bottom w:val="nil"/>
            </w:tcBorders>
          </w:tcPr>
          <w:p w:rsidR="00CE2A00" w:rsidRPr="003365D6" w:rsidRDefault="00CE2A00" w:rsidP="00CE2A00">
            <w:pPr>
              <w:ind w:left="720"/>
              <w:jc w:val="both"/>
              <w:rPr>
                <w:rFonts w:ascii="Arial Narrow" w:hAnsi="Arial Narrow"/>
                <w:b/>
                <w:sz w:val="20"/>
                <w:szCs w:val="20"/>
              </w:rPr>
            </w:pPr>
            <w:r w:rsidRPr="003365D6">
              <w:rPr>
                <w:rFonts w:ascii="Arial Narrow" w:hAnsi="Arial Narrow"/>
                <w:sz w:val="20"/>
                <w:szCs w:val="20"/>
              </w:rPr>
              <w:t>Week 0 (Dose 1)</w:t>
            </w:r>
          </w:p>
        </w:tc>
        <w:tc>
          <w:tcPr>
            <w:tcW w:w="2652" w:type="dxa"/>
            <w:tcBorders>
              <w:top w:val="nil"/>
              <w:bottom w:val="nil"/>
            </w:tcBorders>
          </w:tcPr>
          <w:p w:rsidR="00CE2A00" w:rsidRPr="003365D6" w:rsidRDefault="00CE2A00" w:rsidP="00CE2A00">
            <w:pPr>
              <w:jc w:val="center"/>
              <w:rPr>
                <w:rFonts w:ascii="Arial Narrow" w:hAnsi="Arial Narrow"/>
                <w:sz w:val="20"/>
                <w:szCs w:val="20"/>
              </w:rPr>
            </w:pPr>
            <w:r w:rsidRPr="003365D6">
              <w:rPr>
                <w:rFonts w:ascii="Arial Narrow" w:hAnsi="Arial Narrow"/>
                <w:sz w:val="20"/>
                <w:szCs w:val="20"/>
              </w:rPr>
              <w:t>302</w:t>
            </w:r>
          </w:p>
        </w:tc>
        <w:tc>
          <w:tcPr>
            <w:tcW w:w="2368" w:type="dxa"/>
            <w:tcBorders>
              <w:top w:val="nil"/>
              <w:bottom w:val="nil"/>
            </w:tcBorders>
          </w:tcPr>
          <w:p w:rsidR="00CE2A00" w:rsidRPr="003365D6" w:rsidRDefault="00CE2A00" w:rsidP="00CE2A00">
            <w:pPr>
              <w:jc w:val="center"/>
              <w:rPr>
                <w:rFonts w:ascii="Arial Narrow" w:hAnsi="Arial Narrow"/>
                <w:sz w:val="20"/>
                <w:szCs w:val="20"/>
              </w:rPr>
            </w:pPr>
            <w:r w:rsidRPr="003365D6">
              <w:rPr>
                <w:rFonts w:ascii="Arial Narrow" w:hAnsi="Arial Narrow"/>
                <w:sz w:val="20"/>
                <w:szCs w:val="20"/>
              </w:rPr>
              <w:t>300</w:t>
            </w:r>
          </w:p>
        </w:tc>
      </w:tr>
      <w:tr w:rsidR="00CE2A00" w:rsidRPr="003365D6" w:rsidTr="00CE2A00">
        <w:tc>
          <w:tcPr>
            <w:tcW w:w="3510" w:type="dxa"/>
            <w:tcBorders>
              <w:top w:val="nil"/>
              <w:bottom w:val="nil"/>
            </w:tcBorders>
          </w:tcPr>
          <w:p w:rsidR="00CE2A00" w:rsidRPr="003365D6" w:rsidRDefault="00CE2A00" w:rsidP="00CE2A00">
            <w:pPr>
              <w:ind w:left="720"/>
              <w:jc w:val="both"/>
              <w:rPr>
                <w:rFonts w:ascii="Arial Narrow" w:hAnsi="Arial Narrow"/>
                <w:b/>
                <w:sz w:val="20"/>
                <w:szCs w:val="20"/>
              </w:rPr>
            </w:pPr>
            <w:r w:rsidRPr="003365D6">
              <w:rPr>
                <w:rFonts w:ascii="Arial Narrow" w:hAnsi="Arial Narrow"/>
                <w:sz w:val="20"/>
                <w:szCs w:val="20"/>
              </w:rPr>
              <w:t>Week 54 (Dose 9)</w:t>
            </w:r>
          </w:p>
        </w:tc>
        <w:tc>
          <w:tcPr>
            <w:tcW w:w="2652" w:type="dxa"/>
            <w:tcBorders>
              <w:top w:val="nil"/>
              <w:bottom w:val="nil"/>
            </w:tcBorders>
          </w:tcPr>
          <w:p w:rsidR="00CE2A00" w:rsidRPr="003365D6" w:rsidRDefault="00CE2A00" w:rsidP="00CE2A00">
            <w:pPr>
              <w:jc w:val="center"/>
              <w:rPr>
                <w:rFonts w:ascii="Arial Narrow" w:hAnsi="Arial Narrow"/>
                <w:sz w:val="20"/>
                <w:szCs w:val="20"/>
              </w:rPr>
            </w:pPr>
            <w:r w:rsidRPr="003365D6">
              <w:rPr>
                <w:rFonts w:ascii="Arial Narrow" w:hAnsi="Arial Narrow"/>
                <w:sz w:val="20"/>
                <w:szCs w:val="20"/>
              </w:rPr>
              <w:t>237</w:t>
            </w:r>
          </w:p>
        </w:tc>
        <w:tc>
          <w:tcPr>
            <w:tcW w:w="2368" w:type="dxa"/>
            <w:tcBorders>
              <w:top w:val="nil"/>
              <w:bottom w:val="nil"/>
            </w:tcBorders>
          </w:tcPr>
          <w:p w:rsidR="00CE2A00" w:rsidRPr="003365D6" w:rsidRDefault="00CE2A00" w:rsidP="00CE2A00">
            <w:pPr>
              <w:jc w:val="center"/>
              <w:rPr>
                <w:rFonts w:ascii="Arial Narrow" w:hAnsi="Arial Narrow"/>
                <w:sz w:val="20"/>
                <w:szCs w:val="20"/>
              </w:rPr>
            </w:pPr>
            <w:r w:rsidRPr="003365D6">
              <w:rPr>
                <w:rFonts w:ascii="Arial Narrow" w:hAnsi="Arial Narrow"/>
                <w:sz w:val="20"/>
                <w:szCs w:val="20"/>
              </w:rPr>
              <w:t>220</w:t>
            </w:r>
          </w:p>
        </w:tc>
      </w:tr>
      <w:tr w:rsidR="00CE2A00" w:rsidRPr="003365D6" w:rsidTr="00CE2A00">
        <w:tc>
          <w:tcPr>
            <w:tcW w:w="3510" w:type="dxa"/>
            <w:tcBorders>
              <w:top w:val="nil"/>
              <w:bottom w:val="nil"/>
            </w:tcBorders>
          </w:tcPr>
          <w:p w:rsidR="00CE2A00" w:rsidRPr="003365D6" w:rsidRDefault="00CE2A00" w:rsidP="007D176B">
            <w:pPr>
              <w:jc w:val="both"/>
              <w:rPr>
                <w:rFonts w:ascii="Arial Narrow" w:hAnsi="Arial Narrow"/>
                <w:b/>
                <w:sz w:val="20"/>
                <w:szCs w:val="20"/>
              </w:rPr>
            </w:pPr>
            <w:r w:rsidRPr="003365D6">
              <w:rPr>
                <w:rFonts w:ascii="Arial Narrow" w:hAnsi="Arial Narrow"/>
                <w:b/>
                <w:sz w:val="20"/>
                <w:szCs w:val="20"/>
              </w:rPr>
              <w:t>Extension Study 3.2</w:t>
            </w:r>
          </w:p>
        </w:tc>
        <w:tc>
          <w:tcPr>
            <w:tcW w:w="2652" w:type="dxa"/>
            <w:tcBorders>
              <w:top w:val="nil"/>
              <w:bottom w:val="nil"/>
            </w:tcBorders>
          </w:tcPr>
          <w:p w:rsidR="00CE2A00" w:rsidRPr="003365D6" w:rsidRDefault="00CE2A00" w:rsidP="007D176B">
            <w:pPr>
              <w:jc w:val="center"/>
              <w:rPr>
                <w:rFonts w:ascii="Arial Narrow" w:hAnsi="Arial Narrow"/>
                <w:sz w:val="20"/>
                <w:szCs w:val="20"/>
              </w:rPr>
            </w:pPr>
          </w:p>
        </w:tc>
        <w:tc>
          <w:tcPr>
            <w:tcW w:w="2368" w:type="dxa"/>
            <w:tcBorders>
              <w:top w:val="nil"/>
              <w:bottom w:val="nil"/>
            </w:tcBorders>
          </w:tcPr>
          <w:p w:rsidR="00CE2A00" w:rsidRPr="003365D6" w:rsidRDefault="00CE2A00" w:rsidP="007D176B">
            <w:pPr>
              <w:jc w:val="center"/>
              <w:rPr>
                <w:rFonts w:ascii="Arial Narrow" w:hAnsi="Arial Narrow"/>
                <w:sz w:val="20"/>
                <w:szCs w:val="20"/>
              </w:rPr>
            </w:pPr>
          </w:p>
        </w:tc>
      </w:tr>
      <w:tr w:rsidR="00CE2A00" w:rsidRPr="003365D6" w:rsidTr="00CE2A00">
        <w:tc>
          <w:tcPr>
            <w:tcW w:w="3510" w:type="dxa"/>
            <w:tcBorders>
              <w:top w:val="nil"/>
              <w:bottom w:val="nil"/>
            </w:tcBorders>
          </w:tcPr>
          <w:p w:rsidR="00CE2A00" w:rsidRPr="003365D6" w:rsidRDefault="00CE2A00" w:rsidP="00CE2A00">
            <w:pPr>
              <w:ind w:left="720"/>
              <w:jc w:val="both"/>
              <w:rPr>
                <w:rFonts w:ascii="Arial Narrow" w:hAnsi="Arial Narrow"/>
                <w:b/>
                <w:sz w:val="20"/>
                <w:szCs w:val="20"/>
              </w:rPr>
            </w:pPr>
            <w:r w:rsidRPr="003365D6">
              <w:rPr>
                <w:rFonts w:ascii="Arial Narrow" w:hAnsi="Arial Narrow"/>
                <w:sz w:val="20"/>
                <w:szCs w:val="20"/>
              </w:rPr>
              <w:t>Week 62 (Dose 10)</w:t>
            </w:r>
          </w:p>
        </w:tc>
        <w:tc>
          <w:tcPr>
            <w:tcW w:w="2652" w:type="dxa"/>
            <w:tcBorders>
              <w:top w:val="nil"/>
              <w:bottom w:val="nil"/>
            </w:tcBorders>
          </w:tcPr>
          <w:p w:rsidR="00CE2A00" w:rsidRPr="003365D6" w:rsidRDefault="00CE2A00" w:rsidP="00CE2A00">
            <w:pPr>
              <w:jc w:val="center"/>
              <w:rPr>
                <w:rFonts w:ascii="Arial Narrow" w:hAnsi="Arial Narrow"/>
                <w:sz w:val="20"/>
                <w:szCs w:val="20"/>
              </w:rPr>
            </w:pPr>
            <w:r w:rsidRPr="003365D6">
              <w:rPr>
                <w:rFonts w:ascii="Arial Narrow" w:hAnsi="Arial Narrow"/>
                <w:sz w:val="20"/>
                <w:szCs w:val="20"/>
              </w:rPr>
              <w:t>158</w:t>
            </w:r>
          </w:p>
        </w:tc>
        <w:tc>
          <w:tcPr>
            <w:tcW w:w="2368" w:type="dxa"/>
            <w:tcBorders>
              <w:top w:val="nil"/>
              <w:bottom w:val="nil"/>
            </w:tcBorders>
          </w:tcPr>
          <w:p w:rsidR="00CE2A00" w:rsidRPr="003365D6" w:rsidRDefault="00CE2A00" w:rsidP="00CE2A00">
            <w:pPr>
              <w:jc w:val="center"/>
              <w:rPr>
                <w:rFonts w:ascii="Arial Narrow" w:hAnsi="Arial Narrow"/>
                <w:sz w:val="20"/>
                <w:szCs w:val="20"/>
              </w:rPr>
            </w:pPr>
            <w:r w:rsidRPr="003365D6">
              <w:rPr>
                <w:rFonts w:ascii="Arial Narrow" w:hAnsi="Arial Narrow"/>
                <w:sz w:val="20"/>
                <w:szCs w:val="20"/>
              </w:rPr>
              <w:t>143</w:t>
            </w:r>
          </w:p>
        </w:tc>
      </w:tr>
      <w:tr w:rsidR="00CE2A00" w:rsidRPr="003365D6" w:rsidTr="00CE2A00">
        <w:tc>
          <w:tcPr>
            <w:tcW w:w="3510" w:type="dxa"/>
            <w:tcBorders>
              <w:top w:val="nil"/>
            </w:tcBorders>
          </w:tcPr>
          <w:p w:rsidR="00CE2A00" w:rsidRPr="003365D6" w:rsidRDefault="00CE2A00" w:rsidP="00CE2A00">
            <w:pPr>
              <w:ind w:left="720"/>
              <w:jc w:val="both"/>
              <w:rPr>
                <w:rFonts w:ascii="Arial Narrow" w:hAnsi="Arial Narrow"/>
                <w:b/>
                <w:sz w:val="20"/>
                <w:szCs w:val="20"/>
              </w:rPr>
            </w:pPr>
            <w:r w:rsidRPr="003365D6">
              <w:rPr>
                <w:rFonts w:ascii="Arial Narrow" w:hAnsi="Arial Narrow"/>
                <w:sz w:val="20"/>
                <w:szCs w:val="20"/>
              </w:rPr>
              <w:t>Week 102 (Dose 15)</w:t>
            </w:r>
          </w:p>
        </w:tc>
        <w:tc>
          <w:tcPr>
            <w:tcW w:w="2652" w:type="dxa"/>
            <w:tcBorders>
              <w:top w:val="nil"/>
            </w:tcBorders>
          </w:tcPr>
          <w:p w:rsidR="00CE2A00" w:rsidRPr="003365D6" w:rsidRDefault="00CE2A00" w:rsidP="007D176B">
            <w:pPr>
              <w:jc w:val="center"/>
              <w:rPr>
                <w:rFonts w:ascii="Arial Narrow" w:hAnsi="Arial Narrow"/>
                <w:sz w:val="20"/>
                <w:szCs w:val="20"/>
              </w:rPr>
            </w:pPr>
            <w:r w:rsidRPr="003365D6">
              <w:rPr>
                <w:rFonts w:ascii="Arial Narrow" w:hAnsi="Arial Narrow"/>
                <w:sz w:val="20"/>
                <w:szCs w:val="20"/>
              </w:rPr>
              <w:t>141</w:t>
            </w:r>
          </w:p>
        </w:tc>
        <w:tc>
          <w:tcPr>
            <w:tcW w:w="2368" w:type="dxa"/>
            <w:tcBorders>
              <w:top w:val="nil"/>
            </w:tcBorders>
          </w:tcPr>
          <w:p w:rsidR="00CE2A00" w:rsidRPr="003365D6" w:rsidRDefault="00CE2A00" w:rsidP="007D176B">
            <w:pPr>
              <w:jc w:val="center"/>
              <w:rPr>
                <w:rFonts w:ascii="Arial Narrow" w:hAnsi="Arial Narrow"/>
                <w:sz w:val="20"/>
                <w:szCs w:val="20"/>
              </w:rPr>
            </w:pPr>
            <w:r w:rsidRPr="003365D6">
              <w:rPr>
                <w:rFonts w:ascii="Arial Narrow" w:hAnsi="Arial Narrow"/>
                <w:sz w:val="20"/>
                <w:szCs w:val="20"/>
              </w:rPr>
              <w:t>128</w:t>
            </w:r>
          </w:p>
        </w:tc>
      </w:tr>
    </w:tbl>
    <w:p w:rsidR="00026CA6" w:rsidRPr="003365D6" w:rsidRDefault="00026CA6" w:rsidP="00026CA6">
      <w:pPr>
        <w:jc w:val="both"/>
        <w:rPr>
          <w:rFonts w:ascii="Arial" w:hAnsi="Arial"/>
          <w:sz w:val="22"/>
          <w:szCs w:val="22"/>
        </w:rPr>
      </w:pPr>
    </w:p>
    <w:p w:rsidR="00026CA6" w:rsidRPr="003365D6" w:rsidRDefault="00026CA6" w:rsidP="00026CA6">
      <w:pPr>
        <w:pStyle w:val="ListParagraph"/>
        <w:numPr>
          <w:ilvl w:val="1"/>
          <w:numId w:val="2"/>
        </w:numPr>
        <w:jc w:val="both"/>
        <w:rPr>
          <w:rFonts w:ascii="Arial" w:hAnsi="Arial"/>
          <w:sz w:val="22"/>
          <w:szCs w:val="22"/>
        </w:rPr>
      </w:pPr>
      <w:r w:rsidRPr="003365D6">
        <w:rPr>
          <w:rFonts w:ascii="Arial" w:hAnsi="Arial"/>
          <w:sz w:val="22"/>
          <w:szCs w:val="22"/>
        </w:rPr>
        <w:t xml:space="preserve">The baseline characteristics of those patients entering the extension studies </w:t>
      </w:r>
      <w:r w:rsidR="00277C17" w:rsidRPr="003365D6">
        <w:rPr>
          <w:rFonts w:ascii="Arial" w:hAnsi="Arial"/>
          <w:sz w:val="22"/>
          <w:szCs w:val="22"/>
        </w:rPr>
        <w:t xml:space="preserve">were </w:t>
      </w:r>
      <w:r w:rsidRPr="003365D6">
        <w:rPr>
          <w:rFonts w:ascii="Arial" w:hAnsi="Arial"/>
          <w:sz w:val="22"/>
          <w:szCs w:val="22"/>
        </w:rPr>
        <w:t xml:space="preserve">not discussed in the submission.  Patients at greatest risk of adverse events may not have been enrolled in the extension studies as they are more likely to have discontinued prior to the extension study than those patients who have few, or are able to tolerate, adverse events associated with infliximab.  It is unclear whether this would minimise observed differences in safety or efficacy post-switch (if there are any differences).  </w:t>
      </w:r>
    </w:p>
    <w:p w:rsidR="00026CA6" w:rsidRPr="003365D6" w:rsidRDefault="00026CA6" w:rsidP="00026CA6">
      <w:pPr>
        <w:pStyle w:val="ListParagraph"/>
        <w:jc w:val="both"/>
        <w:rPr>
          <w:rFonts w:ascii="Arial" w:hAnsi="Arial"/>
          <w:sz w:val="22"/>
          <w:szCs w:val="22"/>
        </w:rPr>
      </w:pPr>
    </w:p>
    <w:p w:rsidR="00026CA6" w:rsidRPr="003365D6" w:rsidRDefault="00026CA6" w:rsidP="00026CA6">
      <w:pPr>
        <w:pStyle w:val="ListParagraph"/>
        <w:numPr>
          <w:ilvl w:val="1"/>
          <w:numId w:val="2"/>
        </w:numPr>
        <w:jc w:val="both"/>
        <w:rPr>
          <w:rFonts w:ascii="Arial" w:hAnsi="Arial"/>
          <w:sz w:val="22"/>
          <w:szCs w:val="22"/>
        </w:rPr>
      </w:pPr>
      <w:r w:rsidRPr="003365D6">
        <w:rPr>
          <w:rFonts w:ascii="Arial" w:hAnsi="Arial"/>
          <w:sz w:val="22"/>
          <w:szCs w:val="22"/>
        </w:rPr>
        <w:t>Study 1.2 (N=19) had an extension phase (following week 54) in which patients receiving Remicade were switched to Inflectra.  The number of AEs after week 54 in the arm that switched from Remicade was similar to the arm that continued on Inflectra.  No hypersensitivity events occurred following switching</w:t>
      </w:r>
      <w:r w:rsidR="00EA2F33">
        <w:rPr>
          <w:rFonts w:ascii="Arial" w:hAnsi="Arial"/>
          <w:sz w:val="22"/>
          <w:szCs w:val="22"/>
        </w:rPr>
        <w:t xml:space="preserve">.  </w:t>
      </w:r>
      <w:r w:rsidRPr="003365D6">
        <w:rPr>
          <w:rFonts w:ascii="Arial" w:hAnsi="Arial"/>
          <w:sz w:val="22"/>
          <w:szCs w:val="22"/>
        </w:rPr>
        <w:t>The Clinical Evaluation Report concluded that the extension phase of Study 1.2, “did not reveal any new safety concerns, particularly with respect to immunogenicity potential”.</w:t>
      </w:r>
    </w:p>
    <w:p w:rsidR="00026CA6" w:rsidRPr="003365D6" w:rsidRDefault="00026CA6" w:rsidP="00026CA6">
      <w:pPr>
        <w:pStyle w:val="ListParagraph"/>
        <w:jc w:val="both"/>
        <w:rPr>
          <w:rFonts w:ascii="Arial" w:hAnsi="Arial"/>
          <w:i/>
          <w:sz w:val="22"/>
          <w:szCs w:val="22"/>
        </w:rPr>
      </w:pPr>
    </w:p>
    <w:p w:rsidR="00026CA6" w:rsidRPr="003365D6" w:rsidRDefault="00026CA6" w:rsidP="00026CA6">
      <w:pPr>
        <w:pStyle w:val="ListParagraph"/>
        <w:numPr>
          <w:ilvl w:val="1"/>
          <w:numId w:val="2"/>
        </w:numPr>
        <w:jc w:val="both"/>
        <w:rPr>
          <w:rFonts w:ascii="Arial" w:hAnsi="Arial"/>
          <w:i/>
          <w:sz w:val="22"/>
          <w:szCs w:val="22"/>
        </w:rPr>
      </w:pPr>
      <w:r w:rsidRPr="003365D6">
        <w:rPr>
          <w:rFonts w:ascii="Arial" w:hAnsi="Arial"/>
          <w:sz w:val="22"/>
          <w:szCs w:val="22"/>
        </w:rPr>
        <w:t xml:space="preserve">Celltrion Healthcare, the international sponsor for </w:t>
      </w:r>
      <w:r w:rsidR="00EA2F33">
        <w:rPr>
          <w:rFonts w:ascii="Arial" w:hAnsi="Arial"/>
          <w:sz w:val="22"/>
          <w:szCs w:val="22"/>
        </w:rPr>
        <w:t>Inflectra</w:t>
      </w:r>
      <w:r w:rsidRPr="003365D6">
        <w:rPr>
          <w:rFonts w:ascii="Arial" w:hAnsi="Arial"/>
          <w:sz w:val="22"/>
          <w:szCs w:val="22"/>
        </w:rPr>
        <w:t>,  has c</w:t>
      </w:r>
      <w:r w:rsidR="00EA2F33">
        <w:rPr>
          <w:rFonts w:ascii="Arial" w:hAnsi="Arial"/>
          <w:sz w:val="22"/>
          <w:szCs w:val="22"/>
        </w:rPr>
        <w:t>laimed</w:t>
      </w:r>
      <w:r w:rsidRPr="003365D6">
        <w:rPr>
          <w:rFonts w:ascii="Arial" w:hAnsi="Arial"/>
          <w:sz w:val="22"/>
          <w:szCs w:val="22"/>
        </w:rPr>
        <w:t>:</w:t>
      </w:r>
    </w:p>
    <w:p w:rsidR="00026CA6" w:rsidRPr="003365D6" w:rsidRDefault="00026CA6" w:rsidP="00026CA6">
      <w:pPr>
        <w:pStyle w:val="ListParagraph"/>
        <w:rPr>
          <w:rFonts w:ascii="Arial" w:hAnsi="Arial"/>
          <w:i/>
          <w:sz w:val="22"/>
          <w:szCs w:val="22"/>
        </w:rPr>
      </w:pPr>
    </w:p>
    <w:p w:rsidR="00026CA6" w:rsidRPr="003365D6" w:rsidRDefault="00026CA6" w:rsidP="00026CA6">
      <w:pPr>
        <w:pStyle w:val="ListParagraph"/>
        <w:jc w:val="both"/>
        <w:rPr>
          <w:rFonts w:ascii="Arial" w:hAnsi="Arial"/>
          <w:sz w:val="22"/>
          <w:szCs w:val="22"/>
        </w:rPr>
      </w:pPr>
      <w:r w:rsidRPr="003365D6">
        <w:rPr>
          <w:rFonts w:ascii="Arial" w:hAnsi="Arial"/>
          <w:sz w:val="22"/>
          <w:szCs w:val="22"/>
        </w:rPr>
        <w:t xml:space="preserve">“Based on the totality of the clinical data from main and extension AS and RA studies it can be concluded that CT-P13 not only demonstrates highly similar efficacy, safety and immunogenicity features in AS and RA patients who were infliximab-naïve but also displays consistently similar efficacy, safety and immunogenicity attributes following a single transition of Remicade® treated AS and RA patients on CT-P13.” </w:t>
      </w:r>
    </w:p>
    <w:p w:rsidR="00026CA6" w:rsidRPr="003365D6" w:rsidRDefault="00026CA6" w:rsidP="00026CA6">
      <w:pPr>
        <w:pStyle w:val="ListParagraph"/>
        <w:rPr>
          <w:rFonts w:ascii="Arial" w:hAnsi="Arial"/>
          <w:i/>
          <w:sz w:val="22"/>
          <w:szCs w:val="22"/>
        </w:rPr>
      </w:pPr>
    </w:p>
    <w:p w:rsidR="00026CA6" w:rsidRPr="003365D6" w:rsidRDefault="00026CA6" w:rsidP="00026CA6">
      <w:pPr>
        <w:pStyle w:val="ListParagraph"/>
        <w:numPr>
          <w:ilvl w:val="1"/>
          <w:numId w:val="2"/>
        </w:numPr>
        <w:jc w:val="both"/>
        <w:rPr>
          <w:rFonts w:ascii="Arial" w:hAnsi="Arial"/>
          <w:sz w:val="22"/>
          <w:szCs w:val="22"/>
        </w:rPr>
      </w:pPr>
      <w:r w:rsidRPr="003365D6">
        <w:rPr>
          <w:rFonts w:ascii="Arial" w:hAnsi="Arial"/>
          <w:sz w:val="22"/>
          <w:szCs w:val="22"/>
        </w:rPr>
        <w:t>The absence of identified changes in efficacy, safety and immunogenicity following switching from the reference biologic (Remicade) to Inflectra supports the non-inferiority of Inflectra to Remicade, particularly for the indications enrolled in the two studies (rheumatoid arthritis and ankylosing spondylitis).</w:t>
      </w:r>
    </w:p>
    <w:p w:rsidR="00026CA6" w:rsidRPr="003365D6" w:rsidRDefault="00026CA6" w:rsidP="00026CA6">
      <w:pPr>
        <w:pStyle w:val="ListParagraph"/>
        <w:jc w:val="both"/>
        <w:rPr>
          <w:rFonts w:ascii="Arial" w:hAnsi="Arial"/>
          <w:sz w:val="22"/>
          <w:szCs w:val="22"/>
        </w:rPr>
      </w:pPr>
    </w:p>
    <w:p w:rsidR="00026CA6" w:rsidRPr="003365D6" w:rsidRDefault="00026CA6" w:rsidP="00026CA6">
      <w:pPr>
        <w:pStyle w:val="ListParagraph"/>
        <w:numPr>
          <w:ilvl w:val="1"/>
          <w:numId w:val="2"/>
        </w:numPr>
        <w:jc w:val="both"/>
        <w:rPr>
          <w:rFonts w:ascii="Arial" w:hAnsi="Arial"/>
          <w:i/>
          <w:sz w:val="22"/>
          <w:szCs w:val="22"/>
        </w:rPr>
      </w:pPr>
      <w:r w:rsidRPr="003365D6">
        <w:rPr>
          <w:rFonts w:ascii="Arial" w:hAnsi="Arial"/>
          <w:sz w:val="22"/>
          <w:szCs w:val="22"/>
        </w:rPr>
        <w:t>Although no special safety concerns have been identified in the presented data regarding switching, adequate monitoring of patients by suitably qualified specialists may minimise risks associated with the use of infliximab, whether the innovator or biosimilar drug.</w:t>
      </w:r>
      <w:r w:rsidRPr="003365D6">
        <w:rPr>
          <w:rFonts w:ascii="Arial" w:hAnsi="Arial"/>
          <w:i/>
          <w:sz w:val="22"/>
          <w:szCs w:val="22"/>
        </w:rPr>
        <w:t xml:space="preserve">  </w:t>
      </w:r>
      <w:r w:rsidRPr="003365D6">
        <w:rPr>
          <w:rFonts w:ascii="Arial" w:hAnsi="Arial"/>
          <w:sz w:val="22"/>
          <w:szCs w:val="22"/>
        </w:rPr>
        <w:t>The current PBS restrictions for infliximab require that treatment is prescribed by a consultant specialist with expertise in the indication in which infliximab is being used</w:t>
      </w:r>
      <w:r w:rsidRPr="003365D6">
        <w:rPr>
          <w:rStyle w:val="FootnoteReference"/>
          <w:rFonts w:ascii="Arial" w:hAnsi="Arial"/>
          <w:sz w:val="22"/>
          <w:szCs w:val="22"/>
        </w:rPr>
        <w:footnoteReference w:id="3"/>
      </w:r>
      <w:r w:rsidRPr="003365D6">
        <w:rPr>
          <w:rFonts w:ascii="Arial" w:hAnsi="Arial"/>
          <w:sz w:val="22"/>
          <w:szCs w:val="22"/>
        </w:rPr>
        <w:t>.  This is also stated in the current product information for Remicade and the proposed product information for Inflectra.</w:t>
      </w:r>
      <w:r w:rsidRPr="003365D6">
        <w:rPr>
          <w:rFonts w:ascii="Arial" w:hAnsi="Arial"/>
          <w:i/>
          <w:sz w:val="22"/>
          <w:szCs w:val="22"/>
        </w:rPr>
        <w:t xml:space="preserve"> </w:t>
      </w:r>
      <w:r w:rsidRPr="003365D6">
        <w:rPr>
          <w:rFonts w:ascii="Arial" w:hAnsi="Arial"/>
          <w:sz w:val="22"/>
          <w:szCs w:val="22"/>
        </w:rPr>
        <w:t>In addition, specialists are required to regularly monitor patients (usually between infliximab doses) to assess the level of response, which is required for the ongoing provision of subsidised drug. The requirement that patients have ongoing management by specialist consultants may minimise the risk of adverse events as well as any issues associated with substitution of Remicade for Inflectra, or</w:t>
      </w:r>
      <w:r w:rsidRPr="003365D6">
        <w:rPr>
          <w:rFonts w:ascii="Arial" w:hAnsi="Arial"/>
          <w:i/>
          <w:sz w:val="22"/>
          <w:szCs w:val="22"/>
        </w:rPr>
        <w:t xml:space="preserve"> </w:t>
      </w:r>
      <w:r w:rsidRPr="003365D6">
        <w:rPr>
          <w:rFonts w:ascii="Arial" w:hAnsi="Arial"/>
          <w:sz w:val="22"/>
          <w:szCs w:val="22"/>
        </w:rPr>
        <w:t>vice versa</w:t>
      </w:r>
      <w:r w:rsidRPr="003365D6">
        <w:rPr>
          <w:rFonts w:ascii="Arial" w:hAnsi="Arial"/>
          <w:i/>
          <w:sz w:val="22"/>
          <w:szCs w:val="22"/>
        </w:rPr>
        <w:t>.</w:t>
      </w:r>
    </w:p>
    <w:p w:rsidR="00026CA6" w:rsidRPr="003365D6" w:rsidRDefault="00026CA6" w:rsidP="00026CA6">
      <w:pPr>
        <w:pStyle w:val="ListParagraph"/>
        <w:rPr>
          <w:rFonts w:ascii="Arial" w:hAnsi="Arial"/>
          <w:i/>
          <w:sz w:val="22"/>
          <w:szCs w:val="22"/>
        </w:rPr>
      </w:pPr>
    </w:p>
    <w:p w:rsidR="00026CA6" w:rsidRPr="003365D6" w:rsidRDefault="00026CA6" w:rsidP="00026CA6">
      <w:pPr>
        <w:pStyle w:val="ListParagraph"/>
        <w:numPr>
          <w:ilvl w:val="1"/>
          <w:numId w:val="2"/>
        </w:numPr>
        <w:jc w:val="both"/>
        <w:rPr>
          <w:rFonts w:ascii="Arial" w:hAnsi="Arial"/>
          <w:i/>
          <w:sz w:val="22"/>
          <w:szCs w:val="22"/>
        </w:rPr>
      </w:pPr>
      <w:r w:rsidRPr="003365D6">
        <w:rPr>
          <w:rFonts w:ascii="Arial" w:hAnsi="Arial"/>
          <w:sz w:val="22"/>
          <w:szCs w:val="22"/>
        </w:rPr>
        <w:t>Infusion related reactions are a potential safety issue for both Remicade and Inflectra.  Although there were no identified differences in infusion-related reactions between the Inflectra and Remicade arms of the pivotal studies</w:t>
      </w:r>
      <w:r w:rsidR="00EA2F33">
        <w:rPr>
          <w:rFonts w:ascii="Arial" w:hAnsi="Arial"/>
          <w:sz w:val="22"/>
          <w:szCs w:val="22"/>
        </w:rPr>
        <w:t>,</w:t>
      </w:r>
      <w:r w:rsidRPr="003365D6">
        <w:rPr>
          <w:rFonts w:ascii="Arial" w:hAnsi="Arial"/>
          <w:sz w:val="22"/>
          <w:szCs w:val="22"/>
        </w:rPr>
        <w:t xml:space="preserve"> and no special risk of infusion-related reactions</w:t>
      </w:r>
      <w:r w:rsidR="00EA2F33">
        <w:rPr>
          <w:rFonts w:ascii="Arial" w:hAnsi="Arial"/>
          <w:sz w:val="22"/>
          <w:szCs w:val="22"/>
        </w:rPr>
        <w:t xml:space="preserve"> identified</w:t>
      </w:r>
      <w:r w:rsidRPr="003365D6">
        <w:rPr>
          <w:rFonts w:ascii="Arial" w:hAnsi="Arial"/>
          <w:sz w:val="22"/>
          <w:szCs w:val="22"/>
        </w:rPr>
        <w:t xml:space="preserve"> following switching from Remicade to Inflectra , as the administration of </w:t>
      </w:r>
      <w:r w:rsidR="00BE6309" w:rsidRPr="003365D6">
        <w:rPr>
          <w:rFonts w:ascii="Arial" w:hAnsi="Arial"/>
          <w:sz w:val="22"/>
          <w:szCs w:val="22"/>
        </w:rPr>
        <w:t xml:space="preserve">Remicade and </w:t>
      </w:r>
      <w:r w:rsidRPr="003365D6">
        <w:rPr>
          <w:rFonts w:ascii="Arial" w:hAnsi="Arial"/>
          <w:sz w:val="22"/>
          <w:szCs w:val="22"/>
        </w:rPr>
        <w:t>Inflectra is supervised, any concerns regarding infusion-related reactions, particularly following switching, are likely to be minimised.  The proposed PI recommends infusions over a period of not less than 2 hours with patients observed for at least one to two hours post infusion for side effects.</w:t>
      </w:r>
    </w:p>
    <w:p w:rsidR="00026CA6" w:rsidRPr="003365D6" w:rsidRDefault="00026CA6" w:rsidP="00026CA6">
      <w:pPr>
        <w:pStyle w:val="ListParagraph"/>
        <w:rPr>
          <w:rFonts w:ascii="Arial" w:hAnsi="Arial"/>
          <w:i/>
          <w:sz w:val="22"/>
          <w:szCs w:val="22"/>
        </w:rPr>
      </w:pPr>
    </w:p>
    <w:p w:rsidR="00026CA6" w:rsidRPr="003365D6" w:rsidRDefault="00EA2F33" w:rsidP="00026CA6">
      <w:pPr>
        <w:pStyle w:val="ListParagraph"/>
        <w:numPr>
          <w:ilvl w:val="1"/>
          <w:numId w:val="2"/>
        </w:numPr>
        <w:jc w:val="both"/>
        <w:rPr>
          <w:rFonts w:ascii="Arial" w:hAnsi="Arial"/>
          <w:sz w:val="22"/>
          <w:szCs w:val="22"/>
        </w:rPr>
      </w:pPr>
      <w:r>
        <w:rPr>
          <w:rFonts w:ascii="Arial" w:hAnsi="Arial"/>
          <w:sz w:val="22"/>
          <w:szCs w:val="22"/>
        </w:rPr>
        <w:t>A</w:t>
      </w:r>
      <w:r w:rsidR="00026CA6" w:rsidRPr="003365D6">
        <w:rPr>
          <w:rFonts w:ascii="Arial" w:hAnsi="Arial"/>
          <w:sz w:val="22"/>
          <w:szCs w:val="22"/>
        </w:rPr>
        <w:t xml:space="preserve"> switching study is currently underway that is enrolling patients across all infliximab indications (NOR-SWITCH study), and is expected to be completed in May 2016.  </w:t>
      </w:r>
    </w:p>
    <w:p w:rsidR="00026CA6" w:rsidRPr="003365D6" w:rsidRDefault="00026CA6" w:rsidP="000934C2">
      <w:pPr>
        <w:jc w:val="both"/>
        <w:rPr>
          <w:rFonts w:ascii="Arial" w:hAnsi="Arial"/>
          <w:i/>
          <w:sz w:val="22"/>
          <w:szCs w:val="22"/>
        </w:rPr>
      </w:pPr>
    </w:p>
    <w:p w:rsidR="000934C2" w:rsidRPr="003365D6" w:rsidRDefault="000934C2" w:rsidP="000934C2">
      <w:pPr>
        <w:jc w:val="both"/>
        <w:rPr>
          <w:rFonts w:ascii="Arial" w:hAnsi="Arial"/>
          <w:b/>
          <w:i/>
          <w:sz w:val="22"/>
          <w:szCs w:val="22"/>
        </w:rPr>
      </w:pPr>
      <w:r w:rsidRPr="003365D6">
        <w:rPr>
          <w:rFonts w:ascii="Arial" w:hAnsi="Arial"/>
          <w:b/>
          <w:i/>
          <w:sz w:val="22"/>
          <w:szCs w:val="22"/>
        </w:rPr>
        <w:t>Economic analysis</w:t>
      </w:r>
    </w:p>
    <w:p w:rsidR="000934C2" w:rsidRPr="003365D6" w:rsidRDefault="000934C2" w:rsidP="000934C2">
      <w:pPr>
        <w:ind w:left="720"/>
        <w:jc w:val="both"/>
        <w:rPr>
          <w:rFonts w:ascii="Arial" w:hAnsi="Arial"/>
          <w:color w:val="000000" w:themeColor="text1"/>
          <w:sz w:val="22"/>
          <w:szCs w:val="22"/>
        </w:rPr>
      </w:pPr>
    </w:p>
    <w:p w:rsidR="000934C2" w:rsidRPr="003365D6" w:rsidRDefault="000934C2" w:rsidP="008B0EC1">
      <w:pPr>
        <w:pStyle w:val="ListParagraph"/>
        <w:numPr>
          <w:ilvl w:val="1"/>
          <w:numId w:val="2"/>
        </w:numPr>
        <w:jc w:val="both"/>
        <w:rPr>
          <w:rFonts w:ascii="Arial" w:hAnsi="Arial"/>
          <w:color w:val="000000" w:themeColor="text1"/>
          <w:sz w:val="22"/>
          <w:szCs w:val="22"/>
        </w:rPr>
      </w:pPr>
      <w:r w:rsidRPr="003365D6">
        <w:rPr>
          <w:rFonts w:ascii="Arial" w:hAnsi="Arial"/>
          <w:color w:val="000000" w:themeColor="text1"/>
          <w:sz w:val="22"/>
          <w:szCs w:val="22"/>
        </w:rPr>
        <w:t>Equi-effective dose:</w:t>
      </w:r>
      <w:r w:rsidRPr="003365D6">
        <w:rPr>
          <w:rFonts w:ascii="Arial" w:hAnsi="Arial"/>
          <w:i/>
          <w:color w:val="000000" w:themeColor="text1"/>
          <w:sz w:val="22"/>
          <w:szCs w:val="22"/>
        </w:rPr>
        <w:t xml:space="preserve"> </w:t>
      </w:r>
      <w:r w:rsidRPr="003365D6">
        <w:rPr>
          <w:rFonts w:ascii="Arial" w:hAnsi="Arial"/>
          <w:color w:val="000000" w:themeColor="text1"/>
          <w:sz w:val="22"/>
          <w:szCs w:val="22"/>
        </w:rPr>
        <w:t xml:space="preserve"> 100mg Inflectra = 100mg Remicade.  This is claimed to be based on the clinical efficacy studies and pharmacokinetic studies.</w:t>
      </w:r>
    </w:p>
    <w:p w:rsidR="000934C2" w:rsidRPr="003365D6" w:rsidRDefault="000934C2" w:rsidP="000934C2">
      <w:pPr>
        <w:ind w:left="720"/>
        <w:jc w:val="both"/>
        <w:rPr>
          <w:rFonts w:ascii="Arial" w:hAnsi="Arial"/>
          <w:color w:val="000000" w:themeColor="text1"/>
          <w:sz w:val="22"/>
          <w:szCs w:val="22"/>
        </w:rPr>
      </w:pPr>
    </w:p>
    <w:p w:rsidR="000934C2" w:rsidRPr="003365D6" w:rsidRDefault="000934C2" w:rsidP="008B0EC1">
      <w:pPr>
        <w:pStyle w:val="ListParagraph"/>
        <w:numPr>
          <w:ilvl w:val="1"/>
          <w:numId w:val="2"/>
        </w:numPr>
        <w:jc w:val="both"/>
        <w:rPr>
          <w:rFonts w:ascii="Arial" w:hAnsi="Arial"/>
          <w:color w:val="000000" w:themeColor="text1"/>
          <w:sz w:val="22"/>
          <w:szCs w:val="22"/>
        </w:rPr>
      </w:pPr>
      <w:r w:rsidRPr="003365D6">
        <w:rPr>
          <w:rFonts w:ascii="Arial" w:hAnsi="Arial"/>
          <w:color w:val="000000" w:themeColor="text1"/>
          <w:sz w:val="22"/>
          <w:szCs w:val="22"/>
        </w:rPr>
        <w:t>Cost-minimisation analysis: Given the claim of dose equivalence, the sponsor compares unit prices only.  The current listing (price of Remicade, ex-manufacturer: $</w:t>
      </w:r>
      <w:r w:rsidR="00D16AF1">
        <w:rPr>
          <w:rFonts w:ascii="Arial" w:hAnsi="Arial"/>
          <w:noProof/>
          <w:color w:val="000000"/>
          <w:sz w:val="22"/>
          <w:szCs w:val="22"/>
          <w:highlight w:val="black"/>
        </w:rPr>
        <w:t>''''''''''''''''''</w:t>
      </w:r>
      <w:r w:rsidRPr="003365D6">
        <w:rPr>
          <w:rFonts w:ascii="Arial" w:hAnsi="Arial"/>
          <w:color w:val="000000" w:themeColor="text1"/>
          <w:sz w:val="22"/>
          <w:szCs w:val="22"/>
        </w:rPr>
        <w:t>/100mg vial) is compared to the proposed listing where the statutory 16% price reduction to the current ex-manufacturer price is applied (the ex-manufacturer price of both Inflectra and Remicade: $</w:t>
      </w:r>
      <w:r w:rsidR="00D16AF1">
        <w:rPr>
          <w:rFonts w:ascii="Arial" w:hAnsi="Arial"/>
          <w:noProof/>
          <w:color w:val="000000"/>
          <w:sz w:val="22"/>
          <w:szCs w:val="22"/>
          <w:highlight w:val="black"/>
        </w:rPr>
        <w:t>''''''''''''''''''</w:t>
      </w:r>
      <w:r w:rsidRPr="003365D6">
        <w:rPr>
          <w:rFonts w:ascii="Arial" w:hAnsi="Arial"/>
          <w:color w:val="000000" w:themeColor="text1"/>
          <w:sz w:val="22"/>
          <w:szCs w:val="22"/>
        </w:rPr>
        <w:t>/100mg vial).  Cost savings are therefore anticipated with the proposed listing.</w:t>
      </w:r>
      <w:r w:rsidR="00EB75CA" w:rsidRPr="003365D6">
        <w:rPr>
          <w:rFonts w:ascii="Arial" w:hAnsi="Arial"/>
          <w:color w:val="000000" w:themeColor="text1"/>
          <w:sz w:val="22"/>
          <w:szCs w:val="22"/>
        </w:rPr>
        <w:t xml:space="preserve"> </w:t>
      </w:r>
    </w:p>
    <w:p w:rsidR="000934C2" w:rsidRPr="00DA1992" w:rsidRDefault="000934C2" w:rsidP="000934C2">
      <w:pPr>
        <w:ind w:left="709"/>
        <w:contextualSpacing/>
        <w:jc w:val="both"/>
        <w:rPr>
          <w:rFonts w:ascii="Arial" w:hAnsi="Arial"/>
          <w:color w:val="000000" w:themeColor="text1"/>
          <w:sz w:val="18"/>
          <w:szCs w:val="22"/>
        </w:rPr>
      </w:pPr>
    </w:p>
    <w:p w:rsidR="000934C2" w:rsidRPr="003365D6" w:rsidRDefault="000934C2" w:rsidP="000934C2">
      <w:pPr>
        <w:ind w:left="720" w:hanging="720"/>
        <w:jc w:val="both"/>
        <w:rPr>
          <w:rFonts w:ascii="Arial" w:hAnsi="Arial"/>
          <w:b/>
          <w:i/>
          <w:sz w:val="22"/>
          <w:szCs w:val="22"/>
        </w:rPr>
      </w:pPr>
      <w:r w:rsidRPr="003365D6">
        <w:rPr>
          <w:rFonts w:ascii="Arial" w:hAnsi="Arial"/>
          <w:b/>
          <w:i/>
          <w:sz w:val="22"/>
          <w:szCs w:val="22"/>
        </w:rPr>
        <w:t>Estimated PBS usage &amp; financial implications</w:t>
      </w:r>
    </w:p>
    <w:p w:rsidR="000934C2" w:rsidRPr="00DA1992" w:rsidRDefault="000934C2" w:rsidP="000934C2">
      <w:pPr>
        <w:ind w:left="720" w:hanging="720"/>
        <w:jc w:val="both"/>
        <w:rPr>
          <w:rFonts w:ascii="Arial" w:hAnsi="Arial"/>
          <w:b/>
          <w:i/>
          <w:sz w:val="18"/>
          <w:szCs w:val="22"/>
        </w:rPr>
      </w:pPr>
    </w:p>
    <w:p w:rsidR="000934C2" w:rsidRPr="003365D6" w:rsidRDefault="00CE20E0" w:rsidP="00F342E0">
      <w:pPr>
        <w:ind w:firstLine="720"/>
        <w:contextualSpacing/>
        <w:jc w:val="both"/>
        <w:rPr>
          <w:rFonts w:ascii="Arial" w:hAnsi="Arial"/>
          <w:sz w:val="22"/>
          <w:szCs w:val="22"/>
          <w:u w:val="single"/>
        </w:rPr>
      </w:pPr>
      <w:r w:rsidRPr="003365D6">
        <w:rPr>
          <w:rFonts w:ascii="Arial" w:hAnsi="Arial"/>
          <w:sz w:val="22"/>
          <w:szCs w:val="22"/>
          <w:u w:val="single"/>
        </w:rPr>
        <w:t>Estimated Usage</w:t>
      </w:r>
    </w:p>
    <w:p w:rsidR="000934C2" w:rsidRPr="00DA1992" w:rsidRDefault="000934C2" w:rsidP="000934C2">
      <w:pPr>
        <w:ind w:left="709"/>
        <w:contextualSpacing/>
        <w:jc w:val="both"/>
        <w:rPr>
          <w:rFonts w:ascii="Arial" w:hAnsi="Arial"/>
          <w:sz w:val="18"/>
          <w:szCs w:val="22"/>
        </w:rPr>
      </w:pPr>
    </w:p>
    <w:p w:rsidR="000934C2" w:rsidRPr="003365D6" w:rsidRDefault="000934C2" w:rsidP="008B0EC1">
      <w:pPr>
        <w:pStyle w:val="ListParagraph"/>
        <w:numPr>
          <w:ilvl w:val="1"/>
          <w:numId w:val="2"/>
        </w:numPr>
        <w:jc w:val="both"/>
        <w:rPr>
          <w:rFonts w:ascii="Arial" w:hAnsi="Arial"/>
          <w:sz w:val="22"/>
          <w:szCs w:val="22"/>
        </w:rPr>
      </w:pPr>
      <w:r w:rsidRPr="003365D6">
        <w:rPr>
          <w:rFonts w:ascii="Arial" w:hAnsi="Arial"/>
          <w:color w:val="000000" w:themeColor="text1"/>
          <w:sz w:val="22"/>
          <w:szCs w:val="22"/>
        </w:rPr>
        <w:t>The</w:t>
      </w:r>
      <w:r w:rsidRPr="003365D6">
        <w:rPr>
          <w:rFonts w:ascii="Arial" w:hAnsi="Arial"/>
          <w:sz w:val="22"/>
          <w:szCs w:val="22"/>
        </w:rPr>
        <w:t xml:space="preserve"> minor submission </w:t>
      </w:r>
      <w:r w:rsidR="00C910CD" w:rsidRPr="003365D6">
        <w:rPr>
          <w:rFonts w:ascii="Arial" w:hAnsi="Arial"/>
          <w:sz w:val="22"/>
          <w:szCs w:val="22"/>
        </w:rPr>
        <w:t xml:space="preserve">presented </w:t>
      </w:r>
      <w:r w:rsidRPr="003365D6">
        <w:rPr>
          <w:rFonts w:ascii="Arial" w:hAnsi="Arial"/>
          <w:sz w:val="22"/>
          <w:szCs w:val="22"/>
        </w:rPr>
        <w:t>estimates of infliximab (Remicade/Inflectra) usage for the Years 2016-2020.</w:t>
      </w:r>
    </w:p>
    <w:p w:rsidR="000934C2" w:rsidRPr="00DA1992" w:rsidRDefault="000934C2" w:rsidP="000934C2">
      <w:pPr>
        <w:ind w:left="709"/>
        <w:contextualSpacing/>
        <w:jc w:val="both"/>
        <w:rPr>
          <w:rFonts w:ascii="Arial" w:hAnsi="Arial"/>
          <w:sz w:val="18"/>
          <w:szCs w:val="22"/>
        </w:rPr>
      </w:pPr>
    </w:p>
    <w:p w:rsidR="000934C2" w:rsidRPr="003365D6" w:rsidRDefault="000934C2" w:rsidP="008B0EC1">
      <w:pPr>
        <w:pStyle w:val="ListParagraph"/>
        <w:numPr>
          <w:ilvl w:val="1"/>
          <w:numId w:val="2"/>
        </w:numPr>
        <w:jc w:val="both"/>
        <w:rPr>
          <w:rFonts w:ascii="Arial" w:hAnsi="Arial"/>
          <w:sz w:val="22"/>
          <w:szCs w:val="22"/>
        </w:rPr>
      </w:pPr>
      <w:r w:rsidRPr="003365D6">
        <w:rPr>
          <w:rFonts w:ascii="Arial" w:hAnsi="Arial"/>
          <w:sz w:val="22"/>
          <w:szCs w:val="22"/>
        </w:rPr>
        <w:t xml:space="preserve">Historical PBS data on infliximab usage from 2010-2014 is used to identify market trends. Extrapolation from the total usage identified in 2014 assumes ongoing and increasing growth across the total infliximab market. </w:t>
      </w:r>
    </w:p>
    <w:p w:rsidR="000934C2" w:rsidRPr="00DA1992" w:rsidRDefault="000934C2" w:rsidP="000934C2">
      <w:pPr>
        <w:ind w:left="709"/>
        <w:contextualSpacing/>
        <w:jc w:val="both"/>
        <w:rPr>
          <w:rFonts w:ascii="Arial" w:hAnsi="Arial"/>
          <w:sz w:val="18"/>
          <w:szCs w:val="22"/>
        </w:rPr>
      </w:pPr>
    </w:p>
    <w:p w:rsidR="000934C2" w:rsidRPr="003365D6" w:rsidRDefault="000934C2" w:rsidP="008B0EC1">
      <w:pPr>
        <w:pStyle w:val="ListParagraph"/>
        <w:numPr>
          <w:ilvl w:val="1"/>
          <w:numId w:val="2"/>
        </w:numPr>
        <w:jc w:val="both"/>
        <w:rPr>
          <w:rFonts w:ascii="Arial" w:hAnsi="Arial"/>
          <w:sz w:val="22"/>
          <w:szCs w:val="22"/>
        </w:rPr>
      </w:pPr>
      <w:r w:rsidRPr="003365D6">
        <w:rPr>
          <w:rFonts w:ascii="Arial" w:hAnsi="Arial"/>
          <w:sz w:val="22"/>
          <w:szCs w:val="22"/>
        </w:rPr>
        <w:t xml:space="preserve">The PBS usage data, </w:t>
      </w:r>
      <w:r w:rsidR="00747400" w:rsidRPr="003365D6">
        <w:rPr>
          <w:rFonts w:ascii="Arial" w:hAnsi="Arial"/>
          <w:sz w:val="22"/>
          <w:szCs w:val="22"/>
        </w:rPr>
        <w:t>disaggregated</w:t>
      </w:r>
      <w:r w:rsidRPr="003365D6">
        <w:rPr>
          <w:rFonts w:ascii="Arial" w:hAnsi="Arial"/>
          <w:sz w:val="22"/>
          <w:szCs w:val="22"/>
        </w:rPr>
        <w:t xml:space="preserve"> by private/public sector and by indication is provided in the Financial Estimates Workbook.  It is noted that the data used in the financial estimates does not include data on item 4284L (RPBS only listing), nor items 10184B, 10196P (where usage data begins in 2015).  This increases the likelihood that the projections are underestimates.</w:t>
      </w:r>
    </w:p>
    <w:p w:rsidR="000934C2" w:rsidRPr="00DA1992" w:rsidRDefault="000934C2" w:rsidP="000934C2">
      <w:pPr>
        <w:ind w:left="709"/>
        <w:contextualSpacing/>
        <w:jc w:val="both"/>
        <w:rPr>
          <w:rFonts w:ascii="Arial" w:hAnsi="Arial"/>
          <w:sz w:val="18"/>
          <w:szCs w:val="22"/>
        </w:rPr>
      </w:pPr>
    </w:p>
    <w:p w:rsidR="000934C2" w:rsidRPr="003365D6" w:rsidRDefault="000934C2" w:rsidP="008B0EC1">
      <w:pPr>
        <w:pStyle w:val="ListParagraph"/>
        <w:numPr>
          <w:ilvl w:val="1"/>
          <w:numId w:val="2"/>
        </w:numPr>
        <w:jc w:val="both"/>
        <w:rPr>
          <w:rFonts w:ascii="Arial" w:hAnsi="Arial"/>
          <w:sz w:val="22"/>
          <w:szCs w:val="22"/>
        </w:rPr>
      </w:pPr>
      <w:r w:rsidRPr="003365D6">
        <w:rPr>
          <w:rFonts w:ascii="Arial" w:hAnsi="Arial"/>
          <w:sz w:val="22"/>
          <w:szCs w:val="22"/>
        </w:rPr>
        <w:t>Summary data, with calculated growth rates, are shown in the table below;</w:t>
      </w:r>
    </w:p>
    <w:p w:rsidR="000934C2" w:rsidRPr="00DA1992" w:rsidRDefault="000934C2" w:rsidP="000934C2">
      <w:pPr>
        <w:ind w:left="709"/>
        <w:contextualSpacing/>
        <w:jc w:val="both"/>
        <w:rPr>
          <w:rFonts w:ascii="Arial" w:hAnsi="Arial"/>
          <w:sz w:val="18"/>
          <w:szCs w:val="22"/>
        </w:rPr>
      </w:pPr>
    </w:p>
    <w:p w:rsidR="000934C2" w:rsidRPr="003365D6" w:rsidRDefault="000934C2" w:rsidP="004230F5">
      <w:pPr>
        <w:pStyle w:val="Caption"/>
        <w:keepNext/>
        <w:spacing w:after="0"/>
        <w:ind w:left="709"/>
        <w:rPr>
          <w:rFonts w:ascii="Arial Narrow" w:hAnsi="Arial Narrow"/>
          <w:bCs w:val="0"/>
          <w:color w:val="auto"/>
          <w:sz w:val="20"/>
          <w:szCs w:val="20"/>
        </w:rPr>
      </w:pPr>
      <w:r w:rsidRPr="003365D6">
        <w:rPr>
          <w:rFonts w:ascii="Arial Narrow" w:hAnsi="Arial Narrow"/>
          <w:bCs w:val="0"/>
          <w:color w:val="auto"/>
          <w:sz w:val="20"/>
          <w:szCs w:val="20"/>
        </w:rPr>
        <w:t xml:space="preserve">Table </w:t>
      </w:r>
      <w:r w:rsidR="00626C74">
        <w:rPr>
          <w:rFonts w:ascii="Arial Narrow" w:hAnsi="Arial Narrow"/>
          <w:bCs w:val="0"/>
          <w:color w:val="auto"/>
          <w:sz w:val="20"/>
          <w:szCs w:val="20"/>
        </w:rPr>
        <w:t>10</w:t>
      </w:r>
      <w:r w:rsidR="00DA1992">
        <w:rPr>
          <w:rFonts w:ascii="Arial Narrow" w:hAnsi="Arial Narrow"/>
          <w:bCs w:val="0"/>
          <w:color w:val="auto"/>
          <w:sz w:val="20"/>
          <w:szCs w:val="20"/>
        </w:rPr>
        <w:t>:</w:t>
      </w:r>
      <w:r w:rsidRPr="003365D6">
        <w:rPr>
          <w:rFonts w:ascii="Arial Narrow" w:hAnsi="Arial Narrow"/>
          <w:bCs w:val="0"/>
          <w:color w:val="auto"/>
          <w:sz w:val="20"/>
          <w:szCs w:val="20"/>
        </w:rPr>
        <w:t xml:space="preserve"> PBS use of infliximab and market growth 2010-2014</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981"/>
        <w:gridCol w:w="1136"/>
        <w:gridCol w:w="1136"/>
        <w:gridCol w:w="1136"/>
        <w:gridCol w:w="1136"/>
        <w:gridCol w:w="983"/>
      </w:tblGrid>
      <w:tr w:rsidR="000934C2" w:rsidRPr="003365D6" w:rsidTr="007203E5">
        <w:trPr>
          <w:trHeight w:val="600"/>
        </w:trPr>
        <w:tc>
          <w:tcPr>
            <w:tcW w:w="1109" w:type="pct"/>
            <w:shd w:val="clear" w:color="auto" w:fill="auto"/>
            <w:vAlign w:val="center"/>
          </w:tcPr>
          <w:p w:rsidR="000934C2" w:rsidRPr="003365D6" w:rsidRDefault="000934C2" w:rsidP="004D181C">
            <w:pPr>
              <w:rPr>
                <w:rFonts w:ascii="Arial Narrow" w:hAnsi="Arial Narrow" w:cs="Arial"/>
                <w:b/>
                <w:bCs/>
                <w:sz w:val="20"/>
                <w:szCs w:val="20"/>
              </w:rPr>
            </w:pPr>
            <w:r w:rsidRPr="003365D6">
              <w:rPr>
                <w:rFonts w:ascii="Arial Narrow" w:hAnsi="Arial Narrow" w:cs="Arial"/>
                <w:b/>
                <w:bCs/>
                <w:sz w:val="20"/>
                <w:szCs w:val="20"/>
              </w:rPr>
              <w:t>PBS data</w:t>
            </w:r>
          </w:p>
        </w:tc>
        <w:tc>
          <w:tcPr>
            <w:tcW w:w="587" w:type="pct"/>
            <w:shd w:val="clear" w:color="auto" w:fill="auto"/>
            <w:noWrap/>
            <w:vAlign w:val="center"/>
            <w:hideMark/>
          </w:tcPr>
          <w:p w:rsidR="000934C2" w:rsidRPr="003365D6" w:rsidRDefault="000934C2" w:rsidP="004D181C">
            <w:pPr>
              <w:jc w:val="center"/>
              <w:rPr>
                <w:rFonts w:ascii="Arial Narrow" w:hAnsi="Arial Narrow" w:cs="Arial"/>
                <w:b/>
                <w:sz w:val="20"/>
                <w:szCs w:val="20"/>
              </w:rPr>
            </w:pPr>
            <w:r w:rsidRPr="003365D6">
              <w:rPr>
                <w:rFonts w:ascii="Arial Narrow" w:hAnsi="Arial Narrow" w:cs="Arial"/>
                <w:b/>
                <w:sz w:val="20"/>
                <w:szCs w:val="20"/>
              </w:rPr>
              <w:t>2010</w:t>
            </w:r>
          </w:p>
        </w:tc>
        <w:tc>
          <w:tcPr>
            <w:tcW w:w="679" w:type="pct"/>
            <w:shd w:val="clear" w:color="auto" w:fill="auto"/>
            <w:noWrap/>
            <w:vAlign w:val="center"/>
            <w:hideMark/>
          </w:tcPr>
          <w:p w:rsidR="000934C2" w:rsidRPr="003365D6" w:rsidRDefault="000934C2" w:rsidP="004D181C">
            <w:pPr>
              <w:jc w:val="center"/>
              <w:rPr>
                <w:rFonts w:ascii="Arial Narrow" w:hAnsi="Arial Narrow" w:cs="Arial"/>
                <w:b/>
                <w:sz w:val="20"/>
                <w:szCs w:val="20"/>
              </w:rPr>
            </w:pPr>
            <w:r w:rsidRPr="003365D6">
              <w:rPr>
                <w:rFonts w:ascii="Arial Narrow" w:hAnsi="Arial Narrow" w:cs="Arial"/>
                <w:b/>
                <w:sz w:val="20"/>
                <w:szCs w:val="20"/>
              </w:rPr>
              <w:t>2011</w:t>
            </w:r>
          </w:p>
        </w:tc>
        <w:tc>
          <w:tcPr>
            <w:tcW w:w="679" w:type="pct"/>
            <w:shd w:val="clear" w:color="auto" w:fill="auto"/>
            <w:noWrap/>
            <w:vAlign w:val="center"/>
            <w:hideMark/>
          </w:tcPr>
          <w:p w:rsidR="000934C2" w:rsidRPr="003365D6" w:rsidRDefault="000934C2" w:rsidP="004D181C">
            <w:pPr>
              <w:jc w:val="center"/>
              <w:rPr>
                <w:rFonts w:ascii="Arial Narrow" w:hAnsi="Arial Narrow" w:cs="Arial"/>
                <w:b/>
                <w:sz w:val="20"/>
                <w:szCs w:val="20"/>
              </w:rPr>
            </w:pPr>
            <w:r w:rsidRPr="003365D6">
              <w:rPr>
                <w:rFonts w:ascii="Arial Narrow" w:hAnsi="Arial Narrow" w:cs="Arial"/>
                <w:b/>
                <w:sz w:val="20"/>
                <w:szCs w:val="20"/>
              </w:rPr>
              <w:t>2012</w:t>
            </w:r>
          </w:p>
        </w:tc>
        <w:tc>
          <w:tcPr>
            <w:tcW w:w="679" w:type="pct"/>
            <w:shd w:val="clear" w:color="auto" w:fill="auto"/>
            <w:noWrap/>
            <w:vAlign w:val="center"/>
            <w:hideMark/>
          </w:tcPr>
          <w:p w:rsidR="000934C2" w:rsidRPr="003365D6" w:rsidRDefault="000934C2" w:rsidP="004D181C">
            <w:pPr>
              <w:jc w:val="center"/>
              <w:rPr>
                <w:rFonts w:ascii="Arial Narrow" w:hAnsi="Arial Narrow" w:cs="Arial"/>
                <w:b/>
                <w:sz w:val="20"/>
                <w:szCs w:val="20"/>
              </w:rPr>
            </w:pPr>
            <w:r w:rsidRPr="003365D6">
              <w:rPr>
                <w:rFonts w:ascii="Arial Narrow" w:hAnsi="Arial Narrow" w:cs="Arial"/>
                <w:b/>
                <w:sz w:val="20"/>
                <w:szCs w:val="20"/>
              </w:rPr>
              <w:t>2013</w:t>
            </w:r>
          </w:p>
        </w:tc>
        <w:tc>
          <w:tcPr>
            <w:tcW w:w="679" w:type="pct"/>
            <w:shd w:val="clear" w:color="auto" w:fill="auto"/>
            <w:noWrap/>
            <w:vAlign w:val="center"/>
            <w:hideMark/>
          </w:tcPr>
          <w:p w:rsidR="000934C2" w:rsidRPr="003365D6" w:rsidRDefault="000934C2" w:rsidP="004D181C">
            <w:pPr>
              <w:jc w:val="center"/>
              <w:rPr>
                <w:rFonts w:ascii="Arial Narrow" w:hAnsi="Arial Narrow" w:cs="Arial"/>
                <w:b/>
                <w:sz w:val="20"/>
                <w:szCs w:val="20"/>
              </w:rPr>
            </w:pPr>
            <w:r w:rsidRPr="003365D6">
              <w:rPr>
                <w:rFonts w:ascii="Arial Narrow" w:hAnsi="Arial Narrow" w:cs="Arial"/>
                <w:b/>
                <w:sz w:val="20"/>
                <w:szCs w:val="20"/>
              </w:rPr>
              <w:t>2014</w:t>
            </w:r>
          </w:p>
        </w:tc>
        <w:tc>
          <w:tcPr>
            <w:tcW w:w="588" w:type="pct"/>
            <w:shd w:val="clear" w:color="auto" w:fill="auto"/>
            <w:vAlign w:val="center"/>
          </w:tcPr>
          <w:p w:rsidR="000934C2" w:rsidRPr="003365D6" w:rsidRDefault="000934C2" w:rsidP="004D181C">
            <w:pPr>
              <w:jc w:val="center"/>
              <w:rPr>
                <w:rFonts w:ascii="Arial Narrow" w:hAnsi="Arial Narrow" w:cs="Arial"/>
                <w:b/>
                <w:sz w:val="20"/>
                <w:szCs w:val="20"/>
              </w:rPr>
            </w:pPr>
            <w:r w:rsidRPr="003365D6">
              <w:rPr>
                <w:rFonts w:ascii="Arial Narrow" w:hAnsi="Arial Narrow" w:cs="Arial"/>
                <w:b/>
                <w:sz w:val="20"/>
                <w:szCs w:val="20"/>
              </w:rPr>
              <w:t>2010-2014</w:t>
            </w:r>
          </w:p>
        </w:tc>
      </w:tr>
      <w:tr w:rsidR="000934C2" w:rsidRPr="003365D6" w:rsidTr="007203E5">
        <w:trPr>
          <w:trHeight w:val="315"/>
        </w:trPr>
        <w:tc>
          <w:tcPr>
            <w:tcW w:w="1109" w:type="pct"/>
            <w:shd w:val="clear" w:color="auto" w:fill="auto"/>
            <w:vAlign w:val="center"/>
            <w:hideMark/>
          </w:tcPr>
          <w:p w:rsidR="000934C2" w:rsidRPr="003365D6" w:rsidRDefault="000934C2" w:rsidP="004D181C">
            <w:pPr>
              <w:rPr>
                <w:rFonts w:ascii="Arial Narrow" w:hAnsi="Arial Narrow" w:cs="Arial"/>
                <w:sz w:val="20"/>
                <w:szCs w:val="20"/>
              </w:rPr>
            </w:pPr>
          </w:p>
        </w:tc>
        <w:tc>
          <w:tcPr>
            <w:tcW w:w="587" w:type="pct"/>
            <w:shd w:val="clear" w:color="auto" w:fill="auto"/>
            <w:noWrap/>
            <w:vAlign w:val="center"/>
          </w:tcPr>
          <w:p w:rsidR="000934C2" w:rsidRPr="003365D6" w:rsidRDefault="000934C2" w:rsidP="004D181C">
            <w:pPr>
              <w:jc w:val="center"/>
              <w:rPr>
                <w:rFonts w:ascii="Arial Narrow" w:hAnsi="Arial Narrow" w:cs="Arial"/>
                <w:sz w:val="20"/>
                <w:szCs w:val="20"/>
              </w:rPr>
            </w:pPr>
            <w:r w:rsidRPr="003365D6">
              <w:rPr>
                <w:rFonts w:ascii="Arial Narrow" w:hAnsi="Arial Narrow" w:cs="Arial"/>
                <w:sz w:val="20"/>
                <w:szCs w:val="20"/>
              </w:rPr>
              <w:t># services</w:t>
            </w:r>
          </w:p>
        </w:tc>
        <w:tc>
          <w:tcPr>
            <w:tcW w:w="679" w:type="pct"/>
            <w:shd w:val="clear" w:color="auto" w:fill="auto"/>
            <w:noWrap/>
            <w:vAlign w:val="center"/>
          </w:tcPr>
          <w:p w:rsidR="000934C2" w:rsidRPr="003365D6" w:rsidRDefault="000934C2" w:rsidP="004D181C">
            <w:pPr>
              <w:jc w:val="center"/>
              <w:rPr>
                <w:rFonts w:ascii="Arial Narrow" w:hAnsi="Arial Narrow" w:cs="Arial"/>
                <w:sz w:val="20"/>
                <w:szCs w:val="20"/>
              </w:rPr>
            </w:pPr>
            <w:r w:rsidRPr="003365D6">
              <w:rPr>
                <w:rFonts w:ascii="Arial Narrow" w:hAnsi="Arial Narrow" w:cs="Arial"/>
                <w:sz w:val="20"/>
                <w:szCs w:val="20"/>
              </w:rPr>
              <w:t># services (growth on previous)*</w:t>
            </w:r>
          </w:p>
        </w:tc>
        <w:tc>
          <w:tcPr>
            <w:tcW w:w="679" w:type="pct"/>
            <w:shd w:val="clear" w:color="auto" w:fill="auto"/>
            <w:noWrap/>
            <w:vAlign w:val="center"/>
          </w:tcPr>
          <w:p w:rsidR="000934C2" w:rsidRPr="003365D6" w:rsidRDefault="000934C2" w:rsidP="004D181C">
            <w:pPr>
              <w:jc w:val="center"/>
              <w:rPr>
                <w:rFonts w:ascii="Arial Narrow" w:hAnsi="Arial Narrow" w:cs="Arial"/>
                <w:sz w:val="20"/>
                <w:szCs w:val="20"/>
              </w:rPr>
            </w:pPr>
            <w:r w:rsidRPr="003365D6">
              <w:rPr>
                <w:rFonts w:ascii="Arial Narrow" w:hAnsi="Arial Narrow" w:cs="Arial"/>
                <w:sz w:val="20"/>
                <w:szCs w:val="20"/>
              </w:rPr>
              <w:t># services (growth on previous)*</w:t>
            </w:r>
          </w:p>
        </w:tc>
        <w:tc>
          <w:tcPr>
            <w:tcW w:w="679" w:type="pct"/>
            <w:shd w:val="clear" w:color="auto" w:fill="auto"/>
            <w:noWrap/>
            <w:vAlign w:val="center"/>
          </w:tcPr>
          <w:p w:rsidR="000934C2" w:rsidRPr="003365D6" w:rsidRDefault="000934C2" w:rsidP="004D181C">
            <w:pPr>
              <w:jc w:val="center"/>
              <w:rPr>
                <w:rFonts w:ascii="Arial Narrow" w:hAnsi="Arial Narrow" w:cs="Arial"/>
                <w:sz w:val="20"/>
                <w:szCs w:val="20"/>
              </w:rPr>
            </w:pPr>
            <w:r w:rsidRPr="003365D6">
              <w:rPr>
                <w:rFonts w:ascii="Arial Narrow" w:hAnsi="Arial Narrow" w:cs="Arial"/>
                <w:sz w:val="20"/>
                <w:szCs w:val="20"/>
              </w:rPr>
              <w:t># services (growth on previous)*</w:t>
            </w:r>
          </w:p>
        </w:tc>
        <w:tc>
          <w:tcPr>
            <w:tcW w:w="679" w:type="pct"/>
            <w:shd w:val="clear" w:color="auto" w:fill="auto"/>
            <w:noWrap/>
            <w:vAlign w:val="center"/>
          </w:tcPr>
          <w:p w:rsidR="000934C2" w:rsidRPr="003365D6" w:rsidRDefault="000934C2" w:rsidP="004D181C">
            <w:pPr>
              <w:jc w:val="center"/>
              <w:rPr>
                <w:rFonts w:ascii="Arial Narrow" w:hAnsi="Arial Narrow" w:cs="Arial"/>
                <w:sz w:val="20"/>
                <w:szCs w:val="20"/>
              </w:rPr>
            </w:pPr>
            <w:r w:rsidRPr="003365D6">
              <w:rPr>
                <w:rFonts w:ascii="Arial Narrow" w:hAnsi="Arial Narrow" w:cs="Arial"/>
                <w:sz w:val="20"/>
                <w:szCs w:val="20"/>
              </w:rPr>
              <w:t># services (growth on previous)*</w:t>
            </w:r>
          </w:p>
        </w:tc>
        <w:tc>
          <w:tcPr>
            <w:tcW w:w="588" w:type="pct"/>
            <w:vAlign w:val="center"/>
          </w:tcPr>
          <w:p w:rsidR="000934C2" w:rsidRPr="003365D6" w:rsidRDefault="000934C2" w:rsidP="004D181C">
            <w:pPr>
              <w:jc w:val="center"/>
              <w:rPr>
                <w:rFonts w:ascii="Arial Narrow" w:hAnsi="Arial Narrow" w:cs="Arial"/>
                <w:b/>
                <w:sz w:val="20"/>
                <w:szCs w:val="20"/>
              </w:rPr>
            </w:pPr>
            <w:r w:rsidRPr="003365D6">
              <w:rPr>
                <w:rFonts w:ascii="Arial Narrow" w:hAnsi="Arial Narrow" w:cs="Arial"/>
                <w:b/>
                <w:sz w:val="20"/>
                <w:szCs w:val="20"/>
              </w:rPr>
              <w:t>Average growth</w:t>
            </w:r>
          </w:p>
        </w:tc>
      </w:tr>
      <w:tr w:rsidR="007203E5" w:rsidRPr="003365D6" w:rsidTr="007203E5">
        <w:trPr>
          <w:trHeight w:val="489"/>
        </w:trPr>
        <w:tc>
          <w:tcPr>
            <w:tcW w:w="1109" w:type="pct"/>
            <w:shd w:val="clear" w:color="auto" w:fill="F2F2F2" w:themeFill="background1" w:themeFillShade="F2"/>
            <w:vAlign w:val="center"/>
            <w:hideMark/>
          </w:tcPr>
          <w:p w:rsidR="007203E5" w:rsidRPr="003365D6" w:rsidRDefault="007203E5" w:rsidP="004A5CB3">
            <w:pPr>
              <w:rPr>
                <w:rFonts w:ascii="Arial Narrow" w:hAnsi="Arial Narrow" w:cs="Arial"/>
                <w:b/>
                <w:bCs/>
                <w:sz w:val="20"/>
                <w:szCs w:val="20"/>
              </w:rPr>
            </w:pPr>
            <w:r w:rsidRPr="003365D6">
              <w:rPr>
                <w:rFonts w:ascii="Arial Narrow" w:hAnsi="Arial Narrow" w:cs="Arial"/>
                <w:b/>
                <w:bCs/>
                <w:sz w:val="20"/>
                <w:szCs w:val="20"/>
              </w:rPr>
              <w:t>Total for indications of RA, AS, PSA and PSO</w:t>
            </w:r>
          </w:p>
        </w:tc>
        <w:tc>
          <w:tcPr>
            <w:tcW w:w="587" w:type="pct"/>
            <w:shd w:val="clear" w:color="auto" w:fill="F2F2F2" w:themeFill="background1" w:themeFillShade="F2"/>
            <w:vAlign w:val="center"/>
            <w:hideMark/>
          </w:tcPr>
          <w:p w:rsidR="007203E5" w:rsidRPr="003365D6" w:rsidRDefault="007203E5"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8,382</w:t>
            </w:r>
          </w:p>
        </w:tc>
        <w:tc>
          <w:tcPr>
            <w:tcW w:w="679" w:type="pct"/>
            <w:shd w:val="clear" w:color="auto" w:fill="F2F2F2" w:themeFill="background1" w:themeFillShade="F2"/>
            <w:vAlign w:val="center"/>
            <w:hideMark/>
          </w:tcPr>
          <w:p w:rsidR="007203E5" w:rsidRPr="003365D6" w:rsidRDefault="007203E5"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8,413 (+0.4%)</w:t>
            </w:r>
          </w:p>
        </w:tc>
        <w:tc>
          <w:tcPr>
            <w:tcW w:w="679" w:type="pct"/>
            <w:shd w:val="clear" w:color="auto" w:fill="F2F2F2" w:themeFill="background1" w:themeFillShade="F2"/>
            <w:vAlign w:val="center"/>
            <w:hideMark/>
          </w:tcPr>
          <w:p w:rsidR="007203E5" w:rsidRPr="003365D6" w:rsidRDefault="007203E5"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8,950 (+6.4%)</w:t>
            </w:r>
          </w:p>
        </w:tc>
        <w:tc>
          <w:tcPr>
            <w:tcW w:w="679" w:type="pct"/>
            <w:shd w:val="clear" w:color="auto" w:fill="F2F2F2" w:themeFill="background1" w:themeFillShade="F2"/>
            <w:vAlign w:val="center"/>
            <w:hideMark/>
          </w:tcPr>
          <w:p w:rsidR="007203E5" w:rsidRPr="003365D6" w:rsidRDefault="007203E5"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9,636 (+7.7%)</w:t>
            </w:r>
          </w:p>
        </w:tc>
        <w:tc>
          <w:tcPr>
            <w:tcW w:w="679" w:type="pct"/>
            <w:shd w:val="clear" w:color="auto" w:fill="F2F2F2" w:themeFill="background1" w:themeFillShade="F2"/>
            <w:vAlign w:val="center"/>
            <w:hideMark/>
          </w:tcPr>
          <w:p w:rsidR="007203E5" w:rsidRPr="003365D6" w:rsidRDefault="007203E5"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10,747 (+11.5%)</w:t>
            </w:r>
          </w:p>
        </w:tc>
        <w:tc>
          <w:tcPr>
            <w:tcW w:w="588" w:type="pct"/>
            <w:shd w:val="clear" w:color="auto" w:fill="F2F2F2" w:themeFill="background1" w:themeFillShade="F2"/>
            <w:vAlign w:val="center"/>
          </w:tcPr>
          <w:p w:rsidR="007203E5" w:rsidRPr="003365D6" w:rsidRDefault="007203E5" w:rsidP="004D181C">
            <w:pPr>
              <w:jc w:val="right"/>
              <w:rPr>
                <w:rFonts w:ascii="Arial Narrow" w:hAnsi="Arial Narrow" w:cs="Arial"/>
                <w:b/>
                <w:bCs/>
                <w:i/>
                <w:color w:val="000000"/>
                <w:sz w:val="20"/>
                <w:szCs w:val="20"/>
              </w:rPr>
            </w:pPr>
            <w:r w:rsidRPr="003365D6">
              <w:rPr>
                <w:rFonts w:ascii="Arial Narrow" w:hAnsi="Arial Narrow" w:cs="Arial"/>
                <w:b/>
                <w:bCs/>
                <w:i/>
                <w:color w:val="000000"/>
                <w:sz w:val="20"/>
                <w:szCs w:val="20"/>
              </w:rPr>
              <w:t>+6.5%</w:t>
            </w:r>
          </w:p>
        </w:tc>
      </w:tr>
      <w:tr w:rsidR="00AC5B19" w:rsidRPr="003365D6" w:rsidTr="007203E5">
        <w:trPr>
          <w:trHeight w:val="529"/>
        </w:trPr>
        <w:tc>
          <w:tcPr>
            <w:tcW w:w="1109" w:type="pct"/>
            <w:shd w:val="clear" w:color="auto" w:fill="F2F2F2" w:themeFill="background1" w:themeFillShade="F2"/>
            <w:vAlign w:val="center"/>
            <w:hideMark/>
          </w:tcPr>
          <w:p w:rsidR="00AC5B19" w:rsidRPr="003365D6" w:rsidRDefault="00AC5B19" w:rsidP="004A5CB3">
            <w:pPr>
              <w:rPr>
                <w:rFonts w:ascii="Arial Narrow" w:hAnsi="Arial Narrow" w:cs="Arial"/>
                <w:b/>
                <w:bCs/>
                <w:sz w:val="20"/>
                <w:szCs w:val="20"/>
              </w:rPr>
            </w:pPr>
            <w:r w:rsidRPr="003365D6">
              <w:rPr>
                <w:rFonts w:ascii="Arial Narrow" w:hAnsi="Arial Narrow" w:cs="Arial"/>
                <w:b/>
                <w:bCs/>
                <w:sz w:val="20"/>
                <w:szCs w:val="20"/>
              </w:rPr>
              <w:t>Total for indications of CD and UC</w:t>
            </w:r>
          </w:p>
        </w:tc>
        <w:tc>
          <w:tcPr>
            <w:tcW w:w="587" w:type="pct"/>
            <w:shd w:val="clear" w:color="auto" w:fill="F2F2F2" w:themeFill="background1" w:themeFillShade="F2"/>
            <w:noWrap/>
            <w:vAlign w:val="center"/>
            <w:hideMark/>
          </w:tcPr>
          <w:p w:rsidR="00AC5B19" w:rsidRPr="003365D6" w:rsidRDefault="00AC5B19" w:rsidP="007203E5">
            <w:pPr>
              <w:jc w:val="right"/>
              <w:rPr>
                <w:rFonts w:ascii="Arial Narrow" w:hAnsi="Arial Narrow" w:cs="Arial"/>
                <w:b/>
                <w:bCs/>
                <w:color w:val="000000"/>
                <w:sz w:val="20"/>
                <w:szCs w:val="20"/>
              </w:rPr>
            </w:pPr>
            <w:r w:rsidRPr="003365D6">
              <w:rPr>
                <w:rFonts w:ascii="Arial Narrow" w:hAnsi="Arial Narrow" w:cs="Arial"/>
                <w:b/>
                <w:bCs/>
                <w:color w:val="000000"/>
                <w:sz w:val="20"/>
                <w:szCs w:val="20"/>
              </w:rPr>
              <w:t>5,339</w:t>
            </w:r>
          </w:p>
        </w:tc>
        <w:tc>
          <w:tcPr>
            <w:tcW w:w="679" w:type="pct"/>
            <w:shd w:val="clear" w:color="auto" w:fill="F2F2F2" w:themeFill="background1" w:themeFillShade="F2"/>
            <w:noWrap/>
            <w:vAlign w:val="center"/>
            <w:hideMark/>
          </w:tcPr>
          <w:p w:rsidR="00AC5B19" w:rsidRPr="003365D6" w:rsidRDefault="00AC5B19"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7,494</w:t>
            </w:r>
          </w:p>
          <w:p w:rsidR="00AC5B19" w:rsidRPr="003365D6" w:rsidRDefault="00AC5B19"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(+40.4%)</w:t>
            </w:r>
          </w:p>
        </w:tc>
        <w:tc>
          <w:tcPr>
            <w:tcW w:w="679" w:type="pct"/>
            <w:shd w:val="clear" w:color="auto" w:fill="F2F2F2" w:themeFill="background1" w:themeFillShade="F2"/>
            <w:noWrap/>
            <w:vAlign w:val="center"/>
            <w:hideMark/>
          </w:tcPr>
          <w:p w:rsidR="00AC5B19" w:rsidRPr="003365D6" w:rsidRDefault="00AC5B19"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9,680</w:t>
            </w:r>
          </w:p>
          <w:p w:rsidR="00AC5B19" w:rsidRPr="003365D6" w:rsidRDefault="00AC5B19"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(+29.2%)</w:t>
            </w:r>
          </w:p>
        </w:tc>
        <w:tc>
          <w:tcPr>
            <w:tcW w:w="679" w:type="pct"/>
            <w:shd w:val="clear" w:color="auto" w:fill="F2F2F2" w:themeFill="background1" w:themeFillShade="F2"/>
            <w:noWrap/>
            <w:vAlign w:val="center"/>
            <w:hideMark/>
          </w:tcPr>
          <w:p w:rsidR="00AC5B19" w:rsidRPr="003365D6" w:rsidRDefault="00AC5B19"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13,972</w:t>
            </w:r>
          </w:p>
          <w:p w:rsidR="00AC5B19" w:rsidRPr="003365D6" w:rsidRDefault="00AC5B19" w:rsidP="004D181C">
            <w:pPr>
              <w:jc w:val="right"/>
              <w:rPr>
                <w:rFonts w:ascii="Arial Narrow" w:hAnsi="Arial Narrow" w:cs="Arial"/>
                <w:b/>
                <w:bCs/>
                <w:color w:val="000000"/>
                <w:sz w:val="20"/>
                <w:szCs w:val="20"/>
              </w:rPr>
            </w:pPr>
            <w:r w:rsidRPr="003365D6">
              <w:rPr>
                <w:rFonts w:ascii="Arial Narrow" w:hAnsi="Arial Narrow" w:cs="Arial"/>
                <w:b/>
                <w:bCs/>
                <w:color w:val="000000"/>
                <w:sz w:val="20"/>
                <w:szCs w:val="20"/>
              </w:rPr>
              <w:t>(+44.3%)</w:t>
            </w:r>
          </w:p>
        </w:tc>
        <w:tc>
          <w:tcPr>
            <w:tcW w:w="679" w:type="pct"/>
            <w:shd w:val="clear" w:color="auto" w:fill="F2F2F2" w:themeFill="background1" w:themeFillShade="F2"/>
            <w:noWrap/>
            <w:vAlign w:val="center"/>
            <w:hideMark/>
          </w:tcPr>
          <w:p w:rsidR="00AC5B19" w:rsidRPr="003365D6" w:rsidRDefault="00AC5B19" w:rsidP="004A5CB3">
            <w:pPr>
              <w:jc w:val="right"/>
              <w:rPr>
                <w:rFonts w:ascii="Arial Narrow" w:hAnsi="Arial Narrow" w:cs="Arial"/>
                <w:b/>
                <w:bCs/>
                <w:color w:val="000000"/>
                <w:sz w:val="20"/>
                <w:szCs w:val="20"/>
              </w:rPr>
            </w:pPr>
            <w:r w:rsidRPr="003365D6">
              <w:rPr>
                <w:rFonts w:ascii="Arial Narrow" w:hAnsi="Arial Narrow" w:cs="Arial"/>
                <w:b/>
                <w:bCs/>
                <w:color w:val="000000"/>
                <w:sz w:val="20"/>
                <w:szCs w:val="20"/>
              </w:rPr>
              <w:t>18,506</w:t>
            </w:r>
          </w:p>
          <w:p w:rsidR="00AC5B19" w:rsidRPr="003365D6" w:rsidRDefault="00AC5B19" w:rsidP="004A5CB3">
            <w:pPr>
              <w:jc w:val="right"/>
              <w:rPr>
                <w:rFonts w:ascii="Arial Narrow" w:hAnsi="Arial Narrow" w:cs="Arial"/>
                <w:b/>
                <w:bCs/>
                <w:color w:val="000000"/>
                <w:sz w:val="20"/>
                <w:szCs w:val="20"/>
              </w:rPr>
            </w:pPr>
            <w:r w:rsidRPr="003365D6">
              <w:rPr>
                <w:rFonts w:ascii="Arial Narrow" w:hAnsi="Arial Narrow" w:cs="Arial"/>
                <w:b/>
                <w:bCs/>
                <w:color w:val="000000"/>
                <w:sz w:val="20"/>
                <w:szCs w:val="20"/>
              </w:rPr>
              <w:t>(+32.5%)</w:t>
            </w:r>
          </w:p>
        </w:tc>
        <w:tc>
          <w:tcPr>
            <w:tcW w:w="588" w:type="pct"/>
            <w:shd w:val="clear" w:color="auto" w:fill="F2F2F2" w:themeFill="background1" w:themeFillShade="F2"/>
            <w:vAlign w:val="center"/>
          </w:tcPr>
          <w:p w:rsidR="00AC5B19" w:rsidRPr="003365D6" w:rsidRDefault="00AC5B19" w:rsidP="00AC5B19">
            <w:pPr>
              <w:jc w:val="right"/>
              <w:rPr>
                <w:rFonts w:ascii="Arial Narrow" w:hAnsi="Arial Narrow" w:cs="Arial"/>
                <w:b/>
                <w:bCs/>
                <w:i/>
                <w:color w:val="000000"/>
                <w:sz w:val="20"/>
                <w:szCs w:val="20"/>
              </w:rPr>
            </w:pPr>
            <w:r w:rsidRPr="003365D6">
              <w:rPr>
                <w:rFonts w:ascii="Arial Narrow" w:hAnsi="Arial Narrow" w:cs="Arial"/>
                <w:b/>
                <w:bCs/>
                <w:i/>
                <w:color w:val="000000"/>
                <w:sz w:val="20"/>
                <w:szCs w:val="20"/>
              </w:rPr>
              <w:t>+35.3%</w:t>
            </w:r>
          </w:p>
        </w:tc>
      </w:tr>
      <w:tr w:rsidR="00AC5B19" w:rsidRPr="003365D6" w:rsidTr="007203E5">
        <w:trPr>
          <w:trHeight w:val="711"/>
        </w:trPr>
        <w:tc>
          <w:tcPr>
            <w:tcW w:w="1109" w:type="pct"/>
            <w:shd w:val="clear" w:color="auto" w:fill="auto"/>
            <w:vAlign w:val="center"/>
            <w:hideMark/>
          </w:tcPr>
          <w:p w:rsidR="00AC5B19" w:rsidRPr="003365D6" w:rsidRDefault="00AC5B19" w:rsidP="004D181C">
            <w:pPr>
              <w:rPr>
                <w:rFonts w:ascii="Arial Narrow" w:hAnsi="Arial Narrow" w:cs="Arial"/>
                <w:b/>
                <w:sz w:val="20"/>
                <w:szCs w:val="20"/>
              </w:rPr>
            </w:pPr>
            <w:r w:rsidRPr="003365D6">
              <w:rPr>
                <w:rFonts w:ascii="Arial Narrow" w:hAnsi="Arial Narrow" w:cs="Arial"/>
                <w:b/>
                <w:sz w:val="20"/>
                <w:szCs w:val="20"/>
              </w:rPr>
              <w:t>TOTAL - ALL INDICATIONS</w:t>
            </w:r>
          </w:p>
        </w:tc>
        <w:tc>
          <w:tcPr>
            <w:tcW w:w="587" w:type="pct"/>
            <w:shd w:val="clear" w:color="auto" w:fill="auto"/>
            <w:noWrap/>
            <w:vAlign w:val="center"/>
            <w:hideMark/>
          </w:tcPr>
          <w:p w:rsidR="00AC5B19" w:rsidRPr="003365D6" w:rsidRDefault="00AC5B19" w:rsidP="004D181C">
            <w:pPr>
              <w:jc w:val="right"/>
              <w:rPr>
                <w:rFonts w:ascii="Arial Narrow" w:hAnsi="Arial Narrow" w:cs="Arial"/>
                <w:b/>
                <w:color w:val="000000"/>
                <w:sz w:val="20"/>
                <w:szCs w:val="20"/>
              </w:rPr>
            </w:pPr>
            <w:r w:rsidRPr="003365D6">
              <w:rPr>
                <w:rFonts w:ascii="Arial Narrow" w:hAnsi="Arial Narrow" w:cs="Arial"/>
                <w:b/>
                <w:color w:val="000000"/>
                <w:sz w:val="20"/>
                <w:szCs w:val="20"/>
              </w:rPr>
              <w:t>13,721</w:t>
            </w:r>
          </w:p>
        </w:tc>
        <w:tc>
          <w:tcPr>
            <w:tcW w:w="679" w:type="pct"/>
            <w:shd w:val="clear" w:color="auto" w:fill="auto"/>
            <w:noWrap/>
            <w:vAlign w:val="center"/>
            <w:hideMark/>
          </w:tcPr>
          <w:p w:rsidR="00AC5B19" w:rsidRPr="003365D6" w:rsidRDefault="00AC5B19" w:rsidP="004D181C">
            <w:pPr>
              <w:jc w:val="right"/>
              <w:rPr>
                <w:rFonts w:ascii="Arial Narrow" w:hAnsi="Arial Narrow" w:cs="Arial"/>
                <w:b/>
                <w:color w:val="000000"/>
                <w:sz w:val="20"/>
                <w:szCs w:val="20"/>
              </w:rPr>
            </w:pPr>
            <w:r w:rsidRPr="003365D6">
              <w:rPr>
                <w:rFonts w:ascii="Arial Narrow" w:hAnsi="Arial Narrow" w:cs="Arial"/>
                <w:b/>
                <w:color w:val="000000"/>
                <w:sz w:val="20"/>
                <w:szCs w:val="20"/>
              </w:rPr>
              <w:t>15,907 (+15.9%)</w:t>
            </w:r>
          </w:p>
        </w:tc>
        <w:tc>
          <w:tcPr>
            <w:tcW w:w="679" w:type="pct"/>
            <w:shd w:val="clear" w:color="auto" w:fill="auto"/>
            <w:noWrap/>
            <w:vAlign w:val="center"/>
            <w:hideMark/>
          </w:tcPr>
          <w:p w:rsidR="00AC5B19" w:rsidRPr="003365D6" w:rsidRDefault="00AC5B19" w:rsidP="004D181C">
            <w:pPr>
              <w:jc w:val="right"/>
              <w:rPr>
                <w:rFonts w:ascii="Arial Narrow" w:hAnsi="Arial Narrow" w:cs="Arial"/>
                <w:b/>
                <w:color w:val="000000"/>
                <w:sz w:val="20"/>
                <w:szCs w:val="20"/>
              </w:rPr>
            </w:pPr>
            <w:r w:rsidRPr="003365D6">
              <w:rPr>
                <w:rFonts w:ascii="Arial Narrow" w:hAnsi="Arial Narrow" w:cs="Arial"/>
                <w:b/>
                <w:color w:val="000000"/>
                <w:sz w:val="20"/>
                <w:szCs w:val="20"/>
              </w:rPr>
              <w:t>18,630 (+17.1%)</w:t>
            </w:r>
          </w:p>
        </w:tc>
        <w:tc>
          <w:tcPr>
            <w:tcW w:w="679" w:type="pct"/>
            <w:shd w:val="clear" w:color="auto" w:fill="auto"/>
            <w:noWrap/>
            <w:vAlign w:val="center"/>
            <w:hideMark/>
          </w:tcPr>
          <w:p w:rsidR="00AC5B19" w:rsidRPr="003365D6" w:rsidRDefault="00AC5B19" w:rsidP="004D181C">
            <w:pPr>
              <w:jc w:val="right"/>
              <w:rPr>
                <w:rFonts w:ascii="Arial Narrow" w:hAnsi="Arial Narrow" w:cs="Arial"/>
                <w:b/>
                <w:color w:val="000000"/>
                <w:sz w:val="20"/>
                <w:szCs w:val="20"/>
              </w:rPr>
            </w:pPr>
            <w:r w:rsidRPr="003365D6">
              <w:rPr>
                <w:rFonts w:ascii="Arial Narrow" w:hAnsi="Arial Narrow" w:cs="Arial"/>
                <w:b/>
                <w:color w:val="000000"/>
                <w:sz w:val="20"/>
                <w:szCs w:val="20"/>
              </w:rPr>
              <w:t>23,608 (+26.7%)</w:t>
            </w:r>
          </w:p>
        </w:tc>
        <w:tc>
          <w:tcPr>
            <w:tcW w:w="679" w:type="pct"/>
            <w:shd w:val="clear" w:color="auto" w:fill="auto"/>
            <w:noWrap/>
            <w:vAlign w:val="center"/>
            <w:hideMark/>
          </w:tcPr>
          <w:p w:rsidR="00AC5B19" w:rsidRPr="003365D6" w:rsidRDefault="00AC5B19" w:rsidP="004A5CB3">
            <w:pPr>
              <w:jc w:val="right"/>
              <w:rPr>
                <w:rFonts w:ascii="Arial Narrow" w:hAnsi="Arial Narrow" w:cs="Arial"/>
                <w:b/>
                <w:color w:val="000000"/>
                <w:sz w:val="20"/>
                <w:szCs w:val="20"/>
              </w:rPr>
            </w:pPr>
            <w:r w:rsidRPr="003365D6">
              <w:rPr>
                <w:rFonts w:ascii="Arial Narrow" w:hAnsi="Arial Narrow" w:cs="Arial"/>
                <w:b/>
                <w:color w:val="000000"/>
                <w:sz w:val="20"/>
                <w:szCs w:val="20"/>
              </w:rPr>
              <w:t>29,253 (+23.9%)</w:t>
            </w:r>
          </w:p>
        </w:tc>
        <w:tc>
          <w:tcPr>
            <w:tcW w:w="588" w:type="pct"/>
            <w:shd w:val="clear" w:color="auto" w:fill="auto"/>
            <w:vAlign w:val="center"/>
          </w:tcPr>
          <w:p w:rsidR="00AC5B19" w:rsidRPr="003365D6" w:rsidRDefault="00AC5B19" w:rsidP="004A5CB3">
            <w:pPr>
              <w:jc w:val="right"/>
              <w:rPr>
                <w:rFonts w:ascii="Arial Narrow" w:hAnsi="Arial Narrow" w:cs="Arial"/>
                <w:b/>
                <w:color w:val="000000"/>
                <w:sz w:val="20"/>
                <w:szCs w:val="20"/>
              </w:rPr>
            </w:pPr>
            <w:r w:rsidRPr="003365D6">
              <w:rPr>
                <w:rFonts w:ascii="Arial Narrow" w:hAnsi="Arial Narrow" w:cs="Arial"/>
                <w:b/>
                <w:color w:val="000000"/>
                <w:sz w:val="20"/>
                <w:szCs w:val="20"/>
              </w:rPr>
              <w:t>+22.6%</w:t>
            </w:r>
          </w:p>
        </w:tc>
      </w:tr>
    </w:tbl>
    <w:p w:rsidR="00AC5B19" w:rsidRPr="003365D6" w:rsidRDefault="00AC5B19" w:rsidP="00AC5B19">
      <w:pPr>
        <w:ind w:left="709" w:firstLine="11"/>
        <w:jc w:val="both"/>
        <w:rPr>
          <w:rFonts w:ascii="Arial Narrow" w:hAnsi="Arial Narrow"/>
          <w:sz w:val="20"/>
          <w:szCs w:val="20"/>
        </w:rPr>
      </w:pPr>
      <w:r w:rsidRPr="003365D6">
        <w:rPr>
          <w:rFonts w:ascii="Arial Narrow" w:hAnsi="Arial Narrow"/>
          <w:sz w:val="20"/>
          <w:szCs w:val="20"/>
        </w:rPr>
        <w:t>RA = rheumatoid arthritis, AS = ankylosing spondylitis; PSA = psoriatic arthritis; PSO = plaque psoriasis; CD = Crohn’s disease (in this table this includes paediatric use and fistulising disease); UC = ulcerative colitis.</w:t>
      </w:r>
    </w:p>
    <w:p w:rsidR="000934C2" w:rsidRPr="00DA1992" w:rsidRDefault="000934C2" w:rsidP="000934C2">
      <w:pPr>
        <w:ind w:left="709"/>
        <w:contextualSpacing/>
        <w:jc w:val="both"/>
        <w:rPr>
          <w:rFonts w:ascii="Arial" w:hAnsi="Arial"/>
          <w:sz w:val="18"/>
          <w:szCs w:val="22"/>
        </w:rPr>
      </w:pPr>
    </w:p>
    <w:p w:rsidR="000934C2" w:rsidRPr="003365D6" w:rsidRDefault="000934C2" w:rsidP="008B0EC1">
      <w:pPr>
        <w:pStyle w:val="ListParagraph"/>
        <w:numPr>
          <w:ilvl w:val="1"/>
          <w:numId w:val="2"/>
        </w:numPr>
        <w:jc w:val="both"/>
        <w:rPr>
          <w:rFonts w:ascii="Arial" w:hAnsi="Arial"/>
          <w:sz w:val="22"/>
          <w:szCs w:val="22"/>
        </w:rPr>
      </w:pPr>
      <w:r w:rsidRPr="003365D6">
        <w:rPr>
          <w:rFonts w:ascii="Arial" w:hAnsi="Arial"/>
          <w:sz w:val="22"/>
          <w:szCs w:val="22"/>
        </w:rPr>
        <w:t>As acknowledged by the submission, market growth rates are not consistent across indications.  Ongoing high growth in usage has been driven by the bowel-related indic</w:t>
      </w:r>
      <w:r w:rsidR="00AC5B19" w:rsidRPr="003365D6">
        <w:rPr>
          <w:rFonts w:ascii="Arial" w:hAnsi="Arial"/>
          <w:sz w:val="22"/>
          <w:szCs w:val="22"/>
        </w:rPr>
        <w:t>ations (growing on average by 35</w:t>
      </w:r>
      <w:r w:rsidRPr="003365D6">
        <w:rPr>
          <w:rFonts w:ascii="Arial" w:hAnsi="Arial"/>
          <w:sz w:val="22"/>
          <w:szCs w:val="22"/>
        </w:rPr>
        <w:t>% p.a.), while there is substantially lower growth in the use for rheumatoid arthritis, AS and psoriatic indications (around 7% p.a., although a</w:t>
      </w:r>
      <w:r w:rsidR="00CE2A00">
        <w:rPr>
          <w:rFonts w:ascii="Arial" w:hAnsi="Arial"/>
          <w:sz w:val="22"/>
          <w:szCs w:val="22"/>
        </w:rPr>
        <w:t>lso with an increasing trend).</w:t>
      </w:r>
    </w:p>
    <w:p w:rsidR="000934C2" w:rsidRPr="00DA1992" w:rsidRDefault="000934C2" w:rsidP="000934C2">
      <w:pPr>
        <w:ind w:left="709"/>
        <w:contextualSpacing/>
        <w:jc w:val="both"/>
        <w:rPr>
          <w:rFonts w:ascii="Arial" w:hAnsi="Arial"/>
          <w:sz w:val="16"/>
          <w:szCs w:val="22"/>
        </w:rPr>
      </w:pPr>
    </w:p>
    <w:p w:rsidR="000934C2" w:rsidRPr="003365D6" w:rsidRDefault="00064183" w:rsidP="000934C2">
      <w:pPr>
        <w:ind w:left="709"/>
        <w:contextualSpacing/>
        <w:jc w:val="both"/>
        <w:rPr>
          <w:rFonts w:ascii="Arial" w:hAnsi="Arial"/>
          <w:sz w:val="22"/>
          <w:szCs w:val="22"/>
          <w:u w:val="single"/>
        </w:rPr>
      </w:pPr>
      <w:r w:rsidRPr="003365D6">
        <w:rPr>
          <w:rFonts w:ascii="Arial" w:hAnsi="Arial"/>
          <w:sz w:val="22"/>
          <w:szCs w:val="22"/>
          <w:u w:val="single"/>
        </w:rPr>
        <w:t>Projected usage across all indications</w:t>
      </w:r>
    </w:p>
    <w:p w:rsidR="000934C2" w:rsidRPr="00DA1992" w:rsidRDefault="000934C2" w:rsidP="000934C2">
      <w:pPr>
        <w:ind w:left="709"/>
        <w:contextualSpacing/>
        <w:jc w:val="both"/>
        <w:rPr>
          <w:rFonts w:ascii="Arial" w:hAnsi="Arial"/>
          <w:sz w:val="18"/>
          <w:szCs w:val="22"/>
        </w:rPr>
      </w:pPr>
    </w:p>
    <w:p w:rsidR="000934C2" w:rsidRPr="003365D6" w:rsidRDefault="000934C2" w:rsidP="008B0EC1">
      <w:pPr>
        <w:pStyle w:val="ListParagraph"/>
        <w:numPr>
          <w:ilvl w:val="1"/>
          <w:numId w:val="2"/>
        </w:numPr>
        <w:jc w:val="both"/>
        <w:rPr>
          <w:rFonts w:ascii="Arial" w:hAnsi="Arial"/>
          <w:sz w:val="22"/>
          <w:szCs w:val="22"/>
        </w:rPr>
      </w:pPr>
      <w:r w:rsidRPr="003365D6">
        <w:rPr>
          <w:rFonts w:ascii="Arial" w:hAnsi="Arial"/>
          <w:sz w:val="22"/>
          <w:szCs w:val="22"/>
        </w:rPr>
        <w:t>When estimating projected future use of infliximab</w:t>
      </w:r>
      <w:r w:rsidR="00F24E22" w:rsidRPr="003365D6">
        <w:rPr>
          <w:rFonts w:ascii="Arial" w:hAnsi="Arial"/>
          <w:sz w:val="22"/>
          <w:szCs w:val="22"/>
        </w:rPr>
        <w:t xml:space="preserve">, </w:t>
      </w:r>
      <w:r w:rsidRPr="003365D6">
        <w:rPr>
          <w:rFonts w:ascii="Arial" w:hAnsi="Arial"/>
          <w:sz w:val="22"/>
          <w:szCs w:val="22"/>
        </w:rPr>
        <w:t xml:space="preserve">the submission </w:t>
      </w:r>
      <w:r w:rsidR="00C910CD" w:rsidRPr="003365D6">
        <w:rPr>
          <w:rFonts w:ascii="Arial" w:hAnsi="Arial"/>
          <w:sz w:val="22"/>
          <w:szCs w:val="22"/>
        </w:rPr>
        <w:t xml:space="preserve">used </w:t>
      </w:r>
      <w:r w:rsidRPr="003365D6">
        <w:rPr>
          <w:rFonts w:ascii="Arial" w:hAnsi="Arial"/>
          <w:sz w:val="22"/>
          <w:szCs w:val="22"/>
        </w:rPr>
        <w:t xml:space="preserve">an initial market growth rate of </w:t>
      </w:r>
      <w:r w:rsidRPr="00C55CF6">
        <w:rPr>
          <w:rFonts w:ascii="Arial" w:hAnsi="Arial"/>
          <w:sz w:val="22"/>
          <w:szCs w:val="22"/>
        </w:rPr>
        <w:t>21.8</w:t>
      </w:r>
      <w:r w:rsidRPr="003365D6">
        <w:rPr>
          <w:rFonts w:ascii="Arial" w:hAnsi="Arial"/>
          <w:sz w:val="22"/>
          <w:szCs w:val="22"/>
        </w:rPr>
        <w:t>% (for 2015) based on the average overall PBS market growth over the years 2011-2014.  In keeping with the trend of increasing growth, the rate is increased, somewhat arbitrarily, for the pr</w:t>
      </w:r>
      <w:r w:rsidR="00CE2A00">
        <w:rPr>
          <w:rFonts w:ascii="Arial" w:hAnsi="Arial"/>
          <w:sz w:val="22"/>
          <w:szCs w:val="22"/>
        </w:rPr>
        <w:t>ojections of service usage 2016</w:t>
      </w:r>
      <w:r w:rsidR="00CE2A00">
        <w:rPr>
          <w:rFonts w:ascii="Arial" w:hAnsi="Arial"/>
          <w:sz w:val="22"/>
          <w:szCs w:val="22"/>
        </w:rPr>
        <w:noBreakHyphen/>
      </w:r>
      <w:r w:rsidRPr="003365D6">
        <w:rPr>
          <w:rFonts w:ascii="Arial" w:hAnsi="Arial"/>
          <w:sz w:val="22"/>
          <w:szCs w:val="22"/>
        </w:rPr>
        <w:t>2020 (shown below).</w:t>
      </w:r>
    </w:p>
    <w:p w:rsidR="000934C2" w:rsidRPr="00DA1992" w:rsidRDefault="000934C2" w:rsidP="000934C2">
      <w:pPr>
        <w:ind w:left="709"/>
        <w:contextualSpacing/>
        <w:jc w:val="both"/>
        <w:rPr>
          <w:rFonts w:ascii="Arial" w:hAnsi="Arial"/>
          <w:sz w:val="18"/>
          <w:szCs w:val="22"/>
        </w:rPr>
      </w:pPr>
    </w:p>
    <w:p w:rsidR="000934C2" w:rsidRPr="003365D6" w:rsidRDefault="000934C2" w:rsidP="004230F5">
      <w:pPr>
        <w:pStyle w:val="Caption"/>
        <w:keepNext/>
        <w:spacing w:after="0"/>
        <w:ind w:left="709"/>
        <w:rPr>
          <w:rFonts w:ascii="Arial Narrow" w:hAnsi="Arial Narrow"/>
          <w:bCs w:val="0"/>
          <w:color w:val="auto"/>
          <w:sz w:val="20"/>
          <w:szCs w:val="20"/>
        </w:rPr>
      </w:pPr>
      <w:r w:rsidRPr="003365D6">
        <w:rPr>
          <w:rFonts w:ascii="Arial Narrow" w:hAnsi="Arial Narrow"/>
          <w:bCs w:val="0"/>
          <w:color w:val="auto"/>
          <w:sz w:val="20"/>
          <w:szCs w:val="20"/>
        </w:rPr>
        <w:t xml:space="preserve">Table </w:t>
      </w:r>
      <w:r w:rsidR="00626C74">
        <w:rPr>
          <w:rFonts w:ascii="Arial Narrow" w:hAnsi="Arial Narrow"/>
          <w:bCs w:val="0"/>
          <w:color w:val="auto"/>
          <w:sz w:val="20"/>
          <w:szCs w:val="20"/>
        </w:rPr>
        <w:t>11</w:t>
      </w:r>
      <w:r w:rsidR="00DA1992">
        <w:rPr>
          <w:rFonts w:ascii="Arial Narrow" w:hAnsi="Arial Narrow"/>
          <w:bCs w:val="0"/>
          <w:color w:val="auto"/>
          <w:sz w:val="20"/>
          <w:szCs w:val="20"/>
        </w:rPr>
        <w:t>:</w:t>
      </w:r>
      <w:r w:rsidRPr="003365D6">
        <w:rPr>
          <w:rFonts w:ascii="Arial Narrow" w:hAnsi="Arial Narrow"/>
          <w:bCs w:val="0"/>
          <w:color w:val="auto"/>
          <w:sz w:val="20"/>
          <w:szCs w:val="20"/>
        </w:rPr>
        <w:t xml:space="preserve"> Projected growth rate and number of services of infliximab across all indications 2015-2020 (submission’s estimates).</w:t>
      </w:r>
    </w:p>
    <w:tbl>
      <w:tblPr>
        <w:tblW w:w="8425" w:type="dxa"/>
        <w:tblInd w:w="817" w:type="dxa"/>
        <w:tblLayout w:type="fixed"/>
        <w:tblLook w:val="04A0" w:firstRow="1" w:lastRow="0" w:firstColumn="1" w:lastColumn="0" w:noHBand="0" w:noVBand="1"/>
      </w:tblPr>
      <w:tblGrid>
        <w:gridCol w:w="1418"/>
        <w:gridCol w:w="1275"/>
        <w:gridCol w:w="955"/>
        <w:gridCol w:w="955"/>
        <w:gridCol w:w="956"/>
        <w:gridCol w:w="955"/>
        <w:gridCol w:w="955"/>
        <w:gridCol w:w="956"/>
      </w:tblGrid>
      <w:tr w:rsidR="000934C2" w:rsidRPr="003365D6" w:rsidTr="004D181C">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Year</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2014</w:t>
            </w:r>
          </w:p>
        </w:tc>
        <w:tc>
          <w:tcPr>
            <w:tcW w:w="955"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2015</w:t>
            </w:r>
          </w:p>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Year 0</w:t>
            </w:r>
          </w:p>
        </w:tc>
        <w:tc>
          <w:tcPr>
            <w:tcW w:w="955"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2016</w:t>
            </w:r>
          </w:p>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Year 1 </w:t>
            </w:r>
          </w:p>
        </w:tc>
        <w:tc>
          <w:tcPr>
            <w:tcW w:w="956"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2017</w:t>
            </w:r>
          </w:p>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Year 2 </w:t>
            </w:r>
          </w:p>
        </w:tc>
        <w:tc>
          <w:tcPr>
            <w:tcW w:w="955"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2018</w:t>
            </w:r>
          </w:p>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Year 3</w:t>
            </w:r>
          </w:p>
        </w:tc>
        <w:tc>
          <w:tcPr>
            <w:tcW w:w="955"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2019</w:t>
            </w:r>
          </w:p>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Year 4</w:t>
            </w:r>
          </w:p>
        </w:tc>
        <w:tc>
          <w:tcPr>
            <w:tcW w:w="956"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2020</w:t>
            </w:r>
          </w:p>
          <w:p w:rsidR="000934C2" w:rsidRPr="003365D6" w:rsidRDefault="000934C2" w:rsidP="004D181C">
            <w:pPr>
              <w:jc w:val="center"/>
              <w:rPr>
                <w:rFonts w:ascii="Arial Narrow" w:hAnsi="Arial Narrow" w:cs="Arial"/>
                <w:b/>
                <w:bCs/>
                <w:sz w:val="20"/>
                <w:szCs w:val="20"/>
              </w:rPr>
            </w:pPr>
            <w:r w:rsidRPr="003365D6">
              <w:rPr>
                <w:rFonts w:ascii="Arial Narrow" w:hAnsi="Arial Narrow" w:cs="Arial"/>
                <w:b/>
                <w:bCs/>
                <w:sz w:val="20"/>
                <w:szCs w:val="20"/>
              </w:rPr>
              <w:t>Year 5</w:t>
            </w:r>
          </w:p>
        </w:tc>
      </w:tr>
      <w:tr w:rsidR="000934C2" w:rsidRPr="003365D6" w:rsidTr="004D181C">
        <w:trPr>
          <w:trHeight w:val="321"/>
        </w:trPr>
        <w:tc>
          <w:tcPr>
            <w:tcW w:w="1418" w:type="dxa"/>
            <w:tcBorders>
              <w:top w:val="nil"/>
              <w:left w:val="single" w:sz="4" w:space="0" w:color="auto"/>
              <w:bottom w:val="single" w:sz="4" w:space="0" w:color="auto"/>
              <w:right w:val="single" w:sz="4" w:space="0" w:color="auto"/>
            </w:tcBorders>
            <w:vAlign w:val="center"/>
          </w:tcPr>
          <w:p w:rsidR="000934C2" w:rsidRPr="003365D6" w:rsidRDefault="000934C2" w:rsidP="004D181C">
            <w:pPr>
              <w:rPr>
                <w:rFonts w:ascii="Arial Narrow" w:hAnsi="Arial Narrow" w:cs="Arial"/>
                <w:sz w:val="20"/>
                <w:szCs w:val="20"/>
              </w:rPr>
            </w:pPr>
            <w:r w:rsidRPr="003365D6">
              <w:rPr>
                <w:rFonts w:ascii="Arial Narrow" w:hAnsi="Arial Narrow" w:cs="Arial"/>
                <w:sz w:val="20"/>
                <w:szCs w:val="20"/>
              </w:rPr>
              <w:t>Growth rate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934C2" w:rsidRPr="003365D6" w:rsidRDefault="000934C2" w:rsidP="004D181C">
            <w:pPr>
              <w:jc w:val="center"/>
              <w:rPr>
                <w:rFonts w:ascii="Arial Narrow" w:hAnsi="Arial Narrow" w:cs="Arial"/>
                <w:sz w:val="20"/>
                <w:szCs w:val="20"/>
              </w:rPr>
            </w:pPr>
            <w:r w:rsidRPr="003365D6">
              <w:rPr>
                <w:rFonts w:ascii="Arial Narrow" w:hAnsi="Arial Narrow" w:cs="Arial"/>
                <w:sz w:val="20"/>
                <w:szCs w:val="20"/>
              </w:rPr>
              <w:t>(Baseline data)</w:t>
            </w:r>
          </w:p>
        </w:tc>
        <w:tc>
          <w:tcPr>
            <w:tcW w:w="955" w:type="dxa"/>
            <w:tcBorders>
              <w:top w:val="nil"/>
              <w:left w:val="nil"/>
              <w:bottom w:val="single" w:sz="4" w:space="0" w:color="auto"/>
              <w:right w:val="single" w:sz="4" w:space="0" w:color="auto"/>
            </w:tcBorders>
            <w:shd w:val="clear" w:color="auto" w:fill="auto"/>
            <w:noWrap/>
            <w:vAlign w:val="center"/>
            <w:hideMark/>
          </w:tcPr>
          <w:p w:rsidR="000934C2" w:rsidRPr="003365D6" w:rsidRDefault="000934C2" w:rsidP="004D181C">
            <w:pPr>
              <w:jc w:val="right"/>
              <w:rPr>
                <w:rFonts w:ascii="Arial Narrow" w:hAnsi="Arial Narrow" w:cs="Arial"/>
                <w:sz w:val="20"/>
                <w:szCs w:val="20"/>
              </w:rPr>
            </w:pPr>
            <w:r w:rsidRPr="00C55CF6">
              <w:rPr>
                <w:rFonts w:ascii="Arial Narrow" w:hAnsi="Arial Narrow" w:cs="Arial"/>
                <w:sz w:val="20"/>
                <w:szCs w:val="20"/>
              </w:rPr>
              <w:t>21.8</w:t>
            </w:r>
            <w:r w:rsidRPr="003365D6">
              <w:rPr>
                <w:rFonts w:ascii="Arial Narrow" w:hAnsi="Arial Narrow" w:cs="Arial"/>
                <w:sz w:val="20"/>
                <w:szCs w:val="20"/>
              </w:rPr>
              <w:t>%*</w:t>
            </w:r>
          </w:p>
        </w:tc>
        <w:tc>
          <w:tcPr>
            <w:tcW w:w="955" w:type="dxa"/>
            <w:tcBorders>
              <w:top w:val="nil"/>
              <w:left w:val="nil"/>
              <w:bottom w:val="single" w:sz="4" w:space="0" w:color="auto"/>
              <w:right w:val="single" w:sz="4" w:space="0" w:color="auto"/>
            </w:tcBorders>
            <w:shd w:val="clear" w:color="auto" w:fill="auto"/>
            <w:noWrap/>
            <w:vAlign w:val="center"/>
            <w:hideMark/>
          </w:tcPr>
          <w:p w:rsidR="000934C2" w:rsidRPr="003365D6" w:rsidRDefault="00D16AF1" w:rsidP="004D181C">
            <w:pPr>
              <w:jc w:val="right"/>
              <w:rPr>
                <w:rFonts w:ascii="Arial Narrow" w:hAnsi="Arial Narrow" w:cs="Arial"/>
                <w:sz w:val="20"/>
                <w:szCs w:val="20"/>
              </w:rPr>
            </w:pPr>
            <w:r>
              <w:rPr>
                <w:rFonts w:ascii="Arial Narrow" w:hAnsi="Arial Narrow" w:cs="Arial"/>
                <w:noProof/>
                <w:color w:val="000000"/>
                <w:sz w:val="20"/>
                <w:szCs w:val="20"/>
                <w:highlight w:val="black"/>
              </w:rPr>
              <w:t>'''''''''''</w:t>
            </w:r>
            <w:r w:rsidR="000934C2" w:rsidRPr="003365D6">
              <w:rPr>
                <w:rFonts w:ascii="Arial Narrow" w:hAnsi="Arial Narrow" w:cs="Arial"/>
                <w:sz w:val="20"/>
                <w:szCs w:val="20"/>
              </w:rPr>
              <w:t>%</w:t>
            </w:r>
          </w:p>
        </w:tc>
        <w:tc>
          <w:tcPr>
            <w:tcW w:w="956" w:type="dxa"/>
            <w:tcBorders>
              <w:top w:val="nil"/>
              <w:left w:val="nil"/>
              <w:bottom w:val="single" w:sz="4" w:space="0" w:color="auto"/>
              <w:right w:val="single" w:sz="4" w:space="0" w:color="auto"/>
            </w:tcBorders>
            <w:shd w:val="clear" w:color="auto" w:fill="auto"/>
            <w:noWrap/>
            <w:vAlign w:val="center"/>
            <w:hideMark/>
          </w:tcPr>
          <w:p w:rsidR="000934C2" w:rsidRPr="003365D6" w:rsidRDefault="00D16AF1" w:rsidP="004D181C">
            <w:pPr>
              <w:jc w:val="right"/>
              <w:rPr>
                <w:rFonts w:ascii="Arial Narrow" w:hAnsi="Arial Narrow" w:cs="Arial"/>
                <w:sz w:val="20"/>
                <w:szCs w:val="20"/>
              </w:rPr>
            </w:pPr>
            <w:r>
              <w:rPr>
                <w:rFonts w:ascii="Arial Narrow" w:hAnsi="Arial Narrow" w:cs="Arial"/>
                <w:noProof/>
                <w:color w:val="000000"/>
                <w:sz w:val="20"/>
                <w:szCs w:val="20"/>
                <w:highlight w:val="black"/>
              </w:rPr>
              <w:t>'''''''''''</w:t>
            </w:r>
            <w:r w:rsidR="000934C2" w:rsidRPr="003365D6">
              <w:rPr>
                <w:rFonts w:ascii="Arial Narrow" w:hAnsi="Arial Narrow" w:cs="Arial"/>
                <w:sz w:val="20"/>
                <w:szCs w:val="20"/>
              </w:rPr>
              <w:t>%</w:t>
            </w:r>
          </w:p>
        </w:tc>
        <w:tc>
          <w:tcPr>
            <w:tcW w:w="955" w:type="dxa"/>
            <w:tcBorders>
              <w:top w:val="nil"/>
              <w:left w:val="nil"/>
              <w:bottom w:val="single" w:sz="4" w:space="0" w:color="auto"/>
              <w:right w:val="single" w:sz="4" w:space="0" w:color="auto"/>
            </w:tcBorders>
            <w:shd w:val="clear" w:color="auto" w:fill="auto"/>
            <w:noWrap/>
            <w:vAlign w:val="center"/>
            <w:hideMark/>
          </w:tcPr>
          <w:p w:rsidR="000934C2" w:rsidRPr="003365D6" w:rsidRDefault="00D16AF1" w:rsidP="004D181C">
            <w:pPr>
              <w:jc w:val="right"/>
              <w:rPr>
                <w:rFonts w:ascii="Arial Narrow" w:hAnsi="Arial Narrow" w:cs="Arial"/>
                <w:sz w:val="20"/>
                <w:szCs w:val="20"/>
              </w:rPr>
            </w:pPr>
            <w:r>
              <w:rPr>
                <w:rFonts w:ascii="Arial Narrow" w:hAnsi="Arial Narrow" w:cs="Arial"/>
                <w:noProof/>
                <w:color w:val="000000"/>
                <w:sz w:val="20"/>
                <w:szCs w:val="20"/>
                <w:highlight w:val="black"/>
              </w:rPr>
              <w:t>''''''''''''</w:t>
            </w:r>
            <w:r w:rsidR="000934C2" w:rsidRPr="003365D6">
              <w:rPr>
                <w:rFonts w:ascii="Arial Narrow" w:hAnsi="Arial Narrow" w:cs="Arial"/>
                <w:sz w:val="20"/>
                <w:szCs w:val="20"/>
              </w:rPr>
              <w:t>%</w:t>
            </w:r>
          </w:p>
        </w:tc>
        <w:tc>
          <w:tcPr>
            <w:tcW w:w="955" w:type="dxa"/>
            <w:tcBorders>
              <w:top w:val="nil"/>
              <w:left w:val="nil"/>
              <w:bottom w:val="single" w:sz="4" w:space="0" w:color="auto"/>
              <w:right w:val="single" w:sz="4" w:space="0" w:color="auto"/>
            </w:tcBorders>
            <w:shd w:val="clear" w:color="auto" w:fill="auto"/>
            <w:noWrap/>
            <w:vAlign w:val="center"/>
            <w:hideMark/>
          </w:tcPr>
          <w:p w:rsidR="000934C2" w:rsidRPr="003365D6" w:rsidRDefault="00D16AF1" w:rsidP="004D181C">
            <w:pPr>
              <w:jc w:val="right"/>
              <w:rPr>
                <w:rFonts w:ascii="Arial Narrow" w:hAnsi="Arial Narrow" w:cs="Arial"/>
                <w:sz w:val="20"/>
                <w:szCs w:val="20"/>
              </w:rPr>
            </w:pPr>
            <w:r>
              <w:rPr>
                <w:rFonts w:ascii="Arial Narrow" w:hAnsi="Arial Narrow" w:cs="Arial"/>
                <w:noProof/>
                <w:color w:val="000000"/>
                <w:sz w:val="20"/>
                <w:szCs w:val="20"/>
                <w:highlight w:val="black"/>
              </w:rPr>
              <w:t>''''''''''</w:t>
            </w:r>
            <w:r w:rsidR="000934C2" w:rsidRPr="003365D6">
              <w:rPr>
                <w:rFonts w:ascii="Arial Narrow" w:hAnsi="Arial Narrow" w:cs="Arial"/>
                <w:sz w:val="20"/>
                <w:szCs w:val="20"/>
              </w:rPr>
              <w:t>%</w:t>
            </w:r>
          </w:p>
        </w:tc>
        <w:tc>
          <w:tcPr>
            <w:tcW w:w="956" w:type="dxa"/>
            <w:tcBorders>
              <w:top w:val="nil"/>
              <w:left w:val="nil"/>
              <w:bottom w:val="single" w:sz="4" w:space="0" w:color="auto"/>
              <w:right w:val="single" w:sz="4" w:space="0" w:color="auto"/>
            </w:tcBorders>
            <w:shd w:val="clear" w:color="auto" w:fill="auto"/>
            <w:noWrap/>
            <w:vAlign w:val="center"/>
            <w:hideMark/>
          </w:tcPr>
          <w:p w:rsidR="000934C2" w:rsidRPr="003365D6" w:rsidRDefault="00D16AF1" w:rsidP="004D181C">
            <w:pPr>
              <w:jc w:val="right"/>
              <w:rPr>
                <w:rFonts w:ascii="Arial Narrow" w:hAnsi="Arial Narrow" w:cs="Arial"/>
                <w:sz w:val="20"/>
                <w:szCs w:val="20"/>
              </w:rPr>
            </w:pPr>
            <w:r>
              <w:rPr>
                <w:rFonts w:ascii="Arial Narrow" w:hAnsi="Arial Narrow" w:cs="Arial"/>
                <w:noProof/>
                <w:color w:val="000000"/>
                <w:sz w:val="20"/>
                <w:szCs w:val="20"/>
                <w:highlight w:val="black"/>
              </w:rPr>
              <w:t>''''''''''</w:t>
            </w:r>
            <w:r w:rsidR="000934C2" w:rsidRPr="003365D6">
              <w:rPr>
                <w:rFonts w:ascii="Arial Narrow" w:hAnsi="Arial Narrow" w:cs="Arial"/>
                <w:sz w:val="20"/>
                <w:szCs w:val="20"/>
              </w:rPr>
              <w:t>%</w:t>
            </w:r>
          </w:p>
        </w:tc>
      </w:tr>
      <w:tr w:rsidR="000934C2" w:rsidRPr="003365D6" w:rsidTr="004D181C">
        <w:trPr>
          <w:trHeight w:val="330"/>
        </w:trPr>
        <w:tc>
          <w:tcPr>
            <w:tcW w:w="1418" w:type="dxa"/>
            <w:tcBorders>
              <w:top w:val="nil"/>
              <w:left w:val="single" w:sz="4" w:space="0" w:color="auto"/>
              <w:bottom w:val="single" w:sz="4" w:space="0" w:color="auto"/>
              <w:right w:val="single" w:sz="4" w:space="0" w:color="auto"/>
            </w:tcBorders>
            <w:vAlign w:val="center"/>
          </w:tcPr>
          <w:p w:rsidR="000934C2" w:rsidRPr="003365D6" w:rsidRDefault="00AC5B19" w:rsidP="004D181C">
            <w:pPr>
              <w:rPr>
                <w:rFonts w:ascii="Arial Narrow" w:hAnsi="Arial Narrow" w:cs="Arial"/>
                <w:sz w:val="20"/>
                <w:szCs w:val="20"/>
              </w:rPr>
            </w:pPr>
            <w:r w:rsidRPr="003365D6">
              <w:rPr>
                <w:rFonts w:ascii="Arial Narrow" w:hAnsi="Arial Narrow" w:cs="Arial"/>
                <w:sz w:val="20"/>
                <w:szCs w:val="20"/>
              </w:rPr>
              <w:t>No. of services</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934C2" w:rsidRPr="003365D6" w:rsidRDefault="00AC5B19" w:rsidP="004D181C">
            <w:pPr>
              <w:jc w:val="right"/>
              <w:rPr>
                <w:rFonts w:ascii="Arial Narrow" w:hAnsi="Arial Narrow" w:cs="Arial"/>
                <w:sz w:val="20"/>
                <w:szCs w:val="20"/>
              </w:rPr>
            </w:pPr>
            <w:r w:rsidRPr="003365D6">
              <w:rPr>
                <w:rFonts w:ascii="Arial Narrow" w:hAnsi="Arial Narrow" w:cs="Arial"/>
                <w:sz w:val="20"/>
                <w:szCs w:val="20"/>
              </w:rPr>
              <w:t>29,253</w:t>
            </w:r>
          </w:p>
        </w:tc>
        <w:tc>
          <w:tcPr>
            <w:tcW w:w="955" w:type="dxa"/>
            <w:tcBorders>
              <w:top w:val="nil"/>
              <w:left w:val="nil"/>
              <w:bottom w:val="single" w:sz="4" w:space="0" w:color="auto"/>
              <w:right w:val="single" w:sz="4" w:space="0" w:color="auto"/>
            </w:tcBorders>
            <w:shd w:val="clear" w:color="auto" w:fill="auto"/>
            <w:noWrap/>
            <w:vAlign w:val="center"/>
            <w:hideMark/>
          </w:tcPr>
          <w:p w:rsidR="000934C2" w:rsidRPr="003365D6" w:rsidRDefault="000934C2" w:rsidP="004D181C">
            <w:pPr>
              <w:jc w:val="right"/>
              <w:rPr>
                <w:rFonts w:ascii="Arial Narrow" w:hAnsi="Arial Narrow" w:cs="Arial"/>
                <w:sz w:val="20"/>
                <w:szCs w:val="20"/>
              </w:rPr>
            </w:pPr>
            <w:r w:rsidRPr="00C55CF6">
              <w:rPr>
                <w:rFonts w:ascii="Arial Narrow" w:hAnsi="Arial Narrow" w:cs="Arial"/>
                <w:sz w:val="20"/>
                <w:szCs w:val="20"/>
              </w:rPr>
              <w:t>35,630</w:t>
            </w:r>
            <w:r w:rsidRPr="003365D6">
              <w:rPr>
                <w:rFonts w:ascii="Arial Narrow" w:hAnsi="Arial Narrow" w:cs="Arial"/>
                <w:sz w:val="20"/>
                <w:szCs w:val="20"/>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0934C2" w:rsidRPr="00D16AF1" w:rsidRDefault="00D16AF1" w:rsidP="004D181C">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956" w:type="dxa"/>
            <w:tcBorders>
              <w:top w:val="nil"/>
              <w:left w:val="nil"/>
              <w:bottom w:val="single" w:sz="4" w:space="0" w:color="auto"/>
              <w:right w:val="single" w:sz="4" w:space="0" w:color="auto"/>
            </w:tcBorders>
            <w:shd w:val="clear" w:color="auto" w:fill="auto"/>
            <w:noWrap/>
            <w:vAlign w:val="center"/>
            <w:hideMark/>
          </w:tcPr>
          <w:p w:rsidR="000934C2" w:rsidRPr="00D16AF1" w:rsidRDefault="00D16AF1" w:rsidP="004D181C">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0934C2" w:rsidRPr="00D16AF1" w:rsidRDefault="00D16AF1" w:rsidP="004D181C">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0934C2" w:rsidRPr="00D16AF1" w:rsidRDefault="00D16AF1" w:rsidP="004D181C">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956" w:type="dxa"/>
            <w:tcBorders>
              <w:top w:val="nil"/>
              <w:left w:val="nil"/>
              <w:bottom w:val="single" w:sz="4" w:space="0" w:color="auto"/>
              <w:right w:val="single" w:sz="4" w:space="0" w:color="auto"/>
            </w:tcBorders>
            <w:shd w:val="clear" w:color="auto" w:fill="auto"/>
            <w:noWrap/>
            <w:vAlign w:val="center"/>
            <w:hideMark/>
          </w:tcPr>
          <w:p w:rsidR="000934C2" w:rsidRPr="00D16AF1" w:rsidRDefault="00D16AF1" w:rsidP="004D181C">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r>
    </w:tbl>
    <w:p w:rsidR="000934C2" w:rsidRPr="00DA1992" w:rsidRDefault="000934C2" w:rsidP="000934C2">
      <w:pPr>
        <w:ind w:left="709"/>
        <w:contextualSpacing/>
        <w:jc w:val="both"/>
        <w:rPr>
          <w:rFonts w:ascii="Arial" w:hAnsi="Arial"/>
          <w:sz w:val="18"/>
          <w:szCs w:val="22"/>
        </w:rPr>
      </w:pPr>
    </w:p>
    <w:p w:rsidR="000934C2" w:rsidRPr="003365D6" w:rsidRDefault="00CE20E0" w:rsidP="000F7309">
      <w:pPr>
        <w:ind w:firstLine="720"/>
        <w:contextualSpacing/>
        <w:jc w:val="both"/>
        <w:rPr>
          <w:rFonts w:ascii="Arial" w:hAnsi="Arial"/>
          <w:sz w:val="22"/>
          <w:szCs w:val="22"/>
          <w:u w:val="single"/>
        </w:rPr>
      </w:pPr>
      <w:r w:rsidRPr="003365D6">
        <w:rPr>
          <w:rFonts w:ascii="Arial" w:hAnsi="Arial"/>
          <w:sz w:val="22"/>
          <w:szCs w:val="22"/>
          <w:u w:val="single"/>
        </w:rPr>
        <w:t>Financial implications to the PBS</w:t>
      </w:r>
    </w:p>
    <w:p w:rsidR="000934C2" w:rsidRPr="00DA1992" w:rsidRDefault="000934C2" w:rsidP="000934C2">
      <w:pPr>
        <w:ind w:left="709"/>
        <w:contextualSpacing/>
        <w:jc w:val="both"/>
        <w:rPr>
          <w:rFonts w:ascii="Arial" w:hAnsi="Arial"/>
          <w:sz w:val="18"/>
          <w:szCs w:val="22"/>
        </w:rPr>
      </w:pPr>
    </w:p>
    <w:p w:rsidR="000934C2" w:rsidRPr="003365D6" w:rsidRDefault="000934C2" w:rsidP="008B0EC1">
      <w:pPr>
        <w:pStyle w:val="ListParagraph"/>
        <w:numPr>
          <w:ilvl w:val="1"/>
          <w:numId w:val="2"/>
        </w:numPr>
        <w:jc w:val="both"/>
        <w:rPr>
          <w:rFonts w:ascii="Arial" w:hAnsi="Arial"/>
          <w:sz w:val="22"/>
          <w:szCs w:val="22"/>
        </w:rPr>
      </w:pPr>
      <w:r w:rsidRPr="003365D6">
        <w:rPr>
          <w:rFonts w:ascii="Arial" w:hAnsi="Arial"/>
          <w:sz w:val="22"/>
          <w:szCs w:val="22"/>
        </w:rPr>
        <w:t xml:space="preserve">The submission </w:t>
      </w:r>
      <w:r w:rsidR="00DE5367" w:rsidRPr="003365D6">
        <w:rPr>
          <w:rFonts w:ascii="Arial" w:hAnsi="Arial"/>
          <w:sz w:val="22"/>
          <w:szCs w:val="22"/>
        </w:rPr>
        <w:t xml:space="preserve">did </w:t>
      </w:r>
      <w:r w:rsidRPr="003365D6">
        <w:rPr>
          <w:rFonts w:ascii="Arial" w:hAnsi="Arial"/>
          <w:sz w:val="22"/>
          <w:szCs w:val="22"/>
        </w:rPr>
        <w:t>not anticipate the listing of Inflectra will impact the size or growth of the overall infliximab market, therefore all quantitative financial implications relate to the statutory 16% price reduction associated with listing of a biosimilar.</w:t>
      </w:r>
    </w:p>
    <w:p w:rsidR="000934C2" w:rsidRPr="00DA1992" w:rsidRDefault="000934C2" w:rsidP="000934C2">
      <w:pPr>
        <w:ind w:left="709"/>
        <w:contextualSpacing/>
        <w:jc w:val="both"/>
        <w:rPr>
          <w:rFonts w:ascii="Arial" w:hAnsi="Arial"/>
          <w:i/>
          <w:sz w:val="18"/>
          <w:szCs w:val="22"/>
        </w:rPr>
      </w:pPr>
    </w:p>
    <w:p w:rsidR="000934C2" w:rsidRPr="003365D6" w:rsidRDefault="00F24E22" w:rsidP="008B0EC1">
      <w:pPr>
        <w:pStyle w:val="ListParagraph"/>
        <w:numPr>
          <w:ilvl w:val="1"/>
          <w:numId w:val="2"/>
        </w:numPr>
        <w:jc w:val="both"/>
        <w:rPr>
          <w:rFonts w:ascii="Arial" w:hAnsi="Arial"/>
          <w:sz w:val="22"/>
          <w:szCs w:val="22"/>
        </w:rPr>
      </w:pPr>
      <w:r w:rsidRPr="003365D6">
        <w:rPr>
          <w:rFonts w:ascii="Arial" w:hAnsi="Arial"/>
          <w:sz w:val="22"/>
          <w:szCs w:val="22"/>
        </w:rPr>
        <w:t xml:space="preserve">The submission </w:t>
      </w:r>
      <w:r w:rsidR="00DE5367" w:rsidRPr="003365D6">
        <w:rPr>
          <w:rFonts w:ascii="Arial" w:hAnsi="Arial"/>
          <w:sz w:val="22"/>
          <w:szCs w:val="22"/>
        </w:rPr>
        <w:t xml:space="preserve">did </w:t>
      </w:r>
      <w:r w:rsidR="00A46912" w:rsidRPr="003365D6">
        <w:rPr>
          <w:rFonts w:ascii="Arial" w:hAnsi="Arial"/>
          <w:sz w:val="22"/>
          <w:szCs w:val="22"/>
        </w:rPr>
        <w:t xml:space="preserve">not account for </w:t>
      </w:r>
      <w:r w:rsidR="00AC5B19" w:rsidRPr="003365D6">
        <w:rPr>
          <w:rFonts w:ascii="Arial" w:hAnsi="Arial"/>
          <w:sz w:val="22"/>
          <w:szCs w:val="22"/>
        </w:rPr>
        <w:t xml:space="preserve">any </w:t>
      </w:r>
      <w:r w:rsidR="00A46912" w:rsidRPr="003365D6">
        <w:rPr>
          <w:rFonts w:ascii="Arial" w:hAnsi="Arial"/>
          <w:sz w:val="22"/>
          <w:szCs w:val="22"/>
        </w:rPr>
        <w:t>impact of p</w:t>
      </w:r>
      <w:r w:rsidRPr="003365D6">
        <w:rPr>
          <w:rFonts w:ascii="Arial" w:hAnsi="Arial"/>
          <w:sz w:val="22"/>
          <w:szCs w:val="22"/>
        </w:rPr>
        <w:t xml:space="preserve">rice </w:t>
      </w:r>
      <w:r w:rsidR="00A46912" w:rsidRPr="003365D6">
        <w:rPr>
          <w:rFonts w:ascii="Arial" w:hAnsi="Arial"/>
          <w:sz w:val="22"/>
          <w:szCs w:val="22"/>
        </w:rPr>
        <w:t>d</w:t>
      </w:r>
      <w:r w:rsidRPr="003365D6">
        <w:rPr>
          <w:rFonts w:ascii="Arial" w:hAnsi="Arial"/>
          <w:sz w:val="22"/>
          <w:szCs w:val="22"/>
        </w:rPr>
        <w:t>isclosure</w:t>
      </w:r>
      <w:r w:rsidR="00AC5B19" w:rsidRPr="003365D6">
        <w:rPr>
          <w:rFonts w:ascii="Arial" w:hAnsi="Arial"/>
          <w:sz w:val="22"/>
          <w:szCs w:val="22"/>
        </w:rPr>
        <w:t>.</w:t>
      </w:r>
      <w:r w:rsidRPr="003365D6">
        <w:rPr>
          <w:rFonts w:ascii="Arial" w:hAnsi="Arial"/>
          <w:sz w:val="22"/>
          <w:szCs w:val="22"/>
        </w:rPr>
        <w:t xml:space="preserve"> </w:t>
      </w:r>
    </w:p>
    <w:p w:rsidR="000934C2" w:rsidRPr="00DA1992" w:rsidRDefault="000934C2" w:rsidP="000934C2">
      <w:pPr>
        <w:ind w:left="709"/>
        <w:contextualSpacing/>
        <w:jc w:val="both"/>
        <w:rPr>
          <w:rFonts w:ascii="Arial" w:hAnsi="Arial"/>
          <w:sz w:val="18"/>
          <w:szCs w:val="22"/>
        </w:rPr>
      </w:pPr>
    </w:p>
    <w:p w:rsidR="00741BAD" w:rsidRPr="00971377" w:rsidRDefault="00992414" w:rsidP="00CE20E0">
      <w:pPr>
        <w:pStyle w:val="ListParagraph"/>
        <w:numPr>
          <w:ilvl w:val="1"/>
          <w:numId w:val="2"/>
        </w:numPr>
        <w:jc w:val="both"/>
        <w:rPr>
          <w:rFonts w:ascii="Arial" w:hAnsi="Arial"/>
          <w:sz w:val="22"/>
          <w:szCs w:val="22"/>
        </w:rPr>
      </w:pPr>
      <w:r>
        <w:rPr>
          <w:rFonts w:ascii="Arial" w:hAnsi="Arial"/>
          <w:sz w:val="22"/>
          <w:szCs w:val="22"/>
        </w:rPr>
        <w:t>The redacted table below shows that t</w:t>
      </w:r>
      <w:r w:rsidR="000934C2" w:rsidRPr="003365D6">
        <w:rPr>
          <w:rFonts w:ascii="Arial" w:hAnsi="Arial"/>
          <w:sz w:val="22"/>
          <w:szCs w:val="22"/>
        </w:rPr>
        <w:t xml:space="preserve">he minor submission </w:t>
      </w:r>
      <w:r w:rsidR="00C910CD" w:rsidRPr="003365D6">
        <w:rPr>
          <w:rFonts w:ascii="Arial" w:hAnsi="Arial"/>
          <w:sz w:val="22"/>
          <w:szCs w:val="22"/>
        </w:rPr>
        <w:t xml:space="preserve">estimated </w:t>
      </w:r>
      <w:r w:rsidR="000934C2" w:rsidRPr="003365D6">
        <w:rPr>
          <w:rFonts w:ascii="Arial" w:hAnsi="Arial"/>
          <w:sz w:val="22"/>
          <w:szCs w:val="22"/>
        </w:rPr>
        <w:t>a net sav</w:t>
      </w:r>
      <w:r w:rsidR="00156A57">
        <w:rPr>
          <w:rFonts w:ascii="Arial" w:hAnsi="Arial"/>
          <w:sz w:val="22"/>
          <w:szCs w:val="22"/>
        </w:rPr>
        <w:t>ing</w:t>
      </w:r>
      <w:r w:rsidR="000934C2" w:rsidRPr="003365D6">
        <w:rPr>
          <w:rFonts w:ascii="Arial" w:hAnsi="Arial"/>
          <w:sz w:val="22"/>
          <w:szCs w:val="22"/>
        </w:rPr>
        <w:t xml:space="preserve"> to the PBS of $</w:t>
      </w:r>
      <w:r>
        <w:rPr>
          <w:rFonts w:ascii="Arial" w:hAnsi="Arial"/>
          <w:sz w:val="22"/>
          <w:szCs w:val="22"/>
        </w:rPr>
        <w:t>30 - $60</w:t>
      </w:r>
      <w:r w:rsidRPr="003365D6">
        <w:rPr>
          <w:rFonts w:ascii="Arial" w:hAnsi="Arial"/>
          <w:sz w:val="22"/>
          <w:szCs w:val="22"/>
        </w:rPr>
        <w:t xml:space="preserve"> </w:t>
      </w:r>
      <w:r w:rsidR="000934C2" w:rsidRPr="003365D6">
        <w:rPr>
          <w:rFonts w:ascii="Arial" w:hAnsi="Arial"/>
          <w:sz w:val="22"/>
          <w:szCs w:val="22"/>
        </w:rPr>
        <w:t>million in Year 5 of listing, with a total net sav</w:t>
      </w:r>
      <w:r w:rsidR="00156A57">
        <w:rPr>
          <w:rFonts w:ascii="Arial" w:hAnsi="Arial"/>
          <w:sz w:val="22"/>
          <w:szCs w:val="22"/>
        </w:rPr>
        <w:t>ing</w:t>
      </w:r>
      <w:r w:rsidR="000934C2" w:rsidRPr="003365D6">
        <w:rPr>
          <w:rFonts w:ascii="Arial" w:hAnsi="Arial"/>
          <w:sz w:val="22"/>
          <w:szCs w:val="22"/>
        </w:rPr>
        <w:t xml:space="preserve"> to the PBS of </w:t>
      </w:r>
      <w:r w:rsidR="00C55CF6">
        <w:rPr>
          <w:rFonts w:ascii="Arial" w:hAnsi="Arial"/>
          <w:sz w:val="22"/>
          <w:szCs w:val="22"/>
        </w:rPr>
        <w:t xml:space="preserve">more than </w:t>
      </w:r>
      <w:r w:rsidR="000934C2" w:rsidRPr="003365D6">
        <w:rPr>
          <w:rFonts w:ascii="Arial" w:hAnsi="Arial"/>
          <w:sz w:val="22"/>
          <w:szCs w:val="22"/>
        </w:rPr>
        <w:t>$1</w:t>
      </w:r>
      <w:r w:rsidR="00C55CF6">
        <w:rPr>
          <w:rFonts w:ascii="Arial" w:hAnsi="Arial"/>
          <w:sz w:val="22"/>
          <w:szCs w:val="22"/>
        </w:rPr>
        <w:t>0</w:t>
      </w:r>
      <w:r w:rsidR="000934C2" w:rsidRPr="003365D6">
        <w:rPr>
          <w:rFonts w:ascii="Arial" w:hAnsi="Arial"/>
          <w:sz w:val="22"/>
          <w:szCs w:val="22"/>
        </w:rPr>
        <w:t xml:space="preserve">0 million over the first 5 years of listing.  </w:t>
      </w:r>
    </w:p>
    <w:p w:rsidR="000934C2" w:rsidRPr="00DA1992" w:rsidRDefault="000934C2" w:rsidP="000934C2">
      <w:pPr>
        <w:rPr>
          <w:rFonts w:ascii="Arial" w:eastAsiaTheme="majorEastAsia" w:hAnsi="Arial" w:cs="Arial"/>
          <w:sz w:val="18"/>
          <w:szCs w:val="22"/>
          <w:lang w:eastAsia="en-US" w:bidi="en-US"/>
        </w:rPr>
      </w:pPr>
    </w:p>
    <w:p w:rsidR="000934C2" w:rsidRPr="003365D6" w:rsidRDefault="000934C2" w:rsidP="004230F5">
      <w:pPr>
        <w:pStyle w:val="Caption"/>
        <w:keepNext/>
        <w:spacing w:after="0"/>
        <w:ind w:left="709"/>
        <w:rPr>
          <w:rFonts w:ascii="Arial Narrow" w:hAnsi="Arial Narrow"/>
          <w:bCs w:val="0"/>
          <w:color w:val="auto"/>
          <w:sz w:val="20"/>
          <w:szCs w:val="20"/>
        </w:rPr>
      </w:pPr>
      <w:r w:rsidRPr="003365D6">
        <w:rPr>
          <w:rFonts w:ascii="Arial Narrow" w:hAnsi="Arial Narrow"/>
          <w:bCs w:val="0"/>
          <w:color w:val="auto"/>
          <w:sz w:val="20"/>
          <w:szCs w:val="20"/>
        </w:rPr>
        <w:t xml:space="preserve">Table </w:t>
      </w:r>
      <w:r w:rsidR="004230F5">
        <w:rPr>
          <w:rFonts w:ascii="Arial Narrow" w:hAnsi="Arial Narrow"/>
          <w:bCs w:val="0"/>
          <w:color w:val="auto"/>
          <w:sz w:val="20"/>
          <w:szCs w:val="20"/>
        </w:rPr>
        <w:t>12</w:t>
      </w:r>
      <w:r w:rsidR="00DA1992">
        <w:rPr>
          <w:rFonts w:ascii="Arial Narrow" w:hAnsi="Arial Narrow"/>
          <w:bCs w:val="0"/>
          <w:color w:val="auto"/>
          <w:sz w:val="20"/>
          <w:szCs w:val="20"/>
        </w:rPr>
        <w:t>:</w:t>
      </w:r>
      <w:r w:rsidRPr="003365D6">
        <w:rPr>
          <w:rFonts w:ascii="Arial Narrow" w:hAnsi="Arial Narrow"/>
          <w:bCs w:val="0"/>
          <w:color w:val="auto"/>
          <w:sz w:val="20"/>
          <w:szCs w:val="20"/>
        </w:rPr>
        <w:t xml:space="preserve"> Net projected savings to the PBS/RPBS due to listing of Inflectra for all infliximab indications </w:t>
      </w:r>
    </w:p>
    <w:tbl>
      <w:tblPr>
        <w:tblW w:w="8505" w:type="dxa"/>
        <w:tblInd w:w="817" w:type="dxa"/>
        <w:tblLayout w:type="fixed"/>
        <w:tblLook w:val="04A0" w:firstRow="1" w:lastRow="0" w:firstColumn="1" w:lastColumn="0" w:noHBand="0" w:noVBand="1"/>
      </w:tblPr>
      <w:tblGrid>
        <w:gridCol w:w="2251"/>
        <w:gridCol w:w="17"/>
        <w:gridCol w:w="1233"/>
        <w:gridCol w:w="1251"/>
        <w:gridCol w:w="1251"/>
        <w:gridCol w:w="1251"/>
        <w:gridCol w:w="1251"/>
      </w:tblGrid>
      <w:tr w:rsidR="000934C2" w:rsidRPr="003365D6" w:rsidTr="004D181C">
        <w:trPr>
          <w:trHeight w:val="264"/>
        </w:trPr>
        <w:tc>
          <w:tcPr>
            <w:tcW w:w="2251" w:type="dxa"/>
            <w:tcBorders>
              <w:top w:val="single" w:sz="4" w:space="0" w:color="auto"/>
              <w:left w:val="single" w:sz="4" w:space="0" w:color="auto"/>
              <w:bottom w:val="single" w:sz="4" w:space="0" w:color="auto"/>
              <w:right w:val="single" w:sz="4" w:space="0" w:color="auto"/>
            </w:tcBorders>
            <w:shd w:val="clear" w:color="auto" w:fill="auto"/>
            <w:hideMark/>
          </w:tcPr>
          <w:p w:rsidR="000934C2" w:rsidRPr="003365D6" w:rsidRDefault="000934C2" w:rsidP="004D181C">
            <w:pPr>
              <w:rPr>
                <w:rFonts w:ascii="Arial Narrow" w:eastAsiaTheme="majorEastAsia" w:hAnsi="Arial Narrow" w:cstheme="majorBidi"/>
                <w:b/>
                <w:sz w:val="20"/>
                <w:szCs w:val="20"/>
                <w:lang w:eastAsia="en-US" w:bidi="en-US"/>
              </w:rPr>
            </w:pPr>
          </w:p>
        </w:tc>
        <w:tc>
          <w:tcPr>
            <w:tcW w:w="1250" w:type="dxa"/>
            <w:gridSpan w:val="2"/>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Year 1</w:t>
            </w:r>
          </w:p>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Year 2</w:t>
            </w:r>
          </w:p>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2017</w:t>
            </w:r>
          </w:p>
        </w:tc>
        <w:tc>
          <w:tcPr>
            <w:tcW w:w="1251"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Year 3</w:t>
            </w:r>
          </w:p>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2018</w:t>
            </w:r>
          </w:p>
        </w:tc>
        <w:tc>
          <w:tcPr>
            <w:tcW w:w="1251"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Year 4</w:t>
            </w:r>
          </w:p>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2019</w:t>
            </w:r>
          </w:p>
        </w:tc>
        <w:tc>
          <w:tcPr>
            <w:tcW w:w="1251" w:type="dxa"/>
            <w:tcBorders>
              <w:top w:val="single" w:sz="4" w:space="0" w:color="auto"/>
              <w:left w:val="nil"/>
              <w:bottom w:val="single" w:sz="4" w:space="0" w:color="auto"/>
              <w:right w:val="single" w:sz="4" w:space="0" w:color="auto"/>
            </w:tcBorders>
            <w:shd w:val="clear" w:color="auto" w:fill="auto"/>
            <w:noWrap/>
            <w:hideMark/>
          </w:tcPr>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Year 5</w:t>
            </w:r>
          </w:p>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2020</w:t>
            </w:r>
          </w:p>
        </w:tc>
      </w:tr>
      <w:tr w:rsidR="000934C2" w:rsidRPr="003365D6" w:rsidTr="004D1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268" w:type="dxa"/>
            <w:gridSpan w:val="2"/>
            <w:shd w:val="clear" w:color="auto" w:fill="auto"/>
            <w:hideMark/>
          </w:tcPr>
          <w:p w:rsidR="000934C2" w:rsidRPr="003365D6" w:rsidRDefault="000934C2" w:rsidP="004D181C">
            <w:pPr>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b/>
                <w:sz w:val="20"/>
                <w:szCs w:val="20"/>
                <w:lang w:eastAsia="en-US" w:bidi="en-US"/>
              </w:rPr>
              <w:t>Without Inflectra listing:</w:t>
            </w:r>
            <w:r w:rsidRPr="003365D6">
              <w:rPr>
                <w:rFonts w:ascii="Arial Narrow" w:eastAsiaTheme="majorEastAsia" w:hAnsi="Arial Narrow" w:cstheme="majorBidi"/>
                <w:sz w:val="20"/>
                <w:szCs w:val="20"/>
                <w:lang w:eastAsia="en-US" w:bidi="en-US"/>
              </w:rPr>
              <w:t xml:space="preserve"> Net cost to PBS/RPBS of Remicade</w:t>
            </w:r>
          </w:p>
        </w:tc>
        <w:tc>
          <w:tcPr>
            <w:tcW w:w="1233"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r>
      <w:tr w:rsidR="000934C2" w:rsidRPr="003365D6" w:rsidTr="004D1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268" w:type="dxa"/>
            <w:gridSpan w:val="2"/>
            <w:shd w:val="clear" w:color="auto" w:fill="auto"/>
            <w:hideMark/>
          </w:tcPr>
          <w:p w:rsidR="000934C2" w:rsidRPr="003365D6" w:rsidRDefault="000934C2" w:rsidP="004D181C">
            <w:pPr>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b/>
                <w:sz w:val="20"/>
                <w:szCs w:val="20"/>
                <w:lang w:eastAsia="en-US" w:bidi="en-US"/>
              </w:rPr>
              <w:t>With Inflectra listing:</w:t>
            </w:r>
            <w:r w:rsidRPr="003365D6">
              <w:rPr>
                <w:rFonts w:ascii="Arial Narrow" w:eastAsiaTheme="majorEastAsia" w:hAnsi="Arial Narrow" w:cstheme="majorBidi"/>
                <w:b/>
                <w:sz w:val="20"/>
                <w:szCs w:val="20"/>
                <w:lang w:eastAsia="en-US" w:bidi="en-US"/>
              </w:rPr>
              <w:br/>
            </w:r>
            <w:r w:rsidRPr="003365D6">
              <w:rPr>
                <w:rFonts w:ascii="Arial Narrow" w:eastAsiaTheme="majorEastAsia" w:hAnsi="Arial Narrow" w:cstheme="majorBidi"/>
                <w:sz w:val="20"/>
                <w:szCs w:val="20"/>
                <w:lang w:eastAsia="en-US" w:bidi="en-US"/>
              </w:rPr>
              <w:t>Net cost to PBS/RPBS of Inflectra and Remicade</w:t>
            </w:r>
          </w:p>
        </w:tc>
        <w:tc>
          <w:tcPr>
            <w:tcW w:w="1233"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sz w:val="20"/>
                <w:szCs w:val="22"/>
                <w:lang w:eastAsia="en-US" w:bidi="en-US"/>
              </w:rPr>
              <w:t>$</w:t>
            </w:r>
            <w:r w:rsidR="00D16AF1">
              <w:rPr>
                <w:rFonts w:ascii="Arial Narrow" w:eastAsiaTheme="majorEastAsia" w:hAnsi="Arial Narrow" w:cstheme="majorBidi"/>
                <w:noProof/>
                <w:color w:val="000000"/>
                <w:sz w:val="20"/>
                <w:szCs w:val="22"/>
                <w:highlight w:val="black"/>
                <w:lang w:eastAsia="en-US" w:bidi="en-US"/>
              </w:rPr>
              <w:t>'''''''''''''''''''''''''''''''</w:t>
            </w:r>
          </w:p>
        </w:tc>
      </w:tr>
      <w:tr w:rsidR="000934C2" w:rsidRPr="003365D6" w:rsidTr="004D1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268" w:type="dxa"/>
            <w:gridSpan w:val="2"/>
            <w:shd w:val="clear" w:color="auto" w:fill="auto"/>
            <w:hideMark/>
          </w:tcPr>
          <w:p w:rsidR="000934C2" w:rsidRPr="003365D6" w:rsidRDefault="000934C2" w:rsidP="004D181C">
            <w:pPr>
              <w:rPr>
                <w:rFonts w:ascii="Arial Narrow" w:eastAsiaTheme="majorEastAsia" w:hAnsi="Arial Narrow" w:cstheme="majorBidi"/>
                <w:sz w:val="20"/>
                <w:szCs w:val="20"/>
                <w:lang w:eastAsia="en-US" w:bidi="en-US"/>
              </w:rPr>
            </w:pPr>
            <w:r w:rsidRPr="003365D6">
              <w:rPr>
                <w:rFonts w:ascii="Arial Narrow" w:eastAsiaTheme="majorEastAsia" w:hAnsi="Arial Narrow" w:cstheme="majorBidi"/>
                <w:b/>
                <w:sz w:val="20"/>
                <w:szCs w:val="20"/>
                <w:lang w:eastAsia="en-US" w:bidi="en-US"/>
              </w:rPr>
              <w:t>Total savings to PBS/RPBS with listing Inflectra</w:t>
            </w:r>
            <w:r w:rsidRPr="003365D6">
              <w:rPr>
                <w:rFonts w:ascii="Arial Narrow" w:eastAsiaTheme="majorEastAsia" w:hAnsi="Arial Narrow" w:cstheme="majorBidi"/>
                <w:sz w:val="20"/>
                <w:szCs w:val="20"/>
                <w:lang w:eastAsia="en-US" w:bidi="en-US"/>
              </w:rPr>
              <w:t xml:space="preserve"> </w:t>
            </w:r>
          </w:p>
        </w:tc>
        <w:tc>
          <w:tcPr>
            <w:tcW w:w="1233" w:type="dxa"/>
            <w:shd w:val="clear" w:color="auto" w:fill="auto"/>
            <w:noWrap/>
            <w:vAlign w:val="center"/>
            <w:hideMark/>
          </w:tcPr>
          <w:p w:rsidR="000934C2" w:rsidRPr="003365D6" w:rsidRDefault="000934C2" w:rsidP="004D181C">
            <w:pPr>
              <w:jc w:val="right"/>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2"/>
                <w:lang w:eastAsia="en-US" w:bidi="en-US"/>
              </w:rPr>
              <w:t>$</w:t>
            </w:r>
            <w:r w:rsidR="00D16AF1">
              <w:rPr>
                <w:rFonts w:ascii="Arial Narrow" w:eastAsiaTheme="majorEastAsia" w:hAnsi="Arial Narrow" w:cstheme="majorBidi"/>
                <w:b/>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2"/>
                <w:lang w:eastAsia="en-US" w:bidi="en-US"/>
              </w:rPr>
              <w:t>$</w:t>
            </w:r>
            <w:r w:rsidR="00D16AF1">
              <w:rPr>
                <w:rFonts w:ascii="Arial Narrow" w:eastAsiaTheme="majorEastAsia" w:hAnsi="Arial Narrow" w:cstheme="majorBidi"/>
                <w:b/>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2"/>
                <w:lang w:eastAsia="en-US" w:bidi="en-US"/>
              </w:rPr>
              <w:t>$</w:t>
            </w:r>
            <w:r w:rsidR="00D16AF1">
              <w:rPr>
                <w:rFonts w:ascii="Arial Narrow" w:eastAsiaTheme="majorEastAsia" w:hAnsi="Arial Narrow" w:cstheme="majorBidi"/>
                <w:b/>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2"/>
                <w:lang w:eastAsia="en-US" w:bidi="en-US"/>
              </w:rPr>
              <w:t>$</w:t>
            </w:r>
            <w:r w:rsidR="00D16AF1">
              <w:rPr>
                <w:rFonts w:ascii="Arial Narrow" w:eastAsiaTheme="majorEastAsia" w:hAnsi="Arial Narrow" w:cstheme="majorBidi"/>
                <w:b/>
                <w:noProof/>
                <w:color w:val="000000"/>
                <w:sz w:val="20"/>
                <w:szCs w:val="22"/>
                <w:highlight w:val="black"/>
                <w:lang w:eastAsia="en-US" w:bidi="en-US"/>
              </w:rPr>
              <w:t>'''''''''''''''''''''</w:t>
            </w:r>
          </w:p>
        </w:tc>
        <w:tc>
          <w:tcPr>
            <w:tcW w:w="1251" w:type="dxa"/>
            <w:shd w:val="clear" w:color="auto" w:fill="auto"/>
            <w:noWrap/>
            <w:vAlign w:val="center"/>
            <w:hideMark/>
          </w:tcPr>
          <w:p w:rsidR="000934C2" w:rsidRPr="003365D6" w:rsidRDefault="000934C2" w:rsidP="004D181C">
            <w:pPr>
              <w:jc w:val="right"/>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2"/>
                <w:lang w:eastAsia="en-US" w:bidi="en-US"/>
              </w:rPr>
              <w:t>$</w:t>
            </w:r>
            <w:r w:rsidR="00D16AF1">
              <w:rPr>
                <w:rFonts w:ascii="Arial Narrow" w:eastAsiaTheme="majorEastAsia" w:hAnsi="Arial Narrow" w:cstheme="majorBidi"/>
                <w:b/>
                <w:noProof/>
                <w:color w:val="000000"/>
                <w:sz w:val="20"/>
                <w:szCs w:val="22"/>
                <w:highlight w:val="black"/>
                <w:lang w:eastAsia="en-US" w:bidi="en-US"/>
              </w:rPr>
              <w:t>'''''''''''''''''''''</w:t>
            </w:r>
          </w:p>
        </w:tc>
      </w:tr>
      <w:tr w:rsidR="000934C2" w:rsidRPr="003365D6" w:rsidTr="004D1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2268" w:type="dxa"/>
            <w:gridSpan w:val="2"/>
            <w:shd w:val="clear" w:color="auto" w:fill="auto"/>
            <w:vAlign w:val="center"/>
            <w:hideMark/>
          </w:tcPr>
          <w:p w:rsidR="000934C2" w:rsidRPr="003365D6" w:rsidRDefault="000934C2" w:rsidP="004D181C">
            <w:pP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0"/>
                <w:lang w:eastAsia="en-US" w:bidi="en-US"/>
              </w:rPr>
              <w:t xml:space="preserve">Total savings over 5 years </w:t>
            </w:r>
          </w:p>
        </w:tc>
        <w:tc>
          <w:tcPr>
            <w:tcW w:w="6237" w:type="dxa"/>
            <w:gridSpan w:val="5"/>
            <w:shd w:val="clear" w:color="auto" w:fill="auto"/>
            <w:noWrap/>
            <w:vAlign w:val="center"/>
            <w:hideMark/>
          </w:tcPr>
          <w:p w:rsidR="000934C2" w:rsidRPr="003365D6" w:rsidRDefault="000934C2" w:rsidP="004D181C">
            <w:pPr>
              <w:jc w:val="center"/>
              <w:rPr>
                <w:rFonts w:ascii="Arial Narrow" w:eastAsiaTheme="majorEastAsia" w:hAnsi="Arial Narrow" w:cstheme="majorBidi"/>
                <w:b/>
                <w:sz w:val="20"/>
                <w:szCs w:val="20"/>
                <w:lang w:eastAsia="en-US" w:bidi="en-US"/>
              </w:rPr>
            </w:pPr>
            <w:r w:rsidRPr="003365D6">
              <w:rPr>
                <w:rFonts w:ascii="Arial Narrow" w:eastAsiaTheme="majorEastAsia" w:hAnsi="Arial Narrow" w:cstheme="majorBidi"/>
                <w:b/>
                <w:sz w:val="20"/>
                <w:szCs w:val="22"/>
                <w:lang w:eastAsia="en-US" w:bidi="en-US"/>
              </w:rPr>
              <w:t>$</w:t>
            </w:r>
            <w:r w:rsidR="00D16AF1">
              <w:rPr>
                <w:rFonts w:ascii="Arial Narrow" w:eastAsiaTheme="majorEastAsia" w:hAnsi="Arial Narrow" w:cstheme="majorBidi"/>
                <w:b/>
                <w:noProof/>
                <w:color w:val="000000"/>
                <w:sz w:val="20"/>
                <w:szCs w:val="22"/>
                <w:highlight w:val="black"/>
                <w:lang w:eastAsia="en-US" w:bidi="en-US"/>
              </w:rPr>
              <w:t>''''''''''''''''''''''''</w:t>
            </w:r>
          </w:p>
        </w:tc>
      </w:tr>
    </w:tbl>
    <w:p w:rsidR="00DA1992" w:rsidRDefault="00DA1992" w:rsidP="00DA1992">
      <w:pPr>
        <w:ind w:firstLine="720"/>
        <w:jc w:val="both"/>
        <w:rPr>
          <w:rFonts w:ascii="Arial" w:hAnsi="Arial"/>
          <w:i/>
          <w:sz w:val="22"/>
          <w:szCs w:val="22"/>
        </w:rPr>
      </w:pPr>
    </w:p>
    <w:p w:rsidR="0082175B" w:rsidRPr="003365D6" w:rsidRDefault="0082175B" w:rsidP="00DA1992">
      <w:pPr>
        <w:ind w:firstLine="720"/>
        <w:jc w:val="both"/>
        <w:rPr>
          <w:i/>
        </w:rPr>
      </w:pPr>
      <w:r w:rsidRPr="003365D6">
        <w:rPr>
          <w:rFonts w:ascii="Arial" w:hAnsi="Arial"/>
          <w:i/>
          <w:sz w:val="22"/>
          <w:szCs w:val="22"/>
        </w:rPr>
        <w:t>For more detail on PBAC’s view, see section 7 “PBAC outcome”</w:t>
      </w:r>
    </w:p>
    <w:p w:rsidR="0082175B" w:rsidRPr="003365D6" w:rsidRDefault="0082175B" w:rsidP="009B6133">
      <w:pPr>
        <w:pStyle w:val="ListParagraph"/>
        <w:jc w:val="both"/>
        <w:rPr>
          <w:rFonts w:ascii="Arial" w:hAnsi="Arial"/>
          <w:sz w:val="22"/>
          <w:szCs w:val="22"/>
        </w:rPr>
      </w:pPr>
    </w:p>
    <w:p w:rsidR="007A553F" w:rsidRPr="003365D6" w:rsidRDefault="007A553F" w:rsidP="007A553F">
      <w:pPr>
        <w:widowControl w:val="0"/>
        <w:jc w:val="both"/>
        <w:rPr>
          <w:rFonts w:ascii="Arial" w:hAnsi="Arial" w:cs="Arial"/>
          <w:b/>
          <w:bCs/>
          <w:snapToGrid w:val="0"/>
          <w:sz w:val="22"/>
          <w:szCs w:val="22"/>
        </w:rPr>
      </w:pPr>
    </w:p>
    <w:p w:rsidR="007A553F" w:rsidRPr="003365D6" w:rsidRDefault="007A553F" w:rsidP="007A553F">
      <w:pPr>
        <w:widowControl w:val="0"/>
        <w:numPr>
          <w:ilvl w:val="0"/>
          <w:numId w:val="2"/>
        </w:numPr>
        <w:jc w:val="both"/>
        <w:rPr>
          <w:rFonts w:ascii="Arial" w:hAnsi="Arial" w:cs="Arial"/>
          <w:b/>
          <w:bCs/>
          <w:snapToGrid w:val="0"/>
          <w:sz w:val="22"/>
          <w:szCs w:val="22"/>
        </w:rPr>
      </w:pPr>
      <w:r w:rsidRPr="003365D6">
        <w:rPr>
          <w:rFonts w:ascii="Arial" w:hAnsi="Arial" w:cs="Arial"/>
          <w:b/>
          <w:bCs/>
          <w:snapToGrid w:val="0"/>
          <w:sz w:val="22"/>
          <w:szCs w:val="22"/>
        </w:rPr>
        <w:t>PBAC Outcome</w:t>
      </w:r>
    </w:p>
    <w:p w:rsidR="007A553F" w:rsidRPr="00626C74" w:rsidRDefault="007A553F" w:rsidP="007A553F">
      <w:pPr>
        <w:contextualSpacing/>
        <w:jc w:val="both"/>
        <w:rPr>
          <w:rFonts w:ascii="Arial" w:hAnsi="Arial" w:cs="Arial"/>
          <w:b/>
          <w:bCs/>
          <w:snapToGrid w:val="0"/>
          <w:sz w:val="22"/>
          <w:szCs w:val="22"/>
          <w:lang w:val="en-GB"/>
        </w:rPr>
      </w:pPr>
    </w:p>
    <w:p w:rsidR="009B104D" w:rsidRPr="003365D6" w:rsidRDefault="007A553F" w:rsidP="007A553F">
      <w:pPr>
        <w:widowControl w:val="0"/>
        <w:numPr>
          <w:ilvl w:val="1"/>
          <w:numId w:val="2"/>
        </w:numPr>
        <w:contextualSpacing/>
        <w:jc w:val="both"/>
        <w:rPr>
          <w:rFonts w:ascii="Arial" w:hAnsi="Arial" w:cs="Arial"/>
          <w:bCs/>
          <w:snapToGrid w:val="0"/>
          <w:sz w:val="22"/>
          <w:szCs w:val="22"/>
          <w:lang w:val="en-GB"/>
        </w:rPr>
      </w:pPr>
      <w:r w:rsidRPr="003365D6">
        <w:rPr>
          <w:rFonts w:ascii="Arial" w:hAnsi="Arial" w:cs="Arial"/>
          <w:bCs/>
          <w:snapToGrid w:val="0"/>
          <w:sz w:val="22"/>
          <w:szCs w:val="22"/>
          <w:lang w:val="en-GB"/>
        </w:rPr>
        <w:t>The PBAC recommended the listing of infliximab (Inflectra) as a biosimilar of infliximab (Remicade)</w:t>
      </w:r>
      <w:r w:rsidRPr="0015219D">
        <w:rPr>
          <w:rFonts w:ascii="Arial" w:hAnsi="Arial" w:cs="Arial"/>
          <w:bCs/>
          <w:snapToGrid w:val="0"/>
          <w:sz w:val="22"/>
          <w:szCs w:val="22"/>
          <w:lang w:val="en-GB"/>
        </w:rPr>
        <w:t>, on a cost-minimisation basis</w:t>
      </w:r>
      <w:r w:rsidR="00976BC7" w:rsidRPr="0015219D">
        <w:rPr>
          <w:rFonts w:ascii="Arial" w:hAnsi="Arial" w:cs="Arial"/>
          <w:bCs/>
          <w:snapToGrid w:val="0"/>
          <w:sz w:val="22"/>
          <w:szCs w:val="22"/>
          <w:lang w:val="en-GB"/>
        </w:rPr>
        <w:t xml:space="preserve"> to infliximab (Remicade)</w:t>
      </w:r>
      <w:r w:rsidRPr="003365D6">
        <w:rPr>
          <w:rFonts w:ascii="Arial" w:hAnsi="Arial" w:cs="Arial"/>
          <w:bCs/>
          <w:snapToGrid w:val="0"/>
          <w:sz w:val="22"/>
          <w:szCs w:val="22"/>
          <w:lang w:val="en-GB"/>
        </w:rPr>
        <w:t xml:space="preserve">, where the equi-effective doses </w:t>
      </w:r>
      <w:r w:rsidR="00593984" w:rsidRPr="003365D6">
        <w:rPr>
          <w:rFonts w:ascii="Arial" w:hAnsi="Arial" w:cs="Arial"/>
          <w:bCs/>
          <w:snapToGrid w:val="0"/>
          <w:sz w:val="22"/>
          <w:szCs w:val="22"/>
          <w:lang w:val="en-GB"/>
        </w:rPr>
        <w:t>are</w:t>
      </w:r>
      <w:r w:rsidRPr="003365D6">
        <w:rPr>
          <w:rFonts w:ascii="Arial" w:hAnsi="Arial" w:cs="Arial"/>
          <w:bCs/>
          <w:snapToGrid w:val="0"/>
          <w:sz w:val="22"/>
          <w:szCs w:val="22"/>
          <w:lang w:val="en-GB"/>
        </w:rPr>
        <w:t xml:space="preserve"> 1</w:t>
      </w:r>
      <w:r w:rsidR="00EB7797" w:rsidRPr="003365D6">
        <w:rPr>
          <w:rFonts w:ascii="Arial" w:hAnsi="Arial" w:cs="Arial"/>
          <w:bCs/>
          <w:snapToGrid w:val="0"/>
          <w:sz w:val="22"/>
          <w:szCs w:val="22"/>
          <w:lang w:val="en-GB"/>
        </w:rPr>
        <w:t>00</w:t>
      </w:r>
      <w:r w:rsidRPr="003365D6">
        <w:rPr>
          <w:rFonts w:ascii="Arial" w:hAnsi="Arial" w:cs="Arial"/>
          <w:bCs/>
          <w:snapToGrid w:val="0"/>
          <w:sz w:val="22"/>
          <w:szCs w:val="22"/>
          <w:lang w:val="en-GB"/>
        </w:rPr>
        <w:t xml:space="preserve"> mg infliximab (Inflectra) </w:t>
      </w:r>
      <w:r w:rsidR="00593984" w:rsidRPr="003365D6">
        <w:rPr>
          <w:rFonts w:ascii="Arial" w:hAnsi="Arial" w:cs="Arial"/>
          <w:bCs/>
          <w:snapToGrid w:val="0"/>
          <w:sz w:val="22"/>
          <w:szCs w:val="22"/>
          <w:lang w:val="en-GB"/>
        </w:rPr>
        <w:t>and</w:t>
      </w:r>
      <w:r w:rsidR="00EB7797" w:rsidRPr="003365D6">
        <w:rPr>
          <w:rFonts w:ascii="Arial" w:hAnsi="Arial" w:cs="Arial"/>
          <w:bCs/>
          <w:snapToGrid w:val="0"/>
          <w:sz w:val="22"/>
          <w:szCs w:val="22"/>
          <w:lang w:val="en-GB"/>
        </w:rPr>
        <w:t xml:space="preserve"> 100 mg infliximab (Remicade). The PBAC recommended that the same </w:t>
      </w:r>
      <w:r w:rsidR="00441ED9">
        <w:rPr>
          <w:rFonts w:ascii="Arial" w:hAnsi="Arial" w:cs="Arial"/>
          <w:bCs/>
          <w:snapToGrid w:val="0"/>
          <w:sz w:val="22"/>
          <w:szCs w:val="22"/>
          <w:lang w:val="en-GB"/>
        </w:rPr>
        <w:t>indications</w:t>
      </w:r>
      <w:r w:rsidR="00EB7797" w:rsidRPr="003365D6">
        <w:rPr>
          <w:rFonts w:ascii="Arial" w:hAnsi="Arial" w:cs="Arial"/>
          <w:bCs/>
          <w:snapToGrid w:val="0"/>
          <w:sz w:val="22"/>
          <w:szCs w:val="22"/>
          <w:lang w:val="en-GB"/>
        </w:rPr>
        <w:t xml:space="preserve"> that app</w:t>
      </w:r>
      <w:r w:rsidR="00861B35" w:rsidRPr="003365D6">
        <w:rPr>
          <w:rFonts w:ascii="Arial" w:hAnsi="Arial" w:cs="Arial"/>
          <w:bCs/>
          <w:snapToGrid w:val="0"/>
          <w:sz w:val="22"/>
          <w:szCs w:val="22"/>
          <w:lang w:val="en-GB"/>
        </w:rPr>
        <w:t>ly</w:t>
      </w:r>
      <w:r w:rsidR="00EB7797" w:rsidRPr="003365D6">
        <w:rPr>
          <w:rFonts w:ascii="Arial" w:hAnsi="Arial" w:cs="Arial"/>
          <w:bCs/>
          <w:snapToGrid w:val="0"/>
          <w:sz w:val="22"/>
          <w:szCs w:val="22"/>
          <w:lang w:val="en-GB"/>
        </w:rPr>
        <w:t xml:space="preserve"> to infliximab (Remicade) should apply to infliximab (Inflectra). </w:t>
      </w:r>
      <w:r w:rsidR="00A97B0B" w:rsidRPr="003365D6">
        <w:rPr>
          <w:rFonts w:ascii="Arial" w:hAnsi="Arial" w:cs="Arial"/>
          <w:bCs/>
          <w:snapToGrid w:val="0"/>
          <w:sz w:val="22"/>
          <w:szCs w:val="22"/>
          <w:lang w:val="en-GB"/>
        </w:rPr>
        <w:t xml:space="preserve">All listings for Remicade are currently under the Section 100 Highly Specialised Drugs Program and </w:t>
      </w:r>
      <w:r w:rsidR="001B1B04" w:rsidRPr="003365D6">
        <w:rPr>
          <w:rFonts w:ascii="Arial" w:hAnsi="Arial" w:cs="Arial"/>
          <w:bCs/>
          <w:snapToGrid w:val="0"/>
          <w:sz w:val="22"/>
          <w:szCs w:val="22"/>
          <w:lang w:val="en-GB"/>
        </w:rPr>
        <w:t xml:space="preserve">the </w:t>
      </w:r>
      <w:r w:rsidR="00A97B0B" w:rsidRPr="003365D6">
        <w:rPr>
          <w:rFonts w:ascii="Arial" w:hAnsi="Arial" w:cs="Arial"/>
          <w:bCs/>
          <w:snapToGrid w:val="0"/>
          <w:sz w:val="22"/>
          <w:szCs w:val="22"/>
          <w:lang w:val="en-GB"/>
        </w:rPr>
        <w:t>current</w:t>
      </w:r>
      <w:r w:rsidR="001B1B04" w:rsidRPr="003365D6">
        <w:rPr>
          <w:rFonts w:ascii="Arial" w:hAnsi="Arial" w:cs="Arial"/>
          <w:bCs/>
          <w:snapToGrid w:val="0"/>
          <w:sz w:val="22"/>
          <w:szCs w:val="22"/>
          <w:lang w:val="en-GB"/>
        </w:rPr>
        <w:t xml:space="preserve"> PBS indications</w:t>
      </w:r>
      <w:r w:rsidR="00A97B0B" w:rsidRPr="003365D6">
        <w:rPr>
          <w:rFonts w:ascii="Arial" w:hAnsi="Arial" w:cs="Arial"/>
          <w:bCs/>
          <w:snapToGrid w:val="0"/>
          <w:sz w:val="22"/>
          <w:szCs w:val="22"/>
          <w:lang w:val="en-GB"/>
        </w:rPr>
        <w:t xml:space="preserve"> are</w:t>
      </w:r>
      <w:r w:rsidR="001B1B04" w:rsidRPr="003365D6">
        <w:rPr>
          <w:rFonts w:ascii="Arial" w:hAnsi="Arial" w:cs="Arial"/>
          <w:bCs/>
          <w:snapToGrid w:val="0"/>
          <w:sz w:val="22"/>
          <w:szCs w:val="22"/>
          <w:lang w:val="en-GB"/>
        </w:rPr>
        <w:t>:</w:t>
      </w:r>
    </w:p>
    <w:p w:rsidR="001B1B04" w:rsidRPr="003365D6" w:rsidRDefault="001B1B04" w:rsidP="001B1B04">
      <w:pPr>
        <w:pStyle w:val="ListParagraph"/>
        <w:numPr>
          <w:ilvl w:val="2"/>
          <w:numId w:val="2"/>
        </w:numPr>
        <w:jc w:val="both"/>
        <w:rPr>
          <w:rFonts w:ascii="Arial" w:hAnsi="Arial"/>
          <w:sz w:val="22"/>
          <w:szCs w:val="22"/>
        </w:rPr>
      </w:pPr>
      <w:r w:rsidRPr="003365D6">
        <w:rPr>
          <w:rFonts w:ascii="Arial" w:hAnsi="Arial"/>
          <w:sz w:val="22"/>
          <w:szCs w:val="22"/>
        </w:rPr>
        <w:t>Acute severe ulcerative colitis</w:t>
      </w:r>
    </w:p>
    <w:p w:rsidR="001B1B04" w:rsidRPr="003365D6" w:rsidRDefault="001B1B04" w:rsidP="001B1B04">
      <w:pPr>
        <w:pStyle w:val="ListParagraph"/>
        <w:numPr>
          <w:ilvl w:val="2"/>
          <w:numId w:val="2"/>
        </w:numPr>
        <w:jc w:val="both"/>
        <w:rPr>
          <w:rFonts w:ascii="Arial" w:hAnsi="Arial"/>
          <w:sz w:val="22"/>
          <w:szCs w:val="22"/>
        </w:rPr>
      </w:pPr>
      <w:r w:rsidRPr="003365D6">
        <w:rPr>
          <w:rFonts w:ascii="Arial" w:hAnsi="Arial"/>
          <w:sz w:val="22"/>
          <w:szCs w:val="22"/>
        </w:rPr>
        <w:t>Moderate to severe ulcerative colitis</w:t>
      </w:r>
    </w:p>
    <w:p w:rsidR="001B1B04" w:rsidRPr="003365D6" w:rsidRDefault="001B1B04" w:rsidP="001B1B04">
      <w:pPr>
        <w:pStyle w:val="ListParagraph"/>
        <w:numPr>
          <w:ilvl w:val="2"/>
          <w:numId w:val="2"/>
        </w:numPr>
        <w:jc w:val="both"/>
        <w:rPr>
          <w:rFonts w:ascii="Arial" w:hAnsi="Arial"/>
          <w:sz w:val="22"/>
          <w:szCs w:val="22"/>
        </w:rPr>
      </w:pPr>
      <w:r w:rsidRPr="003365D6">
        <w:rPr>
          <w:rFonts w:ascii="Arial" w:hAnsi="Arial"/>
          <w:sz w:val="22"/>
          <w:szCs w:val="22"/>
        </w:rPr>
        <w:t>Severe refractory Crohn’s disease</w:t>
      </w:r>
    </w:p>
    <w:p w:rsidR="001B1B04" w:rsidRPr="003365D6" w:rsidRDefault="001B1B04" w:rsidP="001B1B04">
      <w:pPr>
        <w:pStyle w:val="ListParagraph"/>
        <w:numPr>
          <w:ilvl w:val="2"/>
          <w:numId w:val="2"/>
        </w:numPr>
        <w:jc w:val="both"/>
        <w:rPr>
          <w:rFonts w:ascii="Arial" w:hAnsi="Arial"/>
          <w:sz w:val="22"/>
          <w:szCs w:val="22"/>
        </w:rPr>
      </w:pPr>
      <w:r w:rsidRPr="003365D6">
        <w:rPr>
          <w:rFonts w:ascii="Arial" w:hAnsi="Arial"/>
          <w:sz w:val="22"/>
          <w:szCs w:val="22"/>
        </w:rPr>
        <w:t>Refractory fistulising Crohn’s disease</w:t>
      </w:r>
    </w:p>
    <w:p w:rsidR="001B1B04" w:rsidRPr="003365D6" w:rsidRDefault="005A0E36" w:rsidP="001B1B04">
      <w:pPr>
        <w:pStyle w:val="ListParagraph"/>
        <w:numPr>
          <w:ilvl w:val="2"/>
          <w:numId w:val="2"/>
        </w:numPr>
        <w:jc w:val="both"/>
        <w:rPr>
          <w:rFonts w:ascii="Arial" w:hAnsi="Arial"/>
          <w:sz w:val="22"/>
          <w:szCs w:val="22"/>
        </w:rPr>
      </w:pPr>
      <w:r w:rsidRPr="003365D6">
        <w:rPr>
          <w:rFonts w:ascii="Arial" w:hAnsi="Arial"/>
          <w:sz w:val="22"/>
          <w:szCs w:val="22"/>
        </w:rPr>
        <w:t>Severe active</w:t>
      </w:r>
      <w:r w:rsidR="001B1B04" w:rsidRPr="003365D6">
        <w:rPr>
          <w:rFonts w:ascii="Arial" w:hAnsi="Arial"/>
          <w:sz w:val="22"/>
          <w:szCs w:val="22"/>
        </w:rPr>
        <w:t xml:space="preserve"> rheumatoid arthritis</w:t>
      </w:r>
    </w:p>
    <w:p w:rsidR="001B1B04" w:rsidRPr="003365D6" w:rsidRDefault="001B1B04" w:rsidP="001B1B04">
      <w:pPr>
        <w:pStyle w:val="ListParagraph"/>
        <w:numPr>
          <w:ilvl w:val="2"/>
          <w:numId w:val="2"/>
        </w:numPr>
        <w:jc w:val="both"/>
        <w:rPr>
          <w:rFonts w:ascii="Arial" w:hAnsi="Arial"/>
          <w:sz w:val="22"/>
          <w:szCs w:val="22"/>
        </w:rPr>
      </w:pPr>
      <w:r w:rsidRPr="003365D6">
        <w:rPr>
          <w:rFonts w:ascii="Arial" w:hAnsi="Arial"/>
          <w:sz w:val="22"/>
          <w:szCs w:val="22"/>
        </w:rPr>
        <w:t>Active ankylosing spondylitis</w:t>
      </w:r>
    </w:p>
    <w:p w:rsidR="001B1B04" w:rsidRPr="003365D6" w:rsidRDefault="001B1B04" w:rsidP="001B1B04">
      <w:pPr>
        <w:pStyle w:val="ListParagraph"/>
        <w:numPr>
          <w:ilvl w:val="2"/>
          <w:numId w:val="2"/>
        </w:numPr>
        <w:jc w:val="both"/>
        <w:rPr>
          <w:rFonts w:ascii="Arial" w:hAnsi="Arial"/>
          <w:sz w:val="22"/>
          <w:szCs w:val="22"/>
        </w:rPr>
      </w:pPr>
      <w:r w:rsidRPr="003365D6">
        <w:rPr>
          <w:rFonts w:ascii="Arial" w:hAnsi="Arial"/>
          <w:sz w:val="22"/>
          <w:szCs w:val="22"/>
        </w:rPr>
        <w:t>Severe active psoriatic arthritis</w:t>
      </w:r>
    </w:p>
    <w:p w:rsidR="001B1B04" w:rsidRPr="003365D6" w:rsidRDefault="001B1B04" w:rsidP="008A5638">
      <w:pPr>
        <w:pStyle w:val="ListParagraph"/>
        <w:numPr>
          <w:ilvl w:val="2"/>
          <w:numId w:val="2"/>
        </w:numPr>
        <w:jc w:val="both"/>
        <w:rPr>
          <w:rFonts w:ascii="Arial" w:hAnsi="Arial"/>
          <w:sz w:val="22"/>
          <w:szCs w:val="22"/>
        </w:rPr>
      </w:pPr>
      <w:r w:rsidRPr="003365D6">
        <w:rPr>
          <w:rFonts w:ascii="Arial" w:hAnsi="Arial"/>
          <w:sz w:val="22"/>
          <w:szCs w:val="22"/>
        </w:rPr>
        <w:t>Severe chronic plaque psoriasis</w:t>
      </w:r>
    </w:p>
    <w:p w:rsidR="009B104D" w:rsidRPr="003365D6" w:rsidRDefault="009B104D" w:rsidP="009B104D">
      <w:pPr>
        <w:widowControl w:val="0"/>
        <w:ind w:left="720"/>
        <w:contextualSpacing/>
        <w:jc w:val="both"/>
        <w:rPr>
          <w:rFonts w:ascii="Arial" w:hAnsi="Arial" w:cs="Arial"/>
          <w:bCs/>
          <w:snapToGrid w:val="0"/>
          <w:sz w:val="22"/>
          <w:szCs w:val="22"/>
          <w:lang w:val="en-GB"/>
        </w:rPr>
      </w:pPr>
    </w:p>
    <w:p w:rsidR="003825A3" w:rsidRPr="003365D6" w:rsidRDefault="009B104D" w:rsidP="00AE69D3">
      <w:pPr>
        <w:widowControl w:val="0"/>
        <w:numPr>
          <w:ilvl w:val="1"/>
          <w:numId w:val="2"/>
        </w:numPr>
        <w:contextualSpacing/>
        <w:jc w:val="both"/>
        <w:rPr>
          <w:rFonts w:ascii="Arial" w:hAnsi="Arial" w:cs="Arial"/>
          <w:bCs/>
          <w:snapToGrid w:val="0"/>
          <w:sz w:val="22"/>
          <w:szCs w:val="22"/>
          <w:lang w:val="en-GB"/>
        </w:rPr>
      </w:pPr>
      <w:r w:rsidRPr="003365D6">
        <w:rPr>
          <w:rFonts w:ascii="Arial" w:hAnsi="Arial" w:cs="Arial"/>
          <w:bCs/>
          <w:snapToGrid w:val="0"/>
          <w:sz w:val="22"/>
          <w:szCs w:val="22"/>
          <w:lang w:val="en-GB"/>
        </w:rPr>
        <w:t xml:space="preserve">The PBAC considered that </w:t>
      </w:r>
      <w:r w:rsidR="000A075D" w:rsidRPr="003365D6">
        <w:rPr>
          <w:rFonts w:ascii="Arial" w:hAnsi="Arial" w:cs="Arial"/>
          <w:bCs/>
          <w:snapToGrid w:val="0"/>
          <w:sz w:val="22"/>
          <w:szCs w:val="22"/>
          <w:lang w:val="en-GB"/>
        </w:rPr>
        <w:t>a</w:t>
      </w:r>
      <w:r w:rsidRPr="003365D6">
        <w:rPr>
          <w:rFonts w:ascii="Arial" w:hAnsi="Arial" w:cs="Arial"/>
          <w:bCs/>
          <w:snapToGrid w:val="0"/>
          <w:sz w:val="22"/>
          <w:szCs w:val="22"/>
          <w:lang w:val="en-GB"/>
        </w:rPr>
        <w:t xml:space="preserve"> claim of non-inferior comparative effectiveness and non-inferior comparative safety was adequately supported. The PBAC noted that the ACPM was satisfied that the submitted data showed that Inflectra is similar to Remicade in terms of efficacy and safety, </w:t>
      </w:r>
      <w:r w:rsidR="00AE69D3" w:rsidRPr="003365D6">
        <w:rPr>
          <w:rFonts w:ascii="Arial" w:hAnsi="Arial" w:cs="Arial"/>
          <w:bCs/>
          <w:snapToGrid w:val="0"/>
          <w:sz w:val="22"/>
          <w:szCs w:val="22"/>
          <w:lang w:val="en-GB"/>
        </w:rPr>
        <w:t>further noting that the ACPM stated there were sufficient data to declare Inflectra a biosimilar for Remicade</w:t>
      </w:r>
      <w:r w:rsidRPr="003365D6">
        <w:rPr>
          <w:rFonts w:ascii="Arial" w:hAnsi="Arial" w:cs="Arial"/>
          <w:bCs/>
          <w:snapToGrid w:val="0"/>
          <w:sz w:val="22"/>
          <w:szCs w:val="22"/>
          <w:lang w:val="en-GB"/>
        </w:rPr>
        <w:t>.</w:t>
      </w:r>
    </w:p>
    <w:p w:rsidR="00F04486" w:rsidRPr="003365D6" w:rsidRDefault="00F04486" w:rsidP="00F233E4">
      <w:pPr>
        <w:widowControl w:val="0"/>
        <w:ind w:left="720"/>
        <w:contextualSpacing/>
        <w:jc w:val="both"/>
        <w:rPr>
          <w:rFonts w:ascii="Arial" w:hAnsi="Arial" w:cs="Arial"/>
          <w:bCs/>
          <w:snapToGrid w:val="0"/>
          <w:sz w:val="22"/>
          <w:szCs w:val="22"/>
          <w:lang w:val="en-GB"/>
        </w:rPr>
      </w:pPr>
    </w:p>
    <w:p w:rsidR="001B0C00" w:rsidRDefault="00441ED9" w:rsidP="00441ED9">
      <w:pPr>
        <w:pStyle w:val="ListParagraph"/>
        <w:widowControl w:val="0"/>
        <w:numPr>
          <w:ilvl w:val="1"/>
          <w:numId w:val="2"/>
        </w:numPr>
        <w:jc w:val="both"/>
        <w:rPr>
          <w:rFonts w:ascii="Arial" w:hAnsi="Arial" w:cs="Arial"/>
          <w:bCs/>
          <w:snapToGrid w:val="0"/>
          <w:sz w:val="22"/>
          <w:szCs w:val="22"/>
          <w:lang w:val="en-GB"/>
        </w:rPr>
      </w:pPr>
      <w:r w:rsidRPr="00441ED9">
        <w:rPr>
          <w:rFonts w:ascii="Arial" w:hAnsi="Arial" w:cs="Arial"/>
          <w:bCs/>
          <w:snapToGrid w:val="0"/>
          <w:sz w:val="22"/>
          <w:szCs w:val="22"/>
          <w:lang w:val="en-GB"/>
        </w:rPr>
        <w:t>The PBAC advised the Minister that it considered the Remicade and Inflectra brands of infliximab could be marked as equivalent in the Schedule of Pharmaceutical Benefits (“a” flagged), for the purposes of substitution by the pharmacist at the point of dispensing. The PBAC noted that the substitution process allows for patient and prescriber choice and is not automatic. For any individual prescription, a prescriber may choose to not permit brand substitution. If on the other hand, substitution has been permitted by the prescriber, the patient may choose which brand they wish to receive from the pharmacist.</w:t>
      </w:r>
    </w:p>
    <w:p w:rsidR="00E95AAC" w:rsidRDefault="00E95AAC" w:rsidP="00E95AAC">
      <w:pPr>
        <w:pStyle w:val="ListParagraph"/>
        <w:widowControl w:val="0"/>
        <w:jc w:val="both"/>
        <w:rPr>
          <w:rFonts w:ascii="Arial" w:hAnsi="Arial" w:cs="Arial"/>
          <w:bCs/>
          <w:snapToGrid w:val="0"/>
          <w:sz w:val="22"/>
          <w:szCs w:val="22"/>
          <w:lang w:val="en-GB"/>
        </w:rPr>
      </w:pPr>
    </w:p>
    <w:p w:rsidR="00873E8E" w:rsidRPr="00F233E4" w:rsidRDefault="001B0C00" w:rsidP="001B0C00">
      <w:pPr>
        <w:widowControl w:val="0"/>
        <w:numPr>
          <w:ilvl w:val="1"/>
          <w:numId w:val="2"/>
        </w:numPr>
        <w:contextualSpacing/>
        <w:jc w:val="both"/>
        <w:rPr>
          <w:rFonts w:ascii="Arial" w:hAnsi="Arial" w:cs="Arial"/>
          <w:bCs/>
          <w:snapToGrid w:val="0"/>
          <w:sz w:val="22"/>
          <w:szCs w:val="22"/>
          <w:lang w:val="en-GB"/>
        </w:rPr>
      </w:pPr>
      <w:r w:rsidRPr="0015219D">
        <w:rPr>
          <w:rFonts w:ascii="Arial" w:hAnsi="Arial" w:cs="Arial"/>
          <w:bCs/>
          <w:snapToGrid w:val="0"/>
          <w:sz w:val="22"/>
          <w:szCs w:val="22"/>
          <w:lang w:val="en-GB"/>
        </w:rPr>
        <w:t>In forming its view on brand substitution (“a” flagging), the PBAC considered a range of factors</w:t>
      </w:r>
      <w:r w:rsidRPr="003365D6">
        <w:rPr>
          <w:rFonts w:ascii="Arial" w:hAnsi="Arial" w:cs="Arial"/>
          <w:bCs/>
          <w:snapToGrid w:val="0"/>
          <w:sz w:val="22"/>
          <w:szCs w:val="22"/>
          <w:lang w:val="en-GB"/>
        </w:rPr>
        <w:t xml:space="preserve"> including</w:t>
      </w:r>
      <w:r w:rsidR="00873E8E" w:rsidRPr="00F233E4">
        <w:rPr>
          <w:rFonts w:ascii="Arial" w:hAnsi="Arial" w:cs="Arial"/>
          <w:bCs/>
          <w:snapToGrid w:val="0"/>
          <w:sz w:val="22"/>
          <w:szCs w:val="22"/>
          <w:lang w:val="en-GB"/>
        </w:rPr>
        <w:t>:</w:t>
      </w:r>
      <w:r w:rsidR="004D20B2" w:rsidRPr="00F233E4">
        <w:rPr>
          <w:rFonts w:ascii="Arial" w:hAnsi="Arial" w:cs="Arial"/>
          <w:bCs/>
          <w:snapToGrid w:val="0"/>
          <w:sz w:val="22"/>
          <w:szCs w:val="22"/>
          <w:lang w:val="en-GB"/>
        </w:rPr>
        <w:t xml:space="preserve"> </w:t>
      </w:r>
    </w:p>
    <w:p w:rsidR="00E95AAC" w:rsidRDefault="00E95AAC" w:rsidP="00B87898">
      <w:pPr>
        <w:pStyle w:val="ListParagraph"/>
        <w:numPr>
          <w:ilvl w:val="2"/>
          <w:numId w:val="2"/>
        </w:numPr>
        <w:jc w:val="both"/>
        <w:rPr>
          <w:rFonts w:ascii="Arial" w:hAnsi="Arial" w:cs="Arial"/>
          <w:bCs/>
          <w:snapToGrid w:val="0"/>
          <w:sz w:val="22"/>
          <w:szCs w:val="22"/>
          <w:lang w:val="en-GB"/>
        </w:rPr>
      </w:pPr>
      <w:r>
        <w:rPr>
          <w:rFonts w:ascii="Arial" w:hAnsi="Arial" w:cs="Arial"/>
          <w:bCs/>
          <w:snapToGrid w:val="0"/>
          <w:sz w:val="22"/>
          <w:szCs w:val="22"/>
          <w:lang w:val="en-GB"/>
        </w:rPr>
        <w:t>There is evidence from three randomised clinical trials in treatment-naïve patients initiating on either Inflectra or Remica</w:t>
      </w:r>
      <w:r w:rsidR="000C7F7A">
        <w:rPr>
          <w:rFonts w:ascii="Arial" w:hAnsi="Arial" w:cs="Arial"/>
          <w:bCs/>
          <w:snapToGrid w:val="0"/>
          <w:sz w:val="22"/>
          <w:szCs w:val="22"/>
          <w:lang w:val="en-GB"/>
        </w:rPr>
        <w:t>d</w:t>
      </w:r>
      <w:r>
        <w:rPr>
          <w:rFonts w:ascii="Arial" w:hAnsi="Arial" w:cs="Arial"/>
          <w:bCs/>
          <w:snapToGrid w:val="0"/>
          <w:sz w:val="22"/>
          <w:szCs w:val="22"/>
          <w:lang w:val="en-GB"/>
        </w:rPr>
        <w:t>e that</w:t>
      </w:r>
      <w:r w:rsidR="00B87898" w:rsidRPr="00B87898">
        <w:rPr>
          <w:rFonts w:ascii="Arial" w:hAnsi="Arial" w:cs="Arial"/>
          <w:bCs/>
          <w:snapToGrid w:val="0"/>
          <w:sz w:val="22"/>
          <w:szCs w:val="22"/>
          <w:lang w:val="en-GB"/>
        </w:rPr>
        <w:t xml:space="preserve"> support </w:t>
      </w:r>
      <w:r>
        <w:rPr>
          <w:rFonts w:ascii="Arial" w:hAnsi="Arial" w:cs="Arial"/>
          <w:bCs/>
          <w:snapToGrid w:val="0"/>
          <w:sz w:val="22"/>
          <w:szCs w:val="22"/>
          <w:lang w:val="en-GB"/>
        </w:rPr>
        <w:t>a finding</w:t>
      </w:r>
      <w:r w:rsidR="00B87898" w:rsidRPr="00B87898">
        <w:rPr>
          <w:rFonts w:ascii="Arial" w:hAnsi="Arial" w:cs="Arial"/>
          <w:bCs/>
          <w:snapToGrid w:val="0"/>
          <w:sz w:val="22"/>
          <w:szCs w:val="22"/>
          <w:lang w:val="en-GB"/>
        </w:rPr>
        <w:t xml:space="preserve">  that Inflectra has equivalent effectiveness and equivalent safety compared to Remicade</w:t>
      </w:r>
      <w:r w:rsidR="00B87898">
        <w:rPr>
          <w:rFonts w:ascii="Arial" w:hAnsi="Arial" w:cs="Arial"/>
          <w:bCs/>
          <w:snapToGrid w:val="0"/>
          <w:sz w:val="22"/>
          <w:szCs w:val="22"/>
          <w:lang w:val="en-GB"/>
        </w:rPr>
        <w:t xml:space="preserve">. </w:t>
      </w:r>
    </w:p>
    <w:p w:rsidR="00873E8E" w:rsidRPr="00626C74" w:rsidRDefault="00873E8E" w:rsidP="00E95AAC">
      <w:pPr>
        <w:pStyle w:val="ListParagraph"/>
        <w:numPr>
          <w:ilvl w:val="2"/>
          <w:numId w:val="2"/>
        </w:numPr>
        <w:jc w:val="both"/>
        <w:rPr>
          <w:rFonts w:ascii="Arial" w:hAnsi="Arial" w:cs="Arial"/>
          <w:bCs/>
          <w:snapToGrid w:val="0"/>
          <w:sz w:val="22"/>
          <w:szCs w:val="22"/>
          <w:lang w:val="en-GB"/>
        </w:rPr>
      </w:pPr>
      <w:r w:rsidRPr="00626C74">
        <w:rPr>
          <w:rFonts w:ascii="Arial" w:hAnsi="Arial" w:cs="Arial"/>
          <w:bCs/>
          <w:snapToGrid w:val="0"/>
          <w:sz w:val="22"/>
          <w:szCs w:val="22"/>
          <w:lang w:val="en-GB"/>
        </w:rPr>
        <w:t>The key</w:t>
      </w:r>
      <w:r w:rsidR="00E95AAC">
        <w:rPr>
          <w:rFonts w:ascii="Arial" w:hAnsi="Arial" w:cs="Arial"/>
          <w:bCs/>
          <w:snapToGrid w:val="0"/>
          <w:sz w:val="22"/>
          <w:szCs w:val="22"/>
          <w:lang w:val="en-GB"/>
        </w:rPr>
        <w:t xml:space="preserve"> randomised clinical</w:t>
      </w:r>
      <w:r w:rsidRPr="00626C74">
        <w:rPr>
          <w:rFonts w:ascii="Arial" w:hAnsi="Arial" w:cs="Arial"/>
          <w:bCs/>
          <w:snapToGrid w:val="0"/>
          <w:sz w:val="22"/>
          <w:szCs w:val="22"/>
          <w:lang w:val="en-GB"/>
        </w:rPr>
        <w:t xml:space="preserve"> studies in </w:t>
      </w:r>
      <w:r w:rsidR="00943977" w:rsidRPr="00626C74">
        <w:rPr>
          <w:rFonts w:ascii="Arial" w:hAnsi="Arial" w:cs="Arial"/>
          <w:bCs/>
          <w:snapToGrid w:val="0"/>
          <w:sz w:val="22"/>
          <w:szCs w:val="22"/>
          <w:lang w:val="en-GB"/>
        </w:rPr>
        <w:t>rheumatoid arthritis</w:t>
      </w:r>
      <w:r w:rsidRPr="00626C74">
        <w:rPr>
          <w:rFonts w:ascii="Arial" w:hAnsi="Arial" w:cs="Arial"/>
          <w:bCs/>
          <w:snapToGrid w:val="0"/>
          <w:sz w:val="22"/>
          <w:szCs w:val="22"/>
          <w:lang w:val="en-GB"/>
        </w:rPr>
        <w:t xml:space="preserve"> and </w:t>
      </w:r>
      <w:r w:rsidR="00943977" w:rsidRPr="00626C74">
        <w:rPr>
          <w:rFonts w:ascii="Arial" w:hAnsi="Arial" w:cs="Arial"/>
          <w:bCs/>
          <w:snapToGrid w:val="0"/>
          <w:sz w:val="22"/>
          <w:szCs w:val="22"/>
          <w:lang w:val="en-GB"/>
        </w:rPr>
        <w:t>ankylosing spondylitis</w:t>
      </w:r>
      <w:r w:rsidRPr="00626C74">
        <w:rPr>
          <w:rFonts w:ascii="Arial" w:hAnsi="Arial" w:cs="Arial"/>
          <w:bCs/>
          <w:snapToGrid w:val="0"/>
          <w:sz w:val="22"/>
          <w:szCs w:val="22"/>
          <w:lang w:val="en-GB"/>
        </w:rPr>
        <w:t xml:space="preserve"> d</w:t>
      </w:r>
      <w:r w:rsidR="00E3545D" w:rsidRPr="00626C74">
        <w:rPr>
          <w:rFonts w:ascii="Arial" w:hAnsi="Arial" w:cs="Arial"/>
          <w:bCs/>
          <w:snapToGrid w:val="0"/>
          <w:sz w:val="22"/>
          <w:szCs w:val="22"/>
          <w:lang w:val="en-GB"/>
        </w:rPr>
        <w:t>id</w:t>
      </w:r>
      <w:r w:rsidRPr="00626C74">
        <w:rPr>
          <w:rFonts w:ascii="Arial" w:hAnsi="Arial" w:cs="Arial"/>
          <w:bCs/>
          <w:snapToGrid w:val="0"/>
          <w:sz w:val="22"/>
          <w:szCs w:val="22"/>
          <w:lang w:val="en-GB"/>
        </w:rPr>
        <w:t xml:space="preserve"> not indicate differences in efficacy or safety of I</w:t>
      </w:r>
      <w:r w:rsidR="00353C08" w:rsidRPr="00626C74">
        <w:rPr>
          <w:rFonts w:ascii="Arial" w:hAnsi="Arial" w:cs="Arial"/>
          <w:bCs/>
          <w:snapToGrid w:val="0"/>
          <w:sz w:val="22"/>
          <w:szCs w:val="22"/>
          <w:lang w:val="en-GB"/>
        </w:rPr>
        <w:t>nflectra compared with Remicade</w:t>
      </w:r>
      <w:r w:rsidR="00E95AAC">
        <w:rPr>
          <w:rFonts w:ascii="Arial" w:hAnsi="Arial" w:cs="Arial"/>
          <w:bCs/>
          <w:snapToGrid w:val="0"/>
          <w:sz w:val="22"/>
          <w:szCs w:val="22"/>
          <w:lang w:val="en-GB"/>
        </w:rPr>
        <w:t xml:space="preserve">. The supportive evidence from a series of non-comparative  </w:t>
      </w:r>
      <w:r w:rsidR="00E95AAC" w:rsidRPr="00E95AAC">
        <w:rPr>
          <w:rFonts w:ascii="Arial" w:hAnsi="Arial" w:cs="Arial"/>
          <w:bCs/>
          <w:snapToGrid w:val="0"/>
          <w:sz w:val="22"/>
          <w:szCs w:val="22"/>
          <w:lang w:val="en-GB"/>
        </w:rPr>
        <w:t xml:space="preserve"> </w:t>
      </w:r>
      <w:r w:rsidR="00E95AAC">
        <w:rPr>
          <w:rFonts w:ascii="Arial" w:hAnsi="Arial" w:cs="Arial"/>
          <w:bCs/>
          <w:snapToGrid w:val="0"/>
          <w:sz w:val="22"/>
          <w:szCs w:val="22"/>
          <w:lang w:val="en-GB"/>
        </w:rPr>
        <w:t>studies in p</w:t>
      </w:r>
      <w:r w:rsidR="00E95AAC" w:rsidRPr="00E95AAC">
        <w:rPr>
          <w:rFonts w:ascii="Arial" w:hAnsi="Arial" w:cs="Arial"/>
          <w:bCs/>
          <w:snapToGrid w:val="0"/>
          <w:sz w:val="22"/>
          <w:szCs w:val="22"/>
          <w:lang w:val="en-GB"/>
        </w:rPr>
        <w:t>atients with Crohn’s disease or ulcerative colitis</w:t>
      </w:r>
      <w:r w:rsidR="000C7F7A">
        <w:rPr>
          <w:rFonts w:ascii="Arial" w:hAnsi="Arial" w:cs="Arial"/>
          <w:bCs/>
          <w:snapToGrid w:val="0"/>
          <w:sz w:val="22"/>
          <w:szCs w:val="22"/>
          <w:lang w:val="en-GB"/>
        </w:rPr>
        <w:t xml:space="preserve"> demonstrates</w:t>
      </w:r>
      <w:r w:rsidR="00E95AAC" w:rsidRPr="00E95AAC">
        <w:rPr>
          <w:rFonts w:ascii="Arial" w:hAnsi="Arial" w:cs="Arial"/>
          <w:bCs/>
          <w:snapToGrid w:val="0"/>
          <w:sz w:val="22"/>
          <w:szCs w:val="22"/>
          <w:lang w:val="en-GB"/>
        </w:rPr>
        <w:t xml:space="preserve"> treatment with Inflectra</w:t>
      </w:r>
      <w:r w:rsidR="000C7F7A">
        <w:rPr>
          <w:rFonts w:ascii="Arial" w:hAnsi="Arial" w:cs="Arial"/>
          <w:bCs/>
          <w:snapToGrid w:val="0"/>
          <w:sz w:val="22"/>
          <w:szCs w:val="22"/>
          <w:lang w:val="en-GB"/>
        </w:rPr>
        <w:t xml:space="preserve"> is also effective </w:t>
      </w:r>
      <w:r w:rsidR="00441ED9">
        <w:rPr>
          <w:rFonts w:ascii="Arial" w:hAnsi="Arial" w:cs="Arial"/>
          <w:bCs/>
          <w:snapToGrid w:val="0"/>
          <w:sz w:val="22"/>
          <w:szCs w:val="22"/>
          <w:lang w:val="en-GB"/>
        </w:rPr>
        <w:t xml:space="preserve">and safe </w:t>
      </w:r>
      <w:r w:rsidR="000C7F7A">
        <w:rPr>
          <w:rFonts w:ascii="Arial" w:hAnsi="Arial" w:cs="Arial"/>
          <w:bCs/>
          <w:snapToGrid w:val="0"/>
          <w:sz w:val="22"/>
          <w:szCs w:val="22"/>
          <w:lang w:val="en-GB"/>
        </w:rPr>
        <w:t xml:space="preserve">in these conditions. </w:t>
      </w:r>
    </w:p>
    <w:p w:rsidR="001B0C00" w:rsidRPr="00B87898" w:rsidRDefault="00873E8E" w:rsidP="00626C74">
      <w:pPr>
        <w:pStyle w:val="ListParagraph"/>
        <w:numPr>
          <w:ilvl w:val="2"/>
          <w:numId w:val="2"/>
        </w:numPr>
        <w:jc w:val="both"/>
        <w:rPr>
          <w:rFonts w:ascii="Arial" w:hAnsi="Arial" w:cs="Arial"/>
          <w:bCs/>
          <w:snapToGrid w:val="0"/>
          <w:sz w:val="22"/>
          <w:szCs w:val="22"/>
          <w:lang w:val="en-GB"/>
        </w:rPr>
      </w:pPr>
      <w:r w:rsidRPr="00626C74">
        <w:rPr>
          <w:rFonts w:ascii="Arial" w:hAnsi="Arial" w:cs="Arial"/>
          <w:bCs/>
          <w:snapToGrid w:val="0"/>
          <w:sz w:val="22"/>
          <w:szCs w:val="22"/>
          <w:lang w:val="en-GB"/>
        </w:rPr>
        <w:t xml:space="preserve">The </w:t>
      </w:r>
      <w:r w:rsidR="00130BE9" w:rsidRPr="00626C74">
        <w:rPr>
          <w:rFonts w:ascii="Arial" w:hAnsi="Arial" w:cs="Arial"/>
          <w:bCs/>
          <w:snapToGrid w:val="0"/>
          <w:sz w:val="22"/>
          <w:szCs w:val="22"/>
          <w:lang w:val="en-GB"/>
        </w:rPr>
        <w:t>clinical data provided in the submission</w:t>
      </w:r>
      <w:r w:rsidR="00A82942" w:rsidRPr="00626C74">
        <w:rPr>
          <w:rFonts w:ascii="Arial" w:hAnsi="Arial" w:cs="Arial"/>
          <w:bCs/>
          <w:snapToGrid w:val="0"/>
          <w:sz w:val="22"/>
          <w:szCs w:val="22"/>
          <w:lang w:val="en-GB"/>
        </w:rPr>
        <w:t xml:space="preserve"> did not suggest that there were any</w:t>
      </w:r>
      <w:r w:rsidRPr="00626C74">
        <w:rPr>
          <w:rFonts w:ascii="Arial" w:hAnsi="Arial" w:cs="Arial"/>
          <w:bCs/>
          <w:snapToGrid w:val="0"/>
          <w:sz w:val="22"/>
          <w:szCs w:val="22"/>
          <w:lang w:val="en-GB"/>
        </w:rPr>
        <w:t xml:space="preserve"> identified populations where the risks of using the biosimilar product</w:t>
      </w:r>
      <w:r w:rsidR="001B0C00" w:rsidRPr="00626C74">
        <w:rPr>
          <w:rFonts w:ascii="Arial" w:hAnsi="Arial" w:cs="Arial"/>
          <w:bCs/>
          <w:snapToGrid w:val="0"/>
          <w:sz w:val="22"/>
          <w:szCs w:val="22"/>
          <w:lang w:val="en-GB"/>
        </w:rPr>
        <w:t xml:space="preserve"> in place of the reference biologic</w:t>
      </w:r>
      <w:r w:rsidRPr="00626C74">
        <w:rPr>
          <w:rFonts w:ascii="Arial" w:hAnsi="Arial" w:cs="Arial"/>
          <w:bCs/>
          <w:snapToGrid w:val="0"/>
          <w:sz w:val="22"/>
          <w:szCs w:val="22"/>
          <w:lang w:val="en-GB"/>
        </w:rPr>
        <w:t xml:space="preserve"> are disproportionately high</w:t>
      </w:r>
      <w:r w:rsidR="000C7F7A">
        <w:rPr>
          <w:rFonts w:ascii="Arial" w:hAnsi="Arial" w:cs="Arial"/>
          <w:bCs/>
          <w:snapToGrid w:val="0"/>
          <w:sz w:val="22"/>
          <w:szCs w:val="22"/>
          <w:lang w:val="en-GB"/>
        </w:rPr>
        <w:t>.</w:t>
      </w:r>
    </w:p>
    <w:p w:rsidR="00D17EE9" w:rsidRDefault="006226CC" w:rsidP="00D17EE9">
      <w:pPr>
        <w:pStyle w:val="ListParagraph"/>
        <w:numPr>
          <w:ilvl w:val="2"/>
          <w:numId w:val="2"/>
        </w:numPr>
        <w:jc w:val="both"/>
        <w:rPr>
          <w:rFonts w:ascii="Arial" w:hAnsi="Arial" w:cs="Arial"/>
          <w:bCs/>
          <w:snapToGrid w:val="0"/>
          <w:sz w:val="22"/>
          <w:szCs w:val="22"/>
          <w:lang w:val="en-GB"/>
        </w:rPr>
      </w:pPr>
      <w:r w:rsidRPr="00626C74">
        <w:rPr>
          <w:rFonts w:ascii="Arial" w:hAnsi="Arial" w:cs="Arial"/>
          <w:bCs/>
          <w:snapToGrid w:val="0"/>
          <w:sz w:val="22"/>
          <w:szCs w:val="22"/>
          <w:lang w:val="en-GB"/>
        </w:rPr>
        <w:t xml:space="preserve">In </w:t>
      </w:r>
      <w:r w:rsidR="001B0C00" w:rsidRPr="00626C74">
        <w:rPr>
          <w:rFonts w:ascii="Arial" w:hAnsi="Arial" w:cs="Arial"/>
          <w:bCs/>
          <w:snapToGrid w:val="0"/>
          <w:sz w:val="22"/>
          <w:szCs w:val="22"/>
          <w:lang w:val="en-GB"/>
        </w:rPr>
        <w:t xml:space="preserve">the </w:t>
      </w:r>
      <w:r w:rsidRPr="00626C74">
        <w:rPr>
          <w:rFonts w:ascii="Arial" w:hAnsi="Arial" w:cs="Arial"/>
          <w:bCs/>
          <w:snapToGrid w:val="0"/>
          <w:sz w:val="22"/>
          <w:szCs w:val="22"/>
          <w:lang w:val="en-GB"/>
        </w:rPr>
        <w:t>two trials with extension studies (Study 1.1 and Study 3.1), switching from Remicade to Inflectra occurred, and the clinical evidence suggested no difference in efficacy, safety or immunogenicity between the biosimilar and reference biologic in these studies</w:t>
      </w:r>
      <w:r w:rsidR="000C7F7A">
        <w:rPr>
          <w:rFonts w:ascii="Arial" w:hAnsi="Arial" w:cs="Arial"/>
          <w:bCs/>
          <w:snapToGrid w:val="0"/>
          <w:sz w:val="22"/>
          <w:szCs w:val="22"/>
          <w:lang w:val="en-GB"/>
        </w:rPr>
        <w:t>.</w:t>
      </w:r>
    </w:p>
    <w:p w:rsidR="00E95AAC" w:rsidRDefault="00E95AAC">
      <w:pPr>
        <w:pStyle w:val="ListParagraph"/>
        <w:numPr>
          <w:ilvl w:val="2"/>
          <w:numId w:val="2"/>
        </w:numPr>
        <w:jc w:val="both"/>
        <w:rPr>
          <w:rFonts w:ascii="Arial" w:hAnsi="Arial" w:cs="Arial"/>
          <w:bCs/>
          <w:snapToGrid w:val="0"/>
          <w:sz w:val="22"/>
          <w:szCs w:val="22"/>
          <w:lang w:val="en-GB"/>
        </w:rPr>
      </w:pPr>
      <w:r w:rsidRPr="00E95AAC">
        <w:rPr>
          <w:rFonts w:ascii="Arial" w:hAnsi="Arial" w:cs="Arial"/>
          <w:bCs/>
          <w:snapToGrid w:val="0"/>
          <w:sz w:val="22"/>
          <w:szCs w:val="22"/>
          <w:lang w:val="en-GB"/>
        </w:rPr>
        <w:t>The ACPM has declare</w:t>
      </w:r>
      <w:r>
        <w:rPr>
          <w:rFonts w:ascii="Arial" w:hAnsi="Arial" w:cs="Arial"/>
          <w:bCs/>
          <w:snapToGrid w:val="0"/>
          <w:sz w:val="22"/>
          <w:szCs w:val="22"/>
          <w:lang w:val="en-GB"/>
        </w:rPr>
        <w:t>d</w:t>
      </w:r>
      <w:r w:rsidRPr="00E95AAC">
        <w:rPr>
          <w:rFonts w:ascii="Arial" w:hAnsi="Arial" w:cs="Arial"/>
          <w:bCs/>
          <w:snapToGrid w:val="0"/>
          <w:sz w:val="22"/>
          <w:szCs w:val="22"/>
          <w:lang w:val="en-GB"/>
        </w:rPr>
        <w:t xml:space="preserve"> Inflectra a biosimilar for Remicade</w:t>
      </w:r>
      <w:r>
        <w:rPr>
          <w:rFonts w:ascii="Arial" w:hAnsi="Arial" w:cs="Arial"/>
          <w:bCs/>
          <w:snapToGrid w:val="0"/>
          <w:sz w:val="22"/>
          <w:szCs w:val="22"/>
          <w:lang w:val="en-GB"/>
        </w:rPr>
        <w:t>. The ACPM</w:t>
      </w:r>
      <w:r w:rsidRPr="00E95AAC">
        <w:rPr>
          <w:rFonts w:ascii="Arial" w:hAnsi="Arial" w:cs="Arial"/>
          <w:bCs/>
          <w:snapToGrid w:val="0"/>
          <w:sz w:val="22"/>
          <w:szCs w:val="22"/>
          <w:lang w:val="en-GB"/>
        </w:rPr>
        <w:t xml:space="preserve"> was satisfied of the</w:t>
      </w:r>
      <w:r>
        <w:rPr>
          <w:rFonts w:ascii="Arial" w:hAnsi="Arial" w:cs="Arial"/>
          <w:bCs/>
          <w:snapToGrid w:val="0"/>
          <w:sz w:val="22"/>
          <w:szCs w:val="22"/>
          <w:lang w:val="en-GB"/>
        </w:rPr>
        <w:t xml:space="preserve"> </w:t>
      </w:r>
      <w:r w:rsidRPr="00E95AAC">
        <w:rPr>
          <w:rFonts w:ascii="Arial" w:hAnsi="Arial" w:cs="Arial"/>
          <w:bCs/>
          <w:snapToGrid w:val="0"/>
          <w:sz w:val="22"/>
          <w:szCs w:val="22"/>
          <w:lang w:val="en-GB"/>
        </w:rPr>
        <w:t>similar safety and efficacy of Inflectra and Remicade in rheumatoid arthritis, ankylosing spondylitis, psoriatic arthritis, psoriasis, ulcerative colitis and Crohn’s disease</w:t>
      </w:r>
      <w:r w:rsidR="000C7F7A">
        <w:rPr>
          <w:rFonts w:ascii="Arial" w:hAnsi="Arial" w:cs="Arial"/>
          <w:bCs/>
          <w:snapToGrid w:val="0"/>
          <w:sz w:val="22"/>
          <w:szCs w:val="22"/>
          <w:lang w:val="en-GB"/>
        </w:rPr>
        <w:t>.</w:t>
      </w:r>
      <w:r w:rsidRPr="00E95AAC">
        <w:rPr>
          <w:rFonts w:ascii="Arial" w:hAnsi="Arial" w:cs="Arial"/>
          <w:bCs/>
          <w:snapToGrid w:val="0"/>
          <w:sz w:val="22"/>
          <w:szCs w:val="22"/>
          <w:lang w:val="en-GB"/>
        </w:rPr>
        <w:t xml:space="preserve"> </w:t>
      </w:r>
    </w:p>
    <w:p w:rsidR="00E45C38" w:rsidRPr="00E45C38" w:rsidRDefault="00E45C38" w:rsidP="00E45C38">
      <w:pPr>
        <w:ind w:left="720"/>
        <w:jc w:val="both"/>
        <w:rPr>
          <w:rFonts w:ascii="Arial" w:hAnsi="Arial" w:cs="Arial"/>
          <w:bCs/>
          <w:snapToGrid w:val="0"/>
          <w:sz w:val="22"/>
          <w:szCs w:val="22"/>
          <w:lang w:val="en-GB"/>
        </w:rPr>
      </w:pPr>
    </w:p>
    <w:p w:rsidR="00710DD3" w:rsidRDefault="001B0C00" w:rsidP="00F233E4">
      <w:pPr>
        <w:widowControl w:val="0"/>
        <w:numPr>
          <w:ilvl w:val="1"/>
          <w:numId w:val="2"/>
        </w:numPr>
        <w:contextualSpacing/>
        <w:jc w:val="both"/>
        <w:rPr>
          <w:rFonts w:ascii="Arial" w:hAnsi="Arial" w:cs="Arial"/>
          <w:bCs/>
          <w:snapToGrid w:val="0"/>
          <w:sz w:val="22"/>
          <w:szCs w:val="22"/>
          <w:lang w:val="en-GB"/>
        </w:rPr>
      </w:pPr>
      <w:r w:rsidRPr="00710DD3">
        <w:rPr>
          <w:rFonts w:ascii="Arial" w:hAnsi="Arial" w:cs="Arial"/>
          <w:bCs/>
          <w:snapToGrid w:val="0"/>
          <w:sz w:val="22"/>
          <w:szCs w:val="22"/>
          <w:lang w:val="en-GB"/>
        </w:rPr>
        <w:t xml:space="preserve">The PBAC noted the consumer comments on Inflectra that expressed concern at the perceived risks that may arise as a result of substitution and switching with Remicade. The PBAC further noted the comments made by various patient and clinician groups at the PBAC </w:t>
      </w:r>
      <w:r w:rsidR="00EC4EEB" w:rsidRPr="00710DD3">
        <w:rPr>
          <w:rFonts w:ascii="Arial" w:hAnsi="Arial" w:cs="Arial"/>
          <w:bCs/>
          <w:snapToGrid w:val="0"/>
          <w:sz w:val="22"/>
          <w:szCs w:val="22"/>
          <w:lang w:val="en-GB"/>
        </w:rPr>
        <w:t>hearing</w:t>
      </w:r>
      <w:r w:rsidRPr="00710DD3">
        <w:rPr>
          <w:rFonts w:ascii="Arial" w:hAnsi="Arial" w:cs="Arial"/>
          <w:bCs/>
          <w:snapToGrid w:val="0"/>
          <w:sz w:val="22"/>
          <w:szCs w:val="22"/>
          <w:lang w:val="en-GB"/>
        </w:rPr>
        <w:t xml:space="preserve"> on biosimilar medicines particularly in relation to pharmacy level substitution. The PBAC was conscious that many, although not all, consumer and clinical representatives at the forum were concerned that automatic pharmacy level substitution would entail risks for patients. The PBAC noted that some of these concerns appear to be based on the misunderstanding that pharmacy-level substitution is automatic or that pharmacists routinely ignore prescriber directions not to substitute</w:t>
      </w:r>
      <w:r w:rsidR="00710DD3" w:rsidRPr="00710DD3">
        <w:rPr>
          <w:rFonts w:ascii="Arial" w:hAnsi="Arial" w:cs="Arial"/>
          <w:bCs/>
          <w:snapToGrid w:val="0"/>
          <w:sz w:val="22"/>
          <w:szCs w:val="22"/>
          <w:lang w:val="en-GB"/>
        </w:rPr>
        <w:t xml:space="preserve">. </w:t>
      </w:r>
    </w:p>
    <w:p w:rsidR="00710DD3" w:rsidRDefault="00710DD3" w:rsidP="00710DD3">
      <w:pPr>
        <w:widowControl w:val="0"/>
        <w:ind w:left="720"/>
        <w:contextualSpacing/>
        <w:jc w:val="both"/>
        <w:rPr>
          <w:rFonts w:ascii="Arial" w:hAnsi="Arial" w:cs="Arial"/>
          <w:bCs/>
          <w:snapToGrid w:val="0"/>
          <w:sz w:val="22"/>
          <w:szCs w:val="22"/>
          <w:lang w:val="en-GB"/>
        </w:rPr>
      </w:pPr>
    </w:p>
    <w:p w:rsidR="003365D6" w:rsidRDefault="00710DD3" w:rsidP="00F233E4">
      <w:pPr>
        <w:widowControl w:val="0"/>
        <w:numPr>
          <w:ilvl w:val="1"/>
          <w:numId w:val="2"/>
        </w:numPr>
        <w:contextualSpacing/>
        <w:jc w:val="both"/>
        <w:rPr>
          <w:rFonts w:ascii="Arial" w:hAnsi="Arial" w:cs="Arial"/>
          <w:bCs/>
          <w:snapToGrid w:val="0"/>
          <w:sz w:val="22"/>
          <w:szCs w:val="22"/>
          <w:lang w:val="en-GB"/>
        </w:rPr>
      </w:pPr>
      <w:r w:rsidRPr="00710DD3">
        <w:rPr>
          <w:rFonts w:ascii="Arial" w:hAnsi="Arial" w:cs="Arial"/>
          <w:bCs/>
          <w:snapToGrid w:val="0"/>
          <w:sz w:val="22"/>
          <w:szCs w:val="22"/>
          <w:lang w:val="en-GB"/>
        </w:rPr>
        <w:t>The PBAC noted that a</w:t>
      </w:r>
      <w:r w:rsidR="003C6876" w:rsidRPr="00710DD3">
        <w:rPr>
          <w:rFonts w:ascii="Arial" w:hAnsi="Arial" w:cs="Arial"/>
          <w:bCs/>
          <w:snapToGrid w:val="0"/>
          <w:sz w:val="22"/>
          <w:szCs w:val="22"/>
          <w:lang w:val="en-GB"/>
        </w:rPr>
        <w:t>nother concern raised</w:t>
      </w:r>
      <w:r w:rsidRPr="00710DD3">
        <w:rPr>
          <w:rFonts w:ascii="Arial" w:hAnsi="Arial" w:cs="Arial"/>
          <w:bCs/>
          <w:snapToGrid w:val="0"/>
          <w:sz w:val="22"/>
          <w:szCs w:val="22"/>
          <w:lang w:val="en-GB"/>
        </w:rPr>
        <w:t xml:space="preserve"> in the stakeholder consultation related to the </w:t>
      </w:r>
      <w:r w:rsidR="003C6876" w:rsidRPr="00710DD3">
        <w:rPr>
          <w:rFonts w:ascii="Arial" w:hAnsi="Arial" w:cs="Arial"/>
          <w:bCs/>
          <w:snapToGrid w:val="0"/>
          <w:sz w:val="22"/>
          <w:szCs w:val="22"/>
          <w:lang w:val="en-GB"/>
        </w:rPr>
        <w:t xml:space="preserve">ability to track the use of a biosimilar and the reference biologic in a patient in order to assess if any differences in safety or efficacy </w:t>
      </w:r>
      <w:r w:rsidRPr="00710DD3">
        <w:rPr>
          <w:rFonts w:ascii="Arial" w:hAnsi="Arial" w:cs="Arial"/>
          <w:bCs/>
          <w:snapToGrid w:val="0"/>
          <w:sz w:val="22"/>
          <w:szCs w:val="22"/>
          <w:lang w:val="en-GB"/>
        </w:rPr>
        <w:t>were related to product switches</w:t>
      </w:r>
      <w:r w:rsidR="003C6876" w:rsidRPr="00710DD3">
        <w:rPr>
          <w:rFonts w:ascii="Arial" w:hAnsi="Arial" w:cs="Arial"/>
          <w:bCs/>
          <w:snapToGrid w:val="0"/>
          <w:sz w:val="22"/>
          <w:szCs w:val="22"/>
          <w:lang w:val="en-GB"/>
        </w:rPr>
        <w:t xml:space="preserve">. The PBAC noted that Medicare </w:t>
      </w:r>
      <w:r w:rsidRPr="00710DD3">
        <w:rPr>
          <w:rFonts w:ascii="Arial" w:hAnsi="Arial" w:cs="Arial"/>
          <w:bCs/>
          <w:snapToGrid w:val="0"/>
          <w:sz w:val="22"/>
          <w:szCs w:val="22"/>
          <w:lang w:val="en-GB"/>
        </w:rPr>
        <w:t>routinely</w:t>
      </w:r>
      <w:r w:rsidR="003C6876" w:rsidRPr="00710DD3">
        <w:rPr>
          <w:rFonts w:ascii="Arial" w:hAnsi="Arial" w:cs="Arial"/>
          <w:bCs/>
          <w:snapToGrid w:val="0"/>
          <w:sz w:val="22"/>
          <w:szCs w:val="22"/>
          <w:lang w:val="en-GB"/>
        </w:rPr>
        <w:t xml:space="preserve"> collect</w:t>
      </w:r>
      <w:r w:rsidRPr="00710DD3">
        <w:rPr>
          <w:rFonts w:ascii="Arial" w:hAnsi="Arial" w:cs="Arial"/>
          <w:bCs/>
          <w:snapToGrid w:val="0"/>
          <w:sz w:val="22"/>
          <w:szCs w:val="22"/>
          <w:lang w:val="en-GB"/>
        </w:rPr>
        <w:t>s</w:t>
      </w:r>
      <w:r w:rsidR="003C6876" w:rsidRPr="00710DD3">
        <w:rPr>
          <w:rFonts w:ascii="Arial" w:hAnsi="Arial" w:cs="Arial"/>
          <w:bCs/>
          <w:snapToGrid w:val="0"/>
          <w:sz w:val="22"/>
          <w:szCs w:val="22"/>
          <w:lang w:val="en-GB"/>
        </w:rPr>
        <w:t xml:space="preserve"> information on the brand of drug that is dispensed for a patient</w:t>
      </w:r>
      <w:r w:rsidR="00284C1F">
        <w:rPr>
          <w:rFonts w:ascii="Arial" w:hAnsi="Arial" w:cs="Arial"/>
          <w:bCs/>
          <w:snapToGrid w:val="0"/>
          <w:sz w:val="22"/>
          <w:szCs w:val="22"/>
          <w:lang w:val="en-GB"/>
        </w:rPr>
        <w:t>.</w:t>
      </w:r>
      <w:r w:rsidR="003C6876" w:rsidRPr="00710DD3">
        <w:rPr>
          <w:rFonts w:ascii="Arial" w:hAnsi="Arial" w:cs="Arial"/>
          <w:bCs/>
          <w:snapToGrid w:val="0"/>
          <w:sz w:val="22"/>
          <w:szCs w:val="22"/>
          <w:lang w:val="en-GB"/>
        </w:rPr>
        <w:t xml:space="preserve"> </w:t>
      </w:r>
    </w:p>
    <w:p w:rsidR="00710DD3" w:rsidRDefault="00710DD3" w:rsidP="00710DD3">
      <w:pPr>
        <w:pStyle w:val="ListParagraph"/>
        <w:rPr>
          <w:rFonts w:ascii="Arial" w:hAnsi="Arial" w:cs="Arial"/>
          <w:bCs/>
          <w:snapToGrid w:val="0"/>
          <w:sz w:val="22"/>
          <w:szCs w:val="22"/>
          <w:lang w:val="en-GB"/>
        </w:rPr>
      </w:pPr>
    </w:p>
    <w:p w:rsidR="00284C1F" w:rsidRDefault="00710DD3" w:rsidP="00710DD3">
      <w:pPr>
        <w:widowControl w:val="0"/>
        <w:numPr>
          <w:ilvl w:val="1"/>
          <w:numId w:val="2"/>
        </w:numPr>
        <w:contextualSpacing/>
        <w:jc w:val="both"/>
        <w:rPr>
          <w:rFonts w:ascii="Arial" w:hAnsi="Arial" w:cs="Arial"/>
          <w:bCs/>
          <w:snapToGrid w:val="0"/>
          <w:sz w:val="22"/>
          <w:szCs w:val="22"/>
          <w:lang w:val="en-GB"/>
        </w:rPr>
      </w:pPr>
      <w:r w:rsidRPr="00284C1F">
        <w:rPr>
          <w:rFonts w:ascii="Arial" w:hAnsi="Arial" w:cs="Arial"/>
          <w:bCs/>
          <w:snapToGrid w:val="0"/>
          <w:sz w:val="22"/>
          <w:szCs w:val="22"/>
          <w:lang w:val="en-GB"/>
        </w:rPr>
        <w:t xml:space="preserve">Consumers and clinicians were also concerned that pharmacy-level substitution of infliximab will lead to repeated switching from the biosimilar to the reference product and back.  The PBAC considered this unlikely to occur in practice because infliximab is administered via an infusion </w:t>
      </w:r>
      <w:r w:rsidR="00284C1F" w:rsidRPr="00284C1F">
        <w:rPr>
          <w:rFonts w:ascii="Arial" w:hAnsi="Arial" w:cs="Arial"/>
          <w:bCs/>
          <w:snapToGrid w:val="0"/>
          <w:sz w:val="22"/>
          <w:szCs w:val="22"/>
          <w:lang w:val="en-GB"/>
        </w:rPr>
        <w:t>with</w:t>
      </w:r>
      <w:r w:rsidRPr="00284C1F">
        <w:rPr>
          <w:rFonts w:ascii="Arial" w:hAnsi="Arial" w:cs="Arial"/>
          <w:bCs/>
          <w:snapToGrid w:val="0"/>
          <w:sz w:val="22"/>
          <w:szCs w:val="22"/>
          <w:lang w:val="en-GB"/>
        </w:rPr>
        <w:t xml:space="preserve"> </w:t>
      </w:r>
      <w:r w:rsidR="00284C1F" w:rsidRPr="00284C1F">
        <w:rPr>
          <w:rFonts w:ascii="Arial" w:hAnsi="Arial" w:cs="Arial"/>
          <w:bCs/>
          <w:snapToGrid w:val="0"/>
          <w:sz w:val="22"/>
          <w:szCs w:val="22"/>
          <w:lang w:val="en-GB"/>
        </w:rPr>
        <w:t xml:space="preserve">most </w:t>
      </w:r>
      <w:r w:rsidRPr="00284C1F">
        <w:rPr>
          <w:rFonts w:ascii="Arial" w:hAnsi="Arial" w:cs="Arial"/>
          <w:bCs/>
          <w:snapToGrid w:val="0"/>
          <w:sz w:val="22"/>
          <w:szCs w:val="22"/>
          <w:lang w:val="en-GB"/>
        </w:rPr>
        <w:t xml:space="preserve">patients </w:t>
      </w:r>
      <w:r w:rsidR="00284C1F" w:rsidRPr="00284C1F">
        <w:rPr>
          <w:rFonts w:ascii="Arial" w:hAnsi="Arial" w:cs="Arial"/>
          <w:bCs/>
          <w:snapToGrid w:val="0"/>
          <w:sz w:val="22"/>
          <w:szCs w:val="22"/>
          <w:lang w:val="en-GB"/>
        </w:rPr>
        <w:t xml:space="preserve">receiving </w:t>
      </w:r>
      <w:r w:rsidR="00284C1F">
        <w:rPr>
          <w:rFonts w:ascii="Arial" w:hAnsi="Arial" w:cs="Arial"/>
          <w:bCs/>
          <w:snapToGrid w:val="0"/>
          <w:sz w:val="22"/>
          <w:szCs w:val="22"/>
          <w:lang w:val="en-GB"/>
        </w:rPr>
        <w:t xml:space="preserve">all courses of </w:t>
      </w:r>
      <w:r w:rsidR="00284C1F" w:rsidRPr="00284C1F">
        <w:rPr>
          <w:rFonts w:ascii="Arial" w:hAnsi="Arial" w:cs="Arial"/>
          <w:bCs/>
          <w:snapToGrid w:val="0"/>
          <w:sz w:val="22"/>
          <w:szCs w:val="22"/>
          <w:lang w:val="en-GB"/>
        </w:rPr>
        <w:t xml:space="preserve">treatment at </w:t>
      </w:r>
      <w:r w:rsidR="00284C1F">
        <w:rPr>
          <w:rFonts w:ascii="Arial" w:hAnsi="Arial" w:cs="Arial"/>
          <w:bCs/>
          <w:snapToGrid w:val="0"/>
          <w:sz w:val="22"/>
          <w:szCs w:val="22"/>
          <w:lang w:val="en-GB"/>
        </w:rPr>
        <w:t xml:space="preserve">a </w:t>
      </w:r>
      <w:r w:rsidR="00284C1F" w:rsidRPr="00284C1F">
        <w:rPr>
          <w:rFonts w:ascii="Arial" w:hAnsi="Arial" w:cs="Arial"/>
          <w:bCs/>
          <w:snapToGrid w:val="0"/>
          <w:sz w:val="22"/>
          <w:szCs w:val="22"/>
          <w:lang w:val="en-GB"/>
        </w:rPr>
        <w:t>single centre</w:t>
      </w:r>
      <w:r w:rsidR="00284C1F">
        <w:rPr>
          <w:rFonts w:ascii="Arial" w:hAnsi="Arial" w:cs="Arial"/>
          <w:bCs/>
          <w:snapToGrid w:val="0"/>
          <w:sz w:val="22"/>
          <w:szCs w:val="22"/>
          <w:lang w:val="en-GB"/>
        </w:rPr>
        <w:t>, reducing the likelihood of switches between brands.</w:t>
      </w:r>
    </w:p>
    <w:p w:rsidR="00710DD3" w:rsidRPr="00284C1F" w:rsidRDefault="00710DD3" w:rsidP="00284C1F">
      <w:pPr>
        <w:widowControl w:val="0"/>
        <w:ind w:left="720"/>
        <w:contextualSpacing/>
        <w:jc w:val="both"/>
        <w:rPr>
          <w:rFonts w:ascii="Arial" w:hAnsi="Arial" w:cs="Arial"/>
          <w:bCs/>
          <w:snapToGrid w:val="0"/>
          <w:sz w:val="22"/>
          <w:szCs w:val="22"/>
          <w:lang w:val="en-GB"/>
        </w:rPr>
      </w:pPr>
      <w:r w:rsidRPr="00284C1F">
        <w:rPr>
          <w:rFonts w:ascii="Arial" w:hAnsi="Arial" w:cs="Arial"/>
          <w:bCs/>
          <w:snapToGrid w:val="0"/>
          <w:sz w:val="22"/>
          <w:szCs w:val="22"/>
          <w:lang w:val="en-GB"/>
        </w:rPr>
        <w:t xml:space="preserve"> </w:t>
      </w:r>
    </w:p>
    <w:p w:rsidR="003365D6" w:rsidRDefault="00710DD3" w:rsidP="00854D16">
      <w:pPr>
        <w:widowControl w:val="0"/>
        <w:numPr>
          <w:ilvl w:val="1"/>
          <w:numId w:val="2"/>
        </w:numPr>
        <w:contextualSpacing/>
        <w:jc w:val="both"/>
        <w:rPr>
          <w:rFonts w:ascii="Arial" w:hAnsi="Arial" w:cs="Arial"/>
          <w:bCs/>
          <w:snapToGrid w:val="0"/>
          <w:sz w:val="22"/>
          <w:szCs w:val="22"/>
          <w:lang w:val="en-GB"/>
        </w:rPr>
      </w:pPr>
      <w:r>
        <w:rPr>
          <w:rFonts w:ascii="Arial" w:hAnsi="Arial" w:cs="Arial"/>
          <w:bCs/>
          <w:snapToGrid w:val="0"/>
          <w:sz w:val="22"/>
          <w:szCs w:val="22"/>
          <w:lang w:val="en-GB"/>
        </w:rPr>
        <w:t>T</w:t>
      </w:r>
      <w:r w:rsidR="003365D6" w:rsidRPr="003365D6">
        <w:rPr>
          <w:rFonts w:ascii="Arial" w:hAnsi="Arial" w:cs="Arial"/>
          <w:bCs/>
          <w:snapToGrid w:val="0"/>
          <w:sz w:val="22"/>
          <w:szCs w:val="22"/>
          <w:lang w:val="en-GB"/>
        </w:rPr>
        <w:t xml:space="preserve">he PBAC recommended that the Department develop an implementation strategy for infliximab for PBAC’s review before </w:t>
      </w:r>
      <w:r w:rsidR="00441ED9">
        <w:rPr>
          <w:rFonts w:ascii="Arial" w:hAnsi="Arial" w:cs="Arial"/>
          <w:bCs/>
          <w:snapToGrid w:val="0"/>
          <w:sz w:val="22"/>
          <w:szCs w:val="22"/>
          <w:lang w:val="en-GB"/>
        </w:rPr>
        <w:t xml:space="preserve">an “a” flag </w:t>
      </w:r>
      <w:r w:rsidR="00977EF0">
        <w:rPr>
          <w:rFonts w:ascii="Arial" w:hAnsi="Arial" w:cs="Arial"/>
          <w:bCs/>
          <w:snapToGrid w:val="0"/>
          <w:sz w:val="22"/>
          <w:szCs w:val="22"/>
          <w:lang w:val="en-GB"/>
        </w:rPr>
        <w:t xml:space="preserve">can be </w:t>
      </w:r>
      <w:r w:rsidR="00441ED9">
        <w:rPr>
          <w:rFonts w:ascii="Arial" w:hAnsi="Arial" w:cs="Arial"/>
          <w:bCs/>
          <w:snapToGrid w:val="0"/>
          <w:sz w:val="22"/>
          <w:szCs w:val="22"/>
          <w:lang w:val="en-GB"/>
        </w:rPr>
        <w:t xml:space="preserve">included against the Inflectra and Remicade brands </w:t>
      </w:r>
      <w:r w:rsidR="003365D6" w:rsidRPr="003365D6">
        <w:rPr>
          <w:rFonts w:ascii="Arial" w:hAnsi="Arial" w:cs="Arial"/>
          <w:bCs/>
          <w:snapToGrid w:val="0"/>
          <w:sz w:val="22"/>
          <w:szCs w:val="22"/>
          <w:lang w:val="en-GB"/>
        </w:rPr>
        <w:t xml:space="preserve">on the </w:t>
      </w:r>
      <w:r w:rsidR="000C7F7A">
        <w:rPr>
          <w:rFonts w:ascii="Arial" w:hAnsi="Arial" w:cs="Arial"/>
          <w:bCs/>
          <w:snapToGrid w:val="0"/>
          <w:sz w:val="22"/>
          <w:szCs w:val="22"/>
          <w:lang w:val="en-GB"/>
        </w:rPr>
        <w:t>S</w:t>
      </w:r>
      <w:r w:rsidR="003365D6" w:rsidRPr="003365D6">
        <w:rPr>
          <w:rFonts w:ascii="Arial" w:hAnsi="Arial" w:cs="Arial"/>
          <w:bCs/>
          <w:snapToGrid w:val="0"/>
          <w:sz w:val="22"/>
          <w:szCs w:val="22"/>
          <w:lang w:val="en-GB"/>
        </w:rPr>
        <w:t xml:space="preserve">chedule.  This implementation strategy should include </w:t>
      </w:r>
      <w:r w:rsidR="00854D16" w:rsidRPr="00854D16">
        <w:rPr>
          <w:rFonts w:ascii="Arial" w:hAnsi="Arial" w:cs="Arial"/>
          <w:bCs/>
          <w:snapToGrid w:val="0"/>
          <w:sz w:val="22"/>
          <w:szCs w:val="22"/>
          <w:lang w:val="en-GB"/>
        </w:rPr>
        <w:t>an education campaign designed to support and promote the use of biosimilars, improving awareness and confidence by both health professionals and consumers to choose these products.</w:t>
      </w:r>
    </w:p>
    <w:p w:rsidR="003365D6" w:rsidRDefault="003365D6" w:rsidP="00F233E4">
      <w:pPr>
        <w:widowControl w:val="0"/>
        <w:ind w:left="720"/>
        <w:contextualSpacing/>
        <w:jc w:val="both"/>
        <w:rPr>
          <w:rFonts w:ascii="Arial" w:hAnsi="Arial" w:cs="Arial"/>
          <w:bCs/>
          <w:snapToGrid w:val="0"/>
          <w:sz w:val="22"/>
          <w:szCs w:val="22"/>
          <w:lang w:val="en-GB"/>
        </w:rPr>
      </w:pPr>
    </w:p>
    <w:p w:rsidR="007A0188" w:rsidRPr="003365D6" w:rsidRDefault="007A0188" w:rsidP="007A0188">
      <w:pPr>
        <w:widowControl w:val="0"/>
        <w:numPr>
          <w:ilvl w:val="1"/>
          <w:numId w:val="2"/>
        </w:numPr>
        <w:contextualSpacing/>
        <w:jc w:val="both"/>
        <w:rPr>
          <w:rFonts w:ascii="Arial" w:hAnsi="Arial" w:cs="Arial"/>
          <w:bCs/>
          <w:snapToGrid w:val="0"/>
          <w:sz w:val="22"/>
          <w:szCs w:val="22"/>
          <w:lang w:val="en-GB"/>
        </w:rPr>
      </w:pPr>
      <w:r w:rsidRPr="0015219D">
        <w:rPr>
          <w:rFonts w:ascii="Arial" w:hAnsi="Arial" w:cs="Arial"/>
          <w:bCs/>
          <w:snapToGrid w:val="0"/>
          <w:sz w:val="22"/>
          <w:szCs w:val="22"/>
          <w:lang w:val="en-GB"/>
        </w:rPr>
        <w:t xml:space="preserve">The PBAC reiterated its position that it would consider the marking of equivalent (i.e. “a” flagging) in the Schedule of biosimilar </w:t>
      </w:r>
      <w:r w:rsidRPr="003365D6">
        <w:rPr>
          <w:rFonts w:ascii="Arial" w:hAnsi="Arial" w:cs="Arial"/>
          <w:bCs/>
          <w:snapToGrid w:val="0"/>
          <w:sz w:val="22"/>
          <w:szCs w:val="22"/>
          <w:lang w:val="en-GB"/>
        </w:rPr>
        <w:t>medicines with their reference medicine on a case by case basis, taking into account the evidence presented in each submission to list a biosimilar medicine.</w:t>
      </w:r>
    </w:p>
    <w:p w:rsidR="00665D17" w:rsidRPr="003365D6" w:rsidRDefault="00665D17" w:rsidP="00665D17">
      <w:pPr>
        <w:pStyle w:val="ListParagraph"/>
        <w:rPr>
          <w:rFonts w:ascii="Arial" w:hAnsi="Arial" w:cs="Arial"/>
          <w:bCs/>
          <w:snapToGrid w:val="0"/>
          <w:sz w:val="22"/>
          <w:szCs w:val="22"/>
          <w:lang w:val="en-GB"/>
        </w:rPr>
      </w:pPr>
    </w:p>
    <w:p w:rsidR="00976BC7" w:rsidRDefault="003E50A1" w:rsidP="007A553F">
      <w:pPr>
        <w:widowControl w:val="0"/>
        <w:numPr>
          <w:ilvl w:val="1"/>
          <w:numId w:val="2"/>
        </w:numPr>
        <w:contextualSpacing/>
        <w:jc w:val="both"/>
        <w:rPr>
          <w:rFonts w:ascii="Arial" w:hAnsi="Arial" w:cs="Arial"/>
          <w:bCs/>
          <w:snapToGrid w:val="0"/>
          <w:sz w:val="22"/>
          <w:szCs w:val="22"/>
          <w:lang w:val="en-GB"/>
        </w:rPr>
      </w:pPr>
      <w:r w:rsidRPr="003365D6">
        <w:rPr>
          <w:rFonts w:ascii="Arial" w:hAnsi="Arial" w:cs="Arial"/>
          <w:bCs/>
          <w:snapToGrid w:val="0"/>
          <w:sz w:val="22"/>
          <w:szCs w:val="22"/>
          <w:lang w:val="en-GB"/>
        </w:rPr>
        <w:t xml:space="preserve">The PBAC </w:t>
      </w:r>
      <w:r w:rsidR="0055216C" w:rsidRPr="003365D6">
        <w:rPr>
          <w:rFonts w:ascii="Arial" w:hAnsi="Arial" w:cs="Arial"/>
          <w:bCs/>
          <w:snapToGrid w:val="0"/>
          <w:sz w:val="22"/>
          <w:szCs w:val="22"/>
          <w:lang w:val="en-GB"/>
        </w:rPr>
        <w:t>consider</w:t>
      </w:r>
      <w:r w:rsidRPr="003365D6">
        <w:rPr>
          <w:rFonts w:ascii="Arial" w:hAnsi="Arial" w:cs="Arial"/>
          <w:bCs/>
          <w:snapToGrid w:val="0"/>
          <w:sz w:val="22"/>
          <w:szCs w:val="22"/>
          <w:lang w:val="en-GB"/>
        </w:rPr>
        <w:t xml:space="preserve">ed that while the market </w:t>
      </w:r>
      <w:r w:rsidR="0026730B" w:rsidRPr="003365D6">
        <w:rPr>
          <w:rFonts w:ascii="Arial" w:hAnsi="Arial" w:cs="Arial"/>
          <w:bCs/>
          <w:snapToGrid w:val="0"/>
          <w:sz w:val="22"/>
          <w:szCs w:val="22"/>
          <w:lang w:val="en-GB"/>
        </w:rPr>
        <w:t xml:space="preserve">for infliximab </w:t>
      </w:r>
      <w:r w:rsidRPr="003365D6">
        <w:rPr>
          <w:rFonts w:ascii="Arial" w:hAnsi="Arial" w:cs="Arial"/>
          <w:bCs/>
          <w:snapToGrid w:val="0"/>
          <w:sz w:val="22"/>
          <w:szCs w:val="22"/>
          <w:lang w:val="en-GB"/>
        </w:rPr>
        <w:t xml:space="preserve">is growing in the IBD indications, the listing of Inflectra is unlikely to cause any additional expansion in the market. </w:t>
      </w:r>
      <w:r w:rsidR="00665D17" w:rsidRPr="003365D6">
        <w:rPr>
          <w:rFonts w:ascii="Arial" w:hAnsi="Arial" w:cs="Arial"/>
          <w:bCs/>
          <w:snapToGrid w:val="0"/>
          <w:sz w:val="22"/>
          <w:szCs w:val="22"/>
          <w:lang w:val="en-GB"/>
        </w:rPr>
        <w:t xml:space="preserve">The PBAC noted that the submission estimated net overall savings to the PBS of </w:t>
      </w:r>
      <w:r w:rsidR="00C55CF6">
        <w:rPr>
          <w:rFonts w:ascii="Arial" w:hAnsi="Arial" w:cs="Arial"/>
          <w:bCs/>
          <w:snapToGrid w:val="0"/>
          <w:sz w:val="22"/>
          <w:szCs w:val="22"/>
          <w:lang w:val="en-GB"/>
        </w:rPr>
        <w:t xml:space="preserve">more than </w:t>
      </w:r>
      <w:r w:rsidR="00593984" w:rsidRPr="003365D6">
        <w:rPr>
          <w:rFonts w:ascii="Arial" w:hAnsi="Arial" w:cs="Arial"/>
          <w:bCs/>
          <w:snapToGrid w:val="0"/>
          <w:sz w:val="22"/>
          <w:szCs w:val="22"/>
          <w:lang w:val="en-GB"/>
        </w:rPr>
        <w:t>$</w:t>
      </w:r>
      <w:r w:rsidR="00665D17" w:rsidRPr="003365D6">
        <w:rPr>
          <w:rFonts w:ascii="Arial" w:hAnsi="Arial" w:cs="Arial"/>
          <w:bCs/>
          <w:snapToGrid w:val="0"/>
          <w:sz w:val="22"/>
          <w:szCs w:val="22"/>
          <w:lang w:val="en-GB"/>
        </w:rPr>
        <w:t>1</w:t>
      </w:r>
      <w:r w:rsidR="00C55CF6">
        <w:rPr>
          <w:rFonts w:ascii="Arial" w:hAnsi="Arial" w:cs="Arial"/>
          <w:bCs/>
          <w:snapToGrid w:val="0"/>
          <w:sz w:val="22"/>
          <w:szCs w:val="22"/>
          <w:lang w:val="en-GB"/>
        </w:rPr>
        <w:t>0</w:t>
      </w:r>
      <w:r w:rsidR="00665D17" w:rsidRPr="003365D6">
        <w:rPr>
          <w:rFonts w:ascii="Arial" w:hAnsi="Arial" w:cs="Arial"/>
          <w:bCs/>
          <w:snapToGrid w:val="0"/>
          <w:sz w:val="22"/>
          <w:szCs w:val="22"/>
          <w:lang w:val="en-GB"/>
        </w:rPr>
        <w:t>0 million over the first five years of listing. This was based on the impact of the statutory 16% price reduction following the listing of a biosimilar brand. The financial estimates did not account for any potential impacts of price disclosure.</w:t>
      </w:r>
      <w:r w:rsidR="00976BC7" w:rsidRPr="003365D6">
        <w:rPr>
          <w:rFonts w:ascii="Arial" w:hAnsi="Arial" w:cs="Arial"/>
          <w:bCs/>
          <w:snapToGrid w:val="0"/>
          <w:sz w:val="22"/>
          <w:szCs w:val="22"/>
          <w:lang w:val="en-GB"/>
        </w:rPr>
        <w:t xml:space="preserve"> </w:t>
      </w:r>
    </w:p>
    <w:p w:rsidR="000C7F7A" w:rsidRPr="003365D6" w:rsidRDefault="000C7F7A" w:rsidP="00626C74">
      <w:pPr>
        <w:widowControl w:val="0"/>
        <w:ind w:left="720"/>
        <w:contextualSpacing/>
        <w:jc w:val="both"/>
        <w:rPr>
          <w:rFonts w:ascii="Arial" w:hAnsi="Arial" w:cs="Arial"/>
          <w:bCs/>
          <w:snapToGrid w:val="0"/>
          <w:sz w:val="22"/>
          <w:szCs w:val="22"/>
          <w:lang w:val="en-GB"/>
        </w:rPr>
      </w:pPr>
    </w:p>
    <w:p w:rsidR="007A553F" w:rsidRPr="003365D6" w:rsidRDefault="007A553F" w:rsidP="007A553F">
      <w:pPr>
        <w:widowControl w:val="0"/>
        <w:numPr>
          <w:ilvl w:val="1"/>
          <w:numId w:val="2"/>
        </w:numPr>
        <w:contextualSpacing/>
        <w:jc w:val="both"/>
        <w:rPr>
          <w:rFonts w:ascii="Arial" w:hAnsi="Arial" w:cs="Arial"/>
          <w:bCs/>
          <w:snapToGrid w:val="0"/>
          <w:sz w:val="22"/>
          <w:szCs w:val="22"/>
          <w:lang w:val="en-GB"/>
        </w:rPr>
      </w:pPr>
      <w:r w:rsidRPr="003365D6">
        <w:rPr>
          <w:rFonts w:ascii="Arial" w:hAnsi="Arial" w:cs="Arial"/>
          <w:bCs/>
          <w:snapToGrid w:val="0"/>
          <w:sz w:val="22"/>
          <w:szCs w:val="22"/>
          <w:lang w:val="en-GB"/>
        </w:rPr>
        <w:t xml:space="preserve">The PBAC advised that </w:t>
      </w:r>
      <w:r w:rsidR="00F23EC3" w:rsidRPr="003365D6">
        <w:rPr>
          <w:rFonts w:ascii="Arial" w:hAnsi="Arial" w:cs="Arial"/>
          <w:bCs/>
          <w:snapToGrid w:val="0"/>
          <w:sz w:val="22"/>
          <w:szCs w:val="22"/>
          <w:lang w:val="en-GB"/>
        </w:rPr>
        <w:t>Inflectra</w:t>
      </w:r>
      <w:r w:rsidRPr="003365D6">
        <w:rPr>
          <w:rFonts w:ascii="Arial" w:hAnsi="Arial" w:cs="Arial"/>
          <w:bCs/>
          <w:snapToGrid w:val="0"/>
          <w:sz w:val="22"/>
          <w:szCs w:val="22"/>
          <w:lang w:val="en-GB"/>
        </w:rPr>
        <w:t xml:space="preserve"> is not suitable for prescribing by nurse practitioners.  </w:t>
      </w:r>
    </w:p>
    <w:p w:rsidR="007A553F" w:rsidRPr="003365D6" w:rsidRDefault="007A553F" w:rsidP="007A553F">
      <w:pPr>
        <w:widowControl w:val="0"/>
        <w:ind w:left="720"/>
        <w:contextualSpacing/>
        <w:jc w:val="both"/>
        <w:rPr>
          <w:rFonts w:ascii="Arial" w:hAnsi="Arial" w:cs="Arial"/>
          <w:bCs/>
          <w:snapToGrid w:val="0"/>
          <w:sz w:val="22"/>
          <w:szCs w:val="22"/>
          <w:lang w:val="en-GB"/>
        </w:rPr>
      </w:pPr>
    </w:p>
    <w:p w:rsidR="007A553F" w:rsidRPr="003365D6" w:rsidRDefault="007A553F" w:rsidP="007A553F">
      <w:pPr>
        <w:widowControl w:val="0"/>
        <w:numPr>
          <w:ilvl w:val="1"/>
          <w:numId w:val="2"/>
        </w:numPr>
        <w:contextualSpacing/>
        <w:jc w:val="both"/>
        <w:rPr>
          <w:rFonts w:ascii="Arial" w:hAnsi="Arial" w:cs="Arial"/>
          <w:bCs/>
          <w:snapToGrid w:val="0"/>
          <w:sz w:val="22"/>
          <w:szCs w:val="22"/>
          <w:lang w:val="en-GB"/>
        </w:rPr>
      </w:pPr>
      <w:r w:rsidRPr="003365D6">
        <w:rPr>
          <w:rFonts w:ascii="Arial" w:hAnsi="Arial" w:cs="Arial"/>
          <w:bCs/>
          <w:snapToGrid w:val="0"/>
          <w:sz w:val="22"/>
          <w:szCs w:val="22"/>
          <w:lang w:val="en-GB"/>
        </w:rPr>
        <w:t xml:space="preserve">The PBAC recommended that the Safety Net 20 Day Rule should not apply. </w:t>
      </w:r>
    </w:p>
    <w:p w:rsidR="007A553F" w:rsidRPr="003365D6" w:rsidRDefault="007A553F" w:rsidP="007A553F">
      <w:pPr>
        <w:widowControl w:val="0"/>
        <w:ind w:left="720"/>
        <w:contextualSpacing/>
        <w:jc w:val="both"/>
        <w:rPr>
          <w:rFonts w:ascii="Arial" w:hAnsi="Arial" w:cs="Arial"/>
          <w:bCs/>
          <w:snapToGrid w:val="0"/>
          <w:sz w:val="22"/>
          <w:szCs w:val="22"/>
          <w:lang w:val="en-GB"/>
        </w:rPr>
      </w:pPr>
    </w:p>
    <w:p w:rsidR="007A553F" w:rsidRPr="003365D6" w:rsidRDefault="007A553F" w:rsidP="000A075D">
      <w:pPr>
        <w:widowControl w:val="0"/>
        <w:numPr>
          <w:ilvl w:val="1"/>
          <w:numId w:val="2"/>
        </w:numPr>
        <w:contextualSpacing/>
        <w:jc w:val="both"/>
        <w:rPr>
          <w:rFonts w:ascii="Arial" w:hAnsi="Arial" w:cs="Arial"/>
          <w:bCs/>
          <w:snapToGrid w:val="0"/>
          <w:sz w:val="22"/>
          <w:szCs w:val="22"/>
          <w:lang w:val="en-GB"/>
        </w:rPr>
      </w:pPr>
      <w:r w:rsidRPr="003365D6">
        <w:rPr>
          <w:rFonts w:ascii="Arial" w:hAnsi="Arial" w:cs="Arial"/>
          <w:bCs/>
          <w:snapToGrid w:val="0"/>
          <w:sz w:val="22"/>
          <w:szCs w:val="22"/>
          <w:lang w:val="en-GB"/>
        </w:rPr>
        <w:t xml:space="preserve">The PBAC noted that this submission is not eligible for an Independent Review. </w:t>
      </w:r>
    </w:p>
    <w:p w:rsidR="007A553F" w:rsidRPr="003365D6" w:rsidRDefault="007A553F" w:rsidP="007A553F">
      <w:pPr>
        <w:widowControl w:val="0"/>
        <w:contextualSpacing/>
        <w:jc w:val="both"/>
        <w:rPr>
          <w:rFonts w:ascii="Arial" w:hAnsi="Arial" w:cs="Arial"/>
          <w:b/>
          <w:bCs/>
          <w:snapToGrid w:val="0"/>
          <w:sz w:val="22"/>
          <w:szCs w:val="22"/>
          <w:lang w:val="en-GB"/>
        </w:rPr>
      </w:pPr>
    </w:p>
    <w:p w:rsidR="000A075D" w:rsidRPr="003365D6" w:rsidRDefault="000A075D" w:rsidP="007A553F">
      <w:pPr>
        <w:widowControl w:val="0"/>
        <w:contextualSpacing/>
        <w:jc w:val="both"/>
        <w:rPr>
          <w:rFonts w:ascii="Arial" w:hAnsi="Arial" w:cs="Arial"/>
          <w:b/>
          <w:bCs/>
          <w:snapToGrid w:val="0"/>
          <w:sz w:val="22"/>
          <w:szCs w:val="22"/>
          <w:lang w:val="en-GB"/>
        </w:rPr>
      </w:pPr>
    </w:p>
    <w:p w:rsidR="007A553F" w:rsidRPr="003365D6" w:rsidRDefault="007A553F" w:rsidP="007A553F">
      <w:pPr>
        <w:jc w:val="both"/>
        <w:rPr>
          <w:rFonts w:ascii="Arial" w:hAnsi="Arial" w:cs="Arial"/>
          <w:b/>
          <w:bCs/>
          <w:snapToGrid w:val="0"/>
          <w:sz w:val="22"/>
          <w:szCs w:val="22"/>
          <w:lang w:val="en-GB"/>
        </w:rPr>
      </w:pPr>
      <w:r w:rsidRPr="003365D6">
        <w:rPr>
          <w:rFonts w:ascii="Arial" w:hAnsi="Arial" w:cs="Arial"/>
          <w:b/>
          <w:bCs/>
          <w:snapToGrid w:val="0"/>
          <w:sz w:val="22"/>
          <w:szCs w:val="22"/>
          <w:lang w:val="en-GB"/>
        </w:rPr>
        <w:t>Outcome:</w:t>
      </w:r>
    </w:p>
    <w:p w:rsidR="007A553F" w:rsidRPr="003365D6" w:rsidRDefault="007A553F" w:rsidP="007A553F">
      <w:pPr>
        <w:jc w:val="both"/>
        <w:rPr>
          <w:rFonts w:ascii="Arial" w:hAnsi="Arial" w:cs="Arial"/>
          <w:bCs/>
          <w:snapToGrid w:val="0"/>
          <w:sz w:val="22"/>
          <w:szCs w:val="22"/>
          <w:lang w:val="en-GB"/>
        </w:rPr>
      </w:pPr>
      <w:r w:rsidRPr="003365D6">
        <w:rPr>
          <w:rFonts w:ascii="Arial" w:hAnsi="Arial" w:cs="Arial"/>
          <w:bCs/>
          <w:snapToGrid w:val="0"/>
          <w:sz w:val="22"/>
          <w:szCs w:val="22"/>
          <w:lang w:val="en-GB"/>
        </w:rPr>
        <w:t>Recommended</w:t>
      </w:r>
    </w:p>
    <w:p w:rsidR="007A553F" w:rsidRDefault="007A553F" w:rsidP="007A553F">
      <w:pPr>
        <w:widowControl w:val="0"/>
        <w:jc w:val="both"/>
        <w:rPr>
          <w:rFonts w:ascii="Arial" w:hAnsi="Arial" w:cs="Arial"/>
          <w:bCs/>
          <w:snapToGrid w:val="0"/>
          <w:sz w:val="22"/>
          <w:szCs w:val="22"/>
        </w:rPr>
      </w:pPr>
    </w:p>
    <w:p w:rsidR="00BC7B8C" w:rsidRPr="003365D6" w:rsidRDefault="00BC7B8C" w:rsidP="007A553F">
      <w:pPr>
        <w:widowControl w:val="0"/>
        <w:jc w:val="both"/>
        <w:rPr>
          <w:rFonts w:ascii="Arial" w:hAnsi="Arial" w:cs="Arial"/>
          <w:bCs/>
          <w:snapToGrid w:val="0"/>
          <w:sz w:val="22"/>
          <w:szCs w:val="22"/>
        </w:rPr>
      </w:pPr>
    </w:p>
    <w:p w:rsidR="007A553F" w:rsidRPr="003365D6" w:rsidRDefault="007A553F" w:rsidP="007A553F">
      <w:pPr>
        <w:widowControl w:val="0"/>
        <w:numPr>
          <w:ilvl w:val="0"/>
          <w:numId w:val="2"/>
        </w:numPr>
        <w:jc w:val="both"/>
        <w:rPr>
          <w:rFonts w:ascii="Arial" w:hAnsi="Arial" w:cs="Arial"/>
          <w:b/>
          <w:bCs/>
          <w:i/>
          <w:snapToGrid w:val="0"/>
          <w:sz w:val="22"/>
          <w:szCs w:val="22"/>
          <w:lang w:val="en-GB"/>
        </w:rPr>
      </w:pPr>
      <w:r w:rsidRPr="003365D6">
        <w:rPr>
          <w:rFonts w:ascii="Arial" w:hAnsi="Arial" w:cs="Arial"/>
          <w:b/>
          <w:bCs/>
          <w:snapToGrid w:val="0"/>
          <w:sz w:val="22"/>
          <w:szCs w:val="22"/>
          <w:lang w:val="en-GB"/>
        </w:rPr>
        <w:t>Recommended listing</w:t>
      </w:r>
    </w:p>
    <w:p w:rsidR="007A553F" w:rsidRPr="003365D6" w:rsidRDefault="007A553F" w:rsidP="007A553F">
      <w:pPr>
        <w:jc w:val="both"/>
        <w:rPr>
          <w:rFonts w:ascii="Arial" w:hAnsi="Arial" w:cs="Arial"/>
          <w:b/>
          <w:bCs/>
          <w:i/>
          <w:snapToGrid w:val="0"/>
          <w:sz w:val="22"/>
          <w:szCs w:val="22"/>
          <w:lang w:val="en-GB"/>
        </w:rPr>
      </w:pPr>
    </w:p>
    <w:p w:rsidR="007A553F" w:rsidRPr="003365D6" w:rsidRDefault="007A553F" w:rsidP="003613FB">
      <w:pPr>
        <w:widowControl w:val="0"/>
        <w:numPr>
          <w:ilvl w:val="1"/>
          <w:numId w:val="2"/>
        </w:numPr>
        <w:contextualSpacing/>
        <w:jc w:val="both"/>
        <w:rPr>
          <w:rFonts w:ascii="Arial" w:hAnsi="Arial" w:cs="Arial"/>
          <w:bCs/>
          <w:snapToGrid w:val="0"/>
          <w:sz w:val="22"/>
          <w:szCs w:val="22"/>
        </w:rPr>
      </w:pPr>
      <w:r w:rsidRPr="003365D6">
        <w:rPr>
          <w:rFonts w:ascii="Arial" w:hAnsi="Arial" w:cs="Arial"/>
          <w:bCs/>
          <w:snapToGrid w:val="0"/>
          <w:sz w:val="22"/>
          <w:szCs w:val="22"/>
        </w:rPr>
        <w:t>Add new item:</w:t>
      </w:r>
    </w:p>
    <w:p w:rsidR="003613FB" w:rsidRPr="003365D6" w:rsidRDefault="003613FB" w:rsidP="007A553F">
      <w:pPr>
        <w:widowControl w:val="0"/>
        <w:jc w:val="both"/>
        <w:rPr>
          <w:rFonts w:ascii="Arial" w:hAnsi="Arial" w:cs="Arial"/>
          <w:bCs/>
          <w:snapToGrid w:val="0"/>
          <w:sz w:val="22"/>
          <w:szCs w:val="22"/>
        </w:rPr>
      </w:pPr>
    </w:p>
    <w:p w:rsidR="00C007AE" w:rsidRDefault="001D470E" w:rsidP="00626C74">
      <w:pPr>
        <w:widowControl w:val="0"/>
        <w:ind w:firstLine="720"/>
        <w:jc w:val="both"/>
        <w:rPr>
          <w:rFonts w:ascii="Arial" w:hAnsi="Arial" w:cs="Arial"/>
          <w:bCs/>
          <w:snapToGrid w:val="0"/>
          <w:sz w:val="22"/>
          <w:szCs w:val="22"/>
        </w:rPr>
      </w:pPr>
      <w:r w:rsidRPr="003365D6">
        <w:rPr>
          <w:rFonts w:ascii="Arial" w:hAnsi="Arial" w:cs="Arial"/>
          <w:bCs/>
          <w:snapToGrid w:val="0"/>
          <w:sz w:val="22"/>
          <w:szCs w:val="22"/>
        </w:rPr>
        <w:t>Listings same as for infliximab (Remicade).</w:t>
      </w:r>
    </w:p>
    <w:p w:rsidR="005613E7" w:rsidRDefault="005613E7" w:rsidP="00626C74">
      <w:pPr>
        <w:widowControl w:val="0"/>
        <w:ind w:firstLine="720"/>
        <w:jc w:val="both"/>
        <w:rPr>
          <w:rFonts w:ascii="Arial" w:hAnsi="Arial" w:cs="Arial"/>
          <w:bCs/>
          <w:snapToGrid w:val="0"/>
          <w:sz w:val="22"/>
          <w:szCs w:val="22"/>
        </w:rPr>
      </w:pPr>
    </w:p>
    <w:p w:rsidR="00BC7B8C" w:rsidRDefault="00BC7B8C" w:rsidP="00626C74">
      <w:pPr>
        <w:widowControl w:val="0"/>
        <w:ind w:firstLine="720"/>
        <w:jc w:val="both"/>
        <w:rPr>
          <w:rFonts w:ascii="Arial" w:hAnsi="Arial" w:cs="Arial"/>
          <w:bCs/>
          <w:snapToGrid w:val="0"/>
          <w:sz w:val="22"/>
          <w:szCs w:val="22"/>
        </w:rPr>
      </w:pPr>
    </w:p>
    <w:p w:rsidR="005613E7" w:rsidRPr="005613E7" w:rsidRDefault="005613E7" w:rsidP="005613E7">
      <w:pPr>
        <w:widowControl w:val="0"/>
        <w:numPr>
          <w:ilvl w:val="0"/>
          <w:numId w:val="2"/>
        </w:numPr>
        <w:jc w:val="both"/>
        <w:rPr>
          <w:rFonts w:ascii="Arial" w:hAnsi="Arial" w:cs="Arial"/>
          <w:b/>
          <w:bCs/>
          <w:snapToGrid w:val="0"/>
          <w:sz w:val="22"/>
          <w:szCs w:val="22"/>
          <w:lang w:val="en-GB"/>
        </w:rPr>
      </w:pPr>
      <w:r w:rsidRPr="005613E7">
        <w:rPr>
          <w:rFonts w:ascii="Arial" w:hAnsi="Arial" w:cs="Arial"/>
          <w:b/>
          <w:bCs/>
          <w:snapToGrid w:val="0"/>
          <w:sz w:val="22"/>
          <w:szCs w:val="22"/>
          <w:lang w:val="en-GB"/>
        </w:rPr>
        <w:t>Context for Decision</w:t>
      </w:r>
    </w:p>
    <w:p w:rsidR="005613E7" w:rsidRPr="005613E7" w:rsidRDefault="005613E7" w:rsidP="005613E7">
      <w:pPr>
        <w:widowControl w:val="0"/>
        <w:ind w:firstLine="720"/>
        <w:jc w:val="both"/>
        <w:rPr>
          <w:rFonts w:ascii="Arial" w:hAnsi="Arial" w:cs="Arial"/>
          <w:bCs/>
          <w:snapToGrid w:val="0"/>
          <w:sz w:val="22"/>
          <w:szCs w:val="22"/>
        </w:rPr>
      </w:pPr>
      <w:r w:rsidRPr="005613E7">
        <w:rPr>
          <w:rFonts w:ascii="Arial" w:hAnsi="Arial" w:cs="Arial"/>
          <w:bCs/>
          <w:snapToGrid w:val="0"/>
          <w:sz w:val="22"/>
          <w:szCs w:val="22"/>
        </w:rPr>
        <w:t xml:space="preserve"> </w:t>
      </w:r>
    </w:p>
    <w:p w:rsidR="005613E7" w:rsidRDefault="005613E7" w:rsidP="005613E7">
      <w:pPr>
        <w:widowControl w:val="0"/>
        <w:numPr>
          <w:ilvl w:val="1"/>
          <w:numId w:val="2"/>
        </w:numPr>
        <w:contextualSpacing/>
        <w:jc w:val="both"/>
        <w:rPr>
          <w:rFonts w:ascii="Arial" w:hAnsi="Arial" w:cs="Arial"/>
          <w:bCs/>
          <w:snapToGrid w:val="0"/>
          <w:sz w:val="22"/>
          <w:szCs w:val="22"/>
        </w:rPr>
      </w:pPr>
      <w:r w:rsidRPr="005613E7">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Pr>
          <w:rFonts w:ascii="Arial" w:hAnsi="Arial" w:cs="Arial"/>
          <w:bCs/>
          <w:snapToGrid w:val="0"/>
          <w:sz w:val="22"/>
          <w:szCs w:val="22"/>
        </w:rPr>
        <w:t>nt review of the PBAC decision.</w:t>
      </w:r>
    </w:p>
    <w:p w:rsidR="005613E7" w:rsidRDefault="005613E7" w:rsidP="005613E7">
      <w:pPr>
        <w:widowControl w:val="0"/>
        <w:ind w:left="720"/>
        <w:contextualSpacing/>
        <w:jc w:val="both"/>
        <w:rPr>
          <w:rFonts w:ascii="Arial" w:hAnsi="Arial" w:cs="Arial"/>
          <w:bCs/>
          <w:snapToGrid w:val="0"/>
          <w:sz w:val="22"/>
          <w:szCs w:val="22"/>
        </w:rPr>
      </w:pPr>
    </w:p>
    <w:p w:rsidR="00BC7B8C" w:rsidRDefault="00BC7B8C" w:rsidP="005613E7">
      <w:pPr>
        <w:widowControl w:val="0"/>
        <w:ind w:left="720"/>
        <w:contextualSpacing/>
        <w:jc w:val="both"/>
        <w:rPr>
          <w:rFonts w:ascii="Arial" w:hAnsi="Arial" w:cs="Arial"/>
          <w:bCs/>
          <w:snapToGrid w:val="0"/>
          <w:sz w:val="22"/>
          <w:szCs w:val="22"/>
        </w:rPr>
      </w:pPr>
    </w:p>
    <w:p w:rsidR="005613E7" w:rsidRDefault="005613E7" w:rsidP="005613E7">
      <w:pPr>
        <w:widowControl w:val="0"/>
        <w:numPr>
          <w:ilvl w:val="0"/>
          <w:numId w:val="2"/>
        </w:numPr>
        <w:jc w:val="both"/>
        <w:rPr>
          <w:rFonts w:ascii="Arial" w:hAnsi="Arial" w:cs="Arial"/>
          <w:b/>
          <w:bCs/>
          <w:snapToGrid w:val="0"/>
          <w:sz w:val="22"/>
          <w:szCs w:val="22"/>
          <w:lang w:val="en-GB"/>
        </w:rPr>
      </w:pPr>
      <w:r>
        <w:rPr>
          <w:rFonts w:ascii="Arial" w:hAnsi="Arial" w:cs="Arial"/>
          <w:b/>
          <w:bCs/>
          <w:snapToGrid w:val="0"/>
          <w:sz w:val="22"/>
          <w:szCs w:val="22"/>
          <w:lang w:val="en-GB"/>
        </w:rPr>
        <w:t>Sponsor’s Comment</w:t>
      </w:r>
    </w:p>
    <w:p w:rsidR="005613E7" w:rsidRDefault="005613E7" w:rsidP="005613E7">
      <w:pPr>
        <w:widowControl w:val="0"/>
        <w:ind w:left="720"/>
        <w:jc w:val="both"/>
        <w:rPr>
          <w:rFonts w:ascii="Arial" w:hAnsi="Arial" w:cs="Arial"/>
          <w:b/>
          <w:bCs/>
          <w:snapToGrid w:val="0"/>
          <w:sz w:val="22"/>
          <w:szCs w:val="22"/>
          <w:lang w:val="en-GB"/>
        </w:rPr>
      </w:pPr>
    </w:p>
    <w:p w:rsidR="00C76031" w:rsidRPr="008A4849" w:rsidRDefault="00C76031" w:rsidP="008A4849">
      <w:pPr>
        <w:ind w:left="720"/>
        <w:rPr>
          <w:rFonts w:ascii="Arial" w:hAnsi="Arial" w:cs="Arial"/>
          <w:sz w:val="22"/>
          <w:szCs w:val="22"/>
          <w:lang w:val="en-GB"/>
        </w:rPr>
      </w:pPr>
      <w:r w:rsidRPr="008A4849">
        <w:rPr>
          <w:rFonts w:ascii="Arial" w:hAnsi="Arial" w:cs="Arial"/>
          <w:sz w:val="22"/>
          <w:szCs w:val="22"/>
          <w:lang w:val="en-GB"/>
        </w:rPr>
        <w:t>The sponsor welcomes the PBAC’s recommendation to list INFLECTRA (infliximab) on the PBS.</w:t>
      </w:r>
      <w:r w:rsidR="008A4849">
        <w:rPr>
          <w:rFonts w:ascii="Arial" w:hAnsi="Arial" w:cs="Arial"/>
          <w:sz w:val="22"/>
          <w:szCs w:val="22"/>
          <w:lang w:val="en-GB"/>
        </w:rPr>
        <w:t xml:space="preserve"> </w:t>
      </w:r>
      <w:r w:rsidRPr="008A4849">
        <w:rPr>
          <w:rFonts w:ascii="Arial" w:hAnsi="Arial" w:cs="Arial"/>
          <w:sz w:val="22"/>
          <w:szCs w:val="22"/>
          <w:lang w:val="en-GB"/>
        </w:rPr>
        <w:t>We welcome the opportunity to continue the conversation with all healthcare stakeholders so that INFLECTRA can be responsibly introduced into the healthcare system for the benefit of doctors and patients.  We recognise the doctor patient relationship is paramount.</w:t>
      </w:r>
      <w:r w:rsidR="008A4849">
        <w:rPr>
          <w:rFonts w:ascii="Arial" w:hAnsi="Arial" w:cs="Arial"/>
          <w:sz w:val="22"/>
          <w:szCs w:val="22"/>
          <w:lang w:val="en-GB"/>
        </w:rPr>
        <w:t xml:space="preserve"> </w:t>
      </w:r>
      <w:r w:rsidRPr="008A4849">
        <w:rPr>
          <w:rFonts w:ascii="Arial" w:hAnsi="Arial" w:cs="Arial"/>
          <w:sz w:val="22"/>
          <w:szCs w:val="22"/>
          <w:lang w:val="en-GB"/>
        </w:rPr>
        <w:t xml:space="preserve">The sponsor did not seek ‘a’-flagging within this submission. </w:t>
      </w:r>
    </w:p>
    <w:p w:rsidR="005613E7" w:rsidRPr="00626C74" w:rsidRDefault="005613E7" w:rsidP="005613E7">
      <w:pPr>
        <w:widowControl w:val="0"/>
        <w:contextualSpacing/>
        <w:jc w:val="both"/>
        <w:rPr>
          <w:rFonts w:ascii="Arial" w:hAnsi="Arial" w:cs="Arial"/>
          <w:bCs/>
          <w:snapToGrid w:val="0"/>
          <w:sz w:val="22"/>
          <w:szCs w:val="22"/>
        </w:rPr>
      </w:pPr>
    </w:p>
    <w:sectPr w:rsidR="005613E7" w:rsidRPr="00626C74" w:rsidSect="00C27B58">
      <w:headerReference w:type="even" r:id="rId9"/>
      <w:headerReference w:type="default" r:id="rId10"/>
      <w:footerReference w:type="even" r:id="rId11"/>
      <w:footerReference w:type="default" r:id="rId12"/>
      <w:footerReference w:type="first" r:id="rId13"/>
      <w:footnotePr>
        <w:numFmt w:val="lowerLetter"/>
      </w:footnotePr>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F1" w:rsidRDefault="00D16AF1">
      <w:r>
        <w:separator/>
      </w:r>
    </w:p>
    <w:p w:rsidR="00D16AF1" w:rsidRDefault="00D16AF1"/>
  </w:endnote>
  <w:endnote w:type="continuationSeparator" w:id="0">
    <w:p w:rsidR="00D16AF1" w:rsidRDefault="00D16AF1">
      <w:r>
        <w:continuationSeparator/>
      </w:r>
    </w:p>
    <w:p w:rsidR="00D16AF1" w:rsidRDefault="00D16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A4849" w:rsidTr="005A3173">
      <w:trPr>
        <w:trHeight w:val="151"/>
      </w:trPr>
      <w:tc>
        <w:tcPr>
          <w:tcW w:w="2250" w:type="pct"/>
          <w:tcBorders>
            <w:top w:val="nil"/>
            <w:left w:val="nil"/>
            <w:bottom w:val="single" w:sz="4" w:space="0" w:color="4F81BD"/>
            <w:right w:val="nil"/>
          </w:tcBorders>
        </w:tcPr>
        <w:p w:rsidR="008A4849" w:rsidRPr="005A3173" w:rsidRDefault="008A484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A4849" w:rsidRPr="005A3173" w:rsidRDefault="008A484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4849" w:rsidRPr="005A3173" w:rsidRDefault="008A4849" w:rsidP="005A3173">
          <w:pPr>
            <w:pStyle w:val="Header"/>
            <w:spacing w:line="276" w:lineRule="auto"/>
            <w:rPr>
              <w:rFonts w:ascii="Calibri" w:eastAsia="MS Gothic" w:hAnsi="Calibri"/>
              <w:b/>
              <w:bCs/>
              <w:color w:val="4F81BD"/>
            </w:rPr>
          </w:pPr>
        </w:p>
      </w:tc>
    </w:tr>
    <w:tr w:rsidR="008A4849" w:rsidTr="005A3173">
      <w:trPr>
        <w:trHeight w:val="150"/>
      </w:trPr>
      <w:tc>
        <w:tcPr>
          <w:tcW w:w="2250" w:type="pct"/>
          <w:tcBorders>
            <w:top w:val="single" w:sz="4" w:space="0" w:color="4F81BD"/>
            <w:left w:val="nil"/>
            <w:bottom w:val="nil"/>
            <w:right w:val="nil"/>
          </w:tcBorders>
        </w:tcPr>
        <w:p w:rsidR="008A4849" w:rsidRPr="005A3173" w:rsidRDefault="008A4849" w:rsidP="005A3173">
          <w:pPr>
            <w:pStyle w:val="Header"/>
            <w:spacing w:line="276" w:lineRule="auto"/>
            <w:rPr>
              <w:rFonts w:ascii="Calibri" w:eastAsia="MS Gothic" w:hAnsi="Calibri"/>
              <w:b/>
              <w:bCs/>
              <w:color w:val="4F81BD"/>
            </w:rPr>
          </w:pPr>
        </w:p>
      </w:tc>
      <w:tc>
        <w:tcPr>
          <w:tcW w:w="0" w:type="auto"/>
          <w:vMerge/>
          <w:vAlign w:val="center"/>
          <w:hideMark/>
        </w:tcPr>
        <w:p w:rsidR="008A4849" w:rsidRPr="005A3173" w:rsidRDefault="008A4849" w:rsidP="005A3173">
          <w:pPr>
            <w:rPr>
              <w:rFonts w:ascii="Calibri" w:hAnsi="Calibri"/>
              <w:color w:val="365F91"/>
              <w:sz w:val="22"/>
              <w:szCs w:val="22"/>
            </w:rPr>
          </w:pPr>
        </w:p>
      </w:tc>
      <w:tc>
        <w:tcPr>
          <w:tcW w:w="2250" w:type="pct"/>
          <w:tcBorders>
            <w:top w:val="single" w:sz="4" w:space="0" w:color="4F81BD"/>
            <w:left w:val="nil"/>
            <w:bottom w:val="nil"/>
            <w:right w:val="nil"/>
          </w:tcBorders>
        </w:tcPr>
        <w:p w:rsidR="008A4849" w:rsidRPr="005A3173" w:rsidRDefault="008A4849" w:rsidP="005A3173">
          <w:pPr>
            <w:pStyle w:val="Header"/>
            <w:spacing w:line="276" w:lineRule="auto"/>
            <w:rPr>
              <w:rFonts w:ascii="Calibri" w:eastAsia="MS Gothic" w:hAnsi="Calibri"/>
              <w:b/>
              <w:bCs/>
              <w:color w:val="4F81BD"/>
            </w:rPr>
          </w:pPr>
        </w:p>
      </w:tc>
    </w:tr>
  </w:tbl>
  <w:p w:rsidR="008A4849" w:rsidRDefault="008A484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4849" w:rsidRDefault="008A4849">
    <w:pPr>
      <w:pStyle w:val="Footer"/>
    </w:pPr>
  </w:p>
  <w:p w:rsidR="008A4849" w:rsidRDefault="008A48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49" w:rsidRDefault="008A4849" w:rsidP="00EF44A0">
    <w:pPr>
      <w:pStyle w:val="Footer"/>
      <w:jc w:val="center"/>
      <w:rPr>
        <w:rFonts w:ascii="Arial" w:hAnsi="Arial" w:cs="Arial"/>
        <w:b/>
        <w:sz w:val="20"/>
        <w:szCs w:val="20"/>
      </w:rPr>
    </w:pPr>
  </w:p>
  <w:p w:rsidR="008A4849" w:rsidRPr="00651169" w:rsidRDefault="008A4849" w:rsidP="007A553F">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9A2820">
      <w:rPr>
        <w:rFonts w:ascii="Arial" w:hAnsi="Arial" w:cs="Arial"/>
        <w:noProof/>
        <w:sz w:val="20"/>
        <w:szCs w:val="20"/>
      </w:rPr>
      <w:t>24</w:t>
    </w:r>
    <w:r w:rsidRPr="00651169">
      <w:rPr>
        <w:rFonts w:ascii="Arial" w:hAnsi="Arial" w:cs="Arial"/>
        <w:noProof/>
        <w:sz w:val="20"/>
        <w:szCs w:val="20"/>
      </w:rPr>
      <w:fldChar w:fldCharType="end"/>
    </w:r>
  </w:p>
  <w:p w:rsidR="008A4849" w:rsidRDefault="008A4849" w:rsidP="007A553F">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A4849" w:rsidTr="005A3173">
      <w:trPr>
        <w:trHeight w:val="151"/>
      </w:trPr>
      <w:tc>
        <w:tcPr>
          <w:tcW w:w="2250" w:type="pct"/>
          <w:tcBorders>
            <w:top w:val="nil"/>
            <w:left w:val="nil"/>
            <w:bottom w:val="single" w:sz="4" w:space="0" w:color="4F81BD"/>
            <w:right w:val="nil"/>
          </w:tcBorders>
        </w:tcPr>
        <w:p w:rsidR="008A4849" w:rsidRPr="005A3173" w:rsidRDefault="008A484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A4849" w:rsidRPr="005A3173" w:rsidRDefault="008A484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4849" w:rsidRPr="005A3173" w:rsidRDefault="008A4849" w:rsidP="005A3173">
          <w:pPr>
            <w:pStyle w:val="Header"/>
            <w:spacing w:line="276" w:lineRule="auto"/>
            <w:rPr>
              <w:rFonts w:ascii="Calibri" w:eastAsia="MS Gothic" w:hAnsi="Calibri"/>
              <w:b/>
              <w:bCs/>
              <w:color w:val="4F81BD"/>
            </w:rPr>
          </w:pPr>
        </w:p>
      </w:tc>
    </w:tr>
    <w:tr w:rsidR="008A4849" w:rsidTr="005A3173">
      <w:trPr>
        <w:trHeight w:val="150"/>
      </w:trPr>
      <w:tc>
        <w:tcPr>
          <w:tcW w:w="2250" w:type="pct"/>
          <w:tcBorders>
            <w:top w:val="single" w:sz="4" w:space="0" w:color="4F81BD"/>
            <w:left w:val="nil"/>
            <w:bottom w:val="nil"/>
            <w:right w:val="nil"/>
          </w:tcBorders>
        </w:tcPr>
        <w:p w:rsidR="008A4849" w:rsidRPr="005A3173" w:rsidRDefault="008A4849" w:rsidP="005A3173">
          <w:pPr>
            <w:pStyle w:val="Header"/>
            <w:spacing w:line="276" w:lineRule="auto"/>
            <w:rPr>
              <w:rFonts w:ascii="Calibri" w:eastAsia="MS Gothic" w:hAnsi="Calibri"/>
              <w:b/>
              <w:bCs/>
              <w:color w:val="4F81BD"/>
            </w:rPr>
          </w:pPr>
        </w:p>
      </w:tc>
      <w:tc>
        <w:tcPr>
          <w:tcW w:w="0" w:type="auto"/>
          <w:vMerge/>
          <w:vAlign w:val="center"/>
          <w:hideMark/>
        </w:tcPr>
        <w:p w:rsidR="008A4849" w:rsidRPr="005A3173" w:rsidRDefault="008A4849" w:rsidP="005A3173">
          <w:pPr>
            <w:rPr>
              <w:rFonts w:ascii="Calibri" w:hAnsi="Calibri"/>
              <w:color w:val="365F91"/>
              <w:sz w:val="22"/>
              <w:szCs w:val="22"/>
            </w:rPr>
          </w:pPr>
        </w:p>
      </w:tc>
      <w:tc>
        <w:tcPr>
          <w:tcW w:w="2250" w:type="pct"/>
          <w:tcBorders>
            <w:top w:val="single" w:sz="4" w:space="0" w:color="4F81BD"/>
            <w:left w:val="nil"/>
            <w:bottom w:val="nil"/>
            <w:right w:val="nil"/>
          </w:tcBorders>
        </w:tcPr>
        <w:p w:rsidR="008A4849" w:rsidRPr="005A3173" w:rsidRDefault="008A484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A4849" w:rsidTr="005A3173">
      <w:trPr>
        <w:trHeight w:val="151"/>
      </w:trPr>
      <w:tc>
        <w:tcPr>
          <w:tcW w:w="2250" w:type="pct"/>
          <w:tcBorders>
            <w:top w:val="nil"/>
            <w:left w:val="nil"/>
            <w:bottom w:val="single" w:sz="4" w:space="0" w:color="4F81BD"/>
            <w:right w:val="nil"/>
          </w:tcBorders>
        </w:tcPr>
        <w:p w:rsidR="008A4849" w:rsidRPr="005A3173" w:rsidRDefault="008A484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A4849" w:rsidRPr="005A3173" w:rsidRDefault="008A484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A4849" w:rsidRPr="005A3173" w:rsidRDefault="008A4849" w:rsidP="005A3173">
          <w:pPr>
            <w:pStyle w:val="Header"/>
            <w:spacing w:line="276" w:lineRule="auto"/>
            <w:rPr>
              <w:rFonts w:ascii="Calibri" w:eastAsia="MS Gothic" w:hAnsi="Calibri"/>
              <w:b/>
              <w:bCs/>
              <w:color w:val="4F81BD"/>
            </w:rPr>
          </w:pPr>
        </w:p>
      </w:tc>
    </w:tr>
    <w:tr w:rsidR="008A4849" w:rsidTr="005A3173">
      <w:trPr>
        <w:trHeight w:val="150"/>
      </w:trPr>
      <w:tc>
        <w:tcPr>
          <w:tcW w:w="2250" w:type="pct"/>
          <w:tcBorders>
            <w:top w:val="single" w:sz="4" w:space="0" w:color="4F81BD"/>
            <w:left w:val="nil"/>
            <w:bottom w:val="nil"/>
            <w:right w:val="nil"/>
          </w:tcBorders>
        </w:tcPr>
        <w:p w:rsidR="008A4849" w:rsidRPr="005A3173" w:rsidRDefault="008A4849" w:rsidP="005A3173">
          <w:pPr>
            <w:pStyle w:val="Header"/>
            <w:spacing w:line="276" w:lineRule="auto"/>
            <w:rPr>
              <w:rFonts w:ascii="Calibri" w:eastAsia="MS Gothic" w:hAnsi="Calibri"/>
              <w:b/>
              <w:bCs/>
              <w:color w:val="4F81BD"/>
            </w:rPr>
          </w:pPr>
        </w:p>
      </w:tc>
      <w:tc>
        <w:tcPr>
          <w:tcW w:w="0" w:type="auto"/>
          <w:vMerge/>
          <w:vAlign w:val="center"/>
          <w:hideMark/>
        </w:tcPr>
        <w:p w:rsidR="008A4849" w:rsidRPr="005A3173" w:rsidRDefault="008A4849" w:rsidP="005A3173">
          <w:pPr>
            <w:rPr>
              <w:rFonts w:ascii="Calibri" w:hAnsi="Calibri"/>
              <w:color w:val="365F91"/>
              <w:sz w:val="22"/>
              <w:szCs w:val="22"/>
            </w:rPr>
          </w:pPr>
        </w:p>
      </w:tc>
      <w:tc>
        <w:tcPr>
          <w:tcW w:w="2250" w:type="pct"/>
          <w:tcBorders>
            <w:top w:val="single" w:sz="4" w:space="0" w:color="4F81BD"/>
            <w:left w:val="nil"/>
            <w:bottom w:val="nil"/>
            <w:right w:val="nil"/>
          </w:tcBorders>
        </w:tcPr>
        <w:p w:rsidR="008A4849" w:rsidRPr="005A3173" w:rsidRDefault="008A4849" w:rsidP="005A3173">
          <w:pPr>
            <w:pStyle w:val="Header"/>
            <w:spacing w:line="276" w:lineRule="auto"/>
            <w:rPr>
              <w:rFonts w:ascii="Calibri" w:eastAsia="MS Gothic" w:hAnsi="Calibri"/>
              <w:b/>
              <w:bCs/>
              <w:color w:val="4F81BD"/>
            </w:rPr>
          </w:pPr>
        </w:p>
      </w:tc>
    </w:tr>
  </w:tbl>
  <w:p w:rsidR="008A4849" w:rsidRPr="007C0F57" w:rsidRDefault="008A484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A4849" w:rsidRPr="007C0F57" w:rsidRDefault="008A4849" w:rsidP="007C0F57">
    <w:pPr>
      <w:pStyle w:val="Footer"/>
      <w:jc w:val="center"/>
      <w:rPr>
        <w:b/>
        <w:i/>
        <w:sz w:val="20"/>
        <w:szCs w:val="20"/>
      </w:rPr>
    </w:pPr>
    <w:r w:rsidRPr="007C0F57">
      <w:rPr>
        <w:b/>
        <w:i/>
        <w:sz w:val="20"/>
        <w:szCs w:val="20"/>
      </w:rPr>
      <w:t>Commercial-in-Confidence</w:t>
    </w:r>
  </w:p>
  <w:p w:rsidR="008A4849" w:rsidRDefault="008A48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F1" w:rsidRDefault="00D16AF1">
      <w:r>
        <w:separator/>
      </w:r>
    </w:p>
    <w:p w:rsidR="00D16AF1" w:rsidRDefault="00D16AF1"/>
  </w:footnote>
  <w:footnote w:type="continuationSeparator" w:id="0">
    <w:p w:rsidR="00D16AF1" w:rsidRDefault="00D16AF1">
      <w:r>
        <w:continuationSeparator/>
      </w:r>
    </w:p>
    <w:p w:rsidR="00D16AF1" w:rsidRDefault="00D16AF1"/>
  </w:footnote>
  <w:footnote w:id="1">
    <w:p w:rsidR="008A4849" w:rsidRPr="00226E39" w:rsidRDefault="008A4849" w:rsidP="000D462F">
      <w:pPr>
        <w:pStyle w:val="FootnoteText"/>
        <w:rPr>
          <w:rFonts w:ascii="Arial" w:hAnsi="Arial" w:cs="Arial"/>
        </w:rPr>
      </w:pPr>
      <w:r w:rsidRPr="00226E39">
        <w:rPr>
          <w:rStyle w:val="FootnoteReference"/>
          <w:rFonts w:ascii="Arial" w:hAnsi="Arial" w:cs="Arial"/>
        </w:rPr>
        <w:footnoteRef/>
      </w:r>
      <w:r w:rsidRPr="00226E39">
        <w:rPr>
          <w:rFonts w:ascii="Arial" w:hAnsi="Arial" w:cs="Arial"/>
        </w:rPr>
        <w:t xml:space="preserve"> </w:t>
      </w:r>
      <w:hyperlink r:id="rId1" w:history="1">
        <w:r w:rsidRPr="00103BE3">
          <w:rPr>
            <w:rStyle w:val="Hyperlink"/>
            <w:rFonts w:ascii="Arial" w:hAnsi="Arial" w:cs="Arial"/>
          </w:rPr>
          <w:t>Symbols used in the Schedule</w:t>
        </w:r>
      </w:hyperlink>
      <w:hyperlink r:id="rId2" w:history="1"/>
      <w:r w:rsidRPr="00226E39">
        <w:rPr>
          <w:rFonts w:ascii="Arial" w:hAnsi="Arial" w:cs="Arial"/>
        </w:rPr>
        <w:t xml:space="preserve"> - accessed 27/05/2015</w:t>
      </w:r>
    </w:p>
  </w:footnote>
  <w:footnote w:id="2">
    <w:p w:rsidR="008A4849" w:rsidRPr="00F342E0" w:rsidRDefault="008A4849">
      <w:pPr>
        <w:pStyle w:val="FootnoteText"/>
        <w:rPr>
          <w:rFonts w:ascii="Arial" w:hAnsi="Arial" w:cs="Arial"/>
        </w:rPr>
      </w:pPr>
      <w:r w:rsidRPr="00F342E0">
        <w:rPr>
          <w:rStyle w:val="FootnoteReference"/>
          <w:rFonts w:ascii="Arial" w:hAnsi="Arial" w:cs="Arial"/>
        </w:rPr>
        <w:footnoteRef/>
      </w:r>
      <w:r w:rsidRPr="00F342E0">
        <w:rPr>
          <w:rFonts w:ascii="Arial" w:hAnsi="Arial" w:cs="Arial"/>
        </w:rPr>
        <w:t xml:space="preserve"> Bath Ankylosing Spondylitis Disease Activity Index (BASDAI), Functional Index (BASFI) and Metrology Index (BASMI).</w:t>
      </w:r>
    </w:p>
  </w:footnote>
  <w:footnote w:id="3">
    <w:p w:rsidR="008A4849" w:rsidRPr="00226E39" w:rsidRDefault="008A4849" w:rsidP="00026CA6">
      <w:pPr>
        <w:pStyle w:val="FootnoteText"/>
      </w:pPr>
      <w:r w:rsidRPr="001216FE">
        <w:rPr>
          <w:rFonts w:ascii="Arial" w:hAnsi="Arial"/>
          <w:vertAlign w:val="superscript"/>
        </w:rPr>
        <w:footnoteRef/>
      </w:r>
      <w:r w:rsidRPr="00226E39">
        <w:rPr>
          <w:rFonts w:ascii="Arial" w:hAnsi="Arial"/>
        </w:rPr>
        <w:t xml:space="preserve"> Acceptable prescribers for infliximab</w:t>
      </w:r>
      <w:r>
        <w:rPr>
          <w:rFonts w:ascii="Arial" w:hAnsi="Arial"/>
        </w:rPr>
        <w:t xml:space="preserve"> in the PBS listing of Remicade</w:t>
      </w:r>
      <w:r w:rsidRPr="00226E39">
        <w:rPr>
          <w:rFonts w:ascii="Arial" w:hAnsi="Arial"/>
        </w:rPr>
        <w:t xml:space="preserve"> are: a gastroenterologist or internal / general medicine consultant specialising in gastroenterology for IBD conditions, with consultation with a paediatric gastroenterologist for children; a dermatologist for psoriasis; a rheumatologist or clinical immunologist with expertise in the management of rheumatoid arthritis for the rheumatoid arthritis indication; and, a rheumatologist for the ankylosing spondylitis indication.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A4849" w:rsidRPr="008E0D90" w:rsidTr="00A06225">
      <w:trPr>
        <w:trHeight w:val="151"/>
      </w:trPr>
      <w:tc>
        <w:tcPr>
          <w:tcW w:w="2389" w:type="pct"/>
          <w:tcBorders>
            <w:top w:val="nil"/>
            <w:left w:val="nil"/>
            <w:bottom w:val="single" w:sz="4" w:space="0" w:color="4F81BD"/>
            <w:right w:val="nil"/>
          </w:tcBorders>
        </w:tcPr>
        <w:p w:rsidR="008A4849" w:rsidRPr="00A06225" w:rsidRDefault="008A4849">
          <w:pPr>
            <w:pStyle w:val="Header"/>
            <w:spacing w:line="276" w:lineRule="auto"/>
            <w:rPr>
              <w:rFonts w:ascii="Cambria" w:eastAsia="MS Gothic" w:hAnsi="Cambria"/>
              <w:b/>
              <w:bCs/>
              <w:color w:val="4F81BD"/>
            </w:rPr>
          </w:pPr>
        </w:p>
      </w:tc>
      <w:tc>
        <w:tcPr>
          <w:tcW w:w="333" w:type="pct"/>
          <w:vMerge w:val="restart"/>
          <w:noWrap/>
          <w:vAlign w:val="center"/>
          <w:hideMark/>
        </w:tcPr>
        <w:p w:rsidR="008A4849" w:rsidRPr="00A06225" w:rsidRDefault="008A484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A4849" w:rsidRPr="00A06225" w:rsidRDefault="008A4849">
          <w:pPr>
            <w:pStyle w:val="Header"/>
            <w:spacing w:line="276" w:lineRule="auto"/>
            <w:rPr>
              <w:rFonts w:ascii="Cambria" w:eastAsia="MS Gothic" w:hAnsi="Cambria"/>
              <w:b/>
              <w:bCs/>
              <w:color w:val="4F81BD"/>
            </w:rPr>
          </w:pPr>
        </w:p>
      </w:tc>
    </w:tr>
    <w:tr w:rsidR="008A4849" w:rsidRPr="008E0D90" w:rsidTr="00A06225">
      <w:trPr>
        <w:trHeight w:val="150"/>
      </w:trPr>
      <w:tc>
        <w:tcPr>
          <w:tcW w:w="2389" w:type="pct"/>
          <w:tcBorders>
            <w:top w:val="single" w:sz="4" w:space="0" w:color="4F81BD"/>
            <w:left w:val="nil"/>
            <w:bottom w:val="nil"/>
            <w:right w:val="nil"/>
          </w:tcBorders>
        </w:tcPr>
        <w:p w:rsidR="008A4849" w:rsidRPr="00A06225" w:rsidRDefault="008A4849">
          <w:pPr>
            <w:pStyle w:val="Header"/>
            <w:spacing w:line="276" w:lineRule="auto"/>
            <w:rPr>
              <w:rFonts w:ascii="Cambria" w:eastAsia="MS Gothic" w:hAnsi="Cambria"/>
              <w:b/>
              <w:bCs/>
              <w:color w:val="4F81BD"/>
            </w:rPr>
          </w:pPr>
        </w:p>
      </w:tc>
      <w:tc>
        <w:tcPr>
          <w:tcW w:w="0" w:type="auto"/>
          <w:vMerge/>
          <w:vAlign w:val="center"/>
          <w:hideMark/>
        </w:tcPr>
        <w:p w:rsidR="008A4849" w:rsidRPr="00A06225" w:rsidRDefault="008A4849">
          <w:pPr>
            <w:rPr>
              <w:rFonts w:ascii="Cambria" w:hAnsi="Cambria"/>
              <w:color w:val="4F81BD"/>
              <w:sz w:val="22"/>
              <w:szCs w:val="22"/>
            </w:rPr>
          </w:pPr>
        </w:p>
      </w:tc>
      <w:tc>
        <w:tcPr>
          <w:tcW w:w="2278" w:type="pct"/>
          <w:tcBorders>
            <w:top w:val="single" w:sz="4" w:space="0" w:color="4F81BD"/>
            <w:left w:val="nil"/>
            <w:bottom w:val="nil"/>
            <w:right w:val="nil"/>
          </w:tcBorders>
        </w:tcPr>
        <w:p w:rsidR="008A4849" w:rsidRPr="00A06225" w:rsidRDefault="008A4849">
          <w:pPr>
            <w:pStyle w:val="Header"/>
            <w:spacing w:line="276" w:lineRule="auto"/>
            <w:rPr>
              <w:rFonts w:ascii="Cambria" w:eastAsia="MS Gothic" w:hAnsi="Cambria"/>
              <w:b/>
              <w:bCs/>
              <w:color w:val="4F81BD"/>
            </w:rPr>
          </w:pPr>
        </w:p>
      </w:tc>
    </w:tr>
  </w:tbl>
  <w:p w:rsidR="008A4849" w:rsidRDefault="008A4849">
    <w:pPr>
      <w:pStyle w:val="Header"/>
    </w:pPr>
  </w:p>
  <w:p w:rsidR="008A4849" w:rsidRDefault="008A48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49" w:rsidRPr="00DF217D" w:rsidRDefault="008A4849" w:rsidP="007A553F">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w:t>
    </w:r>
    <w:r>
      <w:rPr>
        <w:rFonts w:ascii="Arial" w:hAnsi="Arial" w:cs="Arial"/>
        <w:i/>
        <w:color w:val="808080"/>
        <w:sz w:val="22"/>
      </w:rPr>
      <w:t xml:space="preserve"> July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8A4849" w:rsidRDefault="008A4849"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3pt;height:168.3pt" o:bullet="t">
        <v:imagedata r:id="rId1" o:title="clip_image001"/>
      </v:shape>
    </w:pict>
  </w:numPicBullet>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872EE3"/>
    <w:multiLevelType w:val="hybridMultilevel"/>
    <w:tmpl w:val="066E09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F46BA6"/>
    <w:multiLevelType w:val="multilevel"/>
    <w:tmpl w:val="FDB6CB1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1134" w:hanging="414"/>
      </w:pPr>
      <w:rPr>
        <w:rFonts w:ascii="Arial" w:hAnsi="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214D07"/>
    <w:multiLevelType w:val="hybridMultilevel"/>
    <w:tmpl w:val="B6DA72F0"/>
    <w:lvl w:ilvl="0" w:tplc="3D042618">
      <w:start w:val="1"/>
      <w:numFmt w:val="bullet"/>
      <w:lvlText w:val="-"/>
      <w:lvlJc w:val="left"/>
      <w:pPr>
        <w:ind w:left="1440" w:hanging="360"/>
      </w:pPr>
      <w:rPr>
        <w:rFonts w:ascii="Arial Narrow" w:eastAsia="Times New Roman" w:hAnsi="Arial Narrow"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132682"/>
    <w:multiLevelType w:val="hybridMultilevel"/>
    <w:tmpl w:val="27A42A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ADD6EBB"/>
    <w:multiLevelType w:val="hybridMultilevel"/>
    <w:tmpl w:val="9080076C"/>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8">
    <w:nsid w:val="0BAE4E06"/>
    <w:multiLevelType w:val="hybridMultilevel"/>
    <w:tmpl w:val="7AEE6488"/>
    <w:lvl w:ilvl="0" w:tplc="DE0E60D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161FE8"/>
    <w:multiLevelType w:val="hybridMultilevel"/>
    <w:tmpl w:val="6B96C0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23112F7"/>
    <w:multiLevelType w:val="hybridMultilevel"/>
    <w:tmpl w:val="86201E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4040AF8"/>
    <w:multiLevelType w:val="multilevel"/>
    <w:tmpl w:val="F40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F03AA6"/>
    <w:multiLevelType w:val="multilevel"/>
    <w:tmpl w:val="4866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926CF8"/>
    <w:multiLevelType w:val="hybridMultilevel"/>
    <w:tmpl w:val="6C3C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F35F24"/>
    <w:multiLevelType w:val="hybridMultilevel"/>
    <w:tmpl w:val="7AEE6488"/>
    <w:lvl w:ilvl="0" w:tplc="DE0E60D2">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6">
    <w:nsid w:val="1F181FE9"/>
    <w:multiLevelType w:val="hybridMultilevel"/>
    <w:tmpl w:val="DBE4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495C27"/>
    <w:multiLevelType w:val="hybridMultilevel"/>
    <w:tmpl w:val="09E04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2F6792"/>
    <w:multiLevelType w:val="hybridMultilevel"/>
    <w:tmpl w:val="1486B1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00C0B8E"/>
    <w:multiLevelType w:val="multilevel"/>
    <w:tmpl w:val="D896AAC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1134" w:hanging="414"/>
      </w:pPr>
      <w:rPr>
        <w:rFonts w:ascii="Arial" w:hAnsi="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3D47E71"/>
    <w:multiLevelType w:val="hybridMultilevel"/>
    <w:tmpl w:val="06ECE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D51414"/>
    <w:multiLevelType w:val="hybridMultilevel"/>
    <w:tmpl w:val="3EEA29D0"/>
    <w:lvl w:ilvl="0" w:tplc="67DE2FF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3">
    <w:nsid w:val="36051B19"/>
    <w:multiLevelType w:val="hybridMultilevel"/>
    <w:tmpl w:val="819242E8"/>
    <w:lvl w:ilvl="0" w:tplc="E812942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0558CC"/>
    <w:multiLevelType w:val="hybridMultilevel"/>
    <w:tmpl w:val="01240F5A"/>
    <w:lvl w:ilvl="0" w:tplc="3D042618">
      <w:start w:val="1"/>
      <w:numFmt w:val="bullet"/>
      <w:lvlText w:val="-"/>
      <w:lvlJc w:val="left"/>
      <w:pPr>
        <w:ind w:left="1440" w:hanging="360"/>
      </w:pPr>
      <w:rPr>
        <w:rFonts w:ascii="Arial Narrow" w:eastAsia="Times New Roman" w:hAnsi="Arial Narrow"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3F9B5BDB"/>
    <w:multiLevelType w:val="hybridMultilevel"/>
    <w:tmpl w:val="4B58DC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28063F5"/>
    <w:multiLevelType w:val="hybridMultilevel"/>
    <w:tmpl w:val="F33AB0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3782586"/>
    <w:multiLevelType w:val="hybridMultilevel"/>
    <w:tmpl w:val="72D4BC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E32C58"/>
    <w:multiLevelType w:val="hybridMultilevel"/>
    <w:tmpl w:val="E17049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F661B9F"/>
    <w:multiLevelType w:val="multilevel"/>
    <w:tmpl w:val="D494E12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bullet"/>
      <w:lvlText w:val="-"/>
      <w:lvlJc w:val="left"/>
      <w:pPr>
        <w:ind w:left="1134" w:hanging="414"/>
      </w:pPr>
      <w:rPr>
        <w:rFonts w:ascii="Arial" w:hAnsi="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2F21DC0"/>
    <w:multiLevelType w:val="hybridMultilevel"/>
    <w:tmpl w:val="2986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C512DEA"/>
    <w:multiLevelType w:val="multilevel"/>
    <w:tmpl w:val="57585EA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bullet"/>
      <w:lvlText w:val=""/>
      <w:lvlJc w:val="left"/>
      <w:pPr>
        <w:ind w:left="1134" w:hanging="414"/>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E045FF9"/>
    <w:multiLevelType w:val="hybridMultilevel"/>
    <w:tmpl w:val="494C7540"/>
    <w:lvl w:ilvl="0" w:tplc="E812942C">
      <w:start w:val="1"/>
      <w:numFmt w:val="bullet"/>
      <w:lvlText w:val="-"/>
      <w:lvlJc w:val="left"/>
      <w:pPr>
        <w:ind w:left="1429" w:hanging="360"/>
      </w:pPr>
      <w:rPr>
        <w:rFonts w:ascii="Arial" w:hAnsi="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76527832"/>
    <w:multiLevelType w:val="hybridMultilevel"/>
    <w:tmpl w:val="CF6AB8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7CD328E"/>
    <w:multiLevelType w:val="hybridMultilevel"/>
    <w:tmpl w:val="6296B4B2"/>
    <w:lvl w:ilvl="0" w:tplc="E812942C">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84D033C"/>
    <w:multiLevelType w:val="multilevel"/>
    <w:tmpl w:val="85E64AD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rPr>
    </w:lvl>
    <w:lvl w:ilvl="2">
      <w:start w:val="1"/>
      <w:numFmt w:val="bullet"/>
      <w:lvlText w:val=""/>
      <w:lvlJc w:val="left"/>
      <w:pPr>
        <w:ind w:left="1134" w:hanging="414"/>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797BA2"/>
    <w:multiLevelType w:val="hybridMultilevel"/>
    <w:tmpl w:val="7708D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7D922735"/>
    <w:multiLevelType w:val="hybridMultilevel"/>
    <w:tmpl w:val="8CBED3E0"/>
    <w:lvl w:ilvl="0" w:tplc="931280E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15"/>
  </w:num>
  <w:num w:numId="2">
    <w:abstractNumId w:val="38"/>
  </w:num>
  <w:num w:numId="3">
    <w:abstractNumId w:val="4"/>
  </w:num>
  <w:num w:numId="4">
    <w:abstractNumId w:val="33"/>
  </w:num>
  <w:num w:numId="5">
    <w:abstractNumId w:val="32"/>
  </w:num>
  <w:num w:numId="6">
    <w:abstractNumId w:val="3"/>
  </w:num>
  <w:num w:numId="7">
    <w:abstractNumId w:val="24"/>
  </w:num>
  <w:num w:numId="8">
    <w:abstractNumId w:val="25"/>
  </w:num>
  <w:num w:numId="9">
    <w:abstractNumId w:val="16"/>
  </w:num>
  <w:num w:numId="10">
    <w:abstractNumId w:val="19"/>
  </w:num>
  <w:num w:numId="11">
    <w:abstractNumId w:val="5"/>
  </w:num>
  <w:num w:numId="12">
    <w:abstractNumId w:val="12"/>
  </w:num>
  <w:num w:numId="13">
    <w:abstractNumId w:val="13"/>
  </w:num>
  <w:num w:numId="14">
    <w:abstractNumId w:val="36"/>
  </w:num>
  <w:num w:numId="15">
    <w:abstractNumId w:val="11"/>
  </w:num>
  <w:num w:numId="16">
    <w:abstractNumId w:val="35"/>
  </w:num>
  <w:num w:numId="17">
    <w:abstractNumId w:val="10"/>
  </w:num>
  <w:num w:numId="18">
    <w:abstractNumId w:val="9"/>
  </w:num>
  <w:num w:numId="19">
    <w:abstractNumId w:val="8"/>
  </w:num>
  <w:num w:numId="20">
    <w:abstractNumId w:val="26"/>
  </w:num>
  <w:num w:numId="21">
    <w:abstractNumId w:val="14"/>
  </w:num>
  <w:num w:numId="22">
    <w:abstractNumId w:val="34"/>
  </w:num>
  <w:num w:numId="23">
    <w:abstractNumId w:val="40"/>
  </w:num>
  <w:num w:numId="24">
    <w:abstractNumId w:val="22"/>
  </w:num>
  <w:num w:numId="25">
    <w:abstractNumId w:val="39"/>
  </w:num>
  <w:num w:numId="26">
    <w:abstractNumId w:val="21"/>
  </w:num>
  <w:num w:numId="27">
    <w:abstractNumId w:val="30"/>
  </w:num>
  <w:num w:numId="28">
    <w:abstractNumId w:val="31"/>
  </w:num>
  <w:num w:numId="29">
    <w:abstractNumId w:val="37"/>
  </w:num>
  <w:num w:numId="30">
    <w:abstractNumId w:val="20"/>
  </w:num>
  <w:num w:numId="31">
    <w:abstractNumId w:val="23"/>
  </w:num>
  <w:num w:numId="32">
    <w:abstractNumId w:val="2"/>
  </w:num>
  <w:num w:numId="33">
    <w:abstractNumId w:val="27"/>
  </w:num>
  <w:num w:numId="34">
    <w:abstractNumId w:val="1"/>
  </w:num>
  <w:num w:numId="35">
    <w:abstractNumId w:val="28"/>
  </w:num>
  <w:num w:numId="36">
    <w:abstractNumId w:val="29"/>
  </w:num>
  <w:num w:numId="37">
    <w:abstractNumId w:val="6"/>
  </w:num>
  <w:num w:numId="38">
    <w:abstractNumId w:val="0"/>
  </w:num>
  <w:num w:numId="39">
    <w:abstractNumId w:val="17"/>
  </w:num>
  <w:num w:numId="40">
    <w:abstractNumId w:val="7"/>
  </w:num>
  <w:num w:numId="4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dav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vfevd5f6rfrz0ef5eu55s58vveexx5p5a25&quot;&gt;Inflectra and biosimilars&lt;record-ids&gt;&lt;item&gt;5&lt;/item&gt;&lt;item&gt;6&lt;/item&gt;&lt;item&gt;8&lt;/item&gt;&lt;item&gt;9&lt;/item&gt;&lt;item&gt;10&lt;/item&gt;&lt;item&gt;13&lt;/item&gt;&lt;item&gt;14&lt;/item&gt;&lt;item&gt;15&lt;/item&gt;&lt;/record-ids&gt;&lt;/item&gt;&lt;/Libraries&gt;"/>
  </w:docVars>
  <w:rsids>
    <w:rsidRoot w:val="0004240E"/>
    <w:rsid w:val="00001761"/>
    <w:rsid w:val="000025AD"/>
    <w:rsid w:val="0000302E"/>
    <w:rsid w:val="00012D41"/>
    <w:rsid w:val="00014E3E"/>
    <w:rsid w:val="00017779"/>
    <w:rsid w:val="00017D24"/>
    <w:rsid w:val="0002364B"/>
    <w:rsid w:val="00023799"/>
    <w:rsid w:val="0002464A"/>
    <w:rsid w:val="00026CA6"/>
    <w:rsid w:val="0003106B"/>
    <w:rsid w:val="00033BFD"/>
    <w:rsid w:val="00036872"/>
    <w:rsid w:val="00036E4A"/>
    <w:rsid w:val="000421A1"/>
    <w:rsid w:val="0004240E"/>
    <w:rsid w:val="00044C82"/>
    <w:rsid w:val="0004599E"/>
    <w:rsid w:val="00045E26"/>
    <w:rsid w:val="000514B5"/>
    <w:rsid w:val="00052AA8"/>
    <w:rsid w:val="00060E64"/>
    <w:rsid w:val="00060ED3"/>
    <w:rsid w:val="00062AF0"/>
    <w:rsid w:val="00064183"/>
    <w:rsid w:val="000652AF"/>
    <w:rsid w:val="00066755"/>
    <w:rsid w:val="000717E6"/>
    <w:rsid w:val="00074DB3"/>
    <w:rsid w:val="00083912"/>
    <w:rsid w:val="000917C8"/>
    <w:rsid w:val="000934C2"/>
    <w:rsid w:val="00095DF5"/>
    <w:rsid w:val="000969AD"/>
    <w:rsid w:val="00097A83"/>
    <w:rsid w:val="000A075D"/>
    <w:rsid w:val="000A5B75"/>
    <w:rsid w:val="000B090A"/>
    <w:rsid w:val="000B558D"/>
    <w:rsid w:val="000B6ED0"/>
    <w:rsid w:val="000B6FEF"/>
    <w:rsid w:val="000C6996"/>
    <w:rsid w:val="000C771F"/>
    <w:rsid w:val="000C7F7A"/>
    <w:rsid w:val="000D1CAA"/>
    <w:rsid w:val="000D23BA"/>
    <w:rsid w:val="000D462F"/>
    <w:rsid w:val="000E3027"/>
    <w:rsid w:val="000E681E"/>
    <w:rsid w:val="000F4E6A"/>
    <w:rsid w:val="000F7309"/>
    <w:rsid w:val="00103BE3"/>
    <w:rsid w:val="00105991"/>
    <w:rsid w:val="00110110"/>
    <w:rsid w:val="001107BF"/>
    <w:rsid w:val="00112011"/>
    <w:rsid w:val="00112B7F"/>
    <w:rsid w:val="00113377"/>
    <w:rsid w:val="001134AC"/>
    <w:rsid w:val="0011578D"/>
    <w:rsid w:val="00117469"/>
    <w:rsid w:val="001216FE"/>
    <w:rsid w:val="00123F9A"/>
    <w:rsid w:val="0012417C"/>
    <w:rsid w:val="001246FC"/>
    <w:rsid w:val="00127814"/>
    <w:rsid w:val="00130787"/>
    <w:rsid w:val="00130BE9"/>
    <w:rsid w:val="00131C39"/>
    <w:rsid w:val="00142395"/>
    <w:rsid w:val="00142714"/>
    <w:rsid w:val="00144D5A"/>
    <w:rsid w:val="001452ED"/>
    <w:rsid w:val="0015219D"/>
    <w:rsid w:val="00153E51"/>
    <w:rsid w:val="0015404E"/>
    <w:rsid w:val="00156A57"/>
    <w:rsid w:val="00157899"/>
    <w:rsid w:val="001712CF"/>
    <w:rsid w:val="00172689"/>
    <w:rsid w:val="0017417E"/>
    <w:rsid w:val="00174F72"/>
    <w:rsid w:val="001750A9"/>
    <w:rsid w:val="0017652E"/>
    <w:rsid w:val="00181C51"/>
    <w:rsid w:val="001830CE"/>
    <w:rsid w:val="001845AE"/>
    <w:rsid w:val="00186923"/>
    <w:rsid w:val="0019209E"/>
    <w:rsid w:val="0019562C"/>
    <w:rsid w:val="00195C2C"/>
    <w:rsid w:val="00196307"/>
    <w:rsid w:val="001A0638"/>
    <w:rsid w:val="001A1C26"/>
    <w:rsid w:val="001A5C84"/>
    <w:rsid w:val="001B017F"/>
    <w:rsid w:val="001B0677"/>
    <w:rsid w:val="001B0C00"/>
    <w:rsid w:val="001B1B04"/>
    <w:rsid w:val="001B4A61"/>
    <w:rsid w:val="001B5129"/>
    <w:rsid w:val="001B6B11"/>
    <w:rsid w:val="001C1195"/>
    <w:rsid w:val="001C2F7E"/>
    <w:rsid w:val="001C4284"/>
    <w:rsid w:val="001C42FA"/>
    <w:rsid w:val="001C62E0"/>
    <w:rsid w:val="001C7361"/>
    <w:rsid w:val="001D470E"/>
    <w:rsid w:val="001D59F4"/>
    <w:rsid w:val="001E4BDB"/>
    <w:rsid w:val="001E7CC9"/>
    <w:rsid w:val="001F6229"/>
    <w:rsid w:val="00201CBE"/>
    <w:rsid w:val="00203739"/>
    <w:rsid w:val="00206DCA"/>
    <w:rsid w:val="00213A5E"/>
    <w:rsid w:val="00213CB5"/>
    <w:rsid w:val="00213CFB"/>
    <w:rsid w:val="00217BEF"/>
    <w:rsid w:val="00220E46"/>
    <w:rsid w:val="002237B1"/>
    <w:rsid w:val="00223AA2"/>
    <w:rsid w:val="0022432A"/>
    <w:rsid w:val="002244CD"/>
    <w:rsid w:val="00226E39"/>
    <w:rsid w:val="00226FBE"/>
    <w:rsid w:val="002423F3"/>
    <w:rsid w:val="002453B4"/>
    <w:rsid w:val="0024596C"/>
    <w:rsid w:val="002501DF"/>
    <w:rsid w:val="002614FA"/>
    <w:rsid w:val="0026730B"/>
    <w:rsid w:val="002702CC"/>
    <w:rsid w:val="00271BA1"/>
    <w:rsid w:val="00275486"/>
    <w:rsid w:val="00277505"/>
    <w:rsid w:val="00277C17"/>
    <w:rsid w:val="00284C1F"/>
    <w:rsid w:val="00285B7E"/>
    <w:rsid w:val="00290D32"/>
    <w:rsid w:val="0029369D"/>
    <w:rsid w:val="0029458F"/>
    <w:rsid w:val="002A104C"/>
    <w:rsid w:val="002A12EE"/>
    <w:rsid w:val="002A494F"/>
    <w:rsid w:val="002A4960"/>
    <w:rsid w:val="002A5F3F"/>
    <w:rsid w:val="002A64EA"/>
    <w:rsid w:val="002B062F"/>
    <w:rsid w:val="002B1AE6"/>
    <w:rsid w:val="002B30F8"/>
    <w:rsid w:val="002B3C2D"/>
    <w:rsid w:val="002B52A0"/>
    <w:rsid w:val="002C212F"/>
    <w:rsid w:val="002C2F96"/>
    <w:rsid w:val="002D1B61"/>
    <w:rsid w:val="002D466D"/>
    <w:rsid w:val="002D5B3E"/>
    <w:rsid w:val="002D65F2"/>
    <w:rsid w:val="002E173E"/>
    <w:rsid w:val="002E19FD"/>
    <w:rsid w:val="002E3153"/>
    <w:rsid w:val="002E72CA"/>
    <w:rsid w:val="0031124E"/>
    <w:rsid w:val="00322132"/>
    <w:rsid w:val="00324777"/>
    <w:rsid w:val="00325AD4"/>
    <w:rsid w:val="00326E79"/>
    <w:rsid w:val="00326EC4"/>
    <w:rsid w:val="00336269"/>
    <w:rsid w:val="003365D6"/>
    <w:rsid w:val="003367EF"/>
    <w:rsid w:val="00341AE4"/>
    <w:rsid w:val="003446CD"/>
    <w:rsid w:val="00346E88"/>
    <w:rsid w:val="00350548"/>
    <w:rsid w:val="00353C08"/>
    <w:rsid w:val="003572CD"/>
    <w:rsid w:val="003613FB"/>
    <w:rsid w:val="003635C2"/>
    <w:rsid w:val="00363654"/>
    <w:rsid w:val="0036384E"/>
    <w:rsid w:val="00364A8F"/>
    <w:rsid w:val="00370BAA"/>
    <w:rsid w:val="0037134A"/>
    <w:rsid w:val="00373B39"/>
    <w:rsid w:val="00375E7F"/>
    <w:rsid w:val="003805A5"/>
    <w:rsid w:val="003824F2"/>
    <w:rsid w:val="003825A3"/>
    <w:rsid w:val="003833BD"/>
    <w:rsid w:val="003872CF"/>
    <w:rsid w:val="00387E0B"/>
    <w:rsid w:val="00390750"/>
    <w:rsid w:val="00390975"/>
    <w:rsid w:val="00391EC6"/>
    <w:rsid w:val="0039782C"/>
    <w:rsid w:val="00397C58"/>
    <w:rsid w:val="003A19CA"/>
    <w:rsid w:val="003A2B93"/>
    <w:rsid w:val="003A5B4A"/>
    <w:rsid w:val="003B13AF"/>
    <w:rsid w:val="003B23C5"/>
    <w:rsid w:val="003B2A75"/>
    <w:rsid w:val="003C650E"/>
    <w:rsid w:val="003C6876"/>
    <w:rsid w:val="003D2AA5"/>
    <w:rsid w:val="003D4AC4"/>
    <w:rsid w:val="003D63B7"/>
    <w:rsid w:val="003E18F5"/>
    <w:rsid w:val="003E243C"/>
    <w:rsid w:val="003E468B"/>
    <w:rsid w:val="003E50A1"/>
    <w:rsid w:val="003F304E"/>
    <w:rsid w:val="003F574B"/>
    <w:rsid w:val="003F5C8C"/>
    <w:rsid w:val="004012E1"/>
    <w:rsid w:val="00401560"/>
    <w:rsid w:val="0040414A"/>
    <w:rsid w:val="004111BB"/>
    <w:rsid w:val="004230F5"/>
    <w:rsid w:val="004240EE"/>
    <w:rsid w:val="004314D8"/>
    <w:rsid w:val="004377C6"/>
    <w:rsid w:val="0044135E"/>
    <w:rsid w:val="00441ED9"/>
    <w:rsid w:val="0044469B"/>
    <w:rsid w:val="004465BD"/>
    <w:rsid w:val="00460C3A"/>
    <w:rsid w:val="00466ADA"/>
    <w:rsid w:val="00471DD5"/>
    <w:rsid w:val="00476245"/>
    <w:rsid w:val="00477CA1"/>
    <w:rsid w:val="00481848"/>
    <w:rsid w:val="00485940"/>
    <w:rsid w:val="00486206"/>
    <w:rsid w:val="00493970"/>
    <w:rsid w:val="0049659D"/>
    <w:rsid w:val="004A5A85"/>
    <w:rsid w:val="004A5CB3"/>
    <w:rsid w:val="004A689F"/>
    <w:rsid w:val="004B0D55"/>
    <w:rsid w:val="004B5640"/>
    <w:rsid w:val="004C1BD7"/>
    <w:rsid w:val="004C4229"/>
    <w:rsid w:val="004C691D"/>
    <w:rsid w:val="004C7E65"/>
    <w:rsid w:val="004D181C"/>
    <w:rsid w:val="004D20B2"/>
    <w:rsid w:val="004D3E96"/>
    <w:rsid w:val="004E2AB9"/>
    <w:rsid w:val="004E5953"/>
    <w:rsid w:val="004E692D"/>
    <w:rsid w:val="004E7F71"/>
    <w:rsid w:val="004F1401"/>
    <w:rsid w:val="00501554"/>
    <w:rsid w:val="0050221D"/>
    <w:rsid w:val="00510145"/>
    <w:rsid w:val="005119D0"/>
    <w:rsid w:val="005136AF"/>
    <w:rsid w:val="00514CD7"/>
    <w:rsid w:val="005150F3"/>
    <w:rsid w:val="00515A4F"/>
    <w:rsid w:val="00526CD0"/>
    <w:rsid w:val="0053127C"/>
    <w:rsid w:val="00531605"/>
    <w:rsid w:val="005319B2"/>
    <w:rsid w:val="00531F9D"/>
    <w:rsid w:val="00532A65"/>
    <w:rsid w:val="00532C74"/>
    <w:rsid w:val="00532E6A"/>
    <w:rsid w:val="00534E2E"/>
    <w:rsid w:val="005369F9"/>
    <w:rsid w:val="005422ED"/>
    <w:rsid w:val="00544552"/>
    <w:rsid w:val="0055216C"/>
    <w:rsid w:val="005532AF"/>
    <w:rsid w:val="00555197"/>
    <w:rsid w:val="00556BAB"/>
    <w:rsid w:val="005613E7"/>
    <w:rsid w:val="00561B2C"/>
    <w:rsid w:val="00566823"/>
    <w:rsid w:val="0057037E"/>
    <w:rsid w:val="0057487C"/>
    <w:rsid w:val="0057758A"/>
    <w:rsid w:val="00577DF4"/>
    <w:rsid w:val="00581932"/>
    <w:rsid w:val="00584A65"/>
    <w:rsid w:val="005900E3"/>
    <w:rsid w:val="00593984"/>
    <w:rsid w:val="005963BB"/>
    <w:rsid w:val="005A0A06"/>
    <w:rsid w:val="005A0E36"/>
    <w:rsid w:val="005A3173"/>
    <w:rsid w:val="005A3223"/>
    <w:rsid w:val="005A38AC"/>
    <w:rsid w:val="005A3DA3"/>
    <w:rsid w:val="005A52C4"/>
    <w:rsid w:val="005B0B68"/>
    <w:rsid w:val="005B2D72"/>
    <w:rsid w:val="005B3990"/>
    <w:rsid w:val="005C0EF9"/>
    <w:rsid w:val="005C2559"/>
    <w:rsid w:val="005D03AB"/>
    <w:rsid w:val="005D0AEC"/>
    <w:rsid w:val="005D1DA8"/>
    <w:rsid w:val="005D3A24"/>
    <w:rsid w:val="005D3C75"/>
    <w:rsid w:val="005D5017"/>
    <w:rsid w:val="005D6C77"/>
    <w:rsid w:val="005E05FF"/>
    <w:rsid w:val="005F0E8F"/>
    <w:rsid w:val="005F372E"/>
    <w:rsid w:val="005F6F18"/>
    <w:rsid w:val="00600D60"/>
    <w:rsid w:val="00601A91"/>
    <w:rsid w:val="006020C9"/>
    <w:rsid w:val="00602BA3"/>
    <w:rsid w:val="00614159"/>
    <w:rsid w:val="0061639C"/>
    <w:rsid w:val="0061773E"/>
    <w:rsid w:val="00617C00"/>
    <w:rsid w:val="006209C4"/>
    <w:rsid w:val="006226CC"/>
    <w:rsid w:val="006263BF"/>
    <w:rsid w:val="00626660"/>
    <w:rsid w:val="00626C74"/>
    <w:rsid w:val="0062748A"/>
    <w:rsid w:val="00630A2C"/>
    <w:rsid w:val="00637A9A"/>
    <w:rsid w:val="00651169"/>
    <w:rsid w:val="006527C4"/>
    <w:rsid w:val="00653449"/>
    <w:rsid w:val="00653D69"/>
    <w:rsid w:val="00665D17"/>
    <w:rsid w:val="00670A76"/>
    <w:rsid w:val="006711AA"/>
    <w:rsid w:val="00672B57"/>
    <w:rsid w:val="006732FB"/>
    <w:rsid w:val="00675622"/>
    <w:rsid w:val="00680E12"/>
    <w:rsid w:val="00684DA6"/>
    <w:rsid w:val="0068655E"/>
    <w:rsid w:val="006906DB"/>
    <w:rsid w:val="006961DA"/>
    <w:rsid w:val="00696D83"/>
    <w:rsid w:val="006A12A5"/>
    <w:rsid w:val="006A12F8"/>
    <w:rsid w:val="006A2C22"/>
    <w:rsid w:val="006A31C9"/>
    <w:rsid w:val="006B081F"/>
    <w:rsid w:val="006B0D94"/>
    <w:rsid w:val="006B485D"/>
    <w:rsid w:val="006C34AC"/>
    <w:rsid w:val="006C708E"/>
    <w:rsid w:val="006D50C9"/>
    <w:rsid w:val="006D6EC7"/>
    <w:rsid w:val="006E1196"/>
    <w:rsid w:val="006E3B74"/>
    <w:rsid w:val="006F2E42"/>
    <w:rsid w:val="006F5125"/>
    <w:rsid w:val="006F5D3C"/>
    <w:rsid w:val="00710DD3"/>
    <w:rsid w:val="0071313C"/>
    <w:rsid w:val="00715ABF"/>
    <w:rsid w:val="00717477"/>
    <w:rsid w:val="007174BB"/>
    <w:rsid w:val="007203E5"/>
    <w:rsid w:val="0072053C"/>
    <w:rsid w:val="00725A75"/>
    <w:rsid w:val="0072632E"/>
    <w:rsid w:val="00737C63"/>
    <w:rsid w:val="00741BAD"/>
    <w:rsid w:val="007421DF"/>
    <w:rsid w:val="00742977"/>
    <w:rsid w:val="00747400"/>
    <w:rsid w:val="007521DE"/>
    <w:rsid w:val="00756C8F"/>
    <w:rsid w:val="007608DB"/>
    <w:rsid w:val="00760DAA"/>
    <w:rsid w:val="0076420C"/>
    <w:rsid w:val="00767AA5"/>
    <w:rsid w:val="00767BBE"/>
    <w:rsid w:val="007753C2"/>
    <w:rsid w:val="0077717E"/>
    <w:rsid w:val="0078004B"/>
    <w:rsid w:val="00782A39"/>
    <w:rsid w:val="007838B8"/>
    <w:rsid w:val="0078777A"/>
    <w:rsid w:val="007A0188"/>
    <w:rsid w:val="007A553F"/>
    <w:rsid w:val="007A7D00"/>
    <w:rsid w:val="007B0444"/>
    <w:rsid w:val="007B2E5F"/>
    <w:rsid w:val="007C0CD0"/>
    <w:rsid w:val="007C0F57"/>
    <w:rsid w:val="007C1A04"/>
    <w:rsid w:val="007C3DBE"/>
    <w:rsid w:val="007C40B6"/>
    <w:rsid w:val="007C6116"/>
    <w:rsid w:val="007C729F"/>
    <w:rsid w:val="007D05F2"/>
    <w:rsid w:val="007D176B"/>
    <w:rsid w:val="007E1D28"/>
    <w:rsid w:val="007E24C1"/>
    <w:rsid w:val="007E2B5B"/>
    <w:rsid w:val="007E3B55"/>
    <w:rsid w:val="007F2641"/>
    <w:rsid w:val="007F5F80"/>
    <w:rsid w:val="007F73A2"/>
    <w:rsid w:val="007F7C36"/>
    <w:rsid w:val="00806796"/>
    <w:rsid w:val="00821022"/>
    <w:rsid w:val="0082164D"/>
    <w:rsid w:val="0082175B"/>
    <w:rsid w:val="0082594C"/>
    <w:rsid w:val="00826F6D"/>
    <w:rsid w:val="00834661"/>
    <w:rsid w:val="00836666"/>
    <w:rsid w:val="00840882"/>
    <w:rsid w:val="008542AF"/>
    <w:rsid w:val="008545CE"/>
    <w:rsid w:val="00854D16"/>
    <w:rsid w:val="00856DDD"/>
    <w:rsid w:val="00861B35"/>
    <w:rsid w:val="00863E68"/>
    <w:rsid w:val="00864BC4"/>
    <w:rsid w:val="00865BD0"/>
    <w:rsid w:val="00873E8E"/>
    <w:rsid w:val="00882085"/>
    <w:rsid w:val="00883188"/>
    <w:rsid w:val="00886471"/>
    <w:rsid w:val="008875DA"/>
    <w:rsid w:val="00897D58"/>
    <w:rsid w:val="008A1956"/>
    <w:rsid w:val="008A4849"/>
    <w:rsid w:val="008A4937"/>
    <w:rsid w:val="008A5638"/>
    <w:rsid w:val="008B0EC1"/>
    <w:rsid w:val="008B4ED4"/>
    <w:rsid w:val="008B51DF"/>
    <w:rsid w:val="008B5328"/>
    <w:rsid w:val="008B6DD0"/>
    <w:rsid w:val="008C0592"/>
    <w:rsid w:val="008C2C49"/>
    <w:rsid w:val="008C33D5"/>
    <w:rsid w:val="008C4C2F"/>
    <w:rsid w:val="008D3C82"/>
    <w:rsid w:val="008D447E"/>
    <w:rsid w:val="008D7A41"/>
    <w:rsid w:val="008E0864"/>
    <w:rsid w:val="008E17C5"/>
    <w:rsid w:val="008E3680"/>
    <w:rsid w:val="008E5870"/>
    <w:rsid w:val="008F1434"/>
    <w:rsid w:val="008F577A"/>
    <w:rsid w:val="008F7355"/>
    <w:rsid w:val="00903342"/>
    <w:rsid w:val="009067B7"/>
    <w:rsid w:val="009076DA"/>
    <w:rsid w:val="00910325"/>
    <w:rsid w:val="00930937"/>
    <w:rsid w:val="00930C42"/>
    <w:rsid w:val="00933E6C"/>
    <w:rsid w:val="009346CC"/>
    <w:rsid w:val="00942160"/>
    <w:rsid w:val="00943977"/>
    <w:rsid w:val="0094636B"/>
    <w:rsid w:val="009508B0"/>
    <w:rsid w:val="00951AD5"/>
    <w:rsid w:val="00951C57"/>
    <w:rsid w:val="00952E97"/>
    <w:rsid w:val="009602C5"/>
    <w:rsid w:val="0097006C"/>
    <w:rsid w:val="00971377"/>
    <w:rsid w:val="00971D87"/>
    <w:rsid w:val="00972435"/>
    <w:rsid w:val="0097277A"/>
    <w:rsid w:val="00974C21"/>
    <w:rsid w:val="00976BC7"/>
    <w:rsid w:val="00976FBD"/>
    <w:rsid w:val="00977EF0"/>
    <w:rsid w:val="0098139E"/>
    <w:rsid w:val="00981EEA"/>
    <w:rsid w:val="009820F0"/>
    <w:rsid w:val="00991A47"/>
    <w:rsid w:val="00992414"/>
    <w:rsid w:val="00993239"/>
    <w:rsid w:val="0099519E"/>
    <w:rsid w:val="009A055B"/>
    <w:rsid w:val="009A08E0"/>
    <w:rsid w:val="009A2820"/>
    <w:rsid w:val="009B0F67"/>
    <w:rsid w:val="009B104D"/>
    <w:rsid w:val="009B180D"/>
    <w:rsid w:val="009B6133"/>
    <w:rsid w:val="009C07B7"/>
    <w:rsid w:val="009C703C"/>
    <w:rsid w:val="009D3CAA"/>
    <w:rsid w:val="009D5A56"/>
    <w:rsid w:val="009D610E"/>
    <w:rsid w:val="009E1E49"/>
    <w:rsid w:val="009E2C3F"/>
    <w:rsid w:val="009E47F5"/>
    <w:rsid w:val="009E4A9C"/>
    <w:rsid w:val="009F3D9D"/>
    <w:rsid w:val="009F4E46"/>
    <w:rsid w:val="009F5B65"/>
    <w:rsid w:val="009F5E1F"/>
    <w:rsid w:val="009F5F2E"/>
    <w:rsid w:val="00A0563A"/>
    <w:rsid w:val="00A06225"/>
    <w:rsid w:val="00A072AD"/>
    <w:rsid w:val="00A0751B"/>
    <w:rsid w:val="00A128E6"/>
    <w:rsid w:val="00A12E05"/>
    <w:rsid w:val="00A12E88"/>
    <w:rsid w:val="00A22174"/>
    <w:rsid w:val="00A23869"/>
    <w:rsid w:val="00A246A2"/>
    <w:rsid w:val="00A30C8D"/>
    <w:rsid w:val="00A30FA8"/>
    <w:rsid w:val="00A37C8D"/>
    <w:rsid w:val="00A4188F"/>
    <w:rsid w:val="00A43FCD"/>
    <w:rsid w:val="00A46912"/>
    <w:rsid w:val="00A50ACD"/>
    <w:rsid w:val="00A51E03"/>
    <w:rsid w:val="00A5273B"/>
    <w:rsid w:val="00A53A9D"/>
    <w:rsid w:val="00A55FEE"/>
    <w:rsid w:val="00A56F4B"/>
    <w:rsid w:val="00A616ED"/>
    <w:rsid w:val="00A61E2A"/>
    <w:rsid w:val="00A62C1A"/>
    <w:rsid w:val="00A62F8D"/>
    <w:rsid w:val="00A63E14"/>
    <w:rsid w:val="00A6426D"/>
    <w:rsid w:val="00A6429C"/>
    <w:rsid w:val="00A6540F"/>
    <w:rsid w:val="00A70622"/>
    <w:rsid w:val="00A70977"/>
    <w:rsid w:val="00A74039"/>
    <w:rsid w:val="00A76335"/>
    <w:rsid w:val="00A805AF"/>
    <w:rsid w:val="00A82942"/>
    <w:rsid w:val="00A8390C"/>
    <w:rsid w:val="00A856F2"/>
    <w:rsid w:val="00A8785F"/>
    <w:rsid w:val="00A928BD"/>
    <w:rsid w:val="00A97B0B"/>
    <w:rsid w:val="00AA187D"/>
    <w:rsid w:val="00AA40B0"/>
    <w:rsid w:val="00AA48FA"/>
    <w:rsid w:val="00AA4D1C"/>
    <w:rsid w:val="00AA74FC"/>
    <w:rsid w:val="00AB030E"/>
    <w:rsid w:val="00AC0C3D"/>
    <w:rsid w:val="00AC2421"/>
    <w:rsid w:val="00AC2E57"/>
    <w:rsid w:val="00AC5206"/>
    <w:rsid w:val="00AC5B19"/>
    <w:rsid w:val="00AC7639"/>
    <w:rsid w:val="00AD012C"/>
    <w:rsid w:val="00AE11A5"/>
    <w:rsid w:val="00AE13E2"/>
    <w:rsid w:val="00AE683A"/>
    <w:rsid w:val="00AE69D3"/>
    <w:rsid w:val="00AF1A57"/>
    <w:rsid w:val="00AF1F2E"/>
    <w:rsid w:val="00AF28ED"/>
    <w:rsid w:val="00AF5A81"/>
    <w:rsid w:val="00AF68CC"/>
    <w:rsid w:val="00AF7836"/>
    <w:rsid w:val="00B00E2B"/>
    <w:rsid w:val="00B048ED"/>
    <w:rsid w:val="00B11C44"/>
    <w:rsid w:val="00B1534A"/>
    <w:rsid w:val="00B200EE"/>
    <w:rsid w:val="00B205AA"/>
    <w:rsid w:val="00B21CCB"/>
    <w:rsid w:val="00B22E84"/>
    <w:rsid w:val="00B24E81"/>
    <w:rsid w:val="00B25F75"/>
    <w:rsid w:val="00B349C7"/>
    <w:rsid w:val="00B34B83"/>
    <w:rsid w:val="00B35D3C"/>
    <w:rsid w:val="00B4029B"/>
    <w:rsid w:val="00B420BB"/>
    <w:rsid w:val="00B43E90"/>
    <w:rsid w:val="00B56118"/>
    <w:rsid w:val="00B60CB2"/>
    <w:rsid w:val="00B62734"/>
    <w:rsid w:val="00B656F4"/>
    <w:rsid w:val="00B6721F"/>
    <w:rsid w:val="00B67734"/>
    <w:rsid w:val="00B6773F"/>
    <w:rsid w:val="00B7530F"/>
    <w:rsid w:val="00B77220"/>
    <w:rsid w:val="00B801BA"/>
    <w:rsid w:val="00B84F1D"/>
    <w:rsid w:val="00B85942"/>
    <w:rsid w:val="00B87898"/>
    <w:rsid w:val="00B9112B"/>
    <w:rsid w:val="00B925BE"/>
    <w:rsid w:val="00B95649"/>
    <w:rsid w:val="00B95C32"/>
    <w:rsid w:val="00B9612D"/>
    <w:rsid w:val="00BA095E"/>
    <w:rsid w:val="00BA0D82"/>
    <w:rsid w:val="00BA1980"/>
    <w:rsid w:val="00BA3928"/>
    <w:rsid w:val="00BA4B64"/>
    <w:rsid w:val="00BA607A"/>
    <w:rsid w:val="00BA7CCE"/>
    <w:rsid w:val="00BB4C93"/>
    <w:rsid w:val="00BB69F5"/>
    <w:rsid w:val="00BB7EC3"/>
    <w:rsid w:val="00BC1AB5"/>
    <w:rsid w:val="00BC4900"/>
    <w:rsid w:val="00BC4B9A"/>
    <w:rsid w:val="00BC7B8C"/>
    <w:rsid w:val="00BD3023"/>
    <w:rsid w:val="00BD4BD9"/>
    <w:rsid w:val="00BD784C"/>
    <w:rsid w:val="00BE5757"/>
    <w:rsid w:val="00BE6309"/>
    <w:rsid w:val="00BF4CB6"/>
    <w:rsid w:val="00C007AE"/>
    <w:rsid w:val="00C00DA7"/>
    <w:rsid w:val="00C02FE6"/>
    <w:rsid w:val="00C04614"/>
    <w:rsid w:val="00C070B9"/>
    <w:rsid w:val="00C076C5"/>
    <w:rsid w:val="00C12699"/>
    <w:rsid w:val="00C12768"/>
    <w:rsid w:val="00C158D9"/>
    <w:rsid w:val="00C21833"/>
    <w:rsid w:val="00C218B3"/>
    <w:rsid w:val="00C243EC"/>
    <w:rsid w:val="00C249EA"/>
    <w:rsid w:val="00C2531D"/>
    <w:rsid w:val="00C27B58"/>
    <w:rsid w:val="00C33117"/>
    <w:rsid w:val="00C3577D"/>
    <w:rsid w:val="00C35996"/>
    <w:rsid w:val="00C35B5E"/>
    <w:rsid w:val="00C41C73"/>
    <w:rsid w:val="00C437AE"/>
    <w:rsid w:val="00C453EC"/>
    <w:rsid w:val="00C45D9E"/>
    <w:rsid w:val="00C5342C"/>
    <w:rsid w:val="00C535D6"/>
    <w:rsid w:val="00C54E82"/>
    <w:rsid w:val="00C55CF6"/>
    <w:rsid w:val="00C57E5D"/>
    <w:rsid w:val="00C6256A"/>
    <w:rsid w:val="00C646B8"/>
    <w:rsid w:val="00C66213"/>
    <w:rsid w:val="00C6698A"/>
    <w:rsid w:val="00C75FBE"/>
    <w:rsid w:val="00C76031"/>
    <w:rsid w:val="00C8185A"/>
    <w:rsid w:val="00C83046"/>
    <w:rsid w:val="00C87E05"/>
    <w:rsid w:val="00C90B33"/>
    <w:rsid w:val="00C910CD"/>
    <w:rsid w:val="00C91449"/>
    <w:rsid w:val="00C92D10"/>
    <w:rsid w:val="00C94460"/>
    <w:rsid w:val="00CA0401"/>
    <w:rsid w:val="00CA744A"/>
    <w:rsid w:val="00CB668E"/>
    <w:rsid w:val="00CC2F00"/>
    <w:rsid w:val="00CC4737"/>
    <w:rsid w:val="00CD0D7B"/>
    <w:rsid w:val="00CD39B1"/>
    <w:rsid w:val="00CD4CD7"/>
    <w:rsid w:val="00CE0378"/>
    <w:rsid w:val="00CE10C4"/>
    <w:rsid w:val="00CE20E0"/>
    <w:rsid w:val="00CE27B5"/>
    <w:rsid w:val="00CE2A00"/>
    <w:rsid w:val="00CE5A63"/>
    <w:rsid w:val="00CF6F5B"/>
    <w:rsid w:val="00D01EAA"/>
    <w:rsid w:val="00D0321E"/>
    <w:rsid w:val="00D06537"/>
    <w:rsid w:val="00D13DE5"/>
    <w:rsid w:val="00D1455A"/>
    <w:rsid w:val="00D16AF1"/>
    <w:rsid w:val="00D17646"/>
    <w:rsid w:val="00D17EE9"/>
    <w:rsid w:val="00D31568"/>
    <w:rsid w:val="00D3280C"/>
    <w:rsid w:val="00D3406A"/>
    <w:rsid w:val="00D43EEE"/>
    <w:rsid w:val="00D44818"/>
    <w:rsid w:val="00D469B2"/>
    <w:rsid w:val="00D47D26"/>
    <w:rsid w:val="00D50828"/>
    <w:rsid w:val="00D632DD"/>
    <w:rsid w:val="00D6461C"/>
    <w:rsid w:val="00D65E8D"/>
    <w:rsid w:val="00D741EB"/>
    <w:rsid w:val="00D7777A"/>
    <w:rsid w:val="00D8392D"/>
    <w:rsid w:val="00D84934"/>
    <w:rsid w:val="00D8705B"/>
    <w:rsid w:val="00D9035D"/>
    <w:rsid w:val="00D91271"/>
    <w:rsid w:val="00DA02D2"/>
    <w:rsid w:val="00DA1992"/>
    <w:rsid w:val="00DA2CB5"/>
    <w:rsid w:val="00DA4BAC"/>
    <w:rsid w:val="00DB3985"/>
    <w:rsid w:val="00DB5665"/>
    <w:rsid w:val="00DB5A82"/>
    <w:rsid w:val="00DB5D80"/>
    <w:rsid w:val="00DB73AB"/>
    <w:rsid w:val="00DC4EED"/>
    <w:rsid w:val="00DC4F54"/>
    <w:rsid w:val="00DC6B27"/>
    <w:rsid w:val="00DC75D4"/>
    <w:rsid w:val="00DD0C96"/>
    <w:rsid w:val="00DE4623"/>
    <w:rsid w:val="00DE4F9C"/>
    <w:rsid w:val="00DE5367"/>
    <w:rsid w:val="00DE5E05"/>
    <w:rsid w:val="00DE6D27"/>
    <w:rsid w:val="00DF217D"/>
    <w:rsid w:val="00DF26A7"/>
    <w:rsid w:val="00DF63DC"/>
    <w:rsid w:val="00E0308E"/>
    <w:rsid w:val="00E164B3"/>
    <w:rsid w:val="00E16910"/>
    <w:rsid w:val="00E22AB1"/>
    <w:rsid w:val="00E24E40"/>
    <w:rsid w:val="00E3545D"/>
    <w:rsid w:val="00E37FB3"/>
    <w:rsid w:val="00E40E02"/>
    <w:rsid w:val="00E45C38"/>
    <w:rsid w:val="00E45CE6"/>
    <w:rsid w:val="00E50AFA"/>
    <w:rsid w:val="00E50B8E"/>
    <w:rsid w:val="00E51A57"/>
    <w:rsid w:val="00E5489A"/>
    <w:rsid w:val="00E605C2"/>
    <w:rsid w:val="00E62F1A"/>
    <w:rsid w:val="00E65E54"/>
    <w:rsid w:val="00E67251"/>
    <w:rsid w:val="00E6758E"/>
    <w:rsid w:val="00E7115E"/>
    <w:rsid w:val="00E80155"/>
    <w:rsid w:val="00E8028C"/>
    <w:rsid w:val="00E81AC1"/>
    <w:rsid w:val="00E8397F"/>
    <w:rsid w:val="00E848C0"/>
    <w:rsid w:val="00E86B37"/>
    <w:rsid w:val="00E91B96"/>
    <w:rsid w:val="00E941A1"/>
    <w:rsid w:val="00E95AAC"/>
    <w:rsid w:val="00E95CE3"/>
    <w:rsid w:val="00E97A74"/>
    <w:rsid w:val="00EA2825"/>
    <w:rsid w:val="00EA2F33"/>
    <w:rsid w:val="00EA4CF5"/>
    <w:rsid w:val="00EA5676"/>
    <w:rsid w:val="00EA6557"/>
    <w:rsid w:val="00EA69D2"/>
    <w:rsid w:val="00EA6FDA"/>
    <w:rsid w:val="00EB247E"/>
    <w:rsid w:val="00EB5073"/>
    <w:rsid w:val="00EB5088"/>
    <w:rsid w:val="00EB65DE"/>
    <w:rsid w:val="00EB75CA"/>
    <w:rsid w:val="00EB7797"/>
    <w:rsid w:val="00EC3438"/>
    <w:rsid w:val="00EC4693"/>
    <w:rsid w:val="00EC4EEB"/>
    <w:rsid w:val="00EC4FA9"/>
    <w:rsid w:val="00ED1644"/>
    <w:rsid w:val="00ED3EE0"/>
    <w:rsid w:val="00ED652C"/>
    <w:rsid w:val="00EE321C"/>
    <w:rsid w:val="00EF2D22"/>
    <w:rsid w:val="00EF44A0"/>
    <w:rsid w:val="00EF56FA"/>
    <w:rsid w:val="00F011B3"/>
    <w:rsid w:val="00F03D65"/>
    <w:rsid w:val="00F04486"/>
    <w:rsid w:val="00F050BD"/>
    <w:rsid w:val="00F05657"/>
    <w:rsid w:val="00F057A8"/>
    <w:rsid w:val="00F06AFB"/>
    <w:rsid w:val="00F11E1D"/>
    <w:rsid w:val="00F153AA"/>
    <w:rsid w:val="00F15442"/>
    <w:rsid w:val="00F233E4"/>
    <w:rsid w:val="00F23EC3"/>
    <w:rsid w:val="00F24E22"/>
    <w:rsid w:val="00F25578"/>
    <w:rsid w:val="00F258E5"/>
    <w:rsid w:val="00F25EA6"/>
    <w:rsid w:val="00F276BC"/>
    <w:rsid w:val="00F300BC"/>
    <w:rsid w:val="00F30391"/>
    <w:rsid w:val="00F31D4A"/>
    <w:rsid w:val="00F3334E"/>
    <w:rsid w:val="00F342E0"/>
    <w:rsid w:val="00F440C8"/>
    <w:rsid w:val="00F50EC4"/>
    <w:rsid w:val="00F57A6D"/>
    <w:rsid w:val="00F62F24"/>
    <w:rsid w:val="00F63210"/>
    <w:rsid w:val="00F638CC"/>
    <w:rsid w:val="00F66A1D"/>
    <w:rsid w:val="00F7218B"/>
    <w:rsid w:val="00F74FF9"/>
    <w:rsid w:val="00F8247A"/>
    <w:rsid w:val="00F85772"/>
    <w:rsid w:val="00F92E01"/>
    <w:rsid w:val="00F94FD9"/>
    <w:rsid w:val="00F9603A"/>
    <w:rsid w:val="00F9629A"/>
    <w:rsid w:val="00FA313D"/>
    <w:rsid w:val="00FA5883"/>
    <w:rsid w:val="00FA6055"/>
    <w:rsid w:val="00FA6868"/>
    <w:rsid w:val="00FB0935"/>
    <w:rsid w:val="00FB322F"/>
    <w:rsid w:val="00FB442F"/>
    <w:rsid w:val="00FB784A"/>
    <w:rsid w:val="00FC1929"/>
    <w:rsid w:val="00FC5B46"/>
    <w:rsid w:val="00FD0FD8"/>
    <w:rsid w:val="00FD400C"/>
    <w:rsid w:val="00FE157F"/>
    <w:rsid w:val="00FE1692"/>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uiPriority w:val="99"/>
    <w:qFormat/>
    <w:rsid w:val="005A0A06"/>
    <w:rPr>
      <w:rFonts w:ascii="Arial Narrow" w:hAnsi="Arial Narrow"/>
      <w:b/>
      <w:color w:val="auto"/>
      <w:sz w:val="20"/>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Table">
    <w:name w:val="Table"/>
    <w:basedOn w:val="Normal"/>
    <w:link w:val="TableChar"/>
    <w:qFormat/>
    <w:rsid w:val="005F372E"/>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5F372E"/>
    <w:rPr>
      <w:rFonts w:ascii="Candara" w:eastAsiaTheme="majorEastAsia" w:hAnsi="Candara" w:cstheme="majorBidi"/>
      <w:szCs w:val="22"/>
      <w:lang w:eastAsia="en-US" w:bidi="en-US"/>
    </w:rPr>
  </w:style>
  <w:style w:type="character" w:customStyle="1" w:styleId="Small">
    <w:name w:val="Small"/>
    <w:basedOn w:val="DefaultParagraphFont"/>
    <w:uiPriority w:val="4"/>
    <w:qFormat/>
    <w:rsid w:val="005F372E"/>
    <w:rPr>
      <w:rFonts w:ascii="Candara" w:hAnsi="Candara"/>
      <w:sz w:val="20"/>
    </w:rPr>
  </w:style>
  <w:style w:type="character" w:customStyle="1" w:styleId="SmallBold">
    <w:name w:val="Small Bold"/>
    <w:basedOn w:val="Small"/>
    <w:uiPriority w:val="4"/>
    <w:qFormat/>
    <w:rsid w:val="005F372E"/>
    <w:rPr>
      <w:rFonts w:ascii="Candara" w:hAnsi="Candara"/>
      <w:b/>
      <w:sz w:val="20"/>
      <w:lang w:val="en-AU"/>
    </w:rPr>
  </w:style>
  <w:style w:type="character" w:styleId="Hyperlink">
    <w:name w:val="Hyperlink"/>
    <w:basedOn w:val="DefaultParagraphFont"/>
    <w:rsid w:val="0061773E"/>
    <w:rPr>
      <w:color w:val="0000FF" w:themeColor="hyperlink"/>
      <w:u w:val="single"/>
    </w:rPr>
  </w:style>
  <w:style w:type="character" w:styleId="FollowedHyperlink">
    <w:name w:val="FollowedHyperlink"/>
    <w:basedOn w:val="DefaultParagraphFont"/>
    <w:rsid w:val="0061773E"/>
    <w:rPr>
      <w:color w:val="800080" w:themeColor="followedHyperlink"/>
      <w:u w:val="single"/>
    </w:rPr>
  </w:style>
  <w:style w:type="paragraph" w:styleId="Caption">
    <w:name w:val="caption"/>
    <w:basedOn w:val="Normal"/>
    <w:next w:val="Normal"/>
    <w:unhideWhenUsed/>
    <w:qFormat/>
    <w:rsid w:val="005A0A06"/>
    <w:pPr>
      <w:spacing w:after="200"/>
    </w:pPr>
    <w:rPr>
      <w:b/>
      <w:bCs/>
      <w:color w:val="4F81BD" w:themeColor="accent1"/>
      <w:sz w:val="18"/>
      <w:szCs w:val="18"/>
    </w:rPr>
  </w:style>
  <w:style w:type="paragraph" w:styleId="FootnoteText">
    <w:name w:val="footnote text"/>
    <w:basedOn w:val="Normal"/>
    <w:link w:val="FootnoteTextChar"/>
    <w:rsid w:val="00290D32"/>
    <w:rPr>
      <w:sz w:val="20"/>
      <w:szCs w:val="20"/>
    </w:rPr>
  </w:style>
  <w:style w:type="character" w:customStyle="1" w:styleId="FootnoteTextChar">
    <w:name w:val="Footnote Text Char"/>
    <w:basedOn w:val="DefaultParagraphFont"/>
    <w:link w:val="FootnoteText"/>
    <w:rsid w:val="00290D32"/>
  </w:style>
  <w:style w:type="character" w:styleId="FootnoteReference">
    <w:name w:val="footnote reference"/>
    <w:basedOn w:val="DefaultParagraphFont"/>
    <w:rsid w:val="00290D32"/>
    <w:rPr>
      <w:vertAlign w:val="superscript"/>
    </w:rPr>
  </w:style>
  <w:style w:type="paragraph" w:customStyle="1" w:styleId="Default">
    <w:name w:val="Default"/>
    <w:rsid w:val="00532A65"/>
    <w:pPr>
      <w:autoSpaceDE w:val="0"/>
      <w:autoSpaceDN w:val="0"/>
      <w:adjustRightInd w:val="0"/>
    </w:pPr>
    <w:rPr>
      <w:color w:val="000000"/>
      <w:sz w:val="24"/>
      <w:szCs w:val="24"/>
      <w:lang w:eastAsia="en-US"/>
    </w:rPr>
  </w:style>
  <w:style w:type="paragraph" w:customStyle="1" w:styleId="EndNoteBibliographyTitle">
    <w:name w:val="EndNote Bibliography Title"/>
    <w:basedOn w:val="Normal"/>
    <w:link w:val="EndNoteBibliographyTitleChar"/>
    <w:rsid w:val="0011578D"/>
    <w:pPr>
      <w:jc w:val="center"/>
    </w:pPr>
    <w:rPr>
      <w:noProof/>
    </w:rPr>
  </w:style>
  <w:style w:type="character" w:customStyle="1" w:styleId="EndNoteBibliographyTitleChar">
    <w:name w:val="EndNote Bibliography Title Char"/>
    <w:basedOn w:val="DefaultParagraphFont"/>
    <w:link w:val="EndNoteBibliographyTitle"/>
    <w:rsid w:val="0011578D"/>
    <w:rPr>
      <w:noProof/>
      <w:sz w:val="24"/>
      <w:szCs w:val="24"/>
    </w:rPr>
  </w:style>
  <w:style w:type="paragraph" w:customStyle="1" w:styleId="EndNoteBibliography">
    <w:name w:val="EndNote Bibliography"/>
    <w:basedOn w:val="Normal"/>
    <w:link w:val="EndNoteBibliographyChar"/>
    <w:rsid w:val="0011578D"/>
    <w:pPr>
      <w:jc w:val="both"/>
    </w:pPr>
    <w:rPr>
      <w:noProof/>
    </w:rPr>
  </w:style>
  <w:style w:type="character" w:customStyle="1" w:styleId="EndNoteBibliographyChar">
    <w:name w:val="EndNote Bibliography Char"/>
    <w:basedOn w:val="DefaultParagraphFont"/>
    <w:link w:val="EndNoteBibliography"/>
    <w:rsid w:val="0011578D"/>
    <w:rPr>
      <w:noProof/>
      <w:sz w:val="24"/>
      <w:szCs w:val="24"/>
    </w:rPr>
  </w:style>
  <w:style w:type="character" w:customStyle="1" w:styleId="ListParagraphChar">
    <w:name w:val="List Paragraph Char"/>
    <w:basedOn w:val="DefaultParagraphFont"/>
    <w:link w:val="ListParagraph"/>
    <w:uiPriority w:val="72"/>
    <w:rsid w:val="004111BB"/>
    <w:rPr>
      <w:sz w:val="24"/>
      <w:szCs w:val="24"/>
    </w:rPr>
  </w:style>
  <w:style w:type="paragraph" w:styleId="NormalWeb">
    <w:name w:val="Normal (Web)"/>
    <w:basedOn w:val="Normal"/>
    <w:uiPriority w:val="99"/>
    <w:unhideWhenUsed/>
    <w:rsid w:val="000D462F"/>
    <w:pPr>
      <w:spacing w:before="100" w:beforeAutospacing="1" w:after="100" w:afterAutospacing="1"/>
    </w:pPr>
  </w:style>
  <w:style w:type="character" w:styleId="Emphasis">
    <w:name w:val="Emphasis"/>
    <w:basedOn w:val="DefaultParagraphFont"/>
    <w:uiPriority w:val="20"/>
    <w:qFormat/>
    <w:rsid w:val="00DB73AB"/>
    <w:rPr>
      <w:i/>
      <w:iCs/>
    </w:rPr>
  </w:style>
  <w:style w:type="paragraph" w:customStyle="1" w:styleId="TableRight">
    <w:name w:val="Table Right"/>
    <w:basedOn w:val="Table"/>
    <w:next w:val="Table"/>
    <w:qFormat/>
    <w:rsid w:val="002244CD"/>
    <w:pPr>
      <w:jc w:val="right"/>
    </w:pPr>
  </w:style>
  <w:style w:type="paragraph" w:customStyle="1" w:styleId="TableCentre">
    <w:name w:val="Table Centre"/>
    <w:basedOn w:val="Table"/>
    <w:qFormat/>
    <w:rsid w:val="002244CD"/>
    <w:pPr>
      <w:jc w:val="center"/>
    </w:pPr>
  </w:style>
  <w:style w:type="paragraph" w:customStyle="1" w:styleId="PBACHeading1">
    <w:name w:val="PBAC Heading 1"/>
    <w:qFormat/>
    <w:rsid w:val="007A553F"/>
    <w:pPr>
      <w:ind w:left="720" w:hanging="720"/>
    </w:pPr>
    <w:rPr>
      <w:rFonts w:ascii="Arial" w:hAnsi="Arial" w:cs="Arial"/>
      <w:b/>
      <w:snapToGrid w:val="0"/>
      <w:sz w:val="22"/>
      <w:szCs w:val="22"/>
      <w:lang w:eastAsia="en-US"/>
    </w:rPr>
  </w:style>
  <w:style w:type="paragraph" w:styleId="Revision">
    <w:name w:val="Revision"/>
    <w:hidden/>
    <w:uiPriority w:val="71"/>
    <w:rsid w:val="00BC49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uiPriority w:val="99"/>
    <w:qFormat/>
    <w:rsid w:val="005A0A06"/>
    <w:rPr>
      <w:rFonts w:ascii="Arial Narrow" w:hAnsi="Arial Narrow"/>
      <w:b/>
      <w:color w:val="auto"/>
      <w:sz w:val="20"/>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paragraph" w:customStyle="1" w:styleId="Table">
    <w:name w:val="Table"/>
    <w:basedOn w:val="Normal"/>
    <w:link w:val="TableChar"/>
    <w:qFormat/>
    <w:rsid w:val="005F372E"/>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5F372E"/>
    <w:rPr>
      <w:rFonts w:ascii="Candara" w:eastAsiaTheme="majorEastAsia" w:hAnsi="Candara" w:cstheme="majorBidi"/>
      <w:szCs w:val="22"/>
      <w:lang w:eastAsia="en-US" w:bidi="en-US"/>
    </w:rPr>
  </w:style>
  <w:style w:type="character" w:customStyle="1" w:styleId="Small">
    <w:name w:val="Small"/>
    <w:basedOn w:val="DefaultParagraphFont"/>
    <w:uiPriority w:val="4"/>
    <w:qFormat/>
    <w:rsid w:val="005F372E"/>
    <w:rPr>
      <w:rFonts w:ascii="Candara" w:hAnsi="Candara"/>
      <w:sz w:val="20"/>
    </w:rPr>
  </w:style>
  <w:style w:type="character" w:customStyle="1" w:styleId="SmallBold">
    <w:name w:val="Small Bold"/>
    <w:basedOn w:val="Small"/>
    <w:uiPriority w:val="4"/>
    <w:qFormat/>
    <w:rsid w:val="005F372E"/>
    <w:rPr>
      <w:rFonts w:ascii="Candara" w:hAnsi="Candara"/>
      <w:b/>
      <w:sz w:val="20"/>
      <w:lang w:val="en-AU"/>
    </w:rPr>
  </w:style>
  <w:style w:type="character" w:styleId="Hyperlink">
    <w:name w:val="Hyperlink"/>
    <w:basedOn w:val="DefaultParagraphFont"/>
    <w:rsid w:val="0061773E"/>
    <w:rPr>
      <w:color w:val="0000FF" w:themeColor="hyperlink"/>
      <w:u w:val="single"/>
    </w:rPr>
  </w:style>
  <w:style w:type="character" w:styleId="FollowedHyperlink">
    <w:name w:val="FollowedHyperlink"/>
    <w:basedOn w:val="DefaultParagraphFont"/>
    <w:rsid w:val="0061773E"/>
    <w:rPr>
      <w:color w:val="800080" w:themeColor="followedHyperlink"/>
      <w:u w:val="single"/>
    </w:rPr>
  </w:style>
  <w:style w:type="paragraph" w:styleId="Caption">
    <w:name w:val="caption"/>
    <w:basedOn w:val="Normal"/>
    <w:next w:val="Normal"/>
    <w:unhideWhenUsed/>
    <w:qFormat/>
    <w:rsid w:val="005A0A06"/>
    <w:pPr>
      <w:spacing w:after="200"/>
    </w:pPr>
    <w:rPr>
      <w:b/>
      <w:bCs/>
      <w:color w:val="4F81BD" w:themeColor="accent1"/>
      <w:sz w:val="18"/>
      <w:szCs w:val="18"/>
    </w:rPr>
  </w:style>
  <w:style w:type="paragraph" w:styleId="FootnoteText">
    <w:name w:val="footnote text"/>
    <w:basedOn w:val="Normal"/>
    <w:link w:val="FootnoteTextChar"/>
    <w:rsid w:val="00290D32"/>
    <w:rPr>
      <w:sz w:val="20"/>
      <w:szCs w:val="20"/>
    </w:rPr>
  </w:style>
  <w:style w:type="character" w:customStyle="1" w:styleId="FootnoteTextChar">
    <w:name w:val="Footnote Text Char"/>
    <w:basedOn w:val="DefaultParagraphFont"/>
    <w:link w:val="FootnoteText"/>
    <w:rsid w:val="00290D32"/>
  </w:style>
  <w:style w:type="character" w:styleId="FootnoteReference">
    <w:name w:val="footnote reference"/>
    <w:basedOn w:val="DefaultParagraphFont"/>
    <w:rsid w:val="00290D32"/>
    <w:rPr>
      <w:vertAlign w:val="superscript"/>
    </w:rPr>
  </w:style>
  <w:style w:type="paragraph" w:customStyle="1" w:styleId="Default">
    <w:name w:val="Default"/>
    <w:rsid w:val="00532A65"/>
    <w:pPr>
      <w:autoSpaceDE w:val="0"/>
      <w:autoSpaceDN w:val="0"/>
      <w:adjustRightInd w:val="0"/>
    </w:pPr>
    <w:rPr>
      <w:color w:val="000000"/>
      <w:sz w:val="24"/>
      <w:szCs w:val="24"/>
      <w:lang w:eastAsia="en-US"/>
    </w:rPr>
  </w:style>
  <w:style w:type="paragraph" w:customStyle="1" w:styleId="EndNoteBibliographyTitle">
    <w:name w:val="EndNote Bibliography Title"/>
    <w:basedOn w:val="Normal"/>
    <w:link w:val="EndNoteBibliographyTitleChar"/>
    <w:rsid w:val="0011578D"/>
    <w:pPr>
      <w:jc w:val="center"/>
    </w:pPr>
    <w:rPr>
      <w:noProof/>
    </w:rPr>
  </w:style>
  <w:style w:type="character" w:customStyle="1" w:styleId="EndNoteBibliographyTitleChar">
    <w:name w:val="EndNote Bibliography Title Char"/>
    <w:basedOn w:val="DefaultParagraphFont"/>
    <w:link w:val="EndNoteBibliographyTitle"/>
    <w:rsid w:val="0011578D"/>
    <w:rPr>
      <w:noProof/>
      <w:sz w:val="24"/>
      <w:szCs w:val="24"/>
    </w:rPr>
  </w:style>
  <w:style w:type="paragraph" w:customStyle="1" w:styleId="EndNoteBibliography">
    <w:name w:val="EndNote Bibliography"/>
    <w:basedOn w:val="Normal"/>
    <w:link w:val="EndNoteBibliographyChar"/>
    <w:rsid w:val="0011578D"/>
    <w:pPr>
      <w:jc w:val="both"/>
    </w:pPr>
    <w:rPr>
      <w:noProof/>
    </w:rPr>
  </w:style>
  <w:style w:type="character" w:customStyle="1" w:styleId="EndNoteBibliographyChar">
    <w:name w:val="EndNote Bibliography Char"/>
    <w:basedOn w:val="DefaultParagraphFont"/>
    <w:link w:val="EndNoteBibliography"/>
    <w:rsid w:val="0011578D"/>
    <w:rPr>
      <w:noProof/>
      <w:sz w:val="24"/>
      <w:szCs w:val="24"/>
    </w:rPr>
  </w:style>
  <w:style w:type="character" w:customStyle="1" w:styleId="ListParagraphChar">
    <w:name w:val="List Paragraph Char"/>
    <w:basedOn w:val="DefaultParagraphFont"/>
    <w:link w:val="ListParagraph"/>
    <w:uiPriority w:val="72"/>
    <w:rsid w:val="004111BB"/>
    <w:rPr>
      <w:sz w:val="24"/>
      <w:szCs w:val="24"/>
    </w:rPr>
  </w:style>
  <w:style w:type="paragraph" w:styleId="NormalWeb">
    <w:name w:val="Normal (Web)"/>
    <w:basedOn w:val="Normal"/>
    <w:uiPriority w:val="99"/>
    <w:unhideWhenUsed/>
    <w:rsid w:val="000D462F"/>
    <w:pPr>
      <w:spacing w:before="100" w:beforeAutospacing="1" w:after="100" w:afterAutospacing="1"/>
    </w:pPr>
  </w:style>
  <w:style w:type="character" w:styleId="Emphasis">
    <w:name w:val="Emphasis"/>
    <w:basedOn w:val="DefaultParagraphFont"/>
    <w:uiPriority w:val="20"/>
    <w:qFormat/>
    <w:rsid w:val="00DB73AB"/>
    <w:rPr>
      <w:i/>
      <w:iCs/>
    </w:rPr>
  </w:style>
  <w:style w:type="paragraph" w:customStyle="1" w:styleId="TableRight">
    <w:name w:val="Table Right"/>
    <w:basedOn w:val="Table"/>
    <w:next w:val="Table"/>
    <w:qFormat/>
    <w:rsid w:val="002244CD"/>
    <w:pPr>
      <w:jc w:val="right"/>
    </w:pPr>
  </w:style>
  <w:style w:type="paragraph" w:customStyle="1" w:styleId="TableCentre">
    <w:name w:val="Table Centre"/>
    <w:basedOn w:val="Table"/>
    <w:qFormat/>
    <w:rsid w:val="002244CD"/>
    <w:pPr>
      <w:jc w:val="center"/>
    </w:pPr>
  </w:style>
  <w:style w:type="paragraph" w:customStyle="1" w:styleId="PBACHeading1">
    <w:name w:val="PBAC Heading 1"/>
    <w:qFormat/>
    <w:rsid w:val="007A553F"/>
    <w:pPr>
      <w:ind w:left="720" w:hanging="720"/>
    </w:pPr>
    <w:rPr>
      <w:rFonts w:ascii="Arial" w:hAnsi="Arial" w:cs="Arial"/>
      <w:b/>
      <w:snapToGrid w:val="0"/>
      <w:sz w:val="22"/>
      <w:szCs w:val="22"/>
      <w:lang w:eastAsia="en-US"/>
    </w:rPr>
  </w:style>
  <w:style w:type="paragraph" w:styleId="Revision">
    <w:name w:val="Revision"/>
    <w:hidden/>
    <w:uiPriority w:val="71"/>
    <w:rsid w:val="00BC49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2521788">
      <w:bodyDiv w:val="1"/>
      <w:marLeft w:val="0"/>
      <w:marRight w:val="0"/>
      <w:marTop w:val="0"/>
      <w:marBottom w:val="0"/>
      <w:divBdr>
        <w:top w:val="none" w:sz="0" w:space="0" w:color="auto"/>
        <w:left w:val="none" w:sz="0" w:space="0" w:color="auto"/>
        <w:bottom w:val="none" w:sz="0" w:space="0" w:color="auto"/>
        <w:right w:val="none" w:sz="0" w:space="0" w:color="auto"/>
      </w:divBdr>
    </w:div>
    <w:div w:id="561059625">
      <w:bodyDiv w:val="1"/>
      <w:marLeft w:val="0"/>
      <w:marRight w:val="0"/>
      <w:marTop w:val="0"/>
      <w:marBottom w:val="0"/>
      <w:divBdr>
        <w:top w:val="none" w:sz="0" w:space="0" w:color="auto"/>
        <w:left w:val="none" w:sz="0" w:space="0" w:color="auto"/>
        <w:bottom w:val="none" w:sz="0" w:space="0" w:color="auto"/>
        <w:right w:val="none" w:sz="0" w:space="0" w:color="auto"/>
      </w:divBdr>
    </w:div>
    <w:div w:id="574097686">
      <w:bodyDiv w:val="1"/>
      <w:marLeft w:val="0"/>
      <w:marRight w:val="0"/>
      <w:marTop w:val="0"/>
      <w:marBottom w:val="0"/>
      <w:divBdr>
        <w:top w:val="none" w:sz="0" w:space="0" w:color="auto"/>
        <w:left w:val="none" w:sz="0" w:space="0" w:color="auto"/>
        <w:bottom w:val="none" w:sz="0" w:space="0" w:color="auto"/>
        <w:right w:val="none" w:sz="0" w:space="0" w:color="auto"/>
      </w:divBdr>
    </w:div>
    <w:div w:id="703941212">
      <w:bodyDiv w:val="1"/>
      <w:marLeft w:val="0"/>
      <w:marRight w:val="0"/>
      <w:marTop w:val="0"/>
      <w:marBottom w:val="0"/>
      <w:divBdr>
        <w:top w:val="none" w:sz="0" w:space="0" w:color="auto"/>
        <w:left w:val="none" w:sz="0" w:space="0" w:color="auto"/>
        <w:bottom w:val="none" w:sz="0" w:space="0" w:color="auto"/>
        <w:right w:val="none" w:sz="0" w:space="0" w:color="auto"/>
      </w:divBdr>
    </w:div>
    <w:div w:id="76238106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39210471">
      <w:bodyDiv w:val="1"/>
      <w:marLeft w:val="0"/>
      <w:marRight w:val="0"/>
      <w:marTop w:val="0"/>
      <w:marBottom w:val="0"/>
      <w:divBdr>
        <w:top w:val="none" w:sz="0" w:space="0" w:color="auto"/>
        <w:left w:val="none" w:sz="0" w:space="0" w:color="auto"/>
        <w:bottom w:val="none" w:sz="0" w:space="0" w:color="auto"/>
        <w:right w:val="none" w:sz="0" w:space="0" w:color="auto"/>
      </w:divBdr>
    </w:div>
    <w:div w:id="146427264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2064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bs.gov.au/info/healthpro/explanatory-notes/section2/section-2-symbols" TargetMode="External"/><Relationship Id="rId1" Type="http://schemas.openxmlformats.org/officeDocument/2006/relationships/hyperlink" Target="http://www.pbs.gov.au/info/healthpro/explanatory-notes/section2/section-2-symbo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C313-B6E6-449C-9CC7-4CF28EBA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9045</Words>
  <Characters>51133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2015-10-23T03:05:00Z</dcterms:created>
  <dcterms:modified xsi:type="dcterms:W3CDTF">2015-10-23T03:06:00Z</dcterms:modified>
</cp:coreProperties>
</file>